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053DFE8">
      <w:pPr>
        <w:spacing w:line="360" w:lineRule="auto"/>
        <w:ind w:firstLine="300" w:firstLineChars="50"/>
        <w:rPr>
          <w:rFonts w:eastAsiaTheme="minorEastAsia"/>
          <w:sz w:val="60"/>
          <w:szCs w:val="60"/>
        </w:rPr>
      </w:pPr>
    </w:p>
    <w:p w14:paraId="21809503">
      <w:pPr>
        <w:spacing w:line="360" w:lineRule="auto"/>
        <w:ind w:firstLine="300" w:firstLineChars="50"/>
        <w:rPr>
          <w:rFonts w:eastAsiaTheme="minorEastAsia"/>
          <w:sz w:val="60"/>
          <w:szCs w:val="60"/>
        </w:rPr>
      </w:pPr>
    </w:p>
    <w:p w14:paraId="7ABB8BA7">
      <w:pPr>
        <w:jc w:val="center"/>
        <w:rPr>
          <w:rFonts w:eastAsiaTheme="minorEastAsia"/>
          <w:b/>
          <w:bCs/>
          <w:sz w:val="60"/>
          <w:szCs w:val="60"/>
        </w:rPr>
      </w:pPr>
      <w:r>
        <w:rPr>
          <w:rFonts w:eastAsiaTheme="minorEastAsia"/>
          <w:b/>
          <w:bCs/>
          <w:sz w:val="60"/>
          <w:szCs w:val="60"/>
        </w:rPr>
        <w:t>北京市政府采购项目</w:t>
      </w:r>
    </w:p>
    <w:p w14:paraId="01E1B920">
      <w:pPr>
        <w:jc w:val="center"/>
        <w:rPr>
          <w:rFonts w:eastAsiaTheme="minorEastAsia"/>
          <w:b/>
          <w:bCs/>
          <w:sz w:val="60"/>
          <w:szCs w:val="60"/>
        </w:rPr>
      </w:pPr>
      <w:r>
        <w:rPr>
          <w:rFonts w:eastAsiaTheme="minorEastAsia"/>
          <w:b/>
          <w:bCs/>
          <w:sz w:val="60"/>
          <w:szCs w:val="60"/>
        </w:rPr>
        <w:t>竞争性磋商文件</w:t>
      </w:r>
    </w:p>
    <w:p w14:paraId="6F3A2C34">
      <w:pPr>
        <w:spacing w:line="360" w:lineRule="auto"/>
        <w:jc w:val="center"/>
        <w:rPr>
          <w:rFonts w:eastAsiaTheme="majorEastAsia"/>
          <w:b/>
          <w:bCs/>
          <w:sz w:val="60"/>
          <w:szCs w:val="60"/>
        </w:rPr>
      </w:pPr>
    </w:p>
    <w:p w14:paraId="04D0BD5C">
      <w:pPr>
        <w:spacing w:line="360" w:lineRule="auto"/>
        <w:jc w:val="center"/>
        <w:rPr>
          <w:rFonts w:eastAsiaTheme="majorEastAsia"/>
          <w:b/>
          <w:bCs/>
          <w:sz w:val="60"/>
          <w:szCs w:val="60"/>
        </w:rPr>
      </w:pPr>
    </w:p>
    <w:p w14:paraId="448BB8A0">
      <w:pPr>
        <w:tabs>
          <w:tab w:val="left" w:pos="5609"/>
        </w:tabs>
        <w:spacing w:line="360" w:lineRule="auto"/>
        <w:ind w:left="2832" w:leftChars="444" w:hanging="1900" w:hangingChars="528"/>
        <w:jc w:val="left"/>
        <w:rPr>
          <w:rFonts w:eastAsiaTheme="minorEastAsia"/>
          <w:bCs/>
          <w:sz w:val="36"/>
          <w:szCs w:val="36"/>
        </w:rPr>
      </w:pPr>
    </w:p>
    <w:p w14:paraId="123FDBB8">
      <w:pPr>
        <w:pStyle w:val="2"/>
        <w:rPr>
          <w:rFonts w:eastAsiaTheme="minorEastAsia"/>
          <w:bCs/>
          <w:sz w:val="36"/>
          <w:szCs w:val="36"/>
        </w:rPr>
      </w:pPr>
    </w:p>
    <w:p w14:paraId="63257B6C">
      <w:pPr>
        <w:pStyle w:val="2"/>
        <w:ind w:left="0" w:leftChars="0" w:firstLine="0" w:firstLineChars="0"/>
        <w:rPr>
          <w:rFonts w:eastAsiaTheme="minorEastAsia"/>
          <w:bCs/>
          <w:sz w:val="36"/>
          <w:szCs w:val="36"/>
        </w:rPr>
      </w:pPr>
    </w:p>
    <w:p w14:paraId="32663B54">
      <w:pPr>
        <w:tabs>
          <w:tab w:val="left" w:pos="5609"/>
        </w:tabs>
        <w:spacing w:line="360" w:lineRule="auto"/>
        <w:ind w:left="2832" w:leftChars="444" w:hanging="1900" w:hangingChars="528"/>
        <w:jc w:val="left"/>
        <w:rPr>
          <w:rFonts w:hint="default" w:eastAsiaTheme="minorEastAsia"/>
          <w:bCs/>
          <w:sz w:val="36"/>
          <w:szCs w:val="36"/>
          <w:lang w:eastAsia="zh-CN"/>
        </w:rPr>
      </w:pPr>
      <w:r>
        <w:rPr>
          <w:rFonts w:eastAsiaTheme="minorEastAsia"/>
          <w:bCs/>
          <w:sz w:val="36"/>
          <w:szCs w:val="36"/>
        </w:rPr>
        <w:t>项目名称：</w:t>
      </w:r>
      <w:r>
        <w:rPr>
          <w:rFonts w:hint="default" w:eastAsiaTheme="minorEastAsia"/>
          <w:bCs/>
          <w:sz w:val="36"/>
          <w:szCs w:val="36"/>
        </w:rPr>
        <w:t>手球馆暖气系统设备维修改造</w:t>
      </w:r>
    </w:p>
    <w:p w14:paraId="1FC8D3A7">
      <w:pPr>
        <w:tabs>
          <w:tab w:val="left" w:pos="3240"/>
          <w:tab w:val="left" w:pos="3420"/>
        </w:tabs>
        <w:spacing w:line="360" w:lineRule="auto"/>
        <w:ind w:left="2832" w:leftChars="444" w:hanging="1900" w:hangingChars="528"/>
        <w:jc w:val="left"/>
        <w:rPr>
          <w:rFonts w:hint="eastAsia" w:eastAsiaTheme="minorEastAsia"/>
          <w:bCs/>
          <w:sz w:val="36"/>
          <w:szCs w:val="36"/>
        </w:rPr>
      </w:pPr>
      <w:r>
        <w:rPr>
          <w:rFonts w:eastAsiaTheme="minorEastAsia"/>
          <w:bCs/>
          <w:sz w:val="36"/>
          <w:szCs w:val="36"/>
        </w:rPr>
        <w:t>项目编号：</w:t>
      </w:r>
      <w:r>
        <w:rPr>
          <w:rFonts w:hint="eastAsia" w:eastAsiaTheme="minorEastAsia"/>
          <w:bCs/>
          <w:sz w:val="36"/>
          <w:szCs w:val="36"/>
        </w:rPr>
        <w:fldChar w:fldCharType="begin"/>
      </w:r>
      <w:r>
        <w:rPr>
          <w:rFonts w:hint="eastAsia" w:eastAsiaTheme="minorEastAsia"/>
          <w:bCs/>
          <w:sz w:val="36"/>
          <w:szCs w:val="36"/>
        </w:rPr>
        <w:instrText xml:space="preserve"> HYPERLINK "http://219.232.204.193:8080/frontend/plan/project_detail.html?projectUuid=66b4b704-ce70-42c9-b879-4fcb4ef3e8ec" </w:instrText>
      </w:r>
      <w:r>
        <w:rPr>
          <w:rFonts w:hint="eastAsia" w:eastAsiaTheme="minorEastAsia"/>
          <w:bCs/>
          <w:sz w:val="36"/>
          <w:szCs w:val="36"/>
        </w:rPr>
        <w:fldChar w:fldCharType="separate"/>
      </w:r>
      <w:r>
        <w:rPr>
          <w:rFonts w:hint="eastAsia" w:eastAsiaTheme="minorEastAsia"/>
          <w:bCs/>
          <w:sz w:val="36"/>
          <w:szCs w:val="36"/>
        </w:rPr>
        <w:t>11000026210200171882-XM001</w:t>
      </w:r>
      <w:r>
        <w:rPr>
          <w:rFonts w:hint="eastAsia" w:eastAsiaTheme="minorEastAsia"/>
          <w:bCs/>
          <w:sz w:val="36"/>
          <w:szCs w:val="36"/>
        </w:rPr>
        <w:fldChar w:fldCharType="end"/>
      </w:r>
    </w:p>
    <w:p w14:paraId="7EB1C47B">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r>
        <w:rPr>
          <w:rFonts w:hint="eastAsia" w:eastAsiaTheme="minorEastAsia"/>
          <w:bCs/>
          <w:sz w:val="36"/>
          <w:szCs w:val="36"/>
          <w:lang w:val="en-US" w:eastAsia="zh-CN"/>
        </w:rPr>
        <w:t>项目代理编号：TJZB-2026-195</w:t>
      </w:r>
    </w:p>
    <w:p w14:paraId="4D1DC0FF">
      <w:pPr>
        <w:tabs>
          <w:tab w:val="left" w:pos="3240"/>
          <w:tab w:val="left" w:pos="3420"/>
        </w:tabs>
        <w:spacing w:line="360" w:lineRule="auto"/>
        <w:ind w:left="2832" w:leftChars="444" w:hanging="1900" w:hangingChars="528"/>
        <w:jc w:val="left"/>
        <w:rPr>
          <w:rFonts w:hint="eastAsia" w:eastAsiaTheme="minorEastAsia"/>
          <w:bCs/>
          <w:sz w:val="36"/>
          <w:szCs w:val="36"/>
          <w:lang w:eastAsia="zh-CN"/>
        </w:rPr>
      </w:pPr>
      <w:r>
        <w:rPr>
          <w:rFonts w:eastAsiaTheme="minorEastAsia"/>
          <w:bCs/>
          <w:sz w:val="36"/>
          <w:szCs w:val="36"/>
        </w:rPr>
        <w:t>采 购 人：</w:t>
      </w:r>
      <w:bookmarkStart w:id="0" w:name="OLE_LINK1"/>
      <w:r>
        <w:rPr>
          <w:rFonts w:hint="eastAsia" w:eastAsiaTheme="minorEastAsia"/>
          <w:bCs/>
          <w:sz w:val="36"/>
          <w:szCs w:val="36"/>
        </w:rPr>
        <w:t>北京市木樨园体育运动技术学校(北京市排球运动管理中心)</w:t>
      </w:r>
    </w:p>
    <w:bookmarkEnd w:id="0"/>
    <w:p w14:paraId="78C12F86">
      <w:pPr>
        <w:tabs>
          <w:tab w:val="left" w:pos="3240"/>
          <w:tab w:val="left" w:pos="3420"/>
        </w:tabs>
        <w:spacing w:line="360" w:lineRule="auto"/>
        <w:ind w:left="2832" w:leftChars="444" w:hanging="1900" w:hangingChars="528"/>
        <w:jc w:val="left"/>
        <w:rPr>
          <w:rFonts w:hint="eastAsia" w:eastAsiaTheme="minorEastAsia"/>
          <w:bCs/>
          <w:sz w:val="36"/>
          <w:szCs w:val="36"/>
        </w:rPr>
      </w:pPr>
      <w:r>
        <w:rPr>
          <w:rFonts w:eastAsiaTheme="minorEastAsia"/>
          <w:bCs/>
          <w:sz w:val="36"/>
          <w:szCs w:val="36"/>
        </w:rPr>
        <w:t>采购代理机构：</w:t>
      </w:r>
      <w:r>
        <w:rPr>
          <w:rFonts w:hint="eastAsia" w:eastAsiaTheme="minorEastAsia"/>
          <w:bCs/>
          <w:sz w:val="36"/>
          <w:szCs w:val="36"/>
        </w:rPr>
        <w:t>北京天极招投标咨询有限公司</w:t>
      </w:r>
    </w:p>
    <w:p w14:paraId="17E3CDE4">
      <w:pPr>
        <w:rPr>
          <w:rFonts w:hint="eastAsia" w:eastAsiaTheme="minorEastAsia"/>
          <w:bCs/>
          <w:sz w:val="36"/>
          <w:szCs w:val="36"/>
        </w:rPr>
      </w:pPr>
      <w:r>
        <w:rPr>
          <w:rFonts w:hint="eastAsia" w:eastAsiaTheme="minorEastAsia"/>
          <w:bCs/>
          <w:sz w:val="36"/>
          <w:szCs w:val="36"/>
        </w:rPr>
        <w:br w:type="page"/>
      </w:r>
    </w:p>
    <w:p w14:paraId="6EB73411">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p>
    <w:p w14:paraId="12E07933">
      <w:pPr>
        <w:pStyle w:val="158"/>
        <w:spacing w:line="360" w:lineRule="auto"/>
        <w:rPr>
          <w:rFonts w:ascii="Times New Roman" w:hAnsi="Times New Roman" w:cs="Times New Roman" w:eastAsiaTheme="minorEastAsia"/>
        </w:rPr>
      </w:pPr>
    </w:p>
    <w:p w14:paraId="2081EF8F">
      <w:pPr>
        <w:spacing w:line="360" w:lineRule="auto"/>
        <w:jc w:val="center"/>
        <w:outlineLvl w:val="0"/>
        <w:rPr>
          <w:rFonts w:eastAsiaTheme="minorEastAsia"/>
          <w:b/>
          <w:sz w:val="36"/>
          <w:szCs w:val="36"/>
        </w:rPr>
      </w:pPr>
      <w:bookmarkStart w:id="1" w:name="_Toc167110013"/>
      <w:r>
        <w:rPr>
          <w:rFonts w:eastAsiaTheme="minorEastAsia"/>
          <w:b/>
          <w:sz w:val="36"/>
          <w:szCs w:val="36"/>
        </w:rPr>
        <w:t>目      录</w:t>
      </w:r>
      <w:bookmarkEnd w:id="1"/>
    </w:p>
    <w:p w14:paraId="70B20C8D">
      <w:pPr>
        <w:pStyle w:val="32"/>
        <w:spacing w:line="360" w:lineRule="auto"/>
        <w:rPr>
          <w:rFonts w:asciiTheme="minorHAnsi" w:hAnsiTheme="minorHAnsi" w:eastAsiaTheme="minorEastAsia" w:cstheme="minorBidi"/>
          <w:b w:val="0"/>
          <w:sz w:val="22"/>
          <w14:ligatures w14:val="standardContextual"/>
        </w:rPr>
      </w:pPr>
      <w:r>
        <w:rPr>
          <w:rFonts w:ascii="Times New Roman" w:hAnsi="Times New Roman" w:eastAsiaTheme="minorEastAsia"/>
          <w:b w:val="0"/>
          <w:sz w:val="28"/>
          <w:szCs w:val="28"/>
        </w:rPr>
        <w:fldChar w:fldCharType="begin"/>
      </w:r>
      <w:r>
        <w:rPr>
          <w:rFonts w:ascii="Times New Roman" w:hAnsi="Times New Roman" w:eastAsiaTheme="minorEastAsia"/>
          <w:b w:val="0"/>
          <w:sz w:val="28"/>
          <w:szCs w:val="28"/>
        </w:rPr>
        <w:instrText xml:space="preserve"> TOC \o "1-1" \h \z \u </w:instrText>
      </w:r>
      <w:r>
        <w:rPr>
          <w:rFonts w:ascii="Times New Roman" w:hAnsi="Times New Roman" w:eastAsiaTheme="minorEastAsia"/>
          <w:b w:val="0"/>
          <w:sz w:val="28"/>
          <w:szCs w:val="28"/>
        </w:rPr>
        <w:fldChar w:fldCharType="separate"/>
      </w:r>
    </w:p>
    <w:p w14:paraId="47DDF1BB">
      <w:pPr>
        <w:pStyle w:val="32"/>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"_Toc167110014" </w:instrText>
      </w:r>
      <w:r>
        <w:fldChar w:fldCharType="separate"/>
      </w:r>
      <w:r>
        <w:rPr>
          <w:rStyle w:val="51"/>
          <w:sz w:val="28"/>
          <w:szCs w:val="28"/>
        </w:rPr>
        <w:t>第一章   采购邀请</w:t>
      </w:r>
      <w:r>
        <w:rPr>
          <w:sz w:val="28"/>
          <w:szCs w:val="28"/>
        </w:rPr>
        <w:tab/>
      </w:r>
      <w:r>
        <w:rPr>
          <w:sz w:val="28"/>
          <w:szCs w:val="28"/>
        </w:rPr>
        <w:fldChar w:fldCharType="begin"/>
      </w:r>
      <w:r>
        <w:rPr>
          <w:sz w:val="28"/>
          <w:szCs w:val="28"/>
        </w:rPr>
        <w:instrText xml:space="preserve"> PAGEREF _Toc167110014 \h </w:instrText>
      </w:r>
      <w:r>
        <w:rPr>
          <w:sz w:val="28"/>
          <w:szCs w:val="28"/>
        </w:rPr>
        <w:fldChar w:fldCharType="separate"/>
      </w:r>
      <w:r>
        <w:rPr>
          <w:sz w:val="28"/>
          <w:szCs w:val="28"/>
        </w:rPr>
        <w:t>1</w:t>
      </w:r>
      <w:r>
        <w:rPr>
          <w:sz w:val="28"/>
          <w:szCs w:val="28"/>
        </w:rPr>
        <w:fldChar w:fldCharType="end"/>
      </w:r>
      <w:r>
        <w:rPr>
          <w:sz w:val="28"/>
          <w:szCs w:val="28"/>
        </w:rPr>
        <w:fldChar w:fldCharType="end"/>
      </w:r>
    </w:p>
    <w:p w14:paraId="470221B5">
      <w:pPr>
        <w:pStyle w:val="32"/>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"_Toc167110015" </w:instrText>
      </w:r>
      <w:r>
        <w:fldChar w:fldCharType="separate"/>
      </w:r>
      <w:r>
        <w:rPr>
          <w:rStyle w:val="51"/>
          <w:sz w:val="28"/>
          <w:szCs w:val="28"/>
        </w:rPr>
        <w:t>第二章   供应商须知</w:t>
      </w:r>
      <w:r>
        <w:rPr>
          <w:sz w:val="28"/>
          <w:szCs w:val="28"/>
        </w:rPr>
        <w:tab/>
      </w:r>
      <w:r>
        <w:rPr>
          <w:sz w:val="28"/>
          <w:szCs w:val="28"/>
        </w:rPr>
        <w:fldChar w:fldCharType="begin"/>
      </w:r>
      <w:r>
        <w:rPr>
          <w:sz w:val="28"/>
          <w:szCs w:val="28"/>
        </w:rPr>
        <w:instrText xml:space="preserve"> PAGEREF _Toc167110015 \h </w:instrText>
      </w:r>
      <w:r>
        <w:rPr>
          <w:sz w:val="28"/>
          <w:szCs w:val="28"/>
        </w:rPr>
        <w:fldChar w:fldCharType="separate"/>
      </w:r>
      <w:r>
        <w:rPr>
          <w:sz w:val="28"/>
          <w:szCs w:val="28"/>
        </w:rPr>
        <w:t>5</w:t>
      </w:r>
      <w:r>
        <w:rPr>
          <w:sz w:val="28"/>
          <w:szCs w:val="28"/>
        </w:rPr>
        <w:fldChar w:fldCharType="end"/>
      </w:r>
      <w:r>
        <w:rPr>
          <w:sz w:val="28"/>
          <w:szCs w:val="28"/>
        </w:rPr>
        <w:fldChar w:fldCharType="end"/>
      </w:r>
    </w:p>
    <w:p w14:paraId="45EB39C4">
      <w:pPr>
        <w:pStyle w:val="32"/>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"_Toc167110016" </w:instrText>
      </w:r>
      <w:r>
        <w:fldChar w:fldCharType="separate"/>
      </w:r>
      <w:r>
        <w:rPr>
          <w:rStyle w:val="51"/>
          <w:sz w:val="28"/>
          <w:szCs w:val="28"/>
        </w:rPr>
        <w:t>第三章   评审方法和评审标准</w:t>
      </w:r>
      <w:r>
        <w:rPr>
          <w:sz w:val="28"/>
          <w:szCs w:val="28"/>
        </w:rPr>
        <w:tab/>
      </w:r>
      <w:r>
        <w:rPr>
          <w:sz w:val="28"/>
          <w:szCs w:val="28"/>
        </w:rPr>
        <w:fldChar w:fldCharType="begin"/>
      </w:r>
      <w:r>
        <w:rPr>
          <w:sz w:val="28"/>
          <w:szCs w:val="28"/>
        </w:rPr>
        <w:instrText xml:space="preserve"> PAGEREF _Toc167110016 \h </w:instrText>
      </w:r>
      <w:r>
        <w:rPr>
          <w:sz w:val="28"/>
          <w:szCs w:val="28"/>
        </w:rPr>
        <w:fldChar w:fldCharType="separate"/>
      </w:r>
      <w:r>
        <w:rPr>
          <w:sz w:val="28"/>
          <w:szCs w:val="28"/>
        </w:rPr>
        <w:t>22</w:t>
      </w:r>
      <w:r>
        <w:rPr>
          <w:sz w:val="28"/>
          <w:szCs w:val="28"/>
        </w:rPr>
        <w:fldChar w:fldCharType="end"/>
      </w:r>
      <w:r>
        <w:rPr>
          <w:sz w:val="28"/>
          <w:szCs w:val="28"/>
        </w:rPr>
        <w:fldChar w:fldCharType="end"/>
      </w:r>
    </w:p>
    <w:p w14:paraId="2321D5FC">
      <w:pPr>
        <w:pStyle w:val="32"/>
        <w:spacing w:line="360" w:lineRule="auto"/>
        <w:rPr>
          <w:rFonts w:hint="eastAsia" w:eastAsia="宋体" w:asciiTheme="minorHAnsi" w:hAnsiTheme="minorHAnsi" w:cstheme="minorBidi"/>
          <w:b w:val="0"/>
          <w:sz w:val="22"/>
          <w:lang w:val="en-US" w:eastAsia="zh-CN"/>
          <w14:ligatures w14:val="standardContextual"/>
        </w:rPr>
      </w:pPr>
      <w:r>
        <w:fldChar w:fldCharType="begin"/>
      </w:r>
      <w:r>
        <w:instrText xml:space="preserve"> HYPERLINK \l "_Toc167110017" </w:instrText>
      </w:r>
      <w:r>
        <w:fldChar w:fldCharType="separate"/>
      </w:r>
      <w:r>
        <w:rPr>
          <w:rStyle w:val="51"/>
          <w:sz w:val="28"/>
          <w:szCs w:val="28"/>
        </w:rPr>
        <w:t>第四章   采购需求</w:t>
      </w:r>
      <w:r>
        <w:rPr>
          <w:sz w:val="28"/>
          <w:szCs w:val="28"/>
        </w:rPr>
        <w:tab/>
      </w:r>
      <w:r>
        <w:rPr>
          <w:rFonts w:hint="eastAsia"/>
          <w:sz w:val="28"/>
          <w:szCs w:val="28"/>
          <w:lang w:val="en-US" w:eastAsia="zh-CN"/>
        </w:rPr>
        <w:t>3</w:t>
      </w:r>
      <w:r>
        <w:rPr>
          <w:sz w:val="28"/>
          <w:szCs w:val="28"/>
        </w:rPr>
        <w:fldChar w:fldCharType="end"/>
      </w:r>
      <w:r>
        <w:rPr>
          <w:rFonts w:hint="eastAsia"/>
          <w:sz w:val="28"/>
          <w:szCs w:val="28"/>
          <w:lang w:val="en-US" w:eastAsia="zh-CN"/>
        </w:rPr>
        <w:t>4</w:t>
      </w:r>
    </w:p>
    <w:p w14:paraId="1E826A5C">
      <w:pPr>
        <w:pStyle w:val="32"/>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"_Toc167110018" </w:instrText>
      </w:r>
      <w:r>
        <w:fldChar w:fldCharType="separate"/>
      </w:r>
      <w:r>
        <w:rPr>
          <w:rStyle w:val="51"/>
          <w:sz w:val="28"/>
          <w:szCs w:val="28"/>
        </w:rPr>
        <w:t>第五章   合同草案条款</w:t>
      </w:r>
      <w:r>
        <w:rPr>
          <w:sz w:val="28"/>
          <w:szCs w:val="28"/>
        </w:rPr>
        <w:tab/>
      </w:r>
      <w:r>
        <w:rPr>
          <w:sz w:val="28"/>
          <w:szCs w:val="28"/>
        </w:rPr>
        <w:fldChar w:fldCharType="begin"/>
      </w:r>
      <w:r>
        <w:rPr>
          <w:sz w:val="28"/>
          <w:szCs w:val="28"/>
        </w:rPr>
        <w:instrText xml:space="preserve"> PAGEREF _Toc167110018 \h </w:instrText>
      </w:r>
      <w:r>
        <w:rPr>
          <w:sz w:val="28"/>
          <w:szCs w:val="28"/>
        </w:rPr>
        <w:fldChar w:fldCharType="separate"/>
      </w:r>
      <w:r>
        <w:rPr>
          <w:sz w:val="28"/>
          <w:szCs w:val="28"/>
        </w:rPr>
        <w:t>40</w:t>
      </w:r>
      <w:r>
        <w:rPr>
          <w:sz w:val="28"/>
          <w:szCs w:val="28"/>
        </w:rPr>
        <w:fldChar w:fldCharType="end"/>
      </w:r>
      <w:r>
        <w:rPr>
          <w:sz w:val="28"/>
          <w:szCs w:val="28"/>
        </w:rPr>
        <w:fldChar w:fldCharType="end"/>
      </w:r>
    </w:p>
    <w:p w14:paraId="09BD6A88">
      <w:pPr>
        <w:pStyle w:val="32"/>
        <w:spacing w:line="360" w:lineRule="auto"/>
        <w:rPr>
          <w:rFonts w:asciiTheme="minorHAnsi" w:hAnsiTheme="minorHAnsi" w:eastAsiaTheme="minorEastAsia" w:cstheme="minorBidi"/>
          <w:b w:val="0"/>
          <w:sz w:val="22"/>
          <w14:ligatures w14:val="standardContextual"/>
        </w:rPr>
      </w:pPr>
      <w:r>
        <w:fldChar w:fldCharType="begin"/>
      </w:r>
      <w:r>
        <w:instrText xml:space="preserve"> HYPERLINK \l "_Toc167110019" </w:instrText>
      </w:r>
      <w:r>
        <w:fldChar w:fldCharType="separate"/>
      </w:r>
      <w:r>
        <w:rPr>
          <w:rStyle w:val="51"/>
          <w:sz w:val="28"/>
          <w:szCs w:val="28"/>
        </w:rPr>
        <w:t>第六章   响应文件格式</w:t>
      </w:r>
      <w:r>
        <w:rPr>
          <w:sz w:val="28"/>
          <w:szCs w:val="28"/>
        </w:rPr>
        <w:tab/>
      </w:r>
      <w:r>
        <w:rPr>
          <w:sz w:val="28"/>
          <w:szCs w:val="28"/>
        </w:rPr>
        <w:fldChar w:fldCharType="begin"/>
      </w:r>
      <w:r>
        <w:rPr>
          <w:sz w:val="28"/>
          <w:szCs w:val="28"/>
        </w:rPr>
        <w:instrText xml:space="preserve"> PAGEREF _Toc167110019 \h </w:instrText>
      </w:r>
      <w:r>
        <w:rPr>
          <w:sz w:val="28"/>
          <w:szCs w:val="28"/>
        </w:rPr>
        <w:fldChar w:fldCharType="separate"/>
      </w:r>
      <w:r>
        <w:rPr>
          <w:sz w:val="28"/>
          <w:szCs w:val="28"/>
        </w:rPr>
        <w:t>130</w:t>
      </w:r>
      <w:r>
        <w:rPr>
          <w:sz w:val="28"/>
          <w:szCs w:val="28"/>
        </w:rPr>
        <w:fldChar w:fldCharType="end"/>
      </w:r>
      <w:r>
        <w:rPr>
          <w:sz w:val="28"/>
          <w:szCs w:val="28"/>
        </w:rPr>
        <w:fldChar w:fldCharType="end"/>
      </w:r>
    </w:p>
    <w:p w14:paraId="50EC05A9">
      <w:pPr>
        <w:pStyle w:val="32"/>
        <w:spacing w:line="360" w:lineRule="auto"/>
        <w:rPr>
          <w:rFonts w:ascii="Times New Roman" w:hAnsi="Times New Roman" w:eastAsiaTheme="minorEastAsia"/>
          <w:b w:val="0"/>
        </w:rPr>
      </w:pPr>
      <w:r>
        <w:rPr>
          <w:rFonts w:ascii="Times New Roman" w:hAnsi="Times New Roman" w:eastAsiaTheme="minorEastAsia"/>
          <w:b w:val="0"/>
          <w:sz w:val="28"/>
          <w:szCs w:val="28"/>
        </w:rPr>
        <w:fldChar w:fldCharType="end"/>
      </w:r>
    </w:p>
    <w:p w14:paraId="15562B7B">
      <w:pPr>
        <w:pStyle w:val="32"/>
        <w:spacing w:line="360" w:lineRule="auto"/>
        <w:rPr>
          <w:rFonts w:ascii="Times New Roman" w:hAnsi="Times New Roman" w:eastAsiaTheme="minorEastAsia"/>
          <w:b w:val="0"/>
          <w:sz w:val="36"/>
          <w:szCs w:val="36"/>
        </w:rPr>
      </w:pPr>
    </w:p>
    <w:p w14:paraId="7FBD4ED0">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7ECC0F43">
      <w:pPr>
        <w:spacing w:line="360" w:lineRule="auto"/>
        <w:jc w:val="center"/>
        <w:outlineLvl w:val="0"/>
        <w:rPr>
          <w:rFonts w:eastAsiaTheme="minorEastAsia"/>
          <w:b/>
          <w:sz w:val="36"/>
          <w:szCs w:val="36"/>
        </w:rPr>
      </w:pPr>
      <w:bookmarkStart w:id="2" w:name="_Toc167110014"/>
      <w:r>
        <w:rPr>
          <w:rFonts w:eastAsiaTheme="minorEastAsia"/>
          <w:b/>
          <w:sz w:val="36"/>
          <w:szCs w:val="36"/>
        </w:rPr>
        <w:t>第一章   采购邀请</w:t>
      </w:r>
      <w:bookmarkEnd w:id="2"/>
      <w:bookmarkStart w:id="3" w:name="_Toc35393621"/>
      <w:bookmarkStart w:id="4" w:name="_Toc35393790"/>
      <w:bookmarkStart w:id="5" w:name="_Toc28359079"/>
      <w:bookmarkStart w:id="6" w:name="_Toc28359002"/>
      <w:bookmarkStart w:id="7" w:name="_Hlk24379207"/>
    </w:p>
    <w:p w14:paraId="464B4753">
      <w:pPr>
        <w:pStyle w:val="5"/>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3"/>
      <w:bookmarkEnd w:id="4"/>
      <w:bookmarkEnd w:id="5"/>
      <w:bookmarkEnd w:id="6"/>
    </w:p>
    <w:p w14:paraId="75D4E9F1">
      <w:pPr>
        <w:spacing w:line="360" w:lineRule="auto"/>
        <w:ind w:firstLine="480" w:firstLineChars="200"/>
        <w:rPr>
          <w:rFonts w:hint="eastAsia" w:eastAsiaTheme="minorEastAsia"/>
          <w:sz w:val="24"/>
          <w:highlight w:val="none"/>
        </w:rPr>
      </w:pPr>
      <w:r>
        <w:rPr>
          <w:rFonts w:eastAsiaTheme="minorEastAsia"/>
          <w:sz w:val="24"/>
          <w:highlight w:val="none"/>
        </w:rPr>
        <w:t>1.项目编号：</w:t>
      </w:r>
      <w:r>
        <w:rPr>
          <w:rFonts w:hint="eastAsia" w:eastAsiaTheme="minorEastAsia"/>
          <w:sz w:val="24"/>
          <w:highlight w:val="none"/>
        </w:rPr>
        <w:fldChar w:fldCharType="begin"/>
      </w:r>
      <w:r>
        <w:rPr>
          <w:rFonts w:hint="eastAsia" w:eastAsiaTheme="minorEastAsia"/>
          <w:sz w:val="24"/>
          <w:highlight w:val="none"/>
        </w:rPr>
        <w:instrText xml:space="preserve"> HYPERLINK "http://219.232.204.193:8080/frontend/plan/project_detail.html?projectUuid=66b4b704-ce70-42c9-b879-4fcb4ef3e8ec" </w:instrText>
      </w:r>
      <w:r>
        <w:rPr>
          <w:rFonts w:hint="eastAsia" w:eastAsiaTheme="minorEastAsia"/>
          <w:sz w:val="24"/>
          <w:highlight w:val="none"/>
        </w:rPr>
        <w:fldChar w:fldCharType="separate"/>
      </w:r>
      <w:r>
        <w:rPr>
          <w:rFonts w:hint="eastAsia" w:eastAsiaTheme="minorEastAsia"/>
          <w:sz w:val="24"/>
          <w:highlight w:val="none"/>
        </w:rPr>
        <w:t>11000026210200171882-XM001</w:t>
      </w:r>
      <w:r>
        <w:rPr>
          <w:rFonts w:hint="eastAsia" w:eastAsiaTheme="minorEastAsia"/>
          <w:sz w:val="24"/>
          <w:highlight w:val="none"/>
        </w:rPr>
        <w:fldChar w:fldCharType="end"/>
      </w:r>
    </w:p>
    <w:p w14:paraId="59B661FD">
      <w:pPr>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项目代理编号：TJZB-2026-195</w:t>
      </w:r>
    </w:p>
    <w:p w14:paraId="1AF0109D">
      <w:pPr>
        <w:spacing w:line="360" w:lineRule="auto"/>
        <w:ind w:firstLine="480" w:firstLineChars="200"/>
        <w:rPr>
          <w:rFonts w:eastAsiaTheme="minorEastAsia"/>
          <w:sz w:val="24"/>
        </w:rPr>
      </w:pPr>
      <w:r>
        <w:rPr>
          <w:rFonts w:eastAsiaTheme="minorEastAsia"/>
          <w:sz w:val="24"/>
        </w:rPr>
        <w:t>2.项目名称：</w:t>
      </w:r>
      <w:r>
        <w:rPr>
          <w:rFonts w:hint="default" w:eastAsiaTheme="minorEastAsia"/>
          <w:sz w:val="24"/>
        </w:rPr>
        <w:t>手球馆暖气系统设备维修改造</w:t>
      </w:r>
    </w:p>
    <w:p w14:paraId="6705A7AC">
      <w:pPr>
        <w:spacing w:line="360" w:lineRule="auto"/>
        <w:ind w:firstLine="480" w:firstLineChars="200"/>
        <w:rPr>
          <w:rFonts w:eastAsiaTheme="minorEastAsia"/>
          <w:sz w:val="24"/>
        </w:rPr>
      </w:pPr>
      <w:r>
        <w:rPr>
          <w:rFonts w:eastAsiaTheme="minorEastAsia"/>
          <w:sz w:val="24"/>
        </w:rPr>
        <w:t>3.采购方式：竞争性磋商</w:t>
      </w:r>
    </w:p>
    <w:bookmarkEnd w:id="7"/>
    <w:p w14:paraId="39FB35A8">
      <w:pPr>
        <w:spacing w:line="360" w:lineRule="auto"/>
        <w:ind w:firstLine="480" w:firstLineChars="200"/>
        <w:rPr>
          <w:rFonts w:hint="default" w:eastAsiaTheme="minorEastAsia"/>
          <w:sz w:val="24"/>
          <w:highlight w:val="yellow"/>
          <w:lang w:val="en-US" w:eastAsia="zh-CN"/>
        </w:rPr>
      </w:pPr>
      <w:r>
        <w:rPr>
          <w:rFonts w:eastAsiaTheme="minorEastAsia"/>
          <w:sz w:val="24"/>
        </w:rPr>
        <w:t>4.项目预算金额：</w:t>
      </w:r>
      <w:r>
        <w:rPr>
          <w:rFonts w:hint="eastAsia" w:ascii="Times New Roman" w:hAnsi="Times New Roman" w:cs="Times New Roman" w:eastAsiaTheme="minorEastAsia"/>
          <w:sz w:val="24"/>
          <w:highlight w:val="none"/>
        </w:rPr>
        <w:t>207</w:t>
      </w:r>
      <w:r>
        <w:rPr>
          <w:rFonts w:hint="eastAsia" w:ascii="Times New Roman" w:hAnsi="Times New Roman" w:cs="Times New Roman" w:eastAsiaTheme="minorEastAsia"/>
          <w:sz w:val="24"/>
          <w:highlight w:val="none"/>
          <w:lang w:val="en-US" w:eastAsia="zh-CN"/>
        </w:rPr>
        <w:t>.</w:t>
      </w:r>
      <w:r>
        <w:rPr>
          <w:rFonts w:hint="eastAsia" w:ascii="Times New Roman" w:hAnsi="Times New Roman" w:cs="Times New Roman" w:eastAsiaTheme="minorEastAsia"/>
          <w:sz w:val="24"/>
          <w:highlight w:val="none"/>
        </w:rPr>
        <w:t>568451</w:t>
      </w:r>
      <w:r>
        <w:rPr>
          <w:rFonts w:eastAsiaTheme="minorEastAsia"/>
          <w:sz w:val="24"/>
        </w:rPr>
        <w:t>万元</w:t>
      </w:r>
      <w:r>
        <w:rPr>
          <w:rFonts w:hint="eastAsia" w:eastAsiaTheme="minorEastAsia"/>
          <w:sz w:val="24"/>
          <w:lang w:eastAsia="zh-CN"/>
        </w:rPr>
        <w:t>，</w:t>
      </w:r>
      <w:r>
        <w:rPr>
          <w:rFonts w:hint="eastAsia" w:eastAsiaTheme="minorEastAsia"/>
          <w:sz w:val="24"/>
          <w:lang w:val="en-US" w:eastAsia="zh-CN"/>
        </w:rPr>
        <w:t>最高限价：</w:t>
      </w:r>
      <w:r>
        <w:rPr>
          <w:rFonts w:hint="eastAsia" w:eastAsiaTheme="minorEastAsia"/>
          <w:sz w:val="24"/>
          <w:lang w:eastAsia="zh-CN"/>
        </w:rPr>
        <w:t>200</w:t>
      </w:r>
      <w:r>
        <w:rPr>
          <w:rFonts w:hint="eastAsia" w:eastAsiaTheme="minorEastAsia"/>
          <w:sz w:val="24"/>
          <w:lang w:val="en-US" w:eastAsia="zh-CN"/>
        </w:rPr>
        <w:t>.</w:t>
      </w:r>
      <w:r>
        <w:rPr>
          <w:rFonts w:hint="eastAsia" w:eastAsiaTheme="minorEastAsia"/>
          <w:sz w:val="24"/>
          <w:lang w:eastAsia="zh-CN"/>
        </w:rPr>
        <w:t>311987</w:t>
      </w:r>
      <w:r>
        <w:rPr>
          <w:rFonts w:hint="eastAsia" w:eastAsiaTheme="minorEastAsia"/>
          <w:sz w:val="24"/>
          <w:lang w:val="en-US" w:eastAsia="zh-CN"/>
        </w:rPr>
        <w:t>万元</w:t>
      </w:r>
    </w:p>
    <w:p w14:paraId="0B29BB31">
      <w:pPr>
        <w:spacing w:line="360" w:lineRule="auto"/>
        <w:ind w:firstLine="480" w:firstLineChars="200"/>
        <w:rPr>
          <w:rFonts w:eastAsiaTheme="minorEastAsia"/>
          <w:sz w:val="24"/>
        </w:rPr>
      </w:pPr>
      <w:r>
        <w:rPr>
          <w:rFonts w:eastAsiaTheme="minorEastAsia"/>
          <w:sz w:val="24"/>
        </w:rPr>
        <w:t>5.采购需求：</w:t>
      </w:r>
      <w:r>
        <w:rPr>
          <w:sz w:val="24"/>
        </w:rPr>
        <w:t>详见</w:t>
      </w:r>
      <w:r>
        <w:rPr>
          <w:rFonts w:hint="eastAsia"/>
          <w:sz w:val="24"/>
          <w:lang w:val="en-US" w:eastAsia="zh-CN"/>
        </w:rPr>
        <w:t>竞争性</w:t>
      </w:r>
      <w:r>
        <w:rPr>
          <w:sz w:val="24"/>
        </w:rPr>
        <w:t>磋商文件</w:t>
      </w:r>
    </w:p>
    <w:p w14:paraId="4EC64521">
      <w:pPr>
        <w:spacing w:line="360" w:lineRule="auto"/>
        <w:ind w:firstLine="480" w:firstLineChars="200"/>
        <w:rPr>
          <w:rFonts w:eastAsiaTheme="minorEastAsia"/>
          <w:sz w:val="24"/>
          <w:highlight w:val="none"/>
        </w:rPr>
      </w:pPr>
      <w:r>
        <w:rPr>
          <w:rFonts w:hint="eastAsia" w:eastAsiaTheme="minorEastAsia"/>
          <w:sz w:val="24"/>
          <w:highlight w:val="none"/>
          <w:lang w:val="en-US" w:eastAsia="zh-CN"/>
        </w:rPr>
        <w:t>6.</w:t>
      </w:r>
      <w:r>
        <w:rPr>
          <w:rFonts w:eastAsiaTheme="minorEastAsia"/>
          <w:sz w:val="24"/>
          <w:highlight w:val="none"/>
        </w:rPr>
        <w:t>合同履行期限：</w:t>
      </w:r>
    </w:p>
    <w:p w14:paraId="314C9B1A">
      <w:pPr>
        <w:spacing w:line="360" w:lineRule="auto"/>
        <w:ind w:firstLine="480" w:firstLineChars="200"/>
        <w:rPr>
          <w:rFonts w:eastAsiaTheme="minorEastAsia"/>
          <w:sz w:val="24"/>
          <w:highlight w:val="none"/>
        </w:rPr>
      </w:pPr>
      <w:r>
        <w:rPr>
          <w:rFonts w:hint="eastAsia" w:eastAsiaTheme="minorEastAsia"/>
          <w:sz w:val="24"/>
          <w:highlight w:val="none"/>
          <w:lang w:eastAsia="zh-CN"/>
        </w:rPr>
        <w:t>工期：</w:t>
      </w:r>
      <w:r>
        <w:rPr>
          <w:rFonts w:hint="eastAsia" w:eastAsiaTheme="minorEastAsia"/>
          <w:sz w:val="24"/>
          <w:highlight w:val="none"/>
          <w:lang w:val="en-US" w:eastAsia="zh-CN"/>
        </w:rPr>
        <w:t>32</w:t>
      </w:r>
      <w:r>
        <w:rPr>
          <w:rFonts w:hint="eastAsia" w:eastAsiaTheme="minorEastAsia"/>
          <w:sz w:val="24"/>
          <w:highlight w:val="none"/>
          <w:lang w:eastAsia="zh-CN"/>
        </w:rPr>
        <w:t>日历天，计划开工日期：202</w:t>
      </w:r>
      <w:r>
        <w:rPr>
          <w:rFonts w:hint="eastAsia" w:eastAsiaTheme="minorEastAsia"/>
          <w:sz w:val="24"/>
          <w:highlight w:val="none"/>
          <w:lang w:val="en-US" w:eastAsia="zh-CN"/>
        </w:rPr>
        <w:t>6</w:t>
      </w:r>
      <w:r>
        <w:rPr>
          <w:rFonts w:hint="eastAsia" w:eastAsiaTheme="minorEastAsia"/>
          <w:sz w:val="24"/>
          <w:highlight w:val="none"/>
          <w:lang w:eastAsia="zh-CN"/>
        </w:rPr>
        <w:t>年</w:t>
      </w:r>
      <w:r>
        <w:rPr>
          <w:rFonts w:hint="eastAsia" w:eastAsiaTheme="minorEastAsia"/>
          <w:sz w:val="24"/>
          <w:highlight w:val="none"/>
          <w:lang w:val="en-US" w:eastAsia="zh-CN"/>
        </w:rPr>
        <w:t xml:space="preserve">07 </w:t>
      </w:r>
      <w:r>
        <w:rPr>
          <w:rFonts w:hint="eastAsia" w:eastAsiaTheme="minorEastAsia"/>
          <w:sz w:val="24"/>
          <w:highlight w:val="none"/>
          <w:lang w:eastAsia="zh-CN"/>
        </w:rPr>
        <w:t xml:space="preserve">月 </w:t>
      </w:r>
      <w:r>
        <w:rPr>
          <w:rFonts w:hint="eastAsia" w:eastAsiaTheme="minorEastAsia"/>
          <w:sz w:val="24"/>
          <w:highlight w:val="none"/>
          <w:lang w:val="en-US" w:eastAsia="zh-CN"/>
        </w:rPr>
        <w:t xml:space="preserve">30 </w:t>
      </w:r>
      <w:r>
        <w:rPr>
          <w:rFonts w:hint="eastAsia" w:eastAsiaTheme="minorEastAsia"/>
          <w:sz w:val="24"/>
          <w:highlight w:val="none"/>
          <w:lang w:eastAsia="zh-CN"/>
        </w:rPr>
        <w:t>日，计划竣工日期：202</w:t>
      </w:r>
      <w:r>
        <w:rPr>
          <w:rFonts w:hint="eastAsia" w:eastAsiaTheme="minorEastAsia"/>
          <w:sz w:val="24"/>
          <w:highlight w:val="none"/>
          <w:lang w:val="en-US" w:eastAsia="zh-CN"/>
        </w:rPr>
        <w:t>6</w:t>
      </w:r>
      <w:r>
        <w:rPr>
          <w:rFonts w:hint="eastAsia" w:eastAsiaTheme="minorEastAsia"/>
          <w:sz w:val="24"/>
          <w:highlight w:val="none"/>
          <w:lang w:eastAsia="zh-CN"/>
        </w:rPr>
        <w:t>年</w:t>
      </w:r>
      <w:r>
        <w:rPr>
          <w:rFonts w:hint="eastAsia" w:eastAsiaTheme="minorEastAsia"/>
          <w:sz w:val="24"/>
          <w:highlight w:val="none"/>
          <w:lang w:val="en-US" w:eastAsia="zh-CN"/>
        </w:rPr>
        <w:t>08</w:t>
      </w:r>
      <w:r>
        <w:rPr>
          <w:rFonts w:hint="eastAsia" w:eastAsiaTheme="minorEastAsia"/>
          <w:sz w:val="24"/>
          <w:highlight w:val="none"/>
          <w:lang w:eastAsia="zh-CN"/>
        </w:rPr>
        <w:t>月</w:t>
      </w:r>
      <w:r>
        <w:rPr>
          <w:rFonts w:hint="eastAsia" w:eastAsiaTheme="minorEastAsia"/>
          <w:sz w:val="24"/>
          <w:highlight w:val="none"/>
          <w:lang w:val="en-US" w:eastAsia="zh-CN"/>
        </w:rPr>
        <w:t>30</w:t>
      </w:r>
      <w:r>
        <w:rPr>
          <w:rFonts w:hint="eastAsia" w:eastAsiaTheme="minorEastAsia"/>
          <w:sz w:val="24"/>
          <w:highlight w:val="none"/>
          <w:lang w:eastAsia="zh-CN"/>
        </w:rPr>
        <w:t>日</w:t>
      </w:r>
      <w:r>
        <w:rPr>
          <w:rFonts w:hint="eastAsia" w:eastAsiaTheme="minorEastAsia"/>
          <w:sz w:val="24"/>
          <w:highlight w:val="none"/>
        </w:rPr>
        <w:t>。</w:t>
      </w:r>
    </w:p>
    <w:p w14:paraId="6613DF44">
      <w:pPr>
        <w:spacing w:line="360" w:lineRule="auto"/>
        <w:ind w:firstLine="480" w:firstLineChars="200"/>
        <w:rPr>
          <w:rFonts w:eastAsiaTheme="minorEastAsia"/>
          <w:sz w:val="24"/>
        </w:rPr>
      </w:pPr>
      <w:r>
        <w:rPr>
          <w:rFonts w:hint="eastAsia" w:eastAsiaTheme="minorEastAsia"/>
          <w:sz w:val="24"/>
          <w:lang w:val="en-US" w:eastAsia="zh-CN"/>
        </w:rPr>
        <w:t>7.</w:t>
      </w:r>
      <w:r>
        <w:rPr>
          <w:rFonts w:eastAsiaTheme="minorEastAsia"/>
          <w:sz w:val="24"/>
        </w:rPr>
        <w:t>本项目是否接受联合体：</w:t>
      </w:r>
      <w:r>
        <w:rPr>
          <w:rFonts w:hint="eastAsia" w:eastAsiaTheme="minorEastAsia"/>
          <w:bCs/>
        </w:rPr>
        <w:t>□</w:t>
      </w:r>
      <w:r>
        <w:rPr>
          <w:rFonts w:eastAsiaTheme="minorEastAsia"/>
          <w:sz w:val="24"/>
        </w:rPr>
        <w:t xml:space="preserve">是  </w:t>
      </w:r>
      <w:r>
        <w:rPr>
          <w:rFonts w:hint="eastAsia" w:eastAsiaTheme="minorEastAsia"/>
          <w:bCs/>
        </w:rPr>
        <w:t>▇</w:t>
      </w:r>
      <w:r>
        <w:rPr>
          <w:rFonts w:eastAsiaTheme="minorEastAsia"/>
          <w:sz w:val="24"/>
        </w:rPr>
        <w:t>否。</w:t>
      </w:r>
    </w:p>
    <w:p w14:paraId="031EDCA4">
      <w:pPr>
        <w:pStyle w:val="5"/>
        <w:spacing w:before="0" w:line="360" w:lineRule="auto"/>
        <w:jc w:val="left"/>
        <w:rPr>
          <w:rFonts w:ascii="Times New Roman" w:hAnsi="Times New Roman" w:eastAsiaTheme="minorEastAsia"/>
          <w:sz w:val="24"/>
          <w:szCs w:val="24"/>
        </w:rPr>
      </w:pPr>
      <w:bookmarkStart w:id="8" w:name="_Toc28359080"/>
      <w:bookmarkStart w:id="9" w:name="_Toc28359003"/>
      <w:bookmarkStart w:id="10" w:name="_Toc35393791"/>
      <w:bookmarkStart w:id="11" w:name="_Toc35393622"/>
      <w:r>
        <w:rPr>
          <w:rFonts w:ascii="Times New Roman" w:hAnsi="Times New Roman" w:eastAsiaTheme="minorEastAsia"/>
          <w:sz w:val="24"/>
          <w:szCs w:val="24"/>
        </w:rPr>
        <w:t>二、申请人的资格要求（须同时满足）</w:t>
      </w:r>
      <w:bookmarkEnd w:id="8"/>
      <w:bookmarkEnd w:id="9"/>
      <w:bookmarkEnd w:id="10"/>
      <w:bookmarkEnd w:id="11"/>
    </w:p>
    <w:p w14:paraId="114478D3">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635C8350">
      <w:pPr>
        <w:spacing w:line="360" w:lineRule="auto"/>
        <w:ind w:firstLine="480" w:firstLineChars="200"/>
        <w:rPr>
          <w:rFonts w:eastAsiaTheme="minorEastAsia"/>
          <w:sz w:val="24"/>
        </w:rPr>
      </w:pPr>
      <w:bookmarkStart w:id="12" w:name="_Toc28359004"/>
      <w:bookmarkStart w:id="13" w:name="_Toc28359081"/>
      <w:r>
        <w:rPr>
          <w:rFonts w:eastAsiaTheme="minorEastAsia"/>
          <w:sz w:val="24"/>
        </w:rPr>
        <w:t>2.落实政府采购政策需满足的资格要求：</w:t>
      </w:r>
    </w:p>
    <w:p w14:paraId="4F18C547">
      <w:pPr>
        <w:spacing w:line="360" w:lineRule="auto"/>
        <w:ind w:firstLine="480" w:firstLineChars="200"/>
        <w:rPr>
          <w:rFonts w:eastAsiaTheme="minorEastAsia"/>
          <w:sz w:val="24"/>
          <w:highlight w:val="none"/>
        </w:rPr>
      </w:pPr>
      <w:r>
        <w:rPr>
          <w:rFonts w:eastAsiaTheme="minorEastAsia"/>
          <w:sz w:val="24"/>
          <w:highlight w:val="none"/>
        </w:rPr>
        <w:t>2.1 中小企业政策</w:t>
      </w:r>
    </w:p>
    <w:p w14:paraId="4663DA14">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本项目不专门面向中小企业预留采购份额。</w:t>
      </w:r>
    </w:p>
    <w:p w14:paraId="32F761B1">
      <w:pPr>
        <w:spacing w:line="360" w:lineRule="auto"/>
        <w:ind w:firstLine="480" w:firstLineChars="200"/>
        <w:rPr>
          <w:rFonts w:eastAsiaTheme="minorEastAsia"/>
          <w:sz w:val="24"/>
          <w:highlight w:val="none"/>
        </w:rPr>
      </w:pPr>
      <w:r>
        <w:rPr>
          <w:rFonts w:hint="eastAsia" w:eastAsiaTheme="minorEastAsia"/>
          <w:sz w:val="24"/>
          <w:highlight w:val="none"/>
        </w:rPr>
        <w:t>□</w:t>
      </w:r>
      <w:r>
        <w:rPr>
          <w:rFonts w:eastAsiaTheme="minorEastAsia"/>
          <w:sz w:val="24"/>
          <w:highlight w:val="none"/>
        </w:rPr>
        <w:t>本项目专门面向</w:t>
      </w:r>
      <w:r>
        <w:rPr>
          <w:rFonts w:hint="eastAsia" w:eastAsiaTheme="minorEastAsia"/>
          <w:sz w:val="24"/>
          <w:highlight w:val="none"/>
          <w:lang w:val="en-US" w:eastAsia="zh-CN"/>
        </w:rPr>
        <w:t xml:space="preserve"> </w:t>
      </w:r>
      <w:r>
        <w:rPr>
          <w:rFonts w:hint="eastAsia" w:eastAsiaTheme="minorEastAsia"/>
          <w:sz w:val="24"/>
          <w:highlight w:val="none"/>
        </w:rPr>
        <w:t>□</w:t>
      </w:r>
      <w:r>
        <w:rPr>
          <w:rFonts w:eastAsiaTheme="minorEastAsia"/>
          <w:sz w:val="24"/>
          <w:highlight w:val="none"/>
        </w:rPr>
        <w:t>中小</w:t>
      </w:r>
      <w:r>
        <w:rPr>
          <w:rFonts w:hint="eastAsia" w:eastAsiaTheme="minorEastAsia"/>
          <w:sz w:val="24"/>
          <w:highlight w:val="none"/>
          <w:lang w:val="en-US" w:eastAsia="zh-CN"/>
        </w:rPr>
        <w:t xml:space="preserve"> </w:t>
      </w:r>
      <w:r>
        <w:rPr>
          <w:rFonts w:hint="eastAsia" w:eastAsiaTheme="minorEastAsia"/>
          <w:sz w:val="24"/>
          <w:highlight w:val="none"/>
        </w:rPr>
        <w:t>□</w:t>
      </w:r>
      <w:r>
        <w:rPr>
          <w:rFonts w:eastAsiaTheme="minorEastAsia"/>
          <w:sz w:val="24"/>
          <w:highlight w:val="none"/>
        </w:rPr>
        <w:t xml:space="preserve">小微企业 </w:t>
      </w:r>
      <w:r>
        <w:rPr>
          <w:rFonts w:hint="eastAsia" w:eastAsiaTheme="minorEastAsia"/>
          <w:sz w:val="24"/>
          <w:highlight w:val="none"/>
          <w:lang w:val="en-US" w:eastAsia="zh-CN"/>
        </w:rPr>
        <w:t xml:space="preserve"> </w:t>
      </w:r>
      <w:r>
        <w:rPr>
          <w:rFonts w:eastAsiaTheme="minorEastAsia"/>
          <w:sz w:val="24"/>
          <w:highlight w:val="none"/>
        </w:rPr>
        <w:t>采购。即：提供的货物全部由符合政策要求的</w:t>
      </w:r>
      <w:r>
        <w:rPr>
          <w:rFonts w:hint="eastAsia" w:eastAsiaTheme="minorEastAsia"/>
          <w:sz w:val="24"/>
          <w:highlight w:val="none"/>
          <w:lang w:val="en-US" w:eastAsia="zh-CN"/>
        </w:rPr>
        <w:t>中小</w:t>
      </w:r>
      <w:r>
        <w:rPr>
          <w:rFonts w:eastAsiaTheme="minorEastAsia"/>
          <w:sz w:val="24"/>
          <w:highlight w:val="none"/>
        </w:rPr>
        <w:t>企业制造、服务全部由符合政策要求的</w:t>
      </w:r>
      <w:r>
        <w:rPr>
          <w:rFonts w:hint="eastAsia" w:eastAsiaTheme="minorEastAsia"/>
          <w:sz w:val="24"/>
          <w:highlight w:val="none"/>
          <w:lang w:val="en-US" w:eastAsia="zh-CN"/>
        </w:rPr>
        <w:t>中小</w:t>
      </w:r>
      <w:r>
        <w:rPr>
          <w:rFonts w:eastAsiaTheme="minorEastAsia"/>
          <w:sz w:val="24"/>
          <w:highlight w:val="none"/>
        </w:rPr>
        <w:t>企业承接。</w:t>
      </w:r>
    </w:p>
    <w:p w14:paraId="4E8EEDD3">
      <w:pPr>
        <w:spacing w:line="360" w:lineRule="auto"/>
        <w:ind w:firstLine="420" w:firstLineChars="200"/>
        <w:rPr>
          <w:rFonts w:eastAsiaTheme="minorEastAsia"/>
          <w:sz w:val="24"/>
          <w:highlight w:val="none"/>
        </w:rPr>
      </w:pPr>
      <w:r>
        <w:rPr>
          <w:rFonts w:hint="eastAsia" w:eastAsiaTheme="minorEastAsia"/>
          <w:bCs/>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highlight w:val="none"/>
          <w:u w:val="single"/>
        </w:rPr>
        <w:t>/</w:t>
      </w:r>
      <w:r>
        <w:rPr>
          <w:rFonts w:eastAsiaTheme="minorEastAsia"/>
          <w:sz w:val="24"/>
          <w:highlight w:val="none"/>
        </w:rPr>
        <w:t>。</w:t>
      </w:r>
    </w:p>
    <w:p w14:paraId="2F771AB2">
      <w:pPr>
        <w:spacing w:line="360" w:lineRule="auto"/>
        <w:ind w:firstLine="480" w:firstLineChars="200"/>
        <w:rPr>
          <w:rFonts w:eastAsiaTheme="minorEastAsia"/>
          <w:sz w:val="24"/>
        </w:rPr>
      </w:pPr>
      <w:r>
        <w:rPr>
          <w:rFonts w:eastAsiaTheme="minorEastAsia"/>
          <w:sz w:val="24"/>
        </w:rPr>
        <w:t>2.2 其它落实政府采购政策的资格要求（如有）：____</w:t>
      </w:r>
      <w:r>
        <w:rPr>
          <w:rFonts w:hint="eastAsia" w:eastAsiaTheme="minorEastAsia"/>
          <w:sz w:val="24"/>
          <w:u w:val="single"/>
        </w:rPr>
        <w:t>/</w:t>
      </w:r>
      <w:r>
        <w:rPr>
          <w:rFonts w:eastAsiaTheme="minorEastAsia"/>
          <w:sz w:val="24"/>
        </w:rPr>
        <w:t>______。</w:t>
      </w:r>
    </w:p>
    <w:p w14:paraId="61E565B1">
      <w:pPr>
        <w:spacing w:line="360" w:lineRule="auto"/>
        <w:ind w:firstLine="480" w:firstLineChars="200"/>
        <w:rPr>
          <w:rFonts w:eastAsiaTheme="minorEastAsia"/>
          <w:sz w:val="24"/>
        </w:rPr>
      </w:pPr>
      <w:r>
        <w:rPr>
          <w:rFonts w:eastAsiaTheme="minorEastAsia"/>
          <w:sz w:val="24"/>
        </w:rPr>
        <w:t>3.本项目的特定资格要求：</w:t>
      </w:r>
    </w:p>
    <w:p w14:paraId="541BE1B5">
      <w:pPr>
        <w:tabs>
          <w:tab w:val="left" w:pos="900"/>
          <w:tab w:val="left" w:pos="1134"/>
          <w:tab w:val="left" w:pos="1589"/>
          <w:tab w:val="left" w:pos="5521"/>
        </w:tabs>
        <w:snapToGrid w:val="0"/>
        <w:spacing w:line="360" w:lineRule="auto"/>
        <w:ind w:firstLine="480" w:firstLineChars="200"/>
        <w:rPr>
          <w:rFonts w:eastAsiaTheme="minorEastAsia"/>
          <w:sz w:val="24"/>
        </w:rPr>
      </w:pPr>
      <w:bookmarkStart w:id="14" w:name="OLE_LINK16"/>
      <w:r>
        <w:rPr>
          <w:rFonts w:eastAsiaTheme="minorEastAsia"/>
          <w:sz w:val="24"/>
        </w:rPr>
        <w:t>3.1本项目是否属于政府购买服务：</w:t>
      </w:r>
    </w:p>
    <w:p w14:paraId="6BB23ACF">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sz w:val="24"/>
        </w:rPr>
        <w:t>■</w:t>
      </w:r>
      <w:r>
        <w:rPr>
          <w:rFonts w:eastAsiaTheme="minorEastAsia"/>
          <w:sz w:val="24"/>
        </w:rPr>
        <w:t>否</w:t>
      </w:r>
    </w:p>
    <w:p w14:paraId="38D5A4CB">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eastAsiaTheme="minorEastAsia"/>
          <w:sz w:val="24"/>
        </w:rPr>
        <w:t>□</w:t>
      </w:r>
      <w:r>
        <w:rPr>
          <w:rFonts w:eastAsiaTheme="minorEastAsia"/>
          <w:sz w:val="24"/>
        </w:rPr>
        <w:t>是，公益一类事业单位、使用事业编制且由财政拨款保障的群团组织，不得作为承接主体；</w:t>
      </w:r>
    </w:p>
    <w:p w14:paraId="66793B46">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w:t>
      </w:r>
      <w:r>
        <w:rPr>
          <w:rFonts w:hint="eastAsia" w:eastAsiaTheme="minorEastAsia"/>
          <w:sz w:val="24"/>
        </w:rPr>
        <w:t>2</w:t>
      </w:r>
      <w:r>
        <w:rPr>
          <w:rFonts w:eastAsiaTheme="minorEastAsia"/>
          <w:sz w:val="24"/>
        </w:rPr>
        <w:t>本项目是否接受分支机构参与响应：</w:t>
      </w:r>
      <w:r>
        <w:rPr>
          <w:rFonts w:hint="eastAsia" w:eastAsiaTheme="minorEastAsia"/>
          <w:sz w:val="24"/>
        </w:rPr>
        <w:t>□</w:t>
      </w:r>
      <w:r>
        <w:rPr>
          <w:rFonts w:eastAsiaTheme="minorEastAsia"/>
          <w:sz w:val="24"/>
        </w:rPr>
        <w:t xml:space="preserve">是   </w:t>
      </w:r>
      <w:r>
        <w:rPr>
          <w:rFonts w:hint="eastAsia" w:eastAsiaTheme="minorEastAsia"/>
          <w:sz w:val="24"/>
        </w:rPr>
        <w:t>■</w:t>
      </w:r>
      <w:r>
        <w:rPr>
          <w:rFonts w:eastAsiaTheme="minorEastAsia"/>
          <w:sz w:val="24"/>
        </w:rPr>
        <w:t>否；</w:t>
      </w:r>
    </w:p>
    <w:p w14:paraId="69D4C3C9">
      <w:pPr>
        <w:spacing w:line="360" w:lineRule="auto"/>
        <w:ind w:firstLine="480" w:firstLineChars="200"/>
        <w:rPr>
          <w:rFonts w:eastAsiaTheme="minorEastAsia"/>
          <w:sz w:val="24"/>
          <w:highlight w:val="none"/>
        </w:rPr>
      </w:pPr>
      <w:r>
        <w:rPr>
          <w:rFonts w:eastAsiaTheme="minorEastAsia"/>
          <w:sz w:val="24"/>
          <w:highlight w:val="none"/>
        </w:rPr>
        <w:t>3.</w:t>
      </w:r>
      <w:r>
        <w:rPr>
          <w:rFonts w:hint="eastAsia" w:eastAsiaTheme="minorEastAsia"/>
          <w:sz w:val="24"/>
          <w:highlight w:val="none"/>
        </w:rPr>
        <w:t>3</w:t>
      </w:r>
      <w:r>
        <w:rPr>
          <w:rFonts w:eastAsiaTheme="minorEastAsia"/>
          <w:sz w:val="24"/>
          <w:highlight w:val="none"/>
        </w:rPr>
        <w:t>其他特定资格要求：</w:t>
      </w:r>
    </w:p>
    <w:p w14:paraId="6F5BC25C">
      <w:pPr>
        <w:spacing w:line="360" w:lineRule="auto"/>
        <w:ind w:firstLine="480" w:firstLineChars="200"/>
        <w:rPr>
          <w:sz w:val="24"/>
          <w:highlight w:val="none"/>
          <w:u w:val="none"/>
        </w:rPr>
      </w:pPr>
      <w:r>
        <w:rPr>
          <w:sz w:val="24"/>
          <w:highlight w:val="none"/>
          <w:u w:val="none"/>
        </w:rPr>
        <w:t>1）</w:t>
      </w:r>
      <w:r>
        <w:rPr>
          <w:rFonts w:hint="eastAsia"/>
          <w:sz w:val="24"/>
          <w:highlight w:val="none"/>
          <w:u w:val="none"/>
          <w:lang w:val="en-US" w:eastAsia="zh-CN"/>
        </w:rPr>
        <w:t>供应商具备</w:t>
      </w:r>
      <w:r>
        <w:rPr>
          <w:sz w:val="24"/>
          <w:highlight w:val="none"/>
          <w:u w:val="none"/>
        </w:rPr>
        <w:t>建筑装修装饰工程专业承包资质二级（含）以上资质；</w:t>
      </w:r>
    </w:p>
    <w:p w14:paraId="3BE862B4">
      <w:pPr>
        <w:spacing w:line="360" w:lineRule="auto"/>
        <w:ind w:firstLine="480" w:firstLineChars="200"/>
        <w:rPr>
          <w:sz w:val="24"/>
          <w:u w:val="none"/>
        </w:rPr>
      </w:pPr>
      <w:r>
        <w:rPr>
          <w:sz w:val="24"/>
          <w:u w:val="none"/>
        </w:rPr>
        <w:t>2）项目经理：取得建筑工程二级（含）以上建造师注册证书及“安全生产考核合格证书”；</w:t>
      </w:r>
    </w:p>
    <w:p w14:paraId="0A7E43A0">
      <w:pPr>
        <w:spacing w:line="360" w:lineRule="auto"/>
        <w:ind w:firstLine="480" w:firstLineChars="200"/>
        <w:rPr>
          <w:sz w:val="24"/>
          <w:u w:val="none"/>
        </w:rPr>
      </w:pPr>
      <w:r>
        <w:rPr>
          <w:sz w:val="24"/>
          <w:u w:val="none"/>
        </w:rPr>
        <w:t>3）</w:t>
      </w:r>
      <w:r>
        <w:rPr>
          <w:rFonts w:hint="eastAsia"/>
          <w:sz w:val="24"/>
          <w:u w:val="none"/>
          <w:lang w:val="en-US" w:eastAsia="zh-CN"/>
        </w:rPr>
        <w:t>供应商具有</w:t>
      </w:r>
      <w:r>
        <w:rPr>
          <w:sz w:val="24"/>
          <w:u w:val="none"/>
        </w:rPr>
        <w:t>安全生产许可证（在有效期内）</w:t>
      </w:r>
      <w:r>
        <w:rPr>
          <w:rFonts w:hint="eastAsia"/>
          <w:sz w:val="24"/>
          <w:u w:val="none"/>
        </w:rPr>
        <w:t>；</w:t>
      </w:r>
    </w:p>
    <w:p w14:paraId="5EC2DFF8">
      <w:pPr>
        <w:spacing w:line="360" w:lineRule="auto"/>
        <w:ind w:firstLine="480" w:firstLineChars="200"/>
        <w:rPr>
          <w:i/>
          <w:iCs/>
          <w:sz w:val="24"/>
          <w:u w:val="none"/>
        </w:rPr>
      </w:pPr>
      <w:r>
        <w:rPr>
          <w:sz w:val="24"/>
          <w:u w:val="none"/>
        </w:rPr>
        <w:t>4）若供应商为外省市建筑企业，须</w:t>
      </w:r>
      <w:r>
        <w:rPr>
          <w:b w:val="0"/>
          <w:bCs w:val="0"/>
          <w:sz w:val="24"/>
          <w:u w:val="none"/>
        </w:rPr>
        <w:t>承诺</w:t>
      </w:r>
      <w:r>
        <w:rPr>
          <w:sz w:val="24"/>
          <w:u w:val="none"/>
        </w:rPr>
        <w:t>本项目成交后提供有效的外省市建筑企业来京施工备案证明文件（仅外省市来京施工的建筑企业需要）。</w:t>
      </w:r>
    </w:p>
    <w:p w14:paraId="3C87498F">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lang w:val="en-US" w:eastAsia="zh-CN"/>
        </w:rPr>
      </w:pPr>
    </w:p>
    <w:bookmarkEnd w:id="12"/>
    <w:bookmarkEnd w:id="13"/>
    <w:bookmarkEnd w:id="14"/>
    <w:p w14:paraId="69A81B9E">
      <w:pPr>
        <w:pStyle w:val="5"/>
        <w:widowControl/>
        <w:spacing w:before="0" w:line="360" w:lineRule="auto"/>
        <w:jc w:val="left"/>
        <w:rPr>
          <w:rFonts w:ascii="Times New Roman" w:hAnsi="Times New Roman" w:eastAsiaTheme="minorEastAsia"/>
          <w:sz w:val="24"/>
          <w:szCs w:val="24"/>
          <w:highlight w:val="none"/>
        </w:rPr>
      </w:pPr>
      <w:bookmarkStart w:id="15" w:name="_Toc35393792"/>
      <w:bookmarkStart w:id="16" w:name="_Toc35393623"/>
      <w:r>
        <w:rPr>
          <w:rFonts w:ascii="Times New Roman" w:hAnsi="Times New Roman" w:eastAsiaTheme="minorEastAsia"/>
          <w:sz w:val="24"/>
          <w:szCs w:val="24"/>
        </w:rPr>
        <w:t>三、获取采购文</w:t>
      </w:r>
      <w:r>
        <w:rPr>
          <w:rFonts w:ascii="Times New Roman" w:hAnsi="Times New Roman" w:eastAsiaTheme="minorEastAsia"/>
          <w:sz w:val="24"/>
          <w:szCs w:val="24"/>
          <w:highlight w:val="none"/>
        </w:rPr>
        <w:t>件</w:t>
      </w:r>
      <w:bookmarkEnd w:id="15"/>
      <w:bookmarkEnd w:id="16"/>
    </w:p>
    <w:p w14:paraId="7F62F1EB">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eastAsiaTheme="minorEastAsia"/>
          <w:sz w:val="24"/>
          <w:highlight w:val="none"/>
        </w:rPr>
        <w:t>202</w:t>
      </w:r>
      <w:r>
        <w:rPr>
          <w:rFonts w:hint="eastAsia" w:eastAsiaTheme="minorEastAsia"/>
          <w:sz w:val="24"/>
          <w:highlight w:val="none"/>
          <w:lang w:val="en-US" w:eastAsia="zh-CN"/>
        </w:rPr>
        <w:t>6</w:t>
      </w:r>
      <w:r>
        <w:rPr>
          <w:rFonts w:eastAsiaTheme="minorEastAsia"/>
          <w:sz w:val="24"/>
          <w:highlight w:val="none"/>
          <w:lang w:bidi="ar"/>
        </w:rPr>
        <w:t>年</w:t>
      </w:r>
      <w:r>
        <w:rPr>
          <w:rFonts w:hint="eastAsia" w:eastAsiaTheme="minorEastAsia"/>
          <w:sz w:val="24"/>
          <w:highlight w:val="none"/>
          <w:lang w:val="en-US" w:eastAsia="zh-CN" w:bidi="ar"/>
        </w:rPr>
        <w:t>07</w:t>
      </w:r>
      <w:r>
        <w:rPr>
          <w:rFonts w:eastAsiaTheme="minorEastAsia"/>
          <w:sz w:val="24"/>
          <w:highlight w:val="none"/>
          <w:lang w:bidi="ar"/>
        </w:rPr>
        <w:t>月</w:t>
      </w:r>
      <w:r>
        <w:rPr>
          <w:rFonts w:hint="eastAsia" w:eastAsiaTheme="minorEastAsia"/>
          <w:sz w:val="24"/>
          <w:highlight w:val="none"/>
          <w:lang w:val="en-US" w:eastAsia="zh-CN" w:bidi="ar"/>
        </w:rPr>
        <w:t>03</w:t>
      </w:r>
      <w:r>
        <w:rPr>
          <w:rFonts w:eastAsiaTheme="minorEastAsia"/>
          <w:sz w:val="24"/>
          <w:highlight w:val="none"/>
          <w:lang w:bidi="ar"/>
        </w:rPr>
        <w:t>日至</w:t>
      </w:r>
      <w:r>
        <w:rPr>
          <w:rFonts w:hint="eastAsia" w:eastAsiaTheme="minorEastAsia"/>
          <w:sz w:val="24"/>
          <w:highlight w:val="none"/>
        </w:rPr>
        <w:t>202</w:t>
      </w:r>
      <w:r>
        <w:rPr>
          <w:rFonts w:hint="eastAsia" w:eastAsiaTheme="minorEastAsia"/>
          <w:sz w:val="24"/>
          <w:highlight w:val="none"/>
          <w:lang w:val="en-US" w:eastAsia="zh-CN"/>
        </w:rPr>
        <w:t>6</w:t>
      </w:r>
      <w:r>
        <w:rPr>
          <w:rFonts w:eastAsiaTheme="minorEastAsia"/>
          <w:sz w:val="24"/>
          <w:highlight w:val="none"/>
          <w:lang w:bidi="ar"/>
        </w:rPr>
        <w:t>年</w:t>
      </w:r>
      <w:r>
        <w:rPr>
          <w:rFonts w:hint="eastAsia" w:eastAsiaTheme="minorEastAsia"/>
          <w:sz w:val="24"/>
          <w:highlight w:val="none"/>
          <w:lang w:val="en-US" w:eastAsia="zh-CN" w:bidi="ar"/>
        </w:rPr>
        <w:t>07</w:t>
      </w:r>
      <w:r>
        <w:rPr>
          <w:rFonts w:eastAsiaTheme="minorEastAsia"/>
          <w:sz w:val="24"/>
          <w:highlight w:val="none"/>
          <w:lang w:bidi="ar"/>
        </w:rPr>
        <w:t>月</w:t>
      </w:r>
      <w:r>
        <w:rPr>
          <w:rFonts w:hint="eastAsia" w:eastAsiaTheme="minorEastAsia"/>
          <w:sz w:val="24"/>
          <w:highlight w:val="none"/>
          <w:lang w:val="en-US" w:eastAsia="zh-CN" w:bidi="ar"/>
        </w:rPr>
        <w:t>09</w:t>
      </w:r>
      <w:r>
        <w:rPr>
          <w:rFonts w:eastAsiaTheme="minorEastAsia"/>
          <w:sz w:val="24"/>
          <w:highlight w:val="none"/>
          <w:lang w:bidi="ar"/>
        </w:rPr>
        <w:t>日，每天上午</w:t>
      </w:r>
      <w:r>
        <w:rPr>
          <w:rFonts w:hint="eastAsia" w:eastAsiaTheme="minorEastAsia"/>
          <w:sz w:val="24"/>
          <w:highlight w:val="none"/>
          <w:lang w:val="en-US" w:eastAsia="zh-CN"/>
        </w:rPr>
        <w:t>09</w:t>
      </w:r>
      <w:r>
        <w:rPr>
          <w:rFonts w:hint="eastAsia" w:eastAsiaTheme="minorEastAsia"/>
          <w:sz w:val="24"/>
          <w:highlight w:val="none"/>
        </w:rPr>
        <w:t>:</w:t>
      </w:r>
      <w:r>
        <w:rPr>
          <w:rFonts w:hint="eastAsia" w:eastAsiaTheme="minorEastAsia"/>
          <w:sz w:val="24"/>
          <w:highlight w:val="none"/>
          <w:lang w:val="en-US" w:eastAsia="zh-CN"/>
        </w:rPr>
        <w:t>00</w:t>
      </w:r>
      <w:r>
        <w:rPr>
          <w:rFonts w:eastAsiaTheme="minorEastAsia"/>
          <w:sz w:val="24"/>
          <w:highlight w:val="none"/>
          <w:lang w:bidi="ar"/>
        </w:rPr>
        <w:t>至</w:t>
      </w:r>
      <w:r>
        <w:rPr>
          <w:rFonts w:hint="eastAsia" w:eastAsiaTheme="minorEastAsia"/>
          <w:sz w:val="24"/>
          <w:highlight w:val="none"/>
        </w:rPr>
        <w:t>12:00</w:t>
      </w:r>
      <w:r>
        <w:rPr>
          <w:rFonts w:eastAsiaTheme="minorEastAsia"/>
          <w:sz w:val="24"/>
          <w:highlight w:val="none"/>
          <w:lang w:bidi="ar"/>
        </w:rPr>
        <w:t>，下午</w:t>
      </w:r>
      <w:r>
        <w:rPr>
          <w:rFonts w:hint="eastAsia" w:eastAsiaTheme="minorEastAsia"/>
          <w:sz w:val="24"/>
          <w:highlight w:val="none"/>
          <w:lang w:val="en-US" w:eastAsia="zh-CN"/>
        </w:rPr>
        <w:t>13</w:t>
      </w:r>
      <w:r>
        <w:rPr>
          <w:rFonts w:hint="eastAsia" w:eastAsiaTheme="minorEastAsia"/>
          <w:sz w:val="24"/>
          <w:highlight w:val="none"/>
        </w:rPr>
        <w:t>:00</w:t>
      </w:r>
      <w:r>
        <w:rPr>
          <w:rFonts w:eastAsiaTheme="minorEastAsia"/>
          <w:sz w:val="24"/>
          <w:highlight w:val="none"/>
          <w:lang w:bidi="ar"/>
        </w:rPr>
        <w:t>至</w:t>
      </w:r>
      <w:r>
        <w:rPr>
          <w:rFonts w:hint="eastAsia" w:eastAsiaTheme="minorEastAsia"/>
          <w:sz w:val="24"/>
          <w:highlight w:val="none"/>
          <w:lang w:val="en-US" w:eastAsia="zh-CN"/>
        </w:rPr>
        <w:t>17</w:t>
      </w:r>
      <w:r>
        <w:rPr>
          <w:rFonts w:hint="eastAsia" w:eastAsiaTheme="minorEastAsia"/>
          <w:sz w:val="24"/>
          <w:highlight w:val="none"/>
        </w:rPr>
        <w:t>:30</w:t>
      </w:r>
      <w:r>
        <w:rPr>
          <w:rFonts w:eastAsiaTheme="minorEastAsia"/>
          <w:sz w:val="24"/>
          <w:highlight w:val="none"/>
          <w:lang w:bidi="ar"/>
        </w:rPr>
        <w:t>（北京时间，法定节假日除外）。</w:t>
      </w:r>
    </w:p>
    <w:p w14:paraId="1C9B0B09">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79706676">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w:t>
      </w:r>
      <w:bookmarkStart w:id="17" w:name="OLE_LINK10"/>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bookmarkEnd w:id="17"/>
    <w:p w14:paraId="4739FA59">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70BE8772">
      <w:pPr>
        <w:tabs>
          <w:tab w:val="left" w:pos="900"/>
          <w:tab w:val="left" w:pos="1980"/>
        </w:tabs>
        <w:snapToGrid w:val="0"/>
        <w:spacing w:line="360" w:lineRule="auto"/>
        <w:ind w:left="840"/>
        <w:rPr>
          <w:rFonts w:eastAsiaTheme="minorEastAsia"/>
          <w:sz w:val="24"/>
        </w:rPr>
      </w:pPr>
    </w:p>
    <w:p w14:paraId="18068337">
      <w:pPr>
        <w:pStyle w:val="5"/>
        <w:widowControl/>
        <w:spacing w:before="0" w:line="360" w:lineRule="auto"/>
        <w:jc w:val="left"/>
        <w:rPr>
          <w:rFonts w:ascii="Times New Roman" w:hAnsi="Times New Roman" w:eastAsiaTheme="minorEastAsia"/>
          <w:sz w:val="24"/>
          <w:szCs w:val="24"/>
        </w:rPr>
      </w:pPr>
      <w:bookmarkStart w:id="18" w:name="_Toc28359082"/>
      <w:bookmarkStart w:id="19" w:name="_Toc35393624"/>
      <w:bookmarkStart w:id="20" w:name="_Toc35393793"/>
      <w:bookmarkStart w:id="21" w:name="_Toc28359005"/>
      <w:r>
        <w:rPr>
          <w:rFonts w:ascii="Times New Roman" w:hAnsi="Times New Roman" w:eastAsiaTheme="minorEastAsia"/>
          <w:sz w:val="24"/>
          <w:szCs w:val="24"/>
        </w:rPr>
        <w:t>四、</w:t>
      </w:r>
      <w:bookmarkEnd w:id="18"/>
      <w:bookmarkEnd w:id="19"/>
      <w:bookmarkEnd w:id="20"/>
      <w:bookmarkEnd w:id="21"/>
      <w:r>
        <w:rPr>
          <w:rFonts w:ascii="Times New Roman" w:hAnsi="Times New Roman" w:eastAsiaTheme="minorEastAsia"/>
          <w:sz w:val="24"/>
          <w:szCs w:val="24"/>
        </w:rPr>
        <w:t>响应文件提交</w:t>
      </w:r>
    </w:p>
    <w:p w14:paraId="217FA149">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rPr>
        <w:t>202</w:t>
      </w:r>
      <w:r>
        <w:rPr>
          <w:rFonts w:hint="eastAsia" w:eastAsiaTheme="minorEastAsia"/>
          <w:sz w:val="24"/>
          <w:lang w:val="en-US" w:eastAsia="zh-CN"/>
        </w:rPr>
        <w:t>6</w:t>
      </w:r>
      <w:r>
        <w:rPr>
          <w:rFonts w:eastAsiaTheme="minorEastAsia"/>
          <w:sz w:val="24"/>
          <w:lang w:bidi="ar"/>
        </w:rPr>
        <w:t>年</w:t>
      </w:r>
      <w:r>
        <w:rPr>
          <w:rFonts w:hint="eastAsia" w:eastAsiaTheme="minorEastAsia"/>
          <w:sz w:val="24"/>
          <w:lang w:val="en-US" w:eastAsia="zh-CN" w:bidi="ar"/>
        </w:rPr>
        <w:t>07</w:t>
      </w:r>
      <w:r>
        <w:rPr>
          <w:rFonts w:eastAsiaTheme="minorEastAsia"/>
          <w:sz w:val="24"/>
          <w:lang w:bidi="ar"/>
        </w:rPr>
        <w:t>月</w:t>
      </w:r>
      <w:r>
        <w:rPr>
          <w:rFonts w:hint="eastAsia" w:eastAsiaTheme="minorEastAsia"/>
          <w:sz w:val="24"/>
          <w:lang w:val="en-US" w:eastAsia="zh-CN" w:bidi="ar"/>
        </w:rPr>
        <w:t>15</w:t>
      </w:r>
      <w:r>
        <w:rPr>
          <w:rFonts w:eastAsiaTheme="minorEastAsia"/>
          <w:sz w:val="24"/>
          <w:lang w:bidi="ar"/>
        </w:rPr>
        <w:t>日</w:t>
      </w:r>
      <w:r>
        <w:rPr>
          <w:rFonts w:hint="eastAsia" w:eastAsiaTheme="minorEastAsia"/>
          <w:sz w:val="24"/>
          <w:lang w:val="en-US" w:eastAsia="zh-CN" w:bidi="ar"/>
        </w:rPr>
        <w:t>13</w:t>
      </w:r>
      <w:r>
        <w:rPr>
          <w:rFonts w:eastAsiaTheme="minorEastAsia"/>
          <w:sz w:val="24"/>
          <w:lang w:bidi="ar"/>
        </w:rPr>
        <w:t>点</w:t>
      </w:r>
      <w:r>
        <w:rPr>
          <w:rFonts w:hint="eastAsia" w:eastAsiaTheme="minorEastAsia"/>
          <w:sz w:val="24"/>
          <w:lang w:val="en-US" w:eastAsia="zh-CN" w:bidi="ar"/>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50E8DE85">
      <w:pPr>
        <w:spacing w:line="360" w:lineRule="auto"/>
        <w:ind w:firstLine="480" w:firstLineChars="200"/>
        <w:rPr>
          <w:rFonts w:hint="eastAsia" w:eastAsiaTheme="minorEastAsia"/>
          <w:sz w:val="24"/>
          <w:lang w:val="zh-TW" w:eastAsia="zh-CN" w:bidi="ar"/>
        </w:rPr>
      </w:pPr>
      <w:r>
        <w:rPr>
          <w:rFonts w:eastAsiaTheme="minorEastAsia"/>
          <w:sz w:val="24"/>
          <w:lang w:bidi="ar"/>
        </w:rPr>
        <w:t>地点：</w:t>
      </w:r>
      <w:r>
        <w:rPr>
          <w:rFonts w:eastAsiaTheme="minorEastAsia"/>
          <w:sz w:val="24"/>
          <w:lang w:val="zh-TW" w:eastAsia="zh-TW" w:bidi="ar"/>
        </w:rPr>
        <w:t>北京市大兴区宏业东路</w:t>
      </w:r>
      <w:r>
        <w:rPr>
          <w:rFonts w:eastAsiaTheme="minorEastAsia"/>
          <w:sz w:val="24"/>
          <w:lang w:bidi="ar"/>
        </w:rPr>
        <w:t>1</w:t>
      </w:r>
      <w:r>
        <w:rPr>
          <w:rFonts w:eastAsiaTheme="minorEastAsia"/>
          <w:sz w:val="24"/>
          <w:lang w:val="zh-TW" w:eastAsia="zh-TW" w:bidi="ar"/>
        </w:rPr>
        <w:t>号院</w:t>
      </w:r>
      <w:r>
        <w:rPr>
          <w:rFonts w:eastAsiaTheme="minorEastAsia"/>
          <w:sz w:val="24"/>
          <w:lang w:bidi="ar"/>
        </w:rPr>
        <w:t>3</w:t>
      </w:r>
      <w:r>
        <w:rPr>
          <w:rFonts w:eastAsiaTheme="minorEastAsia"/>
          <w:sz w:val="24"/>
          <w:lang w:val="zh-TW" w:eastAsia="zh-TW" w:bidi="ar"/>
        </w:rPr>
        <w:t>号楼</w:t>
      </w:r>
      <w:r>
        <w:rPr>
          <w:rFonts w:eastAsiaTheme="minorEastAsia"/>
          <w:sz w:val="24"/>
          <w:lang w:bidi="ar"/>
        </w:rPr>
        <w:t>3</w:t>
      </w:r>
      <w:r>
        <w:rPr>
          <w:rFonts w:eastAsiaTheme="minorEastAsia"/>
          <w:sz w:val="24"/>
          <w:lang w:val="zh-TW" w:eastAsia="zh-TW" w:bidi="ar"/>
        </w:rPr>
        <w:t>层</w:t>
      </w:r>
      <w:r>
        <w:rPr>
          <w:rFonts w:eastAsiaTheme="minorEastAsia"/>
          <w:sz w:val="24"/>
          <w:lang w:bidi="ar"/>
        </w:rPr>
        <w:t>30</w:t>
      </w:r>
      <w:r>
        <w:rPr>
          <w:rFonts w:hint="eastAsia" w:eastAsiaTheme="minorEastAsia"/>
          <w:sz w:val="24"/>
          <w:lang w:val="en-US" w:eastAsia="zh-CN" w:bidi="ar"/>
        </w:rPr>
        <w:t>8</w:t>
      </w:r>
      <w:r>
        <w:rPr>
          <w:rFonts w:eastAsiaTheme="minorEastAsia"/>
          <w:sz w:val="24"/>
          <w:lang w:val="zh-TW" w:eastAsia="zh-TW" w:bidi="ar"/>
        </w:rPr>
        <w:t>室</w:t>
      </w:r>
      <w:r>
        <w:rPr>
          <w:rFonts w:hint="eastAsia" w:eastAsiaTheme="minorEastAsia"/>
          <w:sz w:val="24"/>
          <w:lang w:val="en-US" w:eastAsia="zh-CN" w:bidi="ar"/>
        </w:rPr>
        <w:t>第一会议室</w:t>
      </w:r>
      <w:r>
        <w:rPr>
          <w:rFonts w:hint="eastAsia" w:eastAsiaTheme="minorEastAsia"/>
          <w:sz w:val="24"/>
          <w:lang w:val="zh-TW" w:eastAsia="zh-CN" w:bidi="ar"/>
        </w:rPr>
        <w:t>。</w:t>
      </w:r>
      <w:r>
        <w:rPr>
          <w:rFonts w:eastAsiaTheme="minorEastAsia"/>
          <w:sz w:val="24"/>
          <w:lang w:val="zh-TW" w:eastAsia="zh-TW" w:bidi="ar"/>
        </w:rPr>
        <w:t>　</w:t>
      </w:r>
    </w:p>
    <w:p w14:paraId="2BA754A9">
      <w:pPr>
        <w:pStyle w:val="5"/>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2011CE80">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rPr>
        <w:t>202</w:t>
      </w:r>
      <w:r>
        <w:rPr>
          <w:rFonts w:hint="eastAsia" w:eastAsiaTheme="minorEastAsia"/>
          <w:sz w:val="24"/>
          <w:lang w:val="en-US" w:eastAsia="zh-CN"/>
        </w:rPr>
        <w:t>6</w:t>
      </w:r>
      <w:r>
        <w:rPr>
          <w:rFonts w:eastAsiaTheme="minorEastAsia"/>
          <w:sz w:val="24"/>
          <w:lang w:bidi="ar"/>
        </w:rPr>
        <w:t>年</w:t>
      </w:r>
      <w:r>
        <w:rPr>
          <w:rFonts w:hint="eastAsia" w:eastAsiaTheme="minorEastAsia"/>
          <w:sz w:val="24"/>
          <w:lang w:val="en-US" w:eastAsia="zh-CN" w:bidi="ar"/>
        </w:rPr>
        <w:t>07</w:t>
      </w:r>
      <w:r>
        <w:rPr>
          <w:rFonts w:eastAsiaTheme="minorEastAsia"/>
          <w:sz w:val="24"/>
          <w:lang w:bidi="ar"/>
        </w:rPr>
        <w:t>月</w:t>
      </w:r>
      <w:r>
        <w:rPr>
          <w:rFonts w:hint="eastAsia" w:eastAsiaTheme="minorEastAsia"/>
          <w:sz w:val="24"/>
          <w:lang w:val="en-US" w:eastAsia="zh-CN" w:bidi="ar"/>
        </w:rPr>
        <w:t>15</w:t>
      </w:r>
      <w:r>
        <w:rPr>
          <w:rFonts w:eastAsiaTheme="minorEastAsia"/>
          <w:sz w:val="24"/>
          <w:lang w:bidi="ar"/>
        </w:rPr>
        <w:t>日</w:t>
      </w:r>
      <w:r>
        <w:rPr>
          <w:rFonts w:hint="eastAsia" w:eastAsiaTheme="minorEastAsia"/>
          <w:sz w:val="24"/>
          <w:lang w:val="en-US" w:eastAsia="zh-CN" w:bidi="ar"/>
        </w:rPr>
        <w:t>13</w:t>
      </w:r>
      <w:r>
        <w:rPr>
          <w:rFonts w:eastAsiaTheme="minorEastAsia"/>
          <w:sz w:val="24"/>
          <w:lang w:bidi="ar"/>
        </w:rPr>
        <w:t>点</w:t>
      </w:r>
      <w:r>
        <w:rPr>
          <w:rFonts w:hint="eastAsia" w:eastAsiaTheme="minorEastAsia"/>
          <w:sz w:val="24"/>
          <w:lang w:val="en-US" w:eastAsia="zh-CN" w:bidi="ar"/>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6496112C">
      <w:pPr>
        <w:spacing w:line="360" w:lineRule="auto"/>
        <w:ind w:firstLine="480" w:firstLineChars="200"/>
        <w:rPr>
          <w:rFonts w:eastAsiaTheme="minorEastAsia"/>
          <w:bCs/>
          <w:sz w:val="24"/>
          <w:u w:val="single"/>
        </w:rPr>
      </w:pPr>
      <w:r>
        <w:rPr>
          <w:rFonts w:eastAsiaTheme="minorEastAsia"/>
          <w:sz w:val="24"/>
          <w:lang w:bidi="ar"/>
        </w:rPr>
        <w:t>地点：</w:t>
      </w:r>
      <w:r>
        <w:rPr>
          <w:rFonts w:eastAsiaTheme="minorEastAsia"/>
          <w:sz w:val="24"/>
          <w:lang w:val="zh-TW" w:eastAsia="zh-TW" w:bidi="ar"/>
        </w:rPr>
        <w:t>北京市大兴区宏业东路</w:t>
      </w:r>
      <w:r>
        <w:rPr>
          <w:rFonts w:eastAsiaTheme="minorEastAsia"/>
          <w:sz w:val="24"/>
          <w:lang w:bidi="ar"/>
        </w:rPr>
        <w:t>1</w:t>
      </w:r>
      <w:r>
        <w:rPr>
          <w:rFonts w:eastAsiaTheme="minorEastAsia"/>
          <w:sz w:val="24"/>
          <w:lang w:val="zh-TW" w:eastAsia="zh-TW" w:bidi="ar"/>
        </w:rPr>
        <w:t>号院</w:t>
      </w:r>
      <w:r>
        <w:rPr>
          <w:rFonts w:eastAsiaTheme="minorEastAsia"/>
          <w:sz w:val="24"/>
          <w:lang w:bidi="ar"/>
        </w:rPr>
        <w:t>3</w:t>
      </w:r>
      <w:r>
        <w:rPr>
          <w:rFonts w:eastAsiaTheme="minorEastAsia"/>
          <w:sz w:val="24"/>
          <w:lang w:val="zh-TW" w:eastAsia="zh-TW" w:bidi="ar"/>
        </w:rPr>
        <w:t>号楼</w:t>
      </w:r>
      <w:r>
        <w:rPr>
          <w:rFonts w:eastAsiaTheme="minorEastAsia"/>
          <w:sz w:val="24"/>
          <w:lang w:bidi="ar"/>
        </w:rPr>
        <w:t>3</w:t>
      </w:r>
      <w:r>
        <w:rPr>
          <w:rFonts w:eastAsiaTheme="minorEastAsia"/>
          <w:sz w:val="24"/>
          <w:lang w:val="zh-TW" w:eastAsia="zh-TW" w:bidi="ar"/>
        </w:rPr>
        <w:t>层</w:t>
      </w:r>
      <w:r>
        <w:rPr>
          <w:rFonts w:eastAsiaTheme="minorEastAsia"/>
          <w:sz w:val="24"/>
          <w:lang w:bidi="ar"/>
        </w:rPr>
        <w:t>30</w:t>
      </w:r>
      <w:r>
        <w:rPr>
          <w:rFonts w:hint="eastAsia" w:eastAsiaTheme="minorEastAsia"/>
          <w:sz w:val="24"/>
          <w:lang w:val="en-US" w:eastAsia="zh-CN" w:bidi="ar"/>
        </w:rPr>
        <w:t>8</w:t>
      </w:r>
      <w:r>
        <w:rPr>
          <w:rFonts w:eastAsiaTheme="minorEastAsia"/>
          <w:sz w:val="24"/>
          <w:lang w:val="zh-TW" w:eastAsia="zh-TW" w:bidi="ar"/>
        </w:rPr>
        <w:t>室</w:t>
      </w:r>
      <w:r>
        <w:rPr>
          <w:rFonts w:hint="eastAsia" w:eastAsiaTheme="minorEastAsia"/>
          <w:sz w:val="24"/>
          <w:lang w:val="en-US" w:eastAsia="zh-CN" w:bidi="ar"/>
        </w:rPr>
        <w:t>第一会议室</w:t>
      </w:r>
      <w:r>
        <w:rPr>
          <w:rFonts w:hint="eastAsia" w:eastAsiaTheme="minorEastAsia"/>
          <w:sz w:val="24"/>
          <w:lang w:val="zh-TW" w:eastAsia="zh-CN" w:bidi="ar"/>
        </w:rPr>
        <w:t>。</w:t>
      </w:r>
      <w:r>
        <w:rPr>
          <w:rFonts w:eastAsiaTheme="minorEastAsia"/>
          <w:sz w:val="24"/>
          <w:lang w:val="zh-TW" w:eastAsia="zh-TW" w:bidi="ar"/>
        </w:rPr>
        <w:t>　</w:t>
      </w:r>
    </w:p>
    <w:p w14:paraId="42B0B49F">
      <w:pPr>
        <w:pStyle w:val="5"/>
        <w:spacing w:before="0" w:line="360" w:lineRule="auto"/>
        <w:jc w:val="left"/>
        <w:rPr>
          <w:rFonts w:ascii="Times New Roman" w:hAnsi="Times New Roman" w:eastAsiaTheme="minorEastAsia"/>
          <w:sz w:val="24"/>
          <w:szCs w:val="24"/>
        </w:rPr>
      </w:pPr>
      <w:bookmarkStart w:id="22" w:name="_Toc28359007"/>
      <w:bookmarkStart w:id="23" w:name="_Toc35393625"/>
      <w:bookmarkStart w:id="24" w:name="_Toc35393794"/>
      <w:bookmarkStart w:id="25" w:name="_Toc28359084"/>
      <w:r>
        <w:rPr>
          <w:rFonts w:ascii="Times New Roman" w:hAnsi="Times New Roman" w:eastAsiaTheme="minorEastAsia"/>
          <w:sz w:val="24"/>
          <w:szCs w:val="24"/>
        </w:rPr>
        <w:t>六、公告期限</w:t>
      </w:r>
      <w:bookmarkEnd w:id="22"/>
      <w:bookmarkEnd w:id="23"/>
      <w:bookmarkEnd w:id="24"/>
      <w:bookmarkEnd w:id="25"/>
    </w:p>
    <w:p w14:paraId="7543BBAC">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36BBD76B">
      <w:pPr>
        <w:spacing w:line="360" w:lineRule="auto"/>
        <w:ind w:firstLine="480" w:firstLineChars="200"/>
        <w:rPr>
          <w:rFonts w:eastAsiaTheme="minorEastAsia"/>
          <w:kern w:val="0"/>
          <w:sz w:val="24"/>
        </w:rPr>
      </w:pPr>
    </w:p>
    <w:p w14:paraId="1BE1BC1B">
      <w:pPr>
        <w:pStyle w:val="5"/>
        <w:spacing w:before="0" w:line="360" w:lineRule="auto"/>
        <w:jc w:val="left"/>
        <w:rPr>
          <w:rFonts w:ascii="Times New Roman" w:hAnsi="Times New Roman" w:eastAsiaTheme="minorEastAsia"/>
          <w:sz w:val="24"/>
          <w:szCs w:val="24"/>
        </w:rPr>
      </w:pPr>
      <w:bookmarkStart w:id="26" w:name="_Toc35393795"/>
      <w:bookmarkStart w:id="27" w:name="_Toc35393626"/>
      <w:r>
        <w:rPr>
          <w:rFonts w:ascii="Times New Roman" w:hAnsi="Times New Roman" w:eastAsiaTheme="minorEastAsia"/>
          <w:sz w:val="24"/>
          <w:szCs w:val="24"/>
        </w:rPr>
        <w:t>七、其他补充事宜</w:t>
      </w:r>
      <w:bookmarkEnd w:id="26"/>
      <w:bookmarkEnd w:id="27"/>
    </w:p>
    <w:p w14:paraId="7BC1D2B3">
      <w:pPr>
        <w:spacing w:line="360" w:lineRule="auto"/>
        <w:ind w:firstLine="480" w:firstLineChars="200"/>
        <w:rPr>
          <w:rFonts w:hint="eastAsia" w:eastAsiaTheme="minorEastAsia"/>
          <w:bCs/>
          <w:sz w:val="24"/>
        </w:rPr>
      </w:pPr>
      <w:bookmarkStart w:id="28" w:name="_Toc28359008"/>
      <w:bookmarkStart w:id="29" w:name="_Toc35393796"/>
      <w:bookmarkStart w:id="30" w:name="_Toc28359085"/>
      <w:bookmarkStart w:id="31" w:name="_Toc35393627"/>
      <w:r>
        <w:rPr>
          <w:rFonts w:hint="eastAsia" w:eastAsiaTheme="minorEastAsia"/>
          <w:bCs/>
          <w:sz w:val="24"/>
        </w:rPr>
        <w:t>1.</w:t>
      </w:r>
      <w:r>
        <w:rPr>
          <w:rFonts w:hint="eastAsia" w:eastAsiaTheme="minorEastAsia"/>
          <w:bCs/>
          <w:sz w:val="24"/>
          <w:lang w:val="zh-TW" w:eastAsia="zh-TW"/>
        </w:rPr>
        <w:t>本项目需要落实的政府采购政策：</w:t>
      </w:r>
    </w:p>
    <w:p w14:paraId="6938A751">
      <w:pPr>
        <w:tabs>
          <w:tab w:val="left" w:pos="567"/>
        </w:tabs>
        <w:spacing w:line="360" w:lineRule="auto"/>
        <w:ind w:firstLine="480" w:firstLineChars="200"/>
        <w:rPr>
          <w:rFonts w:hint="eastAsia" w:ascii="宋体" w:hAnsi="宋体" w:cs="宋体"/>
          <w:sz w:val="24"/>
          <w:lang w:bidi="en-US"/>
        </w:rPr>
      </w:pPr>
      <w:r>
        <w:rPr>
          <w:rFonts w:hint="eastAsia" w:ascii="宋体" w:hAnsi="宋体" w:cs="宋体"/>
          <w:sz w:val="24"/>
          <w:lang w:bidi="en-US"/>
        </w:rPr>
        <w:t>（1）政府采购促进中小企业发展管理办法 (财库[2020]46号)</w:t>
      </w:r>
    </w:p>
    <w:p w14:paraId="3D77AD10">
      <w:pPr>
        <w:tabs>
          <w:tab w:val="left" w:pos="567"/>
        </w:tabs>
        <w:spacing w:line="360" w:lineRule="auto"/>
        <w:ind w:firstLine="480" w:firstLineChars="200"/>
        <w:rPr>
          <w:rFonts w:hint="eastAsia" w:ascii="宋体" w:hAnsi="宋体" w:cs="宋体"/>
          <w:sz w:val="24"/>
          <w:lang w:bidi="en-US"/>
        </w:rPr>
      </w:pPr>
      <w:r>
        <w:rPr>
          <w:rFonts w:hint="eastAsia" w:ascii="宋体" w:hAnsi="宋体" w:cs="宋体"/>
          <w:sz w:val="24"/>
          <w:lang w:bidi="en-US"/>
        </w:rPr>
        <w:t>（2）政府采购支持监狱企业发展政策（财库[2014]68号）</w:t>
      </w:r>
    </w:p>
    <w:p w14:paraId="33370219">
      <w:pPr>
        <w:tabs>
          <w:tab w:val="left" w:pos="567"/>
        </w:tabs>
        <w:spacing w:line="360" w:lineRule="auto"/>
        <w:ind w:firstLine="480" w:firstLineChars="200"/>
        <w:rPr>
          <w:rFonts w:hint="eastAsia" w:ascii="宋体" w:hAnsi="宋体" w:cs="宋体"/>
          <w:sz w:val="24"/>
          <w:lang w:bidi="en-US"/>
        </w:rPr>
      </w:pPr>
      <w:r>
        <w:rPr>
          <w:rFonts w:hint="eastAsia" w:ascii="宋体" w:hAnsi="宋体" w:cs="宋体"/>
          <w:sz w:val="24"/>
          <w:lang w:bidi="en-US"/>
        </w:rPr>
        <w:t>（3）关于促进残疾人就业政府采购政策的通知（财库〔2017〕141号）</w:t>
      </w:r>
    </w:p>
    <w:p w14:paraId="60585744">
      <w:pPr>
        <w:tabs>
          <w:tab w:val="left" w:pos="567"/>
        </w:tabs>
        <w:spacing w:line="360" w:lineRule="auto"/>
        <w:ind w:left="992" w:leftChars="220" w:hanging="530" w:hangingChars="221"/>
        <w:rPr>
          <w:rFonts w:hint="eastAsia" w:ascii="宋体" w:hAnsi="宋体" w:cs="宋体"/>
          <w:sz w:val="24"/>
          <w:lang w:bidi="en-US"/>
        </w:rPr>
      </w:pPr>
      <w:r>
        <w:rPr>
          <w:rFonts w:hint="eastAsia" w:ascii="宋体" w:hAnsi="宋体" w:cs="宋体"/>
          <w:sz w:val="24"/>
          <w:lang w:bidi="en-US"/>
        </w:rPr>
        <w:t>（4） 财政部关于调整优化节能产品、环境标志产品政府采购执行机制的通知（财库〔2019〕9号）</w:t>
      </w:r>
    </w:p>
    <w:p w14:paraId="3818B1E8">
      <w:pPr>
        <w:tabs>
          <w:tab w:val="left" w:pos="567"/>
        </w:tabs>
        <w:spacing w:line="360" w:lineRule="auto"/>
        <w:ind w:firstLine="480" w:firstLineChars="200"/>
        <w:rPr>
          <w:rFonts w:hint="eastAsia" w:ascii="宋体" w:hAnsi="宋体" w:cs="宋体"/>
          <w:sz w:val="24"/>
          <w:lang w:bidi="en-US"/>
        </w:rPr>
      </w:pPr>
      <w:r>
        <w:rPr>
          <w:rFonts w:hint="eastAsia" w:ascii="宋体" w:hAnsi="宋体" w:cs="宋体"/>
          <w:sz w:val="24"/>
          <w:lang w:bidi="en-US"/>
        </w:rPr>
        <w:t>（5）政府采购进口产品管理办法（财库〔2007〕119号）</w:t>
      </w:r>
    </w:p>
    <w:p w14:paraId="266DE1D5">
      <w:pPr>
        <w:spacing w:line="360" w:lineRule="auto"/>
        <w:ind w:left="1199" w:leftChars="228" w:hanging="720" w:hangingChars="300"/>
        <w:rPr>
          <w:rFonts w:hint="eastAsia" w:ascii="宋体" w:hAnsi="宋体" w:cs="宋体"/>
          <w:sz w:val="24"/>
          <w:lang w:bidi="en-US"/>
        </w:rPr>
      </w:pPr>
      <w:r>
        <w:rPr>
          <w:rFonts w:hint="eastAsia" w:ascii="宋体" w:hAnsi="宋体" w:cs="宋体"/>
          <w:sz w:val="24"/>
          <w:lang w:bidi="en-US"/>
        </w:rPr>
        <w:t>（6）北京市财政局关于落实好政府采购支持中小企业发展的通知(京财采购〔2022〕1143号)</w:t>
      </w:r>
    </w:p>
    <w:p w14:paraId="607D65F8">
      <w:pPr>
        <w:tabs>
          <w:tab w:val="left" w:pos="426"/>
        </w:tabs>
        <w:spacing w:line="360" w:lineRule="auto"/>
        <w:ind w:firstLine="480" w:firstLineChars="200"/>
        <w:rPr>
          <w:rFonts w:hint="eastAsia" w:ascii="宋体" w:hAnsi="宋体" w:cs="宋体"/>
          <w:sz w:val="24"/>
          <w:lang w:bidi="en-US"/>
        </w:rPr>
      </w:pPr>
      <w:r>
        <w:rPr>
          <w:rFonts w:hint="eastAsia" w:ascii="宋体" w:hAnsi="宋体" w:cs="宋体"/>
          <w:sz w:val="24"/>
          <w:lang w:bidi="en-US"/>
        </w:rPr>
        <w:t>（7）关于进一步加大政府采购支持中小企业力度的通知（财库〔2022〕19号）</w:t>
      </w:r>
    </w:p>
    <w:p w14:paraId="45BDC0C5">
      <w:pPr>
        <w:tabs>
          <w:tab w:val="left" w:pos="624"/>
        </w:tabs>
        <w:spacing w:line="360" w:lineRule="auto"/>
        <w:ind w:left="992" w:leftChars="244" w:hanging="480" w:hangingChars="200"/>
        <w:rPr>
          <w:rFonts w:hint="eastAsia" w:hAnsi="宋体"/>
          <w:sz w:val="24"/>
          <w:lang w:bidi="en-US"/>
        </w:rPr>
      </w:pPr>
      <w:r>
        <w:rPr>
          <w:rFonts w:hAnsi="宋体"/>
          <w:sz w:val="24"/>
          <w:lang w:bidi="en-US"/>
        </w:rPr>
        <w:t>（8）</w:t>
      </w:r>
      <w:r>
        <w:rPr>
          <w:rFonts w:hint="eastAsia" w:hAnsi="宋体"/>
          <w:sz w:val="24"/>
          <w:lang w:bidi="en-US"/>
        </w:rPr>
        <w:t>北京市财政局 中国人民银行营业管理部关于推进政府采购合同线上融资有关工作的通知（京财采购〔2023〕637号）</w:t>
      </w:r>
    </w:p>
    <w:p w14:paraId="1B993211">
      <w:pPr>
        <w:tabs>
          <w:tab w:val="left" w:pos="624"/>
        </w:tabs>
        <w:spacing w:line="360" w:lineRule="auto"/>
        <w:ind w:left="992" w:leftChars="244" w:hanging="480" w:hangingChars="200"/>
        <w:rPr>
          <w:rStyle w:val="258"/>
          <w:rFonts w:hint="eastAsia" w:hAnsi="宋体"/>
          <w:sz w:val="24"/>
          <w:lang w:bidi="en-US"/>
        </w:rPr>
      </w:pPr>
      <w:bookmarkStart w:id="32" w:name="OLE_LINK14"/>
      <w:r>
        <w:rPr>
          <w:rFonts w:hint="eastAsia" w:hAnsi="宋体"/>
          <w:sz w:val="24"/>
          <w:lang w:bidi="en-US"/>
        </w:rPr>
        <w:t>（9）关于推动解决政府采购异常低价问题的通知（财库〔2026〕2号）等</w:t>
      </w:r>
      <w:bookmarkEnd w:id="32"/>
      <w:r>
        <w:rPr>
          <w:rFonts w:hint="eastAsia" w:hAnsi="宋体"/>
          <w:sz w:val="24"/>
          <w:lang w:bidi="en-US"/>
        </w:rPr>
        <w:t>。</w:t>
      </w:r>
    </w:p>
    <w:p w14:paraId="68D00150">
      <w:pPr>
        <w:spacing w:line="360" w:lineRule="auto"/>
        <w:ind w:firstLine="480" w:firstLineChars="200"/>
        <w:rPr>
          <w:rFonts w:eastAsiaTheme="minorEastAsia"/>
          <w:bCs/>
          <w:sz w:val="24"/>
        </w:rPr>
      </w:pPr>
      <w:r>
        <w:rPr>
          <w:rFonts w:hint="eastAsia" w:eastAsiaTheme="minorEastAsia"/>
          <w:bCs/>
          <w:sz w:val="24"/>
        </w:rPr>
        <w:t>2. 本项目公告在中国政府采购网（</w:t>
      </w:r>
      <w:r>
        <w:rPr>
          <w:rFonts w:hint="eastAsia" w:eastAsiaTheme="minorEastAsia"/>
          <w:bCs/>
          <w:sz w:val="24"/>
        </w:rPr>
        <w:fldChar w:fldCharType="begin"/>
      </w:r>
      <w:r>
        <w:rPr>
          <w:rFonts w:hint="eastAsia" w:eastAsiaTheme="minorEastAsia"/>
          <w:bCs/>
          <w:sz w:val="24"/>
        </w:rPr>
        <w:instrText xml:space="preserve"> HYPERLINK "http://www.ccgp.gov.cn/）、北京市政府采购" </w:instrText>
      </w:r>
      <w:r>
        <w:rPr>
          <w:rFonts w:hint="eastAsia" w:eastAsiaTheme="minorEastAsia"/>
          <w:bCs/>
          <w:sz w:val="24"/>
        </w:rPr>
        <w:fldChar w:fldCharType="separate"/>
      </w:r>
      <w:r>
        <w:rPr>
          <w:rFonts w:hint="eastAsia" w:eastAsiaTheme="minorEastAsia"/>
          <w:bCs/>
          <w:sz w:val="24"/>
        </w:rPr>
        <w:t>http://www.ccgp.gov.cn/）、北京市政府采购</w:t>
      </w:r>
      <w:r>
        <w:rPr>
          <w:rFonts w:hint="eastAsia" w:eastAsiaTheme="minorEastAsia"/>
          <w:bCs/>
          <w:sz w:val="24"/>
        </w:rPr>
        <w:fldChar w:fldCharType="end"/>
      </w:r>
      <w:r>
        <w:rPr>
          <w:rFonts w:hint="eastAsia" w:eastAsiaTheme="minorEastAsia"/>
          <w:bCs/>
          <w:sz w:val="24"/>
        </w:rPr>
        <w:t>网（http://www.ccgp-beijing.gov.cn/）上同时发布。</w:t>
      </w:r>
    </w:p>
    <w:p w14:paraId="3541F823">
      <w:pPr>
        <w:spacing w:line="360" w:lineRule="auto"/>
        <w:ind w:firstLine="480" w:firstLineChars="200"/>
        <w:rPr>
          <w:rFonts w:eastAsiaTheme="minorEastAsia"/>
          <w:bCs/>
          <w:sz w:val="24"/>
        </w:rPr>
      </w:pPr>
      <w:r>
        <w:rPr>
          <w:rFonts w:hint="eastAsia" w:eastAsiaTheme="minorEastAsia"/>
          <w:bCs/>
          <w:sz w:val="24"/>
        </w:rPr>
        <w:t>3. 凡对本次招标提出询问及质疑，请与北京天极招投标咨询有限公司联系（质疑函请采用政府采购供应商质疑函范本格式，以书面形式一次性提交）。</w:t>
      </w:r>
    </w:p>
    <w:p w14:paraId="27E68944">
      <w:pPr>
        <w:spacing w:line="360" w:lineRule="auto"/>
        <w:ind w:firstLine="480" w:firstLineChars="200"/>
        <w:rPr>
          <w:rFonts w:eastAsiaTheme="minorEastAsia"/>
          <w:bCs/>
          <w:sz w:val="24"/>
        </w:rPr>
      </w:pPr>
      <w:r>
        <w:rPr>
          <w:rFonts w:hint="eastAsia" w:eastAsiaTheme="minorEastAsia"/>
          <w:bCs/>
          <w:sz w:val="24"/>
        </w:rPr>
        <w:t>4. 本项目采用电子化与线下相结合采购方式，请供应商认真学习北京市政府采购电子交易平台发布的相关操作手册（供应商可在交易平台下载相关手册），办理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2326DEFA">
      <w:pPr>
        <w:spacing w:line="360" w:lineRule="auto"/>
        <w:ind w:firstLine="480" w:firstLineChars="200"/>
        <w:rPr>
          <w:rFonts w:eastAsiaTheme="minorEastAsia"/>
          <w:bCs/>
          <w:sz w:val="24"/>
        </w:rPr>
      </w:pPr>
      <w:r>
        <w:rPr>
          <w:rFonts w:hint="eastAsia" w:eastAsiaTheme="minorEastAsia"/>
          <w:bCs/>
          <w:sz w:val="24"/>
        </w:rPr>
        <w:t>CA 数字证书服务热线 010-58511086</w:t>
      </w:r>
    </w:p>
    <w:p w14:paraId="4D26AAC2">
      <w:pPr>
        <w:spacing w:line="360" w:lineRule="auto"/>
        <w:ind w:firstLine="480" w:firstLineChars="200"/>
        <w:rPr>
          <w:rFonts w:eastAsiaTheme="minorEastAsia"/>
          <w:bCs/>
          <w:sz w:val="24"/>
        </w:rPr>
      </w:pPr>
      <w:r>
        <w:rPr>
          <w:rFonts w:hint="eastAsia" w:eastAsiaTheme="minorEastAsia"/>
          <w:bCs/>
          <w:sz w:val="24"/>
        </w:rPr>
        <w:t>电子营业执照服务热线 400-699-7000</w:t>
      </w:r>
    </w:p>
    <w:p w14:paraId="2CCE1719">
      <w:pPr>
        <w:spacing w:line="360" w:lineRule="auto"/>
        <w:ind w:firstLine="480" w:firstLineChars="200"/>
        <w:rPr>
          <w:rFonts w:eastAsiaTheme="minorEastAsia"/>
          <w:bCs/>
          <w:sz w:val="24"/>
        </w:rPr>
      </w:pPr>
      <w:r>
        <w:rPr>
          <w:rFonts w:hint="eastAsia" w:eastAsiaTheme="minorEastAsia"/>
          <w:bCs/>
          <w:sz w:val="24"/>
        </w:rPr>
        <w:t>技术支持服务热线 010-86483801</w:t>
      </w:r>
    </w:p>
    <w:p w14:paraId="4340E5FD">
      <w:pPr>
        <w:spacing w:line="360" w:lineRule="auto"/>
        <w:ind w:firstLine="480" w:firstLineChars="200"/>
        <w:rPr>
          <w:rFonts w:eastAsiaTheme="minorEastAsia"/>
          <w:bCs/>
          <w:sz w:val="24"/>
        </w:rPr>
      </w:pPr>
      <w:r>
        <w:rPr>
          <w:rFonts w:hint="eastAsia" w:eastAsiaTheme="minorEastAsia"/>
          <w:bCs/>
          <w:sz w:val="24"/>
        </w:rPr>
        <w:t>4.1办理 CA 数字证书或电子营业执照</w:t>
      </w:r>
    </w:p>
    <w:p w14:paraId="0EE8DD76">
      <w:pPr>
        <w:spacing w:line="360" w:lineRule="auto"/>
        <w:ind w:firstLine="480" w:firstLineChars="200"/>
        <w:rPr>
          <w:rFonts w:eastAsiaTheme="minorEastAsia"/>
          <w:bCs/>
          <w:sz w:val="24"/>
        </w:rPr>
      </w:pPr>
      <w:r>
        <w:rPr>
          <w:rFonts w:hint="eastAsia" w:eastAsiaTheme="minorEastAsia"/>
          <w:bCs/>
          <w:sz w:val="24"/>
        </w:rPr>
        <w:t>供应商登录北京市政府采购电子交易平台查阅 ”用户指南”— ”操作指南”— ”市场主体 CA 办理操作流程指引”/”电子营业执照使用指南”，按照程序要求办理。</w:t>
      </w:r>
    </w:p>
    <w:p w14:paraId="0EC80B84">
      <w:pPr>
        <w:spacing w:line="360" w:lineRule="auto"/>
        <w:ind w:firstLine="480" w:firstLineChars="200"/>
        <w:rPr>
          <w:rFonts w:eastAsiaTheme="minorEastAsia"/>
          <w:bCs/>
          <w:sz w:val="24"/>
        </w:rPr>
      </w:pPr>
      <w:r>
        <w:rPr>
          <w:rFonts w:hint="eastAsia" w:eastAsiaTheme="minorEastAsia"/>
          <w:bCs/>
          <w:sz w:val="24"/>
        </w:rPr>
        <w:t>4.2注册</w:t>
      </w:r>
    </w:p>
    <w:p w14:paraId="2184D439">
      <w:pPr>
        <w:spacing w:line="360" w:lineRule="auto"/>
        <w:ind w:firstLine="480" w:firstLineChars="200"/>
        <w:rPr>
          <w:rFonts w:eastAsiaTheme="minorEastAsia"/>
          <w:bCs/>
          <w:sz w:val="24"/>
        </w:rPr>
      </w:pPr>
      <w:r>
        <w:rPr>
          <w:rFonts w:hint="eastAsia" w:eastAsiaTheme="minorEastAsia"/>
          <w:bCs/>
          <w:sz w:val="24"/>
        </w:rPr>
        <w:t>供应商登录北京市政府采购电子交易平台””用户指南”— ”操作指南”— ”市场主体注册入库操作流程指引”进行自助注册绑定。</w:t>
      </w:r>
    </w:p>
    <w:p w14:paraId="672375C0">
      <w:pPr>
        <w:spacing w:line="360" w:lineRule="auto"/>
        <w:ind w:firstLine="480" w:firstLineChars="200"/>
        <w:rPr>
          <w:rFonts w:eastAsiaTheme="minorEastAsia"/>
          <w:bCs/>
          <w:sz w:val="24"/>
        </w:rPr>
      </w:pPr>
      <w:r>
        <w:rPr>
          <w:rFonts w:hint="eastAsia" w:eastAsiaTheme="minorEastAsia"/>
          <w:bCs/>
          <w:sz w:val="24"/>
        </w:rPr>
        <w:t>4.3 驱动、客户端下载</w:t>
      </w:r>
    </w:p>
    <w:p w14:paraId="5019D3A7">
      <w:pPr>
        <w:spacing w:line="360" w:lineRule="auto"/>
        <w:ind w:firstLine="480" w:firstLineChars="200"/>
        <w:rPr>
          <w:rFonts w:eastAsiaTheme="minorEastAsia"/>
          <w:bCs/>
          <w:sz w:val="24"/>
        </w:rPr>
      </w:pPr>
      <w:r>
        <w:rPr>
          <w:rFonts w:hint="eastAsia" w:eastAsiaTheme="minorEastAsia"/>
          <w:bCs/>
          <w:sz w:val="24"/>
        </w:rPr>
        <w:t>供应商登录北京市政府采购电子交易平台”用户指南”— ”工具下载”— ”招标采购系统文件驱动安装包”下载相关驱动。</w:t>
      </w:r>
    </w:p>
    <w:p w14:paraId="759C4489">
      <w:pPr>
        <w:spacing w:line="360" w:lineRule="auto"/>
        <w:ind w:firstLine="480" w:firstLineChars="200"/>
        <w:rPr>
          <w:rFonts w:eastAsiaTheme="minorEastAsia"/>
          <w:bCs/>
          <w:sz w:val="24"/>
        </w:rPr>
      </w:pPr>
      <w:r>
        <w:rPr>
          <w:rFonts w:hint="eastAsia" w:eastAsiaTheme="minorEastAsia"/>
          <w:bCs/>
          <w:sz w:val="24"/>
        </w:rPr>
        <w:t>供应商登录北京市政府采购电子交易平台”用户指南”— ”工具下载”— ”投标文件编制工具”下载相关客户端。</w:t>
      </w:r>
    </w:p>
    <w:p w14:paraId="0E3CFFF7">
      <w:pPr>
        <w:spacing w:line="360" w:lineRule="auto"/>
        <w:ind w:firstLine="480" w:firstLineChars="200"/>
        <w:rPr>
          <w:rFonts w:eastAsiaTheme="minorEastAsia"/>
          <w:bCs/>
          <w:sz w:val="24"/>
        </w:rPr>
      </w:pPr>
      <w:r>
        <w:rPr>
          <w:rFonts w:hint="eastAsia" w:eastAsiaTheme="minorEastAsia"/>
          <w:bCs/>
          <w:sz w:val="24"/>
        </w:rPr>
        <w:t>4.4获取电子招标文件</w:t>
      </w:r>
    </w:p>
    <w:p w14:paraId="321F7251">
      <w:pPr>
        <w:spacing w:line="360" w:lineRule="auto"/>
        <w:ind w:firstLine="480" w:firstLineChars="200"/>
        <w:rPr>
          <w:rFonts w:eastAsiaTheme="minorEastAsia"/>
          <w:bCs/>
          <w:sz w:val="24"/>
        </w:rPr>
      </w:pPr>
      <w:r>
        <w:rPr>
          <w:rFonts w:hint="eastAsia" w:eastAsiaTheme="minorEastAsia"/>
          <w:bCs/>
          <w:sz w:val="24"/>
        </w:rPr>
        <w:t>供应商使用 CA 数字证书或电子营业执照登录北京市政府采购电子交易平台获取电子招标文件。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无效。</w:t>
      </w:r>
    </w:p>
    <w:p w14:paraId="2287DB54">
      <w:pPr>
        <w:rPr>
          <w:rFonts w:ascii="Times New Roman" w:hAnsi="Times New Roman" w:eastAsiaTheme="minorEastAsia"/>
          <w:sz w:val="24"/>
          <w:szCs w:val="24"/>
        </w:rPr>
      </w:pPr>
      <w:r>
        <w:rPr>
          <w:rFonts w:ascii="Times New Roman" w:hAnsi="Times New Roman" w:eastAsiaTheme="minorEastAsia"/>
          <w:sz w:val="24"/>
          <w:szCs w:val="24"/>
        </w:rPr>
        <w:t>八、对本次采购提出询问，请按以下方式联系。</w:t>
      </w:r>
      <w:bookmarkEnd w:id="28"/>
      <w:bookmarkEnd w:id="29"/>
      <w:bookmarkEnd w:id="30"/>
      <w:bookmarkEnd w:id="31"/>
    </w:p>
    <w:p w14:paraId="42E7BD95">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548C737F">
      <w:pPr>
        <w:spacing w:line="360" w:lineRule="auto"/>
        <w:ind w:left="1079" w:leftChars="371" w:hanging="300" w:hangingChars="125"/>
        <w:jc w:val="left"/>
        <w:rPr>
          <w:rFonts w:eastAsiaTheme="minorEastAsia"/>
          <w:sz w:val="24"/>
        </w:rPr>
      </w:pPr>
      <w:bookmarkStart w:id="33" w:name="_Toc28359009"/>
      <w:bookmarkStart w:id="34" w:name="_Toc28359086"/>
      <w:r>
        <w:rPr>
          <w:rFonts w:eastAsiaTheme="minorEastAsia"/>
          <w:sz w:val="24"/>
        </w:rPr>
        <w:t>名    称：</w:t>
      </w:r>
      <w:r>
        <w:rPr>
          <w:rFonts w:hint="eastAsia" w:ascii="宋体" w:hAnsi="宋体" w:eastAsia="宋体" w:cs="宋体"/>
          <w:color w:val="auto"/>
          <w:sz w:val="24"/>
        </w:rPr>
        <w:t>北京市木樨园体育运动技术学校(北京市排球运动管理中心)</w:t>
      </w:r>
    </w:p>
    <w:p w14:paraId="261B1831">
      <w:pPr>
        <w:spacing w:line="360" w:lineRule="auto"/>
        <w:ind w:left="1079" w:leftChars="371" w:hanging="300" w:hangingChars="125"/>
        <w:jc w:val="left"/>
        <w:rPr>
          <w:rFonts w:eastAsiaTheme="minorEastAsia"/>
          <w:sz w:val="24"/>
        </w:rPr>
      </w:pPr>
      <w:r>
        <w:rPr>
          <w:rFonts w:eastAsiaTheme="minorEastAsia"/>
          <w:sz w:val="24"/>
        </w:rPr>
        <w:t>地    址：</w:t>
      </w:r>
      <w:r>
        <w:rPr>
          <w:rFonts w:hint="eastAsia" w:ascii="宋体" w:hAnsi="宋体" w:eastAsia="宋体" w:cs="宋体"/>
          <w:color w:val="auto"/>
          <w:sz w:val="24"/>
        </w:rPr>
        <w:t>北京市丰台区</w:t>
      </w:r>
      <w:r>
        <w:rPr>
          <w:rFonts w:hint="eastAsia" w:ascii="宋体" w:hAnsi="宋体" w:eastAsia="宋体" w:cs="宋体"/>
          <w:color w:val="auto"/>
          <w:sz w:val="24"/>
          <w:lang w:val="en-US" w:eastAsia="zh-CN"/>
        </w:rPr>
        <w:t>光彩北路4号</w:t>
      </w:r>
    </w:p>
    <w:p w14:paraId="35DBC003">
      <w:pPr>
        <w:spacing w:line="360" w:lineRule="auto"/>
        <w:ind w:left="1079" w:leftChars="371" w:hanging="300" w:hangingChars="125"/>
        <w:jc w:val="left"/>
        <w:rPr>
          <w:rStyle w:val="258"/>
          <w:rFonts w:hint="default" w:ascii="宋体" w:hAnsi="宋体" w:eastAsia="宋体" w:cs="宋体"/>
          <w:color w:val="auto"/>
          <w:kern w:val="2"/>
          <w:sz w:val="24"/>
          <w:szCs w:val="24"/>
          <w:highlight w:val="yellow"/>
          <w:u w:color="000000"/>
          <w:lang w:val="en-US" w:eastAsia="zh-CN" w:bidi="ar-SA"/>
        </w:rPr>
      </w:pPr>
      <w:r>
        <w:rPr>
          <w:rFonts w:eastAsiaTheme="minorEastAsia"/>
          <w:sz w:val="24"/>
        </w:rPr>
        <w:t>联系方式：</w:t>
      </w:r>
      <w:r>
        <w:rPr>
          <w:rFonts w:hint="eastAsia" w:eastAsiaTheme="minorEastAsia"/>
          <w:sz w:val="24"/>
          <w:lang w:val="en-US" w:eastAsia="zh-CN"/>
        </w:rPr>
        <w:t>薛老师</w:t>
      </w:r>
      <w:r>
        <w:rPr>
          <w:rFonts w:hint="eastAsia" w:eastAsiaTheme="minorEastAsia"/>
          <w:sz w:val="24"/>
          <w:highlight w:val="none"/>
          <w:lang w:eastAsia="zh-CN"/>
        </w:rPr>
        <w:t>，</w:t>
      </w:r>
      <w:bookmarkStart w:id="35" w:name="OLE_LINK7"/>
      <w:r>
        <w:rPr>
          <w:rFonts w:hint="eastAsia" w:ascii="宋体" w:hAnsi="宋体" w:eastAsia="宋体" w:cs="宋体"/>
          <w:color w:val="auto"/>
          <w:sz w:val="24"/>
          <w:lang w:val="en-US" w:eastAsia="zh-CN"/>
        </w:rPr>
        <w:t>010-67215550-8182</w:t>
      </w:r>
    </w:p>
    <w:bookmarkEnd w:id="33"/>
    <w:bookmarkEnd w:id="34"/>
    <w:bookmarkEnd w:id="35"/>
    <w:p w14:paraId="2BAB34ED">
      <w:pPr>
        <w:spacing w:line="360" w:lineRule="auto"/>
        <w:ind w:firstLine="665" w:firstLineChars="276"/>
        <w:jc w:val="left"/>
        <w:rPr>
          <w:rFonts w:ascii="宋体"/>
          <w:b/>
          <w:color w:val="auto"/>
          <w:sz w:val="24"/>
          <w:highlight w:val="none"/>
        </w:rPr>
      </w:pPr>
      <w:r>
        <w:rPr>
          <w:rFonts w:ascii="宋体" w:hAnsi="宋体" w:cs="宋体"/>
          <w:b/>
          <w:color w:val="auto"/>
          <w:sz w:val="24"/>
          <w:highlight w:val="none"/>
        </w:rPr>
        <w:t>2.</w:t>
      </w:r>
      <w:r>
        <w:rPr>
          <w:rFonts w:hint="eastAsia" w:ascii="宋体" w:hAnsi="宋体" w:cs="宋体"/>
          <w:b/>
          <w:color w:val="auto"/>
          <w:sz w:val="24"/>
          <w:highlight w:val="none"/>
        </w:rPr>
        <w:t>采购代理机构信息</w:t>
      </w:r>
    </w:p>
    <w:p w14:paraId="052044B5">
      <w:pPr>
        <w:pStyle w:val="257"/>
        <w:spacing w:line="360" w:lineRule="auto"/>
        <w:ind w:firstLine="787" w:firstLineChars="328"/>
        <w:rPr>
          <w:rStyle w:val="258"/>
          <w:rFonts w:ascii="宋体" w:hAnsi="宋体" w:eastAsia="宋体" w:cs="宋体"/>
          <w:color w:val="auto"/>
          <w:sz w:val="24"/>
          <w:szCs w:val="24"/>
          <w:highlight w:val="none"/>
          <w:lang w:val="zh-TW" w:eastAsia="zh-TW"/>
        </w:rPr>
      </w:pPr>
      <w:r>
        <w:rPr>
          <w:rStyle w:val="258"/>
          <w:rFonts w:ascii="宋体" w:hAnsi="宋体" w:eastAsia="宋体" w:cs="宋体"/>
          <w:color w:val="auto"/>
          <w:sz w:val="24"/>
          <w:szCs w:val="24"/>
          <w:highlight w:val="none"/>
          <w:lang w:val="zh-TW" w:eastAsia="zh-TW"/>
        </w:rPr>
        <w:t>名  称：北京天极招投标咨询有限公司　</w:t>
      </w:r>
    </w:p>
    <w:p w14:paraId="0BE9452C">
      <w:pPr>
        <w:pStyle w:val="257"/>
        <w:spacing w:line="360" w:lineRule="auto"/>
        <w:ind w:firstLine="787" w:firstLineChars="328"/>
        <w:rPr>
          <w:rStyle w:val="258"/>
          <w:rFonts w:ascii="宋体" w:hAnsi="宋体" w:eastAsia="宋体" w:cs="宋体"/>
          <w:color w:val="auto"/>
          <w:sz w:val="24"/>
          <w:szCs w:val="24"/>
          <w:highlight w:val="none"/>
        </w:rPr>
      </w:pPr>
      <w:r>
        <w:rPr>
          <w:rStyle w:val="258"/>
          <w:rFonts w:ascii="宋体" w:hAnsi="宋体" w:eastAsia="宋体" w:cs="宋体"/>
          <w:color w:val="auto"/>
          <w:sz w:val="24"/>
          <w:szCs w:val="24"/>
          <w:highlight w:val="none"/>
          <w:lang w:val="zh-TW" w:eastAsia="zh-TW"/>
        </w:rPr>
        <w:t>地　址：</w:t>
      </w:r>
      <w:bookmarkStart w:id="36" w:name="OLE_LINK9"/>
      <w:r>
        <w:rPr>
          <w:rStyle w:val="258"/>
          <w:rFonts w:ascii="宋体" w:hAnsi="宋体" w:eastAsia="宋体" w:cs="宋体"/>
          <w:color w:val="auto"/>
          <w:sz w:val="24"/>
          <w:szCs w:val="24"/>
          <w:highlight w:val="none"/>
          <w:lang w:val="zh-TW" w:eastAsia="zh-TW"/>
        </w:rPr>
        <w:t>北京市大兴区宏业东路</w:t>
      </w:r>
      <w:r>
        <w:rPr>
          <w:rStyle w:val="258"/>
          <w:rFonts w:ascii="宋体" w:hAnsi="宋体" w:eastAsia="宋体" w:cs="宋体"/>
          <w:color w:val="auto"/>
          <w:sz w:val="24"/>
          <w:szCs w:val="24"/>
          <w:highlight w:val="none"/>
        </w:rPr>
        <w:t>1</w:t>
      </w:r>
      <w:r>
        <w:rPr>
          <w:rStyle w:val="258"/>
          <w:rFonts w:ascii="宋体" w:hAnsi="宋体" w:eastAsia="宋体" w:cs="宋体"/>
          <w:color w:val="auto"/>
          <w:sz w:val="24"/>
          <w:szCs w:val="24"/>
          <w:highlight w:val="none"/>
          <w:lang w:val="zh-TW" w:eastAsia="zh-TW"/>
        </w:rPr>
        <w:t>号院</w:t>
      </w:r>
      <w:r>
        <w:rPr>
          <w:rStyle w:val="258"/>
          <w:rFonts w:ascii="宋体" w:hAnsi="宋体" w:eastAsia="宋体" w:cs="宋体"/>
          <w:color w:val="auto"/>
          <w:sz w:val="24"/>
          <w:szCs w:val="24"/>
          <w:highlight w:val="none"/>
        </w:rPr>
        <w:t>3</w:t>
      </w:r>
      <w:r>
        <w:rPr>
          <w:rStyle w:val="258"/>
          <w:rFonts w:ascii="宋体" w:hAnsi="宋体" w:eastAsia="宋体" w:cs="宋体"/>
          <w:color w:val="auto"/>
          <w:sz w:val="24"/>
          <w:szCs w:val="24"/>
          <w:highlight w:val="none"/>
          <w:lang w:val="zh-TW" w:eastAsia="zh-TW"/>
        </w:rPr>
        <w:t>号楼</w:t>
      </w:r>
      <w:r>
        <w:rPr>
          <w:rStyle w:val="258"/>
          <w:rFonts w:ascii="宋体" w:hAnsi="宋体" w:eastAsia="宋体" w:cs="宋体"/>
          <w:color w:val="auto"/>
          <w:sz w:val="24"/>
          <w:szCs w:val="24"/>
          <w:highlight w:val="none"/>
        </w:rPr>
        <w:t>3</w:t>
      </w:r>
      <w:r>
        <w:rPr>
          <w:rStyle w:val="258"/>
          <w:rFonts w:ascii="宋体" w:hAnsi="宋体" w:eastAsia="宋体" w:cs="宋体"/>
          <w:color w:val="auto"/>
          <w:sz w:val="24"/>
          <w:szCs w:val="24"/>
          <w:highlight w:val="none"/>
          <w:lang w:val="zh-TW" w:eastAsia="zh-TW"/>
        </w:rPr>
        <w:t>层</w:t>
      </w:r>
      <w:r>
        <w:rPr>
          <w:rStyle w:val="258"/>
          <w:rFonts w:ascii="宋体" w:hAnsi="宋体" w:eastAsia="宋体" w:cs="宋体"/>
          <w:color w:val="auto"/>
          <w:sz w:val="24"/>
          <w:szCs w:val="24"/>
          <w:highlight w:val="none"/>
        </w:rPr>
        <w:t>301</w:t>
      </w:r>
      <w:r>
        <w:rPr>
          <w:rStyle w:val="258"/>
          <w:rFonts w:ascii="宋体" w:hAnsi="宋体" w:eastAsia="宋体" w:cs="宋体"/>
          <w:color w:val="auto"/>
          <w:sz w:val="24"/>
          <w:szCs w:val="24"/>
          <w:highlight w:val="none"/>
          <w:lang w:val="zh-TW" w:eastAsia="zh-TW"/>
        </w:rPr>
        <w:t>室　</w:t>
      </w:r>
      <w:bookmarkEnd w:id="36"/>
    </w:p>
    <w:p w14:paraId="03093C89">
      <w:pPr>
        <w:pStyle w:val="257"/>
        <w:spacing w:line="360" w:lineRule="auto"/>
        <w:ind w:firstLine="787" w:firstLineChars="328"/>
        <w:rPr>
          <w:rStyle w:val="258"/>
          <w:rFonts w:ascii="宋体" w:hAnsi="宋体" w:eastAsia="宋体" w:cs="宋体"/>
          <w:color w:val="auto"/>
          <w:sz w:val="24"/>
          <w:szCs w:val="24"/>
          <w:highlight w:val="none"/>
        </w:rPr>
      </w:pPr>
      <w:r>
        <w:rPr>
          <w:rStyle w:val="258"/>
          <w:rFonts w:ascii="宋体" w:hAnsi="宋体" w:eastAsia="宋体" w:cs="宋体"/>
          <w:color w:val="auto"/>
          <w:sz w:val="24"/>
          <w:szCs w:val="24"/>
          <w:highlight w:val="none"/>
          <w:lang w:val="zh-TW" w:eastAsia="zh-TW"/>
        </w:rPr>
        <w:t>联系方式：</w:t>
      </w:r>
      <w:r>
        <w:rPr>
          <w:rStyle w:val="258"/>
          <w:rFonts w:ascii="宋体" w:hAnsi="宋体" w:eastAsia="宋体" w:cs="宋体"/>
          <w:color w:val="auto"/>
          <w:sz w:val="24"/>
          <w:szCs w:val="24"/>
          <w:highlight w:val="none"/>
        </w:rPr>
        <w:t>010-60230611</w:t>
      </w:r>
      <w:r>
        <w:rPr>
          <w:rStyle w:val="258"/>
          <w:rFonts w:hint="eastAsia" w:ascii="宋体" w:hAnsi="宋体" w:eastAsia="宋体" w:cs="宋体"/>
          <w:color w:val="auto"/>
          <w:sz w:val="24"/>
          <w:szCs w:val="24"/>
          <w:highlight w:val="none"/>
        </w:rPr>
        <w:t>-8009</w:t>
      </w:r>
    </w:p>
    <w:p w14:paraId="09C73914">
      <w:pPr>
        <w:pStyle w:val="257"/>
        <w:spacing w:line="360" w:lineRule="auto"/>
        <w:ind w:firstLine="793" w:firstLineChars="329"/>
        <w:rPr>
          <w:rStyle w:val="258"/>
          <w:rFonts w:ascii="宋体" w:hAnsi="宋体" w:eastAsia="宋体" w:cs="宋体"/>
          <w:b/>
          <w:bCs/>
          <w:color w:val="auto"/>
          <w:sz w:val="24"/>
          <w:szCs w:val="24"/>
          <w:highlight w:val="none"/>
          <w:u w:val="single"/>
        </w:rPr>
      </w:pPr>
      <w:r>
        <w:rPr>
          <w:rStyle w:val="258"/>
          <w:rFonts w:ascii="宋体" w:hAnsi="宋体" w:eastAsia="宋体" w:cs="宋体"/>
          <w:b/>
          <w:bCs/>
          <w:color w:val="auto"/>
          <w:sz w:val="24"/>
          <w:szCs w:val="24"/>
          <w:highlight w:val="none"/>
        </w:rPr>
        <w:t>3.</w:t>
      </w:r>
      <w:r>
        <w:rPr>
          <w:rStyle w:val="258"/>
          <w:rFonts w:ascii="宋体" w:hAnsi="宋体" w:eastAsia="宋体" w:cs="宋体"/>
          <w:b/>
          <w:bCs/>
          <w:color w:val="auto"/>
          <w:sz w:val="24"/>
          <w:szCs w:val="24"/>
          <w:highlight w:val="none"/>
          <w:lang w:val="zh-TW" w:eastAsia="zh-TW"/>
        </w:rPr>
        <w:t>项目联系方式</w:t>
      </w:r>
    </w:p>
    <w:p w14:paraId="08401314">
      <w:pPr>
        <w:pStyle w:val="257"/>
        <w:spacing w:line="360" w:lineRule="auto"/>
        <w:ind w:right="960" w:firstLine="787" w:firstLineChars="328"/>
        <w:rPr>
          <w:rStyle w:val="258"/>
          <w:rFonts w:ascii="宋体" w:hAnsi="宋体" w:eastAsia="宋体" w:cs="宋体"/>
          <w:color w:val="auto"/>
          <w:sz w:val="24"/>
          <w:szCs w:val="24"/>
          <w:highlight w:val="none"/>
          <w:lang w:val="zh-TW" w:eastAsia="zh-TW"/>
        </w:rPr>
      </w:pPr>
      <w:r>
        <w:rPr>
          <w:rStyle w:val="258"/>
          <w:rFonts w:ascii="宋体" w:hAnsi="宋体" w:eastAsia="宋体" w:cs="宋体"/>
          <w:color w:val="auto"/>
          <w:sz w:val="24"/>
          <w:szCs w:val="24"/>
          <w:highlight w:val="none"/>
          <w:lang w:val="zh-TW" w:eastAsia="zh-TW"/>
        </w:rPr>
        <w:t>项目联系人：</w:t>
      </w:r>
      <w:bookmarkStart w:id="37" w:name="OLE_LINK8"/>
      <w:r>
        <w:rPr>
          <w:rStyle w:val="258"/>
          <w:rFonts w:hint="eastAsia" w:ascii="宋体" w:hAnsi="宋体" w:eastAsia="宋体" w:cs="宋体"/>
          <w:color w:val="auto"/>
          <w:sz w:val="24"/>
          <w:szCs w:val="24"/>
          <w:highlight w:val="none"/>
        </w:rPr>
        <w:t>窦冰雪</w:t>
      </w:r>
      <w:r>
        <w:rPr>
          <w:rStyle w:val="258"/>
          <w:rFonts w:ascii="宋体" w:hAnsi="宋体" w:eastAsia="宋体" w:cs="宋体"/>
          <w:color w:val="auto"/>
          <w:sz w:val="24"/>
          <w:szCs w:val="24"/>
          <w:highlight w:val="none"/>
          <w:lang w:val="zh-TW" w:eastAsia="zh-TW"/>
        </w:rPr>
        <w:t>、</w:t>
      </w:r>
      <w:r>
        <w:rPr>
          <w:rStyle w:val="258"/>
          <w:rFonts w:hint="eastAsia" w:ascii="宋体" w:hAnsi="宋体" w:eastAsia="宋体" w:cs="宋体"/>
          <w:color w:val="auto"/>
          <w:sz w:val="24"/>
          <w:szCs w:val="24"/>
          <w:highlight w:val="none"/>
        </w:rPr>
        <w:t>安冬</w:t>
      </w:r>
      <w:bookmarkEnd w:id="37"/>
      <w:r>
        <w:rPr>
          <w:rStyle w:val="258"/>
          <w:rFonts w:ascii="宋体" w:hAnsi="宋体" w:eastAsia="宋体" w:cs="宋体"/>
          <w:color w:val="auto"/>
          <w:sz w:val="24"/>
          <w:szCs w:val="24"/>
          <w:highlight w:val="none"/>
          <w:lang w:val="zh-TW" w:eastAsia="zh-TW"/>
        </w:rPr>
        <w:t>　</w:t>
      </w:r>
    </w:p>
    <w:p w14:paraId="1F2DCB07">
      <w:pPr>
        <w:pStyle w:val="257"/>
        <w:spacing w:line="360" w:lineRule="auto"/>
        <w:ind w:right="960" w:firstLine="787" w:firstLineChars="328"/>
        <w:rPr>
          <w:rStyle w:val="258"/>
          <w:rFonts w:ascii="宋体" w:hAnsi="宋体" w:eastAsia="宋体" w:cs="宋体"/>
          <w:color w:val="auto"/>
          <w:sz w:val="24"/>
          <w:szCs w:val="24"/>
          <w:highlight w:val="none"/>
        </w:rPr>
      </w:pPr>
      <w:r>
        <w:rPr>
          <w:rStyle w:val="258"/>
          <w:rFonts w:ascii="宋体" w:hAnsi="宋体" w:eastAsia="宋体" w:cs="宋体"/>
          <w:color w:val="auto"/>
          <w:sz w:val="24"/>
          <w:szCs w:val="24"/>
          <w:highlight w:val="none"/>
          <w:lang w:val="zh-TW" w:eastAsia="zh-TW"/>
        </w:rPr>
        <w:t>电　    话：</w:t>
      </w:r>
      <w:r>
        <w:rPr>
          <w:rStyle w:val="258"/>
          <w:rFonts w:ascii="宋体" w:hAnsi="宋体" w:eastAsia="宋体" w:cs="宋体"/>
          <w:color w:val="auto"/>
          <w:sz w:val="24"/>
          <w:szCs w:val="24"/>
          <w:highlight w:val="none"/>
        </w:rPr>
        <w:t>010-60230611</w:t>
      </w:r>
      <w:r>
        <w:rPr>
          <w:rStyle w:val="258"/>
          <w:rFonts w:hint="eastAsia" w:ascii="宋体" w:hAnsi="宋体" w:eastAsia="宋体" w:cs="宋体"/>
          <w:color w:val="auto"/>
          <w:sz w:val="24"/>
          <w:szCs w:val="24"/>
          <w:highlight w:val="none"/>
        </w:rPr>
        <w:t>-8009</w:t>
      </w:r>
    </w:p>
    <w:p w14:paraId="0E74C16A">
      <w:pPr>
        <w:spacing w:line="360" w:lineRule="auto"/>
        <w:ind w:firstLine="5880" w:firstLineChars="2450"/>
        <w:jc w:val="right"/>
        <w:rPr>
          <w:rFonts w:eastAsiaTheme="minorEastAsia"/>
          <w:sz w:val="24"/>
        </w:rPr>
      </w:pPr>
    </w:p>
    <w:p w14:paraId="23CE033E">
      <w:pPr>
        <w:spacing w:line="360" w:lineRule="auto"/>
        <w:jc w:val="center"/>
        <w:outlineLvl w:val="0"/>
        <w:rPr>
          <w:rFonts w:eastAsiaTheme="minorEastAsia"/>
          <w:b/>
          <w:sz w:val="32"/>
          <w:szCs w:val="32"/>
        </w:rPr>
      </w:pPr>
      <w:r>
        <w:rPr>
          <w:rFonts w:eastAsiaTheme="minorEastAsia"/>
          <w:sz w:val="24"/>
        </w:rPr>
        <w:br w:type="page"/>
      </w:r>
      <w:bookmarkStart w:id="38" w:name="_Toc195842950"/>
      <w:bookmarkStart w:id="39" w:name="_Toc305158854"/>
      <w:bookmarkStart w:id="40" w:name="_Toc512937850"/>
      <w:bookmarkStart w:id="41" w:name="_Toc127151777"/>
      <w:bookmarkStart w:id="42" w:name="_Toc353873938"/>
      <w:bookmarkStart w:id="43" w:name="_Toc150774783"/>
      <w:bookmarkStart w:id="44" w:name="_Toc127161488"/>
      <w:bookmarkStart w:id="45" w:name="_Toc353825548"/>
      <w:bookmarkStart w:id="46" w:name="_Toc226965856"/>
      <w:bookmarkStart w:id="47" w:name="_Toc265228423"/>
      <w:bookmarkStart w:id="48" w:name="_Toc305158928"/>
      <w:bookmarkStart w:id="49" w:name="_Toc264969275"/>
      <w:bookmarkStart w:id="50" w:name="_Toc167110015"/>
      <w:r>
        <w:rPr>
          <w:rFonts w:eastAsiaTheme="minorEastAsia"/>
          <w:b/>
          <w:sz w:val="36"/>
          <w:szCs w:val="36"/>
        </w:rPr>
        <w:t>第二章   供应商须知</w:t>
      </w:r>
      <w:bookmarkEnd w:id="38"/>
      <w:bookmarkEnd w:id="39"/>
      <w:bookmarkEnd w:id="40"/>
      <w:bookmarkEnd w:id="41"/>
      <w:bookmarkEnd w:id="42"/>
      <w:bookmarkEnd w:id="43"/>
      <w:bookmarkEnd w:id="44"/>
      <w:bookmarkEnd w:id="45"/>
      <w:bookmarkEnd w:id="46"/>
      <w:bookmarkEnd w:id="47"/>
      <w:bookmarkEnd w:id="48"/>
      <w:bookmarkEnd w:id="49"/>
      <w:bookmarkEnd w:id="50"/>
    </w:p>
    <w:p w14:paraId="07ECE340">
      <w:pPr>
        <w:pStyle w:val="5"/>
        <w:tabs>
          <w:tab w:val="center" w:pos="4592"/>
          <w:tab w:val="left" w:pos="7860"/>
        </w:tabs>
        <w:spacing w:before="0" w:line="360" w:lineRule="auto"/>
        <w:rPr>
          <w:rFonts w:ascii="Times New Roman" w:hAnsi="Times New Roman" w:eastAsiaTheme="minorEastAsia"/>
          <w:b w:val="0"/>
          <w:sz w:val="28"/>
        </w:rPr>
      </w:pPr>
      <w:bookmarkStart w:id="51" w:name="_Toc226965709"/>
      <w:bookmarkStart w:id="52" w:name="_Toc142311021"/>
      <w:bookmarkStart w:id="53" w:name="_Toc127161433"/>
      <w:bookmarkStart w:id="54" w:name="_Toc151193761"/>
      <w:bookmarkStart w:id="55" w:name="_Toc226337215"/>
      <w:bookmarkStart w:id="56" w:name="_Toc150774724"/>
      <w:bookmarkStart w:id="57" w:name="_Toc127151720"/>
      <w:bookmarkStart w:id="58" w:name="_Toc151193833"/>
      <w:bookmarkStart w:id="59" w:name="_Toc127151519"/>
      <w:bookmarkStart w:id="60" w:name="_Toc151193689"/>
      <w:bookmarkStart w:id="61" w:name="_Toc151193617"/>
      <w:bookmarkStart w:id="62" w:name="_Toc164229214"/>
      <w:bookmarkStart w:id="63" w:name="_Toc226965792"/>
      <w:bookmarkStart w:id="64" w:name="_Toc150509270"/>
      <w:bookmarkStart w:id="65" w:name="_Toc151190146"/>
      <w:bookmarkStart w:id="66" w:name="_Toc149720812"/>
      <w:bookmarkStart w:id="67" w:name="_Toc164351613"/>
      <w:bookmarkStart w:id="68" w:name="_Toc195842884"/>
      <w:bookmarkStart w:id="69" w:name="_Toc164608788"/>
      <w:bookmarkStart w:id="70" w:name="_Toc151193907"/>
      <w:bookmarkStart w:id="71" w:name="_Toc164229360"/>
      <w:bookmarkStart w:id="72" w:name="_Toc226309763"/>
      <w:bookmarkStart w:id="73" w:name="_Toc150480757"/>
      <w:bookmarkStart w:id="74" w:name="_Toc164608633"/>
      <w:bookmarkStart w:id="75" w:name="_Toc520356144"/>
      <w:bookmarkStart w:id="76" w:name="_Toc150774619"/>
      <w:r>
        <w:rPr>
          <w:rFonts w:ascii="Times New Roman" w:hAnsi="Times New Roman" w:eastAsiaTheme="minorEastAsia"/>
          <w:sz w:val="28"/>
        </w:rPr>
        <w:t>供应商须知资料表</w:t>
      </w:r>
    </w:p>
    <w:p w14:paraId="1BA53B40">
      <w:pPr>
        <w:jc w:val="center"/>
        <w:rPr>
          <w:rFonts w:eastAsiaTheme="minorEastAsia"/>
          <w:b/>
          <w:sz w:val="28"/>
          <w:szCs w:val="28"/>
        </w:rPr>
      </w:pPr>
    </w:p>
    <w:p w14:paraId="4AA37CBC">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hint="eastAsia" w:eastAsiaTheme="minorEastAsia"/>
          <w:bCs/>
        </w:rPr>
        <w:t>■</w:t>
      </w:r>
      <w:r>
        <w:rPr>
          <w:rFonts w:eastAsiaTheme="minorEastAsia"/>
          <w:color w:val="000000"/>
          <w:sz w:val="24"/>
        </w:rPr>
        <w:t>”</w:t>
      </w:r>
      <w:r>
        <w:rPr>
          <w:rFonts w:eastAsiaTheme="minorEastAsia"/>
          <w:sz w:val="24"/>
        </w:rPr>
        <w:t>的选项意为适用于本项目，标记“</w:t>
      </w:r>
      <w:r>
        <w:rPr>
          <w:rFonts w:eastAsiaTheme="minorEastAsia"/>
        </w:rPr>
        <w:t>□</w:t>
      </w:r>
      <w:r>
        <w:rPr>
          <w:rFonts w:eastAsiaTheme="minorEastAsia"/>
          <w:sz w:val="24"/>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5D595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47A7B8C">
            <w:pPr>
              <w:jc w:val="center"/>
              <w:rPr>
                <w:rFonts w:eastAsiaTheme="minorEastAsia"/>
                <w:b/>
                <w:bCs/>
                <w:sz w:val="24"/>
              </w:rPr>
            </w:pPr>
            <w:r>
              <w:rPr>
                <w:rFonts w:eastAsiaTheme="minorEastAsia"/>
                <w:b/>
                <w:sz w:val="24"/>
              </w:rPr>
              <w:t>条款号</w:t>
            </w:r>
          </w:p>
        </w:tc>
        <w:tc>
          <w:tcPr>
            <w:tcW w:w="1701" w:type="dxa"/>
            <w:vAlign w:val="center"/>
          </w:tcPr>
          <w:p w14:paraId="6D833E56">
            <w:pPr>
              <w:jc w:val="center"/>
              <w:rPr>
                <w:rFonts w:eastAsiaTheme="minorEastAsia"/>
                <w:b/>
                <w:bCs/>
                <w:sz w:val="24"/>
              </w:rPr>
            </w:pPr>
            <w:r>
              <w:rPr>
                <w:rFonts w:eastAsiaTheme="minorEastAsia"/>
                <w:b/>
                <w:bCs/>
                <w:sz w:val="24"/>
              </w:rPr>
              <w:t>条目</w:t>
            </w:r>
          </w:p>
        </w:tc>
        <w:tc>
          <w:tcPr>
            <w:tcW w:w="7253" w:type="dxa"/>
            <w:vAlign w:val="center"/>
          </w:tcPr>
          <w:p w14:paraId="4D6C7AEB">
            <w:pPr>
              <w:jc w:val="center"/>
              <w:rPr>
                <w:rFonts w:eastAsiaTheme="minorEastAsia"/>
                <w:b/>
                <w:bCs/>
                <w:sz w:val="24"/>
              </w:rPr>
            </w:pPr>
            <w:r>
              <w:rPr>
                <w:rFonts w:eastAsiaTheme="minorEastAsia"/>
                <w:b/>
                <w:bCs/>
                <w:sz w:val="24"/>
              </w:rPr>
              <w:t>内容</w:t>
            </w:r>
          </w:p>
        </w:tc>
      </w:tr>
      <w:tr w14:paraId="7479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988" w:type="dxa"/>
            <w:vAlign w:val="center"/>
          </w:tcPr>
          <w:p w14:paraId="227419B9">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7959DAA8">
            <w:pPr>
              <w:jc w:val="center"/>
              <w:rPr>
                <w:rFonts w:eastAsiaTheme="minorEastAsia"/>
                <w:sz w:val="24"/>
              </w:rPr>
            </w:pPr>
            <w:r>
              <w:rPr>
                <w:rFonts w:eastAsiaTheme="minorEastAsia"/>
                <w:sz w:val="24"/>
              </w:rPr>
              <w:t>项目属性</w:t>
            </w:r>
          </w:p>
        </w:tc>
        <w:tc>
          <w:tcPr>
            <w:tcW w:w="7253" w:type="dxa"/>
            <w:vAlign w:val="center"/>
          </w:tcPr>
          <w:p w14:paraId="39441457">
            <w:pPr>
              <w:jc w:val="left"/>
              <w:rPr>
                <w:rFonts w:eastAsiaTheme="minorEastAsia"/>
                <w:sz w:val="24"/>
              </w:rPr>
            </w:pPr>
            <w:r>
              <w:rPr>
                <w:rFonts w:eastAsiaTheme="minorEastAsia"/>
                <w:sz w:val="24"/>
              </w:rPr>
              <w:t>项目属性：</w:t>
            </w:r>
          </w:p>
          <w:p w14:paraId="1F6A815A">
            <w:pPr>
              <w:jc w:val="left"/>
              <w:rPr>
                <w:rFonts w:eastAsiaTheme="minorEastAsia"/>
                <w:sz w:val="24"/>
              </w:rPr>
            </w:pPr>
            <w:r>
              <w:rPr>
                <w:rFonts w:hint="eastAsia"/>
                <w:bCs/>
                <w:sz w:val="24"/>
              </w:rPr>
              <w:t>□</w:t>
            </w:r>
            <w:r>
              <w:rPr>
                <w:rFonts w:eastAsiaTheme="minorEastAsia"/>
                <w:sz w:val="24"/>
              </w:rPr>
              <w:t>服务</w:t>
            </w:r>
          </w:p>
          <w:p w14:paraId="7ED50465">
            <w:pPr>
              <w:jc w:val="left"/>
              <w:rPr>
                <w:rFonts w:eastAsiaTheme="minorEastAsia"/>
                <w:sz w:val="24"/>
              </w:rPr>
            </w:pPr>
            <w:r>
              <w:rPr>
                <w:rFonts w:hint="eastAsia"/>
                <w:bCs/>
                <w:sz w:val="24"/>
              </w:rPr>
              <w:t>□</w:t>
            </w:r>
            <w:r>
              <w:rPr>
                <w:rFonts w:eastAsiaTheme="minorEastAsia"/>
                <w:sz w:val="24"/>
              </w:rPr>
              <w:t>货物</w:t>
            </w:r>
          </w:p>
          <w:p w14:paraId="02442FE3">
            <w:pPr>
              <w:jc w:val="left"/>
              <w:rPr>
                <w:sz w:val="24"/>
              </w:rPr>
            </w:pPr>
            <w:r>
              <w:rPr>
                <w:rFonts w:hint="eastAsia" w:eastAsiaTheme="minorEastAsia"/>
                <w:sz w:val="24"/>
              </w:rPr>
              <w:t>■</w:t>
            </w:r>
            <w:r>
              <w:rPr>
                <w:sz w:val="24"/>
              </w:rPr>
              <w:t>工程</w:t>
            </w:r>
          </w:p>
        </w:tc>
      </w:tr>
      <w:tr w14:paraId="5DFF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12CBF2">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0D041CA3">
            <w:pPr>
              <w:jc w:val="center"/>
              <w:rPr>
                <w:rFonts w:eastAsiaTheme="minorEastAsia"/>
                <w:sz w:val="24"/>
              </w:rPr>
            </w:pPr>
            <w:r>
              <w:rPr>
                <w:rFonts w:eastAsiaTheme="minorEastAsia"/>
                <w:sz w:val="24"/>
              </w:rPr>
              <w:t>科研仪器设备</w:t>
            </w:r>
          </w:p>
        </w:tc>
        <w:tc>
          <w:tcPr>
            <w:tcW w:w="7253" w:type="dxa"/>
            <w:vAlign w:val="center"/>
          </w:tcPr>
          <w:p w14:paraId="5A8CA7C9">
            <w:pPr>
              <w:jc w:val="left"/>
              <w:rPr>
                <w:rFonts w:eastAsiaTheme="minorEastAsia"/>
                <w:sz w:val="24"/>
              </w:rPr>
            </w:pPr>
            <w:r>
              <w:rPr>
                <w:rFonts w:eastAsiaTheme="minorEastAsia"/>
                <w:sz w:val="24"/>
              </w:rPr>
              <w:t>是否属于科研仪器设备采购项目：</w:t>
            </w:r>
          </w:p>
          <w:p w14:paraId="088E8FCA">
            <w:pPr>
              <w:jc w:val="left"/>
              <w:rPr>
                <w:rFonts w:eastAsiaTheme="minorEastAsia"/>
                <w:sz w:val="24"/>
              </w:rPr>
            </w:pPr>
            <w:r>
              <w:rPr>
                <w:rFonts w:hint="eastAsia" w:eastAsiaTheme="minorEastAsia"/>
                <w:sz w:val="24"/>
              </w:rPr>
              <w:t>□</w:t>
            </w:r>
            <w:r>
              <w:rPr>
                <w:rFonts w:eastAsiaTheme="minorEastAsia"/>
                <w:sz w:val="24"/>
              </w:rPr>
              <w:t>是</w:t>
            </w:r>
          </w:p>
          <w:p w14:paraId="06F1FC27">
            <w:pPr>
              <w:jc w:val="left"/>
              <w:rPr>
                <w:rFonts w:eastAsiaTheme="minorEastAsia"/>
                <w:sz w:val="24"/>
              </w:rPr>
            </w:pPr>
            <w:r>
              <w:rPr>
                <w:rFonts w:hint="eastAsia" w:eastAsiaTheme="minorEastAsia"/>
                <w:sz w:val="24"/>
              </w:rPr>
              <w:t>■</w:t>
            </w:r>
            <w:r>
              <w:rPr>
                <w:rFonts w:eastAsiaTheme="minorEastAsia"/>
                <w:sz w:val="24"/>
              </w:rPr>
              <w:t>否</w:t>
            </w:r>
          </w:p>
        </w:tc>
      </w:tr>
      <w:tr w14:paraId="4BB5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A2C0DA7">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08F56575">
            <w:pPr>
              <w:jc w:val="center"/>
              <w:rPr>
                <w:rFonts w:eastAsiaTheme="minorEastAsia"/>
                <w:sz w:val="24"/>
                <w:highlight w:val="none"/>
              </w:rPr>
            </w:pPr>
            <w:r>
              <w:rPr>
                <w:rFonts w:eastAsiaTheme="minorEastAsia"/>
                <w:sz w:val="24"/>
                <w:highlight w:val="none"/>
              </w:rPr>
              <w:t>现场考察</w:t>
            </w:r>
          </w:p>
        </w:tc>
        <w:tc>
          <w:tcPr>
            <w:tcW w:w="7253" w:type="dxa"/>
            <w:vAlign w:val="center"/>
          </w:tcPr>
          <w:p w14:paraId="6AE487BD">
            <w:pPr>
              <w:jc w:val="left"/>
              <w:rPr>
                <w:rFonts w:eastAsiaTheme="minorEastAsia"/>
                <w:sz w:val="24"/>
                <w:highlight w:val="none"/>
              </w:rPr>
            </w:pPr>
            <w:r>
              <w:rPr>
                <w:rFonts w:hint="eastAsia" w:eastAsiaTheme="minorEastAsia"/>
                <w:sz w:val="24"/>
                <w:highlight w:val="none"/>
              </w:rPr>
              <w:t>□</w:t>
            </w:r>
            <w:r>
              <w:rPr>
                <w:rFonts w:eastAsiaTheme="minorEastAsia"/>
                <w:sz w:val="24"/>
                <w:highlight w:val="none"/>
              </w:rPr>
              <w:t>不组织</w:t>
            </w:r>
          </w:p>
          <w:p w14:paraId="00DC3FA1">
            <w:pPr>
              <w:jc w:val="left"/>
              <w:rPr>
                <w:rFonts w:eastAsiaTheme="minorEastAsia"/>
                <w:sz w:val="24"/>
                <w:highlight w:val="none"/>
              </w:rPr>
            </w:pPr>
            <w:r>
              <w:rPr>
                <w:rFonts w:hint="eastAsia" w:eastAsiaTheme="minorEastAsia"/>
                <w:sz w:val="24"/>
                <w:highlight w:val="none"/>
              </w:rPr>
              <w:t>■</w:t>
            </w:r>
            <w:r>
              <w:rPr>
                <w:rFonts w:eastAsiaTheme="minorEastAsia"/>
                <w:sz w:val="24"/>
                <w:highlight w:val="none"/>
              </w:rPr>
              <w:t>组织，考察时间</w:t>
            </w:r>
            <w:r>
              <w:rPr>
                <w:rFonts w:hint="eastAsia" w:eastAsiaTheme="minorEastAsia"/>
                <w:sz w:val="24"/>
                <w:highlight w:val="none"/>
                <w:lang w:val="en-US" w:eastAsia="zh-CN"/>
              </w:rPr>
              <w:t>2026</w:t>
            </w:r>
            <w:r>
              <w:rPr>
                <w:rFonts w:eastAsiaTheme="minorEastAsia"/>
                <w:sz w:val="24"/>
                <w:highlight w:val="none"/>
              </w:rPr>
              <w:t>年</w:t>
            </w:r>
            <w:r>
              <w:rPr>
                <w:rFonts w:hint="eastAsia" w:eastAsiaTheme="minorEastAsia"/>
                <w:sz w:val="24"/>
                <w:highlight w:val="none"/>
                <w:lang w:val="en-US" w:eastAsia="zh-CN"/>
              </w:rPr>
              <w:t>07</w:t>
            </w:r>
            <w:r>
              <w:rPr>
                <w:rFonts w:eastAsiaTheme="minorEastAsia"/>
                <w:sz w:val="24"/>
                <w:highlight w:val="none"/>
              </w:rPr>
              <w:t>月</w:t>
            </w:r>
            <w:r>
              <w:rPr>
                <w:rFonts w:hint="eastAsia" w:eastAsiaTheme="minorEastAsia"/>
                <w:sz w:val="24"/>
                <w:highlight w:val="none"/>
                <w:lang w:val="en-US" w:eastAsia="zh-CN"/>
              </w:rPr>
              <w:t>10</w:t>
            </w:r>
            <w:r>
              <w:rPr>
                <w:rFonts w:eastAsiaTheme="minorEastAsia"/>
                <w:sz w:val="24"/>
                <w:highlight w:val="none"/>
              </w:rPr>
              <w:t>日</w:t>
            </w:r>
            <w:r>
              <w:rPr>
                <w:rFonts w:hint="eastAsia" w:eastAsiaTheme="minorEastAsia"/>
                <w:sz w:val="24"/>
                <w:highlight w:val="none"/>
                <w:lang w:val="en-US" w:eastAsia="zh-CN"/>
              </w:rPr>
              <w:t>10</w:t>
            </w:r>
            <w:r>
              <w:rPr>
                <w:rFonts w:eastAsiaTheme="minorEastAsia"/>
                <w:sz w:val="24"/>
                <w:highlight w:val="none"/>
              </w:rPr>
              <w:t>点</w:t>
            </w:r>
            <w:r>
              <w:rPr>
                <w:rFonts w:hint="eastAsia" w:eastAsiaTheme="minorEastAsia"/>
                <w:sz w:val="24"/>
                <w:highlight w:val="none"/>
                <w:lang w:val="en-US" w:eastAsia="zh-CN"/>
              </w:rPr>
              <w:t>00</w:t>
            </w:r>
            <w:r>
              <w:rPr>
                <w:rFonts w:eastAsiaTheme="minorEastAsia"/>
                <w:sz w:val="24"/>
                <w:highlight w:val="none"/>
              </w:rPr>
              <w:t>分</w:t>
            </w:r>
          </w:p>
          <w:p w14:paraId="2121B822">
            <w:pPr>
              <w:jc w:val="left"/>
              <w:rPr>
                <w:rFonts w:hint="default" w:eastAsiaTheme="minorEastAsia"/>
                <w:sz w:val="24"/>
                <w:highlight w:val="none"/>
              </w:rPr>
            </w:pPr>
            <w:r>
              <w:rPr>
                <w:rFonts w:hint="default" w:eastAsiaTheme="minorEastAsia"/>
                <w:sz w:val="24"/>
                <w:highlight w:val="none"/>
              </w:rPr>
              <w:t>考察地点：</w:t>
            </w:r>
            <w:r>
              <w:rPr>
                <w:bCs/>
                <w:sz w:val="24"/>
                <w:highlight w:val="none"/>
                <w:u w:val="single"/>
              </w:rPr>
              <w:t>北京市丰台区光彩北路4号（北京市木樨园体育运动技术学校）</w:t>
            </w:r>
            <w:r>
              <w:rPr>
                <w:rFonts w:hint="default" w:eastAsiaTheme="minorEastAsia"/>
                <w:sz w:val="24"/>
                <w:highlight w:val="none"/>
              </w:rPr>
              <w:t>。</w:t>
            </w:r>
          </w:p>
        </w:tc>
      </w:tr>
      <w:tr w14:paraId="24A8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7AE233E">
            <w:pPr>
              <w:pStyle w:val="25"/>
              <w:adjustRightInd w:val="0"/>
              <w:snapToGrid w:val="0"/>
              <w:jc w:val="center"/>
              <w:rPr>
                <w:rFonts w:hint="default" w:ascii="Times New Roman" w:hAnsi="Times New Roman" w:eastAsiaTheme="minorEastAsia"/>
                <w:sz w:val="24"/>
                <w:szCs w:val="24"/>
              </w:rPr>
            </w:pPr>
          </w:p>
        </w:tc>
        <w:tc>
          <w:tcPr>
            <w:tcW w:w="1701" w:type="dxa"/>
            <w:vAlign w:val="center"/>
          </w:tcPr>
          <w:p w14:paraId="449AF1B7">
            <w:pPr>
              <w:jc w:val="center"/>
              <w:rPr>
                <w:rFonts w:eastAsiaTheme="minorEastAsia"/>
                <w:sz w:val="24"/>
                <w:highlight w:val="none"/>
              </w:rPr>
            </w:pPr>
            <w:r>
              <w:rPr>
                <w:rFonts w:eastAsiaTheme="minorEastAsia"/>
                <w:sz w:val="24"/>
                <w:highlight w:val="none"/>
              </w:rPr>
              <w:t>磋商前答疑会</w:t>
            </w:r>
          </w:p>
        </w:tc>
        <w:tc>
          <w:tcPr>
            <w:tcW w:w="7253" w:type="dxa"/>
            <w:vAlign w:val="center"/>
          </w:tcPr>
          <w:p w14:paraId="1E4906C5">
            <w:pPr>
              <w:jc w:val="left"/>
              <w:rPr>
                <w:rFonts w:eastAsiaTheme="minorEastAsia"/>
                <w:sz w:val="24"/>
                <w:highlight w:val="none"/>
              </w:rPr>
            </w:pPr>
            <w:r>
              <w:rPr>
                <w:rFonts w:hint="eastAsia" w:eastAsiaTheme="minorEastAsia"/>
                <w:sz w:val="24"/>
                <w:highlight w:val="none"/>
              </w:rPr>
              <w:t>■</w:t>
            </w:r>
            <w:r>
              <w:rPr>
                <w:rFonts w:eastAsiaTheme="minorEastAsia"/>
                <w:sz w:val="24"/>
                <w:highlight w:val="none"/>
              </w:rPr>
              <w:t>不召开</w:t>
            </w:r>
          </w:p>
          <w:p w14:paraId="57F1D492">
            <w:pPr>
              <w:jc w:val="left"/>
              <w:rPr>
                <w:rFonts w:eastAsiaTheme="minorEastAsia"/>
                <w:sz w:val="24"/>
                <w:highlight w:val="none"/>
              </w:rPr>
            </w:pPr>
            <w:bookmarkStart w:id="77" w:name="OLE_LINK17"/>
            <w:r>
              <w:rPr>
                <w:rFonts w:hint="eastAsia" w:eastAsiaTheme="minorEastAsia"/>
                <w:sz w:val="24"/>
                <w:highlight w:val="none"/>
              </w:rPr>
              <w:t>□</w:t>
            </w:r>
            <w:bookmarkEnd w:id="77"/>
            <w:r>
              <w:rPr>
                <w:rFonts w:eastAsiaTheme="minorEastAsia"/>
                <w:sz w:val="24"/>
                <w:highlight w:val="none"/>
              </w:rPr>
              <w:t>召开，召开时间：___年___月___日___点___分</w:t>
            </w:r>
          </w:p>
          <w:p w14:paraId="681324F4">
            <w:pPr>
              <w:jc w:val="left"/>
              <w:rPr>
                <w:rFonts w:eastAsiaTheme="minorEastAsia"/>
                <w:sz w:val="24"/>
                <w:highlight w:val="none"/>
              </w:rPr>
            </w:pPr>
            <w:r>
              <w:rPr>
                <w:rFonts w:eastAsiaTheme="minorEastAsia"/>
                <w:sz w:val="24"/>
                <w:highlight w:val="none"/>
              </w:rPr>
              <w:t>召开地点：___________。</w:t>
            </w:r>
          </w:p>
        </w:tc>
      </w:tr>
      <w:tr w14:paraId="3E86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4EC0561">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55BD8C7E">
            <w:pPr>
              <w:jc w:val="center"/>
              <w:rPr>
                <w:rFonts w:eastAsiaTheme="minorEastAsia"/>
                <w:sz w:val="24"/>
              </w:rPr>
            </w:pPr>
            <w:r>
              <w:rPr>
                <w:rFonts w:eastAsiaTheme="minorEastAsia"/>
                <w:sz w:val="24"/>
              </w:rPr>
              <w:t>标的所属行业</w:t>
            </w:r>
          </w:p>
        </w:tc>
        <w:tc>
          <w:tcPr>
            <w:tcW w:w="7253" w:type="dxa"/>
            <w:shd w:val="clear" w:color="auto" w:fill="auto"/>
            <w:vAlign w:val="center"/>
          </w:tcPr>
          <w:p w14:paraId="0D6B1F61">
            <w:pPr>
              <w:jc w:val="left"/>
              <w:rPr>
                <w:rFonts w:eastAsiaTheme="minorEastAsia"/>
                <w:sz w:val="24"/>
              </w:rPr>
            </w:pPr>
            <w:r>
              <w:rPr>
                <w:rFonts w:eastAsiaTheme="minorEastAsia"/>
                <w:sz w:val="24"/>
              </w:rPr>
              <w:t>本项目采购标的对应的中小企业划分标准所属行业：</w:t>
            </w:r>
          </w:p>
          <w:tbl>
            <w:tblPr>
              <w:tblStyle w:val="43"/>
              <w:tblW w:w="47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43"/>
              <w:gridCol w:w="3105"/>
            </w:tblGrid>
            <w:tr w14:paraId="6769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64" w:type="pct"/>
                  <w:tcBorders>
                    <w:top w:val="single" w:color="auto" w:sz="4" w:space="0"/>
                    <w:left w:val="single" w:color="auto" w:sz="4" w:space="0"/>
                    <w:bottom w:val="single" w:color="auto" w:sz="4" w:space="0"/>
                    <w:right w:val="single" w:color="auto" w:sz="4" w:space="0"/>
                  </w:tcBorders>
                  <w:vAlign w:val="center"/>
                </w:tcPr>
                <w:p w14:paraId="2A327D25">
                  <w:pPr>
                    <w:jc w:val="center"/>
                    <w:rPr>
                      <w:rFonts w:eastAsiaTheme="minorEastAsia"/>
                      <w:bCs/>
                      <w:sz w:val="24"/>
                      <w:highlight w:val="none"/>
                    </w:rPr>
                  </w:pPr>
                  <w:r>
                    <w:rPr>
                      <w:rFonts w:eastAsiaTheme="minorEastAsia"/>
                      <w:bCs/>
                      <w:sz w:val="24"/>
                      <w:highlight w:val="none"/>
                    </w:rPr>
                    <w:t>标的名称</w:t>
                  </w:r>
                </w:p>
              </w:tc>
              <w:tc>
                <w:tcPr>
                  <w:tcW w:w="2335" w:type="pct"/>
                  <w:tcBorders>
                    <w:top w:val="single" w:color="auto" w:sz="4" w:space="0"/>
                    <w:left w:val="single" w:color="auto" w:sz="4" w:space="0"/>
                    <w:bottom w:val="single" w:color="auto" w:sz="4" w:space="0"/>
                    <w:right w:val="single" w:color="auto" w:sz="4" w:space="0"/>
                  </w:tcBorders>
                  <w:vAlign w:val="center"/>
                </w:tcPr>
                <w:p w14:paraId="6588C5A9">
                  <w:pPr>
                    <w:jc w:val="center"/>
                    <w:rPr>
                      <w:rFonts w:eastAsiaTheme="minorEastAsia"/>
                      <w:sz w:val="24"/>
                      <w:highlight w:val="none"/>
                    </w:rPr>
                  </w:pPr>
                  <w:r>
                    <w:rPr>
                      <w:rFonts w:eastAsiaTheme="minorEastAsia"/>
                      <w:sz w:val="24"/>
                      <w:highlight w:val="none"/>
                    </w:rPr>
                    <w:t>中小企业划分标准所属行业</w:t>
                  </w:r>
                </w:p>
              </w:tc>
            </w:tr>
            <w:tr w14:paraId="4A898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64" w:type="pct"/>
                  <w:tcBorders>
                    <w:top w:val="single" w:color="auto" w:sz="4" w:space="0"/>
                    <w:left w:val="single" w:color="auto" w:sz="4" w:space="0"/>
                    <w:bottom w:val="single" w:color="auto" w:sz="4" w:space="0"/>
                    <w:right w:val="single" w:color="auto" w:sz="4" w:space="0"/>
                  </w:tcBorders>
                  <w:vAlign w:val="center"/>
                </w:tcPr>
                <w:p w14:paraId="5F56932F">
                  <w:pPr>
                    <w:jc w:val="center"/>
                    <w:rPr>
                      <w:rFonts w:eastAsiaTheme="minorEastAsia"/>
                      <w:bCs/>
                      <w:sz w:val="24"/>
                      <w:highlight w:val="none"/>
                    </w:rPr>
                  </w:pPr>
                  <w:r>
                    <w:rPr>
                      <w:rFonts w:hint="default" w:eastAsiaTheme="minorEastAsia"/>
                      <w:sz w:val="24"/>
                    </w:rPr>
                    <w:t>手球馆暖气系统设备维修改造</w:t>
                  </w:r>
                </w:p>
              </w:tc>
              <w:tc>
                <w:tcPr>
                  <w:tcW w:w="2335" w:type="pct"/>
                  <w:tcBorders>
                    <w:top w:val="single" w:color="auto" w:sz="4" w:space="0"/>
                    <w:left w:val="single" w:color="auto" w:sz="4" w:space="0"/>
                    <w:bottom w:val="single" w:color="auto" w:sz="4" w:space="0"/>
                    <w:right w:val="single" w:color="auto" w:sz="4" w:space="0"/>
                  </w:tcBorders>
                  <w:vAlign w:val="center"/>
                </w:tcPr>
                <w:p w14:paraId="3B769684">
                  <w:pPr>
                    <w:jc w:val="center"/>
                    <w:rPr>
                      <w:rFonts w:hint="default" w:eastAsiaTheme="minorEastAsia"/>
                      <w:kern w:val="0"/>
                      <w:sz w:val="24"/>
                      <w:highlight w:val="none"/>
                      <w:lang w:val="en-US" w:eastAsia="zh-CN"/>
                    </w:rPr>
                  </w:pPr>
                  <w:r>
                    <w:rPr>
                      <w:rFonts w:hint="eastAsia" w:eastAsiaTheme="minorEastAsia"/>
                      <w:kern w:val="0"/>
                      <w:sz w:val="24"/>
                      <w:highlight w:val="none"/>
                      <w:lang w:val="en-US" w:eastAsia="zh-CN"/>
                    </w:rPr>
                    <w:t>建筑业</w:t>
                  </w:r>
                </w:p>
              </w:tc>
            </w:tr>
          </w:tbl>
          <w:p w14:paraId="46116DC1">
            <w:pPr>
              <w:jc w:val="left"/>
              <w:rPr>
                <w:rFonts w:ascii="Times New Roman" w:hAnsi="Times New Roman" w:cs="Times New Roman" w:eastAsiaTheme="minorEastAsia"/>
                <w:kern w:val="2"/>
                <w:sz w:val="24"/>
                <w:szCs w:val="24"/>
                <w:lang w:val="en-US" w:eastAsia="zh-CN" w:bidi="ar-SA"/>
              </w:rPr>
            </w:pPr>
          </w:p>
        </w:tc>
      </w:tr>
      <w:tr w14:paraId="1344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196EBE9E">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3BD01ECC">
            <w:pPr>
              <w:jc w:val="center"/>
              <w:rPr>
                <w:rFonts w:eastAsiaTheme="minorEastAsia"/>
                <w:sz w:val="24"/>
              </w:rPr>
            </w:pPr>
            <w:r>
              <w:rPr>
                <w:rFonts w:eastAsiaTheme="minorEastAsia"/>
                <w:sz w:val="24"/>
              </w:rPr>
              <w:t>报价</w:t>
            </w:r>
          </w:p>
        </w:tc>
        <w:tc>
          <w:tcPr>
            <w:tcW w:w="7253" w:type="dxa"/>
            <w:vAlign w:val="center"/>
          </w:tcPr>
          <w:p w14:paraId="7B3E195E">
            <w:pPr>
              <w:jc w:val="left"/>
              <w:rPr>
                <w:rFonts w:hint="eastAsia" w:ascii="宋体" w:hAnsi="宋体"/>
                <w:sz w:val="24"/>
                <w:highlight w:val="none"/>
              </w:rPr>
            </w:pPr>
            <w:r>
              <w:rPr>
                <w:rFonts w:ascii="宋体" w:hAnsi="宋体"/>
                <w:sz w:val="24"/>
                <w:highlight w:val="none"/>
              </w:rPr>
              <w:t>报价的特殊规定：</w:t>
            </w:r>
          </w:p>
          <w:p w14:paraId="103A1F87">
            <w:pPr>
              <w:jc w:val="left"/>
              <w:rPr>
                <w:rFonts w:eastAsiaTheme="minorEastAsia"/>
                <w:sz w:val="24"/>
                <w:highlight w:val="none"/>
              </w:rPr>
            </w:pPr>
            <w:r>
              <w:rPr>
                <w:rFonts w:hint="eastAsia" w:eastAsiaTheme="minorEastAsia"/>
                <w:sz w:val="24"/>
              </w:rPr>
              <w:t>■</w:t>
            </w:r>
            <w:r>
              <w:rPr>
                <w:rFonts w:eastAsiaTheme="minorEastAsia"/>
                <w:sz w:val="24"/>
                <w:highlight w:val="none"/>
              </w:rPr>
              <w:t>无</w:t>
            </w:r>
          </w:p>
          <w:p w14:paraId="1072E55B">
            <w:pPr>
              <w:jc w:val="left"/>
              <w:rPr>
                <w:rFonts w:eastAsiaTheme="minorEastAsia"/>
                <w:sz w:val="24"/>
                <w:highlight w:val="none"/>
              </w:rPr>
            </w:pPr>
            <w:r>
              <w:rPr>
                <w:rFonts w:hint="eastAsia" w:eastAsiaTheme="minorEastAsia"/>
                <w:sz w:val="24"/>
              </w:rPr>
              <w:t>□</w:t>
            </w:r>
            <w:r>
              <w:rPr>
                <w:rFonts w:hint="default" w:eastAsiaTheme="minorEastAsia"/>
                <w:sz w:val="24"/>
                <w:highlight w:val="none"/>
              </w:rPr>
              <w:t>有，具体情形：</w:t>
            </w:r>
            <w:r>
              <w:rPr>
                <w:rFonts w:hint="eastAsia" w:eastAsiaTheme="minorEastAsia"/>
                <w:sz w:val="24"/>
                <w:highlight w:val="none"/>
                <w:u w:val="single"/>
                <w:lang w:val="en-US" w:eastAsia="zh-CN"/>
              </w:rPr>
              <w:t xml:space="preserve">    </w:t>
            </w:r>
            <w:r>
              <w:rPr>
                <w:rFonts w:hint="eastAsia" w:ascii="宋体" w:hAnsi="宋体"/>
                <w:sz w:val="24"/>
                <w:highlight w:val="none"/>
                <w:u w:val="single"/>
                <w:lang w:val="en-US" w:eastAsia="zh-CN"/>
              </w:rPr>
              <w:t xml:space="preserve"> / </w:t>
            </w:r>
            <w:r>
              <w:rPr>
                <w:rFonts w:hint="eastAsia" w:eastAsiaTheme="minorEastAsia"/>
                <w:sz w:val="24"/>
                <w:highlight w:val="none"/>
                <w:u w:val="single"/>
                <w:lang w:val="en-US" w:eastAsia="zh-CN"/>
              </w:rPr>
              <w:t xml:space="preserve">  </w:t>
            </w:r>
            <w:r>
              <w:rPr>
                <w:rFonts w:hint="default" w:eastAsiaTheme="minorEastAsia"/>
                <w:sz w:val="24"/>
                <w:highlight w:val="none"/>
                <w:u w:val="single"/>
              </w:rPr>
              <w:t>。</w:t>
            </w:r>
          </w:p>
        </w:tc>
      </w:tr>
      <w:tr w14:paraId="1355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68F1486C">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1D8B3891">
            <w:pPr>
              <w:jc w:val="center"/>
              <w:rPr>
                <w:rFonts w:eastAsiaTheme="minorEastAsia"/>
                <w:sz w:val="24"/>
              </w:rPr>
            </w:pPr>
            <w:r>
              <w:rPr>
                <w:rFonts w:eastAsiaTheme="minorEastAsia"/>
                <w:sz w:val="24"/>
              </w:rPr>
              <w:t>磋商保证金</w:t>
            </w:r>
          </w:p>
        </w:tc>
        <w:tc>
          <w:tcPr>
            <w:tcW w:w="7253" w:type="dxa"/>
            <w:vAlign w:val="center"/>
          </w:tcPr>
          <w:p w14:paraId="75BFE3C3">
            <w:pPr>
              <w:spacing w:line="300" w:lineRule="exact"/>
              <w:rPr>
                <w:rFonts w:hint="eastAsia" w:ascii="宋体" w:hAnsi="宋体" w:eastAsia="宋体"/>
                <w:sz w:val="24"/>
                <w:highlight w:val="none"/>
                <w:lang w:eastAsia="zh-CN"/>
              </w:rPr>
            </w:pPr>
            <w:r>
              <w:rPr>
                <w:rFonts w:hint="eastAsia" w:ascii="宋体" w:hAnsi="宋体"/>
                <w:sz w:val="24"/>
                <w:highlight w:val="none"/>
              </w:rPr>
              <w:t>磋商保证金金额：</w:t>
            </w:r>
            <w:r>
              <w:rPr>
                <w:rFonts w:hint="eastAsia" w:ascii="宋体" w:hAnsi="宋体"/>
                <w:sz w:val="24"/>
                <w:highlight w:val="none"/>
                <w:u w:val="single"/>
                <w:lang w:val="en-US" w:eastAsia="zh-CN"/>
              </w:rPr>
              <w:t xml:space="preserve">  /   </w:t>
            </w:r>
            <w:r>
              <w:rPr>
                <w:rFonts w:hint="eastAsia" w:ascii="宋体" w:hAnsi="宋体"/>
                <w:sz w:val="24"/>
                <w:highlight w:val="none"/>
              </w:rPr>
              <w:t>元</w:t>
            </w:r>
            <w:r>
              <w:rPr>
                <w:rFonts w:hint="eastAsia" w:ascii="宋体" w:hAnsi="宋体"/>
                <w:sz w:val="24"/>
                <w:highlight w:val="none"/>
                <w:lang w:eastAsia="zh-CN"/>
              </w:rPr>
              <w:t>。</w:t>
            </w:r>
          </w:p>
          <w:p w14:paraId="177FDC17">
            <w:pPr>
              <w:spacing w:line="300" w:lineRule="exact"/>
              <w:rPr>
                <w:rFonts w:hint="eastAsia" w:ascii="宋体" w:hAnsi="宋体"/>
                <w:sz w:val="24"/>
                <w:highlight w:val="none"/>
              </w:rPr>
            </w:pPr>
            <w:r>
              <w:rPr>
                <w:rFonts w:hint="eastAsia" w:ascii="宋体" w:hAnsi="宋体"/>
                <w:sz w:val="24"/>
                <w:highlight w:val="none"/>
              </w:rPr>
              <w:t>磋商保证金形式：电汇、支票、汇票、本票或保函</w:t>
            </w:r>
            <w:bookmarkStart w:id="78" w:name="_Hlk104395631"/>
            <w:r>
              <w:rPr>
                <w:rFonts w:hint="eastAsia" w:ascii="宋体" w:hAnsi="宋体"/>
                <w:sz w:val="24"/>
                <w:highlight w:val="none"/>
              </w:rPr>
              <w:t>（包括银行、保险公司、担保机构等单位出具的保函）</w:t>
            </w:r>
            <w:bookmarkEnd w:id="78"/>
            <w:r>
              <w:rPr>
                <w:rFonts w:hint="eastAsia" w:ascii="宋体" w:hAnsi="宋体"/>
                <w:sz w:val="24"/>
                <w:highlight w:val="none"/>
              </w:rPr>
              <w:t>等非现金形式</w:t>
            </w:r>
          </w:p>
          <w:p w14:paraId="1D62B718">
            <w:pPr>
              <w:spacing w:line="300" w:lineRule="exact"/>
              <w:rPr>
                <w:rFonts w:hint="eastAsia" w:ascii="宋体" w:hAnsi="宋体"/>
                <w:sz w:val="24"/>
                <w:highlight w:val="none"/>
              </w:rPr>
            </w:pPr>
            <w:r>
              <w:rPr>
                <w:rFonts w:hint="eastAsia" w:ascii="宋体" w:hAnsi="宋体"/>
                <w:sz w:val="24"/>
                <w:highlight w:val="none"/>
                <w:lang w:val="zh-TW"/>
              </w:rPr>
              <w:t>开户名称：北京天极招投标咨询有限公司</w:t>
            </w:r>
          </w:p>
          <w:p w14:paraId="4FC2132E">
            <w:pPr>
              <w:spacing w:line="300" w:lineRule="exact"/>
              <w:rPr>
                <w:rFonts w:hint="eastAsia" w:ascii="宋体" w:hAnsi="宋体"/>
                <w:sz w:val="24"/>
                <w:highlight w:val="none"/>
              </w:rPr>
            </w:pPr>
            <w:r>
              <w:rPr>
                <w:rFonts w:hint="eastAsia" w:ascii="宋体" w:hAnsi="宋体"/>
                <w:sz w:val="24"/>
                <w:highlight w:val="none"/>
                <w:lang w:val="zh-TW"/>
              </w:rPr>
              <w:t>开 户 行：中国建设银行北京东大街支行</w:t>
            </w:r>
          </w:p>
          <w:p w14:paraId="69AF6C99">
            <w:pPr>
              <w:spacing w:line="300" w:lineRule="exact"/>
              <w:rPr>
                <w:rFonts w:hint="eastAsia" w:ascii="宋体" w:hAnsi="宋体"/>
                <w:sz w:val="24"/>
                <w:highlight w:val="none"/>
              </w:rPr>
            </w:pPr>
            <w:r>
              <w:rPr>
                <w:rFonts w:hint="eastAsia" w:ascii="宋体" w:hAnsi="宋体"/>
                <w:sz w:val="24"/>
                <w:highlight w:val="none"/>
                <w:lang w:val="zh-TW"/>
              </w:rPr>
              <w:t>账    号：</w:t>
            </w:r>
            <w:r>
              <w:rPr>
                <w:rFonts w:hint="eastAsia" w:ascii="宋体" w:hAnsi="宋体"/>
                <w:sz w:val="24"/>
                <w:highlight w:val="none"/>
              </w:rPr>
              <w:t>1100 1069 6000 5304 2311</w:t>
            </w:r>
          </w:p>
          <w:p w14:paraId="15CF529D">
            <w:pPr>
              <w:jc w:val="left"/>
              <w:rPr>
                <w:rFonts w:eastAsiaTheme="minorEastAsia"/>
                <w:sz w:val="24"/>
                <w:highlight w:val="none"/>
              </w:rPr>
            </w:pPr>
          </w:p>
        </w:tc>
      </w:tr>
      <w:tr w14:paraId="0DC0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3F9C39">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11.7.5</w:t>
            </w:r>
          </w:p>
        </w:tc>
        <w:tc>
          <w:tcPr>
            <w:tcW w:w="1701" w:type="dxa"/>
            <w:vMerge w:val="continue"/>
            <w:vAlign w:val="center"/>
          </w:tcPr>
          <w:p w14:paraId="15075AB7">
            <w:pPr>
              <w:jc w:val="center"/>
              <w:rPr>
                <w:rFonts w:eastAsiaTheme="minorEastAsia"/>
                <w:sz w:val="24"/>
              </w:rPr>
            </w:pPr>
          </w:p>
        </w:tc>
        <w:tc>
          <w:tcPr>
            <w:tcW w:w="7253" w:type="dxa"/>
            <w:vAlign w:val="center"/>
          </w:tcPr>
          <w:p w14:paraId="2F955E15">
            <w:pPr>
              <w:jc w:val="left"/>
              <w:rPr>
                <w:rFonts w:eastAsiaTheme="minorEastAsia"/>
                <w:sz w:val="24"/>
              </w:rPr>
            </w:pPr>
            <w:r>
              <w:rPr>
                <w:rFonts w:eastAsiaTheme="minorEastAsia"/>
                <w:sz w:val="24"/>
              </w:rPr>
              <w:t>磋商保证金不予退还的其他情形：</w:t>
            </w:r>
          </w:p>
          <w:p w14:paraId="7F66686D">
            <w:pPr>
              <w:jc w:val="left"/>
              <w:rPr>
                <w:rFonts w:eastAsiaTheme="minorEastAsia"/>
                <w:sz w:val="24"/>
              </w:rPr>
            </w:pPr>
            <w:r>
              <w:rPr>
                <w:rFonts w:hint="eastAsia"/>
                <w:bCs/>
                <w:sz w:val="24"/>
              </w:rPr>
              <w:t>□</w:t>
            </w:r>
            <w:r>
              <w:rPr>
                <w:rFonts w:eastAsiaTheme="minorEastAsia"/>
                <w:sz w:val="24"/>
              </w:rPr>
              <w:t>无</w:t>
            </w:r>
          </w:p>
          <w:p w14:paraId="19FC31F3">
            <w:pPr>
              <w:pStyle w:val="25"/>
              <w:adjustRightInd w:val="0"/>
              <w:snapToGrid w:val="0"/>
              <w:rPr>
                <w:rFonts w:hint="default" w:ascii="Times New Roman" w:hAnsi="Times New Roman" w:eastAsiaTheme="minorEastAsia"/>
                <w:sz w:val="24"/>
              </w:rPr>
            </w:pPr>
            <w:r>
              <w:rPr>
                <w:rFonts w:eastAsiaTheme="minorEastAsia"/>
                <w:bCs/>
              </w:rPr>
              <w:t>■</w:t>
            </w:r>
            <w:r>
              <w:rPr>
                <w:rFonts w:hint="default" w:ascii="Times New Roman" w:hAnsi="Times New Roman" w:eastAsiaTheme="minorEastAsia"/>
                <w:sz w:val="24"/>
              </w:rPr>
              <w:t>有，具体情形：</w:t>
            </w:r>
          </w:p>
          <w:p w14:paraId="15C52B4C">
            <w:pPr>
              <w:pStyle w:val="25"/>
              <w:adjustRightInd w:val="0"/>
              <w:snapToGrid w:val="0"/>
              <w:rPr>
                <w:rFonts w:hint="default" w:eastAsiaTheme="minorEastAsia"/>
                <w:sz w:val="24"/>
              </w:rPr>
            </w:pPr>
            <w:r>
              <w:rPr>
                <w:rFonts w:eastAsiaTheme="minorEastAsia"/>
                <w:sz w:val="24"/>
              </w:rPr>
              <w:t>1.供应商在提交响应文件截止时间后撤回响应文件的；</w:t>
            </w:r>
          </w:p>
          <w:p w14:paraId="4448486D">
            <w:pPr>
              <w:pStyle w:val="25"/>
              <w:rPr>
                <w:rFonts w:hint="default" w:eastAsiaTheme="minorEastAsia"/>
                <w:sz w:val="24"/>
              </w:rPr>
            </w:pPr>
            <w:r>
              <w:rPr>
                <w:rFonts w:eastAsiaTheme="minorEastAsia"/>
                <w:sz w:val="24"/>
              </w:rPr>
              <w:t>2.供应商在响应文件中提供虚假材料的；</w:t>
            </w:r>
          </w:p>
          <w:p w14:paraId="0069F153">
            <w:pPr>
              <w:pStyle w:val="25"/>
              <w:rPr>
                <w:rFonts w:hint="default" w:eastAsiaTheme="minorEastAsia"/>
                <w:sz w:val="24"/>
              </w:rPr>
            </w:pPr>
            <w:r>
              <w:rPr>
                <w:rFonts w:eastAsiaTheme="minorEastAsia"/>
                <w:sz w:val="24"/>
              </w:rPr>
              <w:t>3.除因不可抗力或磋商文件认可的情形以外，成交供应商不与采购人签订合同的；</w:t>
            </w:r>
          </w:p>
          <w:p w14:paraId="4253E497">
            <w:pPr>
              <w:pStyle w:val="25"/>
              <w:rPr>
                <w:rFonts w:hint="default" w:eastAsiaTheme="minorEastAsia"/>
                <w:sz w:val="24"/>
              </w:rPr>
            </w:pPr>
            <w:r>
              <w:rPr>
                <w:rFonts w:eastAsiaTheme="minorEastAsia"/>
                <w:sz w:val="24"/>
              </w:rPr>
              <w:t>4.供应商与采购人、其他供应商或者采购代理机构恶意串通的；</w:t>
            </w:r>
          </w:p>
          <w:p w14:paraId="44DA4D7D">
            <w:pPr>
              <w:pStyle w:val="25"/>
              <w:adjustRightInd w:val="0"/>
              <w:snapToGrid w:val="0"/>
              <w:rPr>
                <w:rFonts w:hint="default" w:ascii="Times New Roman" w:hAnsi="Times New Roman" w:eastAsiaTheme="minorEastAsia"/>
                <w:sz w:val="24"/>
                <w:szCs w:val="24"/>
              </w:rPr>
            </w:pPr>
            <w:r>
              <w:rPr>
                <w:rFonts w:ascii="Times New Roman" w:hAnsi="Times New Roman" w:eastAsiaTheme="minorEastAsia"/>
                <w:sz w:val="24"/>
              </w:rPr>
              <w:t>5</w:t>
            </w:r>
            <w:r>
              <w:rPr>
                <w:rFonts w:eastAsiaTheme="minorEastAsia"/>
                <w:sz w:val="24"/>
              </w:rPr>
              <w:t>.</w:t>
            </w:r>
            <w:r>
              <w:rPr>
                <w:rFonts w:ascii="Times New Roman" w:hAnsi="Times New Roman" w:eastAsiaTheme="minorEastAsia"/>
                <w:sz w:val="24"/>
              </w:rPr>
              <w:t>《供应商须知资料表》规定的其他情形。</w:t>
            </w:r>
          </w:p>
        </w:tc>
      </w:tr>
      <w:tr w14:paraId="73D8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88" w:type="dxa"/>
            <w:vAlign w:val="center"/>
          </w:tcPr>
          <w:p w14:paraId="6E99F2BA">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212FA583">
            <w:pPr>
              <w:jc w:val="center"/>
              <w:rPr>
                <w:rFonts w:eastAsiaTheme="minorEastAsia"/>
                <w:sz w:val="24"/>
              </w:rPr>
            </w:pPr>
            <w:r>
              <w:rPr>
                <w:rFonts w:eastAsiaTheme="minorEastAsia"/>
                <w:sz w:val="24"/>
              </w:rPr>
              <w:t>响应有效期</w:t>
            </w:r>
          </w:p>
        </w:tc>
        <w:tc>
          <w:tcPr>
            <w:tcW w:w="7253" w:type="dxa"/>
            <w:vAlign w:val="center"/>
          </w:tcPr>
          <w:p w14:paraId="6AEBED73">
            <w:pPr>
              <w:jc w:val="left"/>
              <w:rPr>
                <w:rFonts w:eastAsiaTheme="minorEastAsia"/>
                <w:sz w:val="24"/>
              </w:rPr>
            </w:pPr>
            <w:r>
              <w:rPr>
                <w:rFonts w:eastAsiaTheme="minorEastAsia"/>
                <w:sz w:val="24"/>
              </w:rPr>
              <w:t>自响应文件提交截止之日起算</w:t>
            </w:r>
            <w:r>
              <w:rPr>
                <w:rFonts w:hint="eastAsia" w:eastAsiaTheme="minorEastAsia"/>
                <w:sz w:val="24"/>
              </w:rPr>
              <w:t>90</w:t>
            </w:r>
            <w:r>
              <w:rPr>
                <w:rFonts w:eastAsiaTheme="minorEastAsia"/>
                <w:sz w:val="24"/>
              </w:rPr>
              <w:t>日历天。</w:t>
            </w:r>
          </w:p>
        </w:tc>
      </w:tr>
      <w:tr w14:paraId="3A4B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88" w:type="dxa"/>
            <w:vAlign w:val="center"/>
          </w:tcPr>
          <w:p w14:paraId="696FFFF3">
            <w:pPr>
              <w:pStyle w:val="25"/>
              <w:adjustRightInd w:val="0"/>
              <w:snapToGrid w:val="0"/>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13.1</w:t>
            </w:r>
          </w:p>
        </w:tc>
        <w:tc>
          <w:tcPr>
            <w:tcW w:w="1701" w:type="dxa"/>
            <w:shd w:val="clear" w:color="auto" w:fill="auto"/>
            <w:vAlign w:val="center"/>
          </w:tcPr>
          <w:p w14:paraId="54E48F6B">
            <w:pPr>
              <w:jc w:val="center"/>
              <w:rPr>
                <w:rFonts w:ascii="宋体" w:hAnsi="宋体" w:eastAsia="宋体" w:cs="宋体"/>
                <w:kern w:val="2"/>
                <w:sz w:val="24"/>
                <w:szCs w:val="24"/>
                <w:lang w:val="en-US" w:eastAsia="zh-CN" w:bidi="ar-SA"/>
              </w:rPr>
            </w:pPr>
            <w:r>
              <w:rPr>
                <w:rFonts w:hint="eastAsia" w:ascii="宋体" w:hAnsi="宋体" w:cs="宋体"/>
                <w:sz w:val="24"/>
              </w:rPr>
              <w:t>响应文件的签署、盖章</w:t>
            </w:r>
          </w:p>
        </w:tc>
        <w:tc>
          <w:tcPr>
            <w:tcW w:w="7253" w:type="dxa"/>
            <w:shd w:val="clear" w:color="auto" w:fill="auto"/>
            <w:vAlign w:val="center"/>
          </w:tcPr>
          <w:p w14:paraId="74DCE9DE">
            <w:p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响应文件的正本需打印或用不退色墨水书写；</w:t>
            </w:r>
          </w:p>
          <w:p w14:paraId="64DA6A67">
            <w:p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任何对响应文件行间插字、涂改和增删，必须由法定代表人或其授权代表签字或加盖本单位公章后有效；</w:t>
            </w:r>
          </w:p>
          <w:p w14:paraId="37A45BC9">
            <w:p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响应文件因字迹潦草或表达不清所引起的后果由供应商负责；</w:t>
            </w:r>
          </w:p>
          <w:p w14:paraId="2EF3FA3C">
            <w:pPr>
              <w:jc w:val="left"/>
              <w:rPr>
                <w:rFonts w:ascii="宋体" w:hAnsi="宋体" w:eastAsia="宋体" w:cs="宋体"/>
                <w:kern w:val="2"/>
                <w:sz w:val="24"/>
                <w:szCs w:val="24"/>
                <w:lang w:val="en-US" w:eastAsia="zh-CN" w:bidi="ar-SA"/>
              </w:rPr>
            </w:pPr>
            <w:r>
              <w:rPr>
                <w:rFonts w:hint="eastAsia" w:ascii="宋体" w:hAnsi="宋体" w:cs="宋体"/>
                <w:sz w:val="24"/>
              </w:rPr>
              <w:t>竞争性磋商文件中所要求加盖的供应商公章是指与供应商名称全称相一致的“行政公章”，不得加盖其它“合同专用章、投标专用章、财务专用章”等非行政公章，否则将被视为无效响应。</w:t>
            </w:r>
          </w:p>
        </w:tc>
      </w:tr>
      <w:tr w14:paraId="0252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88" w:type="dxa"/>
            <w:vAlign w:val="center"/>
          </w:tcPr>
          <w:p w14:paraId="712CD6A8">
            <w:pPr>
              <w:pStyle w:val="25"/>
              <w:adjustRightInd w:val="0"/>
              <w:snapToGrid w:val="0"/>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14</w:t>
            </w:r>
          </w:p>
        </w:tc>
        <w:tc>
          <w:tcPr>
            <w:tcW w:w="1701" w:type="dxa"/>
            <w:shd w:val="clear" w:color="auto" w:fill="auto"/>
            <w:vAlign w:val="center"/>
          </w:tcPr>
          <w:p w14:paraId="1188003C">
            <w:pPr>
              <w:jc w:val="center"/>
              <w:rPr>
                <w:rFonts w:ascii="宋体" w:hAnsi="宋体" w:eastAsia="宋体" w:cs="宋体"/>
                <w:kern w:val="2"/>
                <w:sz w:val="24"/>
                <w:szCs w:val="24"/>
                <w:lang w:val="en-US" w:eastAsia="zh-CN" w:bidi="ar-SA"/>
              </w:rPr>
            </w:pPr>
            <w:r>
              <w:rPr>
                <w:rFonts w:hint="eastAsia" w:ascii="宋体" w:hAnsi="宋体" w:cs="宋体"/>
                <w:sz w:val="24"/>
              </w:rPr>
              <w:t>响应文件的提交</w:t>
            </w:r>
          </w:p>
        </w:tc>
        <w:tc>
          <w:tcPr>
            <w:tcW w:w="7253" w:type="dxa"/>
            <w:shd w:val="clear" w:color="auto" w:fill="auto"/>
            <w:vAlign w:val="center"/>
          </w:tcPr>
          <w:p w14:paraId="01B58E6C">
            <w:pPr>
              <w:tabs>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响应文件的提交</w:t>
            </w:r>
          </w:p>
          <w:p w14:paraId="6431239F">
            <w:pPr>
              <w:tabs>
                <w:tab w:val="left" w:pos="900"/>
                <w:tab w:val="left" w:pos="1080"/>
                <w:tab w:val="left" w:pos="1589"/>
                <w:tab w:val="left" w:pos="2014"/>
              </w:tabs>
              <w:snapToGrid w:val="0"/>
              <w:spacing w:line="360" w:lineRule="auto"/>
              <w:rPr>
                <w:rFonts w:ascii="宋体" w:hAnsi="宋体" w:cs="宋体"/>
                <w:sz w:val="24"/>
              </w:rPr>
            </w:pPr>
            <w:r>
              <w:rPr>
                <w:rFonts w:hint="eastAsia" w:ascii="宋体" w:hAnsi="宋体" w:cs="宋体"/>
                <w:sz w:val="24"/>
              </w:rPr>
              <w:t>纸质递交：</w:t>
            </w:r>
          </w:p>
          <w:p w14:paraId="189F1C52">
            <w:pPr>
              <w:jc w:val="left"/>
              <w:rPr>
                <w:rFonts w:ascii="宋体" w:hAnsi="宋体" w:cs="宋体"/>
                <w:b/>
                <w:bCs/>
                <w:sz w:val="24"/>
              </w:rPr>
            </w:pPr>
            <w:r>
              <w:rPr>
                <w:rFonts w:hint="eastAsia" w:ascii="宋体" w:hAnsi="宋体" w:cs="宋体"/>
                <w:b/>
                <w:bCs/>
                <w:sz w:val="24"/>
              </w:rPr>
              <w:t>响应文件正本：1份，副本：3份，电子版：1份。</w:t>
            </w:r>
          </w:p>
          <w:p w14:paraId="24683AF5">
            <w:pPr>
              <w:jc w:val="left"/>
              <w:rPr>
                <w:rFonts w:ascii="宋体" w:hAnsi="宋体" w:cs="宋体"/>
                <w:sz w:val="24"/>
              </w:rPr>
            </w:pPr>
            <w:r>
              <w:rPr>
                <w:rFonts w:hint="eastAsia" w:ascii="宋体" w:hAnsi="宋体" w:cs="宋体"/>
                <w:sz w:val="24"/>
              </w:rPr>
              <w:t>（电子文件应提供可编辑word文档和PDF盖章扫描件，存储载体为U盘或光盘）。</w:t>
            </w:r>
          </w:p>
          <w:p w14:paraId="0592D671">
            <w:pPr>
              <w:jc w:val="left"/>
              <w:rPr>
                <w:rFonts w:ascii="宋体" w:hAnsi="宋体" w:eastAsia="宋体" w:cs="宋体"/>
                <w:kern w:val="2"/>
                <w:sz w:val="24"/>
                <w:szCs w:val="24"/>
                <w:lang w:val="en-US" w:eastAsia="zh-CN" w:bidi="ar-SA"/>
              </w:rPr>
            </w:pPr>
            <w:r>
              <w:rPr>
                <w:rFonts w:hint="eastAsia" w:ascii="宋体" w:hAnsi="宋体" w:cs="宋体"/>
                <w:sz w:val="24"/>
              </w:rPr>
              <w:t>若响应文件正本和副本、电子文件不符，以纸质正本为准。</w:t>
            </w:r>
          </w:p>
        </w:tc>
      </w:tr>
      <w:tr w14:paraId="78134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E254F6">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4D5CE52A">
            <w:pPr>
              <w:jc w:val="center"/>
              <w:rPr>
                <w:rFonts w:eastAsiaTheme="minorEastAsia"/>
                <w:sz w:val="24"/>
              </w:rPr>
            </w:pPr>
            <w:r>
              <w:rPr>
                <w:sz w:val="24"/>
              </w:rPr>
              <w:t>确定成交供应商</w:t>
            </w:r>
          </w:p>
        </w:tc>
        <w:tc>
          <w:tcPr>
            <w:tcW w:w="7253" w:type="dxa"/>
            <w:vAlign w:val="center"/>
          </w:tcPr>
          <w:p w14:paraId="69B8FEFD">
            <w:pPr>
              <w:pStyle w:val="25"/>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56D5DA72">
            <w:pPr>
              <w:pStyle w:val="25"/>
              <w:adjustRightInd w:val="0"/>
              <w:snapToGrid w:val="0"/>
              <w:rPr>
                <w:rFonts w:hint="default" w:ascii="Times New Roman" w:hAnsi="Times New Roman" w:eastAsiaTheme="minorEastAsia"/>
                <w:sz w:val="24"/>
              </w:rPr>
            </w:pPr>
            <w:r>
              <w:rPr>
                <w:rFonts w:eastAsiaTheme="minorEastAsia"/>
                <w:bCs/>
              </w:rPr>
              <w:t>■</w:t>
            </w:r>
            <w:r>
              <w:rPr>
                <w:rFonts w:hint="default" w:ascii="Times New Roman" w:hAnsi="Times New Roman" w:eastAsiaTheme="minorEastAsia"/>
                <w:sz w:val="24"/>
              </w:rPr>
              <w:t>否</w:t>
            </w:r>
          </w:p>
          <w:p w14:paraId="10C99E06">
            <w:pPr>
              <w:jc w:val="left"/>
              <w:rPr>
                <w:rFonts w:eastAsiaTheme="minorEastAsia"/>
                <w:sz w:val="24"/>
              </w:rPr>
            </w:pPr>
            <w:r>
              <w:rPr>
                <w:rFonts w:hint="eastAsia"/>
                <w:bCs/>
                <w:sz w:val="24"/>
              </w:rPr>
              <w:t>□</w:t>
            </w:r>
            <w:r>
              <w:rPr>
                <w:rFonts w:eastAsiaTheme="minorEastAsia"/>
                <w:sz w:val="24"/>
              </w:rPr>
              <w:t>是</w:t>
            </w:r>
          </w:p>
          <w:p w14:paraId="1A44967A">
            <w:pPr>
              <w:jc w:val="left"/>
              <w:rPr>
                <w:rFonts w:eastAsiaTheme="minorEastAsia"/>
                <w:sz w:val="24"/>
                <w:u w:val="single"/>
              </w:rPr>
            </w:pPr>
            <w:r>
              <w:rPr>
                <w:rFonts w:eastAsiaTheme="minorEastAsia"/>
                <w:sz w:val="24"/>
              </w:rPr>
              <w:t>成交候选人并列的，按照以下方式确定成交供应商：</w:t>
            </w:r>
            <w:r>
              <w:rPr>
                <w:rFonts w:hint="eastAsia" w:eastAsiaTheme="minorEastAsia"/>
                <w:sz w:val="24"/>
                <w:u w:val="single"/>
              </w:rPr>
              <w:t>评审得分相同的，按照最后报价由低到高的顺序推荐。评审得分且最后报价相同的，按照技术评分优劣顺序推荐</w:t>
            </w:r>
            <w:r>
              <w:rPr>
                <w:rFonts w:eastAsiaTheme="minorEastAsia"/>
                <w:sz w:val="24"/>
              </w:rPr>
              <w:t>。。</w:t>
            </w:r>
          </w:p>
        </w:tc>
      </w:tr>
      <w:tr w14:paraId="28983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925BAC6">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ED48529">
            <w:pPr>
              <w:jc w:val="center"/>
              <w:rPr>
                <w:rFonts w:eastAsiaTheme="minorEastAsia"/>
                <w:sz w:val="24"/>
                <w:highlight w:val="none"/>
              </w:rPr>
            </w:pPr>
            <w:r>
              <w:rPr>
                <w:rFonts w:eastAsiaTheme="minorEastAsia"/>
                <w:sz w:val="24"/>
                <w:highlight w:val="none"/>
              </w:rPr>
              <w:t>分包</w:t>
            </w:r>
          </w:p>
        </w:tc>
        <w:tc>
          <w:tcPr>
            <w:tcW w:w="7253" w:type="dxa"/>
            <w:vAlign w:val="center"/>
          </w:tcPr>
          <w:p w14:paraId="21BC2F43">
            <w:pPr>
              <w:jc w:val="left"/>
              <w:rPr>
                <w:rFonts w:eastAsiaTheme="minorEastAsia"/>
                <w:sz w:val="24"/>
                <w:highlight w:val="none"/>
              </w:rPr>
            </w:pPr>
            <w:r>
              <w:rPr>
                <w:rFonts w:eastAsiaTheme="minorEastAsia"/>
                <w:sz w:val="24"/>
                <w:highlight w:val="none"/>
              </w:rPr>
              <w:t xml:space="preserve">本项目是否允许分包： </w:t>
            </w:r>
          </w:p>
          <w:p w14:paraId="2CA1DED4">
            <w:pPr>
              <w:jc w:val="left"/>
              <w:rPr>
                <w:rFonts w:eastAsiaTheme="minorEastAsia"/>
                <w:sz w:val="24"/>
                <w:highlight w:val="none"/>
              </w:rPr>
            </w:pPr>
            <w:r>
              <w:rPr>
                <w:rFonts w:hint="eastAsia" w:eastAsiaTheme="minorEastAsia"/>
                <w:bCs/>
                <w:highlight w:val="none"/>
              </w:rPr>
              <w:t>■</w:t>
            </w:r>
            <w:r>
              <w:rPr>
                <w:rFonts w:eastAsiaTheme="minorEastAsia"/>
                <w:sz w:val="24"/>
                <w:highlight w:val="none"/>
              </w:rPr>
              <w:t>不允许</w:t>
            </w:r>
          </w:p>
          <w:p w14:paraId="0E70CA06">
            <w:pPr>
              <w:jc w:val="left"/>
              <w:rPr>
                <w:rFonts w:eastAsiaTheme="minorEastAsia"/>
                <w:sz w:val="24"/>
                <w:highlight w:val="none"/>
              </w:rPr>
            </w:pPr>
            <w:r>
              <w:rPr>
                <w:rFonts w:hint="eastAsia"/>
                <w:bCs/>
                <w:sz w:val="24"/>
                <w:highlight w:val="none"/>
              </w:rPr>
              <w:t>□</w:t>
            </w:r>
            <w:r>
              <w:rPr>
                <w:rFonts w:eastAsiaTheme="minorEastAsia"/>
                <w:sz w:val="24"/>
                <w:highlight w:val="none"/>
              </w:rPr>
              <w:t>允许，具体要求：_______。</w:t>
            </w:r>
          </w:p>
          <w:p w14:paraId="03D9A1EA">
            <w:pPr>
              <w:jc w:val="left"/>
              <w:rPr>
                <w:rFonts w:eastAsiaTheme="minorEastAsia"/>
                <w:sz w:val="24"/>
                <w:highlight w:val="none"/>
              </w:rPr>
            </w:pPr>
            <w:r>
              <w:rPr>
                <w:rFonts w:eastAsiaTheme="minorEastAsia"/>
                <w:sz w:val="24"/>
                <w:highlight w:val="none"/>
              </w:rPr>
              <w:t>（1）可以分包履行的具体内容：_______；</w:t>
            </w:r>
          </w:p>
          <w:p w14:paraId="112D0B93">
            <w:pPr>
              <w:jc w:val="left"/>
              <w:rPr>
                <w:rFonts w:eastAsiaTheme="minorEastAsia"/>
                <w:sz w:val="24"/>
                <w:highlight w:val="none"/>
              </w:rPr>
            </w:pPr>
            <w:r>
              <w:rPr>
                <w:rFonts w:eastAsiaTheme="minorEastAsia"/>
                <w:sz w:val="24"/>
                <w:highlight w:val="none"/>
              </w:rPr>
              <w:t>（2）允许分包的金额或者比例：_______；</w:t>
            </w:r>
          </w:p>
          <w:p w14:paraId="62C9F558">
            <w:pPr>
              <w:jc w:val="left"/>
              <w:rPr>
                <w:rFonts w:eastAsiaTheme="minorEastAsia"/>
                <w:sz w:val="24"/>
                <w:highlight w:val="none"/>
                <w:u w:val="single"/>
              </w:rPr>
            </w:pPr>
            <w:r>
              <w:rPr>
                <w:rFonts w:eastAsiaTheme="minorEastAsia"/>
                <w:sz w:val="24"/>
                <w:highlight w:val="none"/>
              </w:rPr>
              <w:t>（3）其他要求：_______。</w:t>
            </w:r>
          </w:p>
        </w:tc>
      </w:tr>
      <w:tr w14:paraId="1391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988" w:type="dxa"/>
            <w:vAlign w:val="center"/>
          </w:tcPr>
          <w:p w14:paraId="189871BC">
            <w:pPr>
              <w:pStyle w:val="25"/>
              <w:adjustRightInd w:val="0"/>
              <w:snapToGrid w:val="0"/>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23.6</w:t>
            </w:r>
          </w:p>
        </w:tc>
        <w:tc>
          <w:tcPr>
            <w:tcW w:w="1701" w:type="dxa"/>
            <w:vAlign w:val="center"/>
          </w:tcPr>
          <w:p w14:paraId="156BF2A5">
            <w:pPr>
              <w:jc w:val="center"/>
              <w:rPr>
                <w:rFonts w:eastAsiaTheme="minorEastAsia"/>
                <w:sz w:val="24"/>
              </w:rPr>
            </w:pPr>
            <w:r>
              <w:rPr>
                <w:rFonts w:hint="eastAsia" w:eastAsiaTheme="minorEastAsia"/>
                <w:sz w:val="24"/>
              </w:rPr>
              <w:t>政采贷</w:t>
            </w:r>
          </w:p>
        </w:tc>
        <w:tc>
          <w:tcPr>
            <w:tcW w:w="7253" w:type="dxa"/>
            <w:vAlign w:val="center"/>
          </w:tcPr>
          <w:p w14:paraId="3D4482B8">
            <w:pPr>
              <w:jc w:val="left"/>
              <w:rPr>
                <w:rFonts w:eastAsiaTheme="minorEastAsia"/>
                <w:sz w:val="24"/>
              </w:rPr>
            </w:pPr>
            <w:r>
              <w:rPr>
                <w:rFonts w:hint="eastAsia" w:eastAsiaTheme="minorEastAsia"/>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1804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88" w:type="dxa"/>
            <w:vAlign w:val="center"/>
          </w:tcPr>
          <w:p w14:paraId="4E60B17B">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2D7001F6">
            <w:pPr>
              <w:jc w:val="center"/>
              <w:rPr>
                <w:rFonts w:eastAsiaTheme="minorEastAsia"/>
                <w:sz w:val="24"/>
              </w:rPr>
            </w:pPr>
            <w:r>
              <w:rPr>
                <w:rFonts w:eastAsiaTheme="minorEastAsia"/>
                <w:sz w:val="24"/>
              </w:rPr>
              <w:t>询问</w:t>
            </w:r>
          </w:p>
        </w:tc>
        <w:tc>
          <w:tcPr>
            <w:tcW w:w="7253" w:type="dxa"/>
            <w:vAlign w:val="center"/>
          </w:tcPr>
          <w:p w14:paraId="539305CC">
            <w:pPr>
              <w:jc w:val="left"/>
              <w:rPr>
                <w:rFonts w:eastAsiaTheme="minorEastAsia"/>
                <w:sz w:val="24"/>
              </w:rPr>
            </w:pPr>
            <w:r>
              <w:rPr>
                <w:rFonts w:eastAsiaTheme="minorEastAsia"/>
                <w:sz w:val="24"/>
              </w:rPr>
              <w:t>询问送达形式：</w:t>
            </w:r>
            <w:r>
              <w:rPr>
                <w:rFonts w:hint="eastAsia" w:eastAsiaTheme="minorEastAsia"/>
                <w:sz w:val="24"/>
                <w:u w:val="single"/>
              </w:rPr>
              <w:t>纸质版，书面形式</w:t>
            </w:r>
            <w:r>
              <w:rPr>
                <w:rFonts w:eastAsiaTheme="minorEastAsia"/>
                <w:sz w:val="24"/>
              </w:rPr>
              <w:t>。</w:t>
            </w:r>
          </w:p>
        </w:tc>
      </w:tr>
      <w:tr w14:paraId="4DC7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E35821">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6EB8BE88">
            <w:pPr>
              <w:jc w:val="center"/>
              <w:rPr>
                <w:rFonts w:eastAsiaTheme="minorEastAsia"/>
                <w:sz w:val="24"/>
              </w:rPr>
            </w:pPr>
            <w:r>
              <w:rPr>
                <w:rFonts w:eastAsiaTheme="minorEastAsia"/>
                <w:sz w:val="24"/>
              </w:rPr>
              <w:t>联系方式</w:t>
            </w:r>
          </w:p>
        </w:tc>
        <w:tc>
          <w:tcPr>
            <w:tcW w:w="7253" w:type="dxa"/>
            <w:vAlign w:val="center"/>
          </w:tcPr>
          <w:p w14:paraId="0957DD37">
            <w:pPr>
              <w:jc w:val="left"/>
              <w:rPr>
                <w:rFonts w:eastAsiaTheme="minorEastAsia"/>
                <w:sz w:val="24"/>
              </w:rPr>
            </w:pPr>
            <w:r>
              <w:rPr>
                <w:rFonts w:eastAsiaTheme="minorEastAsia"/>
                <w:sz w:val="24"/>
              </w:rPr>
              <w:t>接收询问和质疑的联系方式</w:t>
            </w:r>
          </w:p>
          <w:p w14:paraId="79B1FAA6">
            <w:pPr>
              <w:jc w:val="left"/>
              <w:rPr>
                <w:sz w:val="24"/>
              </w:rPr>
            </w:pPr>
            <w:r>
              <w:rPr>
                <w:sz w:val="24"/>
              </w:rPr>
              <w:t>联系部门：</w:t>
            </w:r>
            <w:r>
              <w:rPr>
                <w:rFonts w:hint="eastAsia" w:ascii="宋体" w:hAnsi="宋体"/>
                <w:sz w:val="24"/>
                <w:lang w:val="zh-TW"/>
              </w:rPr>
              <w:t>北京天极招投标咨询有限公司</w:t>
            </w:r>
            <w:r>
              <w:rPr>
                <w:sz w:val="24"/>
              </w:rPr>
              <w:t>；</w:t>
            </w:r>
          </w:p>
          <w:p w14:paraId="2EF45ED6">
            <w:pPr>
              <w:jc w:val="left"/>
              <w:rPr>
                <w:sz w:val="24"/>
              </w:rPr>
            </w:pPr>
            <w:r>
              <w:rPr>
                <w:sz w:val="24"/>
              </w:rPr>
              <w:t>联系电话：010-60230611</w:t>
            </w:r>
            <w:r>
              <w:rPr>
                <w:rFonts w:hint="eastAsia"/>
                <w:sz w:val="24"/>
              </w:rPr>
              <w:t>-8009</w:t>
            </w:r>
            <w:r>
              <w:rPr>
                <w:sz w:val="24"/>
              </w:rPr>
              <w:t>；</w:t>
            </w:r>
            <w:r>
              <w:rPr>
                <w:rFonts w:hint="eastAsia"/>
                <w:sz w:val="24"/>
              </w:rPr>
              <w:t>邮箱：</w:t>
            </w:r>
            <w:r>
              <w:rPr>
                <w:sz w:val="24"/>
              </w:rPr>
              <w:t>bjtj01@126.com</w:t>
            </w:r>
          </w:p>
          <w:p w14:paraId="0D2A7170">
            <w:pPr>
              <w:jc w:val="left"/>
              <w:rPr>
                <w:rFonts w:eastAsiaTheme="minorEastAsia"/>
                <w:sz w:val="24"/>
              </w:rPr>
            </w:pPr>
            <w:r>
              <w:rPr>
                <w:sz w:val="24"/>
              </w:rPr>
              <w:t>通讯地址：</w:t>
            </w:r>
            <w:r>
              <w:rPr>
                <w:rStyle w:val="258"/>
                <w:rFonts w:ascii="宋体" w:hAnsi="宋体" w:eastAsia="宋体" w:cs="宋体"/>
                <w:color w:val="auto"/>
                <w:sz w:val="24"/>
                <w:szCs w:val="24"/>
                <w:highlight w:val="none"/>
                <w:lang w:val="zh-TW" w:eastAsia="zh-TW"/>
              </w:rPr>
              <w:t>北京市大兴区宏业东路</w:t>
            </w:r>
            <w:r>
              <w:rPr>
                <w:rStyle w:val="258"/>
                <w:rFonts w:ascii="宋体" w:hAnsi="宋体" w:eastAsia="宋体" w:cs="宋体"/>
                <w:color w:val="auto"/>
                <w:sz w:val="24"/>
                <w:szCs w:val="24"/>
                <w:highlight w:val="none"/>
              </w:rPr>
              <w:t>1</w:t>
            </w:r>
            <w:r>
              <w:rPr>
                <w:rStyle w:val="258"/>
                <w:rFonts w:ascii="宋体" w:hAnsi="宋体" w:eastAsia="宋体" w:cs="宋体"/>
                <w:color w:val="auto"/>
                <w:sz w:val="24"/>
                <w:szCs w:val="24"/>
                <w:highlight w:val="none"/>
                <w:lang w:val="zh-TW" w:eastAsia="zh-TW"/>
              </w:rPr>
              <w:t>号院</w:t>
            </w:r>
            <w:r>
              <w:rPr>
                <w:rStyle w:val="258"/>
                <w:rFonts w:ascii="宋体" w:hAnsi="宋体" w:eastAsia="宋体" w:cs="宋体"/>
                <w:color w:val="auto"/>
                <w:sz w:val="24"/>
                <w:szCs w:val="24"/>
                <w:highlight w:val="none"/>
              </w:rPr>
              <w:t>3</w:t>
            </w:r>
            <w:r>
              <w:rPr>
                <w:rStyle w:val="258"/>
                <w:rFonts w:ascii="宋体" w:hAnsi="宋体" w:eastAsia="宋体" w:cs="宋体"/>
                <w:color w:val="auto"/>
                <w:sz w:val="24"/>
                <w:szCs w:val="24"/>
                <w:highlight w:val="none"/>
                <w:lang w:val="zh-TW" w:eastAsia="zh-TW"/>
              </w:rPr>
              <w:t>号楼</w:t>
            </w:r>
            <w:r>
              <w:rPr>
                <w:rStyle w:val="258"/>
                <w:rFonts w:ascii="宋体" w:hAnsi="宋体" w:eastAsia="宋体" w:cs="宋体"/>
                <w:color w:val="auto"/>
                <w:sz w:val="24"/>
                <w:szCs w:val="24"/>
                <w:highlight w:val="none"/>
              </w:rPr>
              <w:t>3</w:t>
            </w:r>
            <w:r>
              <w:rPr>
                <w:rStyle w:val="258"/>
                <w:rFonts w:ascii="宋体" w:hAnsi="宋体" w:eastAsia="宋体" w:cs="宋体"/>
                <w:color w:val="auto"/>
                <w:sz w:val="24"/>
                <w:szCs w:val="24"/>
                <w:highlight w:val="none"/>
                <w:lang w:val="zh-TW" w:eastAsia="zh-TW"/>
              </w:rPr>
              <w:t>层</w:t>
            </w:r>
            <w:r>
              <w:rPr>
                <w:rStyle w:val="258"/>
                <w:rFonts w:ascii="宋体" w:hAnsi="宋体" w:eastAsia="宋体" w:cs="宋体"/>
                <w:color w:val="auto"/>
                <w:sz w:val="24"/>
                <w:szCs w:val="24"/>
                <w:highlight w:val="none"/>
              </w:rPr>
              <w:t>301</w:t>
            </w:r>
            <w:r>
              <w:rPr>
                <w:rStyle w:val="258"/>
                <w:rFonts w:ascii="宋体" w:hAnsi="宋体" w:eastAsia="宋体" w:cs="宋体"/>
                <w:color w:val="auto"/>
                <w:sz w:val="24"/>
                <w:szCs w:val="24"/>
                <w:highlight w:val="none"/>
                <w:lang w:val="zh-TW" w:eastAsia="zh-TW"/>
              </w:rPr>
              <w:t>室</w:t>
            </w:r>
            <w:r>
              <w:rPr>
                <w:rFonts w:eastAsiaTheme="minorEastAsia"/>
                <w:sz w:val="24"/>
              </w:rPr>
              <w:t>。</w:t>
            </w:r>
          </w:p>
        </w:tc>
      </w:tr>
      <w:tr w14:paraId="4564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AD0A43">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76932657">
            <w:pPr>
              <w:jc w:val="center"/>
              <w:rPr>
                <w:rFonts w:eastAsiaTheme="minorEastAsia"/>
                <w:sz w:val="24"/>
              </w:rPr>
            </w:pPr>
            <w:r>
              <w:rPr>
                <w:rFonts w:eastAsiaTheme="minorEastAsia"/>
                <w:sz w:val="24"/>
              </w:rPr>
              <w:t>代理费</w:t>
            </w:r>
          </w:p>
        </w:tc>
        <w:tc>
          <w:tcPr>
            <w:tcW w:w="7253" w:type="dxa"/>
            <w:vAlign w:val="center"/>
          </w:tcPr>
          <w:p w14:paraId="223942EB">
            <w:pPr>
              <w:jc w:val="left"/>
              <w:rPr>
                <w:rFonts w:eastAsiaTheme="minorEastAsia"/>
                <w:sz w:val="24"/>
              </w:rPr>
            </w:pPr>
            <w:r>
              <w:rPr>
                <w:rFonts w:eastAsiaTheme="minorEastAsia"/>
                <w:sz w:val="24"/>
              </w:rPr>
              <w:t>收费对象：</w:t>
            </w:r>
          </w:p>
          <w:p w14:paraId="54400685">
            <w:pPr>
              <w:jc w:val="left"/>
              <w:rPr>
                <w:rFonts w:eastAsiaTheme="minorEastAsia"/>
                <w:sz w:val="24"/>
              </w:rPr>
            </w:pPr>
            <w:r>
              <w:rPr>
                <w:rFonts w:hint="eastAsia" w:eastAsiaTheme="minorEastAsia"/>
                <w:bCs/>
              </w:rPr>
              <w:t>■</w:t>
            </w:r>
            <w:r>
              <w:rPr>
                <w:rFonts w:eastAsiaTheme="minorEastAsia"/>
                <w:sz w:val="24"/>
              </w:rPr>
              <w:t>采购人</w:t>
            </w:r>
          </w:p>
          <w:p w14:paraId="75978015">
            <w:pPr>
              <w:jc w:val="left"/>
              <w:rPr>
                <w:rFonts w:eastAsiaTheme="minorEastAsia"/>
                <w:sz w:val="24"/>
              </w:rPr>
            </w:pPr>
            <w:r>
              <w:rPr>
                <w:rFonts w:hint="eastAsia"/>
                <w:bCs/>
                <w:sz w:val="24"/>
              </w:rPr>
              <w:t>□</w:t>
            </w:r>
            <w:r>
              <w:rPr>
                <w:rFonts w:eastAsiaTheme="minorEastAsia"/>
                <w:sz w:val="24"/>
              </w:rPr>
              <w:t>成交供应商</w:t>
            </w:r>
          </w:p>
          <w:p w14:paraId="555CCA1F">
            <w:pPr>
              <w:jc w:val="left"/>
              <w:rPr>
                <w:rFonts w:eastAsiaTheme="minorEastAsia"/>
                <w:sz w:val="24"/>
                <w:u w:val="single"/>
              </w:rPr>
            </w:pPr>
            <w:r>
              <w:rPr>
                <w:rFonts w:eastAsiaTheme="minorEastAsia"/>
                <w:sz w:val="24"/>
              </w:rPr>
              <w:t>收费标准：</w:t>
            </w:r>
            <w:r>
              <w:rPr>
                <w:rFonts w:hint="eastAsia" w:eastAsiaTheme="minorEastAsia"/>
                <w:sz w:val="24"/>
              </w:rPr>
              <w:t>参照价格【2002】1980号和发改价格[2011]534号文件收取。</w:t>
            </w:r>
          </w:p>
          <w:p w14:paraId="7FE65C38">
            <w:pPr>
              <w:rPr>
                <w:rFonts w:ascii="宋体"/>
                <w:b/>
                <w:sz w:val="24"/>
              </w:rPr>
            </w:pPr>
            <w:r>
              <w:rPr>
                <w:rFonts w:hint="eastAsia" w:ascii="宋体" w:hAnsi="宋体"/>
                <w:b/>
                <w:sz w:val="24"/>
              </w:rPr>
              <w:t>服务费汇款账户：</w:t>
            </w:r>
            <w:r>
              <w:rPr>
                <w:rFonts w:ascii="宋体"/>
                <w:b/>
                <w:sz w:val="24"/>
              </w:rPr>
              <w:t xml:space="preserve"> </w:t>
            </w:r>
          </w:p>
          <w:p w14:paraId="2A8A184A">
            <w:pPr>
              <w:rPr>
                <w:rFonts w:ascii="宋体" w:hAnsi="宋体"/>
                <w:b/>
                <w:sz w:val="24"/>
              </w:rPr>
            </w:pPr>
            <w:r>
              <w:rPr>
                <w:rFonts w:ascii="宋体" w:hAnsi="宋体"/>
                <w:b/>
                <w:sz w:val="24"/>
                <w:lang w:val="zh-TW"/>
              </w:rPr>
              <w:t>开户名称：北京天极招投标咨询有限公司</w:t>
            </w:r>
          </w:p>
          <w:p w14:paraId="09811852">
            <w:pPr>
              <w:rPr>
                <w:rFonts w:ascii="宋体" w:hAnsi="宋体"/>
                <w:b/>
                <w:sz w:val="24"/>
                <w:lang w:val="zh-TW"/>
              </w:rPr>
            </w:pPr>
            <w:r>
              <w:rPr>
                <w:rFonts w:ascii="宋体" w:hAnsi="宋体"/>
                <w:b/>
                <w:sz w:val="24"/>
                <w:lang w:val="zh-TW"/>
              </w:rPr>
              <w:t>开 户 行：中国建设银行北京东大街支行</w:t>
            </w:r>
          </w:p>
          <w:p w14:paraId="5087ADB8">
            <w:r>
              <w:rPr>
                <w:rFonts w:ascii="宋体" w:hAnsi="宋体"/>
                <w:b/>
                <w:sz w:val="24"/>
                <w:lang w:val="zh-TW"/>
              </w:rPr>
              <w:t>账   号：</w:t>
            </w:r>
            <w:r>
              <w:rPr>
                <w:rFonts w:ascii="宋体" w:hAnsi="宋体"/>
                <w:b/>
                <w:sz w:val="24"/>
              </w:rPr>
              <w:t>1100 1069 6000 5304 2311</w:t>
            </w:r>
            <w:r>
              <w:rPr>
                <w:rFonts w:ascii="宋体" w:hAnsi="宋体"/>
                <w:b/>
                <w:sz w:val="24"/>
                <w:lang w:val="zh-TW"/>
              </w:rPr>
              <w:t>。</w:t>
            </w:r>
          </w:p>
        </w:tc>
      </w:tr>
    </w:tbl>
    <w:p w14:paraId="4AFBD713">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3DAC0BCA">
      <w:pPr>
        <w:spacing w:before="319" w:beforeLines="100" w:after="319" w:afterLines="100"/>
        <w:jc w:val="center"/>
        <w:rPr>
          <w:rFonts w:eastAsiaTheme="minorEastAsia"/>
          <w:b/>
          <w:sz w:val="28"/>
          <w:szCs w:val="28"/>
        </w:rPr>
      </w:pPr>
      <w:r>
        <w:rPr>
          <w:rFonts w:eastAsiaTheme="minorEastAsia"/>
          <w:b/>
          <w:sz w:val="28"/>
          <w:szCs w:val="28"/>
        </w:rPr>
        <w:t>供应商须知</w:t>
      </w:r>
    </w:p>
    <w:p w14:paraId="2EA14F38">
      <w:pPr>
        <w:pStyle w:val="5"/>
        <w:tabs>
          <w:tab w:val="center" w:pos="4592"/>
          <w:tab w:val="left" w:pos="7860"/>
        </w:tabs>
        <w:spacing w:before="0" w:line="360" w:lineRule="auto"/>
        <w:jc w:val="left"/>
        <w:rPr>
          <w:rFonts w:ascii="Times New Roman" w:hAnsi="Times New Roman" w:eastAsiaTheme="minorEastAsia"/>
          <w:sz w:val="28"/>
        </w:rPr>
      </w:pPr>
      <w:bookmarkStart w:id="79" w:name="_Toc520356143"/>
      <w:bookmarkStart w:id="80" w:name="_Toc127151518"/>
      <w:r>
        <w:rPr>
          <w:rFonts w:ascii="Times New Roman" w:hAnsi="Times New Roman" w:eastAsiaTheme="minorEastAsia"/>
          <w:sz w:val="28"/>
        </w:rPr>
        <w:tab/>
      </w:r>
      <w:bookmarkStart w:id="81" w:name="_Toc151193832"/>
      <w:bookmarkStart w:id="82" w:name="_Toc265228356"/>
      <w:bookmarkStart w:id="83" w:name="_Toc151190145"/>
      <w:bookmarkStart w:id="84" w:name="_Toc150774723"/>
      <w:bookmarkStart w:id="85" w:name="_Toc226337214"/>
      <w:bookmarkStart w:id="86" w:name="_Toc150480756"/>
      <w:bookmarkStart w:id="87" w:name="_Toc305158860"/>
      <w:bookmarkStart w:id="88" w:name="_Toc150774618"/>
      <w:bookmarkStart w:id="89" w:name="_Toc226965791"/>
      <w:bookmarkStart w:id="90" w:name="_Toc151193616"/>
      <w:bookmarkStart w:id="91" w:name="_Toc151193760"/>
      <w:bookmarkStart w:id="92" w:name="_Toc150509269"/>
      <w:bookmarkStart w:id="93" w:name="_Toc305158786"/>
      <w:bookmarkStart w:id="94" w:name="_Toc142311020"/>
      <w:bookmarkStart w:id="95" w:name="_Toc264969208"/>
      <w:bookmarkStart w:id="96" w:name="_Toc195842883"/>
      <w:bookmarkStart w:id="97" w:name="_Toc151193906"/>
      <w:bookmarkStart w:id="98" w:name="_Toc226309762"/>
      <w:bookmarkStart w:id="99" w:name="_Toc226965708"/>
      <w:bookmarkStart w:id="100" w:name="_Toc151193688"/>
      <w:r>
        <w:rPr>
          <w:rFonts w:ascii="Times New Roman" w:hAnsi="Times New Roman" w:eastAsiaTheme="minorEastAsia"/>
          <w:sz w:val="28"/>
        </w:rPr>
        <w:t>一   说  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imes New Roman" w:hAnsi="Times New Roman" w:eastAsiaTheme="minorEastAsia"/>
          <w:sz w:val="28"/>
        </w:rPr>
        <w:tab/>
      </w:r>
    </w:p>
    <w:p w14:paraId="65DFAE35">
      <w:pPr>
        <w:numPr>
          <w:ilvl w:val="0"/>
          <w:numId w:val="10"/>
        </w:numPr>
        <w:tabs>
          <w:tab w:val="left" w:pos="360"/>
          <w:tab w:val="clear" w:pos="900"/>
        </w:tabs>
        <w:snapToGrid w:val="0"/>
        <w:spacing w:line="360" w:lineRule="auto"/>
        <w:ind w:left="357" w:hanging="357"/>
        <w:outlineLvl w:val="1"/>
        <w:rPr>
          <w:rFonts w:eastAsiaTheme="minorEastAsia"/>
          <w:sz w:val="24"/>
        </w:rPr>
      </w:pPr>
      <w:bookmarkStart w:id="101" w:name="_Toc305158787"/>
      <w:bookmarkStart w:id="102" w:name="_Toc265228357"/>
      <w:bookmarkStart w:id="103" w:name="_Toc264969209"/>
      <w:bookmarkStart w:id="104" w:name="_Toc305158861"/>
      <w:r>
        <w:rPr>
          <w:rFonts w:eastAsiaTheme="minorEastAsia"/>
          <w:sz w:val="24"/>
        </w:rPr>
        <w:t>采购人、采购代理机构、供应商</w:t>
      </w:r>
      <w:bookmarkEnd w:id="101"/>
      <w:bookmarkEnd w:id="102"/>
      <w:bookmarkEnd w:id="103"/>
      <w:bookmarkEnd w:id="104"/>
      <w:r>
        <w:rPr>
          <w:rFonts w:eastAsiaTheme="minorEastAsia"/>
          <w:sz w:val="24"/>
        </w:rPr>
        <w:t>、联合体</w:t>
      </w:r>
    </w:p>
    <w:p w14:paraId="20BF3C94">
      <w:pPr>
        <w:numPr>
          <w:ilvl w:val="1"/>
          <w:numId w:val="10"/>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251DAD62">
      <w:pPr>
        <w:numPr>
          <w:ilvl w:val="1"/>
          <w:numId w:val="10"/>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7FFDF55F">
      <w:pPr>
        <w:numPr>
          <w:ilvl w:val="1"/>
          <w:numId w:val="10"/>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731A86B">
      <w:pPr>
        <w:numPr>
          <w:ilvl w:val="0"/>
          <w:numId w:val="10"/>
        </w:numPr>
        <w:tabs>
          <w:tab w:val="left" w:pos="360"/>
          <w:tab w:val="clear" w:pos="900"/>
        </w:tabs>
        <w:snapToGrid w:val="0"/>
        <w:spacing w:line="360" w:lineRule="auto"/>
        <w:ind w:left="357" w:hanging="357"/>
        <w:outlineLvl w:val="1"/>
        <w:rPr>
          <w:rFonts w:eastAsiaTheme="minorEastAsia"/>
          <w:sz w:val="24"/>
        </w:rPr>
      </w:pPr>
      <w:bookmarkStart w:id="105" w:name="_Toc151193834"/>
      <w:bookmarkStart w:id="106" w:name="_Toc151193618"/>
      <w:bookmarkStart w:id="107" w:name="_Toc226965710"/>
      <w:bookmarkStart w:id="108" w:name="_Toc151193690"/>
      <w:bookmarkStart w:id="109" w:name="_Toc150774725"/>
      <w:bookmarkStart w:id="110" w:name="_Toc150509271"/>
      <w:bookmarkStart w:id="111" w:name="_Toc264969210"/>
      <w:bookmarkStart w:id="112" w:name="_Toc226309764"/>
      <w:bookmarkStart w:id="113" w:name="_Toc164229215"/>
      <w:bookmarkStart w:id="114" w:name="_Toc164351614"/>
      <w:bookmarkStart w:id="115" w:name="_Toc127161434"/>
      <w:bookmarkStart w:id="116" w:name="_Toc265228358"/>
      <w:bookmarkStart w:id="117" w:name="_Toc305158788"/>
      <w:bookmarkStart w:id="118" w:name="_Toc164608789"/>
      <w:bookmarkStart w:id="119" w:name="_Toc150480758"/>
      <w:bookmarkStart w:id="120" w:name="_Toc127151721"/>
      <w:bookmarkStart w:id="121" w:name="_Toc195842885"/>
      <w:bookmarkStart w:id="122" w:name="_Toc142311022"/>
      <w:bookmarkStart w:id="123" w:name="_Toc149720813"/>
      <w:bookmarkStart w:id="124" w:name="_Toc164229361"/>
      <w:bookmarkStart w:id="125" w:name="_Toc150774620"/>
      <w:bookmarkStart w:id="126" w:name="_Toc151193908"/>
      <w:bookmarkStart w:id="127" w:name="_Toc151193762"/>
      <w:bookmarkStart w:id="128" w:name="_Toc164608634"/>
      <w:bookmarkStart w:id="129" w:name="_Toc305158862"/>
      <w:bookmarkStart w:id="130" w:name="_Toc226337216"/>
      <w:bookmarkStart w:id="131" w:name="_Toc226965793"/>
      <w:bookmarkStart w:id="132" w:name="_Toc151190147"/>
      <w:bookmarkStart w:id="133" w:name="_Toc127151520"/>
      <w:r>
        <w:rPr>
          <w:rFonts w:eastAsiaTheme="minorEastAsia"/>
          <w:sz w:val="24"/>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Fonts w:eastAsiaTheme="minorEastAsia"/>
          <w:sz w:val="24"/>
        </w:rPr>
        <w:t>、项目属性、科研仪器设备采购</w:t>
      </w:r>
    </w:p>
    <w:p w14:paraId="3AB57D25">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157C932E">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5076A750">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6062A271">
      <w:pPr>
        <w:numPr>
          <w:ilvl w:val="0"/>
          <w:numId w:val="10"/>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371C0F35">
      <w:pPr>
        <w:numPr>
          <w:ilvl w:val="1"/>
          <w:numId w:val="10"/>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4" w:name="_Toc151193692"/>
      <w:bookmarkStart w:id="135" w:name="_Toc195842887"/>
      <w:bookmarkStart w:id="136" w:name="_Toc127151522"/>
      <w:bookmarkStart w:id="137" w:name="_Toc520356146"/>
      <w:bookmarkStart w:id="138" w:name="_Toc226337218"/>
      <w:bookmarkStart w:id="139" w:name="_Toc226965795"/>
      <w:bookmarkStart w:id="140" w:name="_Toc151190149"/>
      <w:bookmarkStart w:id="141" w:name="_Toc151193836"/>
      <w:bookmarkStart w:id="142" w:name="_Toc226309766"/>
      <w:bookmarkStart w:id="143" w:name="_Toc305158864"/>
      <w:bookmarkStart w:id="144" w:name="_Toc142311024"/>
      <w:bookmarkStart w:id="145" w:name="_Toc151193620"/>
      <w:bookmarkStart w:id="146" w:name="_Toc226965712"/>
      <w:bookmarkStart w:id="147" w:name="_Toc305158790"/>
      <w:bookmarkStart w:id="148" w:name="_Toc150774727"/>
      <w:bookmarkStart w:id="149" w:name="_Toc264969212"/>
      <w:bookmarkStart w:id="150" w:name="_Toc151193910"/>
      <w:bookmarkStart w:id="151" w:name="_Toc151193764"/>
      <w:bookmarkStart w:id="152" w:name="_Toc150480760"/>
      <w:bookmarkStart w:id="153" w:name="_Toc265228360"/>
      <w:bookmarkStart w:id="154" w:name="_Toc150774622"/>
      <w:bookmarkStart w:id="155" w:name="_Toc150509273"/>
    </w:p>
    <w:p w14:paraId="44E52955">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49C411BD">
      <w:pPr>
        <w:numPr>
          <w:ilvl w:val="0"/>
          <w:numId w:val="10"/>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10ABD8DD">
      <w:pPr>
        <w:numPr>
          <w:ilvl w:val="1"/>
          <w:numId w:val="10"/>
        </w:numPr>
        <w:tabs>
          <w:tab w:val="left" w:pos="1080"/>
          <w:tab w:val="left" w:pos="2014"/>
        </w:tabs>
        <w:snapToGrid w:val="0"/>
        <w:spacing w:line="360" w:lineRule="auto"/>
        <w:ind w:left="1080" w:hanging="720"/>
        <w:rPr>
          <w:rFonts w:eastAsiaTheme="minorEastAsia"/>
          <w:sz w:val="24"/>
        </w:rPr>
      </w:pPr>
      <w:bookmarkStart w:id="156" w:name="OLE_LINK18"/>
      <w:r>
        <w:rPr>
          <w:sz w:val="24"/>
        </w:rPr>
        <w:t>采购本国货物、工程和服务</w:t>
      </w:r>
    </w:p>
    <w:bookmarkEnd w:id="156"/>
    <w:p w14:paraId="3671D45A">
      <w:pPr>
        <w:numPr>
          <w:ilvl w:val="2"/>
          <w:numId w:val="10"/>
        </w:numPr>
        <w:tabs>
          <w:tab w:val="left" w:pos="2014"/>
        </w:tabs>
        <w:snapToGrid w:val="0"/>
        <w:spacing w:line="360" w:lineRule="auto"/>
        <w:rPr>
          <w:rFonts w:eastAsiaTheme="minorEastAsia"/>
          <w:sz w:val="24"/>
        </w:rPr>
      </w:pPr>
      <w:bookmarkStart w:id="157" w:name="OLE_LINK19"/>
      <w:r>
        <w:rPr>
          <w:kern w:val="0"/>
          <w:sz w:val="24"/>
        </w:rPr>
        <w:t>政府采购应当采购本国货物、工程和服务。但有《</w:t>
      </w:r>
      <w:r>
        <w:rPr>
          <w:b/>
          <w:kern w:val="0"/>
          <w:sz w:val="24"/>
        </w:rPr>
        <w:t>中华人民共和国政府采购法</w:t>
      </w:r>
      <w:r>
        <w:rPr>
          <w:kern w:val="0"/>
          <w:sz w:val="24"/>
        </w:rPr>
        <w:t>》第十条规定情形的除外。</w:t>
      </w:r>
    </w:p>
    <w:bookmarkEnd w:id="157"/>
    <w:p w14:paraId="61F1BF69">
      <w:pPr>
        <w:numPr>
          <w:ilvl w:val="2"/>
          <w:numId w:val="10"/>
        </w:numPr>
        <w:tabs>
          <w:tab w:val="left" w:pos="2014"/>
        </w:tabs>
        <w:snapToGrid w:val="0"/>
        <w:spacing w:line="360" w:lineRule="auto"/>
        <w:rPr>
          <w:rFonts w:eastAsiaTheme="minorEastAsia"/>
          <w:sz w:val="24"/>
        </w:rPr>
      </w:pPr>
      <w:bookmarkStart w:id="158" w:name="OLE_LINK20"/>
      <w:r>
        <w:rPr>
          <w:sz w:val="24"/>
        </w:rPr>
        <w:t>本项目如接受非本国货物、工程、服务参与投标，则具体要求见第四章《采购需求》。</w:t>
      </w:r>
    </w:p>
    <w:bookmarkEnd w:id="158"/>
    <w:p w14:paraId="209E8B92">
      <w:pPr>
        <w:numPr>
          <w:ilvl w:val="2"/>
          <w:numId w:val="10"/>
        </w:numPr>
        <w:tabs>
          <w:tab w:val="left" w:pos="2014"/>
        </w:tabs>
        <w:snapToGrid w:val="0"/>
        <w:spacing w:line="360" w:lineRule="auto"/>
        <w:rPr>
          <w:rFonts w:eastAsiaTheme="minorEastAsia"/>
          <w:sz w:val="24"/>
        </w:rPr>
      </w:pPr>
      <w:bookmarkStart w:id="159" w:name="OLE_LINK21"/>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bookmarkStart w:id="160" w:name="OLE_LINK22"/>
    </w:p>
    <w:bookmarkEnd w:id="159"/>
    <w:p w14:paraId="7A56095B">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081"/>
          <w:tab w:val="left" w:pos="2016"/>
        </w:tabs>
        <w:spacing w:before="0" w:beforeAutospacing="0" w:after="0" w:afterAutospacing="0" w:line="360" w:lineRule="auto"/>
        <w:ind w:left="1080" w:right="0"/>
        <w:jc w:val="both"/>
      </w:pPr>
      <w:r>
        <w:rPr>
          <w:rFonts w:hint="eastAsia" w:eastAsiaTheme="minorEastAsia"/>
          <w:sz w:val="24"/>
          <w:lang w:val="en-US" w:eastAsia="zh-CN"/>
        </w:rPr>
        <w:t xml:space="preserve"> </w:t>
      </w:r>
    </w:p>
    <w:p w14:paraId="7098209A">
      <w:pPr>
        <w:numPr>
          <w:ilvl w:val="1"/>
          <w:numId w:val="10"/>
        </w:numPr>
        <w:tabs>
          <w:tab w:val="left" w:pos="1080"/>
          <w:tab w:val="left" w:pos="2014"/>
        </w:tabs>
        <w:snapToGrid w:val="0"/>
        <w:spacing w:line="360" w:lineRule="auto"/>
        <w:ind w:left="1080" w:hanging="720"/>
        <w:rPr>
          <w:rFonts w:eastAsiaTheme="minorEastAsia"/>
          <w:sz w:val="24"/>
        </w:rPr>
      </w:pPr>
      <w:r>
        <w:rPr>
          <w:rFonts w:hint="eastAsia" w:eastAsiaTheme="minorEastAsia"/>
          <w:sz w:val="24"/>
          <w:lang w:val="en-US" w:eastAsia="zh-CN"/>
        </w:rPr>
        <w:t>本国产品</w:t>
      </w:r>
      <w:r>
        <w:rPr>
          <w:rFonts w:hint="default" w:eastAsiaTheme="minor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39D29165">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00A9D798">
      <w:pPr>
        <w:numPr>
          <w:ilvl w:val="2"/>
          <w:numId w:val="10"/>
        </w:numPr>
        <w:snapToGrid w:val="0"/>
        <w:spacing w:line="360" w:lineRule="auto"/>
        <w:rPr>
          <w:rFonts w:eastAsiaTheme="minorEastAsia"/>
          <w:sz w:val="24"/>
        </w:rPr>
      </w:pPr>
      <w:r>
        <w:rPr>
          <w:rFonts w:eastAsiaTheme="minorEastAsia"/>
          <w:sz w:val="24"/>
        </w:rPr>
        <w:t>中小企业定义：</w:t>
      </w:r>
    </w:p>
    <w:p w14:paraId="33BCCC1D">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eastAsiaTheme="minorEastAsia"/>
          <w:sz w:val="24"/>
        </w:rPr>
        <w:t>、《金融业企业划型标准规定》（〔2015〕309 号）等国务院批准的中小企业划分标准执行。</w:t>
      </w:r>
    </w:p>
    <w:p w14:paraId="55306748">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供应商提供的货物、工程或者服务符合下列情形的，享受中小企业扶持政策：</w:t>
      </w:r>
    </w:p>
    <w:p w14:paraId="1A146D90">
      <w:pPr>
        <w:tabs>
          <w:tab w:val="left" w:pos="1980"/>
          <w:tab w:val="left" w:pos="2035"/>
          <w:tab w:val="left" w:pos="2977"/>
        </w:tabs>
        <w:snapToGrid w:val="0"/>
        <w:spacing w:line="360" w:lineRule="auto"/>
        <w:ind w:left="2320"/>
        <w:rPr>
          <w:rFonts w:eastAsiaTheme="minorEastAsia"/>
          <w:sz w:val="24"/>
        </w:rPr>
      </w:pPr>
      <w:r>
        <w:rPr>
          <w:rFonts w:eastAsiaTheme="minorEastAsia"/>
          <w:sz w:val="24"/>
        </w:rPr>
        <w:t>（1）在货物采购项目中，货物由中小企业制造，即货物由中小企业生产且使用该中小企业商号或者注册商标；</w:t>
      </w:r>
    </w:p>
    <w:p w14:paraId="6687282C">
      <w:pPr>
        <w:tabs>
          <w:tab w:val="left" w:pos="1980"/>
          <w:tab w:val="left" w:pos="2035"/>
          <w:tab w:val="left" w:pos="2977"/>
        </w:tabs>
        <w:snapToGrid w:val="0"/>
        <w:spacing w:line="360" w:lineRule="auto"/>
        <w:ind w:left="2320"/>
        <w:rPr>
          <w:rFonts w:eastAsiaTheme="minorEastAsia"/>
          <w:sz w:val="24"/>
        </w:rPr>
      </w:pPr>
      <w:r>
        <w:rPr>
          <w:rFonts w:eastAsiaTheme="minorEastAsia"/>
          <w:sz w:val="24"/>
        </w:rPr>
        <w:t>（2）在工程采购项目中，工程由中小企业承建，即工程施工单位为中小企业；</w:t>
      </w:r>
    </w:p>
    <w:p w14:paraId="7FDAC1F7">
      <w:pPr>
        <w:tabs>
          <w:tab w:val="left" w:pos="1980"/>
          <w:tab w:val="left" w:pos="2035"/>
          <w:tab w:val="left" w:pos="2977"/>
        </w:tabs>
        <w:snapToGrid w:val="0"/>
        <w:spacing w:line="360" w:lineRule="auto"/>
        <w:ind w:left="2320"/>
        <w:rPr>
          <w:rFonts w:eastAsiaTheme="minorEastAsia"/>
          <w:sz w:val="24"/>
        </w:rPr>
      </w:pPr>
      <w:r>
        <w:rPr>
          <w:rFonts w:eastAsiaTheme="minorEastAsia"/>
          <w:sz w:val="24"/>
        </w:rPr>
        <w:t>（3）在服务采购项目中，服务由中小企业承接，即提供服务的人员为中小企业依照《中华人民共和国劳动合同法》订立劳动合同的从业人员。</w:t>
      </w:r>
    </w:p>
    <w:p w14:paraId="46E43412">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6A0A135B">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bookmarkStart w:id="161" w:name="OLE_LINK23"/>
    </w:p>
    <w:p w14:paraId="7F29B8EB">
      <w:pPr>
        <w:numPr>
          <w:ilvl w:val="2"/>
          <w:numId w:val="10"/>
        </w:numPr>
        <w:snapToGrid w:val="0"/>
        <w:spacing w:line="360" w:lineRule="auto"/>
        <w:rPr>
          <w:rFonts w:eastAsiaTheme="minorEastAsia"/>
          <w:sz w:val="24"/>
        </w:rPr>
      </w:pPr>
      <w:bookmarkStart w:id="162" w:name="OLE_LINK26"/>
      <w:r>
        <w:rPr>
          <w:sz w:val="24"/>
        </w:rPr>
        <w:t>在政府采购活动中，</w:t>
      </w:r>
      <w:bookmarkStart w:id="163" w:name="OLE_LINK27"/>
      <w:r>
        <w:rPr>
          <w:sz w:val="24"/>
        </w:rPr>
        <w:t>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bookmarkEnd w:id="163"/>
      <w:bookmarkStart w:id="164" w:name="OLE_LINK25"/>
    </w:p>
    <w:bookmarkEnd w:id="162"/>
    <w:p w14:paraId="20960261">
      <w:pPr>
        <w:numPr>
          <w:ilvl w:val="2"/>
          <w:numId w:val="10"/>
        </w:numPr>
        <w:snapToGrid w:val="0"/>
        <w:spacing w:line="360" w:lineRule="auto"/>
        <w:rPr>
          <w:rFonts w:eastAsiaTheme="minorEastAsia"/>
          <w:sz w:val="24"/>
        </w:rPr>
      </w:pPr>
      <w:bookmarkStart w:id="165" w:name="OLE_LINK28"/>
      <w:r>
        <w:rPr>
          <w:sz w:val="24"/>
        </w:rPr>
        <w:t>在政府</w:t>
      </w:r>
      <w:bookmarkStart w:id="166" w:name="OLE_LINK29"/>
      <w:r>
        <w:rPr>
          <w:sz w:val="24"/>
        </w:rPr>
        <w:t>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bookmarkEnd w:id="166"/>
    </w:p>
    <w:bookmarkEnd w:id="165"/>
    <w:p w14:paraId="28D0CA3A">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安置的残疾人占本单位在职职工人数的比例不低于25%（含25%），并且安置的残疾人人数不少于10 人（含10 人）；</w:t>
      </w:r>
    </w:p>
    <w:p w14:paraId="031C45D6">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依法与安置的每位残疾人签订了一年以上（含一年）的劳动合同或服务协议；</w:t>
      </w:r>
    </w:p>
    <w:p w14:paraId="142D2C97">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76C00570">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7E368A4E">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7DE2A4D">
      <w:pPr>
        <w:numPr>
          <w:ilvl w:val="3"/>
          <w:numId w:val="10"/>
        </w:numPr>
        <w:tabs>
          <w:tab w:val="left" w:pos="1980"/>
          <w:tab w:val="left" w:pos="2035"/>
          <w:tab w:val="left" w:pos="2977"/>
        </w:tabs>
        <w:snapToGrid w:val="0"/>
        <w:spacing w:line="360" w:lineRule="auto"/>
        <w:ind w:left="2320" w:hanging="902"/>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BB3EABC">
      <w:pPr>
        <w:numPr>
          <w:ilvl w:val="2"/>
          <w:numId w:val="10"/>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1C3FA91A">
      <w:pPr>
        <w:numPr>
          <w:ilvl w:val="2"/>
          <w:numId w:val="10"/>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2966CC48">
      <w:pPr>
        <w:numPr>
          <w:ilvl w:val="2"/>
          <w:numId w:val="10"/>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099E37AA">
      <w:pPr>
        <w:numPr>
          <w:ilvl w:val="1"/>
          <w:numId w:val="10"/>
        </w:numPr>
        <w:tabs>
          <w:tab w:val="left" w:pos="1080"/>
          <w:tab w:val="left" w:pos="2014"/>
        </w:tabs>
        <w:snapToGrid w:val="0"/>
        <w:spacing w:line="360" w:lineRule="auto"/>
        <w:ind w:left="1080" w:hanging="720"/>
        <w:rPr>
          <w:rFonts w:eastAsiaTheme="minorEastAsia"/>
          <w:sz w:val="24"/>
        </w:rPr>
      </w:pPr>
      <w:bookmarkStart w:id="167" w:name="OLE_LINK24"/>
      <w:r>
        <w:rPr>
          <w:rFonts w:eastAsiaTheme="minorEastAsia"/>
          <w:sz w:val="24"/>
        </w:rPr>
        <w:t>政府采购节能产品、环境标志产品</w:t>
      </w:r>
    </w:p>
    <w:p w14:paraId="4190FDC6">
      <w:pPr>
        <w:numPr>
          <w:ilvl w:val="2"/>
          <w:numId w:val="10"/>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C429B16">
      <w:pPr>
        <w:numPr>
          <w:ilvl w:val="2"/>
          <w:numId w:val="10"/>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CC53A6B">
      <w:pPr>
        <w:numPr>
          <w:ilvl w:val="2"/>
          <w:numId w:val="10"/>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64921B0A">
      <w:pPr>
        <w:numPr>
          <w:ilvl w:val="2"/>
          <w:numId w:val="10"/>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19A06849">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5082D9E7">
      <w:pPr>
        <w:numPr>
          <w:ilvl w:val="2"/>
          <w:numId w:val="10"/>
        </w:numPr>
        <w:snapToGrid w:val="0"/>
        <w:spacing w:line="360" w:lineRule="auto"/>
        <w:rPr>
          <w:rFonts w:eastAsiaTheme="minorEastAsia"/>
          <w:sz w:val="24"/>
        </w:rPr>
      </w:pPr>
      <w:bookmarkStart w:id="168" w:name="OLE_LINK30"/>
      <w:r>
        <w:rPr>
          <w:rFonts w:hint="eastAsia"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 号）。</w:t>
      </w:r>
    </w:p>
    <w:bookmarkEnd w:id="168"/>
    <w:p w14:paraId="30CFA3CC">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网络</w:t>
      </w:r>
      <w:bookmarkStart w:id="169" w:name="OLE_LINK31"/>
      <w:r>
        <w:rPr>
          <w:rFonts w:eastAsiaTheme="minorEastAsia"/>
          <w:sz w:val="24"/>
        </w:rPr>
        <w:t>安全专用产品</w:t>
      </w:r>
      <w:bookmarkEnd w:id="169"/>
    </w:p>
    <w:p w14:paraId="3DCBBE67">
      <w:pPr>
        <w:numPr>
          <w:ilvl w:val="2"/>
          <w:numId w:val="10"/>
        </w:numPr>
        <w:tabs>
          <w:tab w:val="left" w:pos="2014"/>
        </w:tabs>
        <w:snapToGrid w:val="0"/>
        <w:spacing w:line="360" w:lineRule="auto"/>
        <w:rPr>
          <w:rFonts w:eastAsiaTheme="minorEastAsia"/>
          <w:sz w:val="24"/>
        </w:rPr>
      </w:pPr>
      <w:r>
        <w:rPr>
          <w:rFonts w:hint="eastAsia" w:eastAsiaTheme="minorEastAsia"/>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5C4FDDAF">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40AFE63D">
      <w:pPr>
        <w:numPr>
          <w:ilvl w:val="2"/>
          <w:numId w:val="10"/>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74220677">
      <w:pPr>
        <w:numPr>
          <w:ilvl w:val="1"/>
          <w:numId w:val="10"/>
        </w:numPr>
        <w:tabs>
          <w:tab w:val="left" w:pos="1080"/>
        </w:tabs>
        <w:snapToGrid w:val="0"/>
        <w:spacing w:line="360" w:lineRule="auto"/>
        <w:rPr>
          <w:sz w:val="24"/>
        </w:rPr>
      </w:pPr>
      <w:r>
        <w:rPr>
          <w:sz w:val="24"/>
        </w:rPr>
        <w:t>采购需求标准</w:t>
      </w:r>
    </w:p>
    <w:p w14:paraId="3234BA82">
      <w:pPr>
        <w:numPr>
          <w:ilvl w:val="2"/>
          <w:numId w:val="10"/>
        </w:numPr>
        <w:snapToGrid w:val="0"/>
        <w:spacing w:line="360" w:lineRule="auto"/>
        <w:rPr>
          <w:sz w:val="24"/>
        </w:rPr>
      </w:pPr>
      <w:r>
        <w:rPr>
          <w:sz w:val="24"/>
        </w:rPr>
        <w:t>商品包装、快递包装政府采购需求标准（试行）</w:t>
      </w:r>
    </w:p>
    <w:p w14:paraId="65080807">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00752035">
      <w:pPr>
        <w:numPr>
          <w:ilvl w:val="2"/>
          <w:numId w:val="10"/>
        </w:numPr>
        <w:tabs>
          <w:tab w:val="left" w:pos="2014"/>
        </w:tabs>
        <w:snapToGrid w:val="0"/>
        <w:spacing w:line="360" w:lineRule="auto"/>
        <w:rPr>
          <w:sz w:val="24"/>
        </w:rPr>
      </w:pPr>
      <w:r>
        <w:rPr>
          <w:sz w:val="24"/>
        </w:rPr>
        <w:t>绿色数据中心政府采购需求标准（试行）</w:t>
      </w:r>
    </w:p>
    <w:p w14:paraId="22FD8064">
      <w:pPr>
        <w:tabs>
          <w:tab w:val="left" w:pos="900"/>
          <w:tab w:val="left" w:pos="1980"/>
        </w:tabs>
        <w:snapToGrid w:val="0"/>
        <w:spacing w:line="360" w:lineRule="auto"/>
        <w:ind w:left="1980"/>
        <w:rPr>
          <w:rFonts w:eastAsiaTheme="minorEastAsia"/>
          <w:sz w:val="24"/>
        </w:rPr>
      </w:pPr>
      <w:r>
        <w:rPr>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517E67AA">
      <w:pPr>
        <w:numPr>
          <w:ilvl w:val="0"/>
          <w:numId w:val="10"/>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2CBDBA9">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bookmarkEnd w:id="160"/>
    <w:bookmarkEnd w:id="161"/>
    <w:bookmarkEnd w:id="164"/>
    <w:bookmarkEnd w:id="167"/>
    <w:p w14:paraId="0DA05594">
      <w:pPr>
        <w:tabs>
          <w:tab w:val="left" w:pos="1080"/>
        </w:tabs>
        <w:snapToGrid w:val="0"/>
        <w:spacing w:line="360" w:lineRule="auto"/>
        <w:ind w:left="1080"/>
        <w:rPr>
          <w:rFonts w:eastAsiaTheme="minorEastAsia"/>
          <w:sz w:val="28"/>
        </w:rPr>
      </w:pPr>
      <w:bookmarkStart w:id="170" w:name="_1.8_计量单位"/>
      <w:bookmarkEnd w:id="170"/>
    </w:p>
    <w:p w14:paraId="1CCBF0A4">
      <w:pPr>
        <w:pStyle w:val="5"/>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02FF084">
      <w:pPr>
        <w:numPr>
          <w:ilvl w:val="0"/>
          <w:numId w:val="10"/>
        </w:numPr>
        <w:tabs>
          <w:tab w:val="left" w:pos="360"/>
        </w:tabs>
        <w:snapToGrid w:val="0"/>
        <w:spacing w:line="360" w:lineRule="auto"/>
        <w:ind w:left="357" w:hanging="357"/>
        <w:outlineLvl w:val="1"/>
        <w:rPr>
          <w:rFonts w:eastAsiaTheme="minorEastAsia"/>
          <w:sz w:val="24"/>
        </w:rPr>
      </w:pPr>
      <w:bookmarkStart w:id="171" w:name="_Toc150480761"/>
      <w:bookmarkStart w:id="172" w:name="_Toc127151523"/>
      <w:bookmarkStart w:id="173" w:name="_Toc150774623"/>
      <w:bookmarkStart w:id="174" w:name="_Toc305158865"/>
      <w:bookmarkStart w:id="175" w:name="_Toc264969213"/>
      <w:bookmarkStart w:id="176" w:name="_Toc226965713"/>
      <w:bookmarkStart w:id="177" w:name="_Toc226337219"/>
      <w:bookmarkStart w:id="178" w:name="_Toc151190150"/>
      <w:bookmarkStart w:id="179" w:name="_Toc195842888"/>
      <w:bookmarkStart w:id="180" w:name="_Toc151193911"/>
      <w:bookmarkStart w:id="181" w:name="_Toc305158791"/>
      <w:bookmarkStart w:id="182" w:name="_Toc127151724"/>
      <w:bookmarkStart w:id="183" w:name="_Toc150774728"/>
      <w:bookmarkStart w:id="184" w:name="_Toc164608792"/>
      <w:bookmarkStart w:id="185" w:name="_Toc520356147"/>
      <w:bookmarkStart w:id="186" w:name="_Toc151193765"/>
      <w:bookmarkStart w:id="187" w:name="_Toc127161437"/>
      <w:bookmarkStart w:id="188" w:name="_Toc150509274"/>
      <w:bookmarkStart w:id="189" w:name="_Toc164351617"/>
      <w:bookmarkStart w:id="190" w:name="_Toc226309767"/>
      <w:bookmarkStart w:id="191" w:name="_Toc151193837"/>
      <w:bookmarkStart w:id="192" w:name="_Toc164229364"/>
      <w:bookmarkStart w:id="193" w:name="_Toc226965796"/>
      <w:bookmarkStart w:id="194" w:name="_Toc149720816"/>
      <w:bookmarkStart w:id="195" w:name="_Toc142311025"/>
      <w:bookmarkStart w:id="196" w:name="_Toc151193693"/>
      <w:bookmarkStart w:id="197" w:name="_Toc164229218"/>
      <w:bookmarkStart w:id="198" w:name="_Toc151193621"/>
      <w:bookmarkStart w:id="199" w:name="_Toc265228361"/>
      <w:bookmarkStart w:id="200" w:name="_Toc164608637"/>
      <w:r>
        <w:rPr>
          <w:rFonts w:eastAsiaTheme="minorEastAsia"/>
          <w:sz w:val="24"/>
        </w:rPr>
        <w:t>竞争性磋商文件构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eastAsiaTheme="minorEastAsia"/>
          <w:sz w:val="24"/>
        </w:rPr>
        <w:t>成</w:t>
      </w:r>
    </w:p>
    <w:p w14:paraId="0ED9F0E0">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325D760E">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8637D1C">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71209AF2">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267AC60D">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45E8BB4C">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1A3E3465">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12A0E0A1">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05DDE83B">
      <w:pPr>
        <w:numPr>
          <w:ilvl w:val="0"/>
          <w:numId w:val="10"/>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3BBDD20D">
      <w:pPr>
        <w:numPr>
          <w:ilvl w:val="1"/>
          <w:numId w:val="10"/>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9EE4825">
      <w:pPr>
        <w:numPr>
          <w:ilvl w:val="1"/>
          <w:numId w:val="10"/>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686852E4">
      <w:pPr>
        <w:numPr>
          <w:ilvl w:val="1"/>
          <w:numId w:val="10"/>
        </w:numPr>
        <w:tabs>
          <w:tab w:val="left" w:pos="1080"/>
          <w:tab w:val="left" w:pos="1561"/>
          <w:tab w:val="left" w:pos="2014"/>
        </w:tabs>
        <w:snapToGrid w:val="0"/>
        <w:spacing w:line="360" w:lineRule="auto"/>
        <w:ind w:left="1080" w:hanging="720"/>
        <w:rPr>
          <w:rFonts w:eastAsiaTheme="minorEastAsia"/>
          <w:sz w:val="24"/>
        </w:rPr>
      </w:pPr>
      <w:r>
        <w:rPr>
          <w:rFonts w:hint="eastAsia" w:eastAsiaTheme="minorEastAsia"/>
          <w:sz w:val="24"/>
        </w:rPr>
        <w:t>澄清</w:t>
      </w:r>
      <w:r>
        <w:rPr>
          <w:rFonts w:hint="eastAsia" w:ascii="宋体" w:hAnsi="宋体" w:cs="宋体"/>
          <w:sz w:val="24"/>
        </w:rPr>
        <w:t>或者修改的内容为竞争性磋商文件的组成部分，并对所有获取竞争性磋商文件的潜在供应商具有约束力。</w:t>
      </w:r>
      <w:r>
        <w:rPr>
          <w:rFonts w:hint="eastAsia" w:ascii="宋体" w:hAnsi="宋体"/>
          <w:sz w:val="24"/>
        </w:rPr>
        <w:t>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51A76F8E">
      <w:pPr>
        <w:tabs>
          <w:tab w:val="left" w:pos="1080"/>
          <w:tab w:val="left" w:pos="1561"/>
        </w:tabs>
        <w:snapToGrid w:val="0"/>
        <w:spacing w:line="360" w:lineRule="auto"/>
        <w:ind w:left="1080"/>
        <w:rPr>
          <w:rFonts w:eastAsiaTheme="minorEastAsia"/>
          <w:sz w:val="28"/>
        </w:rPr>
      </w:pPr>
      <w:bookmarkStart w:id="201" w:name="_Toc516367020"/>
      <w:bookmarkStart w:id="202" w:name="_Toc150509277"/>
      <w:bookmarkStart w:id="203" w:name="_Toc305158794"/>
      <w:bookmarkStart w:id="204" w:name="_Toc151193840"/>
      <w:bookmarkStart w:id="205" w:name="_Toc151193914"/>
      <w:bookmarkStart w:id="206" w:name="_Toc265228364"/>
      <w:bookmarkStart w:id="207" w:name="_Toc226965716"/>
      <w:bookmarkStart w:id="208" w:name="_Toc150774626"/>
      <w:bookmarkStart w:id="209" w:name="_Toc226309770"/>
      <w:bookmarkStart w:id="210" w:name="_Toc305158868"/>
      <w:bookmarkStart w:id="211" w:name="_Toc226965799"/>
      <w:bookmarkStart w:id="212" w:name="_Toc151193768"/>
      <w:bookmarkStart w:id="213" w:name="_Toc226337222"/>
      <w:bookmarkStart w:id="214" w:name="_Toc151193696"/>
      <w:bookmarkStart w:id="215" w:name="_Toc150480764"/>
      <w:bookmarkStart w:id="216" w:name="_Toc264969216"/>
      <w:bookmarkStart w:id="217" w:name="_Toc127151526"/>
      <w:bookmarkStart w:id="218" w:name="_Toc151190153"/>
      <w:bookmarkStart w:id="219" w:name="_Toc520356150"/>
      <w:bookmarkStart w:id="220" w:name="_Toc195842891"/>
      <w:bookmarkStart w:id="221" w:name="_Toc142311028"/>
      <w:bookmarkStart w:id="222" w:name="_Toc150774731"/>
      <w:bookmarkStart w:id="223" w:name="_Toc151193624"/>
    </w:p>
    <w:p w14:paraId="76B3F068">
      <w:pPr>
        <w:pStyle w:val="5"/>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201"/>
      <w:r>
        <w:rPr>
          <w:rFonts w:ascii="Times New Roman" w:hAnsi="Times New Roman" w:eastAsiaTheme="minorEastAsia"/>
          <w:sz w:val="28"/>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A45433D">
      <w:pPr>
        <w:numPr>
          <w:ilvl w:val="0"/>
          <w:numId w:val="10"/>
        </w:numPr>
        <w:tabs>
          <w:tab w:val="left" w:pos="360"/>
        </w:tabs>
        <w:snapToGrid w:val="0"/>
        <w:spacing w:line="360" w:lineRule="auto"/>
        <w:ind w:left="357" w:hanging="357"/>
        <w:outlineLvl w:val="1"/>
        <w:rPr>
          <w:rFonts w:eastAsiaTheme="minorEastAsia"/>
          <w:sz w:val="24"/>
        </w:rPr>
      </w:pPr>
      <w:bookmarkStart w:id="224" w:name="_Toc226965800"/>
      <w:bookmarkStart w:id="225" w:name="_Toc164608796"/>
      <w:bookmarkStart w:id="226" w:name="_Toc151193769"/>
      <w:bookmarkStart w:id="227" w:name="_Toc150774732"/>
      <w:bookmarkStart w:id="228" w:name="_Toc305158795"/>
      <w:bookmarkStart w:id="229" w:name="_Toc264969217"/>
      <w:bookmarkStart w:id="230" w:name="_Toc226337223"/>
      <w:bookmarkStart w:id="231" w:name="_Toc150509278"/>
      <w:bookmarkStart w:id="232" w:name="_Toc150774627"/>
      <w:bookmarkStart w:id="233" w:name="_Toc305158869"/>
      <w:bookmarkStart w:id="234" w:name="_Toc195842892"/>
      <w:bookmarkStart w:id="235" w:name="_Toc226965717"/>
      <w:bookmarkStart w:id="236" w:name="_Toc127151728"/>
      <w:bookmarkStart w:id="237" w:name="_Toc520356151"/>
      <w:bookmarkStart w:id="238" w:name="_Toc151190154"/>
      <w:bookmarkStart w:id="239" w:name="_Toc164608641"/>
      <w:bookmarkStart w:id="240" w:name="_Toc151193841"/>
      <w:bookmarkStart w:id="241" w:name="_Toc226309771"/>
      <w:bookmarkStart w:id="242" w:name="_Toc164351621"/>
      <w:bookmarkStart w:id="243" w:name="_Toc516367021"/>
      <w:bookmarkStart w:id="244" w:name="_Toc164229368"/>
      <w:bookmarkStart w:id="245" w:name="_Toc151193915"/>
      <w:bookmarkStart w:id="246" w:name="_Toc164229222"/>
      <w:bookmarkStart w:id="247" w:name="_Toc142311029"/>
      <w:bookmarkStart w:id="248" w:name="_Toc149720820"/>
      <w:bookmarkStart w:id="249" w:name="_Toc127151527"/>
      <w:bookmarkStart w:id="250" w:name="_Toc151193697"/>
      <w:bookmarkStart w:id="251" w:name="_Toc150480765"/>
      <w:bookmarkStart w:id="252" w:name="_Toc127161441"/>
      <w:bookmarkStart w:id="253" w:name="_Toc265228365"/>
      <w:bookmarkStart w:id="254" w:name="_Toc151193625"/>
      <w:r>
        <w:rPr>
          <w:rFonts w:eastAsiaTheme="minorEastAsia"/>
          <w:sz w:val="24"/>
        </w:rPr>
        <w:t>响应范围、竞争性磋商文件中计量单位的使用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eastAsiaTheme="minorEastAsia"/>
          <w:sz w:val="24"/>
        </w:rPr>
        <w:t>及磋商语言</w:t>
      </w:r>
    </w:p>
    <w:p w14:paraId="37E5E490">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0728691D">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7DB8AECD">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B0D2D3">
      <w:pPr>
        <w:numPr>
          <w:ilvl w:val="0"/>
          <w:numId w:val="10"/>
        </w:numPr>
        <w:tabs>
          <w:tab w:val="left" w:pos="360"/>
        </w:tabs>
        <w:snapToGrid w:val="0"/>
        <w:spacing w:line="360" w:lineRule="auto"/>
        <w:ind w:left="357" w:hanging="357"/>
        <w:outlineLvl w:val="1"/>
        <w:rPr>
          <w:rFonts w:eastAsiaTheme="minorEastAsia"/>
          <w:sz w:val="24"/>
        </w:rPr>
      </w:pPr>
      <w:bookmarkStart w:id="255" w:name="_Ref467306195"/>
      <w:bookmarkStart w:id="256" w:name="_Toc516367022"/>
      <w:bookmarkStart w:id="257" w:name="_Ref467306676"/>
      <w:bookmarkStart w:id="258" w:name="_Toc151193626"/>
      <w:bookmarkStart w:id="259" w:name="_Toc150509279"/>
      <w:bookmarkStart w:id="260" w:name="_Toc520356152"/>
      <w:bookmarkStart w:id="261" w:name="_Toc151190155"/>
      <w:bookmarkStart w:id="262" w:name="_Toc151193916"/>
      <w:bookmarkStart w:id="263" w:name="_Toc164229369"/>
      <w:bookmarkStart w:id="264" w:name="_Toc164229223"/>
      <w:bookmarkStart w:id="265" w:name="_Toc265228366"/>
      <w:bookmarkStart w:id="266" w:name="_Toc195842893"/>
      <w:bookmarkStart w:id="267" w:name="_Toc164608642"/>
      <w:bookmarkStart w:id="268" w:name="_Toc149720821"/>
      <w:bookmarkStart w:id="269" w:name="_Toc164351622"/>
      <w:bookmarkStart w:id="270" w:name="_Toc264969218"/>
      <w:bookmarkStart w:id="271" w:name="_Toc305158796"/>
      <w:bookmarkStart w:id="272" w:name="_Toc151193770"/>
      <w:bookmarkStart w:id="273" w:name="_Toc127161442"/>
      <w:bookmarkStart w:id="274" w:name="_Toc127151528"/>
      <w:bookmarkStart w:id="275" w:name="_Toc151193842"/>
      <w:bookmarkStart w:id="276" w:name="_Toc226337224"/>
      <w:bookmarkStart w:id="277" w:name="_Toc142311030"/>
      <w:bookmarkStart w:id="278" w:name="_Toc127151729"/>
      <w:bookmarkStart w:id="279" w:name="_Toc150774733"/>
      <w:bookmarkStart w:id="280" w:name="_Toc150480766"/>
      <w:bookmarkStart w:id="281" w:name="_Toc305158870"/>
      <w:bookmarkStart w:id="282" w:name="_Toc164608797"/>
      <w:bookmarkStart w:id="283" w:name="_Toc226965718"/>
      <w:bookmarkStart w:id="284" w:name="_Toc226965801"/>
      <w:bookmarkStart w:id="285" w:name="_Toc226309772"/>
      <w:bookmarkStart w:id="286" w:name="_Toc150774628"/>
      <w:bookmarkStart w:id="287" w:name="_Toc151193698"/>
      <w:r>
        <w:rPr>
          <w:rFonts w:eastAsiaTheme="minorEastAsia"/>
          <w:sz w:val="24"/>
        </w:rPr>
        <w:t>响应文件</w:t>
      </w:r>
      <w:bookmarkEnd w:id="255"/>
      <w:bookmarkEnd w:id="256"/>
      <w:bookmarkEnd w:id="257"/>
      <w:r>
        <w:rPr>
          <w:rFonts w:eastAsiaTheme="minorEastAsia"/>
          <w:sz w:val="24"/>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0A46853E">
      <w:pPr>
        <w:numPr>
          <w:ilvl w:val="1"/>
          <w:numId w:val="10"/>
        </w:numPr>
        <w:tabs>
          <w:tab w:val="left" w:pos="1080"/>
          <w:tab w:val="left" w:pos="2014"/>
        </w:tabs>
        <w:snapToGrid w:val="0"/>
        <w:spacing w:line="360" w:lineRule="auto"/>
        <w:ind w:left="1077" w:hanging="720"/>
        <w:rPr>
          <w:rFonts w:eastAsiaTheme="minorEastAsia"/>
          <w:sz w:val="24"/>
        </w:rPr>
      </w:pPr>
      <w:bookmarkStart w:id="28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01DFB98E">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773598E4">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29125807">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A17B2A4">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88"/>
    </w:p>
    <w:p w14:paraId="3753B333">
      <w:pPr>
        <w:numPr>
          <w:ilvl w:val="0"/>
          <w:numId w:val="10"/>
        </w:numPr>
        <w:tabs>
          <w:tab w:val="left" w:pos="360"/>
        </w:tabs>
        <w:snapToGrid w:val="0"/>
        <w:spacing w:line="360" w:lineRule="auto"/>
        <w:ind w:left="357" w:hanging="357"/>
        <w:outlineLvl w:val="1"/>
        <w:rPr>
          <w:rFonts w:eastAsiaTheme="minorEastAsia"/>
          <w:sz w:val="24"/>
        </w:rPr>
      </w:pPr>
      <w:bookmarkStart w:id="289" w:name="_Toc151193700"/>
      <w:bookmarkStart w:id="290" w:name="_Toc195842895"/>
      <w:bookmarkStart w:id="291" w:name="_Toc150774630"/>
      <w:bookmarkStart w:id="292" w:name="_Toc150509281"/>
      <w:bookmarkStart w:id="293" w:name="_Toc164608644"/>
      <w:bookmarkStart w:id="294" w:name="_Toc149720823"/>
      <w:bookmarkStart w:id="295" w:name="_Toc127161444"/>
      <w:bookmarkStart w:id="296" w:name="_Toc142311032"/>
      <w:bookmarkStart w:id="297" w:name="_Toc164351624"/>
      <w:bookmarkStart w:id="298" w:name="_Toc164229371"/>
      <w:bookmarkStart w:id="299" w:name="_Toc127151530"/>
      <w:bookmarkStart w:id="300" w:name="_Toc151193628"/>
      <w:bookmarkStart w:id="301" w:name="_Toc150774735"/>
      <w:bookmarkStart w:id="302" w:name="_Toc520356155"/>
      <w:bookmarkStart w:id="303" w:name="_Toc127151731"/>
      <w:bookmarkStart w:id="304" w:name="_Toc164229225"/>
      <w:bookmarkStart w:id="305" w:name="_Toc151193918"/>
      <w:bookmarkStart w:id="306" w:name="_Toc150480768"/>
      <w:bookmarkStart w:id="307" w:name="_Toc151190157"/>
      <w:bookmarkStart w:id="308" w:name="_Toc151193772"/>
      <w:bookmarkStart w:id="309" w:name="_Toc151193844"/>
      <w:bookmarkStart w:id="310" w:name="_Toc164608799"/>
      <w:r>
        <w:rPr>
          <w:rFonts w:eastAsiaTheme="minorEastAsia"/>
          <w:sz w:val="24"/>
        </w:rPr>
        <w:t>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21E8872">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64DB082F">
      <w:pPr>
        <w:numPr>
          <w:ilvl w:val="1"/>
          <w:numId w:val="10"/>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2DE8D720">
      <w:pPr>
        <w:numPr>
          <w:ilvl w:val="2"/>
          <w:numId w:val="10"/>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E86A878">
      <w:pPr>
        <w:numPr>
          <w:ilvl w:val="2"/>
          <w:numId w:val="10"/>
        </w:numPr>
        <w:snapToGrid w:val="0"/>
        <w:spacing w:line="360" w:lineRule="auto"/>
        <w:rPr>
          <w:rFonts w:eastAsiaTheme="minorEastAsia"/>
          <w:sz w:val="24"/>
        </w:rPr>
      </w:pPr>
      <w:r>
        <w:rPr>
          <w:rFonts w:eastAsiaTheme="minorEastAsia"/>
          <w:sz w:val="24"/>
        </w:rPr>
        <w:t>按照竞争性磋商文件要求完成本项目的全部相关费用。</w:t>
      </w:r>
    </w:p>
    <w:p w14:paraId="3B4A7614">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2C463BE8">
      <w:pPr>
        <w:numPr>
          <w:ilvl w:val="1"/>
          <w:numId w:val="10"/>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3B0FA029">
      <w:pPr>
        <w:numPr>
          <w:ilvl w:val="0"/>
          <w:numId w:val="10"/>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6FB2A51A">
      <w:pPr>
        <w:numPr>
          <w:ilvl w:val="1"/>
          <w:numId w:val="10"/>
        </w:numPr>
        <w:tabs>
          <w:tab w:val="left" w:pos="1080"/>
          <w:tab w:val="left" w:pos="2014"/>
        </w:tabs>
        <w:snapToGrid w:val="0"/>
        <w:spacing w:line="360" w:lineRule="auto"/>
        <w:ind w:left="1077" w:hanging="720"/>
        <w:rPr>
          <w:rFonts w:eastAsiaTheme="minorEastAsia"/>
          <w:sz w:val="24"/>
        </w:rPr>
      </w:pPr>
      <w:bookmarkStart w:id="311" w:name="_Ref467306302"/>
      <w:r>
        <w:rPr>
          <w:rFonts w:eastAsiaTheme="minorEastAsia"/>
          <w:sz w:val="24"/>
        </w:rPr>
        <w:t>供应商应按《供应商须知资料表》中规定的金额及要求交纳磋商保证金</w:t>
      </w:r>
      <w:bookmarkEnd w:id="311"/>
      <w:r>
        <w:rPr>
          <w:rFonts w:eastAsiaTheme="minorEastAsia"/>
          <w:sz w:val="24"/>
        </w:rPr>
        <w:t>。</w:t>
      </w:r>
    </w:p>
    <w:p w14:paraId="5BFAF63D">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F2D64F0">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07169D59">
      <w:pPr>
        <w:numPr>
          <w:ilvl w:val="1"/>
          <w:numId w:val="10"/>
        </w:numPr>
        <w:tabs>
          <w:tab w:val="left" w:pos="1080"/>
          <w:tab w:val="left" w:pos="2014"/>
        </w:tabs>
        <w:snapToGrid w:val="0"/>
        <w:spacing w:line="360" w:lineRule="auto"/>
        <w:ind w:left="1077" w:hanging="720"/>
        <w:rPr>
          <w:rFonts w:eastAsiaTheme="minorEastAsia"/>
          <w:sz w:val="24"/>
        </w:rPr>
      </w:pPr>
      <w:r>
        <w:rPr>
          <w:rFonts w:hint="eastAsia" w:eastAsiaTheme="minorEastAsia"/>
          <w:sz w:val="24"/>
        </w:rPr>
        <w:t>供应商除需在响应文件中提供“磋商保证金凭证/交款单据电子件”，还需在首次响应文件提交截止时间前，通过电子交易平台上传“磋商保证金凭证/交款单据电子件”。</w:t>
      </w:r>
      <w:r>
        <w:rPr>
          <w:rFonts w:hint="eastAsia" w:eastAsiaTheme="minorEastAsia"/>
          <w:sz w:val="24"/>
          <w:lang w:val="en-US" w:eastAsia="zh-CN"/>
        </w:rPr>
        <w:t>本项目不适用。</w:t>
      </w:r>
    </w:p>
    <w:p w14:paraId="69516573">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2A40F491">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3A2BD0B8">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A69145F">
      <w:pPr>
        <w:numPr>
          <w:ilvl w:val="2"/>
          <w:numId w:val="10"/>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3E0C7175">
      <w:pPr>
        <w:numPr>
          <w:ilvl w:val="2"/>
          <w:numId w:val="10"/>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46D9D179">
      <w:pPr>
        <w:numPr>
          <w:ilvl w:val="2"/>
          <w:numId w:val="10"/>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623E5DD4">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136528EB">
      <w:pPr>
        <w:numPr>
          <w:ilvl w:val="2"/>
          <w:numId w:val="10"/>
        </w:numPr>
        <w:snapToGrid w:val="0"/>
        <w:spacing w:line="360" w:lineRule="auto"/>
        <w:rPr>
          <w:rFonts w:eastAsiaTheme="minorEastAsia"/>
          <w:sz w:val="24"/>
        </w:rPr>
      </w:pPr>
      <w:r>
        <w:rPr>
          <w:rFonts w:eastAsiaTheme="minorEastAsia"/>
          <w:sz w:val="24"/>
        </w:rPr>
        <w:t>供应商在提交响应文件截止时间后撤回响应文件的；</w:t>
      </w:r>
    </w:p>
    <w:p w14:paraId="477AB692">
      <w:pPr>
        <w:numPr>
          <w:ilvl w:val="2"/>
          <w:numId w:val="10"/>
        </w:numPr>
        <w:snapToGrid w:val="0"/>
        <w:spacing w:line="360" w:lineRule="auto"/>
        <w:rPr>
          <w:rFonts w:eastAsiaTheme="minorEastAsia"/>
          <w:sz w:val="24"/>
        </w:rPr>
      </w:pPr>
      <w:r>
        <w:rPr>
          <w:rFonts w:eastAsiaTheme="minorEastAsia"/>
          <w:sz w:val="24"/>
        </w:rPr>
        <w:t>供应商在响应文件中提供虚假材料的；</w:t>
      </w:r>
    </w:p>
    <w:p w14:paraId="046338E2">
      <w:pPr>
        <w:numPr>
          <w:ilvl w:val="2"/>
          <w:numId w:val="10"/>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272D88B6">
      <w:pPr>
        <w:numPr>
          <w:ilvl w:val="2"/>
          <w:numId w:val="10"/>
        </w:numPr>
        <w:snapToGrid w:val="0"/>
        <w:spacing w:line="360" w:lineRule="auto"/>
        <w:rPr>
          <w:rFonts w:eastAsiaTheme="minorEastAsia"/>
          <w:sz w:val="24"/>
        </w:rPr>
      </w:pPr>
      <w:r>
        <w:rPr>
          <w:rFonts w:eastAsiaTheme="minorEastAsia"/>
          <w:sz w:val="24"/>
        </w:rPr>
        <w:t>供应商与采购人、其他供应商或者采购代理机构恶意串通的；</w:t>
      </w:r>
    </w:p>
    <w:p w14:paraId="08B9D926">
      <w:pPr>
        <w:numPr>
          <w:ilvl w:val="2"/>
          <w:numId w:val="10"/>
        </w:numPr>
        <w:snapToGrid w:val="0"/>
        <w:spacing w:line="360" w:lineRule="auto"/>
        <w:rPr>
          <w:rFonts w:eastAsiaTheme="minorEastAsia"/>
          <w:sz w:val="24"/>
        </w:rPr>
      </w:pPr>
      <w:r>
        <w:rPr>
          <w:rFonts w:eastAsiaTheme="minorEastAsia"/>
          <w:sz w:val="24"/>
        </w:rPr>
        <w:t>《供应商须知资料表》规定的其他情形。</w:t>
      </w:r>
    </w:p>
    <w:p w14:paraId="606F3556">
      <w:pPr>
        <w:numPr>
          <w:ilvl w:val="0"/>
          <w:numId w:val="10"/>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1788EA06">
      <w:pPr>
        <w:numPr>
          <w:ilvl w:val="1"/>
          <w:numId w:val="10"/>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EDA004F">
      <w:pPr>
        <w:numPr>
          <w:ilvl w:val="0"/>
          <w:numId w:val="10"/>
        </w:numPr>
        <w:tabs>
          <w:tab w:val="left" w:pos="360"/>
        </w:tabs>
        <w:snapToGrid w:val="0"/>
        <w:spacing w:line="360" w:lineRule="auto"/>
        <w:ind w:left="357" w:hanging="357"/>
        <w:outlineLvl w:val="1"/>
        <w:rPr>
          <w:rFonts w:eastAsiaTheme="minorEastAsia"/>
          <w:sz w:val="24"/>
        </w:rPr>
      </w:pPr>
      <w:bookmarkStart w:id="312" w:name="_Toc151193631"/>
      <w:bookmarkStart w:id="313" w:name="_Toc127151533"/>
      <w:bookmarkStart w:id="314" w:name="_Toc150774738"/>
      <w:bookmarkStart w:id="315" w:name="_Toc164608802"/>
      <w:bookmarkStart w:id="316" w:name="_Toc164351627"/>
      <w:bookmarkStart w:id="317" w:name="_Toc150509284"/>
      <w:bookmarkStart w:id="318" w:name="_Toc149720826"/>
      <w:bookmarkStart w:id="319" w:name="_Toc226309777"/>
      <w:bookmarkStart w:id="320" w:name="_Toc150774633"/>
      <w:bookmarkStart w:id="321" w:name="_Toc151193703"/>
      <w:bookmarkStart w:id="322" w:name="_Toc226965723"/>
      <w:bookmarkStart w:id="323" w:name="_Toc164229374"/>
      <w:bookmarkStart w:id="324" w:name="_Toc305158801"/>
      <w:bookmarkStart w:id="325" w:name="_Toc142311035"/>
      <w:bookmarkStart w:id="326" w:name="_Toc151190160"/>
      <w:bookmarkStart w:id="327" w:name="_Toc264969223"/>
      <w:bookmarkStart w:id="328" w:name="_Toc127151734"/>
      <w:bookmarkStart w:id="329" w:name="_Toc164229228"/>
      <w:bookmarkStart w:id="330" w:name="_Toc150480771"/>
      <w:bookmarkStart w:id="331" w:name="_Toc520356158"/>
      <w:bookmarkStart w:id="332" w:name="_Toc226337229"/>
      <w:bookmarkStart w:id="333" w:name="_Toc226965806"/>
      <w:bookmarkStart w:id="334" w:name="_Toc195842898"/>
      <w:bookmarkStart w:id="335" w:name="_Toc305158875"/>
      <w:bookmarkStart w:id="336" w:name="_Toc127161447"/>
      <w:bookmarkStart w:id="337" w:name="_Toc151193921"/>
      <w:bookmarkStart w:id="338" w:name="_Toc151193775"/>
      <w:bookmarkStart w:id="339" w:name="_Toc164608647"/>
      <w:bookmarkStart w:id="340" w:name="_Toc151193847"/>
      <w:bookmarkStart w:id="341" w:name="_Toc265228371"/>
      <w:r>
        <w:rPr>
          <w:rFonts w:eastAsiaTheme="minorEastAsia"/>
          <w:sz w:val="24"/>
        </w:rPr>
        <w:t>响应文件的签署</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rFonts w:eastAsiaTheme="minorEastAsia"/>
          <w:sz w:val="24"/>
        </w:rPr>
        <w:t>、盖章</w:t>
      </w:r>
    </w:p>
    <w:p w14:paraId="2E5CF522">
      <w:pPr>
        <w:numPr>
          <w:ilvl w:val="1"/>
          <w:numId w:val="10"/>
        </w:numPr>
        <w:tabs>
          <w:tab w:val="left" w:pos="1080"/>
          <w:tab w:val="left" w:pos="2014"/>
        </w:tabs>
        <w:snapToGrid w:val="0"/>
        <w:spacing w:line="360" w:lineRule="auto"/>
        <w:rPr>
          <w:rFonts w:ascii="宋体" w:hAnsi="宋体"/>
          <w:sz w:val="24"/>
        </w:rPr>
      </w:pPr>
      <w:bookmarkStart w:id="342" w:name="_Toc142311036"/>
      <w:bookmarkStart w:id="343" w:name="_Toc150774739"/>
      <w:bookmarkStart w:id="344" w:name="_Toc305158802"/>
      <w:bookmarkStart w:id="345" w:name="_Toc305158876"/>
      <w:bookmarkStart w:id="346" w:name="_Toc265228372"/>
      <w:bookmarkStart w:id="347" w:name="_Toc151193632"/>
      <w:bookmarkStart w:id="348" w:name="_Toc226337230"/>
      <w:bookmarkStart w:id="349" w:name="_Toc264969224"/>
      <w:bookmarkStart w:id="350" w:name="_Toc150480772"/>
      <w:bookmarkStart w:id="351" w:name="_Toc127151534"/>
      <w:bookmarkStart w:id="352" w:name="_Toc151193704"/>
      <w:bookmarkStart w:id="353" w:name="_Toc151193922"/>
      <w:bookmarkStart w:id="354" w:name="_Toc150509285"/>
      <w:bookmarkStart w:id="355" w:name="_Toc195842899"/>
      <w:bookmarkStart w:id="356" w:name="_Toc151193776"/>
      <w:bookmarkStart w:id="357" w:name="_Toc226965724"/>
      <w:bookmarkStart w:id="358" w:name="_Toc226309778"/>
      <w:bookmarkStart w:id="359" w:name="_Toc151190161"/>
      <w:bookmarkStart w:id="360" w:name="_Toc150774634"/>
      <w:bookmarkStart w:id="361" w:name="_Toc520356159"/>
      <w:bookmarkStart w:id="362" w:name="_Toc151193848"/>
      <w:bookmarkStart w:id="363" w:name="_Toc226965807"/>
      <w:r>
        <w:rPr>
          <w:rFonts w:hint="eastAsia" w:ascii="宋体" w:hAnsi="宋体"/>
          <w:sz w:val="24"/>
        </w:rPr>
        <w:t>供应商人应按磋商文件第二章供应商人须知资料表的规定准备响应文件的正本、副本、电子版，每份响应文件须清楚地标明“正本”、“副本”、“电子版”。副本可以为正本的复印件，若正本和副本、电子文件不符，以纸质正本为准。响应文件可双面打印；</w:t>
      </w:r>
    </w:p>
    <w:p w14:paraId="00787DAA">
      <w:pPr>
        <w:numPr>
          <w:ilvl w:val="1"/>
          <w:numId w:val="10"/>
        </w:numPr>
        <w:tabs>
          <w:tab w:val="left" w:pos="1080"/>
          <w:tab w:val="left" w:pos="2014"/>
        </w:tabs>
        <w:snapToGrid w:val="0"/>
        <w:spacing w:line="360" w:lineRule="auto"/>
        <w:rPr>
          <w:rFonts w:ascii="宋体" w:hAnsi="宋体"/>
          <w:sz w:val="24"/>
        </w:rPr>
      </w:pPr>
      <w:r>
        <w:rPr>
          <w:rFonts w:hint="eastAsia" w:ascii="宋体" w:hAnsi="宋体"/>
          <w:sz w:val="24"/>
        </w:rPr>
        <w:t>响应文件的正本需打印或用不退色墨水书写；</w:t>
      </w:r>
    </w:p>
    <w:p w14:paraId="20ED04F0">
      <w:pPr>
        <w:numPr>
          <w:ilvl w:val="1"/>
          <w:numId w:val="10"/>
        </w:numPr>
        <w:tabs>
          <w:tab w:val="left" w:pos="1080"/>
          <w:tab w:val="left" w:pos="2014"/>
        </w:tabs>
        <w:snapToGrid w:val="0"/>
        <w:spacing w:line="360" w:lineRule="auto"/>
        <w:rPr>
          <w:rFonts w:ascii="宋体" w:hAnsi="宋体"/>
          <w:sz w:val="24"/>
        </w:rPr>
      </w:pPr>
      <w:r>
        <w:rPr>
          <w:rFonts w:hint="eastAsia" w:ascii="宋体" w:hAnsi="宋体"/>
          <w:sz w:val="24"/>
        </w:rPr>
        <w:t>任何对响应文件行间插字、涂改和增删，必须由法定代表人或其授权代表签字或加盖本单位公章后有效；</w:t>
      </w:r>
    </w:p>
    <w:p w14:paraId="17407D40">
      <w:pPr>
        <w:numPr>
          <w:ilvl w:val="1"/>
          <w:numId w:val="10"/>
        </w:numPr>
        <w:tabs>
          <w:tab w:val="left" w:pos="1080"/>
          <w:tab w:val="left" w:pos="2014"/>
        </w:tabs>
        <w:snapToGrid w:val="0"/>
        <w:spacing w:line="360" w:lineRule="auto"/>
        <w:rPr>
          <w:rFonts w:ascii="宋体" w:hAnsi="宋体"/>
          <w:sz w:val="24"/>
        </w:rPr>
      </w:pPr>
      <w:r>
        <w:rPr>
          <w:rFonts w:hint="eastAsia" w:ascii="宋体" w:hAnsi="宋体"/>
          <w:sz w:val="24"/>
        </w:rPr>
        <w:t>响应文件因字迹潦草或表达不清所引起的后果由供应商负责；</w:t>
      </w:r>
    </w:p>
    <w:p w14:paraId="43977132">
      <w:pPr>
        <w:numPr>
          <w:ilvl w:val="1"/>
          <w:numId w:val="10"/>
        </w:numPr>
        <w:tabs>
          <w:tab w:val="left" w:pos="1080"/>
          <w:tab w:val="left" w:pos="2014"/>
        </w:tabs>
        <w:snapToGrid w:val="0"/>
        <w:spacing w:line="360" w:lineRule="auto"/>
        <w:rPr>
          <w:rFonts w:ascii="宋体" w:hAnsi="宋体"/>
        </w:rPr>
      </w:pPr>
      <w:r>
        <w:rPr>
          <w:rFonts w:hint="eastAsia" w:ascii="宋体" w:hAnsi="宋体"/>
          <w:sz w:val="24"/>
        </w:rPr>
        <w:t>竞争性磋商文件中所要求加盖的供应商公章是指与供应商名称全称相一致的“行政公章”，不得加盖其它“合同专用章、投标专用章、财务专用章”等非行政公章，否则将被视为无效响应。</w:t>
      </w:r>
    </w:p>
    <w:p w14:paraId="7CBFB7AF">
      <w:pPr>
        <w:tabs>
          <w:tab w:val="left" w:pos="900"/>
          <w:tab w:val="left" w:pos="1080"/>
        </w:tabs>
        <w:snapToGrid w:val="0"/>
        <w:spacing w:line="360" w:lineRule="auto"/>
        <w:ind w:left="357"/>
        <w:rPr>
          <w:rFonts w:eastAsiaTheme="minorEastAsia"/>
        </w:rPr>
      </w:pPr>
    </w:p>
    <w:p w14:paraId="1D9ED442">
      <w:pPr>
        <w:pStyle w:val="5"/>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1B0E1625">
      <w:pPr>
        <w:numPr>
          <w:ilvl w:val="0"/>
          <w:numId w:val="10"/>
        </w:numPr>
        <w:tabs>
          <w:tab w:val="left" w:pos="360"/>
        </w:tabs>
        <w:snapToGrid w:val="0"/>
        <w:spacing w:line="360" w:lineRule="auto"/>
        <w:ind w:left="357" w:hanging="357"/>
        <w:outlineLvl w:val="1"/>
        <w:rPr>
          <w:rFonts w:eastAsiaTheme="minorEastAsia"/>
          <w:sz w:val="24"/>
        </w:rPr>
      </w:pPr>
      <w:bookmarkStart w:id="364" w:name="_Toc226965808"/>
      <w:bookmarkStart w:id="365" w:name="_Toc151190162"/>
      <w:bookmarkStart w:id="366" w:name="_Toc149720828"/>
      <w:bookmarkStart w:id="367" w:name="_Toc305158877"/>
      <w:bookmarkStart w:id="368" w:name="_Toc520356160"/>
      <w:bookmarkStart w:id="369" w:name="_Toc226965725"/>
      <w:bookmarkStart w:id="370" w:name="_Toc127151535"/>
      <w:bookmarkStart w:id="371" w:name="_Toc127151736"/>
      <w:bookmarkStart w:id="372" w:name="_Toc264969225"/>
      <w:bookmarkStart w:id="373" w:name="_Toc164229230"/>
      <w:bookmarkStart w:id="374" w:name="_Toc305158803"/>
      <w:bookmarkStart w:id="375" w:name="_Toc151193705"/>
      <w:bookmarkStart w:id="376" w:name="_Toc151193849"/>
      <w:bookmarkStart w:id="377" w:name="_Toc195842900"/>
      <w:bookmarkStart w:id="378" w:name="_Toc150509286"/>
      <w:bookmarkStart w:id="379" w:name="_Toc150774740"/>
      <w:bookmarkStart w:id="380" w:name="_Toc164351629"/>
      <w:bookmarkStart w:id="381" w:name="_Toc151193633"/>
      <w:bookmarkStart w:id="382" w:name="_Toc142311037"/>
      <w:bookmarkStart w:id="383" w:name="_Toc164608649"/>
      <w:bookmarkStart w:id="384" w:name="_Toc226309779"/>
      <w:bookmarkStart w:id="385" w:name="_Toc150774635"/>
      <w:bookmarkStart w:id="386" w:name="_Toc151193923"/>
      <w:bookmarkStart w:id="387" w:name="_Toc164229376"/>
      <w:bookmarkStart w:id="388" w:name="_Toc164608804"/>
      <w:bookmarkStart w:id="389" w:name="_Toc150480773"/>
      <w:bookmarkStart w:id="390" w:name="_Toc265228373"/>
      <w:bookmarkStart w:id="391" w:name="_Toc127161449"/>
      <w:bookmarkStart w:id="392" w:name="_Toc226337231"/>
      <w:bookmarkStart w:id="393" w:name="_Toc151193777"/>
      <w:r>
        <w:rPr>
          <w:rFonts w:eastAsiaTheme="minorEastAsia"/>
          <w:sz w:val="24"/>
        </w:rPr>
        <w:t>响应文件的</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eastAsiaTheme="minorEastAsia"/>
          <w:sz w:val="24"/>
        </w:rPr>
        <w:t>提交</w:t>
      </w:r>
    </w:p>
    <w:p w14:paraId="6116E900">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纸质版</w:t>
      </w:r>
      <w:r>
        <w:rPr>
          <w:rFonts w:ascii="宋体" w:hAnsi="宋体"/>
          <w:sz w:val="24"/>
        </w:rPr>
        <w:t>响应</w:t>
      </w:r>
      <w:r>
        <w:rPr>
          <w:rFonts w:hint="eastAsia" w:ascii="宋体" w:hAnsi="宋体"/>
          <w:sz w:val="24"/>
        </w:rPr>
        <w:t>文件一律采用A4纸（图纸、彩页等除外）左侧装订。装订应牢固可靠，不易散落，不得采用活页式装订，采购人或采购代理机构对因装订不牢造成的文件散失不负责任。</w:t>
      </w:r>
      <w:r>
        <w:rPr>
          <w:rFonts w:ascii="宋体" w:hAnsi="宋体"/>
          <w:sz w:val="24"/>
        </w:rPr>
        <w:t>响应</w:t>
      </w:r>
      <w:r>
        <w:rPr>
          <w:rFonts w:hint="eastAsia" w:ascii="宋体" w:hAnsi="宋体"/>
          <w:sz w:val="24"/>
        </w:rPr>
        <w:t>文件可双面打印。</w:t>
      </w:r>
    </w:p>
    <w:p w14:paraId="2894095F">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供应商应将“报价一览表”、“响应文件正本”、“ 响应文件副本” “磋商保证金证明文件（如有）”、“响应文件电子版”、“样品（如有）”分开单独密封，并在密封袋/箱上分别标明“报价一览表”、“ 响应文件正本”、“ 响应文件副本”、“磋商保证金证明文件（如有）”、“响应文件电子版”、 “样品（如有）”字样，在递交响应文件截止时间前统一递交。</w:t>
      </w:r>
    </w:p>
    <w:p w14:paraId="21E3E843">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所有密封袋/箱上均应：</w:t>
      </w:r>
    </w:p>
    <w:p w14:paraId="4998B46B">
      <w:pPr>
        <w:pStyle w:val="32"/>
        <w:tabs>
          <w:tab w:val="left" w:pos="0"/>
          <w:tab w:val="clear" w:pos="1050"/>
        </w:tabs>
        <w:spacing w:line="360" w:lineRule="auto"/>
        <w:ind w:firstLine="960" w:firstLineChars="400"/>
        <w:jc w:val="left"/>
        <w:rPr>
          <w:b w:val="0"/>
          <w:lang w:eastAsia="zh-TW"/>
        </w:rPr>
      </w:pPr>
      <w:r>
        <w:rPr>
          <w:b w:val="0"/>
          <w:lang w:eastAsia="zh-TW"/>
        </w:rPr>
        <w:t>14.3.</w:t>
      </w:r>
      <w:r>
        <w:rPr>
          <w:rFonts w:hint="eastAsia"/>
          <w:b w:val="0"/>
          <w:lang w:eastAsia="zh-TW"/>
        </w:rPr>
        <w:t>1清楚标明响应文件递交地点暨开启地点。</w:t>
      </w:r>
    </w:p>
    <w:p w14:paraId="6865FBC6">
      <w:pPr>
        <w:pStyle w:val="32"/>
        <w:tabs>
          <w:tab w:val="left" w:pos="1418"/>
          <w:tab w:val="clear" w:pos="1050"/>
        </w:tabs>
        <w:spacing w:line="360" w:lineRule="auto"/>
        <w:ind w:left="960" w:hanging="960" w:hangingChars="400"/>
        <w:jc w:val="left"/>
        <w:rPr>
          <w:b w:val="0"/>
          <w:lang w:eastAsia="zh-TW"/>
        </w:rPr>
      </w:pPr>
      <w:r>
        <w:rPr>
          <w:b w:val="0"/>
          <w:lang w:eastAsia="zh-TW"/>
        </w:rPr>
        <w:t xml:space="preserve">        14.3.</w:t>
      </w:r>
      <w:r>
        <w:rPr>
          <w:rFonts w:hint="eastAsia"/>
          <w:b w:val="0"/>
          <w:lang w:eastAsia="zh-TW"/>
        </w:rPr>
        <w:t>2注明项目名称、项目编号和供应商名称和地址，以及“在（开启时间）之前不得启封”的字样。如果供应商未按上述要求加写标记的，采购代理机构对响应文件的误投概不负责。</w:t>
      </w:r>
    </w:p>
    <w:p w14:paraId="3A17C6EE">
      <w:pPr>
        <w:pStyle w:val="32"/>
        <w:tabs>
          <w:tab w:val="left" w:pos="0"/>
          <w:tab w:val="clear" w:pos="1050"/>
        </w:tabs>
        <w:spacing w:line="360" w:lineRule="auto"/>
        <w:ind w:left="960" w:hanging="960" w:hangingChars="400"/>
        <w:jc w:val="left"/>
        <w:rPr>
          <w:b w:val="0"/>
          <w:lang w:eastAsia="zh-TW"/>
        </w:rPr>
      </w:pPr>
      <w:r>
        <w:rPr>
          <w:b w:val="0"/>
          <w:lang w:eastAsia="zh-TW"/>
        </w:rPr>
        <w:t xml:space="preserve">        14.3.</w:t>
      </w:r>
      <w:r>
        <w:rPr>
          <w:rFonts w:hint="eastAsia"/>
          <w:b w:val="0"/>
          <w:lang w:eastAsia="zh-TW"/>
        </w:rPr>
        <w:t>3供应商提供响应文件的密封粘贴处应加盖本单位公章，以便确认密封情况，不符合要求的响应文件将被拒绝。</w:t>
      </w:r>
    </w:p>
    <w:p w14:paraId="47FE190D">
      <w:pPr>
        <w:numPr>
          <w:ilvl w:val="1"/>
          <w:numId w:val="10"/>
        </w:numPr>
        <w:tabs>
          <w:tab w:val="left" w:pos="1080"/>
          <w:tab w:val="left" w:pos="2014"/>
        </w:tabs>
        <w:snapToGrid w:val="0"/>
        <w:spacing w:line="360" w:lineRule="auto"/>
        <w:ind w:left="1077" w:hanging="720"/>
        <w:rPr>
          <w:rFonts w:ascii="宋体" w:hAnsi="宋体"/>
          <w:sz w:val="24"/>
        </w:rPr>
      </w:pPr>
      <w:r>
        <w:rPr>
          <w:rFonts w:hint="eastAsia" w:ascii="宋体" w:hAnsi="宋体"/>
          <w:sz w:val="24"/>
        </w:rPr>
        <w:t>如需提供样品的，采购活动结束后，对于未成交供应商提供的样品，应当及时退还或者经未成交供应商同意后自行处理；对于成交供应商提供的样品，应当按照磋商文件的规定进行保管、封存，并作为履约验收的参考。</w:t>
      </w:r>
    </w:p>
    <w:p w14:paraId="7FBFAB45">
      <w:pPr>
        <w:numPr>
          <w:ilvl w:val="0"/>
          <w:numId w:val="10"/>
        </w:numPr>
        <w:tabs>
          <w:tab w:val="left" w:pos="360"/>
        </w:tabs>
        <w:snapToGrid w:val="0"/>
        <w:spacing w:line="360" w:lineRule="auto"/>
        <w:ind w:left="357" w:hanging="357"/>
        <w:outlineLvl w:val="1"/>
        <w:rPr>
          <w:rFonts w:ascii="宋体" w:hAnsi="宋体"/>
          <w:sz w:val="24"/>
        </w:rPr>
      </w:pPr>
      <w:bookmarkStart w:id="394" w:name="_Toc164229231"/>
      <w:bookmarkStart w:id="395" w:name="_Toc305158804"/>
      <w:bookmarkStart w:id="396" w:name="_Toc164608805"/>
      <w:bookmarkStart w:id="397" w:name="_Toc195842901"/>
      <w:bookmarkStart w:id="398" w:name="_Toc265228374"/>
      <w:bookmarkStart w:id="399" w:name="_Toc150509287"/>
      <w:bookmarkStart w:id="400" w:name="_Toc151193706"/>
      <w:bookmarkStart w:id="401" w:name="_Toc150480774"/>
      <w:bookmarkStart w:id="402" w:name="_Toc150774636"/>
      <w:bookmarkStart w:id="403" w:name="_Toc520356161"/>
      <w:bookmarkStart w:id="404" w:name="_Toc142311038"/>
      <w:bookmarkStart w:id="405" w:name="_Toc151193924"/>
      <w:bookmarkStart w:id="406" w:name="_Toc151193634"/>
      <w:bookmarkStart w:id="407" w:name="_Toc264969226"/>
      <w:bookmarkStart w:id="408" w:name="_Toc127151737"/>
      <w:bookmarkStart w:id="409" w:name="_Toc127151536"/>
      <w:bookmarkStart w:id="410" w:name="_Toc226309780"/>
      <w:bookmarkStart w:id="411" w:name="_Toc305158878"/>
      <w:bookmarkStart w:id="412" w:name="_Toc226337232"/>
      <w:bookmarkStart w:id="413" w:name="_Toc150774741"/>
      <w:bookmarkStart w:id="414" w:name="_Toc127161450"/>
      <w:bookmarkStart w:id="415" w:name="_Toc151193778"/>
      <w:bookmarkStart w:id="416" w:name="_Toc164608650"/>
      <w:bookmarkStart w:id="417" w:name="_Toc226965726"/>
      <w:bookmarkStart w:id="418" w:name="_Toc226965809"/>
      <w:bookmarkStart w:id="419" w:name="_Toc164351630"/>
      <w:bookmarkStart w:id="420" w:name="_Toc151190163"/>
      <w:bookmarkStart w:id="421" w:name="_Toc149720829"/>
      <w:bookmarkStart w:id="422" w:name="_Toc164229377"/>
      <w:bookmarkStart w:id="423" w:name="_Toc151193850"/>
      <w:r>
        <w:rPr>
          <w:rFonts w:ascii="宋体" w:hAnsi="宋体"/>
          <w:sz w:val="24"/>
        </w:rPr>
        <w:t>响应文件截止</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Pr>
          <w:rFonts w:ascii="宋体" w:hAnsi="宋体"/>
          <w:sz w:val="24"/>
        </w:rPr>
        <w:t>时间</w:t>
      </w:r>
    </w:p>
    <w:p w14:paraId="69879878">
      <w:pPr>
        <w:numPr>
          <w:ilvl w:val="1"/>
          <w:numId w:val="10"/>
        </w:numPr>
        <w:tabs>
          <w:tab w:val="left" w:pos="1080"/>
          <w:tab w:val="left" w:pos="2014"/>
        </w:tabs>
        <w:snapToGrid w:val="0"/>
        <w:spacing w:line="360" w:lineRule="auto"/>
        <w:ind w:left="1077" w:hanging="720"/>
        <w:rPr>
          <w:rFonts w:ascii="宋体" w:hAnsi="宋体"/>
          <w:sz w:val="24"/>
        </w:rPr>
      </w:pPr>
      <w:r>
        <w:rPr>
          <w:rFonts w:ascii="宋体" w:hAnsi="宋体"/>
          <w:sz w:val="24"/>
        </w:rPr>
        <w:t>供应商应在竞争性磋商文件要求提交响应文件截止时间前，将响应文件提交至</w:t>
      </w:r>
      <w:r>
        <w:rPr>
          <w:rFonts w:hint="eastAsia" w:ascii="宋体" w:hAnsi="宋体"/>
          <w:sz w:val="24"/>
        </w:rPr>
        <w:t>采购邀请中标明的地点。</w:t>
      </w:r>
    </w:p>
    <w:p w14:paraId="1893F890">
      <w:pPr>
        <w:numPr>
          <w:ilvl w:val="0"/>
          <w:numId w:val="10"/>
        </w:numPr>
        <w:tabs>
          <w:tab w:val="left" w:pos="360"/>
        </w:tabs>
        <w:snapToGrid w:val="0"/>
        <w:spacing w:line="360" w:lineRule="auto"/>
        <w:ind w:left="357" w:hanging="357"/>
        <w:outlineLvl w:val="1"/>
        <w:rPr>
          <w:rFonts w:ascii="宋体" w:hAnsi="宋体"/>
          <w:sz w:val="24"/>
        </w:rPr>
      </w:pPr>
      <w:bookmarkStart w:id="424" w:name="_Toc226965727"/>
      <w:bookmarkStart w:id="425" w:name="_Toc151193635"/>
      <w:bookmarkStart w:id="426" w:name="_Toc164608651"/>
      <w:bookmarkStart w:id="427" w:name="_Toc149720830"/>
      <w:bookmarkStart w:id="428" w:name="_Toc150774637"/>
      <w:bookmarkStart w:id="429" w:name="_Toc127151738"/>
      <w:bookmarkStart w:id="430" w:name="_Toc520356162"/>
      <w:bookmarkStart w:id="431" w:name="_Toc265228375"/>
      <w:bookmarkStart w:id="432" w:name="_Toc164351631"/>
      <w:bookmarkStart w:id="433" w:name="_Toc151193779"/>
      <w:bookmarkStart w:id="434" w:name="_Toc226309781"/>
      <w:bookmarkStart w:id="435" w:name="_Toc264969227"/>
      <w:bookmarkStart w:id="436" w:name="_Toc127151537"/>
      <w:bookmarkStart w:id="437" w:name="_Toc305158805"/>
      <w:bookmarkStart w:id="438" w:name="_Toc164229378"/>
      <w:bookmarkStart w:id="439" w:name="_Toc164608806"/>
      <w:bookmarkStart w:id="440" w:name="_Toc150509288"/>
      <w:bookmarkStart w:id="441" w:name="_Toc226337233"/>
      <w:bookmarkStart w:id="442" w:name="_Toc226965810"/>
      <w:bookmarkStart w:id="443" w:name="_Toc151190164"/>
      <w:bookmarkStart w:id="444" w:name="_Toc151193707"/>
      <w:bookmarkStart w:id="445" w:name="_Toc195842902"/>
      <w:bookmarkStart w:id="446" w:name="_Toc127161451"/>
      <w:bookmarkStart w:id="447" w:name="_Toc305158879"/>
      <w:bookmarkStart w:id="448" w:name="_Toc150480775"/>
      <w:bookmarkStart w:id="449" w:name="_Toc151193851"/>
      <w:bookmarkStart w:id="450" w:name="_Toc151193925"/>
      <w:bookmarkStart w:id="451" w:name="_Toc150774742"/>
      <w:bookmarkStart w:id="452" w:name="_Toc142311039"/>
      <w:bookmarkStart w:id="453" w:name="_Toc164229232"/>
      <w:r>
        <w:rPr>
          <w:rFonts w:ascii="宋体" w:hAnsi="宋体"/>
          <w:sz w:val="24"/>
        </w:rPr>
        <w:t>响应文件的修改与撤回</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7ADEBB90">
      <w:pPr>
        <w:numPr>
          <w:ilvl w:val="1"/>
          <w:numId w:val="10"/>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提交响应文件截止时间前，供应商可以对所提交的响应文件进行补充、修改或者撤回。但应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14:paraId="290D347B">
      <w:pPr>
        <w:numPr>
          <w:ilvl w:val="1"/>
          <w:numId w:val="10"/>
        </w:numPr>
        <w:tabs>
          <w:tab w:val="left" w:pos="1080"/>
          <w:tab w:val="left" w:pos="2014"/>
        </w:tabs>
        <w:snapToGrid w:val="0"/>
        <w:spacing w:line="360" w:lineRule="auto"/>
        <w:ind w:left="1077" w:hanging="720"/>
        <w:rPr>
          <w:rFonts w:ascii="宋体" w:hAnsi="宋体"/>
          <w:kern w:val="0"/>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14:paraId="56FDA3C9">
      <w:pPr>
        <w:pStyle w:val="32"/>
        <w:tabs>
          <w:tab w:val="left" w:pos="0"/>
          <w:tab w:val="clear" w:pos="1050"/>
        </w:tabs>
        <w:rPr>
          <w:rStyle w:val="258"/>
          <w:rFonts w:ascii="宋体" w:hAnsi="宋体" w:cs="宋体"/>
          <w:b w:val="0"/>
          <w:lang w:val="zh-TW" w:eastAsia="zh-TW"/>
        </w:rPr>
      </w:pPr>
      <w:r>
        <w:rPr>
          <w:rStyle w:val="258"/>
          <w:rFonts w:ascii="宋体" w:hAnsi="宋体" w:cs="宋体"/>
          <w:b w:val="0"/>
          <w:lang w:val="zh-TW" w:eastAsia="zh-TW"/>
        </w:rPr>
        <w:t>16.3在递交响应文件截止时间之后，供应商不得对其响应文件做任何修改。</w:t>
      </w:r>
    </w:p>
    <w:p w14:paraId="0682B32A"/>
    <w:p w14:paraId="1AD538C4">
      <w:pPr>
        <w:tabs>
          <w:tab w:val="left" w:pos="900"/>
          <w:tab w:val="left" w:pos="1080"/>
          <w:tab w:val="left" w:pos="1589"/>
        </w:tabs>
        <w:snapToGrid w:val="0"/>
        <w:spacing w:line="360" w:lineRule="auto"/>
        <w:ind w:left="357"/>
        <w:rPr>
          <w:rFonts w:eastAsiaTheme="minorEastAsia"/>
          <w:sz w:val="24"/>
        </w:rPr>
      </w:pPr>
    </w:p>
    <w:p w14:paraId="2E6EFAB2">
      <w:pPr>
        <w:pStyle w:val="5"/>
        <w:spacing w:before="0" w:line="360" w:lineRule="auto"/>
        <w:ind w:left="480" w:firstLine="3935" w:firstLineChars="1400"/>
        <w:jc w:val="both"/>
        <w:rPr>
          <w:rFonts w:hint="eastAsia" w:ascii="宋体" w:hAnsi="宋体" w:eastAsia="宋体" w:cs="宋体"/>
          <w:sz w:val="28"/>
          <w:highlight w:val="none"/>
        </w:rPr>
      </w:pPr>
      <w:bookmarkStart w:id="454" w:name="_Toc127151538"/>
      <w:bookmarkStart w:id="455" w:name="_Toc195842903"/>
      <w:bookmarkStart w:id="456" w:name="_Toc226965728"/>
      <w:bookmarkStart w:id="457" w:name="_Toc151193852"/>
      <w:bookmarkStart w:id="458" w:name="_Toc305158806"/>
      <w:bookmarkStart w:id="459" w:name="_Toc142311040"/>
      <w:bookmarkStart w:id="460" w:name="_Toc305158880"/>
      <w:bookmarkStart w:id="461" w:name="_Toc151193926"/>
      <w:bookmarkStart w:id="462" w:name="_Toc150774743"/>
      <w:bookmarkStart w:id="463" w:name="_Toc265228376"/>
      <w:bookmarkStart w:id="464" w:name="_Toc226337234"/>
      <w:bookmarkStart w:id="465" w:name="_Toc226309782"/>
      <w:bookmarkStart w:id="466" w:name="_Toc151193780"/>
      <w:bookmarkStart w:id="467" w:name="_Toc151190165"/>
      <w:bookmarkStart w:id="468" w:name="_Toc150774638"/>
      <w:bookmarkStart w:id="469" w:name="_Toc264969228"/>
      <w:bookmarkStart w:id="470" w:name="_Toc520356163"/>
      <w:bookmarkStart w:id="471" w:name="_Toc151193708"/>
      <w:bookmarkStart w:id="472" w:name="_Toc150480776"/>
      <w:bookmarkStart w:id="473" w:name="_Toc151193636"/>
      <w:bookmarkStart w:id="474" w:name="_Toc226965811"/>
      <w:bookmarkStart w:id="475" w:name="_Toc150509289"/>
      <w:r>
        <w:rPr>
          <w:rFonts w:ascii="Times New Roman" w:hAnsi="Times New Roman" w:eastAsiaTheme="minorEastAsia"/>
          <w:sz w:val="28"/>
        </w:rPr>
        <w:t xml:space="preserve">五   </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宋体" w:hAnsi="宋体" w:eastAsia="宋体"/>
          <w:sz w:val="28"/>
        </w:rPr>
        <w:t>评审</w:t>
      </w:r>
    </w:p>
    <w:p w14:paraId="1EF414A4">
      <w:pPr>
        <w:pStyle w:val="5"/>
        <w:spacing w:before="0" w:line="360" w:lineRule="auto"/>
        <w:rPr>
          <w:rFonts w:ascii="Times New Roman" w:hAnsi="Times New Roman" w:eastAsiaTheme="minorEastAsia"/>
          <w:sz w:val="28"/>
        </w:rPr>
      </w:pPr>
    </w:p>
    <w:p w14:paraId="17EC5EF5">
      <w:pPr>
        <w:numPr>
          <w:ilvl w:val="0"/>
          <w:numId w:val="10"/>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14:paraId="31F4E113">
      <w:pPr>
        <w:numPr>
          <w:ilvl w:val="1"/>
          <w:numId w:val="10"/>
        </w:numPr>
        <w:tabs>
          <w:tab w:val="left" w:pos="1080"/>
          <w:tab w:val="left" w:pos="2014"/>
        </w:tabs>
        <w:snapToGrid w:val="0"/>
        <w:spacing w:line="360" w:lineRule="auto"/>
        <w:ind w:left="1077" w:hanging="720"/>
        <w:rPr>
          <w:rFonts w:ascii="宋体" w:hAnsi="宋体"/>
          <w:sz w:val="24"/>
        </w:rPr>
      </w:pPr>
      <w:bookmarkStart w:id="476" w:name="_Toc520356169"/>
      <w:r>
        <w:rPr>
          <w:rFonts w:ascii="宋体" w:hAnsi="宋体"/>
          <w:sz w:val="24"/>
        </w:rPr>
        <w:t>采购人或采购代理机构将按竞争性磋商文件的规定，在响应文件提交截止时间的同一时间和竞争性磋商文件预先确定的地点开启响应文件。</w:t>
      </w:r>
    </w:p>
    <w:p w14:paraId="5DE92464">
      <w:pPr>
        <w:numPr>
          <w:ilvl w:val="1"/>
          <w:numId w:val="10"/>
        </w:numPr>
        <w:tabs>
          <w:tab w:val="left" w:pos="1080"/>
          <w:tab w:val="left" w:pos="2014"/>
        </w:tabs>
        <w:snapToGrid w:val="0"/>
        <w:spacing w:line="360" w:lineRule="auto"/>
        <w:ind w:left="1077" w:hanging="720"/>
        <w:rPr>
          <w:rFonts w:ascii="宋体" w:hAnsi="宋体"/>
          <w:sz w:val="24"/>
        </w:rPr>
      </w:pPr>
      <w:r>
        <w:rPr>
          <w:rFonts w:ascii="宋体" w:hAnsi="宋体"/>
          <w:sz w:val="24"/>
          <w:lang w:val="zh-TW"/>
        </w:rPr>
        <w:t>所有供应商应派法定代表人或授权代表参加磋商会，并签到以证明其出席。</w:t>
      </w: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A23E863">
      <w:pPr>
        <w:numPr>
          <w:ilvl w:val="1"/>
          <w:numId w:val="10"/>
        </w:numPr>
        <w:tabs>
          <w:tab w:val="left" w:pos="1080"/>
          <w:tab w:val="left" w:pos="2014"/>
        </w:tabs>
        <w:snapToGrid w:val="0"/>
        <w:spacing w:line="360" w:lineRule="auto"/>
        <w:ind w:left="1077" w:hanging="720"/>
        <w:rPr>
          <w:rFonts w:ascii="宋体" w:hAnsi="宋体"/>
          <w:sz w:val="24"/>
        </w:rPr>
      </w:pPr>
      <w:r>
        <w:rPr>
          <w:rFonts w:ascii="宋体" w:hAnsi="宋体"/>
          <w:sz w:val="24"/>
        </w:rPr>
        <w:t>供应商不足3家的，不予开启。</w:t>
      </w:r>
    </w:p>
    <w:p w14:paraId="27A34F9C">
      <w:pPr>
        <w:numPr>
          <w:ilvl w:val="1"/>
          <w:numId w:val="10"/>
        </w:numPr>
        <w:tabs>
          <w:tab w:val="left" w:pos="1080"/>
          <w:tab w:val="left" w:pos="2014"/>
        </w:tabs>
        <w:snapToGrid w:val="0"/>
        <w:spacing w:line="360" w:lineRule="auto"/>
        <w:ind w:left="1077" w:hanging="720"/>
        <w:rPr>
          <w:rFonts w:ascii="宋体" w:hAnsi="宋体"/>
          <w:sz w:val="24"/>
        </w:rPr>
      </w:pPr>
      <w:bookmarkStart w:id="477" w:name="_Toc520356165"/>
      <w:r>
        <w:rPr>
          <w:rFonts w:ascii="宋体" w:hAnsi="宋体"/>
          <w:sz w:val="24"/>
        </w:rPr>
        <w:t>本项目不公开报价。</w:t>
      </w:r>
    </w:p>
    <w:bookmarkEnd w:id="477"/>
    <w:p w14:paraId="2DD99483">
      <w:pPr>
        <w:numPr>
          <w:ilvl w:val="0"/>
          <w:numId w:val="12"/>
        </w:numPr>
        <w:tabs>
          <w:tab w:val="left" w:pos="360"/>
        </w:tabs>
        <w:snapToGrid w:val="0"/>
        <w:spacing w:line="360" w:lineRule="auto"/>
        <w:outlineLvl w:val="1"/>
        <w:rPr>
          <w:rFonts w:ascii="宋体" w:hAnsi="宋体"/>
          <w:sz w:val="24"/>
        </w:rPr>
      </w:pPr>
      <w:r>
        <w:rPr>
          <w:rFonts w:ascii="宋体" w:hAnsi="宋体"/>
          <w:sz w:val="24"/>
        </w:rPr>
        <w:t>磋商小组</w:t>
      </w:r>
    </w:p>
    <w:p w14:paraId="5FDBAB3C">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磋商小组根据政府采购有关规定和本次采购项目的特点进行组建，并负责具体评审事务，独立履行职责。</w:t>
      </w:r>
      <w:bookmarkStart w:id="478" w:name="_Toc520356166"/>
    </w:p>
    <w:p w14:paraId="032312E8">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78"/>
    </w:p>
    <w:p w14:paraId="1E3CFA6E">
      <w:pPr>
        <w:numPr>
          <w:ilvl w:val="0"/>
          <w:numId w:val="12"/>
        </w:numPr>
        <w:tabs>
          <w:tab w:val="left" w:pos="360"/>
        </w:tabs>
        <w:snapToGrid w:val="0"/>
        <w:spacing w:line="360" w:lineRule="auto"/>
        <w:outlineLvl w:val="1"/>
        <w:rPr>
          <w:rFonts w:ascii="宋体" w:hAnsi="宋体"/>
          <w:sz w:val="24"/>
        </w:rPr>
      </w:pPr>
      <w:r>
        <w:rPr>
          <w:rFonts w:ascii="宋体" w:hAnsi="宋体"/>
          <w:sz w:val="24"/>
        </w:rPr>
        <w:t>评审方法和评审标准</w:t>
      </w:r>
    </w:p>
    <w:p w14:paraId="65128300">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见第三章《评审方法和评审标准》。</w:t>
      </w:r>
    </w:p>
    <w:p w14:paraId="3ED188FB">
      <w:pPr>
        <w:tabs>
          <w:tab w:val="left" w:pos="360"/>
          <w:tab w:val="left" w:pos="1080"/>
        </w:tabs>
        <w:snapToGrid w:val="0"/>
        <w:spacing w:line="360" w:lineRule="auto"/>
        <w:ind w:left="1080"/>
        <w:rPr>
          <w:rFonts w:eastAsiaTheme="minorEastAsia"/>
          <w:sz w:val="24"/>
        </w:rPr>
      </w:pPr>
    </w:p>
    <w:p w14:paraId="4FE53E1F">
      <w:pPr>
        <w:rPr>
          <w:rFonts w:ascii="Times New Roman" w:hAnsi="Times New Roman" w:eastAsiaTheme="minorEastAsia"/>
          <w:sz w:val="28"/>
        </w:rPr>
      </w:pPr>
      <w:bookmarkStart w:id="479" w:name="_Toc127151545"/>
      <w:bookmarkStart w:id="480" w:name="_Toc226965735"/>
      <w:bookmarkStart w:id="481" w:name="_Toc142311047"/>
      <w:bookmarkStart w:id="482" w:name="_Toc226337241"/>
      <w:bookmarkStart w:id="483" w:name="_Toc151193859"/>
      <w:bookmarkStart w:id="484" w:name="_Toc150774645"/>
      <w:bookmarkStart w:id="485" w:name="_Toc151193933"/>
      <w:bookmarkStart w:id="486" w:name="_Toc150774750"/>
      <w:bookmarkStart w:id="487" w:name="_Toc151193643"/>
      <w:bookmarkStart w:id="488" w:name="_Toc151190172"/>
      <w:bookmarkStart w:id="489" w:name="_Toc264969235"/>
      <w:bookmarkStart w:id="490" w:name="_Toc150480783"/>
      <w:bookmarkStart w:id="491" w:name="_Toc226965818"/>
      <w:bookmarkStart w:id="492" w:name="_Toc265228383"/>
      <w:bookmarkStart w:id="493" w:name="_Toc305158887"/>
      <w:bookmarkStart w:id="494" w:name="_Toc150509296"/>
      <w:bookmarkStart w:id="495" w:name="_Toc195842910"/>
      <w:bookmarkStart w:id="496" w:name="_Toc151193715"/>
      <w:bookmarkStart w:id="497" w:name="_Toc151193787"/>
      <w:bookmarkStart w:id="498" w:name="_Toc226309789"/>
      <w:bookmarkStart w:id="499" w:name="_Toc305158813"/>
      <w:r>
        <w:rPr>
          <w:rFonts w:ascii="Times New Roman" w:hAnsi="Times New Roman" w:eastAsiaTheme="minorEastAsia"/>
          <w:sz w:val="28"/>
        </w:rPr>
        <w:br w:type="page"/>
      </w:r>
    </w:p>
    <w:p w14:paraId="00724084">
      <w:pPr>
        <w:pStyle w:val="5"/>
        <w:spacing w:before="0" w:line="360" w:lineRule="auto"/>
        <w:rPr>
          <w:rFonts w:ascii="Times New Roman" w:hAnsi="Times New Roman" w:eastAsiaTheme="minorEastAsia"/>
          <w:sz w:val="28"/>
        </w:rPr>
      </w:pPr>
      <w:r>
        <w:rPr>
          <w:rFonts w:ascii="Times New Roman" w:hAnsi="Times New Roman" w:eastAsiaTheme="minorEastAsia"/>
          <w:sz w:val="28"/>
        </w:rPr>
        <w:t xml:space="preserve">六   </w:t>
      </w:r>
      <w:bookmarkEnd w:id="476"/>
      <w:r>
        <w:rPr>
          <w:rFonts w:ascii="Times New Roman" w:hAnsi="Times New Roman" w:eastAsiaTheme="minorEastAsia"/>
          <w:sz w:val="28"/>
        </w:rPr>
        <w:t>确定</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Pr>
          <w:rFonts w:ascii="Times New Roman" w:hAnsi="Times New Roman" w:eastAsiaTheme="minorEastAsia"/>
          <w:sz w:val="28"/>
        </w:rPr>
        <w:t>成交</w:t>
      </w:r>
    </w:p>
    <w:p w14:paraId="777491B4">
      <w:pPr>
        <w:numPr>
          <w:ilvl w:val="0"/>
          <w:numId w:val="12"/>
        </w:numPr>
        <w:tabs>
          <w:tab w:val="left" w:pos="360"/>
        </w:tabs>
        <w:snapToGrid w:val="0"/>
        <w:spacing w:line="360" w:lineRule="auto"/>
        <w:ind w:left="357" w:hanging="357"/>
        <w:outlineLvl w:val="1"/>
        <w:rPr>
          <w:rFonts w:ascii="宋体" w:hAnsi="宋体"/>
          <w:sz w:val="24"/>
        </w:rPr>
      </w:pPr>
      <w:bookmarkStart w:id="500" w:name="_Toc127161461"/>
      <w:bookmarkStart w:id="501" w:name="_Toc305158889"/>
      <w:bookmarkStart w:id="502" w:name="_Toc127151547"/>
      <w:bookmarkStart w:id="503" w:name="_Toc151193861"/>
      <w:bookmarkStart w:id="504" w:name="_Toc226337243"/>
      <w:bookmarkStart w:id="505" w:name="_Toc265228385"/>
      <w:bookmarkStart w:id="506" w:name="_Toc149720840"/>
      <w:bookmarkStart w:id="507" w:name="_Toc164608816"/>
      <w:bookmarkStart w:id="508" w:name="_Toc127151748"/>
      <w:bookmarkStart w:id="509" w:name="_Toc151193645"/>
      <w:bookmarkStart w:id="510" w:name="_Toc151193789"/>
      <w:bookmarkStart w:id="511" w:name="_Toc142311049"/>
      <w:bookmarkStart w:id="512" w:name="_Toc226965820"/>
      <w:bookmarkStart w:id="513" w:name="_Toc164229242"/>
      <w:bookmarkStart w:id="514" w:name="_Toc164351641"/>
      <w:bookmarkStart w:id="515" w:name="_Toc150480785"/>
      <w:bookmarkStart w:id="516" w:name="_Toc151193935"/>
      <w:bookmarkStart w:id="517" w:name="_Toc150774752"/>
      <w:bookmarkStart w:id="518" w:name="_Toc305158815"/>
      <w:bookmarkStart w:id="519" w:name="_Toc164608661"/>
      <w:bookmarkStart w:id="520" w:name="_Toc226965737"/>
      <w:bookmarkStart w:id="521" w:name="_Toc151193717"/>
      <w:bookmarkStart w:id="522" w:name="_Toc150509298"/>
      <w:bookmarkStart w:id="523" w:name="_Toc195842912"/>
      <w:bookmarkStart w:id="524" w:name="_Toc226309791"/>
      <w:bookmarkStart w:id="525" w:name="_Toc164229388"/>
      <w:bookmarkStart w:id="526" w:name="_Toc150774647"/>
      <w:bookmarkStart w:id="527" w:name="_Toc151190174"/>
      <w:bookmarkStart w:id="528" w:name="_Toc264969237"/>
      <w:r>
        <w:rPr>
          <w:rFonts w:ascii="宋体" w:hAnsi="宋体"/>
          <w:sz w:val="24"/>
        </w:rPr>
        <w:t>确定成交供应商</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DAF37EC">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采购人将在收到评审报告后，从评审报告提出的成交候选供应商中，按照排序由高到低的原则确定成交供应商</w:t>
      </w:r>
      <w:r>
        <w:rPr>
          <w:rFonts w:hint="eastAsia" w:ascii="宋体" w:hAnsi="宋体"/>
          <w:sz w:val="24"/>
        </w:rPr>
        <w:t>。</w:t>
      </w:r>
      <w:r>
        <w:rPr>
          <w:rFonts w:ascii="宋体" w:hAnsi="宋体"/>
          <w:sz w:val="24"/>
        </w:rPr>
        <w:t>采购人是否授权</w:t>
      </w:r>
      <w:r>
        <w:rPr>
          <w:rFonts w:hint="eastAsia" w:ascii="宋体" w:hAnsi="宋体"/>
          <w:sz w:val="24"/>
        </w:rPr>
        <w:t>磋商</w:t>
      </w:r>
      <w:r>
        <w:rPr>
          <w:rFonts w:ascii="宋体" w:hAnsi="宋体"/>
          <w:sz w:val="24"/>
        </w:rPr>
        <w:t>小组直接确定成交供应商，见《供应商须知资料表》。成交候选人并列的，按照《供应商须知资料表》要求确定成交供应商。</w:t>
      </w:r>
    </w:p>
    <w:p w14:paraId="126A4D0E">
      <w:pPr>
        <w:numPr>
          <w:ilvl w:val="0"/>
          <w:numId w:val="12"/>
        </w:numPr>
        <w:tabs>
          <w:tab w:val="left" w:pos="360"/>
        </w:tabs>
        <w:snapToGrid w:val="0"/>
        <w:spacing w:line="360" w:lineRule="auto"/>
        <w:ind w:left="357" w:hanging="357"/>
        <w:outlineLvl w:val="1"/>
        <w:rPr>
          <w:rFonts w:ascii="宋体" w:hAnsi="宋体"/>
          <w:sz w:val="24"/>
        </w:rPr>
      </w:pPr>
      <w:bookmarkStart w:id="529" w:name="_Toc305158891"/>
      <w:bookmarkStart w:id="530" w:name="_Toc305158817"/>
      <w:bookmarkStart w:id="531" w:name="_Toc226309793"/>
      <w:bookmarkStart w:id="532" w:name="_Toc151193937"/>
      <w:bookmarkStart w:id="533" w:name="_Toc151193719"/>
      <w:bookmarkStart w:id="534" w:name="_Toc150774754"/>
      <w:bookmarkStart w:id="535" w:name="_Toc265228387"/>
      <w:bookmarkStart w:id="536" w:name="_Toc226965822"/>
      <w:bookmarkStart w:id="537" w:name="_Toc164229244"/>
      <w:bookmarkStart w:id="538" w:name="_Toc150480787"/>
      <w:bookmarkStart w:id="539" w:name="_Toc226337245"/>
      <w:bookmarkStart w:id="540" w:name="_Toc151190176"/>
      <w:bookmarkStart w:id="541" w:name="_Toc151193647"/>
      <w:bookmarkStart w:id="542" w:name="_Toc151193791"/>
      <w:bookmarkStart w:id="543" w:name="_Toc127161463"/>
      <w:bookmarkStart w:id="544" w:name="_Toc264969239"/>
      <w:bookmarkStart w:id="545" w:name="_Toc150509300"/>
      <w:bookmarkStart w:id="546" w:name="_Toc164608818"/>
      <w:bookmarkStart w:id="547" w:name="_Toc127151549"/>
      <w:bookmarkStart w:id="548" w:name="_Toc195842914"/>
      <w:bookmarkStart w:id="549" w:name="_Toc164229390"/>
      <w:bookmarkStart w:id="550" w:name="_Toc150774649"/>
      <w:bookmarkStart w:id="551" w:name="_Toc164608663"/>
      <w:bookmarkStart w:id="552" w:name="_Toc127151750"/>
      <w:bookmarkStart w:id="553" w:name="_Toc149720842"/>
      <w:bookmarkStart w:id="554" w:name="_Toc226965739"/>
      <w:bookmarkStart w:id="555" w:name="_Toc151193863"/>
      <w:bookmarkStart w:id="556" w:name="_Toc164351643"/>
      <w:bookmarkStart w:id="557" w:name="_Toc142311051"/>
      <w:bookmarkStart w:id="558" w:name="_Toc520356176"/>
      <w:bookmarkStart w:id="559" w:name="_Ref467307090"/>
      <w:bookmarkStart w:id="560" w:name="_Ref467306425"/>
      <w:r>
        <w:rPr>
          <w:rFonts w:ascii="宋体" w:hAnsi="宋体"/>
          <w:sz w:val="24"/>
        </w:rPr>
        <w:t>成交公告与成交通知书</w:t>
      </w:r>
      <w:bookmarkEnd w:id="529"/>
      <w:bookmarkEnd w:id="530"/>
    </w:p>
    <w:p w14:paraId="0511E41E">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w:t>
      </w:r>
      <w:r>
        <w:rPr>
          <w:rFonts w:ascii="宋体" w:hAnsi="宋体"/>
          <w:kern w:val="0"/>
          <w:sz w:val="24"/>
        </w:rPr>
        <w:t>在成交供应商确定后2个工作日内，在</w:t>
      </w:r>
      <w:r>
        <w:rPr>
          <w:rFonts w:hint="eastAsia" w:ascii="宋体" w:hAnsi="宋体"/>
          <w:sz w:val="24"/>
        </w:rPr>
        <w:t>中国政府采购网</w:t>
      </w:r>
      <w:r>
        <w:rPr>
          <w:rFonts w:ascii="宋体" w:hAnsi="宋体"/>
          <w:kern w:val="0"/>
          <w:sz w:val="24"/>
        </w:rPr>
        <w:t>公告成交结果，同时向成交供应商发出成交通知书，</w:t>
      </w:r>
      <w:r>
        <w:rPr>
          <w:rFonts w:ascii="宋体" w:hAnsi="宋体"/>
          <w:sz w:val="24"/>
        </w:rPr>
        <w:t>成交公告期限为1个工作日。</w:t>
      </w:r>
    </w:p>
    <w:p w14:paraId="5CAD245F">
      <w:pPr>
        <w:numPr>
          <w:ilvl w:val="1"/>
          <w:numId w:val="12"/>
        </w:numPr>
        <w:tabs>
          <w:tab w:val="left" w:pos="1080"/>
          <w:tab w:val="left" w:pos="2014"/>
        </w:tabs>
        <w:snapToGrid w:val="0"/>
        <w:spacing w:line="360" w:lineRule="auto"/>
        <w:ind w:left="1080" w:hanging="720"/>
        <w:rPr>
          <w:rFonts w:ascii="宋体" w:hAnsi="宋体"/>
          <w:sz w:val="24"/>
        </w:rPr>
      </w:pPr>
      <w:r>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rPr>
        <w:t>。</w:t>
      </w:r>
    </w:p>
    <w:p w14:paraId="21238B14">
      <w:pPr>
        <w:numPr>
          <w:ilvl w:val="0"/>
          <w:numId w:val="12"/>
        </w:numPr>
        <w:tabs>
          <w:tab w:val="left" w:pos="360"/>
        </w:tabs>
        <w:snapToGrid w:val="0"/>
        <w:spacing w:line="360" w:lineRule="auto"/>
        <w:ind w:left="357" w:hanging="357"/>
        <w:outlineLvl w:val="1"/>
        <w:rPr>
          <w:rFonts w:ascii="宋体" w:hAnsi="宋体"/>
          <w:sz w:val="24"/>
        </w:rPr>
      </w:pPr>
      <w:r>
        <w:rPr>
          <w:rFonts w:ascii="宋体" w:hAnsi="宋体"/>
          <w:sz w:val="24"/>
        </w:rPr>
        <w:t>终止</w:t>
      </w:r>
    </w:p>
    <w:p w14:paraId="5E2487B0">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在采购中，出现下列情形之一的，采购人或采购代理机构将终止竞争性磋商采购活动，发布项目终止公告并说明原因，重新开展采购活动：</w:t>
      </w:r>
    </w:p>
    <w:p w14:paraId="388A3B1D">
      <w:pPr>
        <w:numPr>
          <w:ilvl w:val="2"/>
          <w:numId w:val="12"/>
        </w:numPr>
        <w:snapToGrid w:val="0"/>
        <w:spacing w:line="360" w:lineRule="auto"/>
        <w:rPr>
          <w:rFonts w:ascii="宋体" w:hAnsi="宋体"/>
          <w:sz w:val="24"/>
        </w:rPr>
      </w:pPr>
      <w:r>
        <w:rPr>
          <w:rFonts w:ascii="宋体" w:hAnsi="宋体"/>
          <w:sz w:val="24"/>
        </w:rPr>
        <w:t>因情况变化，不再符合规定的竞争性磋商采购方式适用情形的；</w:t>
      </w:r>
    </w:p>
    <w:p w14:paraId="6E2B2F6E">
      <w:pPr>
        <w:numPr>
          <w:ilvl w:val="2"/>
          <w:numId w:val="12"/>
        </w:numPr>
        <w:snapToGrid w:val="0"/>
        <w:spacing w:line="360" w:lineRule="auto"/>
        <w:rPr>
          <w:rFonts w:ascii="宋体" w:hAnsi="宋体"/>
          <w:sz w:val="24"/>
        </w:rPr>
      </w:pPr>
      <w:r>
        <w:rPr>
          <w:rFonts w:ascii="宋体" w:hAnsi="宋体"/>
          <w:sz w:val="24"/>
        </w:rPr>
        <w:t>出现影响采购公正的违法、违规行为的；</w:t>
      </w:r>
    </w:p>
    <w:p w14:paraId="0B76CF6C">
      <w:pPr>
        <w:numPr>
          <w:ilvl w:val="2"/>
          <w:numId w:val="12"/>
        </w:numPr>
        <w:snapToGrid w:val="0"/>
        <w:spacing w:line="360" w:lineRule="auto"/>
        <w:rPr>
          <w:rFonts w:ascii="宋体" w:hAnsi="宋体"/>
          <w:sz w:val="24"/>
        </w:rPr>
      </w:pP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30663C29">
      <w:pPr>
        <w:numPr>
          <w:ilvl w:val="0"/>
          <w:numId w:val="12"/>
        </w:numPr>
        <w:tabs>
          <w:tab w:val="left" w:pos="360"/>
        </w:tabs>
        <w:snapToGrid w:val="0"/>
        <w:spacing w:line="360" w:lineRule="auto"/>
        <w:ind w:left="357" w:hanging="357"/>
        <w:outlineLvl w:val="1"/>
        <w:rPr>
          <w:rFonts w:ascii="宋体" w:hAnsi="宋体"/>
          <w:sz w:val="24"/>
        </w:rPr>
      </w:pPr>
      <w:bookmarkStart w:id="561" w:name="_Toc142311052"/>
      <w:bookmarkStart w:id="562" w:name="_Toc127151550"/>
      <w:bookmarkStart w:id="563" w:name="_Toc151190177"/>
      <w:bookmarkStart w:id="564" w:name="_Ref467306978"/>
      <w:bookmarkStart w:id="565" w:name="_Toc149720843"/>
      <w:bookmarkStart w:id="566" w:name="_Toc226309794"/>
      <w:bookmarkStart w:id="567" w:name="_Toc164608819"/>
      <w:bookmarkStart w:id="568" w:name="_Toc305158892"/>
      <w:bookmarkStart w:id="569" w:name="_Toc151193720"/>
      <w:bookmarkStart w:id="570" w:name="_Ref467307062"/>
      <w:bookmarkStart w:id="571" w:name="_Toc151193792"/>
      <w:bookmarkStart w:id="572" w:name="_Toc150509301"/>
      <w:bookmarkStart w:id="573" w:name="_Toc164608664"/>
      <w:bookmarkStart w:id="574" w:name="_Ref467306377"/>
      <w:bookmarkStart w:id="575" w:name="_Toc164229245"/>
      <w:bookmarkStart w:id="576" w:name="_Toc150774650"/>
      <w:bookmarkStart w:id="577" w:name="_Toc305158818"/>
      <w:bookmarkStart w:id="578" w:name="_Toc150480788"/>
      <w:bookmarkStart w:id="579" w:name="_Toc164229391"/>
      <w:bookmarkStart w:id="580" w:name="_Toc164351644"/>
      <w:bookmarkStart w:id="581" w:name="_Toc151193648"/>
      <w:bookmarkStart w:id="582" w:name="_Toc127151751"/>
      <w:bookmarkStart w:id="583" w:name="_Toc226965823"/>
      <w:bookmarkStart w:id="584" w:name="_Toc520356175"/>
      <w:bookmarkStart w:id="585" w:name="_Toc150774755"/>
      <w:bookmarkStart w:id="586" w:name="_Toc226337246"/>
      <w:bookmarkStart w:id="587" w:name="_Toc195842915"/>
      <w:bookmarkStart w:id="588" w:name="_Toc151193864"/>
      <w:bookmarkStart w:id="589" w:name="_Ref467307204"/>
      <w:bookmarkStart w:id="590" w:name="_Toc265228388"/>
      <w:bookmarkStart w:id="591" w:name="_Toc264969240"/>
      <w:bookmarkStart w:id="592" w:name="_Toc127161464"/>
      <w:bookmarkStart w:id="593" w:name="_Toc226965740"/>
      <w:bookmarkStart w:id="594" w:name="_Toc151193938"/>
      <w:r>
        <w:rPr>
          <w:rFonts w:ascii="宋体" w:hAnsi="宋体"/>
          <w:sz w:val="24"/>
        </w:rPr>
        <w:t>签订合同</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699AAE7D">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05A5F8A0">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FF9897D">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联合体获得成交资格的，联合体各方应当共同与采购人签订合同，就成交项目向采购人承担连带责任。</w:t>
      </w:r>
    </w:p>
    <w:p w14:paraId="6C77C763">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14:paraId="43ABE356">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采购人允许采用分包方式履行合同的，成交供应商可以依法采取分包方式履行合同。本项目</w:t>
      </w:r>
      <w:r>
        <w:rPr>
          <w:rFonts w:hint="eastAsia" w:ascii="宋体" w:hAnsi="宋体"/>
          <w:sz w:val="24"/>
        </w:rPr>
        <w:t>是</w:t>
      </w:r>
      <w:r>
        <w:rPr>
          <w:rFonts w:ascii="宋体" w:hAnsi="宋体"/>
          <w:sz w:val="24"/>
        </w:rPr>
        <w:t>否允许分包，见《供应商须知资料表》。政府采购合同分包履行的，应当在响应文件中载明分包承担主体，分包承担主体应当具备相应资质条件且不得再次分包，</w:t>
      </w:r>
      <w:r>
        <w:rPr>
          <w:rFonts w:ascii="宋体" w:hAnsi="宋体"/>
          <w:b/>
          <w:sz w:val="24"/>
        </w:rPr>
        <w:t>否则响应无效</w:t>
      </w:r>
      <w:r>
        <w:rPr>
          <w:rFonts w:ascii="宋体" w:hAnsi="宋体"/>
          <w:sz w:val="24"/>
        </w:rPr>
        <w:t>。成交供应商就采购项目和分包项目向采购人负责，分包供应商就分包项目承担责任。</w:t>
      </w:r>
    </w:p>
    <w:p w14:paraId="7A005A56">
      <w:pPr>
        <w:numPr>
          <w:ilvl w:val="1"/>
          <w:numId w:val="12"/>
        </w:numPr>
        <w:tabs>
          <w:tab w:val="left" w:pos="1080"/>
          <w:tab w:val="left" w:pos="2014"/>
        </w:tabs>
        <w:snapToGrid w:val="0"/>
        <w:spacing w:line="360" w:lineRule="auto"/>
        <w:ind w:left="1077" w:hanging="720"/>
        <w:rPr>
          <w:rFonts w:ascii="宋体" w:hAnsi="宋体"/>
          <w:sz w:val="24"/>
        </w:rPr>
      </w:pPr>
      <w:r>
        <w:rPr>
          <w:rFonts w:hint="eastAsia" w:ascii="宋体" w:hAnsi="宋体" w:eastAsia="宋体" w:cs="宋体"/>
          <w:color w:val="000000"/>
          <w:sz w:val="24"/>
          <w:szCs w:val="24"/>
        </w:rPr>
        <w:t>融资指引：详见</w:t>
      </w:r>
      <w:r>
        <w:rPr>
          <w:rFonts w:hint="default" w:ascii="Times New Roman" w:hAnsi="Times New Roman" w:eastAsia="宋体" w:cs="Times New Roman"/>
          <w:color w:val="000000"/>
          <w:sz w:val="24"/>
          <w:szCs w:val="24"/>
        </w:rPr>
        <w:t>《供应商须知资料表》。</w:t>
      </w:r>
    </w:p>
    <w:bookmarkEnd w:id="558"/>
    <w:bookmarkEnd w:id="559"/>
    <w:bookmarkEnd w:id="560"/>
    <w:p w14:paraId="1C287321">
      <w:pPr>
        <w:numPr>
          <w:ilvl w:val="0"/>
          <w:numId w:val="12"/>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14:paraId="5544FC7B">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14:paraId="66BC8FE4">
      <w:pPr>
        <w:numPr>
          <w:ilvl w:val="2"/>
          <w:numId w:val="12"/>
        </w:numPr>
        <w:snapToGrid w:val="0"/>
        <w:spacing w:line="360" w:lineRule="auto"/>
        <w:rPr>
          <w:rFonts w:ascii="宋体" w:hAnsi="宋体"/>
          <w:sz w:val="24"/>
        </w:rPr>
      </w:pPr>
      <w:r>
        <w:rPr>
          <w:rFonts w:ascii="宋体" w:hAnsi="宋体"/>
          <w:sz w:val="24"/>
        </w:rPr>
        <w:t>供应商对政府采购活动事项有疑问的，可依法提出询问，并按《供应商须知资料表》载明的形式送达采购人或采购代理机构。</w:t>
      </w:r>
    </w:p>
    <w:p w14:paraId="2B8FE10F">
      <w:pPr>
        <w:numPr>
          <w:ilvl w:val="2"/>
          <w:numId w:val="12"/>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14:paraId="6D455427">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14:paraId="64BA77F8">
      <w:pPr>
        <w:numPr>
          <w:ilvl w:val="2"/>
          <w:numId w:val="12"/>
        </w:numPr>
        <w:snapToGrid w:val="0"/>
        <w:spacing w:line="360" w:lineRule="auto"/>
        <w:rPr>
          <w:rFonts w:ascii="宋体" w:hAnsi="宋体"/>
          <w:sz w:val="24"/>
        </w:rPr>
      </w:pPr>
      <w:r>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8250E45">
      <w:pPr>
        <w:numPr>
          <w:ilvl w:val="2"/>
          <w:numId w:val="12"/>
        </w:numPr>
        <w:snapToGrid w:val="0"/>
        <w:spacing w:line="360" w:lineRule="auto"/>
        <w:rPr>
          <w:rFonts w:ascii="宋体" w:hAnsi="宋体"/>
          <w:sz w:val="24"/>
        </w:rPr>
      </w:pPr>
      <w:r>
        <w:rPr>
          <w:rFonts w:ascii="宋体" w:hAnsi="宋体"/>
          <w:sz w:val="24"/>
        </w:rPr>
        <w:t>质疑函须使用财政部制定的范本文件。</w:t>
      </w:r>
    </w:p>
    <w:p w14:paraId="6BDEBAEF">
      <w:pPr>
        <w:numPr>
          <w:ilvl w:val="2"/>
          <w:numId w:val="12"/>
        </w:numPr>
        <w:snapToGrid w:val="0"/>
        <w:spacing w:line="360" w:lineRule="auto"/>
        <w:rPr>
          <w:rFonts w:ascii="宋体" w:hAnsi="宋体"/>
          <w:sz w:val="24"/>
        </w:rPr>
      </w:pPr>
      <w:r>
        <w:rPr>
          <w:rFonts w:ascii="宋体" w:hAnsi="宋体"/>
          <w:sz w:val="24"/>
        </w:rPr>
        <w:t>供应商为自然人的，应当由本人签字；供应商为法人或者其他组织的，应当由法定代表人、主要负责人，或者其授权代表签字或者盖章，并加盖公章。</w:t>
      </w:r>
    </w:p>
    <w:p w14:paraId="576D9F45">
      <w:pPr>
        <w:numPr>
          <w:ilvl w:val="2"/>
          <w:numId w:val="12"/>
        </w:numPr>
        <w:snapToGrid w:val="0"/>
        <w:spacing w:line="360" w:lineRule="auto"/>
        <w:rPr>
          <w:rFonts w:ascii="宋体" w:hAnsi="宋体"/>
          <w:sz w:val="24"/>
        </w:rPr>
      </w:pPr>
      <w:r>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512B7942">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接收询问和质疑的联系部门、联系电话和通讯地址见《供应商须知资料表》</w:t>
      </w:r>
      <w:r>
        <w:rPr>
          <w:rFonts w:hint="eastAsia" w:ascii="宋体" w:hAnsi="宋体"/>
          <w:sz w:val="24"/>
        </w:rPr>
        <w:t>。</w:t>
      </w:r>
    </w:p>
    <w:p w14:paraId="3F272506">
      <w:pPr>
        <w:numPr>
          <w:ilvl w:val="0"/>
          <w:numId w:val="12"/>
        </w:numPr>
        <w:tabs>
          <w:tab w:val="left" w:pos="360"/>
        </w:tabs>
        <w:snapToGrid w:val="0"/>
        <w:spacing w:line="360" w:lineRule="auto"/>
        <w:ind w:left="357" w:hanging="357"/>
        <w:outlineLvl w:val="1"/>
        <w:rPr>
          <w:rFonts w:ascii="宋体" w:hAnsi="宋体"/>
          <w:sz w:val="24"/>
        </w:rPr>
      </w:pPr>
      <w:r>
        <w:rPr>
          <w:rFonts w:ascii="宋体" w:hAnsi="宋体"/>
          <w:sz w:val="24"/>
        </w:rPr>
        <w:t>代理费</w:t>
      </w:r>
    </w:p>
    <w:p w14:paraId="286008DF">
      <w:pPr>
        <w:numPr>
          <w:ilvl w:val="1"/>
          <w:numId w:val="12"/>
        </w:numPr>
        <w:tabs>
          <w:tab w:val="left" w:pos="1080"/>
          <w:tab w:val="left" w:pos="2014"/>
        </w:tabs>
        <w:snapToGrid w:val="0"/>
        <w:spacing w:line="360" w:lineRule="auto"/>
        <w:ind w:left="1077" w:hanging="720"/>
        <w:rPr>
          <w:rFonts w:ascii="宋体" w:hAnsi="宋体"/>
          <w:sz w:val="24"/>
        </w:rPr>
      </w:pPr>
      <w:r>
        <w:rPr>
          <w:rFonts w:ascii="宋体" w:hAnsi="宋体"/>
          <w:sz w:val="24"/>
        </w:rPr>
        <w:t>收费对象、收费标准及缴纳时间见《供应商须知资料表》。由成交供应商支付的，成交供应商须一次性向采购代理机构缴纳代理费，报价应包含代理费用。</w:t>
      </w:r>
    </w:p>
    <w:p w14:paraId="648229F9">
      <w:pPr>
        <w:tabs>
          <w:tab w:val="left" w:pos="360"/>
          <w:tab w:val="left" w:pos="1080"/>
        </w:tabs>
        <w:snapToGrid w:val="0"/>
        <w:spacing w:line="360" w:lineRule="auto"/>
        <w:ind w:left="360"/>
        <w:rPr>
          <w:rFonts w:eastAsiaTheme="minorEastAsia"/>
          <w:sz w:val="24"/>
        </w:rPr>
      </w:pPr>
    </w:p>
    <w:p w14:paraId="5E935F2E">
      <w:pPr>
        <w:spacing w:line="360" w:lineRule="auto"/>
        <w:jc w:val="center"/>
        <w:outlineLvl w:val="0"/>
        <w:rPr>
          <w:rFonts w:eastAsiaTheme="minorEastAsia"/>
          <w:b/>
          <w:sz w:val="36"/>
          <w:szCs w:val="36"/>
        </w:rPr>
      </w:pPr>
      <w:bookmarkStart w:id="595" w:name="_Toc353873664"/>
      <w:bookmarkStart w:id="596" w:name="_Toc150480792"/>
      <w:bookmarkStart w:id="597" w:name="_Toc226965827"/>
      <w:bookmarkStart w:id="598" w:name="_Toc142311056"/>
      <w:bookmarkStart w:id="599" w:name="_Toc305158822"/>
      <w:bookmarkStart w:id="600" w:name="_Toc353873934"/>
      <w:bookmarkStart w:id="601" w:name="_Toc150774759"/>
      <w:bookmarkStart w:id="602" w:name="_Toc265228392"/>
      <w:bookmarkStart w:id="603" w:name="_Toc264969244"/>
      <w:bookmarkStart w:id="604" w:name="_Toc226337250"/>
      <w:bookmarkStart w:id="605" w:name="_Toc127151554"/>
      <w:bookmarkStart w:id="606" w:name="_Toc305158896"/>
      <w:bookmarkStart w:id="607" w:name="_Toc353825544"/>
      <w:r>
        <w:rPr>
          <w:rFonts w:eastAsiaTheme="minorEastAsia"/>
          <w:sz w:val="24"/>
        </w:rPr>
        <w:br w:type="page"/>
      </w:r>
      <w:bookmarkStart w:id="608" w:name="_Toc167110016"/>
      <w:r>
        <w:rPr>
          <w:rFonts w:eastAsiaTheme="minorEastAsia"/>
          <w:b/>
          <w:sz w:val="36"/>
          <w:szCs w:val="36"/>
        </w:rPr>
        <w:t xml:space="preserve">第三章   </w:t>
      </w:r>
      <w:bookmarkEnd w:id="595"/>
      <w:bookmarkEnd w:id="596"/>
      <w:bookmarkEnd w:id="597"/>
      <w:bookmarkEnd w:id="598"/>
      <w:bookmarkEnd w:id="599"/>
      <w:bookmarkEnd w:id="600"/>
      <w:bookmarkEnd w:id="601"/>
      <w:bookmarkEnd w:id="602"/>
      <w:bookmarkEnd w:id="603"/>
      <w:bookmarkEnd w:id="604"/>
      <w:bookmarkEnd w:id="605"/>
      <w:bookmarkEnd w:id="606"/>
      <w:bookmarkEnd w:id="607"/>
      <w:r>
        <w:rPr>
          <w:rFonts w:eastAsiaTheme="minorEastAsia"/>
          <w:b/>
          <w:sz w:val="36"/>
          <w:szCs w:val="36"/>
        </w:rPr>
        <w:t>评审方法和评审标准</w:t>
      </w:r>
      <w:bookmarkEnd w:id="608"/>
      <w:bookmarkStart w:id="609" w:name="_Toc487900382"/>
    </w:p>
    <w:p w14:paraId="39FEA2B5">
      <w:pPr>
        <w:pStyle w:val="5"/>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2818A5D1">
      <w:pPr>
        <w:tabs>
          <w:tab w:val="left" w:pos="1080"/>
        </w:tabs>
        <w:snapToGrid w:val="0"/>
        <w:jc w:val="left"/>
        <w:rPr>
          <w:rFonts w:eastAsiaTheme="minorEastAsia"/>
          <w:b/>
          <w:sz w:val="24"/>
        </w:rPr>
      </w:pPr>
      <w:r>
        <w:rPr>
          <w:rFonts w:eastAsiaTheme="minorEastAsia"/>
          <w:b/>
          <w:sz w:val="24"/>
        </w:rPr>
        <w:tab/>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609"/>
    <w:p w14:paraId="1FCDB164">
      <w:pPr>
        <w:numPr>
          <w:ilvl w:val="0"/>
          <w:numId w:val="13"/>
        </w:numPr>
        <w:tabs>
          <w:tab w:val="left" w:pos="360"/>
        </w:tabs>
        <w:snapToGrid w:val="0"/>
        <w:spacing w:line="360" w:lineRule="auto"/>
        <w:outlineLvl w:val="1"/>
        <w:rPr>
          <w:rFonts w:eastAsiaTheme="minorEastAsia"/>
          <w:sz w:val="24"/>
        </w:rPr>
      </w:pPr>
      <w:bookmarkStart w:id="610" w:name="_Toc150480779"/>
      <w:bookmarkStart w:id="611" w:name="_Toc164229382"/>
      <w:bookmarkStart w:id="612" w:name="_Toc151193783"/>
      <w:bookmarkStart w:id="613" w:name="_Toc127161455"/>
      <w:bookmarkStart w:id="614" w:name="_Toc164351635"/>
      <w:bookmarkStart w:id="615" w:name="_Toc195842906"/>
      <w:bookmarkStart w:id="616" w:name="_Toc264969231"/>
      <w:bookmarkStart w:id="617" w:name="_Toc164608810"/>
      <w:bookmarkStart w:id="618" w:name="_Toc151193711"/>
      <w:bookmarkStart w:id="619" w:name="_Toc305158809"/>
      <w:bookmarkStart w:id="620" w:name="_Toc127151541"/>
      <w:bookmarkStart w:id="621" w:name="_Toc149720834"/>
      <w:bookmarkStart w:id="622" w:name="_Toc151190168"/>
      <w:bookmarkStart w:id="623" w:name="_Toc151193855"/>
      <w:bookmarkStart w:id="624" w:name="_Toc127151742"/>
      <w:bookmarkStart w:id="625" w:name="_Toc164608655"/>
      <w:bookmarkStart w:id="626" w:name="_Toc164229236"/>
      <w:bookmarkStart w:id="627" w:name="_Toc142311043"/>
      <w:bookmarkStart w:id="628" w:name="_Toc265228379"/>
      <w:bookmarkStart w:id="629" w:name="_Toc226309785"/>
      <w:bookmarkStart w:id="630" w:name="_Toc226337237"/>
      <w:bookmarkStart w:id="631" w:name="_Toc150774641"/>
      <w:bookmarkStart w:id="632" w:name="_Toc226965731"/>
      <w:bookmarkStart w:id="633" w:name="_Toc226965814"/>
      <w:bookmarkStart w:id="634" w:name="_Toc150774746"/>
      <w:bookmarkStart w:id="635" w:name="_Toc151193929"/>
      <w:bookmarkStart w:id="636" w:name="_Toc151193639"/>
      <w:bookmarkStart w:id="637" w:name="_Toc305158883"/>
      <w:bookmarkStart w:id="638" w:name="_Toc150509292"/>
      <w:bookmarkStart w:id="639" w:name="_Toc353873941"/>
      <w:bookmarkStart w:id="640" w:name="_Toc353825551"/>
      <w:bookmarkStart w:id="641" w:name="_Toc127151555"/>
      <w:bookmarkStart w:id="642" w:name="_Toc150774760"/>
      <w:bookmarkStart w:id="643" w:name="_Toc353873665"/>
      <w:bookmarkStart w:id="644" w:name="_Toc150480793"/>
      <w:bookmarkStart w:id="645" w:name="_Toc226965828"/>
      <w:bookmarkStart w:id="646" w:name="_Toc305158897"/>
      <w:bookmarkStart w:id="647" w:name="_Toc353825545"/>
      <w:bookmarkStart w:id="648" w:name="_Toc195842920"/>
      <w:bookmarkStart w:id="649" w:name="_Toc226337251"/>
      <w:bookmarkStart w:id="650" w:name="_Toc142311057"/>
      <w:bookmarkStart w:id="651" w:name="_Toc264969245"/>
      <w:bookmarkStart w:id="652" w:name="_Toc265228393"/>
      <w:bookmarkStart w:id="653" w:name="_Toc353873935"/>
      <w:bookmarkStart w:id="654" w:name="_Toc305158823"/>
      <w:r>
        <w:rPr>
          <w:rFonts w:eastAsiaTheme="minorEastAsia"/>
          <w:sz w:val="24"/>
        </w:rPr>
        <w:t>响应文件的</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eastAsiaTheme="minorEastAsia"/>
          <w:sz w:val="24"/>
        </w:rPr>
        <w:t>资格审查和符合性审查</w:t>
      </w:r>
    </w:p>
    <w:p w14:paraId="55A53F80">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04B212A8">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5511957F">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5F336999">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701"/>
        <w:gridCol w:w="4673"/>
        <w:gridCol w:w="1864"/>
      </w:tblGrid>
      <w:tr w14:paraId="62162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15B6292D">
            <w:pPr>
              <w:tabs>
                <w:tab w:val="left" w:pos="1080"/>
              </w:tabs>
              <w:snapToGrid w:val="0"/>
              <w:jc w:val="center"/>
              <w:rPr>
                <w:rFonts w:eastAsiaTheme="minorEastAsia"/>
                <w:b/>
                <w:sz w:val="24"/>
              </w:rPr>
            </w:pPr>
            <w:bookmarkStart w:id="655" w:name="_Hlt487972895"/>
            <w:bookmarkEnd w:id="655"/>
            <w:r>
              <w:rPr>
                <w:rFonts w:eastAsiaTheme="minorEastAsia"/>
                <w:b/>
                <w:sz w:val="24"/>
              </w:rPr>
              <w:t>序号</w:t>
            </w:r>
          </w:p>
        </w:tc>
        <w:tc>
          <w:tcPr>
            <w:tcW w:w="938" w:type="pct"/>
            <w:vAlign w:val="center"/>
          </w:tcPr>
          <w:p w14:paraId="71121647">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7B992F3B">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7216EC8C">
            <w:pPr>
              <w:tabs>
                <w:tab w:val="left" w:pos="1080"/>
              </w:tabs>
              <w:snapToGrid w:val="0"/>
              <w:jc w:val="center"/>
              <w:rPr>
                <w:rFonts w:eastAsiaTheme="minorEastAsia"/>
                <w:b/>
                <w:sz w:val="24"/>
              </w:rPr>
            </w:pPr>
            <w:r>
              <w:rPr>
                <w:rFonts w:eastAsiaTheme="minorEastAsia"/>
                <w:b/>
                <w:sz w:val="24"/>
              </w:rPr>
              <w:t>格式要求</w:t>
            </w:r>
          </w:p>
        </w:tc>
      </w:tr>
      <w:tr w14:paraId="1B51C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76BD21">
            <w:pPr>
              <w:tabs>
                <w:tab w:val="left" w:pos="1080"/>
              </w:tabs>
              <w:snapToGrid w:val="0"/>
              <w:jc w:val="center"/>
              <w:rPr>
                <w:rFonts w:eastAsiaTheme="minorEastAsia"/>
                <w:sz w:val="24"/>
              </w:rPr>
            </w:pPr>
            <w:r>
              <w:rPr>
                <w:rFonts w:eastAsiaTheme="minorEastAsia"/>
                <w:sz w:val="24"/>
              </w:rPr>
              <w:t>1</w:t>
            </w:r>
          </w:p>
        </w:tc>
        <w:tc>
          <w:tcPr>
            <w:tcW w:w="938" w:type="pct"/>
            <w:vAlign w:val="center"/>
          </w:tcPr>
          <w:p w14:paraId="41BA3625">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03966CF9">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7017369B">
            <w:pPr>
              <w:tabs>
                <w:tab w:val="left" w:pos="1080"/>
              </w:tabs>
              <w:snapToGrid w:val="0"/>
              <w:jc w:val="left"/>
              <w:rPr>
                <w:rFonts w:eastAsiaTheme="minorEastAsia"/>
                <w:sz w:val="24"/>
              </w:rPr>
            </w:pPr>
          </w:p>
        </w:tc>
      </w:tr>
      <w:tr w14:paraId="2E883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98458B1">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231515EB">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3177B81A">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78B1B26A">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5C043B2D">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62AEB449">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17E9BFB9">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0757EAFC">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13334F7E">
            <w:pPr>
              <w:tabs>
                <w:tab w:val="left" w:pos="1080"/>
              </w:tabs>
              <w:snapToGrid w:val="0"/>
              <w:jc w:val="left"/>
              <w:rPr>
                <w:rFonts w:eastAsiaTheme="minorEastAsia"/>
                <w:sz w:val="24"/>
              </w:rPr>
            </w:pPr>
            <w:r>
              <w:rPr>
                <w:rFonts w:eastAsiaTheme="minorEastAsia"/>
                <w:sz w:val="24"/>
              </w:rPr>
              <w:t>提供证明文件的电子件或电子证照</w:t>
            </w:r>
          </w:p>
        </w:tc>
      </w:tr>
      <w:tr w14:paraId="25354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19EC67">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6EC173C4">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6E00BD4A">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17E54669">
            <w:pPr>
              <w:tabs>
                <w:tab w:val="left" w:pos="1080"/>
              </w:tabs>
              <w:snapToGrid w:val="0"/>
              <w:jc w:val="left"/>
              <w:rPr>
                <w:rFonts w:eastAsiaTheme="minorEastAsia"/>
                <w:sz w:val="24"/>
              </w:rPr>
            </w:pPr>
            <w:r>
              <w:rPr>
                <w:rFonts w:eastAsiaTheme="minorEastAsia"/>
                <w:sz w:val="24"/>
              </w:rPr>
              <w:t>格式见《响应文件格式》</w:t>
            </w:r>
          </w:p>
        </w:tc>
      </w:tr>
      <w:tr w14:paraId="0E3D9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B3B038">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7E818F2A">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34721CD4">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643489F2">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46D1C9EC">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9A8AFC9">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3FCEEC21">
            <w:pPr>
              <w:tabs>
                <w:tab w:val="left" w:pos="1080"/>
              </w:tabs>
              <w:snapToGrid w:val="0"/>
              <w:rPr>
                <w:rFonts w:eastAsiaTheme="minorEastAsia"/>
                <w:sz w:val="24"/>
              </w:rPr>
            </w:pPr>
            <w:bookmarkStart w:id="656" w:name="OLE_LINK6"/>
            <w:r>
              <w:rPr>
                <w:rFonts w:eastAsiaTheme="minorEastAsia"/>
                <w:sz w:val="24"/>
              </w:rPr>
              <w:t>无须供应商提供，由采购人或采购代理机构查询。</w:t>
            </w:r>
            <w:bookmarkEnd w:id="656"/>
          </w:p>
        </w:tc>
      </w:tr>
      <w:tr w14:paraId="76ADA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2E7F3B">
            <w:pPr>
              <w:tabs>
                <w:tab w:val="left" w:pos="1080"/>
              </w:tabs>
              <w:snapToGrid w:val="0"/>
              <w:jc w:val="center"/>
              <w:rPr>
                <w:rFonts w:eastAsiaTheme="minorEastAsia"/>
                <w:sz w:val="24"/>
              </w:rPr>
            </w:pPr>
            <w:r>
              <w:rPr>
                <w:sz w:val="24"/>
              </w:rPr>
              <w:t>1-4</w:t>
            </w:r>
          </w:p>
        </w:tc>
        <w:tc>
          <w:tcPr>
            <w:tcW w:w="938" w:type="pct"/>
            <w:vAlign w:val="center"/>
          </w:tcPr>
          <w:p w14:paraId="0873ADDA">
            <w:pPr>
              <w:tabs>
                <w:tab w:val="left" w:pos="1080"/>
              </w:tabs>
              <w:snapToGrid w:val="0"/>
              <w:rPr>
                <w:rFonts w:eastAsiaTheme="minorEastAsia"/>
                <w:sz w:val="24"/>
              </w:rPr>
            </w:pPr>
            <w:r>
              <w:rPr>
                <w:sz w:val="24"/>
              </w:rPr>
              <w:t>法律、行政法规规定的其他条件</w:t>
            </w:r>
          </w:p>
        </w:tc>
        <w:tc>
          <w:tcPr>
            <w:tcW w:w="2579" w:type="pct"/>
            <w:vAlign w:val="center"/>
          </w:tcPr>
          <w:p w14:paraId="06F28C52">
            <w:pPr>
              <w:tabs>
                <w:tab w:val="left" w:pos="1080"/>
              </w:tabs>
              <w:snapToGrid w:val="0"/>
              <w:rPr>
                <w:rFonts w:eastAsiaTheme="minorEastAsia"/>
                <w:sz w:val="24"/>
              </w:rPr>
            </w:pPr>
            <w:r>
              <w:rPr>
                <w:sz w:val="24"/>
              </w:rPr>
              <w:t>法律、行政法规规定的其他条件</w:t>
            </w:r>
          </w:p>
        </w:tc>
        <w:tc>
          <w:tcPr>
            <w:tcW w:w="1028" w:type="pct"/>
            <w:vAlign w:val="center"/>
          </w:tcPr>
          <w:p w14:paraId="77463C13">
            <w:pPr>
              <w:tabs>
                <w:tab w:val="left" w:pos="1080"/>
              </w:tabs>
              <w:snapToGrid w:val="0"/>
              <w:jc w:val="center"/>
              <w:rPr>
                <w:rFonts w:eastAsiaTheme="minorEastAsia"/>
                <w:sz w:val="24"/>
              </w:rPr>
            </w:pPr>
            <w:r>
              <w:rPr>
                <w:sz w:val="24"/>
              </w:rPr>
              <w:t>/</w:t>
            </w:r>
          </w:p>
        </w:tc>
      </w:tr>
      <w:tr w14:paraId="492C6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E7E680">
            <w:pPr>
              <w:tabs>
                <w:tab w:val="left" w:pos="1080"/>
              </w:tabs>
              <w:snapToGrid w:val="0"/>
              <w:jc w:val="center"/>
              <w:rPr>
                <w:rFonts w:eastAsiaTheme="minorEastAsia"/>
                <w:sz w:val="24"/>
              </w:rPr>
            </w:pPr>
            <w:r>
              <w:rPr>
                <w:rFonts w:eastAsiaTheme="minorEastAsia"/>
                <w:sz w:val="24"/>
              </w:rPr>
              <w:t>2</w:t>
            </w:r>
          </w:p>
        </w:tc>
        <w:tc>
          <w:tcPr>
            <w:tcW w:w="938" w:type="pct"/>
            <w:vAlign w:val="center"/>
          </w:tcPr>
          <w:p w14:paraId="5CAC5DBF">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35B16F09">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08C68271">
            <w:pPr>
              <w:tabs>
                <w:tab w:val="left" w:pos="1080"/>
              </w:tabs>
              <w:snapToGrid w:val="0"/>
              <w:jc w:val="left"/>
              <w:rPr>
                <w:rFonts w:eastAsiaTheme="minorEastAsia"/>
                <w:sz w:val="24"/>
              </w:rPr>
            </w:pPr>
          </w:p>
        </w:tc>
      </w:tr>
      <w:tr w14:paraId="2DAA0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CBCFAE8">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728F6A2F">
            <w:pPr>
              <w:tabs>
                <w:tab w:val="left" w:pos="1080"/>
              </w:tabs>
              <w:snapToGrid w:val="0"/>
              <w:jc w:val="left"/>
              <w:rPr>
                <w:rFonts w:eastAsiaTheme="minorEastAsia"/>
                <w:sz w:val="24"/>
              </w:rPr>
            </w:pPr>
            <w:r>
              <w:rPr>
                <w:rFonts w:eastAsiaTheme="minorEastAsia"/>
                <w:sz w:val="24"/>
              </w:rPr>
              <w:t>中小企业政策</w:t>
            </w:r>
          </w:p>
        </w:tc>
        <w:tc>
          <w:tcPr>
            <w:tcW w:w="2579" w:type="pct"/>
            <w:vAlign w:val="center"/>
          </w:tcPr>
          <w:p w14:paraId="4CD4A06F">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700D703C">
            <w:pPr>
              <w:tabs>
                <w:tab w:val="left" w:pos="1080"/>
              </w:tabs>
              <w:snapToGrid w:val="0"/>
              <w:jc w:val="left"/>
              <w:rPr>
                <w:rFonts w:eastAsiaTheme="minorEastAsia"/>
                <w:sz w:val="24"/>
              </w:rPr>
            </w:pPr>
          </w:p>
        </w:tc>
      </w:tr>
      <w:tr w14:paraId="51A10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F3BAAB">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29D603BC">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0DDC7CE1">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E0FAE2B">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42EA8726">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1FA0ACF5">
            <w:pPr>
              <w:tabs>
                <w:tab w:val="left" w:pos="1080"/>
              </w:tabs>
              <w:snapToGrid w:val="0"/>
              <w:jc w:val="left"/>
              <w:rPr>
                <w:rFonts w:eastAsiaTheme="minorEastAsia"/>
                <w:sz w:val="24"/>
              </w:rPr>
            </w:pPr>
            <w:r>
              <w:rPr>
                <w:rFonts w:eastAsiaTheme="minorEastAsia"/>
                <w:sz w:val="24"/>
              </w:rPr>
              <w:t>格式见《响应文件格式》</w:t>
            </w:r>
          </w:p>
        </w:tc>
      </w:tr>
      <w:tr w14:paraId="6F132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B3D801D">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29FE5D59">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5DA333F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47E958D4">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4E20BC9B">
            <w:pPr>
              <w:tabs>
                <w:tab w:val="left" w:pos="1080"/>
              </w:tabs>
              <w:snapToGrid w:val="0"/>
              <w:jc w:val="left"/>
              <w:rPr>
                <w:rFonts w:eastAsiaTheme="minorEastAsia"/>
                <w:sz w:val="24"/>
              </w:rPr>
            </w:pPr>
            <w:r>
              <w:rPr>
                <w:rFonts w:eastAsiaTheme="minorEastAsia"/>
                <w:sz w:val="24"/>
              </w:rPr>
              <w:t>格式见《响应文件格式》</w:t>
            </w:r>
          </w:p>
        </w:tc>
      </w:tr>
      <w:tr w14:paraId="1A483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6AEDFC">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36FE7E0F">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0EDB4841">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4B8AB410">
            <w:pPr>
              <w:tabs>
                <w:tab w:val="left" w:pos="1080"/>
              </w:tabs>
              <w:snapToGrid w:val="0"/>
              <w:jc w:val="left"/>
              <w:rPr>
                <w:rFonts w:eastAsiaTheme="minorEastAsia"/>
                <w:sz w:val="24"/>
              </w:rPr>
            </w:pPr>
            <w:r>
              <w:rPr>
                <w:rFonts w:eastAsiaTheme="minorEastAsia"/>
                <w:sz w:val="24"/>
              </w:rPr>
              <w:t>提供证明文件的电子件或电子证照</w:t>
            </w:r>
          </w:p>
        </w:tc>
      </w:tr>
      <w:tr w14:paraId="4F8F6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F4D1A4">
            <w:pPr>
              <w:tabs>
                <w:tab w:val="left" w:pos="1080"/>
              </w:tabs>
              <w:snapToGrid w:val="0"/>
              <w:jc w:val="center"/>
              <w:rPr>
                <w:rFonts w:eastAsiaTheme="minorEastAsia"/>
                <w:sz w:val="24"/>
              </w:rPr>
            </w:pPr>
            <w:r>
              <w:rPr>
                <w:rFonts w:eastAsiaTheme="minorEastAsia"/>
                <w:sz w:val="24"/>
              </w:rPr>
              <w:t>3</w:t>
            </w:r>
          </w:p>
        </w:tc>
        <w:tc>
          <w:tcPr>
            <w:tcW w:w="938" w:type="pct"/>
            <w:vAlign w:val="center"/>
          </w:tcPr>
          <w:p w14:paraId="4CE87928">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16B3CA05">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479314C5">
            <w:pPr>
              <w:tabs>
                <w:tab w:val="left" w:pos="1080"/>
              </w:tabs>
              <w:snapToGrid w:val="0"/>
              <w:jc w:val="left"/>
              <w:rPr>
                <w:rFonts w:eastAsiaTheme="minorEastAsia"/>
                <w:sz w:val="24"/>
              </w:rPr>
            </w:pPr>
          </w:p>
        </w:tc>
      </w:tr>
      <w:tr w14:paraId="69F3B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07AF4B3">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225C17EE">
            <w:pPr>
              <w:tabs>
                <w:tab w:val="left" w:pos="1080"/>
              </w:tabs>
              <w:snapToGrid w:val="0"/>
              <w:rPr>
                <w:rFonts w:eastAsiaTheme="minorEastAsia"/>
                <w:sz w:val="24"/>
              </w:rPr>
            </w:pPr>
            <w:r>
              <w:rPr>
                <w:sz w:val="24"/>
              </w:rPr>
              <w:t>本项目对于联合体的要求</w:t>
            </w:r>
          </w:p>
        </w:tc>
        <w:tc>
          <w:tcPr>
            <w:tcW w:w="2579" w:type="pct"/>
            <w:vAlign w:val="center"/>
          </w:tcPr>
          <w:p w14:paraId="263C6CA7">
            <w:pPr>
              <w:tabs>
                <w:tab w:val="left" w:pos="1080"/>
              </w:tabs>
              <w:snapToGrid w:val="0"/>
              <w:rPr>
                <w:rFonts w:hint="eastAsia" w:eastAsiaTheme="minorEastAsia"/>
                <w:sz w:val="24"/>
              </w:rPr>
            </w:pPr>
            <w:r>
              <w:rPr>
                <w:rFonts w:hint="eastAsia"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5B89D418">
            <w:pPr>
              <w:tabs>
                <w:tab w:val="left" w:pos="1080"/>
              </w:tabs>
              <w:snapToGrid w:val="0"/>
              <w:rPr>
                <w:rFonts w:hint="eastAsia" w:eastAsiaTheme="minorEastAsia"/>
                <w:sz w:val="24"/>
              </w:rPr>
            </w:pPr>
            <w:r>
              <w:rPr>
                <w:rFonts w:hint="eastAsia" w:eastAsiaTheme="minorEastAsia"/>
                <w:sz w:val="24"/>
              </w:rPr>
              <w:t>2、联合体各成员单位均须提供本表中序号1-1、1-2 的证明文件。联合体各成员单位均应满足本表 3-2 项规定。</w:t>
            </w:r>
          </w:p>
          <w:p w14:paraId="492EC9F4">
            <w:pPr>
              <w:tabs>
                <w:tab w:val="left" w:pos="1080"/>
              </w:tabs>
              <w:snapToGrid w:val="0"/>
              <w:rPr>
                <w:rFonts w:hint="eastAsia" w:eastAsiaTheme="minorEastAsia"/>
                <w:sz w:val="24"/>
              </w:rPr>
            </w:pPr>
            <w:r>
              <w:rPr>
                <w:rFonts w:hint="eastAsia" w:eastAsiaTheme="minorEastAsia"/>
                <w:sz w:val="24"/>
              </w:rPr>
              <w:t>3、本表序号 3-3 项规定的其他特定资格要求中的每一小项要求，联合体各方中至少应当有一方符合本表中其他资格要求并提供证明文件。</w:t>
            </w:r>
          </w:p>
          <w:p w14:paraId="4D79A4CB">
            <w:pPr>
              <w:tabs>
                <w:tab w:val="left" w:pos="1080"/>
              </w:tabs>
              <w:snapToGrid w:val="0"/>
              <w:rPr>
                <w:rFonts w:hint="eastAsia" w:eastAsiaTheme="minorEastAsia"/>
                <w:sz w:val="24"/>
              </w:rPr>
            </w:pPr>
            <w:r>
              <w:rPr>
                <w:rFonts w:hint="eastAsia" w:eastAsiaTheme="minorEastAsia"/>
                <w:sz w:val="24"/>
              </w:rPr>
              <w:t>4、联合体中有同类资质的供应商按照联合体分工承担相同工作的，应当按照资质等级较低的供应商确定资质等级。</w:t>
            </w:r>
          </w:p>
          <w:p w14:paraId="48409749">
            <w:pPr>
              <w:tabs>
                <w:tab w:val="left" w:pos="1080"/>
              </w:tabs>
              <w:snapToGrid w:val="0"/>
              <w:rPr>
                <w:rFonts w:hint="eastAsia" w:eastAsiaTheme="minorEastAsia"/>
                <w:sz w:val="24"/>
              </w:rPr>
            </w:pPr>
            <w:r>
              <w:rPr>
                <w:rFonts w:hint="eastAsia" w:eastAsiaTheme="minorEastAsia"/>
                <w:sz w:val="24"/>
              </w:rPr>
              <w:t>5、以联合体形式参加政府采购活动的，联合体各方不得再单独参加或者与其他供应商另外组成联合体参加同一合同项下的政府采购活动。</w:t>
            </w:r>
          </w:p>
          <w:p w14:paraId="096AB37D">
            <w:pPr>
              <w:tabs>
                <w:tab w:val="left" w:pos="1080"/>
              </w:tabs>
              <w:snapToGrid w:val="0"/>
              <w:rPr>
                <w:rFonts w:hint="eastAsia" w:eastAsiaTheme="minorEastAsia"/>
                <w:sz w:val="24"/>
              </w:rPr>
            </w:pPr>
            <w:r>
              <w:rPr>
                <w:rFonts w:hint="eastAsia" w:eastAsiaTheme="minorEastAsia"/>
                <w:sz w:val="24"/>
              </w:rPr>
              <w:t>6、若联合体中任一成员单位中途退出，则该联合体的响应无效。</w:t>
            </w:r>
          </w:p>
          <w:p w14:paraId="34CA1127">
            <w:pPr>
              <w:tabs>
                <w:tab w:val="left" w:pos="1080"/>
              </w:tabs>
              <w:snapToGrid w:val="0"/>
              <w:rPr>
                <w:rFonts w:eastAsiaTheme="minorEastAsia"/>
                <w:sz w:val="24"/>
              </w:rPr>
            </w:pPr>
            <w:r>
              <w:rPr>
                <w:rFonts w:hint="eastAsia" w:eastAsiaTheme="minorEastAsia"/>
                <w:sz w:val="24"/>
              </w:rPr>
              <w:t>7、本项目不接受联合体响应时，供应商不得为联合体。</w:t>
            </w:r>
          </w:p>
        </w:tc>
        <w:tc>
          <w:tcPr>
            <w:tcW w:w="1028" w:type="pct"/>
            <w:vAlign w:val="center"/>
          </w:tcPr>
          <w:p w14:paraId="279A4100">
            <w:pPr>
              <w:tabs>
                <w:tab w:val="left" w:pos="1080"/>
              </w:tabs>
              <w:snapToGrid w:val="0"/>
              <w:rPr>
                <w:rFonts w:eastAsiaTheme="minorEastAsia"/>
                <w:sz w:val="24"/>
              </w:rPr>
            </w:pPr>
            <w:r>
              <w:rPr>
                <w:rFonts w:eastAsiaTheme="minorEastAsia"/>
                <w:sz w:val="24"/>
              </w:rPr>
              <w:t>提供《联合协议》原件的电子件</w:t>
            </w:r>
          </w:p>
          <w:p w14:paraId="6B53415E">
            <w:pPr>
              <w:tabs>
                <w:tab w:val="left" w:pos="1080"/>
              </w:tabs>
              <w:snapToGrid w:val="0"/>
              <w:rPr>
                <w:rFonts w:eastAsiaTheme="minorEastAsia"/>
                <w:sz w:val="24"/>
              </w:rPr>
            </w:pPr>
            <w:r>
              <w:rPr>
                <w:rFonts w:eastAsiaTheme="minorEastAsia"/>
                <w:sz w:val="24"/>
              </w:rPr>
              <w:t>格式见《响应文件格式》</w:t>
            </w:r>
          </w:p>
        </w:tc>
      </w:tr>
      <w:tr w14:paraId="7EABE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B9524A">
            <w:pPr>
              <w:tabs>
                <w:tab w:val="left" w:pos="1080"/>
              </w:tabs>
              <w:snapToGrid w:val="0"/>
              <w:jc w:val="center"/>
              <w:rPr>
                <w:rFonts w:eastAsiaTheme="minorEastAsia"/>
                <w:sz w:val="24"/>
              </w:rPr>
            </w:pPr>
            <w:r>
              <w:rPr>
                <w:sz w:val="24"/>
              </w:rPr>
              <w:t>3-2</w:t>
            </w:r>
          </w:p>
        </w:tc>
        <w:tc>
          <w:tcPr>
            <w:tcW w:w="938" w:type="pct"/>
            <w:vAlign w:val="center"/>
          </w:tcPr>
          <w:p w14:paraId="2AA8E4FB">
            <w:pPr>
              <w:tabs>
                <w:tab w:val="left" w:pos="1080"/>
              </w:tabs>
              <w:snapToGrid w:val="0"/>
              <w:rPr>
                <w:sz w:val="24"/>
              </w:rPr>
            </w:pPr>
            <w:r>
              <w:rPr>
                <w:sz w:val="24"/>
              </w:rPr>
              <w:t>政府购买服务承接主体的要求</w:t>
            </w:r>
          </w:p>
        </w:tc>
        <w:tc>
          <w:tcPr>
            <w:tcW w:w="2579" w:type="pct"/>
            <w:vAlign w:val="center"/>
          </w:tcPr>
          <w:p w14:paraId="1D7BABA5">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40D8B22D">
            <w:pPr>
              <w:tabs>
                <w:tab w:val="left" w:pos="1080"/>
              </w:tabs>
              <w:snapToGrid w:val="0"/>
              <w:rPr>
                <w:rFonts w:eastAsiaTheme="minorEastAsia"/>
                <w:sz w:val="24"/>
              </w:rPr>
            </w:pPr>
            <w:r>
              <w:rPr>
                <w:sz w:val="24"/>
              </w:rPr>
              <w:t>格式见《响应文件格式》</w:t>
            </w:r>
          </w:p>
        </w:tc>
      </w:tr>
      <w:tr w14:paraId="5BA1C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455" w:type="pct"/>
            <w:vAlign w:val="center"/>
          </w:tcPr>
          <w:p w14:paraId="569A3797">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23EE5584">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367B098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160016D2">
            <w:pPr>
              <w:tabs>
                <w:tab w:val="left" w:pos="1080"/>
              </w:tabs>
              <w:snapToGrid w:val="0"/>
              <w:rPr>
                <w:rFonts w:eastAsiaTheme="minorEastAsia"/>
                <w:sz w:val="24"/>
              </w:rPr>
            </w:pPr>
            <w:r>
              <w:rPr>
                <w:rFonts w:eastAsiaTheme="minorEastAsia"/>
                <w:sz w:val="24"/>
              </w:rPr>
              <w:t>提供证明文件的电子件或电子证照</w:t>
            </w:r>
          </w:p>
        </w:tc>
      </w:tr>
      <w:tr w14:paraId="670A4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AF29EA">
            <w:pPr>
              <w:tabs>
                <w:tab w:val="left" w:pos="1080"/>
              </w:tabs>
              <w:snapToGrid w:val="0"/>
              <w:jc w:val="center"/>
              <w:rPr>
                <w:rFonts w:eastAsiaTheme="minorEastAsia"/>
                <w:sz w:val="24"/>
              </w:rPr>
            </w:pPr>
            <w:r>
              <w:rPr>
                <w:rFonts w:eastAsiaTheme="minorEastAsia"/>
                <w:sz w:val="24"/>
              </w:rPr>
              <w:t>4</w:t>
            </w:r>
          </w:p>
        </w:tc>
        <w:tc>
          <w:tcPr>
            <w:tcW w:w="938" w:type="pct"/>
            <w:vAlign w:val="center"/>
          </w:tcPr>
          <w:p w14:paraId="5DAEA825">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322A8F68">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7F61E903">
            <w:pPr>
              <w:tabs>
                <w:tab w:val="left" w:pos="1080"/>
              </w:tabs>
              <w:snapToGrid w:val="0"/>
              <w:rPr>
                <w:rFonts w:eastAsiaTheme="minorEastAsia"/>
                <w:sz w:val="24"/>
              </w:rPr>
            </w:pPr>
          </w:p>
        </w:tc>
      </w:tr>
    </w:tbl>
    <w:p w14:paraId="3AC1940C">
      <w:pPr>
        <w:widowControl/>
        <w:jc w:val="left"/>
        <w:rPr>
          <w:rFonts w:eastAsiaTheme="minorEastAsia"/>
          <w:sz w:val="24"/>
        </w:rPr>
      </w:pPr>
    </w:p>
    <w:p w14:paraId="36C664CE">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4E434309">
      <w:pPr>
        <w:widowControl/>
        <w:spacing w:line="360" w:lineRule="auto"/>
        <w:jc w:val="center"/>
        <w:rPr>
          <w:rFonts w:hint="eastAsia" w:ascii="宋体" w:hAnsi="宋体" w:cs="宋体"/>
          <w:sz w:val="24"/>
        </w:rPr>
      </w:pPr>
      <w:r>
        <w:rPr>
          <w:rFonts w:eastAsiaTheme="minorEastAsia"/>
          <w:b/>
          <w:color w:val="000000"/>
          <w:kern w:val="0"/>
          <w:sz w:val="24"/>
        </w:rPr>
        <w:t>符合性审查要求</w:t>
      </w:r>
    </w:p>
    <w:tbl>
      <w:tblPr>
        <w:tblStyle w:val="43"/>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1689"/>
        <w:gridCol w:w="4693"/>
        <w:gridCol w:w="1843"/>
      </w:tblGrid>
      <w:tr w14:paraId="3D946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23" w:type="pct"/>
            <w:noWrap w:val="0"/>
            <w:vAlign w:val="center"/>
          </w:tcPr>
          <w:p w14:paraId="7549034E">
            <w:pPr>
              <w:widowControl/>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939" w:type="pct"/>
            <w:noWrap w:val="0"/>
            <w:vAlign w:val="center"/>
          </w:tcPr>
          <w:p w14:paraId="63B36F5E">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因素</w:t>
            </w:r>
          </w:p>
        </w:tc>
        <w:tc>
          <w:tcPr>
            <w:tcW w:w="2610" w:type="pct"/>
            <w:noWrap w:val="0"/>
            <w:vAlign w:val="center"/>
          </w:tcPr>
          <w:p w14:paraId="73767446">
            <w:pPr>
              <w:widowControl/>
              <w:jc w:val="center"/>
              <w:rPr>
                <w:rFonts w:hint="eastAsia" w:ascii="宋体" w:hAnsi="宋体" w:cs="宋体"/>
                <w:b/>
                <w:color w:val="000000"/>
                <w:kern w:val="0"/>
                <w:sz w:val="24"/>
              </w:rPr>
            </w:pPr>
            <w:r>
              <w:rPr>
                <w:rFonts w:hint="eastAsia" w:ascii="宋体" w:hAnsi="宋体" w:cs="宋体"/>
                <w:b/>
                <w:sz w:val="24"/>
              </w:rPr>
              <w:t>检查</w:t>
            </w:r>
            <w:r>
              <w:rPr>
                <w:rFonts w:hint="eastAsia" w:ascii="宋体" w:hAnsi="宋体" w:cs="宋体"/>
                <w:b/>
                <w:color w:val="000000"/>
                <w:kern w:val="0"/>
                <w:sz w:val="24"/>
              </w:rPr>
              <w:t>内容</w:t>
            </w:r>
          </w:p>
        </w:tc>
        <w:tc>
          <w:tcPr>
            <w:tcW w:w="1025" w:type="pct"/>
            <w:noWrap w:val="0"/>
            <w:vAlign w:val="center"/>
          </w:tcPr>
          <w:p w14:paraId="4C2318A0">
            <w:pPr>
              <w:widowControl/>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14:paraId="23F2F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72E52901">
            <w:pPr>
              <w:widowControl/>
              <w:jc w:val="center"/>
              <w:rPr>
                <w:rFonts w:hint="eastAsia" w:ascii="宋体" w:hAnsi="宋体" w:cs="宋体"/>
                <w:color w:val="000000"/>
                <w:kern w:val="0"/>
                <w:sz w:val="24"/>
              </w:rPr>
            </w:pPr>
            <w:r>
              <w:rPr>
                <w:rFonts w:hint="eastAsia" w:ascii="宋体" w:hAnsi="宋体" w:cs="宋体"/>
                <w:color w:val="000000"/>
                <w:kern w:val="0"/>
                <w:sz w:val="24"/>
              </w:rPr>
              <w:t>1</w:t>
            </w:r>
          </w:p>
        </w:tc>
        <w:tc>
          <w:tcPr>
            <w:tcW w:w="939" w:type="pct"/>
            <w:noWrap w:val="0"/>
            <w:vAlign w:val="center"/>
          </w:tcPr>
          <w:p w14:paraId="3A2CDBBC">
            <w:pPr>
              <w:widowControl/>
              <w:jc w:val="left"/>
              <w:rPr>
                <w:rFonts w:hint="eastAsia" w:ascii="宋体" w:hAnsi="宋体" w:cs="宋体"/>
                <w:color w:val="000000"/>
                <w:kern w:val="0"/>
                <w:sz w:val="24"/>
              </w:rPr>
            </w:pPr>
            <w:r>
              <w:rPr>
                <w:rFonts w:hint="eastAsia" w:ascii="宋体" w:hAnsi="宋体" w:cs="宋体"/>
                <w:color w:val="000000"/>
                <w:kern w:val="0"/>
                <w:sz w:val="24"/>
              </w:rPr>
              <w:t>授权委托书</w:t>
            </w:r>
          </w:p>
        </w:tc>
        <w:tc>
          <w:tcPr>
            <w:tcW w:w="2610" w:type="pct"/>
            <w:noWrap w:val="0"/>
            <w:vAlign w:val="center"/>
          </w:tcPr>
          <w:p w14:paraId="5CDA440E">
            <w:pPr>
              <w:widowControl/>
              <w:jc w:val="left"/>
              <w:rPr>
                <w:rFonts w:hint="eastAsia" w:ascii="宋体" w:hAnsi="宋体" w:cs="宋体"/>
                <w:color w:val="000000"/>
                <w:kern w:val="0"/>
                <w:sz w:val="24"/>
              </w:rPr>
            </w:pPr>
            <w:r>
              <w:rPr>
                <w:rFonts w:hint="eastAsia" w:ascii="宋体" w:hAnsi="宋体" w:cs="宋体"/>
                <w:color w:val="000000"/>
                <w:kern w:val="0"/>
                <w:sz w:val="24"/>
              </w:rPr>
              <w:t>按竞争性磋商文件要求提供授权委托书；</w:t>
            </w:r>
          </w:p>
        </w:tc>
        <w:tc>
          <w:tcPr>
            <w:tcW w:w="1025" w:type="pct"/>
            <w:noWrap w:val="0"/>
            <w:vAlign w:val="center"/>
          </w:tcPr>
          <w:p w14:paraId="00589495">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921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17D57F4F">
            <w:pPr>
              <w:widowControl/>
              <w:jc w:val="center"/>
              <w:rPr>
                <w:rFonts w:hint="eastAsia" w:ascii="宋体" w:hAnsi="宋体" w:cs="宋体"/>
                <w:color w:val="000000"/>
                <w:kern w:val="0"/>
                <w:sz w:val="24"/>
              </w:rPr>
            </w:pPr>
            <w:r>
              <w:rPr>
                <w:rFonts w:hint="eastAsia" w:ascii="宋体" w:hAnsi="宋体" w:cs="宋体"/>
                <w:color w:val="000000"/>
                <w:kern w:val="0"/>
                <w:sz w:val="24"/>
              </w:rPr>
              <w:t>2</w:t>
            </w:r>
          </w:p>
        </w:tc>
        <w:tc>
          <w:tcPr>
            <w:tcW w:w="939" w:type="pct"/>
            <w:noWrap w:val="0"/>
            <w:vAlign w:val="center"/>
          </w:tcPr>
          <w:p w14:paraId="310E5C05">
            <w:pPr>
              <w:widowControl/>
              <w:jc w:val="left"/>
              <w:rPr>
                <w:rFonts w:hint="eastAsia" w:ascii="宋体" w:hAnsi="宋体" w:cs="宋体"/>
                <w:color w:val="000000"/>
                <w:kern w:val="0"/>
                <w:sz w:val="24"/>
              </w:rPr>
            </w:pPr>
            <w:r>
              <w:rPr>
                <w:rFonts w:hint="eastAsia" w:ascii="宋体" w:hAnsi="宋体" w:cs="宋体"/>
                <w:color w:val="000000"/>
                <w:kern w:val="0"/>
                <w:sz w:val="24"/>
              </w:rPr>
              <w:t>响应完整性</w:t>
            </w:r>
          </w:p>
        </w:tc>
        <w:tc>
          <w:tcPr>
            <w:tcW w:w="2610" w:type="pct"/>
            <w:noWrap w:val="0"/>
            <w:vAlign w:val="center"/>
          </w:tcPr>
          <w:p w14:paraId="3E784B5C">
            <w:pPr>
              <w:widowControl/>
              <w:jc w:val="left"/>
              <w:rPr>
                <w:rFonts w:hint="eastAsia" w:ascii="宋体" w:hAnsi="宋体" w:cs="宋体"/>
                <w:color w:val="000000"/>
                <w:kern w:val="0"/>
                <w:sz w:val="24"/>
              </w:rPr>
            </w:pPr>
            <w:r>
              <w:rPr>
                <w:rFonts w:hint="eastAsia" w:ascii="宋体" w:hAnsi="宋体" w:cs="宋体"/>
                <w:sz w:val="24"/>
              </w:rPr>
              <w:t>未将一个采购包中的内容拆开</w:t>
            </w:r>
            <w:r>
              <w:rPr>
                <w:rFonts w:hint="eastAsia" w:ascii="宋体" w:hAnsi="宋体" w:cs="宋体"/>
                <w:color w:val="000000"/>
                <w:kern w:val="0"/>
                <w:sz w:val="24"/>
              </w:rPr>
              <w:t>响应</w:t>
            </w:r>
            <w:r>
              <w:rPr>
                <w:rFonts w:hint="eastAsia" w:ascii="宋体" w:hAnsi="宋体" w:cs="宋体"/>
                <w:sz w:val="24"/>
              </w:rPr>
              <w:t>；</w:t>
            </w:r>
          </w:p>
        </w:tc>
        <w:tc>
          <w:tcPr>
            <w:tcW w:w="1025" w:type="pct"/>
            <w:noWrap w:val="0"/>
            <w:vAlign w:val="center"/>
          </w:tcPr>
          <w:p w14:paraId="7203E6BC">
            <w:pPr>
              <w:widowControl/>
              <w:jc w:val="center"/>
              <w:rPr>
                <w:rFonts w:hint="eastAsia" w:ascii="宋体" w:hAnsi="宋体" w:cs="宋体"/>
                <w:sz w:val="24"/>
              </w:rPr>
            </w:pPr>
            <w:r>
              <w:rPr>
                <w:rFonts w:hint="eastAsia" w:ascii="宋体" w:hAnsi="宋体" w:cs="宋体"/>
                <w:color w:val="000000"/>
                <w:kern w:val="0"/>
                <w:sz w:val="24"/>
              </w:rPr>
              <w:t>不允许</w:t>
            </w:r>
          </w:p>
        </w:tc>
      </w:tr>
      <w:tr w14:paraId="2A15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1412CF97">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939" w:type="pct"/>
            <w:noWrap w:val="0"/>
            <w:vAlign w:val="center"/>
          </w:tcPr>
          <w:p w14:paraId="2BC3004A">
            <w:pPr>
              <w:widowControl/>
              <w:jc w:val="left"/>
              <w:rPr>
                <w:rFonts w:hint="eastAsia" w:ascii="宋体" w:hAnsi="宋体" w:cs="宋体"/>
                <w:color w:val="000000"/>
                <w:kern w:val="0"/>
                <w:sz w:val="24"/>
              </w:rPr>
            </w:pPr>
            <w:r>
              <w:rPr>
                <w:rFonts w:hint="eastAsia" w:ascii="宋体" w:hAnsi="宋体" w:cs="宋体"/>
                <w:color w:val="000000"/>
                <w:kern w:val="0"/>
                <w:sz w:val="24"/>
              </w:rPr>
              <w:t>响应报价</w:t>
            </w:r>
          </w:p>
        </w:tc>
        <w:tc>
          <w:tcPr>
            <w:tcW w:w="2610" w:type="pct"/>
            <w:noWrap w:val="0"/>
            <w:vAlign w:val="center"/>
          </w:tcPr>
          <w:p w14:paraId="5568F7ED">
            <w:pPr>
              <w:widowControl/>
              <w:jc w:val="left"/>
              <w:rPr>
                <w:rFonts w:hint="eastAsia" w:ascii="宋体" w:hAnsi="宋体" w:cs="宋体"/>
                <w:color w:val="000000"/>
                <w:kern w:val="0"/>
                <w:sz w:val="24"/>
              </w:rPr>
            </w:pPr>
            <w:r>
              <w:rPr>
                <w:rFonts w:hint="eastAsia" w:ascii="宋体" w:hAnsi="宋体" w:cs="宋体"/>
                <w:color w:val="000000"/>
                <w:kern w:val="0"/>
                <w:sz w:val="24"/>
              </w:rPr>
              <w:t>响应报价未</w:t>
            </w:r>
            <w:r>
              <w:rPr>
                <w:rFonts w:hint="eastAsia" w:ascii="宋体" w:hAnsi="宋体" w:cs="宋体"/>
                <w:color w:val="000000"/>
                <w:sz w:val="24"/>
              </w:rPr>
              <w:t>超过竞争性磋商文件中规定的项目预算金额或者项目最高限价</w:t>
            </w:r>
            <w:r>
              <w:rPr>
                <w:rFonts w:hint="eastAsia" w:ascii="宋体" w:hAnsi="宋体" w:cs="宋体"/>
                <w:color w:val="000000"/>
                <w:kern w:val="0"/>
                <w:sz w:val="24"/>
              </w:rPr>
              <w:t>；</w:t>
            </w:r>
          </w:p>
        </w:tc>
        <w:tc>
          <w:tcPr>
            <w:tcW w:w="1025" w:type="pct"/>
            <w:noWrap w:val="0"/>
            <w:vAlign w:val="center"/>
          </w:tcPr>
          <w:p w14:paraId="5F167AA2">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3FFF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74A19F4">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939" w:type="pct"/>
            <w:noWrap w:val="0"/>
            <w:vAlign w:val="center"/>
          </w:tcPr>
          <w:p w14:paraId="7098BE29">
            <w:pPr>
              <w:widowControl/>
              <w:jc w:val="left"/>
              <w:rPr>
                <w:rFonts w:hint="eastAsia" w:ascii="宋体" w:hAnsi="宋体" w:cs="宋体"/>
                <w:color w:val="000000"/>
                <w:kern w:val="0"/>
                <w:sz w:val="24"/>
              </w:rPr>
            </w:pPr>
            <w:r>
              <w:rPr>
                <w:rFonts w:hint="eastAsia" w:ascii="宋体" w:hAnsi="宋体" w:cs="宋体"/>
                <w:color w:val="000000"/>
                <w:kern w:val="0"/>
                <w:sz w:val="24"/>
              </w:rPr>
              <w:t>报价唯一性</w:t>
            </w:r>
          </w:p>
        </w:tc>
        <w:tc>
          <w:tcPr>
            <w:tcW w:w="2610" w:type="pct"/>
            <w:noWrap w:val="0"/>
            <w:vAlign w:val="center"/>
          </w:tcPr>
          <w:p w14:paraId="4A566368">
            <w:pPr>
              <w:widowControl/>
              <w:jc w:val="left"/>
              <w:rPr>
                <w:rFonts w:hint="eastAsia" w:ascii="宋体" w:hAnsi="宋体" w:cs="宋体"/>
                <w:color w:val="000000"/>
                <w:kern w:val="0"/>
                <w:sz w:val="24"/>
              </w:rPr>
            </w:pPr>
            <w:r>
              <w:rPr>
                <w:rFonts w:hint="eastAsia" w:ascii="宋体" w:hAnsi="宋体" w:cs="宋体"/>
                <w:color w:val="000000"/>
                <w:kern w:val="0"/>
                <w:sz w:val="24"/>
              </w:rPr>
              <w:t>响应文件未</w:t>
            </w:r>
            <w:r>
              <w:rPr>
                <w:rFonts w:hint="eastAsia" w:ascii="宋体" w:hAnsi="宋体" w:cs="宋体"/>
                <w:sz w:val="24"/>
              </w:rPr>
              <w:t>出现可选择性或可调整的报价（竞争性磋商文件另有规定的除外）</w:t>
            </w:r>
            <w:r>
              <w:rPr>
                <w:rFonts w:hint="eastAsia" w:ascii="宋体" w:hAnsi="宋体" w:cs="宋体"/>
                <w:color w:val="000000"/>
                <w:kern w:val="0"/>
                <w:sz w:val="24"/>
              </w:rPr>
              <w:t>；</w:t>
            </w:r>
          </w:p>
        </w:tc>
        <w:tc>
          <w:tcPr>
            <w:tcW w:w="1025" w:type="pct"/>
            <w:noWrap w:val="0"/>
            <w:vAlign w:val="center"/>
          </w:tcPr>
          <w:p w14:paraId="782BFFFE">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E69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110B7530">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939" w:type="pct"/>
            <w:noWrap w:val="0"/>
            <w:vAlign w:val="center"/>
          </w:tcPr>
          <w:p w14:paraId="4F88F1A2">
            <w:pPr>
              <w:widowControl/>
              <w:jc w:val="left"/>
              <w:rPr>
                <w:rFonts w:hint="eastAsia" w:ascii="宋体" w:hAnsi="宋体" w:cs="宋体"/>
                <w:color w:val="000000"/>
                <w:kern w:val="0"/>
                <w:sz w:val="24"/>
              </w:rPr>
            </w:pPr>
            <w:r>
              <w:rPr>
                <w:rFonts w:hint="eastAsia" w:ascii="宋体" w:hAnsi="宋体" w:cs="宋体"/>
                <w:color w:val="000000"/>
                <w:kern w:val="0"/>
                <w:sz w:val="24"/>
              </w:rPr>
              <w:t>响应有效期</w:t>
            </w:r>
          </w:p>
        </w:tc>
        <w:tc>
          <w:tcPr>
            <w:tcW w:w="2610" w:type="pct"/>
            <w:noWrap w:val="0"/>
            <w:vAlign w:val="center"/>
          </w:tcPr>
          <w:p w14:paraId="39E2CC5F">
            <w:pPr>
              <w:widowControl/>
              <w:jc w:val="left"/>
              <w:rPr>
                <w:rFonts w:hint="eastAsia" w:ascii="宋体" w:hAnsi="宋体" w:cs="宋体"/>
                <w:color w:val="000000"/>
                <w:kern w:val="0"/>
                <w:sz w:val="24"/>
              </w:rPr>
            </w:pPr>
            <w:r>
              <w:rPr>
                <w:rFonts w:hint="eastAsia" w:ascii="宋体" w:hAnsi="宋体" w:cs="宋体"/>
                <w:color w:val="000000"/>
                <w:kern w:val="0"/>
                <w:sz w:val="24"/>
              </w:rPr>
              <w:t>响应文件中承诺的响应有效期满足竞争性磋商文件中载明的响应有效期的；</w:t>
            </w:r>
          </w:p>
        </w:tc>
        <w:tc>
          <w:tcPr>
            <w:tcW w:w="1025" w:type="pct"/>
            <w:noWrap w:val="0"/>
            <w:vAlign w:val="center"/>
          </w:tcPr>
          <w:p w14:paraId="00F644AA">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4A52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56C3C58C">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939" w:type="pct"/>
            <w:noWrap w:val="0"/>
            <w:vAlign w:val="center"/>
          </w:tcPr>
          <w:p w14:paraId="65F19F27">
            <w:pPr>
              <w:widowControl/>
              <w:jc w:val="left"/>
              <w:rPr>
                <w:rFonts w:hint="eastAsia" w:ascii="宋体" w:hAnsi="宋体" w:cs="宋体"/>
                <w:color w:val="000000"/>
                <w:kern w:val="0"/>
                <w:sz w:val="24"/>
              </w:rPr>
            </w:pPr>
            <w:r>
              <w:rPr>
                <w:rFonts w:hint="eastAsia" w:ascii="宋体" w:hAnsi="宋体" w:cs="宋体"/>
                <w:color w:val="000000"/>
                <w:kern w:val="0"/>
                <w:sz w:val="24"/>
              </w:rPr>
              <w:t>签署、盖章</w:t>
            </w:r>
          </w:p>
        </w:tc>
        <w:tc>
          <w:tcPr>
            <w:tcW w:w="2610" w:type="pct"/>
            <w:noWrap w:val="0"/>
            <w:vAlign w:val="center"/>
          </w:tcPr>
          <w:p w14:paraId="13C0FB51">
            <w:pPr>
              <w:widowControl/>
              <w:jc w:val="left"/>
              <w:rPr>
                <w:rFonts w:hint="eastAsia" w:ascii="宋体" w:hAnsi="宋体" w:cs="宋体"/>
                <w:color w:val="000000"/>
                <w:kern w:val="0"/>
                <w:sz w:val="24"/>
              </w:rPr>
            </w:pPr>
            <w:r>
              <w:rPr>
                <w:rFonts w:hint="eastAsia" w:ascii="宋体" w:hAnsi="宋体" w:cs="宋体"/>
                <w:color w:val="000000"/>
                <w:kern w:val="0"/>
                <w:sz w:val="24"/>
              </w:rPr>
              <w:t>按照竞争性磋商文件要求签署、盖章的；</w:t>
            </w:r>
          </w:p>
        </w:tc>
        <w:tc>
          <w:tcPr>
            <w:tcW w:w="1025" w:type="pct"/>
            <w:noWrap w:val="0"/>
            <w:vAlign w:val="center"/>
          </w:tcPr>
          <w:p w14:paraId="07DF176D">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7152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659D77AA">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939" w:type="pct"/>
            <w:noWrap w:val="0"/>
            <w:vAlign w:val="center"/>
          </w:tcPr>
          <w:p w14:paraId="6C9C97DD">
            <w:pPr>
              <w:widowControl/>
              <w:jc w:val="left"/>
              <w:rPr>
                <w:rFonts w:hint="eastAsia" w:ascii="宋体" w:hAnsi="宋体" w:cs="宋体"/>
                <w:color w:val="000000"/>
                <w:kern w:val="0"/>
                <w:sz w:val="24"/>
              </w:rPr>
            </w:pPr>
            <w:r>
              <w:rPr>
                <w:rFonts w:hint="eastAsia" w:ascii="宋体" w:hAnsi="宋体" w:cs="宋体"/>
                <w:color w:val="000000"/>
                <w:kern w:val="0"/>
                <w:sz w:val="24"/>
              </w:rPr>
              <w:t>实质性格式</w:t>
            </w:r>
          </w:p>
        </w:tc>
        <w:tc>
          <w:tcPr>
            <w:tcW w:w="2610" w:type="pct"/>
            <w:noWrap w:val="0"/>
            <w:vAlign w:val="center"/>
          </w:tcPr>
          <w:p w14:paraId="0653C46B">
            <w:pPr>
              <w:widowControl/>
              <w:jc w:val="left"/>
              <w:rPr>
                <w:rFonts w:hint="eastAsia" w:ascii="宋体" w:hAnsi="宋体" w:cs="宋体"/>
                <w:color w:val="000000"/>
                <w:kern w:val="0"/>
                <w:sz w:val="24"/>
              </w:rPr>
            </w:pPr>
            <w:r>
              <w:rPr>
                <w:rFonts w:hint="eastAsia" w:ascii="宋体" w:hAnsi="宋体" w:cs="宋体"/>
                <w:kern w:val="0"/>
                <w:sz w:val="24"/>
              </w:rPr>
              <w:t>标记为“实质性格式”的文件均按竞争性磋商文件要求提供；</w:t>
            </w:r>
          </w:p>
        </w:tc>
        <w:tc>
          <w:tcPr>
            <w:tcW w:w="1025" w:type="pct"/>
            <w:noWrap w:val="0"/>
            <w:vAlign w:val="center"/>
          </w:tcPr>
          <w:p w14:paraId="66F4C869">
            <w:pPr>
              <w:widowControl/>
              <w:jc w:val="center"/>
              <w:rPr>
                <w:rFonts w:hint="eastAsia" w:ascii="宋体" w:hAnsi="宋体" w:cs="宋体"/>
                <w:kern w:val="0"/>
                <w:sz w:val="24"/>
              </w:rPr>
            </w:pPr>
            <w:r>
              <w:rPr>
                <w:rFonts w:hint="eastAsia" w:ascii="宋体" w:hAnsi="宋体" w:cs="宋体"/>
                <w:color w:val="000000"/>
                <w:kern w:val="0"/>
                <w:sz w:val="24"/>
              </w:rPr>
              <w:t>不允许</w:t>
            </w:r>
          </w:p>
        </w:tc>
      </w:tr>
      <w:tr w14:paraId="3637F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43139769">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8</w:t>
            </w:r>
          </w:p>
        </w:tc>
        <w:tc>
          <w:tcPr>
            <w:tcW w:w="939" w:type="pct"/>
            <w:noWrap w:val="0"/>
            <w:vAlign w:val="center"/>
          </w:tcPr>
          <w:p w14:paraId="07884241">
            <w:pPr>
              <w:widowControl/>
              <w:jc w:val="left"/>
              <w:rPr>
                <w:rFonts w:hint="eastAsia" w:ascii="宋体" w:hAnsi="宋体" w:cs="宋体"/>
                <w:color w:val="000000"/>
                <w:kern w:val="0"/>
                <w:sz w:val="24"/>
              </w:rPr>
            </w:pPr>
            <w:r>
              <w:rPr>
                <w:rFonts w:hint="eastAsia" w:ascii="宋体" w:hAnsi="宋体" w:cs="宋体"/>
                <w:color w:val="000000"/>
                <w:kern w:val="0"/>
                <w:sz w:val="24"/>
              </w:rPr>
              <w:t>报价的修正</w:t>
            </w:r>
          </w:p>
        </w:tc>
        <w:tc>
          <w:tcPr>
            <w:tcW w:w="2610" w:type="pct"/>
            <w:noWrap w:val="0"/>
            <w:vAlign w:val="center"/>
          </w:tcPr>
          <w:p w14:paraId="11F65300">
            <w:pPr>
              <w:widowControl/>
              <w:jc w:val="left"/>
              <w:rPr>
                <w:rFonts w:hint="eastAsia" w:ascii="宋体" w:hAnsi="宋体" w:cs="宋体"/>
                <w:color w:val="000000"/>
                <w:kern w:val="0"/>
                <w:sz w:val="24"/>
              </w:rPr>
            </w:pPr>
            <w:r>
              <w:rPr>
                <w:rFonts w:hint="eastAsia" w:ascii="宋体" w:hAnsi="宋体" w:cs="宋体"/>
                <w:color w:val="000000"/>
                <w:kern w:val="0"/>
                <w:sz w:val="24"/>
              </w:rPr>
              <w:t>不涉及报价修正，或响应文件报价出现前后不一致时，供应商对修正后的报价予以确认；</w:t>
            </w:r>
          </w:p>
        </w:tc>
        <w:tc>
          <w:tcPr>
            <w:tcW w:w="1025" w:type="pct"/>
            <w:noWrap w:val="0"/>
            <w:vAlign w:val="center"/>
          </w:tcPr>
          <w:p w14:paraId="4E7E499C">
            <w:pPr>
              <w:widowControl/>
              <w:jc w:val="center"/>
              <w:rPr>
                <w:rFonts w:hint="eastAsia" w:ascii="宋体" w:hAnsi="宋体" w:cs="宋体"/>
                <w:color w:val="000000"/>
                <w:kern w:val="0"/>
                <w:sz w:val="24"/>
              </w:rPr>
            </w:pPr>
            <w:r>
              <w:rPr>
                <w:rFonts w:hint="eastAsia" w:ascii="宋体" w:hAnsi="宋体" w:cs="宋体"/>
                <w:color w:val="000000"/>
                <w:kern w:val="0"/>
                <w:sz w:val="24"/>
              </w:rPr>
              <w:t>允许</w:t>
            </w:r>
          </w:p>
        </w:tc>
      </w:tr>
      <w:tr w14:paraId="5525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776E8705">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939" w:type="pct"/>
            <w:noWrap w:val="0"/>
            <w:vAlign w:val="center"/>
          </w:tcPr>
          <w:p w14:paraId="42B73EFF">
            <w:pPr>
              <w:widowControl/>
              <w:jc w:val="left"/>
              <w:rPr>
                <w:rFonts w:hint="eastAsia" w:ascii="宋体" w:hAnsi="宋体" w:cs="宋体"/>
                <w:color w:val="000000"/>
                <w:kern w:val="0"/>
                <w:sz w:val="24"/>
              </w:rPr>
            </w:pPr>
            <w:r>
              <w:rPr>
                <w:rFonts w:hint="eastAsia" w:ascii="宋体" w:hAnsi="宋体" w:cs="宋体"/>
                <w:color w:val="000000"/>
                <w:kern w:val="0"/>
                <w:sz w:val="24"/>
              </w:rPr>
              <w:t>报价合理性</w:t>
            </w:r>
          </w:p>
        </w:tc>
        <w:tc>
          <w:tcPr>
            <w:tcW w:w="2610" w:type="pct"/>
            <w:noWrap w:val="0"/>
            <w:vAlign w:val="center"/>
          </w:tcPr>
          <w:p w14:paraId="60F55F52">
            <w:pPr>
              <w:widowControl/>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供应商的报价明显低于其他通过符合性审查供应商的报价，有可能影响产品质量或者不能诚信履约的，能够应磋商小组要求在规定时间内证明其报价合理性的</w:t>
            </w:r>
            <w:r>
              <w:rPr>
                <w:rFonts w:hint="eastAsia" w:ascii="宋体" w:hAnsi="宋体" w:cs="宋体"/>
                <w:color w:val="000000"/>
                <w:kern w:val="0"/>
                <w:sz w:val="24"/>
              </w:rPr>
              <w:t>；</w:t>
            </w:r>
          </w:p>
        </w:tc>
        <w:tc>
          <w:tcPr>
            <w:tcW w:w="1025" w:type="pct"/>
            <w:noWrap w:val="0"/>
            <w:vAlign w:val="center"/>
          </w:tcPr>
          <w:p w14:paraId="0C1F94C9">
            <w:pPr>
              <w:widowControl/>
              <w:jc w:val="center"/>
              <w:rPr>
                <w:rFonts w:hint="eastAsia" w:ascii="宋体" w:hAnsi="宋体" w:cs="宋体"/>
                <w:color w:val="000000"/>
                <w:kern w:val="0"/>
                <w:sz w:val="24"/>
              </w:rPr>
            </w:pPr>
            <w:r>
              <w:rPr>
                <w:rFonts w:hint="eastAsia" w:ascii="宋体" w:hAnsi="宋体" w:cs="宋体"/>
                <w:color w:val="000000"/>
                <w:kern w:val="0"/>
                <w:sz w:val="24"/>
              </w:rPr>
              <w:t>允许</w:t>
            </w:r>
          </w:p>
        </w:tc>
      </w:tr>
      <w:tr w14:paraId="6CB8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2173A6E8">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10</w:t>
            </w:r>
          </w:p>
        </w:tc>
        <w:tc>
          <w:tcPr>
            <w:tcW w:w="939" w:type="pct"/>
            <w:noWrap w:val="0"/>
            <w:vAlign w:val="center"/>
          </w:tcPr>
          <w:p w14:paraId="7C0D6880">
            <w:pPr>
              <w:widowControl/>
              <w:jc w:val="left"/>
              <w:rPr>
                <w:rFonts w:hint="eastAsia" w:ascii="宋体" w:hAnsi="宋体" w:cs="宋体"/>
                <w:color w:val="000000"/>
                <w:kern w:val="0"/>
                <w:sz w:val="24"/>
              </w:rPr>
            </w:pPr>
            <w:r>
              <w:rPr>
                <w:rFonts w:hint="eastAsia" w:ascii="宋体" w:hAnsi="宋体" w:cs="宋体"/>
                <w:color w:val="000000"/>
                <w:kern w:val="0"/>
                <w:sz w:val="24"/>
              </w:rPr>
              <w:t>公平竞争</w:t>
            </w:r>
          </w:p>
        </w:tc>
        <w:tc>
          <w:tcPr>
            <w:tcW w:w="2610" w:type="pct"/>
            <w:noWrap w:val="0"/>
            <w:vAlign w:val="center"/>
          </w:tcPr>
          <w:p w14:paraId="10DCE9E7">
            <w:pPr>
              <w:widowControl/>
              <w:jc w:val="left"/>
              <w:rPr>
                <w:rFonts w:hint="eastAsia" w:ascii="宋体" w:hAnsi="宋体" w:cs="宋体"/>
                <w:color w:val="000000"/>
                <w:kern w:val="0"/>
                <w:sz w:val="24"/>
              </w:rPr>
            </w:pPr>
            <w:r>
              <w:rPr>
                <w:rFonts w:hint="eastAsia" w:ascii="宋体" w:hAnsi="宋体" w:cs="宋体"/>
                <w:color w:val="000000"/>
                <w:sz w:val="24"/>
              </w:rPr>
              <w:t>供应商遵循公平竞争的原则，不存在恶意串通，妨碍其他供应商的竞争行为，不存在损害采购人或者其他供应商的合法权益情形的；</w:t>
            </w:r>
          </w:p>
        </w:tc>
        <w:tc>
          <w:tcPr>
            <w:tcW w:w="1025" w:type="pct"/>
            <w:noWrap w:val="0"/>
            <w:vAlign w:val="center"/>
          </w:tcPr>
          <w:p w14:paraId="12C238F5">
            <w:pPr>
              <w:widowControl/>
              <w:jc w:val="center"/>
              <w:rPr>
                <w:rFonts w:hint="eastAsia" w:ascii="宋体" w:hAnsi="宋体" w:cs="宋体"/>
                <w:color w:val="000000"/>
                <w:sz w:val="24"/>
              </w:rPr>
            </w:pPr>
            <w:r>
              <w:rPr>
                <w:rFonts w:hint="eastAsia" w:ascii="宋体" w:hAnsi="宋体" w:cs="宋体"/>
                <w:color w:val="000000"/>
                <w:kern w:val="0"/>
                <w:sz w:val="24"/>
              </w:rPr>
              <w:t>不允许</w:t>
            </w:r>
          </w:p>
        </w:tc>
      </w:tr>
      <w:tr w14:paraId="61946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06DA0A19">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11</w:t>
            </w:r>
          </w:p>
        </w:tc>
        <w:tc>
          <w:tcPr>
            <w:tcW w:w="939" w:type="pct"/>
            <w:noWrap w:val="0"/>
            <w:vAlign w:val="center"/>
          </w:tcPr>
          <w:p w14:paraId="24E82440">
            <w:pPr>
              <w:widowControl/>
              <w:jc w:val="left"/>
              <w:rPr>
                <w:rFonts w:hint="eastAsia" w:ascii="宋体" w:hAnsi="宋体" w:cs="宋体"/>
                <w:color w:val="000000"/>
                <w:kern w:val="0"/>
                <w:sz w:val="24"/>
              </w:rPr>
            </w:pPr>
            <w:r>
              <w:rPr>
                <w:rFonts w:hint="eastAsia" w:ascii="宋体" w:hAnsi="宋体" w:cs="宋体"/>
                <w:color w:val="000000"/>
                <w:kern w:val="0"/>
                <w:sz w:val="24"/>
              </w:rPr>
              <w:t>串通投标</w:t>
            </w:r>
          </w:p>
        </w:tc>
        <w:tc>
          <w:tcPr>
            <w:tcW w:w="2610" w:type="pct"/>
            <w:noWrap w:val="0"/>
            <w:vAlign w:val="center"/>
          </w:tcPr>
          <w:p w14:paraId="0B89AADE">
            <w:pPr>
              <w:widowControl/>
              <w:jc w:val="left"/>
              <w:rPr>
                <w:rFonts w:hint="eastAsia" w:ascii="宋体" w:hAnsi="宋体" w:cs="宋体"/>
                <w:color w:val="000000"/>
                <w:kern w:val="0"/>
                <w:sz w:val="24"/>
              </w:rPr>
            </w:pPr>
            <w:r>
              <w:rPr>
                <w:rFonts w:hint="eastAsia" w:ascii="宋体" w:hAnsi="宋体" w:cs="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025" w:type="pct"/>
            <w:noWrap w:val="0"/>
            <w:vAlign w:val="center"/>
          </w:tcPr>
          <w:p w14:paraId="1BB02C71">
            <w:pPr>
              <w:widowControl/>
              <w:jc w:val="center"/>
              <w:rPr>
                <w:rFonts w:hint="eastAsia" w:ascii="宋体" w:hAnsi="宋体" w:cs="宋体"/>
                <w:color w:val="000000"/>
                <w:sz w:val="24"/>
              </w:rPr>
            </w:pPr>
            <w:r>
              <w:rPr>
                <w:rFonts w:hint="eastAsia" w:ascii="宋体" w:hAnsi="宋体" w:cs="宋体"/>
                <w:color w:val="000000"/>
                <w:kern w:val="0"/>
                <w:sz w:val="24"/>
              </w:rPr>
              <w:t>不允许</w:t>
            </w:r>
          </w:p>
        </w:tc>
      </w:tr>
      <w:tr w14:paraId="4EB6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2004CB5E">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12</w:t>
            </w:r>
          </w:p>
        </w:tc>
        <w:tc>
          <w:tcPr>
            <w:tcW w:w="939" w:type="pct"/>
            <w:noWrap w:val="0"/>
            <w:vAlign w:val="center"/>
          </w:tcPr>
          <w:p w14:paraId="62D6C3D1">
            <w:pPr>
              <w:widowControl/>
              <w:jc w:val="left"/>
              <w:rPr>
                <w:rFonts w:hint="eastAsia" w:ascii="宋体" w:hAnsi="宋体" w:cs="宋体"/>
                <w:color w:val="000000"/>
                <w:kern w:val="0"/>
                <w:sz w:val="24"/>
              </w:rPr>
            </w:pPr>
            <w:r>
              <w:rPr>
                <w:rFonts w:hint="eastAsia" w:ascii="宋体" w:hAnsi="宋体" w:cs="宋体"/>
                <w:color w:val="000000"/>
                <w:kern w:val="0"/>
                <w:sz w:val="24"/>
              </w:rPr>
              <w:t>附加条件</w:t>
            </w:r>
          </w:p>
        </w:tc>
        <w:tc>
          <w:tcPr>
            <w:tcW w:w="2610" w:type="pct"/>
            <w:noWrap w:val="0"/>
            <w:vAlign w:val="center"/>
          </w:tcPr>
          <w:p w14:paraId="508EC7E8">
            <w:pPr>
              <w:widowControl/>
              <w:jc w:val="left"/>
              <w:rPr>
                <w:rFonts w:hint="eastAsia" w:ascii="宋体" w:hAnsi="宋体" w:cs="宋体"/>
                <w:color w:val="000000"/>
                <w:kern w:val="0"/>
                <w:sz w:val="24"/>
              </w:rPr>
            </w:pPr>
            <w:r>
              <w:rPr>
                <w:rFonts w:hint="eastAsia" w:ascii="宋体" w:hAnsi="宋体" w:cs="宋体"/>
                <w:color w:val="000000"/>
                <w:kern w:val="0"/>
                <w:sz w:val="24"/>
              </w:rPr>
              <w:t>响应文件未含有采购人不能接受的附加条件的；</w:t>
            </w:r>
          </w:p>
        </w:tc>
        <w:tc>
          <w:tcPr>
            <w:tcW w:w="1025" w:type="pct"/>
            <w:noWrap w:val="0"/>
            <w:vAlign w:val="center"/>
          </w:tcPr>
          <w:p w14:paraId="5EBB5C8F">
            <w:pPr>
              <w:widowControl/>
              <w:jc w:val="center"/>
              <w:rPr>
                <w:rFonts w:hint="eastAsia" w:ascii="宋体" w:hAnsi="宋体" w:cs="宋体"/>
                <w:color w:val="000000"/>
                <w:kern w:val="0"/>
                <w:sz w:val="24"/>
              </w:rPr>
            </w:pPr>
            <w:r>
              <w:rPr>
                <w:rFonts w:hint="eastAsia" w:ascii="宋体" w:hAnsi="宋体" w:cs="宋体"/>
                <w:color w:val="000000"/>
                <w:kern w:val="0"/>
                <w:sz w:val="24"/>
              </w:rPr>
              <w:t>不允许</w:t>
            </w:r>
          </w:p>
        </w:tc>
      </w:tr>
      <w:tr w14:paraId="5837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23" w:type="pct"/>
            <w:noWrap w:val="0"/>
            <w:vAlign w:val="center"/>
          </w:tcPr>
          <w:p w14:paraId="558A414A">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939" w:type="pct"/>
            <w:noWrap w:val="0"/>
            <w:vAlign w:val="center"/>
          </w:tcPr>
          <w:p w14:paraId="7CBBB68C">
            <w:pPr>
              <w:widowControl/>
              <w:jc w:val="left"/>
              <w:rPr>
                <w:rFonts w:hint="eastAsia" w:ascii="宋体" w:hAnsi="宋体" w:cs="宋体"/>
                <w:color w:val="000000"/>
                <w:kern w:val="0"/>
                <w:sz w:val="24"/>
              </w:rPr>
            </w:pPr>
            <w:r>
              <w:rPr>
                <w:rFonts w:hint="eastAsia" w:ascii="宋体" w:hAnsi="宋体" w:cs="宋体"/>
                <w:color w:val="000000"/>
                <w:kern w:val="0"/>
                <w:sz w:val="24"/>
              </w:rPr>
              <w:t>其他无效情形</w:t>
            </w:r>
          </w:p>
        </w:tc>
        <w:tc>
          <w:tcPr>
            <w:tcW w:w="2610" w:type="pct"/>
            <w:noWrap w:val="0"/>
            <w:vAlign w:val="center"/>
          </w:tcPr>
          <w:p w14:paraId="21452C90">
            <w:pPr>
              <w:widowControl/>
              <w:jc w:val="left"/>
              <w:rPr>
                <w:rFonts w:hint="eastAsia" w:ascii="宋体" w:hAnsi="宋体" w:cs="宋体"/>
                <w:color w:val="000000"/>
                <w:kern w:val="0"/>
                <w:sz w:val="24"/>
              </w:rPr>
            </w:pPr>
            <w:r>
              <w:rPr>
                <w:rFonts w:hint="eastAsia" w:ascii="宋体" w:hAnsi="宋体" w:cs="宋体"/>
                <w:color w:val="000000"/>
                <w:sz w:val="24"/>
              </w:rPr>
              <w:t>供应商、响应文件不存在不符合法律、法规和竞争性磋商文件规定的其他无效情形。</w:t>
            </w:r>
          </w:p>
        </w:tc>
        <w:tc>
          <w:tcPr>
            <w:tcW w:w="1025" w:type="pct"/>
            <w:noWrap w:val="0"/>
            <w:vAlign w:val="center"/>
          </w:tcPr>
          <w:p w14:paraId="2605DD14">
            <w:pPr>
              <w:widowControl/>
              <w:jc w:val="center"/>
              <w:rPr>
                <w:rFonts w:hint="eastAsia" w:ascii="宋体" w:hAnsi="宋体" w:cs="宋体"/>
                <w:color w:val="000000"/>
                <w:sz w:val="24"/>
              </w:rPr>
            </w:pPr>
            <w:r>
              <w:rPr>
                <w:rFonts w:hint="eastAsia" w:ascii="宋体" w:hAnsi="宋体" w:cs="宋体"/>
                <w:color w:val="000000"/>
                <w:kern w:val="0"/>
                <w:sz w:val="24"/>
              </w:rPr>
              <w:t>不允许</w:t>
            </w:r>
          </w:p>
        </w:tc>
      </w:tr>
    </w:tbl>
    <w:p w14:paraId="11464920">
      <w:pPr>
        <w:tabs>
          <w:tab w:val="left" w:pos="900"/>
          <w:tab w:val="left" w:pos="1080"/>
          <w:tab w:val="left" w:pos="1589"/>
        </w:tabs>
        <w:snapToGrid w:val="0"/>
        <w:spacing w:line="360" w:lineRule="auto"/>
        <w:rPr>
          <w:rFonts w:eastAsiaTheme="minorEastAsia"/>
          <w:sz w:val="24"/>
        </w:rPr>
      </w:pPr>
    </w:p>
    <w:p w14:paraId="0883C1E6">
      <w:pPr>
        <w:numPr>
          <w:ilvl w:val="0"/>
          <w:numId w:val="13"/>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3F51A199">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3F7F5915">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EFED3CC">
      <w:pPr>
        <w:numPr>
          <w:ilvl w:val="1"/>
          <w:numId w:val="13"/>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21457EBD">
      <w:pPr>
        <w:numPr>
          <w:ilvl w:val="1"/>
          <w:numId w:val="13"/>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3D7FBE37">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0BFDD56C">
      <w:pPr>
        <w:numPr>
          <w:ilvl w:val="2"/>
          <w:numId w:val="13"/>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C8D2989">
      <w:pPr>
        <w:numPr>
          <w:ilvl w:val="2"/>
          <w:numId w:val="13"/>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4EC253F">
      <w:pPr>
        <w:numPr>
          <w:ilvl w:val="2"/>
          <w:numId w:val="13"/>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8D87D14">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64B86774">
      <w:pPr>
        <w:numPr>
          <w:ilvl w:val="1"/>
          <w:numId w:val="13"/>
        </w:numPr>
        <w:tabs>
          <w:tab w:val="left" w:pos="1080"/>
          <w:tab w:val="left" w:pos="1872"/>
        </w:tabs>
        <w:snapToGrid w:val="0"/>
        <w:spacing w:line="360" w:lineRule="auto"/>
        <w:ind w:left="1077" w:hanging="720"/>
        <w:rPr>
          <w:rFonts w:eastAsiaTheme="minorEastAsia"/>
          <w:sz w:val="24"/>
        </w:rPr>
      </w:pPr>
      <w:r>
        <w:rPr>
          <w:rFonts w:hint="eastAsia" w:eastAsiaTheme="minorEastAsia"/>
          <w:sz w:val="24"/>
          <w:lang w:val="en-US" w:eastAsia="zh-CN"/>
        </w:rPr>
        <w:t>异常低价处理</w:t>
      </w:r>
    </w:p>
    <w:p w14:paraId="6EB40B80">
      <w:pPr>
        <w:numPr>
          <w:ilvl w:val="2"/>
          <w:numId w:val="13"/>
        </w:numPr>
        <w:tabs>
          <w:tab w:val="left" w:pos="1080"/>
          <w:tab w:val="left" w:pos="1872"/>
          <w:tab w:val="clear" w:pos="1980"/>
        </w:tabs>
        <w:snapToGrid w:val="0"/>
        <w:spacing w:line="360" w:lineRule="auto"/>
        <w:ind w:left="1497" w:leftChars="0" w:hanging="720"/>
        <w:rPr>
          <w:rFonts w:eastAsiaTheme="minorEastAsia"/>
          <w:sz w:val="24"/>
        </w:rPr>
      </w:pPr>
      <w:r>
        <w:rPr>
          <w:rFonts w:hint="default" w:ascii="Times New Roman" w:hAnsi="Times New Roman" w:eastAsia="宋体" w:cs="Times New Roman"/>
          <w:color w:val="000000"/>
          <w:sz w:val="24"/>
          <w:szCs w:val="24"/>
        </w:rPr>
        <w:t>政府采购评审中出现下列情形之一的，评审委员会应当启动异常低价投标（响应）审查程序：</w:t>
      </w:r>
    </w:p>
    <w:p w14:paraId="3B138893">
      <w:pPr>
        <w:pStyle w:val="39"/>
        <w:keepNext w:val="0"/>
        <w:keepLines w:val="0"/>
        <w:widowControl w:val="0"/>
        <w:numPr>
          <w:ilvl w:val="0"/>
          <w:numId w:val="14"/>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1980" w:right="0"/>
        <w:jc w:val="both"/>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投标（响应）报价低于全部通过符合性审查供应商投标（响应）报价平均值</w:t>
      </w:r>
      <w:r>
        <w:rPr>
          <w:rFonts w:hint="eastAsia" w:ascii="Times New Roman" w:hAnsi="Times New Roman" w:cs="Times New Roman"/>
          <w:color w:val="000000"/>
          <w:sz w:val="24"/>
          <w:szCs w:val="24"/>
          <w:lang w:val="en-US" w:eastAsia="zh-CN"/>
        </w:rPr>
        <w:t>50</w:t>
      </w:r>
      <w:r>
        <w:rPr>
          <w:rFonts w:hint="default" w:ascii="Times New Roman" w:hAnsi="Times New Roman" w:cs="Times New Roman"/>
          <w:color w:val="000000"/>
          <w:sz w:val="24"/>
          <w:szCs w:val="24"/>
        </w:rPr>
        <w:t>%的，即投标（响应）报价&lt;全部通过符合性审查供应商投标（响应）报价平均值×</w:t>
      </w:r>
      <w:r>
        <w:rPr>
          <w:rFonts w:hint="eastAsia" w:ascii="Times New Roman" w:hAnsi="Times New Roman" w:cs="Times New Roman"/>
          <w:color w:val="000000"/>
          <w:sz w:val="24"/>
          <w:szCs w:val="24"/>
          <w:lang w:val="en-US" w:eastAsia="zh-CN"/>
        </w:rPr>
        <w:t>50</w:t>
      </w:r>
      <w:r>
        <w:rPr>
          <w:rFonts w:hint="default" w:ascii="Times New Roman" w:hAnsi="Times New Roman" w:cs="Times New Roman"/>
          <w:color w:val="000000"/>
          <w:sz w:val="24"/>
          <w:szCs w:val="24"/>
        </w:rPr>
        <w:t>%；</w:t>
      </w:r>
    </w:p>
    <w:p w14:paraId="63D9692F">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1980" w:right="0"/>
        <w:jc w:val="both"/>
      </w:pPr>
      <w:r>
        <w:rPr>
          <w:rFonts w:hint="default" w:ascii="Times New Roman" w:hAnsi="Times New Roman" w:cs="Times New Roman"/>
          <w:color w:val="000000"/>
          <w:sz w:val="24"/>
          <w:szCs w:val="24"/>
        </w:rPr>
        <w:t>（2）投标（响应）报价低于通过符合性审查的次低报价供应商投标（响应）报价</w:t>
      </w:r>
      <w:r>
        <w:rPr>
          <w:rFonts w:hint="eastAsia" w:ascii="Times New Roman" w:hAnsi="Times New Roman" w:cs="Times New Roman"/>
          <w:color w:val="000000"/>
          <w:sz w:val="24"/>
          <w:szCs w:val="24"/>
          <w:lang w:val="en-US" w:eastAsia="zh-CN"/>
        </w:rPr>
        <w:t>50</w:t>
      </w:r>
      <w:r>
        <w:rPr>
          <w:rFonts w:hint="default" w:ascii="Times New Roman" w:hAnsi="Times New Roman" w:cs="Times New Roman"/>
          <w:color w:val="000000"/>
          <w:sz w:val="24"/>
          <w:szCs w:val="24"/>
        </w:rPr>
        <w:t>%的，即投标（响应）报价&lt;通过符合性审查的次低报价供应商投标（响应）报价×</w:t>
      </w:r>
      <w:r>
        <w:rPr>
          <w:rFonts w:hint="eastAsia" w:ascii="Times New Roman" w:hAnsi="Times New Roman" w:cs="Times New Roman"/>
          <w:color w:val="000000"/>
          <w:sz w:val="24"/>
          <w:szCs w:val="24"/>
          <w:lang w:val="en-US" w:eastAsia="zh-CN"/>
        </w:rPr>
        <w:t>50</w:t>
      </w:r>
      <w:r>
        <w:rPr>
          <w:rFonts w:hint="default" w:ascii="Times New Roman" w:hAnsi="Times New Roman" w:cs="Times New Roman"/>
          <w:color w:val="000000"/>
          <w:sz w:val="24"/>
          <w:szCs w:val="24"/>
        </w:rPr>
        <w:t>%；</w:t>
      </w:r>
    </w:p>
    <w:p w14:paraId="4D269851">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1980"/>
        <w:jc w:val="both"/>
      </w:pPr>
      <w:r>
        <w:rPr>
          <w:rFonts w:hint="default" w:ascii="Times New Roman" w:hAnsi="Times New Roman" w:cs="Times New Roman"/>
          <w:color w:val="000000"/>
          <w:sz w:val="24"/>
          <w:szCs w:val="24"/>
        </w:rPr>
        <w:t>（3）投标（响应）报价低于采购项目最高限价</w:t>
      </w:r>
      <w:r>
        <w:rPr>
          <w:rFonts w:hint="eastAsia" w:ascii="Times New Roman" w:hAnsi="Times New Roman" w:cs="Times New Roman"/>
          <w:color w:val="000000"/>
          <w:sz w:val="24"/>
          <w:szCs w:val="24"/>
          <w:lang w:val="en-US" w:eastAsia="zh-CN"/>
        </w:rPr>
        <w:t>45</w:t>
      </w:r>
      <w:r>
        <w:rPr>
          <w:rFonts w:hint="default" w:ascii="Times New Roman" w:hAnsi="Times New Roman" w:cs="Times New Roman"/>
          <w:color w:val="000000"/>
          <w:sz w:val="24"/>
          <w:szCs w:val="24"/>
        </w:rPr>
        <w:t>%的，即投标（响应）报价&lt;采购项目最高限价×</w:t>
      </w:r>
      <w:r>
        <w:rPr>
          <w:rFonts w:hint="eastAsia" w:ascii="Times New Roman" w:hAnsi="Times New Roman" w:cs="Times New Roman"/>
          <w:color w:val="000000"/>
          <w:sz w:val="24"/>
          <w:szCs w:val="24"/>
          <w:lang w:val="en-US" w:eastAsia="zh-CN"/>
        </w:rPr>
        <w:t>45</w:t>
      </w:r>
      <w:r>
        <w:rPr>
          <w:rFonts w:hint="default" w:ascii="Times New Roman" w:hAnsi="Times New Roman" w:cs="Times New Roman"/>
          <w:color w:val="000000"/>
          <w:sz w:val="24"/>
          <w:szCs w:val="24"/>
        </w:rPr>
        <w:t>%；未设定最高限价的采购项目，以采购项目预算金额作为最高限价；</w:t>
      </w:r>
    </w:p>
    <w:p w14:paraId="25C9BEBF">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1980"/>
        <w:jc w:val="both"/>
      </w:pPr>
      <w:r>
        <w:rPr>
          <w:rFonts w:hint="default" w:ascii="Times New Roman" w:hAnsi="Times New Roman" w:cs="Times New Roman"/>
          <w:color w:val="000000"/>
          <w:sz w:val="24"/>
          <w:szCs w:val="24"/>
        </w:rPr>
        <w:t>（4）评审委员会基于专业判断，认为供应商报价过低，有可能影响产品质量或者不能诚信履约的其他情形。</w:t>
      </w:r>
    </w:p>
    <w:p w14:paraId="32B7D89B">
      <w:pPr>
        <w:numPr>
          <w:ilvl w:val="2"/>
          <w:numId w:val="13"/>
        </w:numPr>
        <w:tabs>
          <w:tab w:val="left" w:pos="1080"/>
          <w:tab w:val="left" w:pos="1872"/>
          <w:tab w:val="clear" w:pos="1980"/>
        </w:tabs>
        <w:snapToGrid w:val="0"/>
        <w:spacing w:line="360" w:lineRule="auto"/>
        <w:ind w:left="1497" w:leftChars="0" w:hanging="720"/>
        <w:rPr>
          <w:rFonts w:eastAsiaTheme="minorEastAsia"/>
          <w:sz w:val="24"/>
        </w:rPr>
      </w:pPr>
      <w:r>
        <w:rPr>
          <w:rFonts w:hint="default" w:ascii="Times New Roman" w:hAnsi="Times New Roman" w:eastAsia="宋体" w:cs="Times New Roman"/>
          <w:color w:val="000000"/>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3004DC5">
      <w:pPr>
        <w:rPr>
          <w:rFonts w:eastAsiaTheme="minorEastAsia"/>
          <w:sz w:val="24"/>
        </w:rPr>
      </w:pPr>
    </w:p>
    <w:p w14:paraId="7D33349A">
      <w:pPr>
        <w:numPr>
          <w:ilvl w:val="2"/>
          <w:numId w:val="13"/>
        </w:numPr>
        <w:tabs>
          <w:tab w:val="left" w:pos="1080"/>
          <w:tab w:val="left" w:pos="1872"/>
          <w:tab w:val="clear" w:pos="1980"/>
        </w:tabs>
        <w:snapToGrid w:val="0"/>
        <w:spacing w:line="360" w:lineRule="auto"/>
        <w:ind w:left="1497" w:leftChars="0" w:hanging="720"/>
        <w:rPr>
          <w:rFonts w:eastAsiaTheme="minorEastAsia"/>
          <w:sz w:val="24"/>
        </w:rPr>
      </w:pPr>
      <w:r>
        <w:rPr>
          <w:rFonts w:hint="eastAsia" w:cs="Times New Roman"/>
          <w:color w:val="000000"/>
          <w:sz w:val="24"/>
          <w:szCs w:val="24"/>
          <w:lang w:val="en-US" w:eastAsia="zh-CN"/>
        </w:rPr>
        <w:t>评</w:t>
      </w:r>
      <w:r>
        <w:rPr>
          <w:rFonts w:hint="default" w:ascii="Times New Roman" w:hAnsi="Times New Roman" w:eastAsia="宋体" w:cs="Times New Roman"/>
          <w:color w:val="000000"/>
          <w:sz w:val="24"/>
          <w:szCs w:val="24"/>
        </w:rPr>
        <w:t>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lang w:eastAsia="zh-CN"/>
        </w:rPr>
        <w:t>。</w:t>
      </w:r>
    </w:p>
    <w:p w14:paraId="357E7A99">
      <w:pPr>
        <w:numPr>
          <w:ilvl w:val="2"/>
          <w:numId w:val="13"/>
        </w:numPr>
        <w:tabs>
          <w:tab w:val="left" w:pos="1080"/>
          <w:tab w:val="left" w:pos="1872"/>
          <w:tab w:val="clear" w:pos="1980"/>
        </w:tabs>
        <w:snapToGrid w:val="0"/>
        <w:spacing w:line="360" w:lineRule="auto"/>
        <w:ind w:left="1497" w:leftChars="0" w:hanging="720"/>
      </w:pPr>
      <w:r>
        <w:rPr>
          <w:rFonts w:hint="eastAsia" w:eastAsiaTheme="minorEastAsia"/>
          <w:sz w:val="24"/>
          <w:lang w:val="en-US" w:eastAsia="zh-CN"/>
        </w:rPr>
        <w:t>上述</w:t>
      </w:r>
      <w:r>
        <w:rPr>
          <w:rFonts w:hint="default" w:ascii="Times New Roman" w:hAnsi="Times New Roman" w:eastAsia="宋体" w:cs="Times New Roman"/>
          <w:color w:val="000000"/>
          <w:sz w:val="24"/>
          <w:szCs w:val="24"/>
        </w:rPr>
        <w:t>投标（响应）报价指按照本章3.2修正后的报价。</w:t>
      </w:r>
    </w:p>
    <w:p w14:paraId="058E9011">
      <w:pPr>
        <w:pStyle w:val="263"/>
        <w:rPr>
          <w:rFonts w:hint="default" w:eastAsiaTheme="minorEastAsia"/>
          <w:lang w:val="en-US" w:eastAsia="zh-CN"/>
        </w:rPr>
      </w:pPr>
      <w:r>
        <w:rPr>
          <w:rFonts w:hint="eastAsia" w:eastAsiaTheme="minorEastAsia"/>
          <w:sz w:val="24"/>
          <w:lang w:val="en-US" w:eastAsia="zh-CN"/>
        </w:rPr>
        <w:t xml:space="preserve">   </w:t>
      </w:r>
      <w:r>
        <w:rPr>
          <w:rFonts w:hint="eastAsia" w:eastAsiaTheme="minorEastAsia"/>
          <w:lang w:val="en-US" w:eastAsia="zh-CN"/>
        </w:rPr>
        <w:tab/>
      </w:r>
      <w:r>
        <w:rPr>
          <w:rFonts w:hint="eastAsia" w:eastAsiaTheme="minorEastAsia"/>
          <w:sz w:val="24"/>
          <w:lang w:val="en-US" w:eastAsia="zh-CN"/>
        </w:rPr>
        <w:t xml:space="preserve">  </w:t>
      </w:r>
    </w:p>
    <w:p w14:paraId="226C5534">
      <w:pPr>
        <w:pStyle w:val="263"/>
        <w:rPr>
          <w:rFonts w:hint="default" w:eastAsiaTheme="minorEastAsia"/>
          <w:lang w:val="en-US" w:eastAsia="zh-CN"/>
        </w:rPr>
      </w:pPr>
      <w:r>
        <w:rPr>
          <w:rFonts w:hint="eastAsia" w:eastAsiaTheme="minorEastAsia"/>
          <w:sz w:val="24"/>
          <w:lang w:val="en-US" w:eastAsia="zh-CN"/>
        </w:rPr>
        <w:t xml:space="preserve">   </w:t>
      </w:r>
    </w:p>
    <w:p w14:paraId="442C76F7">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76D55ED">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78FDF813">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4E3FEB05">
      <w:pPr>
        <w:numPr>
          <w:ilvl w:val="0"/>
          <w:numId w:val="13"/>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1FEE4BA5">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49FE899E">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4717ECC0">
      <w:pPr>
        <w:numPr>
          <w:ilvl w:val="2"/>
          <w:numId w:val="13"/>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6C5A949D">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526C5179">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sym w:font="Wingdings 2" w:char="0052"/>
      </w:r>
      <w:r>
        <w:rPr>
          <w:rFonts w:eastAsiaTheme="minorEastAsia"/>
          <w:sz w:val="24"/>
        </w:rPr>
        <w:t>无，按下述3.2.2-3.2.5项规定修正。</w:t>
      </w:r>
    </w:p>
    <w:p w14:paraId="40A3C12E">
      <w:pPr>
        <w:numPr>
          <w:ilvl w:val="2"/>
          <w:numId w:val="13"/>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6EA125A2">
      <w:pPr>
        <w:numPr>
          <w:ilvl w:val="2"/>
          <w:numId w:val="13"/>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0F3CBFBC">
      <w:pPr>
        <w:numPr>
          <w:ilvl w:val="2"/>
          <w:numId w:val="13"/>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1BF4679B">
      <w:pPr>
        <w:numPr>
          <w:ilvl w:val="2"/>
          <w:numId w:val="13"/>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0032B3AB">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6EF0DFBA">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b/>
          <w:bCs/>
          <w:sz w:val="24"/>
          <w:u w:val="single"/>
          <w:lang w:val="en-US" w:eastAsia="zh-CN"/>
        </w:rPr>
        <w:t>3</w:t>
      </w:r>
      <w:r>
        <w:rPr>
          <w:rFonts w:eastAsiaTheme="minorEastAsia"/>
          <w:b/>
          <w:bCs/>
          <w:sz w:val="24"/>
          <w:u w:val="single"/>
        </w:rPr>
        <w:t>%</w:t>
      </w:r>
      <w:r>
        <w:rPr>
          <w:rFonts w:eastAsiaTheme="minorEastAsia"/>
          <w:sz w:val="24"/>
        </w:rPr>
        <w:t>的扣除，用扣除后的价格参加评审。</w:t>
      </w:r>
    </w:p>
    <w:p w14:paraId="256127B1">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b/>
          <w:bCs/>
          <w:sz w:val="24"/>
          <w:u w:val="single"/>
          <w:lang w:val="en-US" w:eastAsia="zh-CN"/>
        </w:rPr>
        <w:t>1</w:t>
      </w:r>
      <w:r>
        <w:rPr>
          <w:rFonts w:eastAsiaTheme="minorEastAsia"/>
          <w:b/>
          <w:bCs/>
          <w:sz w:val="24"/>
          <w:u w:val="single"/>
        </w:rPr>
        <w:t>%</w:t>
      </w:r>
      <w:r>
        <w:rPr>
          <w:rFonts w:eastAsiaTheme="minorEastAsia"/>
          <w:sz w:val="24"/>
        </w:rPr>
        <w:t>的扣除，用扣除后的价格参加评审。</w:t>
      </w:r>
    </w:p>
    <w:p w14:paraId="4CE63A97">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052A16E0">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0958E481">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6EE04EF8">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13E8F2A5">
      <w:pPr>
        <w:numPr>
          <w:ilvl w:val="2"/>
          <w:numId w:val="13"/>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3AAB3929">
      <w:pPr>
        <w:numPr>
          <w:ilvl w:val="2"/>
          <w:numId w:val="13"/>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211E25C8">
      <w:pPr>
        <w:numPr>
          <w:ilvl w:val="2"/>
          <w:numId w:val="13"/>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其他为落实政府采购政策实施的优先采购：_</w:t>
      </w:r>
      <w:r>
        <w:rPr>
          <w:rFonts w:hint="eastAsia" w:eastAsiaTheme="minorEastAsia"/>
          <w:sz w:val="24"/>
          <w:u w:val="single"/>
        </w:rPr>
        <w:t>无</w:t>
      </w:r>
      <w:r>
        <w:rPr>
          <w:rFonts w:eastAsiaTheme="minorEastAsia"/>
          <w:sz w:val="24"/>
        </w:rPr>
        <w:t>_。</w:t>
      </w:r>
    </w:p>
    <w:p w14:paraId="114A5F28">
      <w:pPr>
        <w:numPr>
          <w:ilvl w:val="1"/>
          <w:numId w:val="13"/>
        </w:numPr>
        <w:tabs>
          <w:tab w:val="left" w:pos="1080"/>
          <w:tab w:val="left" w:pos="2014"/>
        </w:tabs>
        <w:snapToGrid w:val="0"/>
        <w:spacing w:line="360" w:lineRule="auto"/>
        <w:ind w:left="1468" w:leftChars="0" w:hanging="900" w:firstLineChars="0"/>
        <w:rPr>
          <w:rFonts w:eastAsiaTheme="minorEastAsia"/>
          <w:sz w:val="24"/>
        </w:rPr>
      </w:pPr>
      <w:r>
        <w:rPr>
          <w:rFonts w:hint="default" w:ascii="Times New Roman" w:hAnsi="Times New Roman" w:eastAsia="宋体" w:cs="Times New Roman"/>
          <w:color w:val="000000"/>
          <w:sz w:val="24"/>
          <w:szCs w:val="24"/>
        </w:rPr>
        <w:t>支持本国产品政府采购的价格调整：只有符合第二章《供应商须知》4.2条规定情形的，可以享受本国产品支持政策，用扣除后的价格参加评审；否则，评审时价格不予扣除。</w:t>
      </w:r>
    </w:p>
    <w:p w14:paraId="7E062B8F">
      <w:pPr>
        <w:numPr>
          <w:ilvl w:val="2"/>
          <w:numId w:val="13"/>
        </w:numPr>
        <w:tabs>
          <w:tab w:val="left" w:pos="1080"/>
          <w:tab w:val="left" w:pos="2014"/>
          <w:tab w:val="clear" w:pos="1980"/>
        </w:tabs>
        <w:snapToGrid w:val="0"/>
        <w:spacing w:line="360" w:lineRule="auto"/>
        <w:ind w:left="1980" w:leftChars="0" w:hanging="900" w:firstLineChars="0"/>
        <w:rPr>
          <w:rFonts w:eastAsiaTheme="minorEastAsia"/>
          <w:sz w:val="24"/>
        </w:rPr>
      </w:pPr>
      <w:r>
        <w:rPr>
          <w:rFonts w:hint="default" w:eastAsiaTheme="minorEastAsia"/>
          <w:sz w:val="24"/>
        </w:rPr>
        <w:t>本项目既有本国产品又有非本国产品参与竞争的，依法对本国产品给予价格评审优惠，对本国产品的报价给予20%的价格扣除，用扣除后的价格参与评审。</w:t>
      </w:r>
    </w:p>
    <w:p w14:paraId="203327B5">
      <w:pPr>
        <w:numPr>
          <w:ilvl w:val="2"/>
          <w:numId w:val="13"/>
        </w:numPr>
        <w:tabs>
          <w:tab w:val="left" w:pos="1080"/>
          <w:tab w:val="left" w:pos="2014"/>
          <w:tab w:val="clear" w:pos="1980"/>
        </w:tabs>
        <w:snapToGrid w:val="0"/>
        <w:spacing w:line="360" w:lineRule="auto"/>
        <w:ind w:left="1980" w:leftChars="0" w:hanging="900" w:firstLineChars="0"/>
        <w:rPr>
          <w:rFonts w:hint="eastAsia" w:eastAsiaTheme="minorEastAsia"/>
          <w:sz w:val="24"/>
          <w:lang w:val="en-US" w:eastAsia="zh-CN"/>
        </w:rPr>
      </w:pPr>
      <w:r>
        <w:rPr>
          <w:rFonts w:hint="eastAsia" w:eastAsiaTheme="minorEastAsia"/>
          <w:sz w:val="24"/>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CD987F6">
      <w:pPr>
        <w:numPr>
          <w:ilvl w:val="2"/>
          <w:numId w:val="13"/>
        </w:numPr>
        <w:tabs>
          <w:tab w:val="left" w:pos="1080"/>
          <w:tab w:val="left" w:pos="2014"/>
          <w:tab w:val="clear" w:pos="1980"/>
        </w:tabs>
        <w:snapToGrid w:val="0"/>
        <w:spacing w:line="360" w:lineRule="auto"/>
        <w:ind w:left="1980" w:leftChars="0" w:hanging="900" w:firstLineChars="0"/>
        <w:rPr>
          <w:rFonts w:eastAsiaTheme="minorEastAsia"/>
          <w:sz w:val="24"/>
        </w:rPr>
      </w:pPr>
      <w:r>
        <w:rPr>
          <w:rFonts w:hint="default" w:eastAsiaTheme="minorEastAsia"/>
          <w:sz w:val="24"/>
        </w:rPr>
        <w:t>供应商提供本国产品参加政府采购活动的，应当按照采购文件给定的格式出具《关于符合本国产品标准的声明函》或提供财政部会同有关部门规定的有关证明文件，否则视为非本国产品。</w:t>
      </w:r>
    </w:p>
    <w:p w14:paraId="2A139F6F">
      <w:pPr>
        <w:numPr>
          <w:ilvl w:val="0"/>
          <w:numId w:val="13"/>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122D3834">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4D6C8E28">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E1BC8D7">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7F57D20B">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1B253B0B">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72CBA1B9">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1A6D7C14">
      <w:pPr>
        <w:numPr>
          <w:ilvl w:val="1"/>
          <w:numId w:val="13"/>
        </w:numPr>
        <w:tabs>
          <w:tab w:val="left" w:pos="1080"/>
        </w:tabs>
        <w:snapToGrid w:val="0"/>
        <w:spacing w:line="360" w:lineRule="auto"/>
        <w:ind w:left="1077" w:hanging="720"/>
        <w:rPr>
          <w:rFonts w:eastAsiaTheme="minorEastAsia"/>
          <w:sz w:val="24"/>
        </w:rPr>
      </w:pPr>
      <w:r>
        <w:rPr>
          <w:rFonts w:eastAsiaTheme="minorEastAsia"/>
          <w:sz w:val="24"/>
        </w:rPr>
        <w:t>其他：___</w:t>
      </w:r>
      <w:r>
        <w:rPr>
          <w:rFonts w:hint="eastAsia" w:eastAsiaTheme="minorEastAsia"/>
          <w:sz w:val="24"/>
          <w:u w:val="single"/>
        </w:rPr>
        <w:t>/</w:t>
      </w:r>
      <w:r>
        <w:rPr>
          <w:rFonts w:eastAsiaTheme="minorEastAsia"/>
          <w:sz w:val="24"/>
        </w:rPr>
        <w:t>___。</w:t>
      </w:r>
    </w:p>
    <w:bookmarkEnd w:id="639"/>
    <w:bookmarkEnd w:id="640"/>
    <w:p w14:paraId="32C41FA4">
      <w:pPr>
        <w:numPr>
          <w:ilvl w:val="0"/>
          <w:numId w:val="13"/>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9022066">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10598A7B">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52CBA2BB">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非政府强制采购的节能产品或环境标志产品，依据品目清单和认证证书实施政府优先采购。优先采购的具体规定（如涉及）______。</w:t>
      </w:r>
    </w:p>
    <w:p w14:paraId="30E0F548">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关于无线局域网认证产品政府采购清单中的产品，优先采购的具体规定（如涉及）______。</w:t>
      </w:r>
    </w:p>
    <w:p w14:paraId="3D7318D5">
      <w:pPr>
        <w:numPr>
          <w:ilvl w:val="0"/>
          <w:numId w:val="13"/>
        </w:numPr>
        <w:tabs>
          <w:tab w:val="left" w:pos="360"/>
        </w:tabs>
        <w:snapToGrid w:val="0"/>
        <w:spacing w:line="360" w:lineRule="auto"/>
        <w:outlineLvl w:val="1"/>
        <w:rPr>
          <w:rFonts w:eastAsiaTheme="minorEastAsia"/>
          <w:sz w:val="24"/>
        </w:rPr>
      </w:pPr>
      <w:r>
        <w:rPr>
          <w:rFonts w:eastAsiaTheme="minorEastAsia"/>
          <w:sz w:val="24"/>
        </w:rPr>
        <w:t>确定</w:t>
      </w:r>
      <w:bookmarkStart w:id="657" w:name="_Toc150774751"/>
      <w:bookmarkStart w:id="658" w:name="_Toc265228384"/>
      <w:bookmarkStart w:id="659" w:name="_Toc226337242"/>
      <w:bookmarkStart w:id="660" w:name="_Toc151193934"/>
      <w:bookmarkStart w:id="661" w:name="_Toc226965819"/>
      <w:bookmarkStart w:id="662" w:name="_Toc151193788"/>
      <w:bookmarkStart w:id="663" w:name="_Toc520356170"/>
      <w:bookmarkStart w:id="664" w:name="_Toc150509297"/>
      <w:bookmarkStart w:id="665" w:name="_Toc149720839"/>
      <w:bookmarkStart w:id="666" w:name="_Toc151193644"/>
      <w:bookmarkStart w:id="667" w:name="_Toc164229241"/>
      <w:bookmarkStart w:id="668" w:name="_Toc151193716"/>
      <w:bookmarkStart w:id="669" w:name="_Toc164351640"/>
      <w:bookmarkStart w:id="670" w:name="_Toc127161460"/>
      <w:bookmarkStart w:id="671" w:name="_Toc127151747"/>
      <w:bookmarkStart w:id="672" w:name="_Toc164608660"/>
      <w:bookmarkStart w:id="673" w:name="_Toc164608815"/>
      <w:bookmarkStart w:id="674" w:name="_Toc151190173"/>
      <w:bookmarkStart w:id="675" w:name="_Ref467307010"/>
      <w:bookmarkStart w:id="676" w:name="_Toc127151546"/>
      <w:bookmarkStart w:id="677" w:name="_Toc305158814"/>
      <w:bookmarkStart w:id="678" w:name="_Toc305158888"/>
      <w:bookmarkStart w:id="679" w:name="_Toc150480784"/>
      <w:bookmarkStart w:id="680" w:name="_Toc226965736"/>
      <w:bookmarkStart w:id="681" w:name="_Toc142311048"/>
      <w:bookmarkStart w:id="682" w:name="_Toc150774646"/>
      <w:bookmarkStart w:id="683" w:name="_Toc195842911"/>
      <w:bookmarkStart w:id="684" w:name="_Toc151193860"/>
      <w:bookmarkStart w:id="685" w:name="_Toc264969236"/>
      <w:bookmarkStart w:id="686" w:name="_Toc226309790"/>
      <w:bookmarkStart w:id="687" w:name="_Toc164229387"/>
      <w:r>
        <w:rPr>
          <w:rFonts w:eastAsiaTheme="minorEastAsia"/>
          <w:sz w:val="24"/>
        </w:rPr>
        <w:t>成交候选人名单</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36E2058B">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86CD842">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w:t>
      </w:r>
      <w:r>
        <w:rPr>
          <w:rFonts w:hint="eastAsia"/>
          <w:b/>
          <w:bCs/>
          <w:sz w:val="24"/>
          <w:u w:val="single"/>
        </w:rPr>
        <w:t>3</w:t>
      </w:r>
      <w:r>
        <w:rPr>
          <w:sz w:val="24"/>
        </w:rPr>
        <w:t>__名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34C0073B">
      <w:pPr>
        <w:numPr>
          <w:ilvl w:val="1"/>
          <w:numId w:val="13"/>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4DF344C5">
      <w:pPr>
        <w:numPr>
          <w:ilvl w:val="0"/>
          <w:numId w:val="13"/>
        </w:numPr>
        <w:tabs>
          <w:tab w:val="left" w:pos="360"/>
        </w:tabs>
        <w:snapToGrid w:val="0"/>
        <w:spacing w:line="360" w:lineRule="auto"/>
        <w:outlineLvl w:val="1"/>
        <w:rPr>
          <w:rFonts w:eastAsiaTheme="minorEastAsia"/>
          <w:sz w:val="24"/>
        </w:rPr>
      </w:pPr>
      <w:r>
        <w:rPr>
          <w:rFonts w:eastAsiaTheme="minorEastAsia"/>
          <w:sz w:val="24"/>
        </w:rPr>
        <w:t>报告违法行为</w:t>
      </w:r>
    </w:p>
    <w:p w14:paraId="4287CA8C">
      <w:pPr>
        <w:widowControl/>
        <w:numPr>
          <w:ilvl w:val="1"/>
          <w:numId w:val="13"/>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74A78380">
      <w:pPr>
        <w:widowControl/>
        <w:spacing w:line="360" w:lineRule="auto"/>
        <w:jc w:val="center"/>
        <w:rPr>
          <w:rFonts w:hint="eastAsia" w:ascii="宋体" w:hAnsi="宋体"/>
          <w:sz w:val="24"/>
        </w:rPr>
      </w:pPr>
      <w:r>
        <w:rPr>
          <w:rFonts w:ascii="Times New Roman" w:hAnsi="Times New Roman" w:eastAsiaTheme="minorEastAsia"/>
          <w:sz w:val="24"/>
          <w:szCs w:val="24"/>
        </w:rPr>
        <w:t>二、评审标准</w:t>
      </w:r>
    </w:p>
    <w:tbl>
      <w:tblPr>
        <w:tblStyle w:val="43"/>
        <w:tblW w:w="9490"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268"/>
        <w:gridCol w:w="1206"/>
        <w:gridCol w:w="750"/>
        <w:gridCol w:w="6266"/>
      </w:tblGrid>
      <w:tr w14:paraId="2A771A8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66" w:hRule="atLeast"/>
          <w:jc w:val="center"/>
        </w:trPr>
        <w:tc>
          <w:tcPr>
            <w:tcW w:w="1268" w:type="dxa"/>
            <w:tcBorders>
              <w:top w:val="outset" w:color="000000" w:sz="6" w:space="0"/>
              <w:left w:val="outset" w:color="000000" w:sz="6" w:space="0"/>
              <w:bottom w:val="outset" w:color="000000" w:sz="6" w:space="0"/>
              <w:right w:val="outset" w:color="000000" w:sz="6" w:space="0"/>
            </w:tcBorders>
            <w:noWrap w:val="0"/>
            <w:vAlign w:val="center"/>
          </w:tcPr>
          <w:p w14:paraId="6CA93B28">
            <w:pPr>
              <w:jc w:val="center"/>
              <w:rPr>
                <w:rFonts w:ascii="宋体" w:hAnsi="宋体"/>
                <w:b/>
                <w:sz w:val="24"/>
              </w:rPr>
            </w:pPr>
            <w:r>
              <w:rPr>
                <w:rFonts w:hint="eastAsia" w:ascii="宋体" w:hAnsi="宋体"/>
                <w:b/>
                <w:sz w:val="24"/>
              </w:rPr>
              <w:t>类别</w:t>
            </w: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772B89F5">
            <w:pPr>
              <w:jc w:val="center"/>
              <w:rPr>
                <w:rFonts w:ascii="宋体" w:hAnsi="宋体"/>
                <w:b/>
                <w:sz w:val="24"/>
              </w:rPr>
            </w:pPr>
            <w:r>
              <w:rPr>
                <w:rFonts w:hint="eastAsia" w:ascii="宋体" w:hAnsi="宋体"/>
                <w:b/>
                <w:sz w:val="24"/>
              </w:rPr>
              <w:t>评分项目</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65E4E976">
            <w:pPr>
              <w:jc w:val="center"/>
              <w:rPr>
                <w:rFonts w:ascii="宋体" w:hAnsi="宋体"/>
                <w:b/>
                <w:sz w:val="24"/>
              </w:rPr>
            </w:pPr>
            <w:r>
              <w:rPr>
                <w:rFonts w:hint="eastAsia" w:ascii="宋体" w:hAnsi="宋体"/>
                <w:b/>
                <w:sz w:val="24"/>
              </w:rPr>
              <w:t>分值</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2A9ED560">
            <w:pPr>
              <w:jc w:val="center"/>
              <w:rPr>
                <w:rFonts w:ascii="宋体" w:hAnsi="宋体"/>
                <w:b/>
                <w:sz w:val="24"/>
              </w:rPr>
            </w:pPr>
            <w:r>
              <w:rPr>
                <w:rFonts w:hint="eastAsia" w:ascii="宋体" w:hAnsi="宋体"/>
                <w:b/>
                <w:sz w:val="24"/>
              </w:rPr>
              <w:t>备注</w:t>
            </w:r>
          </w:p>
        </w:tc>
      </w:tr>
      <w:tr w14:paraId="2CE8D8C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484" w:hRule="atLeast"/>
          <w:jc w:val="center"/>
        </w:trPr>
        <w:tc>
          <w:tcPr>
            <w:tcW w:w="1268" w:type="dxa"/>
            <w:tcBorders>
              <w:top w:val="outset" w:color="000000" w:sz="6" w:space="0"/>
              <w:left w:val="outset" w:color="000000" w:sz="6" w:space="0"/>
              <w:bottom w:val="outset" w:color="000000" w:sz="6" w:space="0"/>
              <w:right w:val="outset" w:color="000000" w:sz="6" w:space="0"/>
            </w:tcBorders>
            <w:noWrap w:val="0"/>
            <w:vAlign w:val="center"/>
          </w:tcPr>
          <w:p w14:paraId="0E2925DD">
            <w:pPr>
              <w:spacing w:line="360" w:lineRule="auto"/>
              <w:jc w:val="center"/>
              <w:rPr>
                <w:rFonts w:ascii="宋体" w:hAnsi="宋体" w:cs="宋体"/>
                <w:b/>
                <w:sz w:val="24"/>
              </w:rPr>
            </w:pPr>
            <w:r>
              <w:rPr>
                <w:rFonts w:hint="eastAsia" w:ascii="宋体" w:hAnsi="宋体" w:cs="宋体"/>
                <w:b/>
                <w:sz w:val="24"/>
              </w:rPr>
              <w:t>报价部分</w:t>
            </w:r>
          </w:p>
          <w:p w14:paraId="30267182">
            <w:pPr>
              <w:spacing w:line="360" w:lineRule="auto"/>
              <w:jc w:val="center"/>
              <w:rPr>
                <w:rFonts w:ascii="宋体" w:hAnsi="宋体" w:cs="宋体"/>
                <w:b/>
                <w:sz w:val="24"/>
              </w:rPr>
            </w:pPr>
            <w:r>
              <w:rPr>
                <w:rFonts w:hint="eastAsia" w:ascii="宋体" w:hAnsi="宋体" w:cs="宋体"/>
                <w:b/>
                <w:sz w:val="24"/>
              </w:rPr>
              <w:t>（</w:t>
            </w:r>
            <w:r>
              <w:rPr>
                <w:rFonts w:ascii="宋体" w:hAnsi="宋体" w:cs="宋体"/>
                <w:b/>
                <w:sz w:val="24"/>
              </w:rPr>
              <w:t>1</w:t>
            </w:r>
            <w:r>
              <w:rPr>
                <w:rFonts w:hint="eastAsia" w:ascii="宋体" w:hAnsi="宋体" w:cs="宋体"/>
                <w:b/>
                <w:sz w:val="24"/>
              </w:rPr>
              <w:t>0分）</w:t>
            </w: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414FF3A6">
            <w:pPr>
              <w:spacing w:line="360" w:lineRule="auto"/>
              <w:jc w:val="center"/>
              <w:rPr>
                <w:rFonts w:ascii="宋体" w:hAnsi="宋体" w:cs="宋体"/>
                <w:bCs/>
                <w:sz w:val="24"/>
              </w:rPr>
            </w:pPr>
            <w:r>
              <w:rPr>
                <w:rFonts w:hint="eastAsia" w:ascii="宋体" w:hAnsi="宋体" w:cs="宋体"/>
                <w:bCs/>
                <w:sz w:val="24"/>
              </w:rPr>
              <w:t>投标报价</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0871EA8E">
            <w:pPr>
              <w:spacing w:line="360" w:lineRule="auto"/>
              <w:jc w:val="center"/>
              <w:rPr>
                <w:rFonts w:ascii="宋体" w:hAnsi="宋体" w:cs="宋体"/>
                <w:sz w:val="24"/>
              </w:rPr>
            </w:pPr>
            <w:r>
              <w:rPr>
                <w:rFonts w:ascii="宋体" w:hAnsi="宋体" w:cs="宋体"/>
                <w:sz w:val="24"/>
              </w:rPr>
              <w:t>10</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28DB1DD5">
            <w:pPr>
              <w:spacing w:line="324" w:lineRule="auto"/>
              <w:rPr>
                <w:rFonts w:ascii="宋体" w:hAnsi="宋体" w:cs="宋体"/>
                <w:sz w:val="24"/>
              </w:rPr>
            </w:pPr>
            <w:r>
              <w:rPr>
                <w:rFonts w:hint="eastAsia" w:ascii="宋体" w:hAnsi="宋体" w:cs="宋体"/>
                <w:sz w:val="24"/>
              </w:rPr>
              <w:t>采用低价优先法计算，即满足竞争性磋商文件要求且报价最低</w:t>
            </w:r>
            <w:r>
              <w:rPr>
                <w:rFonts w:hint="eastAsia" w:ascii="宋体" w:hAnsi="宋体" w:cs="宋体"/>
                <w:sz w:val="24"/>
                <w:lang w:val="en-US" w:eastAsia="zh-CN"/>
              </w:rPr>
              <w:t>的</w:t>
            </w:r>
            <w:r>
              <w:rPr>
                <w:rFonts w:hint="eastAsia" w:ascii="宋体" w:hAnsi="宋体" w:cs="宋体"/>
                <w:sz w:val="24"/>
              </w:rPr>
              <w:t>响应报价为评审基准价，其价格为满分。其他供应商的价格分统一按照下列公式计算：</w:t>
            </w:r>
          </w:p>
          <w:p w14:paraId="2CFAEFA1">
            <w:pPr>
              <w:spacing w:line="324" w:lineRule="auto"/>
              <w:rPr>
                <w:rFonts w:ascii="宋体" w:hAnsi="宋体" w:cs="宋体"/>
                <w:sz w:val="24"/>
              </w:rPr>
            </w:pPr>
            <w:r>
              <w:rPr>
                <w:rFonts w:hint="eastAsia" w:ascii="宋体" w:hAnsi="宋体" w:cs="宋体"/>
                <w:sz w:val="24"/>
              </w:rPr>
              <w:t>报价得分=（基准价/最终响应报价）×</w:t>
            </w:r>
            <w:r>
              <w:rPr>
                <w:rFonts w:ascii="宋体" w:hAnsi="宋体" w:cs="宋体"/>
                <w:sz w:val="24"/>
              </w:rPr>
              <w:t>1</w:t>
            </w:r>
            <w:r>
              <w:rPr>
                <w:rFonts w:hint="eastAsia" w:ascii="宋体" w:hAnsi="宋体" w:cs="宋体"/>
                <w:sz w:val="24"/>
              </w:rPr>
              <w:t>0</w:t>
            </w:r>
          </w:p>
        </w:tc>
      </w:tr>
      <w:tr w14:paraId="2D13155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68" w:type="dxa"/>
            <w:tcBorders>
              <w:left w:val="outset" w:color="000000" w:sz="6" w:space="0"/>
              <w:right w:val="outset" w:color="000000" w:sz="6" w:space="0"/>
            </w:tcBorders>
            <w:noWrap w:val="0"/>
            <w:vAlign w:val="center"/>
          </w:tcPr>
          <w:p w14:paraId="1815C27B">
            <w:pPr>
              <w:spacing w:line="360" w:lineRule="auto"/>
              <w:jc w:val="center"/>
              <w:rPr>
                <w:rFonts w:ascii="宋体" w:hAnsi="宋体" w:cs="宋体"/>
                <w:b/>
                <w:sz w:val="24"/>
              </w:rPr>
            </w:pPr>
            <w:r>
              <w:rPr>
                <w:rFonts w:hint="eastAsia" w:ascii="宋体" w:hAnsi="宋体" w:cs="宋体"/>
                <w:b/>
                <w:sz w:val="24"/>
              </w:rPr>
              <w:t>商务部分</w:t>
            </w:r>
          </w:p>
          <w:p w14:paraId="06ABC71E">
            <w:pPr>
              <w:spacing w:line="360" w:lineRule="auto"/>
              <w:jc w:val="center"/>
              <w:rPr>
                <w:rFonts w:ascii="宋体" w:hAnsi="宋体" w:cs="宋体"/>
                <w:b/>
                <w:sz w:val="24"/>
              </w:rPr>
            </w:pPr>
            <w:r>
              <w:rPr>
                <w:rFonts w:hint="eastAsia" w:ascii="宋体" w:hAnsi="宋体" w:cs="宋体"/>
                <w:b/>
                <w:sz w:val="24"/>
              </w:rPr>
              <w:t>（</w:t>
            </w:r>
            <w:r>
              <w:rPr>
                <w:rFonts w:hint="eastAsia" w:ascii="宋体" w:hAnsi="宋体" w:cs="宋体"/>
                <w:b/>
                <w:sz w:val="24"/>
                <w:lang w:val="en-US" w:eastAsia="zh-CN"/>
              </w:rPr>
              <w:t>15</w:t>
            </w:r>
            <w:r>
              <w:rPr>
                <w:rFonts w:hint="eastAsia" w:ascii="宋体" w:hAnsi="宋体" w:cs="宋体"/>
                <w:b/>
                <w:sz w:val="24"/>
              </w:rPr>
              <w:t>分）</w:t>
            </w: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66CD2C98">
            <w:pPr>
              <w:spacing w:line="360" w:lineRule="auto"/>
              <w:jc w:val="center"/>
              <w:rPr>
                <w:rFonts w:ascii="宋体" w:hAnsi="宋体" w:cs="宋体"/>
                <w:bCs/>
                <w:sz w:val="24"/>
              </w:rPr>
            </w:pPr>
            <w:r>
              <w:rPr>
                <w:rFonts w:hint="eastAsia" w:ascii="宋体" w:hAnsi="宋体" w:cs="宋体"/>
                <w:bCs/>
                <w:sz w:val="24"/>
              </w:rPr>
              <w:t>综合业绩</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528A0202">
            <w:pPr>
              <w:spacing w:line="360" w:lineRule="auto"/>
              <w:jc w:val="center"/>
              <w:rPr>
                <w:rFonts w:hint="eastAsia" w:ascii="宋体" w:hAnsi="宋体" w:eastAsia="宋体" w:cs="宋体"/>
                <w:sz w:val="24"/>
                <w:lang w:eastAsia="zh-CN"/>
              </w:rPr>
            </w:pPr>
            <w:r>
              <w:rPr>
                <w:rFonts w:ascii="宋体" w:hAnsi="宋体" w:cs="宋体"/>
                <w:sz w:val="24"/>
                <w:highlight w:val="none"/>
              </w:rPr>
              <w:t>1</w:t>
            </w:r>
            <w:r>
              <w:rPr>
                <w:rFonts w:hint="eastAsia" w:ascii="宋体" w:hAnsi="宋体" w:cs="宋体"/>
                <w:sz w:val="24"/>
                <w:highlight w:val="none"/>
                <w:lang w:val="en-US" w:eastAsia="zh-CN"/>
              </w:rPr>
              <w:t>5</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7E2C4C09">
            <w:pPr>
              <w:spacing w:line="324" w:lineRule="auto"/>
              <w:rPr>
                <w:rFonts w:ascii="宋体" w:hAnsi="宋体" w:cs="宋体"/>
                <w:sz w:val="24"/>
              </w:rPr>
            </w:pPr>
            <w:r>
              <w:rPr>
                <w:rFonts w:hint="eastAsia" w:ascii="宋体" w:hAnsi="宋体" w:cs="宋体"/>
                <w:sz w:val="24"/>
              </w:rPr>
              <w:t>综合考虑</w:t>
            </w:r>
            <w:r>
              <w:rPr>
                <w:rFonts w:hint="eastAsia" w:ascii="宋体" w:hAnsi="宋体"/>
                <w:sz w:val="24"/>
              </w:rPr>
              <w:t>供应商</w:t>
            </w:r>
            <w:r>
              <w:rPr>
                <w:rFonts w:hint="eastAsia" w:ascii="宋体" w:hAnsi="宋体" w:cs="宋体"/>
                <w:sz w:val="24"/>
              </w:rPr>
              <w:t>承担过的与本项目</w:t>
            </w:r>
            <w:r>
              <w:rPr>
                <w:rFonts w:hint="eastAsia" w:ascii="宋体" w:hAnsi="宋体" w:cs="宋体"/>
                <w:sz w:val="24"/>
                <w:lang w:val="en-US" w:eastAsia="zh-CN"/>
              </w:rPr>
              <w:t>类似</w:t>
            </w:r>
            <w:r>
              <w:rPr>
                <w:rFonts w:hint="eastAsia" w:ascii="宋体" w:hAnsi="宋体" w:cs="宋体"/>
                <w:sz w:val="24"/>
              </w:rPr>
              <w:t>项目业绩</w:t>
            </w:r>
            <w:r>
              <w:rPr>
                <w:rFonts w:hint="eastAsia" w:ascii="宋体" w:hAnsi="宋体" w:cs="宋体"/>
                <w:sz w:val="24"/>
                <w:lang w:eastAsia="zh-CN"/>
              </w:rPr>
              <w:t>（</w:t>
            </w:r>
            <w:r>
              <w:rPr>
                <w:rFonts w:hint="eastAsia" w:ascii="宋体" w:hAnsi="宋体" w:cs="宋体"/>
                <w:sz w:val="24"/>
              </w:rPr>
              <w:t>装饰装修或改造类</w:t>
            </w:r>
            <w:r>
              <w:rPr>
                <w:rFonts w:hint="eastAsia" w:ascii="宋体" w:hAnsi="宋体" w:cs="宋体"/>
                <w:sz w:val="24"/>
                <w:lang w:eastAsia="zh-CN"/>
              </w:rPr>
              <w:t>）</w:t>
            </w:r>
            <w:r>
              <w:rPr>
                <w:rFonts w:hint="eastAsia" w:ascii="宋体" w:hAnsi="宋体" w:cs="宋体"/>
                <w:sz w:val="24"/>
              </w:rPr>
              <w:t>每提供一项有效案例得</w:t>
            </w:r>
            <w:r>
              <w:rPr>
                <w:rFonts w:hint="eastAsia" w:ascii="宋体" w:hAnsi="宋体" w:cs="宋体"/>
                <w:sz w:val="24"/>
                <w:lang w:val="en-US" w:eastAsia="zh-CN"/>
              </w:rPr>
              <w:t>5</w:t>
            </w:r>
            <w:r>
              <w:rPr>
                <w:rFonts w:hint="eastAsia" w:ascii="宋体" w:hAnsi="宋体" w:cs="宋体"/>
                <w:sz w:val="24"/>
              </w:rPr>
              <w:t>分，本项最多得</w:t>
            </w:r>
            <w:r>
              <w:rPr>
                <w:rFonts w:hint="eastAsia" w:ascii="宋体" w:hAnsi="宋体" w:cs="宋体"/>
                <w:sz w:val="24"/>
                <w:lang w:val="en-US" w:eastAsia="zh-CN"/>
              </w:rPr>
              <w:t>15</w:t>
            </w:r>
            <w:r>
              <w:rPr>
                <w:rFonts w:hint="eastAsia" w:ascii="宋体" w:hAnsi="宋体" w:cs="宋体"/>
                <w:sz w:val="24"/>
              </w:rPr>
              <w:t>分。</w:t>
            </w:r>
          </w:p>
          <w:p w14:paraId="13E6B0FA">
            <w:pPr>
              <w:spacing w:line="324" w:lineRule="auto"/>
              <w:rPr>
                <w:rFonts w:ascii="宋体" w:hAnsi="宋体" w:cs="宋体"/>
                <w:sz w:val="24"/>
              </w:rPr>
            </w:pPr>
            <w:r>
              <w:rPr>
                <w:rFonts w:hint="eastAsia" w:ascii="宋体" w:hAnsi="宋体" w:cs="宋体"/>
                <w:sz w:val="24"/>
              </w:rPr>
              <w:t>注</w:t>
            </w:r>
            <w:r>
              <w:rPr>
                <w:rFonts w:ascii="宋体" w:hAnsi="宋体" w:cs="宋体"/>
                <w:sz w:val="24"/>
              </w:rPr>
              <w:t>：业绩合同或其他形式的业绩证明材料复印件（加盖公章），否则评委可不计分。（合同复印件</w:t>
            </w:r>
            <w:r>
              <w:rPr>
                <w:rFonts w:hint="eastAsia" w:ascii="宋体" w:hAnsi="宋体" w:cs="宋体"/>
                <w:sz w:val="24"/>
              </w:rPr>
              <w:t>或其他形式的业绩证明材料</w:t>
            </w:r>
            <w:r>
              <w:rPr>
                <w:rFonts w:ascii="宋体" w:hAnsi="宋体" w:cs="宋体"/>
                <w:sz w:val="24"/>
              </w:rPr>
              <w:t>应能够体现签约双方名称及加盖的公章、</w:t>
            </w:r>
            <w:r>
              <w:rPr>
                <w:rFonts w:hint="eastAsia" w:ascii="宋体" w:hAnsi="宋体" w:cs="宋体"/>
                <w:sz w:val="24"/>
              </w:rPr>
              <w:t>服务</w:t>
            </w:r>
            <w:r>
              <w:rPr>
                <w:rFonts w:ascii="宋体" w:hAnsi="宋体" w:cs="宋体"/>
                <w:sz w:val="24"/>
              </w:rPr>
              <w:t>时间、服务内容及其他能够证明符合上述评分要求的相关内容。）</w:t>
            </w:r>
          </w:p>
        </w:tc>
      </w:tr>
      <w:tr w14:paraId="60C2391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68" w:type="dxa"/>
            <w:vMerge w:val="restart"/>
            <w:tcBorders>
              <w:top w:val="outset" w:color="000000" w:sz="6" w:space="0"/>
              <w:left w:val="outset" w:color="000000" w:sz="6" w:space="0"/>
              <w:right w:val="outset" w:color="000000" w:sz="6" w:space="0"/>
            </w:tcBorders>
            <w:noWrap w:val="0"/>
            <w:vAlign w:val="center"/>
          </w:tcPr>
          <w:p w14:paraId="40D1C9B0">
            <w:pPr>
              <w:spacing w:line="360" w:lineRule="auto"/>
              <w:jc w:val="center"/>
              <w:rPr>
                <w:rFonts w:hint="eastAsia" w:ascii="宋体" w:hAnsi="宋体" w:cs="宋体"/>
                <w:b/>
                <w:sz w:val="24"/>
                <w:lang w:val="en-US" w:eastAsia="zh-CN"/>
              </w:rPr>
            </w:pPr>
            <w:r>
              <w:rPr>
                <w:rFonts w:hint="eastAsia" w:ascii="宋体" w:hAnsi="宋体" w:cs="宋体"/>
                <w:b/>
                <w:sz w:val="24"/>
                <w:lang w:val="en-US" w:eastAsia="zh-CN"/>
              </w:rPr>
              <w:t>技术部分</w:t>
            </w:r>
          </w:p>
          <w:p w14:paraId="2BC65C8E">
            <w:pPr>
              <w:spacing w:line="360" w:lineRule="auto"/>
              <w:jc w:val="center"/>
              <w:rPr>
                <w:rFonts w:hint="eastAsia" w:ascii="宋体" w:hAnsi="宋体" w:cs="宋体"/>
                <w:b/>
                <w:sz w:val="24"/>
                <w:lang w:val="en-US" w:eastAsia="zh-CN"/>
              </w:rPr>
            </w:pPr>
            <w:r>
              <w:rPr>
                <w:rFonts w:hint="eastAsia" w:ascii="宋体" w:hAnsi="宋体" w:cs="宋体"/>
                <w:b/>
                <w:sz w:val="24"/>
                <w:lang w:val="en-US" w:eastAsia="zh-CN"/>
              </w:rPr>
              <w:t>（75分）</w:t>
            </w:r>
          </w:p>
        </w:tc>
        <w:tc>
          <w:tcPr>
            <w:tcW w:w="1206" w:type="dxa"/>
            <w:tcBorders>
              <w:top w:val="outset" w:color="000000" w:sz="6" w:space="0"/>
              <w:left w:val="outset" w:color="000000" w:sz="6" w:space="0"/>
              <w:right w:val="outset" w:color="000000" w:sz="6" w:space="0"/>
            </w:tcBorders>
            <w:noWrap w:val="0"/>
            <w:vAlign w:val="center"/>
          </w:tcPr>
          <w:p w14:paraId="2CD59370">
            <w:pPr>
              <w:spacing w:line="360" w:lineRule="auto"/>
              <w:jc w:val="center"/>
            </w:pPr>
            <w:r>
              <w:rPr>
                <w:rFonts w:hint="eastAsia" w:ascii="宋体" w:hAnsi="宋体" w:cs="宋体"/>
                <w:bCs/>
                <w:sz w:val="24"/>
              </w:rPr>
              <w:t>整体方案</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0EC16DD8">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15</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1E28AEC3">
            <w:pPr>
              <w:spacing w:line="336" w:lineRule="auto"/>
              <w:rPr>
                <w:rFonts w:hint="eastAsia" w:ascii="宋体" w:hAnsi="宋体" w:eastAsia="宋体" w:cs="宋体"/>
                <w:sz w:val="24"/>
                <w:lang w:eastAsia="zh-CN"/>
              </w:rPr>
            </w:pPr>
            <w:r>
              <w:rPr>
                <w:rFonts w:hint="eastAsia" w:ascii="宋体" w:hAnsi="宋体" w:cs="宋体"/>
                <w:sz w:val="24"/>
              </w:rPr>
              <w:t>综合考虑</w:t>
            </w:r>
            <w:r>
              <w:rPr>
                <w:rFonts w:hint="eastAsia" w:ascii="宋体" w:hAnsi="宋体"/>
                <w:sz w:val="24"/>
              </w:rPr>
              <w:t>供应商</w:t>
            </w:r>
            <w:r>
              <w:rPr>
                <w:rFonts w:hint="eastAsia" w:ascii="宋体" w:hAnsi="宋体" w:cs="宋体"/>
                <w:sz w:val="24"/>
              </w:rPr>
              <w:t>提供的项目整体方案</w:t>
            </w:r>
            <w:r>
              <w:rPr>
                <w:rFonts w:hint="eastAsia" w:ascii="宋体" w:hAnsi="宋体" w:cs="宋体"/>
                <w:sz w:val="24"/>
                <w:lang w:eastAsia="zh-CN"/>
              </w:rPr>
              <w:t>。</w:t>
            </w:r>
          </w:p>
          <w:p w14:paraId="3608E8B4">
            <w:pPr>
              <w:spacing w:line="336" w:lineRule="auto"/>
              <w:rPr>
                <w:rFonts w:ascii="宋体" w:hAnsi="宋体" w:cs="宋体"/>
                <w:sz w:val="24"/>
              </w:rPr>
            </w:pPr>
            <w:r>
              <w:rPr>
                <w:rFonts w:hint="eastAsia" w:ascii="宋体" w:hAnsi="宋体" w:cs="宋体"/>
                <w:sz w:val="24"/>
              </w:rPr>
              <w:t xml:space="preserve">方案完整、合理、针对性强，完全满足项目需要的得 </w:t>
            </w:r>
            <w:r>
              <w:rPr>
                <w:rFonts w:hint="eastAsia" w:ascii="宋体" w:hAnsi="宋体" w:cs="宋体"/>
                <w:sz w:val="24"/>
                <w:lang w:val="en-US" w:eastAsia="zh-CN"/>
              </w:rPr>
              <w:t>15</w:t>
            </w:r>
            <w:r>
              <w:rPr>
                <w:rFonts w:hint="eastAsia" w:ascii="宋体" w:hAnsi="宋体" w:cs="宋体"/>
                <w:sz w:val="24"/>
              </w:rPr>
              <w:t>分；</w:t>
            </w:r>
          </w:p>
          <w:p w14:paraId="0ED37AB7">
            <w:pPr>
              <w:spacing w:line="336" w:lineRule="auto"/>
              <w:rPr>
                <w:rFonts w:ascii="宋体" w:hAnsi="宋体" w:cs="宋体"/>
                <w:sz w:val="24"/>
              </w:rPr>
            </w:pPr>
            <w:r>
              <w:rPr>
                <w:rFonts w:hint="eastAsia" w:ascii="宋体" w:hAnsi="宋体" w:cs="宋体"/>
                <w:sz w:val="24"/>
              </w:rPr>
              <w:t xml:space="preserve">方案基本完整、合理、有一定针对性，满足项目需要的得 </w:t>
            </w:r>
            <w:r>
              <w:rPr>
                <w:rFonts w:hint="eastAsia" w:ascii="宋体" w:hAnsi="宋体" w:cs="宋体"/>
                <w:sz w:val="24"/>
                <w:lang w:val="en-US" w:eastAsia="zh-CN"/>
              </w:rPr>
              <w:t>12</w:t>
            </w:r>
            <w:r>
              <w:rPr>
                <w:rFonts w:hint="eastAsia" w:ascii="宋体" w:hAnsi="宋体" w:cs="宋体"/>
                <w:sz w:val="24"/>
              </w:rPr>
              <w:t>分；</w:t>
            </w:r>
          </w:p>
          <w:p w14:paraId="69FEB4B4">
            <w:pPr>
              <w:spacing w:line="336" w:lineRule="auto"/>
              <w:rPr>
                <w:rFonts w:ascii="宋体" w:hAnsi="宋体" w:cs="宋体"/>
                <w:sz w:val="24"/>
              </w:rPr>
            </w:pPr>
            <w:r>
              <w:rPr>
                <w:rFonts w:hint="eastAsia" w:ascii="宋体" w:hAnsi="宋体" w:cs="宋体"/>
                <w:sz w:val="24"/>
              </w:rPr>
              <w:t>方案完整性、合理性、针对性一般，基本满足项目需要的得</w:t>
            </w:r>
            <w:r>
              <w:rPr>
                <w:rFonts w:hint="eastAsia" w:ascii="宋体" w:hAnsi="宋体" w:cs="宋体"/>
                <w:sz w:val="24"/>
                <w:lang w:val="en-US" w:eastAsia="zh-CN"/>
              </w:rPr>
              <w:t>8</w:t>
            </w:r>
            <w:r>
              <w:rPr>
                <w:rFonts w:hint="eastAsia" w:ascii="宋体" w:hAnsi="宋体" w:cs="宋体"/>
                <w:sz w:val="24"/>
              </w:rPr>
              <w:t>分；</w:t>
            </w:r>
          </w:p>
          <w:p w14:paraId="1180B275">
            <w:pPr>
              <w:spacing w:line="336" w:lineRule="auto"/>
              <w:rPr>
                <w:rFonts w:ascii="宋体" w:hAnsi="宋体" w:cs="宋体"/>
                <w:sz w:val="24"/>
              </w:rPr>
            </w:pPr>
            <w:r>
              <w:rPr>
                <w:rFonts w:hint="eastAsia" w:ascii="宋体" w:hAnsi="宋体" w:cs="宋体"/>
                <w:sz w:val="24"/>
              </w:rPr>
              <w:t>方案完整性、合理性、针对性较差，基本不满足项目需要的得</w:t>
            </w:r>
            <w:r>
              <w:rPr>
                <w:rFonts w:hint="eastAsia" w:ascii="宋体" w:hAnsi="宋体" w:cs="宋体"/>
                <w:sz w:val="24"/>
                <w:lang w:val="en-US" w:eastAsia="zh-CN"/>
              </w:rPr>
              <w:t>5</w:t>
            </w:r>
            <w:r>
              <w:rPr>
                <w:rFonts w:hint="eastAsia" w:ascii="宋体" w:hAnsi="宋体" w:cs="宋体"/>
                <w:sz w:val="24"/>
              </w:rPr>
              <w:t>分；</w:t>
            </w:r>
          </w:p>
          <w:p w14:paraId="1E281591">
            <w:pPr>
              <w:spacing w:line="336" w:lineRule="auto"/>
              <w:rPr>
                <w:rFonts w:ascii="宋体" w:hAnsi="宋体" w:cs="宋体"/>
                <w:sz w:val="24"/>
              </w:rPr>
            </w:pPr>
            <w:r>
              <w:rPr>
                <w:rFonts w:hint="eastAsia" w:ascii="宋体" w:hAnsi="宋体" w:cs="宋体"/>
                <w:sz w:val="24"/>
              </w:rPr>
              <w:t>方案完整性、合理性、针对性差，不满足项目需要的得</w:t>
            </w:r>
            <w:r>
              <w:rPr>
                <w:rFonts w:hint="eastAsia" w:ascii="宋体" w:hAnsi="宋体" w:cs="宋体"/>
                <w:sz w:val="24"/>
                <w:lang w:val="en-US" w:eastAsia="zh-CN"/>
              </w:rPr>
              <w:t>3</w:t>
            </w:r>
            <w:r>
              <w:rPr>
                <w:rFonts w:hint="eastAsia" w:ascii="宋体" w:hAnsi="宋体" w:cs="宋体"/>
                <w:sz w:val="24"/>
              </w:rPr>
              <w:t>分；</w:t>
            </w:r>
          </w:p>
          <w:p w14:paraId="6A7D43EF">
            <w:pPr>
              <w:spacing w:line="336" w:lineRule="auto"/>
              <w:rPr>
                <w:rFonts w:ascii="宋体" w:hAnsi="宋体" w:cs="宋体"/>
                <w:sz w:val="24"/>
              </w:rPr>
            </w:pPr>
            <w:r>
              <w:rPr>
                <w:rFonts w:hint="eastAsia" w:ascii="宋体" w:hAnsi="宋体" w:cs="宋体"/>
                <w:sz w:val="24"/>
              </w:rPr>
              <w:t>不提供得 0 分。</w:t>
            </w:r>
          </w:p>
        </w:tc>
      </w:tr>
      <w:tr w14:paraId="58A3CEC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11" w:hRule="atLeast"/>
          <w:jc w:val="center"/>
        </w:trPr>
        <w:tc>
          <w:tcPr>
            <w:tcW w:w="1268" w:type="dxa"/>
            <w:vMerge w:val="continue"/>
            <w:tcBorders>
              <w:left w:val="outset" w:color="000000" w:sz="6" w:space="0"/>
              <w:right w:val="outset" w:color="000000" w:sz="6" w:space="0"/>
            </w:tcBorders>
            <w:noWrap w:val="0"/>
            <w:vAlign w:val="center"/>
          </w:tcPr>
          <w:p w14:paraId="0A10E876">
            <w:pPr>
              <w:spacing w:line="360" w:lineRule="auto"/>
              <w:jc w:val="center"/>
              <w:rPr>
                <w:rFonts w:ascii="宋体" w:hAnsi="宋体" w:cs="宋体"/>
                <w:sz w:val="24"/>
              </w:rPr>
            </w:pP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245CB16B">
            <w:pPr>
              <w:jc w:val="center"/>
              <w:textAlignment w:val="center"/>
              <w:rPr>
                <w:rFonts w:ascii="宋体" w:hAnsi="宋体" w:cs="宋体"/>
                <w:sz w:val="24"/>
              </w:rPr>
            </w:pPr>
            <w:r>
              <w:rPr>
                <w:rFonts w:hint="eastAsia" w:ascii="宋体" w:hAnsi="宋体"/>
                <w:bCs/>
                <w:sz w:val="24"/>
              </w:rPr>
              <w:t>项目管理机构组成人员</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694908A8">
            <w:pPr>
              <w:spacing w:line="360" w:lineRule="auto"/>
              <w:jc w:val="center"/>
              <w:rPr>
                <w:rFonts w:ascii="宋体" w:hAnsi="宋体" w:cs="宋体"/>
                <w:sz w:val="24"/>
              </w:rPr>
            </w:pPr>
            <w:r>
              <w:rPr>
                <w:rFonts w:ascii="宋体" w:hAnsi="宋体" w:cs="宋体"/>
                <w:sz w:val="24"/>
              </w:rPr>
              <w:t>10</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66262279">
            <w:pPr>
              <w:spacing w:line="324" w:lineRule="auto"/>
              <w:rPr>
                <w:rFonts w:ascii="宋体" w:hAnsi="宋体" w:cs="宋体"/>
                <w:sz w:val="24"/>
              </w:rPr>
            </w:pPr>
            <w:r>
              <w:rPr>
                <w:rFonts w:hint="eastAsia" w:ascii="宋体" w:hAnsi="宋体" w:cs="宋体"/>
                <w:sz w:val="24"/>
              </w:rPr>
              <w:t>（1）人员配备较完善全面，能满足工程需要得</w:t>
            </w:r>
            <w:r>
              <w:rPr>
                <w:rFonts w:ascii="宋体" w:hAnsi="宋体" w:cs="宋体"/>
                <w:sz w:val="24"/>
              </w:rPr>
              <w:t>10</w:t>
            </w:r>
            <w:r>
              <w:rPr>
                <w:rFonts w:hint="eastAsia" w:ascii="宋体" w:hAnsi="宋体" w:cs="宋体"/>
                <w:sz w:val="24"/>
              </w:rPr>
              <w:t>分；</w:t>
            </w:r>
          </w:p>
          <w:p w14:paraId="129671F8">
            <w:pPr>
              <w:spacing w:line="324" w:lineRule="auto"/>
              <w:rPr>
                <w:rFonts w:ascii="宋体" w:hAnsi="宋体" w:cs="宋体"/>
                <w:sz w:val="24"/>
              </w:rPr>
            </w:pPr>
            <w:r>
              <w:rPr>
                <w:rFonts w:hint="eastAsia" w:ascii="宋体" w:hAnsi="宋体" w:cs="宋体"/>
                <w:sz w:val="24"/>
              </w:rPr>
              <w:t>（2）人员配备一般，基本满足工程需要得</w:t>
            </w:r>
            <w:r>
              <w:rPr>
                <w:rFonts w:ascii="宋体" w:hAnsi="宋体" w:cs="宋体"/>
                <w:sz w:val="24"/>
              </w:rPr>
              <w:t>7</w:t>
            </w:r>
            <w:r>
              <w:rPr>
                <w:rFonts w:hint="eastAsia" w:ascii="宋体" w:hAnsi="宋体" w:cs="宋体"/>
                <w:sz w:val="24"/>
              </w:rPr>
              <w:t>分；</w:t>
            </w:r>
          </w:p>
          <w:p w14:paraId="2262C37C">
            <w:pPr>
              <w:spacing w:line="324" w:lineRule="auto"/>
              <w:rPr>
                <w:rFonts w:ascii="宋体" w:hAnsi="宋体" w:cs="宋体"/>
                <w:sz w:val="24"/>
              </w:rPr>
            </w:pPr>
            <w:r>
              <w:rPr>
                <w:rFonts w:hint="eastAsia" w:ascii="宋体" w:hAnsi="宋体" w:cs="宋体"/>
                <w:sz w:val="24"/>
              </w:rPr>
              <w:t>（3）人员配备</w:t>
            </w:r>
            <w:r>
              <w:rPr>
                <w:rFonts w:hint="eastAsia" w:ascii="宋体" w:hAnsi="宋体" w:cs="宋体"/>
                <w:sz w:val="24"/>
                <w:lang w:val="en-US" w:eastAsia="zh-CN"/>
              </w:rPr>
              <w:t>不合理，不</w:t>
            </w:r>
            <w:r>
              <w:rPr>
                <w:rFonts w:hint="eastAsia" w:ascii="宋体" w:hAnsi="宋体" w:cs="宋体"/>
                <w:sz w:val="24"/>
              </w:rPr>
              <w:t>满足工程需要</w:t>
            </w:r>
            <w:r>
              <w:rPr>
                <w:rFonts w:hint="eastAsia" w:ascii="宋体" w:hAnsi="宋体" w:cs="宋体"/>
                <w:sz w:val="24"/>
                <w:lang w:val="en-US" w:eastAsia="zh-CN"/>
              </w:rPr>
              <w:t>或</w:t>
            </w:r>
            <w:r>
              <w:rPr>
                <w:rFonts w:hint="eastAsia" w:ascii="宋体" w:hAnsi="宋体" w:cs="宋体"/>
                <w:sz w:val="24"/>
              </w:rPr>
              <w:t>未提供相关人员培训内容的不得分。</w:t>
            </w:r>
          </w:p>
        </w:tc>
      </w:tr>
      <w:tr w14:paraId="29ADE4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268" w:type="dxa"/>
            <w:vMerge w:val="continue"/>
            <w:tcBorders>
              <w:left w:val="outset" w:color="000000" w:sz="6" w:space="0"/>
              <w:right w:val="outset" w:color="000000" w:sz="6" w:space="0"/>
            </w:tcBorders>
            <w:noWrap w:val="0"/>
            <w:vAlign w:val="center"/>
          </w:tcPr>
          <w:p w14:paraId="1602F3EB">
            <w:pPr>
              <w:spacing w:line="360" w:lineRule="auto"/>
              <w:jc w:val="center"/>
              <w:rPr>
                <w:rFonts w:ascii="宋体" w:hAnsi="宋体" w:cs="宋体"/>
                <w:sz w:val="24"/>
              </w:rPr>
            </w:pP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794AFFAE">
            <w:pPr>
              <w:spacing w:line="360" w:lineRule="auto"/>
              <w:jc w:val="center"/>
              <w:rPr>
                <w:rFonts w:ascii="宋体" w:hAnsi="宋体" w:cs="宋体"/>
                <w:bCs/>
                <w:sz w:val="24"/>
              </w:rPr>
            </w:pPr>
            <w:r>
              <w:rPr>
                <w:rFonts w:hint="eastAsia" w:ascii="宋体" w:hAnsi="宋体"/>
                <w:bCs/>
                <w:sz w:val="24"/>
              </w:rPr>
              <w:t>质量保证体系及措施</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5F66441B">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15</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63BABF16">
            <w:pPr>
              <w:spacing w:line="324" w:lineRule="auto"/>
              <w:ind w:left="240" w:hanging="240" w:hangingChars="100"/>
              <w:rPr>
                <w:rFonts w:ascii="宋体" w:hAnsi="宋体" w:cs="宋体"/>
                <w:sz w:val="24"/>
              </w:rPr>
            </w:pPr>
            <w:r>
              <w:rPr>
                <w:rFonts w:hint="eastAsia" w:ascii="宋体" w:hAnsi="宋体" w:cs="宋体"/>
                <w:sz w:val="24"/>
              </w:rPr>
              <w:t>（1）方案完整、内容全面、描述清晰、针对性强、健全、科学、合理、具有先进性、切实可行、完全满足本项目质量需求得</w:t>
            </w:r>
            <w:r>
              <w:rPr>
                <w:rFonts w:hint="eastAsia" w:ascii="宋体" w:hAnsi="宋体" w:cs="宋体"/>
                <w:sz w:val="24"/>
                <w:lang w:val="en-US" w:eastAsia="zh-CN"/>
              </w:rPr>
              <w:t>15</w:t>
            </w:r>
            <w:r>
              <w:rPr>
                <w:rFonts w:hint="eastAsia" w:ascii="宋体" w:hAnsi="宋体" w:cs="宋体"/>
                <w:sz w:val="24"/>
              </w:rPr>
              <w:t>分；</w:t>
            </w:r>
          </w:p>
          <w:p w14:paraId="7CFF89FE">
            <w:pPr>
              <w:spacing w:line="324" w:lineRule="auto"/>
              <w:ind w:left="240" w:hanging="240" w:hangingChars="100"/>
              <w:rPr>
                <w:rFonts w:hint="eastAsia" w:ascii="宋体" w:hAnsi="宋体" w:cs="宋体"/>
                <w:sz w:val="24"/>
              </w:rPr>
            </w:pPr>
            <w:r>
              <w:rPr>
                <w:rFonts w:hint="eastAsia" w:ascii="宋体" w:hAnsi="宋体" w:cs="宋体"/>
                <w:sz w:val="24"/>
              </w:rPr>
              <w:t>（2）方案不够完整、内容不够全面、描述不够清晰、针对性不够强、不够健全、不够科学、不够合理、不够切实可行，基本满足本项目质量需求，整体细节待完善得</w:t>
            </w:r>
            <w:r>
              <w:rPr>
                <w:rFonts w:hint="eastAsia" w:ascii="宋体" w:hAnsi="宋体" w:cs="宋体"/>
                <w:sz w:val="24"/>
                <w:lang w:val="en-US" w:eastAsia="zh-CN"/>
              </w:rPr>
              <w:t>12</w:t>
            </w:r>
            <w:r>
              <w:rPr>
                <w:rFonts w:hint="eastAsia" w:ascii="宋体" w:hAnsi="宋体" w:cs="宋体"/>
                <w:sz w:val="24"/>
              </w:rPr>
              <w:t>分；</w:t>
            </w:r>
          </w:p>
          <w:p w14:paraId="375F9E77">
            <w:pPr>
              <w:spacing w:line="324" w:lineRule="auto"/>
              <w:rPr>
                <w:rFonts w:hint="eastAsia" w:ascii="宋体" w:hAnsi="宋体" w:cs="宋体"/>
                <w:sz w:val="24"/>
                <w:lang w:val="en-US" w:eastAsia="zh-CN"/>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rPr>
              <w:t>方案不完整、内容不全面、描述不清晰、针对性不强</w:t>
            </w:r>
            <w:r>
              <w:rPr>
                <w:rFonts w:hint="eastAsia" w:ascii="宋体" w:hAnsi="宋体" w:cs="宋体"/>
                <w:sz w:val="24"/>
                <w:lang w:val="en-US" w:eastAsia="zh-CN"/>
              </w:rPr>
              <w:t>得8分。</w:t>
            </w:r>
          </w:p>
          <w:p w14:paraId="5CD90E25">
            <w:pPr>
              <w:spacing w:line="324" w:lineRule="auto"/>
              <w:rPr>
                <w:rFonts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4</w:t>
            </w:r>
            <w:r>
              <w:rPr>
                <w:rFonts w:hint="eastAsia" w:ascii="宋体" w:hAnsi="宋体" w:cs="宋体"/>
                <w:sz w:val="24"/>
                <w:lang w:eastAsia="zh-CN"/>
              </w:rPr>
              <w:t>）</w:t>
            </w:r>
            <w:r>
              <w:rPr>
                <w:rFonts w:hint="eastAsia" w:ascii="宋体" w:hAnsi="宋体" w:cs="宋体"/>
                <w:sz w:val="24"/>
                <w:lang w:val="en-US" w:eastAsia="zh-CN"/>
              </w:rPr>
              <w:t>未提供</w:t>
            </w:r>
            <w:r>
              <w:rPr>
                <w:rFonts w:hint="eastAsia" w:ascii="宋体" w:hAnsi="宋体" w:cs="宋体"/>
                <w:sz w:val="24"/>
              </w:rPr>
              <w:t>不得分。</w:t>
            </w:r>
          </w:p>
        </w:tc>
      </w:tr>
      <w:tr w14:paraId="1EB2902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68" w:type="dxa"/>
            <w:vMerge w:val="continue"/>
            <w:tcBorders>
              <w:left w:val="outset" w:color="000000" w:sz="6" w:space="0"/>
              <w:right w:val="outset" w:color="000000" w:sz="6" w:space="0"/>
            </w:tcBorders>
            <w:noWrap w:val="0"/>
            <w:vAlign w:val="center"/>
          </w:tcPr>
          <w:p w14:paraId="2BB23E73">
            <w:pPr>
              <w:spacing w:line="360" w:lineRule="auto"/>
              <w:jc w:val="center"/>
              <w:rPr>
                <w:rFonts w:ascii="宋体" w:hAnsi="宋体" w:cs="宋体"/>
                <w:sz w:val="24"/>
              </w:rPr>
            </w:pP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00CBD01E">
            <w:pPr>
              <w:spacing w:line="360" w:lineRule="auto"/>
              <w:jc w:val="center"/>
              <w:rPr>
                <w:rFonts w:ascii="宋体" w:hAnsi="宋体" w:cs="宋体"/>
                <w:bCs/>
                <w:sz w:val="24"/>
              </w:rPr>
            </w:pPr>
            <w:r>
              <w:rPr>
                <w:rFonts w:hint="eastAsia" w:ascii="宋体" w:hAnsi="宋体" w:cs="宋体"/>
                <w:bCs/>
                <w:sz w:val="24"/>
              </w:rPr>
              <w:t>施工总体进度计划及保证措施</w:t>
            </w: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628698F6">
            <w:pPr>
              <w:spacing w:line="360" w:lineRule="auto"/>
              <w:jc w:val="center"/>
              <w:rPr>
                <w:rFonts w:hint="default" w:ascii="宋体" w:hAnsi="宋体" w:eastAsia="宋体" w:cs="宋体"/>
                <w:sz w:val="24"/>
                <w:lang w:val="en-US" w:eastAsia="zh-CN"/>
              </w:rPr>
            </w:pPr>
            <w:r>
              <w:rPr>
                <w:rFonts w:hint="eastAsia" w:ascii="宋体" w:hAnsi="宋体" w:cs="宋体"/>
                <w:sz w:val="24"/>
                <w:lang w:val="en-US" w:eastAsia="zh-CN"/>
              </w:rPr>
              <w:t>15</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22295C8D">
            <w:pPr>
              <w:spacing w:line="324" w:lineRule="auto"/>
              <w:rPr>
                <w:rFonts w:hint="default" w:ascii="宋体" w:hAnsi="宋体"/>
                <w:sz w:val="24"/>
                <w:lang w:val="en-US" w:eastAsia="zh-CN"/>
              </w:rPr>
            </w:pPr>
            <w:r>
              <w:rPr>
                <w:rFonts w:hint="eastAsia" w:ascii="宋体" w:hAnsi="宋体"/>
                <w:sz w:val="24"/>
              </w:rPr>
              <w:t>方案完整、内容全面、描述清晰、针对性强、健全、科学、合理、具有先进性、切实可行</w:t>
            </w:r>
            <w:r>
              <w:rPr>
                <w:rFonts w:hint="eastAsia" w:ascii="宋体" w:hAnsi="宋体"/>
                <w:sz w:val="24"/>
                <w:lang w:val="en-US" w:eastAsia="zh-CN"/>
              </w:rPr>
              <w:t>得15分</w:t>
            </w:r>
            <w:r>
              <w:rPr>
                <w:rFonts w:hint="eastAsia" w:ascii="宋体" w:hAnsi="宋体"/>
                <w:sz w:val="24"/>
              </w:rPr>
              <w:t>；</w:t>
            </w:r>
          </w:p>
          <w:p w14:paraId="2AADB388">
            <w:pPr>
              <w:spacing w:line="324" w:lineRule="auto"/>
              <w:rPr>
                <w:rFonts w:hint="default" w:ascii="宋体" w:hAnsi="宋体"/>
                <w:sz w:val="24"/>
                <w:lang w:val="en-US" w:eastAsia="zh-CN"/>
              </w:rPr>
            </w:pPr>
            <w:r>
              <w:rPr>
                <w:rFonts w:hint="eastAsia" w:ascii="宋体" w:hAnsi="宋体"/>
                <w:sz w:val="24"/>
                <w:lang w:val="en-US" w:eastAsia="zh-CN"/>
              </w:rPr>
              <w:t>方案不够完整、内容不够全面、描述不够清晰、针对性不够强、不够健全，不够科学，不够合理、不够切实可行，基本满足本项目工期需求，整体细节待完善得12分</w:t>
            </w:r>
            <w:r>
              <w:rPr>
                <w:rFonts w:hint="eastAsia" w:ascii="宋体" w:hAnsi="宋体"/>
                <w:sz w:val="24"/>
              </w:rPr>
              <w:t>；</w:t>
            </w:r>
          </w:p>
          <w:p w14:paraId="018BDA69">
            <w:pPr>
              <w:spacing w:line="324" w:lineRule="auto"/>
              <w:rPr>
                <w:rFonts w:hint="eastAsia" w:ascii="宋体" w:hAnsi="宋体"/>
                <w:sz w:val="24"/>
                <w:lang w:val="en-US" w:eastAsia="zh-CN"/>
              </w:rPr>
            </w:pPr>
            <w:r>
              <w:rPr>
                <w:rFonts w:hint="eastAsia" w:ascii="宋体" w:hAnsi="宋体"/>
                <w:sz w:val="24"/>
                <w:lang w:val="en-US" w:eastAsia="zh-CN"/>
              </w:rPr>
              <w:t>方案较差，内容不全面，描述不够清晰，针对性不强得8分</w:t>
            </w:r>
            <w:r>
              <w:rPr>
                <w:rFonts w:hint="eastAsia" w:ascii="宋体" w:hAnsi="宋体"/>
                <w:sz w:val="24"/>
              </w:rPr>
              <w:t>；</w:t>
            </w:r>
          </w:p>
          <w:p w14:paraId="25CB85BD">
            <w:pPr>
              <w:spacing w:line="324" w:lineRule="auto"/>
              <w:rPr>
                <w:rFonts w:hint="default" w:ascii="宋体" w:hAnsi="宋体"/>
                <w:sz w:val="24"/>
                <w:lang w:val="en-US" w:eastAsia="zh-CN"/>
              </w:rPr>
            </w:pPr>
            <w:r>
              <w:rPr>
                <w:rFonts w:hint="eastAsia" w:ascii="宋体" w:hAnsi="宋体"/>
                <w:sz w:val="24"/>
                <w:lang w:val="en-US" w:eastAsia="zh-CN"/>
              </w:rPr>
              <w:t>未提供不得分。</w:t>
            </w:r>
          </w:p>
        </w:tc>
      </w:tr>
      <w:tr w14:paraId="578E0F1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1268" w:type="dxa"/>
            <w:vMerge w:val="continue"/>
            <w:tcBorders>
              <w:left w:val="outset" w:color="000000" w:sz="6" w:space="0"/>
              <w:right w:val="outset" w:color="000000" w:sz="6" w:space="0"/>
            </w:tcBorders>
            <w:noWrap w:val="0"/>
            <w:vAlign w:val="center"/>
          </w:tcPr>
          <w:p w14:paraId="760FC52C">
            <w:pPr>
              <w:spacing w:line="360" w:lineRule="auto"/>
              <w:jc w:val="center"/>
              <w:rPr>
                <w:rFonts w:ascii="宋体" w:hAnsi="宋体" w:cs="宋体"/>
                <w:sz w:val="24"/>
              </w:rPr>
            </w:pP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7B0BF19B">
            <w:pPr>
              <w:spacing w:line="360" w:lineRule="auto"/>
              <w:jc w:val="center"/>
              <w:rPr>
                <w:rFonts w:ascii="宋体" w:hAnsi="宋体" w:cs="宋体"/>
                <w:bCs/>
                <w:sz w:val="24"/>
              </w:rPr>
            </w:pPr>
            <w:r>
              <w:rPr>
                <w:rFonts w:hint="eastAsia" w:ascii="宋体" w:hAnsi="宋体"/>
                <w:bCs/>
                <w:sz w:val="24"/>
              </w:rPr>
              <w:t>紧急处置预案及响应能力</w:t>
            </w:r>
          </w:p>
          <w:p w14:paraId="28F83A36">
            <w:pPr>
              <w:spacing w:line="360" w:lineRule="auto"/>
              <w:jc w:val="center"/>
              <w:rPr>
                <w:rFonts w:ascii="宋体" w:hAnsi="宋体" w:cs="宋体"/>
                <w:bCs/>
                <w:sz w:val="24"/>
              </w:rPr>
            </w:pP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42E6EE5B">
            <w:pPr>
              <w:spacing w:line="360" w:lineRule="auto"/>
              <w:jc w:val="center"/>
              <w:rPr>
                <w:rFonts w:ascii="宋体" w:hAnsi="宋体" w:cs="宋体"/>
                <w:sz w:val="24"/>
              </w:rPr>
            </w:pPr>
            <w:r>
              <w:rPr>
                <w:rFonts w:ascii="宋体" w:hAnsi="宋体" w:cs="宋体"/>
                <w:sz w:val="24"/>
              </w:rPr>
              <w:t>10</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0087E38B">
            <w:pPr>
              <w:suppressAutoHyphens/>
              <w:spacing w:line="324" w:lineRule="auto"/>
              <w:rPr>
                <w:rFonts w:ascii="宋体" w:hAnsi="宋体"/>
                <w:sz w:val="24"/>
              </w:rPr>
            </w:pPr>
            <w:r>
              <w:rPr>
                <w:rFonts w:hint="eastAsia" w:ascii="宋体" w:hAnsi="宋体"/>
                <w:sz w:val="24"/>
              </w:rPr>
              <w:t>（1）情况预想实际，应急措施科学，力量编配合理，可行性强，完全能够满足服务需要得</w:t>
            </w:r>
            <w:r>
              <w:rPr>
                <w:rFonts w:ascii="宋体" w:hAnsi="宋体"/>
                <w:sz w:val="24"/>
              </w:rPr>
              <w:t>10</w:t>
            </w:r>
            <w:r>
              <w:rPr>
                <w:rFonts w:hint="eastAsia" w:ascii="宋体" w:hAnsi="宋体"/>
                <w:sz w:val="24"/>
              </w:rPr>
              <w:t>分；</w:t>
            </w:r>
          </w:p>
          <w:p w14:paraId="68C6ADD8">
            <w:pPr>
              <w:suppressAutoHyphens/>
              <w:spacing w:line="324" w:lineRule="auto"/>
              <w:rPr>
                <w:rFonts w:ascii="宋体" w:hAnsi="宋体"/>
                <w:sz w:val="24"/>
              </w:rPr>
            </w:pPr>
            <w:r>
              <w:rPr>
                <w:rFonts w:hint="eastAsia" w:ascii="宋体" w:hAnsi="宋体"/>
                <w:sz w:val="24"/>
              </w:rPr>
              <w:t>（2）情况预想比较实际，应急措施比较科学，力量编配比较合理，可行性较强，基本满足服务需要得</w:t>
            </w:r>
            <w:r>
              <w:rPr>
                <w:rFonts w:ascii="宋体" w:hAnsi="宋体"/>
                <w:sz w:val="24"/>
              </w:rPr>
              <w:t>7</w:t>
            </w:r>
            <w:r>
              <w:rPr>
                <w:rFonts w:hint="eastAsia" w:ascii="宋体" w:hAnsi="宋体"/>
                <w:sz w:val="24"/>
              </w:rPr>
              <w:t>分；</w:t>
            </w:r>
          </w:p>
          <w:p w14:paraId="79AA902A">
            <w:pPr>
              <w:spacing w:line="324" w:lineRule="auto"/>
              <w:rPr>
                <w:rFonts w:ascii="宋体" w:hAnsi="宋体"/>
                <w:sz w:val="24"/>
              </w:rPr>
            </w:pPr>
            <w:r>
              <w:rPr>
                <w:rFonts w:hint="eastAsia" w:ascii="宋体" w:hAnsi="宋体"/>
                <w:sz w:val="24"/>
              </w:rPr>
              <w:t>（3）情况预想不实际，应急措施不科学，力量编配不合理，可行性不强，不能够满足服务需要得</w:t>
            </w:r>
            <w:r>
              <w:rPr>
                <w:rFonts w:hint="eastAsia" w:ascii="宋体" w:hAnsi="宋体"/>
                <w:sz w:val="24"/>
                <w:lang w:val="en-US" w:eastAsia="zh-CN"/>
              </w:rPr>
              <w:t>4</w:t>
            </w:r>
            <w:r>
              <w:rPr>
                <w:rFonts w:hint="eastAsia" w:ascii="宋体" w:hAnsi="宋体"/>
                <w:sz w:val="24"/>
              </w:rPr>
              <w:t>分。</w:t>
            </w:r>
          </w:p>
          <w:p w14:paraId="22B98CD4">
            <w:pPr>
              <w:spacing w:line="324" w:lineRule="auto"/>
              <w:rPr>
                <w:rFonts w:ascii="宋体" w:hAnsi="宋体"/>
                <w:sz w:val="24"/>
              </w:rPr>
            </w:pPr>
            <w:r>
              <w:rPr>
                <w:rFonts w:hint="eastAsia" w:ascii="宋体" w:hAnsi="宋体" w:cs="宋体"/>
                <w:sz w:val="24"/>
              </w:rPr>
              <w:t>未提供相关紧急情况预案内容的不得分。</w:t>
            </w:r>
          </w:p>
        </w:tc>
      </w:tr>
      <w:tr w14:paraId="51BB04F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44" w:hRule="atLeast"/>
          <w:jc w:val="center"/>
        </w:trPr>
        <w:tc>
          <w:tcPr>
            <w:tcW w:w="1268" w:type="dxa"/>
            <w:vMerge w:val="continue"/>
            <w:tcBorders>
              <w:left w:val="outset" w:color="000000" w:sz="6" w:space="0"/>
              <w:right w:val="outset" w:color="000000" w:sz="6" w:space="0"/>
            </w:tcBorders>
            <w:noWrap w:val="0"/>
            <w:vAlign w:val="center"/>
          </w:tcPr>
          <w:p w14:paraId="2B1438E6">
            <w:pPr>
              <w:spacing w:line="360" w:lineRule="auto"/>
              <w:jc w:val="center"/>
              <w:rPr>
                <w:rFonts w:ascii="宋体" w:hAnsi="宋体" w:cs="宋体"/>
                <w:sz w:val="24"/>
              </w:rPr>
            </w:pPr>
          </w:p>
        </w:tc>
        <w:tc>
          <w:tcPr>
            <w:tcW w:w="1206" w:type="dxa"/>
            <w:tcBorders>
              <w:top w:val="outset" w:color="000000" w:sz="6" w:space="0"/>
              <w:left w:val="outset" w:color="000000" w:sz="6" w:space="0"/>
              <w:bottom w:val="outset" w:color="000000" w:sz="6" w:space="0"/>
              <w:right w:val="outset" w:color="000000" w:sz="6" w:space="0"/>
            </w:tcBorders>
            <w:noWrap w:val="0"/>
            <w:vAlign w:val="center"/>
          </w:tcPr>
          <w:p w14:paraId="029F1E55">
            <w:pPr>
              <w:suppressAutoHyphens/>
              <w:jc w:val="center"/>
              <w:rPr>
                <w:rFonts w:ascii="宋体" w:hAnsi="宋体"/>
                <w:bCs/>
                <w:sz w:val="24"/>
              </w:rPr>
            </w:pPr>
            <w:r>
              <w:rPr>
                <w:rFonts w:hint="eastAsia" w:ascii="宋体" w:hAnsi="宋体"/>
                <w:bCs/>
                <w:sz w:val="24"/>
              </w:rPr>
              <w:t>安全防护及设施巡查方案</w:t>
            </w:r>
          </w:p>
          <w:p w14:paraId="7ED157E9">
            <w:pPr>
              <w:spacing w:line="360" w:lineRule="auto"/>
              <w:jc w:val="center"/>
              <w:rPr>
                <w:rFonts w:ascii="宋体" w:hAnsi="宋体" w:cs="宋体"/>
                <w:bCs/>
                <w:sz w:val="24"/>
              </w:rPr>
            </w:pPr>
          </w:p>
        </w:tc>
        <w:tc>
          <w:tcPr>
            <w:tcW w:w="750" w:type="dxa"/>
            <w:tcBorders>
              <w:top w:val="outset" w:color="000000" w:sz="6" w:space="0"/>
              <w:left w:val="outset" w:color="000000" w:sz="6" w:space="0"/>
              <w:bottom w:val="outset" w:color="000000" w:sz="6" w:space="0"/>
              <w:right w:val="outset" w:color="000000" w:sz="6" w:space="0"/>
            </w:tcBorders>
            <w:noWrap w:val="0"/>
            <w:vAlign w:val="center"/>
          </w:tcPr>
          <w:p w14:paraId="5C162641">
            <w:pPr>
              <w:spacing w:line="360" w:lineRule="auto"/>
              <w:jc w:val="center"/>
              <w:rPr>
                <w:rFonts w:ascii="宋体" w:hAnsi="宋体" w:cs="宋体"/>
                <w:sz w:val="24"/>
              </w:rPr>
            </w:pPr>
            <w:r>
              <w:rPr>
                <w:rFonts w:ascii="宋体" w:hAnsi="宋体" w:cs="宋体"/>
                <w:sz w:val="24"/>
              </w:rPr>
              <w:t>10</w:t>
            </w:r>
          </w:p>
        </w:tc>
        <w:tc>
          <w:tcPr>
            <w:tcW w:w="6266" w:type="dxa"/>
            <w:tcBorders>
              <w:top w:val="outset" w:color="000000" w:sz="6" w:space="0"/>
              <w:left w:val="outset" w:color="000000" w:sz="6" w:space="0"/>
              <w:bottom w:val="outset" w:color="000000" w:sz="6" w:space="0"/>
              <w:right w:val="outset" w:color="000000" w:sz="6" w:space="0"/>
            </w:tcBorders>
            <w:noWrap w:val="0"/>
            <w:vAlign w:val="center"/>
          </w:tcPr>
          <w:p w14:paraId="6E12612C">
            <w:pPr>
              <w:suppressAutoHyphens/>
              <w:spacing w:line="329" w:lineRule="auto"/>
              <w:rPr>
                <w:rFonts w:ascii="宋体" w:hAnsi="宋体"/>
                <w:sz w:val="24"/>
              </w:rPr>
            </w:pPr>
            <w:r>
              <w:rPr>
                <w:rFonts w:hint="eastAsia" w:ascii="宋体" w:hAnsi="宋体"/>
                <w:sz w:val="24"/>
              </w:rPr>
              <w:t>（1）方案科学、合理、实际，考虑周全，措施到位，针对性强，完全能够满足服务需要得</w:t>
            </w:r>
            <w:r>
              <w:rPr>
                <w:rFonts w:ascii="宋体" w:hAnsi="宋体"/>
                <w:sz w:val="24"/>
              </w:rPr>
              <w:t>10</w:t>
            </w:r>
            <w:r>
              <w:rPr>
                <w:rFonts w:hint="eastAsia" w:ascii="宋体" w:hAnsi="宋体"/>
                <w:sz w:val="24"/>
              </w:rPr>
              <w:t>分；</w:t>
            </w:r>
          </w:p>
          <w:p w14:paraId="445C88EF">
            <w:pPr>
              <w:suppressAutoHyphens/>
              <w:spacing w:line="329" w:lineRule="auto"/>
              <w:rPr>
                <w:rFonts w:ascii="宋体" w:hAnsi="宋体"/>
                <w:sz w:val="24"/>
              </w:rPr>
            </w:pPr>
            <w:r>
              <w:rPr>
                <w:rFonts w:hint="eastAsia" w:ascii="宋体" w:hAnsi="宋体"/>
                <w:sz w:val="24"/>
              </w:rPr>
              <w:t>（2）方案基本科学、合理、实际，考虑比较周全，措施比较到位，针对性较强，基本满足服务需要得</w:t>
            </w:r>
            <w:r>
              <w:rPr>
                <w:rFonts w:ascii="宋体" w:hAnsi="宋体"/>
                <w:sz w:val="24"/>
              </w:rPr>
              <w:t>7</w:t>
            </w:r>
            <w:r>
              <w:rPr>
                <w:rFonts w:hint="eastAsia" w:ascii="宋体" w:hAnsi="宋体"/>
                <w:sz w:val="24"/>
              </w:rPr>
              <w:t>分；</w:t>
            </w:r>
          </w:p>
          <w:p w14:paraId="26B7F220">
            <w:pPr>
              <w:spacing w:line="329" w:lineRule="auto"/>
              <w:rPr>
                <w:rFonts w:ascii="宋体" w:hAnsi="宋体"/>
                <w:sz w:val="24"/>
              </w:rPr>
            </w:pPr>
            <w:r>
              <w:rPr>
                <w:rFonts w:hint="eastAsia" w:ascii="宋体" w:hAnsi="宋体"/>
                <w:sz w:val="24"/>
              </w:rPr>
              <w:t>（3）方案不科学、不合理、不实际，考虑不周全，措施不到位，针对性不强，不能满足服务需要得</w:t>
            </w:r>
            <w:r>
              <w:rPr>
                <w:rFonts w:hint="eastAsia" w:ascii="宋体" w:hAnsi="宋体"/>
                <w:sz w:val="24"/>
                <w:lang w:val="en-US" w:eastAsia="zh-CN"/>
              </w:rPr>
              <w:t>4</w:t>
            </w:r>
            <w:r>
              <w:rPr>
                <w:rFonts w:hint="eastAsia" w:ascii="宋体" w:hAnsi="宋体"/>
                <w:sz w:val="24"/>
              </w:rPr>
              <w:t>分。</w:t>
            </w:r>
          </w:p>
          <w:p w14:paraId="0EA0AB18">
            <w:pPr>
              <w:spacing w:line="329" w:lineRule="auto"/>
              <w:rPr>
                <w:rFonts w:ascii="宋体" w:hAnsi="宋体"/>
                <w:sz w:val="24"/>
              </w:rPr>
            </w:pPr>
            <w:r>
              <w:rPr>
                <w:rFonts w:hint="eastAsia" w:ascii="宋体" w:hAnsi="宋体" w:cs="宋体"/>
                <w:sz w:val="24"/>
              </w:rPr>
              <w:t>未提供相关方案的不得分。</w:t>
            </w:r>
          </w:p>
        </w:tc>
      </w:tr>
    </w:tbl>
    <w:p w14:paraId="644D0171">
      <w:pPr>
        <w:pStyle w:val="2"/>
      </w:pPr>
    </w:p>
    <w:p w14:paraId="14D3F44E">
      <w:pPr>
        <w:widowControl/>
        <w:jc w:val="left"/>
        <w:rPr>
          <w:rFonts w:eastAsiaTheme="minorEastAsia"/>
          <w:color w:val="000000"/>
          <w:sz w:val="24"/>
        </w:rPr>
      </w:pPr>
    </w:p>
    <w:p w14:paraId="65BEC217">
      <w:pPr>
        <w:rPr>
          <w:rFonts w:eastAsiaTheme="minorEastAsia"/>
          <w:b/>
          <w:sz w:val="36"/>
          <w:szCs w:val="36"/>
          <w:highlight w:val="none"/>
        </w:rPr>
      </w:pPr>
      <w:bookmarkStart w:id="688" w:name="_Toc167110017"/>
    </w:p>
    <w:p w14:paraId="60BC382B">
      <w:pPr>
        <w:pStyle w:val="2"/>
        <w:rPr>
          <w:rFonts w:eastAsiaTheme="minorEastAsia"/>
          <w:b/>
          <w:sz w:val="36"/>
          <w:szCs w:val="36"/>
          <w:highlight w:val="none"/>
        </w:rPr>
      </w:pPr>
    </w:p>
    <w:p w14:paraId="63FECA26">
      <w:pPr>
        <w:pStyle w:val="2"/>
        <w:rPr>
          <w:rFonts w:eastAsiaTheme="minorEastAsia"/>
          <w:b/>
          <w:sz w:val="36"/>
          <w:szCs w:val="36"/>
          <w:highlight w:val="none"/>
        </w:rPr>
      </w:pPr>
    </w:p>
    <w:p w14:paraId="6EC136DC">
      <w:pPr>
        <w:pStyle w:val="2"/>
        <w:rPr>
          <w:rFonts w:eastAsiaTheme="minorEastAsia"/>
          <w:b/>
          <w:sz w:val="36"/>
          <w:szCs w:val="36"/>
          <w:highlight w:val="none"/>
        </w:rPr>
      </w:pPr>
    </w:p>
    <w:p w14:paraId="299A3CBD">
      <w:pPr>
        <w:pStyle w:val="2"/>
        <w:rPr>
          <w:rFonts w:eastAsiaTheme="minorEastAsia"/>
          <w:b/>
          <w:sz w:val="36"/>
          <w:szCs w:val="36"/>
          <w:highlight w:val="none"/>
        </w:rPr>
      </w:pPr>
      <w:bookmarkStart w:id="1038" w:name="_GoBack"/>
      <w:bookmarkEnd w:id="1038"/>
    </w:p>
    <w:p w14:paraId="0A0FC0FB">
      <w:pPr>
        <w:spacing w:line="360" w:lineRule="auto"/>
        <w:jc w:val="center"/>
        <w:outlineLvl w:val="0"/>
        <w:rPr>
          <w:rFonts w:eastAsiaTheme="minorEastAsia"/>
          <w:b/>
          <w:sz w:val="36"/>
          <w:szCs w:val="36"/>
          <w:highlight w:val="none"/>
        </w:rPr>
      </w:pPr>
      <w:r>
        <w:rPr>
          <w:rFonts w:eastAsiaTheme="minorEastAsia"/>
          <w:b/>
          <w:sz w:val="36"/>
          <w:szCs w:val="36"/>
          <w:highlight w:val="none"/>
        </w:rPr>
        <w:t>第四章   采购需求</w:t>
      </w:r>
      <w:bookmarkEnd w:id="688"/>
    </w:p>
    <w:p w14:paraId="45477DDF">
      <w:pPr>
        <w:pStyle w:val="73"/>
        <w:widowControl w:val="0"/>
        <w:kinsoku/>
        <w:autoSpaceDE/>
        <w:autoSpaceDN/>
        <w:spacing w:line="572" w:lineRule="exact"/>
        <w:ind w:firstLine="643"/>
        <w:contextualSpacing/>
        <w:textAlignment w:val="auto"/>
        <w:rPr>
          <w:rFonts w:hint="eastAsia" w:ascii="宋体" w:hAnsi="宋体" w:eastAsia="宋体" w:cs="宋体"/>
          <w:b/>
          <w:sz w:val="24"/>
          <w:szCs w:val="24"/>
        </w:rPr>
      </w:pPr>
      <w:r>
        <w:rPr>
          <w:rFonts w:hint="eastAsia" w:ascii="宋体" w:hAnsi="宋体" w:eastAsia="宋体" w:cs="宋体"/>
          <w:b/>
          <w:sz w:val="24"/>
          <w:szCs w:val="24"/>
          <w:lang w:eastAsia="zh-CN"/>
        </w:rPr>
        <w:t>一、</w:t>
      </w:r>
      <w:r>
        <w:rPr>
          <w:rFonts w:hint="eastAsia" w:ascii="宋体" w:hAnsi="宋体" w:eastAsia="宋体" w:cs="宋体"/>
          <w:b/>
          <w:sz w:val="24"/>
          <w:szCs w:val="24"/>
        </w:rPr>
        <w:t>项目需求背景</w:t>
      </w:r>
    </w:p>
    <w:p w14:paraId="747573E4">
      <w:pPr>
        <w:keepNext w:val="0"/>
        <w:keepLines w:val="0"/>
        <w:pageBreakBefore w:val="0"/>
        <w:widowControl w:val="0"/>
        <w:kinsoku/>
        <w:wordWrap/>
        <w:overflowPunct/>
        <w:topLinePunct w:val="0"/>
        <w:autoSpaceDE/>
        <w:autoSpaceDN/>
        <w:bidi w:val="0"/>
        <w:adjustRightInd/>
        <w:snapToGrid/>
        <w:spacing w:line="560" w:lineRule="exact"/>
        <w:ind w:firstLine="6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木樨园体校自1993年迁入光彩路现址，距今已有</w:t>
      </w:r>
      <w:r>
        <w:rPr>
          <w:rFonts w:hint="eastAsia" w:ascii="宋体" w:hAnsi="宋体" w:cs="宋体"/>
          <w:sz w:val="24"/>
          <w:szCs w:val="24"/>
          <w:highlight w:val="none"/>
          <w:lang w:val="en-US" w:eastAsia="zh-CN"/>
        </w:rPr>
        <w:t>33</w:t>
      </w:r>
      <w:r>
        <w:rPr>
          <w:rFonts w:hint="eastAsia" w:ascii="宋体" w:hAnsi="宋体" w:eastAsia="宋体" w:cs="宋体"/>
          <w:sz w:val="24"/>
          <w:szCs w:val="24"/>
          <w:lang w:eastAsia="zh-CN"/>
        </w:rPr>
        <w:t>年时间，校园内各场馆投入使用均在14年以上，学校现有手球、柔道、排球、摔跤、游泳、跳水、花样游泳等7个奥运会项目的15支运动队，均在体校内体育场馆内进行日常训练。</w:t>
      </w:r>
    </w:p>
    <w:p w14:paraId="422BE6EF">
      <w:pPr>
        <w:pStyle w:val="73"/>
        <w:widowControl w:val="0"/>
        <w:kinsoku/>
        <w:autoSpaceDE/>
        <w:autoSpaceDN/>
        <w:spacing w:line="572" w:lineRule="exact"/>
        <w:ind w:firstLine="643"/>
        <w:contextualSpacing/>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手球馆建筑面积4824.44平米，始建于1990年，1993年投入运行，承担北京男女手球队以及北京跳水队的陆上训练任务。建筑内的暖气设备及管线（特别是地下暖沟里的管线），锈蚀严重，经常发生跑冒滴漏乃至管线爆裂跑水情况，不但影响运动队的正常训练、浸蚀场地木地板，还存在较大的安全隐患。建筑内部墙体表面，使用多年，出现多处污损情况。</w:t>
      </w:r>
      <w:r>
        <w:rPr>
          <w:rFonts w:hint="eastAsia" w:ascii="宋体" w:hAnsi="宋体" w:eastAsia="宋体" w:cs="宋体"/>
          <w:b w:val="0"/>
          <w:bCs/>
          <w:sz w:val="24"/>
          <w:szCs w:val="24"/>
        </w:rPr>
        <w:t>为保障运动训练安全进行，</w:t>
      </w:r>
      <w:r>
        <w:rPr>
          <w:rFonts w:hint="eastAsia" w:ascii="宋体" w:hAnsi="宋体" w:eastAsia="宋体" w:cs="宋体"/>
          <w:b w:val="0"/>
          <w:bCs/>
          <w:sz w:val="24"/>
          <w:szCs w:val="24"/>
          <w:lang w:val="en-US" w:eastAsia="zh-CN"/>
        </w:rPr>
        <w:t>计划更新手球馆暖气系统设备、增加暖气保护性软包挡板、粉刷室内墙体等。</w:t>
      </w:r>
    </w:p>
    <w:p w14:paraId="139C7FFC">
      <w:pPr>
        <w:pStyle w:val="73"/>
        <w:widowControl w:val="0"/>
        <w:kinsoku/>
        <w:autoSpaceDE/>
        <w:autoSpaceDN/>
        <w:spacing w:line="572" w:lineRule="exact"/>
        <w:ind w:firstLine="643"/>
        <w:contextualSpacing/>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二、实施方案</w:t>
      </w:r>
    </w:p>
    <w:p w14:paraId="14CDDE8B">
      <w:pPr>
        <w:pStyle w:val="73"/>
        <w:widowControl w:val="0"/>
        <w:kinsoku/>
        <w:autoSpaceDE/>
        <w:autoSpaceDN/>
        <w:spacing w:line="572" w:lineRule="exact"/>
        <w:ind w:firstLine="643"/>
        <w:contextualSpacing/>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手球馆暖气系统设备维修改造主要包括</w:t>
      </w:r>
      <w:r>
        <w:rPr>
          <w:rFonts w:hint="eastAsia" w:ascii="宋体" w:hAnsi="宋体" w:eastAsia="宋体" w:cs="宋体"/>
          <w:b w:val="0"/>
          <w:bCs/>
          <w:sz w:val="24"/>
          <w:szCs w:val="24"/>
          <w:lang w:val="en-US" w:eastAsia="zh-CN"/>
        </w:rPr>
        <w:t>更新手球馆暖气系统设备、增加暖气保护性软包挡板、粉刷室内墙体</w:t>
      </w:r>
      <w:r>
        <w:rPr>
          <w:rFonts w:hint="eastAsia" w:ascii="宋体" w:hAnsi="宋体" w:eastAsia="宋体" w:cs="宋体"/>
          <w:color w:val="auto"/>
          <w:sz w:val="24"/>
          <w:szCs w:val="24"/>
          <w:highlight w:val="none"/>
          <w:lang w:val="en-US" w:eastAsia="zh-CN"/>
        </w:rPr>
        <w:t>等内容。</w:t>
      </w:r>
      <w:r>
        <w:rPr>
          <w:rFonts w:hint="eastAsia" w:ascii="宋体" w:hAnsi="宋体" w:eastAsia="宋体" w:cs="宋体"/>
          <w:color w:val="auto"/>
          <w:sz w:val="24"/>
          <w:szCs w:val="24"/>
          <w:lang w:eastAsia="zh-CN"/>
        </w:rPr>
        <w:t>（详见</w:t>
      </w:r>
      <w:r>
        <w:rPr>
          <w:rFonts w:hint="eastAsia" w:ascii="宋体" w:hAnsi="宋体" w:eastAsia="宋体" w:cs="宋体"/>
          <w:sz w:val="24"/>
          <w:szCs w:val="24"/>
        </w:rPr>
        <w:sym w:font="Wingdings 2" w:char="0052"/>
      </w:r>
      <w:r>
        <w:rPr>
          <w:rFonts w:hint="eastAsia" w:ascii="宋体" w:hAnsi="宋体" w:eastAsia="宋体" w:cs="宋体"/>
          <w:color w:val="auto"/>
          <w:sz w:val="24"/>
          <w:szCs w:val="24"/>
          <w:lang w:eastAsia="zh-CN"/>
        </w:rPr>
        <w:t>工程量清单、</w:t>
      </w:r>
      <w:r>
        <w:rPr>
          <w:rFonts w:hint="eastAsia" w:ascii="宋体" w:hAnsi="宋体" w:eastAsia="宋体" w:cs="宋体"/>
          <w:sz w:val="24"/>
          <w:szCs w:val="24"/>
        </w:rPr>
        <w:sym w:font="Wingdings 2" w:char="0052"/>
      </w:r>
      <w:r>
        <w:rPr>
          <w:rFonts w:hint="eastAsia" w:ascii="宋体" w:hAnsi="宋体" w:eastAsia="宋体" w:cs="宋体"/>
          <w:color w:val="auto"/>
          <w:sz w:val="24"/>
          <w:szCs w:val="24"/>
          <w:lang w:eastAsia="zh-CN"/>
        </w:rPr>
        <w:t>设计图纸）</w:t>
      </w:r>
      <w:r>
        <w:rPr>
          <w:rFonts w:hint="eastAsia" w:ascii="宋体" w:hAnsi="宋体" w:eastAsia="宋体" w:cs="宋体"/>
          <w:sz w:val="24"/>
          <w:szCs w:val="24"/>
          <w:lang w:eastAsia="zh-CN"/>
        </w:rPr>
        <w:t>。</w:t>
      </w:r>
    </w:p>
    <w:p w14:paraId="5617CE98">
      <w:pPr>
        <w:pStyle w:val="73"/>
        <w:widowControl w:val="0"/>
        <w:kinsoku/>
        <w:autoSpaceDE/>
        <w:autoSpaceDN/>
        <w:spacing w:line="572" w:lineRule="exact"/>
        <w:ind w:firstLine="643"/>
        <w:contextualSpacing/>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三、商务要求</w:t>
      </w:r>
    </w:p>
    <w:p w14:paraId="5C077C6C">
      <w:pPr>
        <w:widowControl w:val="0"/>
        <w:kinsoku/>
        <w:snapToGrid/>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sz w:val="24"/>
          <w:szCs w:val="24"/>
          <w:lang w:eastAsia="zh-CN"/>
        </w:rPr>
        <w:t>1.工程施工范围：</w:t>
      </w:r>
      <w:r>
        <w:rPr>
          <w:rFonts w:hint="eastAsia" w:ascii="宋体" w:hAnsi="宋体" w:eastAsia="宋体" w:cs="宋体"/>
          <w:color w:val="auto"/>
          <w:sz w:val="24"/>
          <w:szCs w:val="24"/>
          <w:lang w:eastAsia="zh-CN"/>
        </w:rPr>
        <w:t>包含</w:t>
      </w:r>
      <w:r>
        <w:rPr>
          <w:rFonts w:hint="eastAsia" w:ascii="宋体" w:hAnsi="宋体" w:eastAsia="宋体" w:cs="宋体"/>
          <w:sz w:val="24"/>
          <w:szCs w:val="24"/>
        </w:rPr>
        <w:sym w:font="Wingdings 2" w:char="0052"/>
      </w:r>
      <w:r>
        <w:rPr>
          <w:rFonts w:hint="eastAsia" w:ascii="宋体" w:hAnsi="宋体" w:eastAsia="宋体" w:cs="宋体"/>
          <w:color w:val="auto"/>
          <w:sz w:val="24"/>
          <w:szCs w:val="24"/>
          <w:lang w:eastAsia="zh-CN"/>
        </w:rPr>
        <w:t>工程量清单、</w:t>
      </w:r>
      <w:r>
        <w:rPr>
          <w:rFonts w:hint="eastAsia" w:ascii="宋体" w:hAnsi="宋体" w:eastAsia="宋体" w:cs="宋体"/>
          <w:sz w:val="24"/>
          <w:szCs w:val="24"/>
        </w:rPr>
        <w:sym w:font="Wingdings 2" w:char="0052"/>
      </w:r>
      <w:r>
        <w:rPr>
          <w:rFonts w:hint="eastAsia" w:ascii="宋体" w:hAnsi="宋体" w:eastAsia="宋体" w:cs="宋体"/>
          <w:color w:val="auto"/>
          <w:sz w:val="24"/>
          <w:szCs w:val="24"/>
          <w:lang w:eastAsia="zh-CN"/>
        </w:rPr>
        <w:t>设计图纸所有内容。</w:t>
      </w:r>
    </w:p>
    <w:p w14:paraId="30EE0877">
      <w:pPr>
        <w:widowControl w:val="0"/>
        <w:kinsoku/>
        <w:autoSpaceDE/>
        <w:autoSpaceDN/>
        <w:spacing w:line="572" w:lineRule="exact"/>
        <w:ind w:firstLine="480" w:firstLineChars="200"/>
        <w:contextualSpacing/>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2.工期：</w:t>
      </w: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日历天；</w:t>
      </w:r>
    </w:p>
    <w:p w14:paraId="43EC09D7">
      <w:pPr>
        <w:widowControl w:val="0"/>
        <w:kinsoku/>
        <w:autoSpaceDE/>
        <w:autoSpaceDN/>
        <w:spacing w:line="572" w:lineRule="exact"/>
        <w:ind w:firstLine="480" w:firstLineChars="200"/>
        <w:contextualSpacing/>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计划开工日期：</w:t>
      </w:r>
      <w:r>
        <w:rPr>
          <w:rFonts w:hint="eastAsia" w:ascii="宋体" w:hAnsi="宋体" w:eastAsia="宋体" w:cs="宋体"/>
          <w:sz w:val="24"/>
          <w:szCs w:val="24"/>
          <w:highlight w:val="none"/>
          <w:u w:val="single"/>
          <w:lang w:eastAsia="zh-CN"/>
        </w:rPr>
        <w:t>202</w:t>
      </w: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0</w:t>
      </w:r>
      <w:r>
        <w:rPr>
          <w:rFonts w:hint="eastAsia" w:ascii="宋体" w:hAnsi="宋体" w:eastAsia="宋体" w:cs="宋体"/>
          <w:sz w:val="24"/>
          <w:szCs w:val="24"/>
          <w:highlight w:val="none"/>
          <w:u w:val="single"/>
          <w:lang w:val="en-US" w:eastAsia="zh-CN"/>
        </w:rPr>
        <w:t xml:space="preserve">7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 xml:space="preserve">30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日，计划竣工日期：</w:t>
      </w:r>
      <w:r>
        <w:rPr>
          <w:rFonts w:hint="eastAsia" w:ascii="宋体" w:hAnsi="宋体" w:eastAsia="宋体" w:cs="宋体"/>
          <w:sz w:val="24"/>
          <w:szCs w:val="24"/>
          <w:highlight w:val="none"/>
          <w:u w:val="single"/>
          <w:lang w:eastAsia="zh-CN"/>
        </w:rPr>
        <w:t>202</w:t>
      </w: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lang w:eastAsia="zh-CN"/>
        </w:rPr>
        <w:t>年</w:t>
      </w:r>
      <w:r>
        <w:rPr>
          <w:rFonts w:hint="eastAsia" w:ascii="宋体" w:hAnsi="宋体" w:eastAsia="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0</w:t>
      </w:r>
      <w:r>
        <w:rPr>
          <w:rFonts w:hint="eastAsia" w:ascii="宋体" w:hAnsi="宋体" w:eastAsia="宋体" w:cs="宋体"/>
          <w:sz w:val="24"/>
          <w:szCs w:val="24"/>
          <w:highlight w:val="none"/>
          <w:u w:val="single"/>
          <w:lang w:val="en-US" w:eastAsia="zh-CN"/>
        </w:rPr>
        <w:t>8</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val="en-US" w:eastAsia="zh-CN"/>
        </w:rPr>
        <w:t>30</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日（实际开竣工日期以</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eastAsia="zh-CN"/>
        </w:rPr>
        <w:t>通知为准）。</w:t>
      </w:r>
    </w:p>
    <w:p w14:paraId="61336B86">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3.实施地点：北京市木樨园体育运动技术学校</w:t>
      </w:r>
    </w:p>
    <w:p w14:paraId="4A408118">
      <w:pPr>
        <w:widowControl w:val="0"/>
        <w:kinsoku/>
        <w:autoSpaceDE/>
        <w:autoSpaceDN/>
        <w:spacing w:line="572" w:lineRule="exact"/>
        <w:ind w:firstLine="480" w:firstLineChars="200"/>
        <w:contextualSpacing/>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sz w:val="24"/>
          <w:szCs w:val="24"/>
          <w:lang w:eastAsia="zh-CN"/>
        </w:rPr>
        <w:t>4.</w:t>
      </w:r>
      <w:r>
        <w:rPr>
          <w:rFonts w:hint="eastAsia" w:ascii="宋体" w:hAnsi="宋体" w:eastAsia="宋体" w:cs="宋体"/>
          <w:bCs/>
          <w:color w:val="auto"/>
          <w:sz w:val="24"/>
          <w:szCs w:val="24"/>
          <w:highlight w:val="none"/>
          <w:lang w:eastAsia="zh-CN"/>
        </w:rPr>
        <w:t>付款条件</w:t>
      </w:r>
    </w:p>
    <w:p w14:paraId="13751C3E">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合同签订并开具发票后20个工作日内，支付签约合同价的30%作为预付款；工程结算审核完成后，</w:t>
      </w:r>
      <w:r>
        <w:rPr>
          <w:rFonts w:hint="eastAsia" w:ascii="宋体" w:hAnsi="宋体" w:cs="宋体"/>
          <w:bCs/>
          <w:sz w:val="24"/>
          <w:szCs w:val="24"/>
          <w:lang w:val="en-US" w:eastAsia="zh-CN"/>
        </w:rPr>
        <w:t>供应商</w:t>
      </w:r>
      <w:r>
        <w:rPr>
          <w:rFonts w:hint="eastAsia" w:ascii="宋体" w:hAnsi="宋体" w:eastAsia="宋体" w:cs="宋体"/>
          <w:bCs/>
          <w:sz w:val="24"/>
          <w:szCs w:val="24"/>
          <w:lang w:eastAsia="zh-CN"/>
        </w:rPr>
        <w:t>向</w:t>
      </w:r>
      <w:r>
        <w:rPr>
          <w:rFonts w:hint="eastAsia" w:ascii="宋体" w:hAnsi="宋体" w:cs="宋体"/>
          <w:bCs/>
          <w:sz w:val="24"/>
          <w:szCs w:val="24"/>
          <w:lang w:val="en-US" w:eastAsia="zh-CN"/>
        </w:rPr>
        <w:t>采购人</w:t>
      </w:r>
      <w:r>
        <w:rPr>
          <w:rFonts w:hint="eastAsia" w:ascii="宋体" w:hAnsi="宋体" w:eastAsia="宋体" w:cs="宋体"/>
          <w:bCs/>
          <w:sz w:val="24"/>
          <w:szCs w:val="24"/>
          <w:lang w:eastAsia="zh-CN"/>
        </w:rPr>
        <w:t>支付结算审定金额的3%作为质保金。质保金转入</w:t>
      </w:r>
      <w:r>
        <w:rPr>
          <w:rFonts w:hint="eastAsia" w:ascii="宋体" w:hAnsi="宋体" w:cs="宋体"/>
          <w:bCs/>
          <w:sz w:val="24"/>
          <w:szCs w:val="24"/>
          <w:lang w:val="en-US" w:eastAsia="zh-CN"/>
        </w:rPr>
        <w:t>采购人</w:t>
      </w:r>
      <w:r>
        <w:rPr>
          <w:rFonts w:hint="eastAsia" w:ascii="宋体" w:hAnsi="宋体" w:eastAsia="宋体" w:cs="宋体"/>
          <w:bCs/>
          <w:sz w:val="24"/>
          <w:szCs w:val="24"/>
          <w:lang w:eastAsia="zh-CN"/>
        </w:rPr>
        <w:t>账户后20个工作日内，支付项目尾款。</w:t>
      </w:r>
    </w:p>
    <w:p w14:paraId="2511A246">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5.质保期和保修期</w:t>
      </w:r>
    </w:p>
    <w:p w14:paraId="36F80E2F">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工程保修期：2年</w:t>
      </w:r>
    </w:p>
    <w:p w14:paraId="54B6D9CB">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工程质保期：2年</w:t>
      </w:r>
    </w:p>
    <w:p w14:paraId="56DDA3DE">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工程质量保修责任：缺陷责任期内，由成交人原因造成的缺陷，成交人应负责维修，并承担鉴定及维修费用。如成交人不维修也不承担费用，采购人可扣除履约保证金，并由成交人承担违约责任，保证金不足以支付维修费用的，成交人仍应承担全部差额。成交人维修并承担相应费用后，不免除对工程的一般损失赔偿责任。</w:t>
      </w:r>
    </w:p>
    <w:p w14:paraId="35F7E69C">
      <w:pPr>
        <w:pStyle w:val="73"/>
        <w:widowControl w:val="0"/>
        <w:kinsoku/>
        <w:autoSpaceDE/>
        <w:autoSpaceDN/>
        <w:spacing w:line="572" w:lineRule="exact"/>
        <w:ind w:left="0" w:leftChars="0" w:firstLine="482" w:firstLineChars="200"/>
        <w:contextualSpacing/>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四、技术要求</w:t>
      </w:r>
    </w:p>
    <w:p w14:paraId="5EC6540F">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sz w:val="24"/>
          <w:szCs w:val="24"/>
          <w:lang w:eastAsia="zh-CN"/>
        </w:rPr>
        <w:t>1.</w:t>
      </w:r>
      <w:r>
        <w:rPr>
          <w:rFonts w:hint="eastAsia" w:ascii="宋体" w:hAnsi="宋体" w:eastAsia="宋体" w:cs="宋体"/>
          <w:bCs/>
          <w:sz w:val="24"/>
          <w:szCs w:val="24"/>
          <w:lang w:eastAsia="zh-CN"/>
        </w:rPr>
        <w:t>基本要求</w:t>
      </w:r>
    </w:p>
    <w:p w14:paraId="0469F982">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（1）符合国家和行业相关施工规范。</w:t>
      </w:r>
    </w:p>
    <w:p w14:paraId="37FF94AD">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（2）适用于本工程的国家、行业和地方的规范、标准和规程等。</w:t>
      </w:r>
    </w:p>
    <w:p w14:paraId="036B14CA">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（3）本项目需要投标供应商进行现场勘查，</w:t>
      </w:r>
      <w:r>
        <w:rPr>
          <w:rFonts w:hint="eastAsia" w:ascii="宋体" w:hAnsi="宋体" w:eastAsia="宋体" w:cs="宋体"/>
          <w:bCs/>
          <w:sz w:val="24"/>
          <w:szCs w:val="24"/>
          <w:lang w:val="en-US" w:eastAsia="zh-CN"/>
        </w:rPr>
        <w:t>手球馆二层地胶</w:t>
      </w:r>
      <w:r>
        <w:rPr>
          <w:rFonts w:hint="eastAsia" w:ascii="宋体" w:hAnsi="宋体" w:eastAsia="宋体" w:cs="宋体"/>
          <w:color w:val="auto"/>
          <w:sz w:val="24"/>
          <w:szCs w:val="24"/>
          <w:highlight w:val="none"/>
          <w:lang w:val="en-US" w:eastAsia="zh-CN"/>
        </w:rPr>
        <w:t>现状是新铺设洁福手球运动地胶，需做好成品保护</w:t>
      </w:r>
      <w:r>
        <w:rPr>
          <w:rFonts w:hint="eastAsia" w:ascii="宋体" w:hAnsi="宋体" w:eastAsia="宋体" w:cs="宋体"/>
          <w:bCs/>
          <w:sz w:val="24"/>
          <w:szCs w:val="24"/>
          <w:lang w:eastAsia="zh-CN"/>
        </w:rPr>
        <w:t>。采购人提供的现场资料均为参考资料，供应商的理解、推断的准确性自行负责，一旦投标方签订合同后，源于其自身勘察不到位而产生的洽商变更费用，由供应商自行承担全部费用。若成交供应商在签订合同后不履行义务，采购人可追究其法律责任。</w:t>
      </w:r>
    </w:p>
    <w:p w14:paraId="5D294C19">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lang w:eastAsia="zh-CN"/>
        </w:rPr>
        <w:t>（4）供应商需按照采购人要求工期完成工程量清单及图纸范围内的全部施工内容，服从采购人的管理要求，对于施工时间和流程的安排需要经采购人同意，如未按照采购人规定的时间</w:t>
      </w:r>
      <w:r>
        <w:rPr>
          <w:rFonts w:hint="eastAsia" w:ascii="宋体" w:hAnsi="宋体" w:eastAsia="宋体" w:cs="宋体"/>
          <w:bCs/>
          <w:sz w:val="24"/>
          <w:szCs w:val="24"/>
          <w:highlight w:val="none"/>
          <w:lang w:eastAsia="zh-CN"/>
        </w:rPr>
        <w:t>开工、竣工验收，采购人可追究其法律责任。</w:t>
      </w:r>
    </w:p>
    <w:p w14:paraId="243904E7">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（5）为保障工程质量，成交供应商所采用的设备、材料等均需为优质产品</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lang w:eastAsia="zh-CN"/>
        </w:rPr>
        <w:t>供应商需综合考虑投标报价。</w:t>
      </w:r>
    </w:p>
    <w:p w14:paraId="12D38E98">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根据《建设工程项目管理规范》等相关法规要求，施工单位项目经理在岗时间不得少于当月施工时间的80%，每日累计在施工现场不少于4小时，严禁出现“挂证不履职”情况。原则上，项目经理在项目竣工前不得擅自变更。</w:t>
      </w:r>
    </w:p>
    <w:p w14:paraId="41BA69B8">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2.质量标准：合格。</w:t>
      </w:r>
    </w:p>
    <w:p w14:paraId="24E5A133">
      <w:pPr>
        <w:widowControl w:val="0"/>
        <w:kinsoku/>
        <w:autoSpaceDE/>
        <w:autoSpaceDN/>
        <w:spacing w:line="572" w:lineRule="exact"/>
        <w:ind w:firstLine="480" w:firstLineChars="200"/>
        <w:contextualSpacing/>
        <w:textAlignment w:val="auto"/>
        <w:rPr>
          <w:rFonts w:hint="eastAsia" w:ascii="宋体" w:hAnsi="宋体" w:eastAsia="宋体" w:cs="宋体"/>
          <w:bCs/>
          <w:sz w:val="24"/>
          <w:szCs w:val="24"/>
          <w:lang w:eastAsia="zh-CN"/>
        </w:rPr>
      </w:pPr>
      <w:r>
        <w:rPr>
          <w:rFonts w:hint="eastAsia" w:ascii="宋体" w:hAnsi="宋体" w:eastAsia="宋体" w:cs="宋体"/>
          <w:bCs/>
          <w:sz w:val="24"/>
          <w:szCs w:val="24"/>
          <w:highlight w:val="none"/>
          <w:lang w:eastAsia="zh-CN"/>
        </w:rPr>
        <w:t>3.施工现场安全生产标准化</w:t>
      </w:r>
      <w:r>
        <w:rPr>
          <w:rFonts w:hint="eastAsia" w:ascii="宋体" w:hAnsi="宋体" w:eastAsia="宋体" w:cs="宋体"/>
          <w:bCs/>
          <w:sz w:val="24"/>
          <w:szCs w:val="24"/>
          <w:lang w:eastAsia="zh-CN"/>
        </w:rPr>
        <w:t>管理目标等级：达标</w:t>
      </w:r>
      <w:r>
        <w:rPr>
          <w:rFonts w:hint="eastAsia" w:ascii="宋体" w:hAnsi="宋体" w:cs="宋体"/>
          <w:bCs/>
          <w:sz w:val="24"/>
          <w:szCs w:val="24"/>
          <w:lang w:eastAsia="zh-CN"/>
        </w:rPr>
        <w:t>。</w:t>
      </w:r>
    </w:p>
    <w:p w14:paraId="1D393AA2">
      <w:pPr>
        <w:widowControl w:val="0"/>
        <w:kinsoku/>
        <w:autoSpaceDE/>
        <w:autoSpaceDN/>
        <w:spacing w:line="572" w:lineRule="exact"/>
        <w:ind w:firstLine="480" w:firstLineChars="200"/>
        <w:contextualSpacing/>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4.成交人进场前需提供主要设备、材料交</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审核，经审核通过后方可签订施工合同进场。</w:t>
      </w:r>
    </w:p>
    <w:p w14:paraId="4D142019">
      <w:pPr>
        <w:widowControl w:val="0"/>
        <w:kinsoku/>
        <w:autoSpaceDE/>
        <w:autoSpaceDN/>
        <w:spacing w:line="572" w:lineRule="exact"/>
        <w:ind w:firstLine="482" w:firstLineChars="200"/>
        <w:contextualSpacing/>
        <w:textAlignment w:val="auto"/>
        <w:rPr>
          <w:rFonts w:hint="default" w:ascii="宋体" w:hAnsi="宋体" w:cs="宋体"/>
          <w:b/>
          <w:bCs w:val="0"/>
          <w:sz w:val="24"/>
          <w:szCs w:val="24"/>
          <w:lang w:val="en-US" w:eastAsia="zh-CN"/>
        </w:rPr>
      </w:pPr>
      <w:r>
        <w:rPr>
          <w:rFonts w:hint="eastAsia" w:ascii="宋体" w:hAnsi="宋体" w:cs="宋体"/>
          <w:b/>
          <w:bCs w:val="0"/>
          <w:sz w:val="24"/>
          <w:szCs w:val="24"/>
          <w:lang w:val="en-US" w:eastAsia="zh-CN"/>
        </w:rPr>
        <w:t>五、工程量清单及图纸</w:t>
      </w:r>
    </w:p>
    <w:p w14:paraId="5E77B1E9">
      <w:pPr>
        <w:keepNext/>
        <w:spacing w:before="312" w:beforeLines="100"/>
        <w:ind w:firstLine="480" w:firstLineChars="200"/>
        <w:jc w:val="left"/>
        <w:outlineLvl w:val="1"/>
        <w:rPr>
          <w:rFonts w:hint="default"/>
          <w:b w:val="0"/>
          <w:bCs/>
          <w:sz w:val="24"/>
          <w:szCs w:val="24"/>
          <w:lang w:val="en-US" w:eastAsia="zh-CN"/>
        </w:rPr>
      </w:pPr>
      <w:bookmarkStart w:id="689" w:name="_Toc415570993"/>
      <w:bookmarkStart w:id="690" w:name="_Toc166891167"/>
      <w:bookmarkStart w:id="691" w:name="_Toc507159699"/>
      <w:bookmarkStart w:id="692" w:name="_Toc166891397"/>
      <w:bookmarkStart w:id="693" w:name="_Toc181939817"/>
      <w:r>
        <w:rPr>
          <w:rFonts w:hint="eastAsia"/>
          <w:b w:val="0"/>
          <w:bCs/>
          <w:sz w:val="24"/>
          <w:szCs w:val="24"/>
          <w:lang w:eastAsia="zh-CN"/>
        </w:rPr>
        <w:t>（</w:t>
      </w:r>
      <w:r>
        <w:rPr>
          <w:rFonts w:hint="eastAsia"/>
          <w:b w:val="0"/>
          <w:bCs/>
          <w:sz w:val="24"/>
          <w:szCs w:val="24"/>
          <w:lang w:val="en-US" w:eastAsia="zh-CN"/>
        </w:rPr>
        <w:t>一</w:t>
      </w:r>
      <w:r>
        <w:rPr>
          <w:rFonts w:hint="eastAsia"/>
          <w:b w:val="0"/>
          <w:bCs/>
          <w:sz w:val="24"/>
          <w:szCs w:val="24"/>
          <w:lang w:eastAsia="zh-CN"/>
        </w:rPr>
        <w:t>）</w:t>
      </w:r>
      <w:r>
        <w:rPr>
          <w:rFonts w:hint="eastAsia" w:ascii="宋体" w:hAnsi="宋体" w:cs="宋体"/>
          <w:b w:val="0"/>
          <w:bCs/>
          <w:sz w:val="24"/>
          <w:szCs w:val="24"/>
          <w:lang w:val="en-US" w:eastAsia="zh-CN"/>
        </w:rPr>
        <w:t>工程量清单说明</w:t>
      </w:r>
    </w:p>
    <w:p w14:paraId="77F3716D">
      <w:pPr>
        <w:keepNext/>
        <w:spacing w:before="312" w:beforeLines="100"/>
        <w:ind w:firstLine="480" w:firstLineChars="200"/>
        <w:jc w:val="left"/>
        <w:outlineLvl w:val="1"/>
        <w:rPr>
          <w:b w:val="0"/>
          <w:bCs/>
          <w:sz w:val="24"/>
          <w:szCs w:val="24"/>
        </w:rPr>
      </w:pPr>
      <w:r>
        <w:rPr>
          <w:rFonts w:hint="eastAsia"/>
          <w:b w:val="0"/>
          <w:bCs/>
          <w:sz w:val="24"/>
          <w:szCs w:val="24"/>
          <w:lang w:val="en-US" w:eastAsia="zh-CN"/>
        </w:rPr>
        <w:t>1</w:t>
      </w:r>
      <w:r>
        <w:rPr>
          <w:rFonts w:hint="eastAsia" w:ascii="宋体" w:hAnsi="宋体" w:eastAsia="宋体" w:cs="宋体"/>
          <w:color w:val="auto"/>
          <w:sz w:val="24"/>
          <w:szCs w:val="24"/>
          <w:lang w:val="en-US" w:eastAsia="zh-CN"/>
        </w:rPr>
        <w:t>.</w:t>
      </w:r>
      <w:r>
        <w:rPr>
          <w:rFonts w:hint="eastAsia"/>
          <w:b w:val="0"/>
          <w:bCs/>
          <w:sz w:val="24"/>
          <w:szCs w:val="24"/>
        </w:rPr>
        <w:t>工程</w:t>
      </w:r>
      <w:r>
        <w:rPr>
          <w:b w:val="0"/>
          <w:bCs/>
          <w:sz w:val="24"/>
          <w:szCs w:val="24"/>
        </w:rPr>
        <w:t>概况</w:t>
      </w:r>
      <w:bookmarkEnd w:id="689"/>
      <w:bookmarkEnd w:id="690"/>
      <w:bookmarkEnd w:id="691"/>
      <w:bookmarkEnd w:id="692"/>
      <w:bookmarkEnd w:id="693"/>
    </w:p>
    <w:p w14:paraId="51535E27">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rPr>
        <w:t>工程名称：手球馆暖气系统设备维修改造</w:t>
      </w:r>
    </w:p>
    <w:p w14:paraId="064FEC3E">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eastAsia"/>
          <w:sz w:val="24"/>
          <w:szCs w:val="24"/>
        </w:rPr>
        <w:t>建设地点：项目位于北京市丰台区</w:t>
      </w:r>
    </w:p>
    <w:p w14:paraId="4326B37B">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3</w:t>
      </w:r>
      <w:r>
        <w:rPr>
          <w:rFonts w:hint="eastAsia"/>
          <w:sz w:val="24"/>
          <w:szCs w:val="24"/>
          <w:lang w:eastAsia="zh-CN"/>
        </w:rPr>
        <w:t>）</w:t>
      </w:r>
      <w:r>
        <w:rPr>
          <w:rFonts w:hint="eastAsia"/>
          <w:sz w:val="24"/>
          <w:szCs w:val="24"/>
        </w:rPr>
        <w:t>建设单位：北京市木樨园体育运动技术学校(北京市排球运动管理中心)</w:t>
      </w:r>
    </w:p>
    <w:p w14:paraId="3EC04EEC">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4</w:t>
      </w:r>
      <w:r>
        <w:rPr>
          <w:rFonts w:hint="eastAsia"/>
          <w:sz w:val="24"/>
          <w:szCs w:val="24"/>
          <w:lang w:eastAsia="zh-CN"/>
        </w:rPr>
        <w:t>）</w:t>
      </w:r>
      <w:r>
        <w:rPr>
          <w:rFonts w:hint="eastAsia"/>
          <w:sz w:val="24"/>
          <w:szCs w:val="24"/>
        </w:rPr>
        <w:t xml:space="preserve">工程特征：本工程包含暖气系统管线全部更新；一、二层新做暖气防护罩；一、二层馆内、楼梯间、走廊顶棚、内墙铲除面层及翻新；现状顶棚钢网架除锈刷防火涂料；现状四周防护网全部更新；石膏板吊顶拆除及新做；暖气管道沟拆除、地面恢复（暖气沟盖板利旧）；室外新建暖气沟、与室外主暖气管道接驳；新增插座箱保护盖板 60cm*40cm，50个。 </w:t>
      </w:r>
    </w:p>
    <w:p w14:paraId="72A09A62">
      <w:pPr>
        <w:keepNext/>
        <w:spacing w:before="312" w:beforeLines="100"/>
        <w:ind w:firstLine="482" w:firstLineChars="200"/>
        <w:jc w:val="left"/>
        <w:outlineLvl w:val="1"/>
        <w:rPr>
          <w:b/>
          <w:bCs w:val="0"/>
          <w:sz w:val="24"/>
          <w:szCs w:val="24"/>
        </w:rPr>
      </w:pPr>
      <w:bookmarkStart w:id="694" w:name="_Toc507159700"/>
      <w:r>
        <w:rPr>
          <w:rFonts w:hint="eastAsia"/>
          <w:b/>
          <w:bCs w:val="0"/>
          <w:sz w:val="24"/>
          <w:szCs w:val="24"/>
          <w:lang w:val="en-US" w:eastAsia="zh-CN"/>
        </w:rPr>
        <w:t>2</w:t>
      </w:r>
      <w:r>
        <w:rPr>
          <w:rFonts w:hint="eastAsia" w:ascii="宋体" w:hAnsi="宋体" w:eastAsia="宋体" w:cs="宋体"/>
          <w:b/>
          <w:bCs w:val="0"/>
          <w:color w:val="auto"/>
          <w:sz w:val="24"/>
          <w:szCs w:val="24"/>
          <w:lang w:val="en-US" w:eastAsia="zh-CN"/>
        </w:rPr>
        <w:t>.</w:t>
      </w:r>
      <w:r>
        <w:rPr>
          <w:rFonts w:hint="eastAsia"/>
          <w:b/>
          <w:bCs w:val="0"/>
          <w:sz w:val="24"/>
          <w:szCs w:val="24"/>
        </w:rPr>
        <w:t>编制</w:t>
      </w:r>
      <w:bookmarkEnd w:id="694"/>
      <w:r>
        <w:rPr>
          <w:rFonts w:hint="eastAsia"/>
          <w:b/>
          <w:bCs w:val="0"/>
          <w:sz w:val="24"/>
          <w:szCs w:val="24"/>
        </w:rPr>
        <w:t>依据</w:t>
      </w:r>
    </w:p>
    <w:p w14:paraId="164F9BF6">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rPr>
        <w:t>依据建设单位提供的北京中京惠工程设计有限公司设计的《手球馆暖气系统设备维修改造》电子版图纸；</w:t>
      </w:r>
    </w:p>
    <w:p w14:paraId="071EF7AD">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eastAsia"/>
          <w:sz w:val="24"/>
          <w:szCs w:val="24"/>
        </w:rPr>
        <w:t>《工程量清单项目计量标准》(2024-北京)；</w:t>
      </w:r>
    </w:p>
    <w:p w14:paraId="4A104A04">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3</w:t>
      </w:r>
      <w:r>
        <w:rPr>
          <w:rFonts w:hint="eastAsia"/>
          <w:sz w:val="24"/>
          <w:szCs w:val="24"/>
          <w:lang w:eastAsia="zh-CN"/>
        </w:rPr>
        <w:t>）</w:t>
      </w:r>
      <w:r>
        <w:rPr>
          <w:rFonts w:hint="eastAsia"/>
          <w:sz w:val="24"/>
          <w:szCs w:val="24"/>
        </w:rPr>
        <w:t>《房屋修缮工程工程量计算标准》（DB11/T638-2023）；</w:t>
      </w:r>
    </w:p>
    <w:p w14:paraId="6DF44EB2">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4</w:t>
      </w:r>
      <w:r>
        <w:rPr>
          <w:rFonts w:hint="eastAsia"/>
          <w:sz w:val="24"/>
          <w:szCs w:val="24"/>
          <w:lang w:eastAsia="zh-CN"/>
        </w:rPr>
        <w:t>）</w:t>
      </w:r>
      <w:r>
        <w:rPr>
          <w:rFonts w:hint="eastAsia"/>
          <w:sz w:val="24"/>
          <w:szCs w:val="24"/>
        </w:rPr>
        <w:t>《北京市建设工程施工消耗量标准》（2024年）；</w:t>
      </w:r>
    </w:p>
    <w:p w14:paraId="507BFB4C">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5</w:t>
      </w:r>
      <w:r>
        <w:rPr>
          <w:rFonts w:hint="eastAsia"/>
          <w:sz w:val="24"/>
          <w:szCs w:val="24"/>
          <w:lang w:eastAsia="zh-CN"/>
        </w:rPr>
        <w:t>）</w:t>
      </w:r>
      <w:r>
        <w:rPr>
          <w:rFonts w:hint="eastAsia"/>
          <w:sz w:val="24"/>
          <w:szCs w:val="24"/>
        </w:rPr>
        <w:t>《北京市房屋修缮工程计价依据—预算消耗量标准》（2021年）；</w:t>
      </w:r>
    </w:p>
    <w:p w14:paraId="3F647D88">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6</w:t>
      </w:r>
      <w:r>
        <w:rPr>
          <w:rFonts w:hint="eastAsia"/>
          <w:sz w:val="24"/>
          <w:szCs w:val="24"/>
          <w:lang w:eastAsia="zh-CN"/>
        </w:rPr>
        <w:t>）</w:t>
      </w:r>
      <w:r>
        <w:rPr>
          <w:sz w:val="24"/>
          <w:szCs w:val="24"/>
        </w:rPr>
        <w:t>《北京工程造价信息》</w:t>
      </w:r>
      <w:r>
        <w:rPr>
          <w:rFonts w:hint="eastAsia"/>
          <w:sz w:val="24"/>
          <w:szCs w:val="24"/>
        </w:rPr>
        <w:t>（2026</w:t>
      </w:r>
      <w:r>
        <w:rPr>
          <w:sz w:val="24"/>
          <w:szCs w:val="24"/>
        </w:rPr>
        <w:t>年</w:t>
      </w:r>
      <w:r>
        <w:rPr>
          <w:rFonts w:hint="eastAsia"/>
          <w:sz w:val="24"/>
          <w:szCs w:val="24"/>
        </w:rPr>
        <w:t>4</w:t>
      </w:r>
      <w:r>
        <w:rPr>
          <w:sz w:val="24"/>
          <w:szCs w:val="24"/>
        </w:rPr>
        <w:t>月</w:t>
      </w:r>
      <w:r>
        <w:rPr>
          <w:rFonts w:hint="eastAsia"/>
          <w:sz w:val="24"/>
          <w:szCs w:val="24"/>
        </w:rPr>
        <w:t>）及相应取费文件；</w:t>
      </w:r>
    </w:p>
    <w:p w14:paraId="0D30ABF7">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7</w:t>
      </w:r>
      <w:r>
        <w:rPr>
          <w:rFonts w:hint="eastAsia"/>
          <w:sz w:val="24"/>
          <w:szCs w:val="24"/>
          <w:lang w:eastAsia="zh-CN"/>
        </w:rPr>
        <w:t>）</w:t>
      </w:r>
      <w:r>
        <w:rPr>
          <w:rFonts w:hint="eastAsia"/>
          <w:sz w:val="24"/>
          <w:szCs w:val="24"/>
        </w:rPr>
        <w:t>国家及北京市建设行业主管部门颁发的法律、法规等；</w:t>
      </w:r>
    </w:p>
    <w:p w14:paraId="1F41E93E">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8</w:t>
      </w:r>
      <w:r>
        <w:rPr>
          <w:rFonts w:hint="eastAsia"/>
          <w:sz w:val="24"/>
          <w:szCs w:val="24"/>
          <w:lang w:eastAsia="zh-CN"/>
        </w:rPr>
        <w:t>）</w:t>
      </w:r>
      <w:r>
        <w:rPr>
          <w:rFonts w:hint="eastAsia"/>
          <w:sz w:val="24"/>
          <w:szCs w:val="24"/>
        </w:rPr>
        <w:t>与本项目相关的施工工艺标准、图集、技术规范等；</w:t>
      </w:r>
    </w:p>
    <w:p w14:paraId="3E9DA014">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9</w:t>
      </w:r>
      <w:r>
        <w:rPr>
          <w:rFonts w:hint="eastAsia"/>
          <w:sz w:val="24"/>
          <w:szCs w:val="24"/>
          <w:lang w:eastAsia="zh-CN"/>
        </w:rPr>
        <w:t>）</w:t>
      </w:r>
      <w:r>
        <w:rPr>
          <w:rFonts w:hint="eastAsia"/>
          <w:sz w:val="24"/>
          <w:szCs w:val="24"/>
        </w:rPr>
        <w:t>其他相关资料。</w:t>
      </w:r>
    </w:p>
    <w:p w14:paraId="4012EDB7">
      <w:pPr>
        <w:keepNext/>
        <w:spacing w:before="312" w:beforeLines="100"/>
        <w:ind w:firstLine="482" w:firstLineChars="200"/>
        <w:jc w:val="left"/>
        <w:outlineLvl w:val="1"/>
        <w:rPr>
          <w:b/>
          <w:sz w:val="24"/>
          <w:szCs w:val="24"/>
        </w:rPr>
      </w:pPr>
      <w:bookmarkStart w:id="695" w:name="_Toc507159701"/>
      <w:bookmarkStart w:id="696" w:name="_Toc415570995"/>
      <w:r>
        <w:rPr>
          <w:rFonts w:hint="eastAsia"/>
          <w:b/>
          <w:sz w:val="24"/>
          <w:szCs w:val="24"/>
          <w:lang w:val="en-US" w:eastAsia="zh-CN"/>
        </w:rPr>
        <w:t>3</w:t>
      </w:r>
      <w:r>
        <w:rPr>
          <w:rFonts w:hint="eastAsia" w:ascii="宋体" w:hAnsi="宋体" w:eastAsia="宋体" w:cs="宋体"/>
          <w:color w:val="auto"/>
          <w:sz w:val="24"/>
          <w:szCs w:val="24"/>
          <w:lang w:val="en-US" w:eastAsia="zh-CN"/>
        </w:rPr>
        <w:t>.</w:t>
      </w:r>
      <w:r>
        <w:rPr>
          <w:rFonts w:hint="eastAsia"/>
          <w:b/>
          <w:sz w:val="24"/>
          <w:szCs w:val="24"/>
        </w:rPr>
        <w:t>招标</w:t>
      </w:r>
      <w:bookmarkEnd w:id="695"/>
      <w:bookmarkEnd w:id="696"/>
      <w:r>
        <w:rPr>
          <w:rFonts w:hint="eastAsia"/>
          <w:b/>
          <w:sz w:val="24"/>
          <w:szCs w:val="24"/>
        </w:rPr>
        <w:t>范围</w:t>
      </w:r>
    </w:p>
    <w:p w14:paraId="31366624">
      <w:pPr>
        <w:spacing w:line="500" w:lineRule="exact"/>
        <w:ind w:firstLine="480" w:firstLineChars="200"/>
        <w:rPr>
          <w:sz w:val="24"/>
          <w:szCs w:val="24"/>
        </w:rPr>
      </w:pPr>
      <w:r>
        <w:rPr>
          <w:rFonts w:hint="eastAsia"/>
          <w:sz w:val="24"/>
          <w:szCs w:val="24"/>
        </w:rPr>
        <w:t>包括但不限于手球馆暖气系统设备维修改造图纸及招标工程量清单中包含的工作内容。</w:t>
      </w:r>
    </w:p>
    <w:p w14:paraId="0EF932B2">
      <w:pPr>
        <w:keepNext/>
        <w:spacing w:before="312" w:beforeLines="100"/>
        <w:ind w:firstLine="482" w:firstLineChars="200"/>
        <w:jc w:val="left"/>
        <w:outlineLvl w:val="1"/>
        <w:rPr>
          <w:b/>
          <w:sz w:val="24"/>
          <w:szCs w:val="24"/>
        </w:rPr>
      </w:pPr>
      <w:bookmarkStart w:id="697" w:name="_Toc507159702"/>
      <w:bookmarkStart w:id="698" w:name="_Toc415570996"/>
      <w:r>
        <w:rPr>
          <w:rFonts w:hint="eastAsia"/>
          <w:b/>
          <w:sz w:val="24"/>
          <w:szCs w:val="24"/>
          <w:lang w:val="en-US" w:eastAsia="zh-CN"/>
        </w:rPr>
        <w:t>4</w:t>
      </w:r>
      <w:bookmarkEnd w:id="697"/>
      <w:bookmarkEnd w:id="698"/>
      <w:r>
        <w:rPr>
          <w:rFonts w:hint="eastAsia" w:ascii="宋体" w:hAnsi="宋体" w:eastAsia="宋体" w:cs="宋体"/>
          <w:color w:val="auto"/>
          <w:sz w:val="24"/>
          <w:szCs w:val="24"/>
          <w:lang w:val="en-US" w:eastAsia="zh-CN"/>
        </w:rPr>
        <w:t>.</w:t>
      </w:r>
      <w:r>
        <w:rPr>
          <w:rFonts w:hint="eastAsia"/>
          <w:b/>
          <w:sz w:val="24"/>
          <w:szCs w:val="24"/>
        </w:rPr>
        <w:t>有关说明</w:t>
      </w:r>
    </w:p>
    <w:p w14:paraId="091A9250">
      <w:pPr>
        <w:spacing w:line="500" w:lineRule="exact"/>
        <w:ind w:firstLine="480" w:firstLineChars="200"/>
        <w:rPr>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rPr>
        <w:t>本工程人工单价按</w:t>
      </w:r>
      <w:r>
        <w:rPr>
          <w:sz w:val="24"/>
          <w:szCs w:val="24"/>
        </w:rPr>
        <w:t>《北京工程造价信息》</w:t>
      </w:r>
      <w:r>
        <w:rPr>
          <w:rFonts w:hint="eastAsia"/>
          <w:sz w:val="24"/>
          <w:szCs w:val="24"/>
        </w:rPr>
        <w:t>（2026</w:t>
      </w:r>
      <w:r>
        <w:rPr>
          <w:sz w:val="24"/>
          <w:szCs w:val="24"/>
        </w:rPr>
        <w:t>年</w:t>
      </w:r>
      <w:r>
        <w:rPr>
          <w:rFonts w:hint="eastAsia"/>
          <w:sz w:val="24"/>
          <w:szCs w:val="24"/>
        </w:rPr>
        <w:t>4</w:t>
      </w:r>
      <w:r>
        <w:rPr>
          <w:sz w:val="24"/>
          <w:szCs w:val="24"/>
        </w:rPr>
        <w:t>月</w:t>
      </w:r>
      <w:r>
        <w:rPr>
          <w:rFonts w:hint="eastAsia"/>
          <w:sz w:val="24"/>
          <w:szCs w:val="24"/>
        </w:rPr>
        <w:t>）相关专业人工单价中值计入；</w:t>
      </w:r>
    </w:p>
    <w:p w14:paraId="5B6BAAA7">
      <w:pPr>
        <w:spacing w:line="500" w:lineRule="exact"/>
        <w:ind w:firstLine="480" w:firstLineChars="200"/>
        <w:rPr>
          <w:rFonts w:hint="eastAsia" w:eastAsia="宋体"/>
          <w:sz w:val="24"/>
          <w:szCs w:val="24"/>
          <w:lang w:eastAsia="zh-CN"/>
        </w:rPr>
      </w:pP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eastAsia"/>
          <w:sz w:val="24"/>
          <w:szCs w:val="24"/>
        </w:rPr>
        <w:t>本工程安全文明施工费标准按“达标”考虑</w:t>
      </w:r>
      <w:r>
        <w:rPr>
          <w:rFonts w:hint="eastAsia"/>
          <w:sz w:val="24"/>
          <w:szCs w:val="24"/>
          <w:lang w:eastAsia="zh-CN"/>
        </w:rPr>
        <w:t>。</w:t>
      </w:r>
    </w:p>
    <w:p w14:paraId="5AC1F697">
      <w:pPr>
        <w:pStyle w:val="20"/>
        <w:spacing w:line="360" w:lineRule="auto"/>
        <w:ind w:firstLine="482" w:firstLineChars="200"/>
        <w:rPr>
          <w:rFonts w:hint="default"/>
          <w:b/>
          <w:bCs/>
          <w:lang w:val="en-US" w:eastAsia="zh-CN"/>
        </w:rPr>
      </w:pPr>
      <w:r>
        <w:rPr>
          <w:rFonts w:hint="eastAsia"/>
          <w:b/>
          <w:bCs/>
          <w:lang w:val="en-US" w:eastAsia="zh-CN"/>
        </w:rPr>
        <w:t>（二）工程量清单及图纸另附</w:t>
      </w:r>
    </w:p>
    <w:p w14:paraId="0C89D69F">
      <w:pPr>
        <w:numPr>
          <w:ilvl w:val="0"/>
          <w:numId w:val="0"/>
        </w:numPr>
        <w:spacing w:line="360" w:lineRule="auto"/>
        <w:jc w:val="center"/>
        <w:outlineLvl w:val="0"/>
        <w:rPr>
          <w:rFonts w:eastAsiaTheme="minorEastAsia"/>
          <w:b/>
          <w:sz w:val="36"/>
          <w:szCs w:val="36"/>
        </w:rPr>
      </w:pPr>
      <w:r>
        <w:rPr>
          <w:rFonts w:hint="eastAsia" w:ascii="宋体" w:hAnsi="宋体" w:eastAsia="宋体" w:cs="宋体"/>
          <w:b w:val="0"/>
          <w:bCs/>
          <w:sz w:val="28"/>
          <w:szCs w:val="28"/>
        </w:rPr>
        <w:br w:type="page"/>
      </w:r>
      <w:bookmarkStart w:id="699" w:name="_Toc167110018"/>
      <w:r>
        <w:rPr>
          <w:rFonts w:eastAsiaTheme="minorEastAsia"/>
          <w:b/>
          <w:sz w:val="36"/>
          <w:szCs w:val="36"/>
        </w:rPr>
        <w:t>第五章   合同草案条款</w:t>
      </w:r>
      <w:bookmarkEnd w:id="699"/>
    </w:p>
    <w:p w14:paraId="033D8D3E">
      <w:pPr>
        <w:widowControl/>
        <w:jc w:val="center"/>
        <w:rPr>
          <w:rFonts w:hint="eastAsia" w:eastAsiaTheme="minorEastAsia"/>
          <w:bCs/>
          <w:sz w:val="24"/>
        </w:rPr>
      </w:pPr>
      <w:r>
        <w:rPr>
          <w:rFonts w:hint="eastAsia" w:eastAsiaTheme="minorEastAsia"/>
          <w:bCs/>
          <w:sz w:val="24"/>
        </w:rPr>
        <w:t>（仅供参考，具体内容以实际签订为准）</w:t>
      </w:r>
    </w:p>
    <w:p w14:paraId="39C43E4F">
      <w:pPr>
        <w:widowControl/>
        <w:jc w:val="center"/>
        <w:rPr>
          <w:rFonts w:hint="eastAsia" w:eastAsiaTheme="minorEastAsia"/>
          <w:bCs/>
          <w:sz w:val="24"/>
        </w:rPr>
      </w:pPr>
    </w:p>
    <w:p w14:paraId="27C8984D">
      <w:pPr>
        <w:widowControl/>
        <w:jc w:val="center"/>
        <w:rPr>
          <w:rFonts w:hint="eastAsia" w:eastAsiaTheme="minorEastAsia"/>
          <w:bCs/>
          <w:sz w:val="24"/>
        </w:rPr>
      </w:pPr>
    </w:p>
    <w:p w14:paraId="483FA9D8">
      <w:pPr>
        <w:widowControl w:val="0"/>
        <w:jc w:val="center"/>
        <w:rPr>
          <w:rFonts w:eastAsia="华文中宋"/>
          <w:b/>
          <w:kern w:val="2"/>
          <w:sz w:val="48"/>
          <w:szCs w:val="48"/>
        </w:rPr>
      </w:pPr>
      <w:bookmarkStart w:id="700" w:name="_Toc7871"/>
      <w:bookmarkStart w:id="701" w:name="_Toc5803452"/>
      <w:bookmarkStart w:id="702" w:name="_Toc161933492"/>
      <w:bookmarkStart w:id="703" w:name="_Toc84948817"/>
      <w:bookmarkStart w:id="704" w:name="_Toc85792325"/>
      <w:r>
        <w:rPr>
          <w:rFonts w:hint="eastAsia" w:eastAsia="华文中宋"/>
          <w:b/>
          <w:kern w:val="2"/>
          <w:sz w:val="48"/>
          <w:szCs w:val="48"/>
        </w:rPr>
        <w:t>建设工程施工</w:t>
      </w:r>
      <w:r>
        <w:rPr>
          <w:rFonts w:eastAsia="华文中宋"/>
          <w:b/>
          <w:kern w:val="2"/>
          <w:sz w:val="48"/>
          <w:szCs w:val="48"/>
        </w:rPr>
        <w:t>合同</w:t>
      </w:r>
    </w:p>
    <w:p w14:paraId="775067AB">
      <w:pPr>
        <w:widowControl w:val="0"/>
        <w:tabs>
          <w:tab w:val="center" w:pos="4153"/>
          <w:tab w:val="right" w:pos="8306"/>
        </w:tabs>
        <w:autoSpaceDE w:val="0"/>
        <w:autoSpaceDN w:val="0"/>
        <w:adjustRightInd w:val="0"/>
        <w:snapToGrid w:val="0"/>
        <w:rPr>
          <w:rFonts w:ascii="宋体"/>
          <w:sz w:val="18"/>
        </w:rPr>
      </w:pPr>
    </w:p>
    <w:p w14:paraId="302AEA83">
      <w:pPr>
        <w:widowControl w:val="0"/>
        <w:jc w:val="center"/>
        <w:rPr>
          <w:rFonts w:eastAsia="华文中宋"/>
          <w:b/>
          <w:kern w:val="2"/>
          <w:sz w:val="52"/>
          <w:szCs w:val="52"/>
        </w:rPr>
      </w:pPr>
    </w:p>
    <w:p w14:paraId="7653360C">
      <w:pPr>
        <w:widowControl w:val="0"/>
        <w:jc w:val="both"/>
        <w:rPr>
          <w:rFonts w:eastAsia="楷体_GB2312"/>
          <w:b/>
          <w:kern w:val="2"/>
          <w:sz w:val="72"/>
          <w:szCs w:val="72"/>
        </w:rPr>
      </w:pPr>
    </w:p>
    <w:p w14:paraId="748AB270">
      <w:pPr>
        <w:widowControl w:val="0"/>
        <w:jc w:val="center"/>
        <w:rPr>
          <w:rFonts w:eastAsia="黑体"/>
          <w:b/>
          <w:kern w:val="2"/>
          <w:sz w:val="52"/>
          <w:szCs w:val="52"/>
        </w:rPr>
      </w:pPr>
    </w:p>
    <w:p w14:paraId="7BDA8670">
      <w:pPr>
        <w:widowControl w:val="0"/>
        <w:jc w:val="both"/>
        <w:rPr>
          <w:b/>
          <w:kern w:val="2"/>
          <w:sz w:val="28"/>
          <w:szCs w:val="28"/>
        </w:rPr>
      </w:pPr>
    </w:p>
    <w:p w14:paraId="764C2A64">
      <w:pPr>
        <w:widowControl w:val="0"/>
        <w:jc w:val="both"/>
        <w:rPr>
          <w:b/>
          <w:kern w:val="2"/>
          <w:sz w:val="28"/>
          <w:szCs w:val="28"/>
        </w:rPr>
      </w:pPr>
    </w:p>
    <w:p w14:paraId="42599721">
      <w:pPr>
        <w:widowControl w:val="0"/>
        <w:jc w:val="both"/>
        <w:rPr>
          <w:b/>
          <w:kern w:val="2"/>
          <w:sz w:val="28"/>
          <w:szCs w:val="28"/>
        </w:rPr>
      </w:pPr>
    </w:p>
    <w:p w14:paraId="12A49533">
      <w:pPr>
        <w:widowControl w:val="0"/>
        <w:jc w:val="both"/>
        <w:rPr>
          <w:b/>
          <w:kern w:val="2"/>
          <w:sz w:val="28"/>
          <w:szCs w:val="28"/>
        </w:rPr>
      </w:pPr>
    </w:p>
    <w:p w14:paraId="398635E6">
      <w:pPr>
        <w:widowControl w:val="0"/>
        <w:jc w:val="both"/>
        <w:rPr>
          <w:b/>
          <w:kern w:val="2"/>
          <w:sz w:val="28"/>
          <w:szCs w:val="28"/>
        </w:rPr>
      </w:pPr>
    </w:p>
    <w:p w14:paraId="41676CA9">
      <w:pPr>
        <w:widowControl w:val="0"/>
        <w:jc w:val="both"/>
        <w:rPr>
          <w:b/>
          <w:kern w:val="2"/>
          <w:sz w:val="28"/>
          <w:szCs w:val="28"/>
        </w:rPr>
      </w:pPr>
    </w:p>
    <w:p w14:paraId="0D895438">
      <w:pPr>
        <w:widowControl w:val="0"/>
        <w:jc w:val="both"/>
        <w:rPr>
          <w:b/>
          <w:kern w:val="2"/>
          <w:sz w:val="28"/>
          <w:szCs w:val="28"/>
        </w:rPr>
      </w:pPr>
    </w:p>
    <w:p w14:paraId="172AD8B9">
      <w:pPr>
        <w:widowControl w:val="0"/>
        <w:jc w:val="both"/>
        <w:rPr>
          <w:b/>
          <w:kern w:val="2"/>
          <w:sz w:val="28"/>
          <w:szCs w:val="28"/>
        </w:rPr>
      </w:pPr>
    </w:p>
    <w:p w14:paraId="7F7115BA">
      <w:pPr>
        <w:widowControl w:val="0"/>
        <w:jc w:val="both"/>
        <w:rPr>
          <w:b/>
          <w:kern w:val="2"/>
          <w:sz w:val="28"/>
          <w:szCs w:val="28"/>
        </w:rPr>
      </w:pPr>
    </w:p>
    <w:p w14:paraId="2BF2F7A4">
      <w:pPr>
        <w:widowControl w:val="0"/>
        <w:jc w:val="both"/>
        <w:rPr>
          <w:b/>
          <w:kern w:val="2"/>
          <w:sz w:val="28"/>
          <w:szCs w:val="28"/>
        </w:rPr>
      </w:pPr>
    </w:p>
    <w:p w14:paraId="322C08C6">
      <w:pPr>
        <w:widowControl w:val="0"/>
        <w:jc w:val="both"/>
        <w:rPr>
          <w:b/>
          <w:kern w:val="2"/>
          <w:sz w:val="28"/>
          <w:szCs w:val="28"/>
        </w:rPr>
      </w:pPr>
    </w:p>
    <w:p w14:paraId="41364651">
      <w:pPr>
        <w:widowControl w:val="0"/>
        <w:jc w:val="both"/>
        <w:rPr>
          <w:b/>
          <w:kern w:val="2"/>
          <w:sz w:val="28"/>
          <w:szCs w:val="28"/>
        </w:rPr>
      </w:pPr>
    </w:p>
    <w:p w14:paraId="6E208932">
      <w:pPr>
        <w:widowControl w:val="0"/>
        <w:jc w:val="both"/>
        <w:rPr>
          <w:b/>
          <w:kern w:val="2"/>
          <w:sz w:val="28"/>
          <w:szCs w:val="28"/>
        </w:rPr>
      </w:pPr>
    </w:p>
    <w:p w14:paraId="6B841ECB">
      <w:pPr>
        <w:widowControl w:val="0"/>
        <w:jc w:val="both"/>
        <w:rPr>
          <w:b/>
          <w:kern w:val="2"/>
          <w:sz w:val="28"/>
          <w:szCs w:val="28"/>
        </w:rPr>
      </w:pPr>
    </w:p>
    <w:p w14:paraId="6981D2B1">
      <w:pPr>
        <w:widowControl w:val="0"/>
        <w:ind w:right="2719" w:rightChars="1295" w:firstLine="2205" w:firstLineChars="1050"/>
        <w:jc w:val="distribute"/>
        <w:rPr>
          <w:b/>
          <w:kern w:val="2"/>
          <w:sz w:val="32"/>
          <w:szCs w:val="28"/>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column">
                  <wp:posOffset>4185920</wp:posOffset>
                </wp:positionH>
                <wp:positionV relativeFrom="paragraph">
                  <wp:posOffset>113030</wp:posOffset>
                </wp:positionV>
                <wp:extent cx="723900" cy="457200"/>
                <wp:effectExtent l="4445" t="4445" r="14605" b="14605"/>
                <wp:wrapNone/>
                <wp:docPr id="3"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0A2420BE">
                            <w:pPr>
                              <w:widowControl w:val="0"/>
                              <w:jc w:val="both"/>
                              <w:rPr>
                                <w:b/>
                                <w:bCs/>
                                <w:kern w:val="2"/>
                                <w:sz w:val="32"/>
                                <w:szCs w:val="24"/>
                              </w:rPr>
                            </w:pPr>
                            <w:r>
                              <w:rPr>
                                <w:rFonts w:hint="eastAsia"/>
                                <w:b/>
                                <w:bCs/>
                                <w:kern w:val="2"/>
                                <w:sz w:val="32"/>
                                <w:szCs w:val="24"/>
                              </w:rPr>
                              <w:t>制定</w:t>
                            </w:r>
                          </w:p>
                        </w:txbxContent>
                      </wps:txbx>
                      <wps:bodyPr upright="1"/>
                    </wps:wsp>
                  </a:graphicData>
                </a:graphic>
              </wp:anchor>
            </w:drawing>
          </mc:Choice>
          <mc:Fallback>
            <w:pict>
              <v:shape id="文本框 2" o:spid="_x0000_s1026" o:spt="202" type="#_x0000_t202" style="position:absolute;left:0pt;margin-left:329.6pt;margin-top:8.9pt;height:36pt;width:57pt;z-index:251659264;mso-width-relative:page;mso-height-relative:page;" filled="f" stroked="t" coordsize="21600,21600" o:gfxdata="UEsDBAoAAAAAAIdO4kAAAAAAAAAAAAAAAAAEAAAAZHJzL1BLAwQUAAAACACHTuJAqH3HvtgAAAAJ&#10;AQAADwAAAGRycy9kb3ducmV2LnhtbE2PwU7DMBBE70j8g7VIXCrqtECShjg9IHHgUKClH+DGSxKw&#10;11HsJOXvWU5w3Jmn2Zlye3ZWTDiEzpOC1TIBgVR701Gj4Pj+dJODCFGT0dYTKvjGANvq8qLUhfEz&#10;7XE6xEZwCIVCK2hj7AspQ92i02HpeyT2PvzgdORzaKQZ9Mzhzsp1kqTS6Y74Q6t7fGyx/jqMTsH+&#10;uX1b0N1uZ42c0s/jy/g65wulrq9WyQOIiOf4B8Nvfa4OFXc6+ZFMEFZBer9ZM8pGxhMYyLJbFk4K&#10;8k0Osirl/wXVD1BLAwQUAAAACACHTuJAxV3BvwoCAAAaBAAADgAAAGRycy9lMm9Eb2MueG1srVPN&#10;jtMwEL4j8Q6W7zTdLmXZqOlKUMoFAdLCA7jOJLHkP3ncJn0BeANOXLjzXH2OHTvd7g+XHsjBGXvG&#10;38z3zXhxMxjNdhBQOVvxi8mUM7DS1cq2Ff/+bf3qLWcYha2FdhYqvgfkN8uXLxa9L2HmOqdrCIxA&#10;LJa9r3gXoy+LAmUHRuDEebDkbFwwItI2tEUdRE/oRhez6fRN0btQ++AkINLpanTyI2I4B9A1jZKw&#10;cnJrwMYRNYAWkShhpzzyZa62aUDGL02DEJmuODGNeaUkZG/SWiwXomyD8J2SxxLEOSU842SEspT0&#10;BLUSUbBtUP9AGSWDQ9fEiXSmGIlkRYjFxfSZNred8JC5kNToT6Lj/4OVn3dfA1N1xS85s8JQww+/&#10;fh5+/z38+cFmSZ7eY0lRt57i4vDODTQ09+dIh4n10AST/sSHkZ/E3Z/EhSEySYdXs8vrKXkkuV7P&#10;r2gUEkrxcNkHjB/BGZaMigfqXZZU7D5hHEPvQ1Iu69ZK69w/bVlf8ev5bE7wgmayoVkg03jihbbN&#10;MOi0qtOVdBlDu3mvA9sJmot1/o7VPAlL+VYCuzEuu1KYKI2KELLVgag/2JrFvSftLD0ZnooxUHOm&#10;gV5YsnJkFEqfE0mSaJuSQJ7fI/nUhlHuZMVhMxBoMjeu3lNrtj6otiPdcnOK5KGRyQIfxzvN5OM9&#10;2Y+f9PI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H3HvtgAAAAJAQAADwAAAAAAAAABACAAAAAi&#10;AAAAZHJzL2Rvd25yZXYueG1sUEsBAhQAFAAAAAgAh07iQMVdwb8KAgAAGgQAAA4AAAAAAAAAAQAg&#10;AAAAJwEAAGRycy9lMm9Eb2MueG1sUEsFBgAAAAAGAAYAWQEAAKMFAAAAAA==&#10;">
                <v:fill on="f" focussize="0,0"/>
                <v:stroke color="#FFFFFF" joinstyle="miter"/>
                <v:imagedata o:title=""/>
                <o:lock v:ext="edit" aspectratio="f"/>
                <v:textbox>
                  <w:txbxContent>
                    <w:p w14:paraId="0A2420BE">
                      <w:pPr>
                        <w:widowControl w:val="0"/>
                        <w:jc w:val="both"/>
                        <w:rPr>
                          <w:b/>
                          <w:bCs/>
                          <w:kern w:val="2"/>
                          <w:sz w:val="32"/>
                          <w:szCs w:val="24"/>
                        </w:rPr>
                      </w:pPr>
                      <w:r>
                        <w:rPr>
                          <w:rFonts w:hint="eastAsia"/>
                          <w:b/>
                          <w:bCs/>
                          <w:kern w:val="2"/>
                          <w:sz w:val="32"/>
                          <w:szCs w:val="24"/>
                        </w:rPr>
                        <w:t>制定</w:t>
                      </w:r>
                    </w:p>
                  </w:txbxContent>
                </v:textbox>
              </v:shape>
            </w:pict>
          </mc:Fallback>
        </mc:AlternateContent>
      </w:r>
      <w:r>
        <w:rPr>
          <w:b/>
          <w:kern w:val="2"/>
          <w:sz w:val="32"/>
          <w:szCs w:val="28"/>
        </w:rPr>
        <w:t>住房和城乡建设部</w:t>
      </w:r>
    </w:p>
    <w:p w14:paraId="46EF2B22">
      <w:pPr>
        <w:widowControl w:val="0"/>
        <w:ind w:right="2719" w:rightChars="1295" w:firstLine="2233" w:firstLineChars="695"/>
        <w:jc w:val="distribute"/>
        <w:rPr>
          <w:b/>
          <w:kern w:val="2"/>
          <w:sz w:val="32"/>
          <w:szCs w:val="28"/>
        </w:rPr>
      </w:pPr>
      <w:r>
        <w:rPr>
          <w:b/>
          <w:kern w:val="2"/>
          <w:sz w:val="32"/>
          <w:szCs w:val="28"/>
        </w:rPr>
        <w:t>国家工商行政管理总局</w:t>
      </w:r>
    </w:p>
    <w:p w14:paraId="49A984FD">
      <w:pPr>
        <w:widowControl w:val="0"/>
        <w:jc w:val="both"/>
        <w:rPr>
          <w:rFonts w:hint="eastAsia" w:ascii="宋体" w:hAnsi="宋体" w:eastAsia="宋体" w:cs="宋体"/>
          <w:b/>
          <w:kern w:val="2"/>
          <w:sz w:val="24"/>
          <w:szCs w:val="24"/>
        </w:rPr>
      </w:pPr>
      <w:r>
        <w:rPr>
          <w:rFonts w:hint="eastAsia" w:ascii="宋体" w:hAnsi="宋体"/>
          <w:b/>
          <w:kern w:val="2"/>
          <w:sz w:val="28"/>
          <w:szCs w:val="28"/>
        </w:rPr>
        <w:br w:type="page"/>
      </w:r>
    </w:p>
    <w:p w14:paraId="3696F9A8">
      <w:pPr>
        <w:widowControl w:val="0"/>
        <w:spacing w:line="360" w:lineRule="auto"/>
        <w:jc w:val="center"/>
        <w:rPr>
          <w:rFonts w:hint="eastAsia" w:ascii="宋体" w:hAnsi="宋体" w:eastAsia="宋体" w:cs="宋体"/>
          <w:b/>
          <w:kern w:val="2"/>
          <w:sz w:val="24"/>
          <w:szCs w:val="24"/>
        </w:rPr>
      </w:pPr>
      <w:r>
        <w:rPr>
          <w:rFonts w:hint="eastAsia" w:ascii="宋体" w:hAnsi="宋体" w:eastAsia="宋体" w:cs="宋体"/>
          <w:b/>
          <w:kern w:val="2"/>
          <w:sz w:val="24"/>
          <w:szCs w:val="24"/>
        </w:rPr>
        <w:t>合同协议书</w:t>
      </w:r>
    </w:p>
    <w:p w14:paraId="2CEB1A14">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 xml:space="preserve">                                                    编号：</w:t>
      </w:r>
      <w:r>
        <w:rPr>
          <w:rFonts w:hint="eastAsia" w:ascii="宋体" w:hAnsi="宋体" w:eastAsia="宋体" w:cs="宋体"/>
          <w:kern w:val="2"/>
          <w:sz w:val="24"/>
          <w:szCs w:val="24"/>
          <w:u w:val="single"/>
        </w:rPr>
        <w:t xml:space="preserve">                   </w:t>
      </w:r>
    </w:p>
    <w:p w14:paraId="25F58BDC">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发包人（全称）：</w:t>
      </w:r>
      <w:r>
        <w:rPr>
          <w:rFonts w:hint="eastAsia" w:ascii="宋体" w:hAnsi="宋体" w:eastAsia="宋体" w:cs="宋体"/>
          <w:kern w:val="2"/>
          <w:sz w:val="24"/>
          <w:szCs w:val="24"/>
          <w:u w:val="single"/>
        </w:rPr>
        <w:t xml:space="preserve"> 北京市木樨园体育运动技术学校（北京市排球运动管理中心）      </w:t>
      </w:r>
    </w:p>
    <w:p w14:paraId="102FF1A2">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法 定 代 表 人：</w:t>
      </w:r>
      <w:r>
        <w:rPr>
          <w:rFonts w:hint="eastAsia" w:ascii="宋体" w:hAnsi="宋体" w:eastAsia="宋体" w:cs="宋体"/>
          <w:kern w:val="2"/>
          <w:sz w:val="24"/>
          <w:szCs w:val="24"/>
          <w:u w:val="single"/>
        </w:rPr>
        <w:t xml:space="preserve">                                                      </w:t>
      </w:r>
    </w:p>
    <w:p w14:paraId="3EE69804">
      <w:pPr>
        <w:widowControl w:val="0"/>
        <w:spacing w:line="360" w:lineRule="auto"/>
        <w:jc w:val="both"/>
        <w:rPr>
          <w:rFonts w:hint="eastAsia" w:ascii="宋体" w:hAnsi="宋体" w:eastAsia="宋体" w:cs="宋体"/>
          <w:kern w:val="2"/>
          <w:sz w:val="24"/>
          <w:szCs w:val="24"/>
          <w:u w:val="single"/>
        </w:rPr>
      </w:pPr>
      <w:r>
        <w:rPr>
          <w:rFonts w:hint="eastAsia" w:ascii="宋体" w:hAnsi="宋体" w:eastAsia="宋体" w:cs="宋体"/>
          <w:kern w:val="2"/>
          <w:sz w:val="24"/>
          <w:szCs w:val="24"/>
        </w:rPr>
        <w:t>法定注册地址：</w:t>
      </w:r>
      <w:r>
        <w:rPr>
          <w:rFonts w:hint="eastAsia" w:ascii="宋体" w:hAnsi="宋体" w:eastAsia="宋体" w:cs="宋体"/>
          <w:kern w:val="2"/>
          <w:sz w:val="24"/>
          <w:szCs w:val="24"/>
          <w:u w:val="single"/>
        </w:rPr>
        <w:t xml:space="preserve">                                     </w:t>
      </w:r>
    </w:p>
    <w:p w14:paraId="039C221D">
      <w:pPr>
        <w:pStyle w:val="2"/>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1F79EA9">
      <w:pPr>
        <w:pStyle w:val="2"/>
        <w:ind w:left="0" w:leftChars="0" w:firstLine="0" w:firstLineChars="0"/>
        <w:rPr>
          <w:rFonts w:hint="eastAsia" w:ascii="宋体" w:hAnsi="宋体" w:eastAsia="宋体" w:cs="宋体"/>
          <w:sz w:val="24"/>
          <w:szCs w:val="24"/>
          <w:u w:val="single"/>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705E36E0">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承包人（全称）：</w:t>
      </w:r>
      <w:r>
        <w:rPr>
          <w:rFonts w:hint="eastAsia" w:ascii="宋体" w:hAnsi="宋体" w:eastAsia="宋体" w:cs="宋体"/>
          <w:kern w:val="2"/>
          <w:sz w:val="24"/>
          <w:szCs w:val="24"/>
          <w:u w:val="single"/>
        </w:rPr>
        <w:t xml:space="preserve">                                                              </w:t>
      </w:r>
    </w:p>
    <w:p w14:paraId="59CF4027">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法 定 代 表 人：</w:t>
      </w:r>
      <w:r>
        <w:rPr>
          <w:rFonts w:hint="eastAsia" w:ascii="宋体" w:hAnsi="宋体" w:eastAsia="宋体" w:cs="宋体"/>
          <w:kern w:val="2"/>
          <w:sz w:val="24"/>
          <w:szCs w:val="24"/>
          <w:u w:val="single"/>
        </w:rPr>
        <w:t xml:space="preserve">                                                               </w:t>
      </w:r>
    </w:p>
    <w:p w14:paraId="55357B0D">
      <w:pPr>
        <w:widowControl w:val="0"/>
        <w:spacing w:line="360" w:lineRule="auto"/>
        <w:jc w:val="both"/>
        <w:rPr>
          <w:rFonts w:hint="eastAsia" w:ascii="宋体" w:hAnsi="宋体" w:eastAsia="宋体" w:cs="宋体"/>
          <w:kern w:val="2"/>
          <w:sz w:val="24"/>
          <w:szCs w:val="24"/>
          <w:u w:val="single"/>
        </w:rPr>
      </w:pPr>
      <w:r>
        <w:rPr>
          <w:rFonts w:hint="eastAsia" w:ascii="宋体" w:hAnsi="宋体" w:eastAsia="宋体" w:cs="宋体"/>
          <w:kern w:val="2"/>
          <w:sz w:val="24"/>
          <w:szCs w:val="24"/>
        </w:rPr>
        <w:t>法定注册地址</w:t>
      </w:r>
      <w:r>
        <w:rPr>
          <w:rFonts w:hint="eastAsia" w:ascii="宋体" w:hAnsi="宋体" w:eastAsia="宋体" w:cs="宋体"/>
          <w:b/>
          <w:kern w:val="2"/>
          <w:sz w:val="24"/>
          <w:szCs w:val="24"/>
        </w:rPr>
        <w:t>：</w:t>
      </w:r>
      <w:r>
        <w:rPr>
          <w:rFonts w:hint="eastAsia" w:ascii="宋体" w:hAnsi="宋体" w:eastAsia="宋体" w:cs="宋体"/>
          <w:kern w:val="2"/>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kern w:val="2"/>
          <w:sz w:val="24"/>
          <w:szCs w:val="24"/>
          <w:u w:val="single"/>
        </w:rPr>
        <w:t xml:space="preserve">                                     </w:t>
      </w:r>
    </w:p>
    <w:p w14:paraId="1374DD53">
      <w:pPr>
        <w:pStyle w:val="2"/>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p>
    <w:p w14:paraId="39C0A14C">
      <w:pPr>
        <w:pStyle w:val="2"/>
        <w:ind w:left="0" w:leftChars="0" w:firstLine="0" w:firstLineChars="0"/>
        <w:rPr>
          <w:rFonts w:hint="eastAsia" w:ascii="宋体" w:hAnsi="宋体" w:eastAsia="宋体" w:cs="宋体"/>
          <w:sz w:val="24"/>
          <w:szCs w:val="24"/>
          <w:u w:val="single"/>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5459FB2D">
      <w:pPr>
        <w:pStyle w:val="2"/>
        <w:ind w:left="400"/>
        <w:rPr>
          <w:rFonts w:hint="eastAsia" w:ascii="宋体" w:hAnsi="宋体" w:eastAsia="宋体" w:cs="宋体"/>
          <w:sz w:val="24"/>
          <w:szCs w:val="24"/>
        </w:rPr>
      </w:pPr>
    </w:p>
    <w:p w14:paraId="0347300C">
      <w:pPr>
        <w:widowControl w:val="0"/>
        <w:spacing w:line="360" w:lineRule="auto"/>
        <w:ind w:firstLine="490"/>
        <w:jc w:val="both"/>
        <w:rPr>
          <w:rFonts w:hint="eastAsia" w:ascii="宋体" w:hAnsi="宋体" w:eastAsia="宋体" w:cs="宋体"/>
          <w:kern w:val="2"/>
          <w:sz w:val="24"/>
          <w:szCs w:val="24"/>
        </w:rPr>
      </w:pPr>
    </w:p>
    <w:p w14:paraId="15C2310D">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发包人为建设</w:t>
      </w:r>
      <w:r>
        <w:rPr>
          <w:rFonts w:hint="eastAsia" w:ascii="宋体" w:hAnsi="宋体" w:eastAsia="宋体" w:cs="宋体"/>
          <w:kern w:val="2"/>
          <w:sz w:val="24"/>
          <w:szCs w:val="24"/>
          <w:u w:val="single"/>
        </w:rPr>
        <w:t xml:space="preserve">   手球馆暖气系统设备维修改造    </w:t>
      </w:r>
      <w:r>
        <w:rPr>
          <w:rFonts w:hint="eastAsia" w:ascii="宋体" w:hAnsi="宋体" w:eastAsia="宋体" w:cs="宋体"/>
          <w:kern w:val="2"/>
          <w:sz w:val="24"/>
          <w:szCs w:val="24"/>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43C81CFE">
      <w:pPr>
        <w:widowControl w:val="0"/>
        <w:spacing w:line="360" w:lineRule="auto"/>
        <w:ind w:firstLine="480" w:firstLineChars="200"/>
        <w:jc w:val="both"/>
        <w:rPr>
          <w:rFonts w:hint="eastAsia" w:ascii="宋体" w:hAnsi="宋体" w:eastAsia="宋体" w:cs="宋体"/>
          <w:kern w:val="2"/>
          <w:sz w:val="24"/>
          <w:szCs w:val="24"/>
        </w:rPr>
      </w:pPr>
      <w:bookmarkStart w:id="705" w:name="_Toc480303461"/>
      <w:bookmarkStart w:id="706" w:name="_Toc477964590"/>
      <w:bookmarkStart w:id="707" w:name="_Toc479505734"/>
      <w:r>
        <w:rPr>
          <w:rFonts w:hint="eastAsia" w:ascii="宋体" w:hAnsi="宋体" w:eastAsia="宋体" w:cs="宋体"/>
          <w:kern w:val="2"/>
          <w:sz w:val="24"/>
          <w:szCs w:val="24"/>
        </w:rPr>
        <w:t>一、工程概况</w:t>
      </w:r>
      <w:bookmarkEnd w:id="705"/>
      <w:bookmarkEnd w:id="706"/>
      <w:bookmarkEnd w:id="707"/>
    </w:p>
    <w:p w14:paraId="216D9529">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工程名称：</w:t>
      </w:r>
      <w:r>
        <w:rPr>
          <w:rFonts w:hint="eastAsia" w:ascii="宋体" w:hAnsi="宋体" w:eastAsia="宋体" w:cs="宋体"/>
          <w:kern w:val="2"/>
          <w:sz w:val="24"/>
          <w:szCs w:val="24"/>
          <w:u w:val="single"/>
        </w:rPr>
        <w:t xml:space="preserve">   手球馆暖气系统设备维修改造   </w:t>
      </w:r>
    </w:p>
    <w:p w14:paraId="22E45843">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工程地点：</w:t>
      </w:r>
      <w:r>
        <w:rPr>
          <w:rFonts w:hint="eastAsia" w:ascii="宋体" w:hAnsi="宋体" w:eastAsia="宋体" w:cs="宋体"/>
          <w:kern w:val="2"/>
          <w:sz w:val="24"/>
          <w:szCs w:val="24"/>
          <w:u w:val="single"/>
        </w:rPr>
        <w:t xml:space="preserve">   北京市木樨园体育运动技术学校（北京市丰台区光彩北路4号）         </w:t>
      </w:r>
    </w:p>
    <w:p w14:paraId="74968C41">
      <w:pPr>
        <w:widowControl w:val="0"/>
        <w:spacing w:line="360" w:lineRule="auto"/>
        <w:ind w:left="437" w:leftChars="208" w:firstLine="0" w:firstLineChars="0"/>
        <w:jc w:val="both"/>
        <w:rPr>
          <w:rFonts w:hint="eastAsia" w:ascii="宋体" w:hAnsi="宋体" w:eastAsia="宋体" w:cs="宋体"/>
          <w:kern w:val="2"/>
          <w:sz w:val="24"/>
          <w:szCs w:val="24"/>
          <w:u w:val="single"/>
        </w:rPr>
      </w:pPr>
      <w:r>
        <w:rPr>
          <w:rFonts w:hint="eastAsia" w:ascii="宋体" w:hAnsi="宋体" w:eastAsia="宋体" w:cs="宋体"/>
          <w:kern w:val="2"/>
          <w:sz w:val="24"/>
          <w:szCs w:val="24"/>
        </w:rPr>
        <w:t>工程内容：</w:t>
      </w:r>
      <w:r>
        <w:rPr>
          <w:rFonts w:hint="eastAsia" w:ascii="宋体" w:hAnsi="宋体" w:eastAsia="宋体" w:cs="宋体"/>
          <w:kern w:val="2"/>
          <w:sz w:val="24"/>
          <w:szCs w:val="24"/>
          <w:u w:val="single"/>
        </w:rPr>
        <w:t xml:space="preserve">   主要包括更新手球馆暖气系统设备、增加暖气保护性软包挡板、粉刷室内墙体等</w:t>
      </w:r>
      <w:r>
        <w:rPr>
          <w:rFonts w:hint="eastAsia" w:ascii="宋体" w:hAnsi="宋体" w:eastAsia="宋体" w:cs="宋体"/>
          <w:kern w:val="2"/>
          <w:sz w:val="24"/>
          <w:szCs w:val="24"/>
          <w:u w:val="single"/>
          <w:lang w:eastAsia="zh-CN"/>
        </w:rPr>
        <w:t>。</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工程立项批准文号：</w:t>
      </w:r>
      <w:r>
        <w:rPr>
          <w:rFonts w:hint="eastAsia" w:ascii="宋体" w:hAnsi="宋体" w:eastAsia="宋体" w:cs="宋体"/>
          <w:kern w:val="2"/>
          <w:sz w:val="24"/>
          <w:szCs w:val="24"/>
          <w:u w:val="single"/>
        </w:rPr>
        <w:t xml:space="preserve">          /         。</w:t>
      </w:r>
    </w:p>
    <w:p w14:paraId="131DC33E">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资金来源：</w:t>
      </w:r>
      <w:r>
        <w:rPr>
          <w:rFonts w:hint="eastAsia" w:ascii="宋体" w:hAnsi="宋体" w:eastAsia="宋体" w:cs="宋体"/>
          <w:kern w:val="2"/>
          <w:sz w:val="24"/>
          <w:szCs w:val="24"/>
          <w:u w:val="single"/>
        </w:rPr>
        <w:t xml:space="preserve">    财政资金                。</w:t>
      </w:r>
    </w:p>
    <w:p w14:paraId="442F9929">
      <w:pPr>
        <w:widowControl w:val="0"/>
        <w:spacing w:line="360" w:lineRule="auto"/>
        <w:ind w:firstLine="480" w:firstLineChars="200"/>
        <w:jc w:val="both"/>
        <w:rPr>
          <w:rFonts w:hint="eastAsia" w:ascii="宋体" w:hAnsi="宋体" w:eastAsia="宋体" w:cs="宋体"/>
          <w:kern w:val="2"/>
          <w:sz w:val="24"/>
          <w:szCs w:val="24"/>
        </w:rPr>
      </w:pPr>
      <w:bookmarkStart w:id="708" w:name="_Toc480303462"/>
      <w:bookmarkStart w:id="709" w:name="_Toc479505735"/>
      <w:bookmarkStart w:id="710" w:name="_Toc477964591"/>
      <w:r>
        <w:rPr>
          <w:rFonts w:hint="eastAsia" w:ascii="宋体" w:hAnsi="宋体" w:eastAsia="宋体" w:cs="宋体"/>
          <w:kern w:val="2"/>
          <w:sz w:val="24"/>
          <w:szCs w:val="24"/>
        </w:rPr>
        <w:t>二、工程承包范围</w:t>
      </w:r>
      <w:bookmarkEnd w:id="708"/>
      <w:bookmarkEnd w:id="709"/>
      <w:bookmarkEnd w:id="710"/>
    </w:p>
    <w:p w14:paraId="7D07B47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承包范围：</w:t>
      </w:r>
      <w:r>
        <w:rPr>
          <w:rFonts w:hint="eastAsia" w:ascii="宋体" w:hAnsi="宋体" w:eastAsia="宋体" w:cs="宋体"/>
          <w:kern w:val="2"/>
          <w:sz w:val="24"/>
          <w:szCs w:val="24"/>
          <w:u w:val="single"/>
        </w:rPr>
        <w:t xml:space="preserve"> 更新手球馆暖气系统设备、增加暖气保护性软包挡板、粉刷室内墙体等施工内容。  </w:t>
      </w:r>
    </w:p>
    <w:p w14:paraId="7AC8A213">
      <w:pPr>
        <w:widowControl w:val="0"/>
        <w:spacing w:line="360" w:lineRule="auto"/>
        <w:ind w:firstLine="480" w:firstLineChars="200"/>
        <w:jc w:val="both"/>
        <w:rPr>
          <w:rFonts w:hint="eastAsia" w:ascii="宋体" w:hAnsi="宋体" w:eastAsia="宋体" w:cs="宋体"/>
          <w:kern w:val="2"/>
          <w:sz w:val="24"/>
          <w:szCs w:val="24"/>
        </w:rPr>
      </w:pPr>
      <w:bookmarkStart w:id="711" w:name="_Toc479505736"/>
      <w:bookmarkStart w:id="712" w:name="_Toc477964592"/>
      <w:bookmarkStart w:id="713" w:name="_Toc480303463"/>
      <w:r>
        <w:rPr>
          <w:rFonts w:hint="eastAsia" w:ascii="宋体" w:hAnsi="宋体" w:eastAsia="宋体" w:cs="宋体"/>
          <w:kern w:val="2"/>
          <w:sz w:val="24"/>
          <w:szCs w:val="24"/>
        </w:rPr>
        <w:t>三、合同工期</w:t>
      </w:r>
      <w:bookmarkEnd w:id="711"/>
      <w:bookmarkEnd w:id="712"/>
      <w:bookmarkEnd w:id="713"/>
    </w:p>
    <w:p w14:paraId="33F60A58">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计划开工日期：</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日</w:t>
      </w:r>
    </w:p>
    <w:p w14:paraId="7BC26B73">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计划竣工日期：</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日</w:t>
      </w:r>
    </w:p>
    <w:p w14:paraId="0B961880">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工期总日历天数</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天，自监理人发出的开工通知中载明的开工日期起算。</w:t>
      </w:r>
    </w:p>
    <w:p w14:paraId="23423833">
      <w:pPr>
        <w:widowControl w:val="0"/>
        <w:spacing w:line="360" w:lineRule="auto"/>
        <w:ind w:firstLine="480" w:firstLineChars="200"/>
        <w:jc w:val="both"/>
        <w:rPr>
          <w:rFonts w:hint="eastAsia" w:ascii="宋体" w:hAnsi="宋体" w:eastAsia="宋体" w:cs="宋体"/>
          <w:kern w:val="2"/>
          <w:sz w:val="24"/>
          <w:szCs w:val="24"/>
        </w:rPr>
      </w:pPr>
      <w:bookmarkStart w:id="714" w:name="_Toc477964593"/>
      <w:bookmarkStart w:id="715" w:name="_Toc480303464"/>
      <w:bookmarkStart w:id="716" w:name="_Toc479505737"/>
      <w:r>
        <w:rPr>
          <w:rFonts w:hint="eastAsia" w:ascii="宋体" w:hAnsi="宋体" w:eastAsia="宋体" w:cs="宋体"/>
          <w:kern w:val="2"/>
          <w:sz w:val="24"/>
          <w:szCs w:val="24"/>
        </w:rPr>
        <w:t>四、质量标准</w:t>
      </w:r>
      <w:bookmarkEnd w:id="714"/>
      <w:bookmarkEnd w:id="715"/>
      <w:bookmarkEnd w:id="716"/>
    </w:p>
    <w:p w14:paraId="23415071">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工程质量标准：</w:t>
      </w:r>
      <w:r>
        <w:rPr>
          <w:rFonts w:hint="eastAsia" w:ascii="宋体" w:hAnsi="宋体" w:eastAsia="宋体" w:cs="宋体"/>
          <w:kern w:val="2"/>
          <w:sz w:val="24"/>
          <w:szCs w:val="24"/>
          <w:u w:val="single"/>
        </w:rPr>
        <w:t xml:space="preserve">    合格     。</w:t>
      </w:r>
    </w:p>
    <w:p w14:paraId="0E8609CE">
      <w:pPr>
        <w:widowControl w:val="0"/>
        <w:spacing w:line="360" w:lineRule="auto"/>
        <w:ind w:firstLine="480" w:firstLineChars="200"/>
        <w:jc w:val="both"/>
        <w:rPr>
          <w:rFonts w:hint="eastAsia" w:ascii="宋体" w:hAnsi="宋体" w:eastAsia="宋体" w:cs="宋体"/>
          <w:kern w:val="2"/>
          <w:sz w:val="24"/>
          <w:szCs w:val="24"/>
        </w:rPr>
      </w:pPr>
      <w:bookmarkStart w:id="717" w:name="_Hlk8723675"/>
      <w:r>
        <w:rPr>
          <w:rFonts w:hint="eastAsia" w:ascii="宋体" w:hAnsi="宋体" w:eastAsia="宋体" w:cs="宋体"/>
          <w:kern w:val="2"/>
          <w:sz w:val="24"/>
          <w:szCs w:val="24"/>
        </w:rPr>
        <w:t>五、施工现场安全生产标准化管理目标等级要求</w:t>
      </w:r>
    </w:p>
    <w:p w14:paraId="111FB196">
      <w:pPr>
        <w:widowControl w:val="0"/>
        <w:spacing w:line="360" w:lineRule="auto"/>
        <w:ind w:firstLine="480" w:firstLineChars="2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施工现场安全生产标准化管理目标等级：</w:t>
      </w:r>
      <w:r>
        <w:rPr>
          <w:rFonts w:hint="eastAsia" w:ascii="宋体" w:hAnsi="宋体" w:eastAsia="宋体" w:cs="宋体"/>
          <w:kern w:val="2"/>
          <w:sz w:val="24"/>
          <w:szCs w:val="24"/>
          <w:u w:val="single"/>
        </w:rPr>
        <w:t xml:space="preserve">      达标    。</w:t>
      </w:r>
    </w:p>
    <w:bookmarkEnd w:id="717"/>
    <w:p w14:paraId="22F5A52B">
      <w:pPr>
        <w:widowControl w:val="0"/>
        <w:spacing w:line="360" w:lineRule="auto"/>
        <w:ind w:firstLine="480" w:firstLineChars="200"/>
        <w:jc w:val="both"/>
        <w:rPr>
          <w:rFonts w:hint="eastAsia" w:ascii="宋体" w:hAnsi="宋体" w:eastAsia="宋体" w:cs="宋体"/>
          <w:kern w:val="2"/>
          <w:sz w:val="24"/>
          <w:szCs w:val="24"/>
        </w:rPr>
      </w:pPr>
      <w:bookmarkStart w:id="718" w:name="_Toc479505738"/>
      <w:bookmarkStart w:id="719" w:name="_Toc480303465"/>
      <w:bookmarkStart w:id="720" w:name="_Toc477964594"/>
      <w:r>
        <w:rPr>
          <w:rFonts w:hint="eastAsia" w:ascii="宋体" w:hAnsi="宋体" w:eastAsia="宋体" w:cs="宋体"/>
          <w:kern w:val="2"/>
          <w:sz w:val="24"/>
          <w:szCs w:val="24"/>
        </w:rPr>
        <w:t>六、合同形式</w:t>
      </w:r>
      <w:bookmarkEnd w:id="718"/>
      <w:bookmarkEnd w:id="719"/>
      <w:bookmarkEnd w:id="720"/>
    </w:p>
    <w:p w14:paraId="63879384">
      <w:pPr>
        <w:widowControl w:val="0"/>
        <w:spacing w:line="360" w:lineRule="auto"/>
        <w:ind w:firstLine="480" w:firstLineChars="200"/>
        <w:jc w:val="both"/>
        <w:rPr>
          <w:rFonts w:hint="eastAsia" w:ascii="宋体" w:hAnsi="宋体" w:eastAsia="宋体" w:cs="宋体"/>
          <w:b/>
          <w:kern w:val="2"/>
          <w:sz w:val="24"/>
          <w:szCs w:val="24"/>
          <w:u w:val="single"/>
        </w:rPr>
      </w:pPr>
      <w:r>
        <w:rPr>
          <w:rFonts w:hint="eastAsia" w:ascii="宋体" w:hAnsi="宋体" w:eastAsia="宋体" w:cs="宋体"/>
          <w:kern w:val="2"/>
          <w:sz w:val="24"/>
          <w:szCs w:val="24"/>
        </w:rPr>
        <w:t xml:space="preserve">本合同采用 </w:t>
      </w:r>
      <w:r>
        <w:rPr>
          <w:rFonts w:hint="eastAsia" w:ascii="宋体" w:hAnsi="宋体" w:eastAsia="宋体" w:cs="宋体"/>
          <w:kern w:val="2"/>
          <w:sz w:val="24"/>
          <w:szCs w:val="24"/>
          <w:u w:val="single"/>
        </w:rPr>
        <w:t xml:space="preserve">    单价    </w:t>
      </w:r>
      <w:r>
        <w:rPr>
          <w:rFonts w:hint="eastAsia" w:ascii="宋体" w:hAnsi="宋体" w:eastAsia="宋体" w:cs="宋体"/>
          <w:kern w:val="2"/>
          <w:sz w:val="24"/>
          <w:szCs w:val="24"/>
        </w:rPr>
        <w:t>合同形式。</w:t>
      </w:r>
    </w:p>
    <w:p w14:paraId="6E92BF6F">
      <w:pPr>
        <w:widowControl w:val="0"/>
        <w:spacing w:line="360" w:lineRule="auto"/>
        <w:ind w:firstLine="480" w:firstLineChars="200"/>
        <w:jc w:val="both"/>
        <w:rPr>
          <w:rFonts w:hint="eastAsia" w:ascii="宋体" w:hAnsi="宋体" w:eastAsia="宋体" w:cs="宋体"/>
          <w:bCs/>
          <w:kern w:val="2"/>
          <w:sz w:val="24"/>
          <w:szCs w:val="24"/>
        </w:rPr>
      </w:pPr>
      <w:bookmarkStart w:id="721" w:name="_Toc477964595"/>
      <w:bookmarkStart w:id="722" w:name="_Toc480303466"/>
      <w:bookmarkStart w:id="723" w:name="_Toc479505739"/>
      <w:r>
        <w:rPr>
          <w:rFonts w:hint="eastAsia" w:ascii="宋体" w:hAnsi="宋体" w:eastAsia="宋体" w:cs="宋体"/>
          <w:bCs/>
          <w:kern w:val="2"/>
          <w:sz w:val="24"/>
          <w:szCs w:val="24"/>
        </w:rPr>
        <w:t>七、签约合同价</w:t>
      </w:r>
      <w:bookmarkEnd w:id="721"/>
      <w:bookmarkEnd w:id="722"/>
      <w:bookmarkEnd w:id="723"/>
    </w:p>
    <w:p w14:paraId="115DCBD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金额（大写）：</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（人民币）</w:t>
      </w:r>
    </w:p>
    <w:p w14:paraId="2B8B4C66">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（小写）￥：</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万</w:t>
      </w:r>
      <w:r>
        <w:rPr>
          <w:rFonts w:hint="eastAsia" w:ascii="宋体" w:hAnsi="宋体" w:eastAsia="宋体" w:cs="宋体"/>
          <w:kern w:val="2"/>
          <w:sz w:val="24"/>
          <w:szCs w:val="24"/>
        </w:rPr>
        <w:t>元（以中标价为准）</w:t>
      </w:r>
    </w:p>
    <w:p w14:paraId="43A350E8">
      <w:pPr>
        <w:widowControl w:val="0"/>
        <w:spacing w:line="360" w:lineRule="auto"/>
        <w:ind w:firstLine="480" w:firstLineChars="200"/>
        <w:jc w:val="both"/>
        <w:rPr>
          <w:rFonts w:hint="eastAsia" w:ascii="宋体" w:hAnsi="宋体" w:eastAsia="宋体" w:cs="宋体"/>
          <w:bCs/>
          <w:kern w:val="2"/>
          <w:sz w:val="24"/>
          <w:szCs w:val="24"/>
        </w:rPr>
      </w:pPr>
      <w:bookmarkStart w:id="724" w:name="_Toc477964596"/>
      <w:bookmarkStart w:id="725" w:name="_Toc480303467"/>
      <w:bookmarkStart w:id="726" w:name="_Toc479505740"/>
      <w:r>
        <w:rPr>
          <w:rFonts w:hint="eastAsia" w:ascii="宋体" w:hAnsi="宋体" w:eastAsia="宋体" w:cs="宋体"/>
          <w:bCs/>
          <w:kern w:val="2"/>
          <w:sz w:val="24"/>
          <w:szCs w:val="24"/>
        </w:rPr>
        <w:t>八、承包人项目经理：</w:t>
      </w:r>
      <w:bookmarkEnd w:id="724"/>
      <w:bookmarkEnd w:id="725"/>
      <w:bookmarkEnd w:id="726"/>
    </w:p>
    <w:p w14:paraId="3813DFD5">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姓名：</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 ；    职称：</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14:paraId="3792C7B4">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身份证号：</w:t>
      </w:r>
      <w:r>
        <w:rPr>
          <w:rFonts w:hint="eastAsia" w:ascii="宋体" w:hAnsi="宋体" w:eastAsia="宋体" w:cs="宋体"/>
          <w:kern w:val="2"/>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建造师执业资格证书号：</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 ；</w:t>
      </w:r>
    </w:p>
    <w:p w14:paraId="3F1800B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建造师注册证书号：</w:t>
      </w:r>
      <w:r>
        <w:rPr>
          <w:rFonts w:hint="eastAsia" w:ascii="宋体" w:hAnsi="宋体" w:eastAsia="宋体" w:cs="宋体"/>
          <w:kern w:val="2"/>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14:paraId="25E113FD">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安全生产考核合格证书号：</w:t>
      </w:r>
      <w:r>
        <w:rPr>
          <w:rFonts w:hint="eastAsia" w:ascii="宋体" w:hAnsi="宋体" w:eastAsia="宋体" w:cs="宋体"/>
          <w:kern w:val="2"/>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14:paraId="6371ED24">
      <w:pPr>
        <w:widowControl w:val="0"/>
        <w:spacing w:line="360" w:lineRule="auto"/>
        <w:ind w:firstLine="480" w:firstLineChars="200"/>
        <w:jc w:val="both"/>
        <w:rPr>
          <w:rFonts w:hint="eastAsia" w:ascii="宋体" w:hAnsi="宋体" w:eastAsia="宋体" w:cs="宋体"/>
          <w:kern w:val="2"/>
          <w:sz w:val="24"/>
          <w:szCs w:val="24"/>
        </w:rPr>
      </w:pPr>
      <w:bookmarkStart w:id="727" w:name="_Toc480303468"/>
      <w:bookmarkStart w:id="728" w:name="_Toc477964597"/>
      <w:bookmarkStart w:id="729" w:name="_Toc479505741"/>
      <w:r>
        <w:rPr>
          <w:rFonts w:hint="eastAsia" w:ascii="宋体" w:hAnsi="宋体" w:eastAsia="宋体" w:cs="宋体"/>
          <w:kern w:val="2"/>
          <w:sz w:val="24"/>
          <w:szCs w:val="24"/>
        </w:rPr>
        <w:t>九、合同文件的组成</w:t>
      </w:r>
      <w:bookmarkEnd w:id="727"/>
      <w:bookmarkEnd w:id="728"/>
      <w:bookmarkEnd w:id="729"/>
    </w:p>
    <w:p w14:paraId="70488E77">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下列文件共同构成合同文件：</w:t>
      </w:r>
    </w:p>
    <w:p w14:paraId="4E9AE5B3">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1、本协议书；</w:t>
      </w:r>
    </w:p>
    <w:p w14:paraId="4FB591F9">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2、中标通知书；</w:t>
      </w:r>
    </w:p>
    <w:p w14:paraId="26883B94">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3、投标函及投标函附录；</w:t>
      </w:r>
    </w:p>
    <w:p w14:paraId="6AE18294">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4、合同条款专用部分；</w:t>
      </w:r>
    </w:p>
    <w:p w14:paraId="6B29423D">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5、合同条款通用部分；</w:t>
      </w:r>
    </w:p>
    <w:p w14:paraId="205BA78A">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6、技术标准和要求；</w:t>
      </w:r>
    </w:p>
    <w:p w14:paraId="49FC9841">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7、图纸；</w:t>
      </w:r>
    </w:p>
    <w:p w14:paraId="1119F8D4">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8、已标价工程量清单；</w:t>
      </w:r>
    </w:p>
    <w:p w14:paraId="3EA3035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9、其他合同文件。</w:t>
      </w:r>
    </w:p>
    <w:p w14:paraId="4A602817">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上述文件互相补充和解释，如有不明确或不一致之处，以合同约定次序在先者为准。</w:t>
      </w:r>
    </w:p>
    <w:p w14:paraId="41C8AF4B">
      <w:pPr>
        <w:widowControl w:val="0"/>
        <w:spacing w:line="360" w:lineRule="auto"/>
        <w:ind w:firstLine="480" w:firstLineChars="200"/>
        <w:jc w:val="both"/>
        <w:rPr>
          <w:rFonts w:hint="eastAsia" w:ascii="宋体" w:hAnsi="宋体" w:eastAsia="宋体" w:cs="宋体"/>
          <w:kern w:val="2"/>
          <w:sz w:val="24"/>
          <w:szCs w:val="24"/>
        </w:rPr>
      </w:pPr>
      <w:bookmarkStart w:id="730" w:name="_Toc480303469"/>
      <w:bookmarkStart w:id="731" w:name="_Toc479505742"/>
      <w:bookmarkStart w:id="732" w:name="_Toc477964598"/>
      <w:r>
        <w:rPr>
          <w:rFonts w:hint="eastAsia" w:ascii="宋体" w:hAnsi="宋体" w:eastAsia="宋体" w:cs="宋体"/>
          <w:kern w:val="2"/>
          <w:sz w:val="24"/>
          <w:szCs w:val="24"/>
        </w:rPr>
        <w:t>十、本协议书中有关词语定义与合同条款中的定义相同。</w:t>
      </w:r>
      <w:bookmarkEnd w:id="730"/>
      <w:bookmarkEnd w:id="731"/>
      <w:bookmarkEnd w:id="732"/>
    </w:p>
    <w:p w14:paraId="556E1E43">
      <w:pPr>
        <w:widowControl w:val="0"/>
        <w:spacing w:line="360" w:lineRule="auto"/>
        <w:ind w:firstLine="480" w:firstLineChars="200"/>
        <w:jc w:val="both"/>
        <w:rPr>
          <w:rFonts w:hint="eastAsia" w:ascii="宋体" w:hAnsi="宋体" w:eastAsia="宋体" w:cs="宋体"/>
          <w:kern w:val="2"/>
          <w:sz w:val="24"/>
          <w:szCs w:val="24"/>
        </w:rPr>
      </w:pPr>
      <w:bookmarkStart w:id="733" w:name="_Toc477964599"/>
      <w:bookmarkStart w:id="734" w:name="_Toc479505743"/>
      <w:bookmarkStart w:id="735" w:name="_Toc480303470"/>
      <w:r>
        <w:rPr>
          <w:rFonts w:hint="eastAsia" w:ascii="宋体" w:hAnsi="宋体" w:eastAsia="宋体" w:cs="宋体"/>
          <w:kern w:val="2"/>
          <w:sz w:val="24"/>
          <w:szCs w:val="24"/>
        </w:rPr>
        <w:t>十一、承包人承诺按照合同约定进行施工、竣工、交付并承担质量缺陷保修责任。</w:t>
      </w:r>
      <w:bookmarkEnd w:id="733"/>
      <w:bookmarkEnd w:id="734"/>
      <w:bookmarkEnd w:id="735"/>
    </w:p>
    <w:p w14:paraId="23844F41">
      <w:pPr>
        <w:widowControl w:val="0"/>
        <w:spacing w:line="360" w:lineRule="auto"/>
        <w:ind w:firstLine="480" w:firstLineChars="200"/>
        <w:jc w:val="both"/>
        <w:rPr>
          <w:rFonts w:hint="eastAsia" w:ascii="宋体" w:hAnsi="宋体" w:eastAsia="宋体" w:cs="宋体"/>
          <w:kern w:val="2"/>
          <w:sz w:val="24"/>
          <w:szCs w:val="24"/>
        </w:rPr>
      </w:pPr>
      <w:bookmarkStart w:id="736" w:name="_Toc480303471"/>
      <w:bookmarkStart w:id="737" w:name="_Toc477964600"/>
      <w:bookmarkStart w:id="738" w:name="_Toc479505744"/>
      <w:r>
        <w:rPr>
          <w:rFonts w:hint="eastAsia" w:ascii="宋体" w:hAnsi="宋体" w:eastAsia="宋体" w:cs="宋体"/>
          <w:kern w:val="2"/>
          <w:sz w:val="24"/>
          <w:szCs w:val="24"/>
        </w:rPr>
        <w:t>十二、发包人承诺按照合同约定的条件、期限和方式向承包人支付合同价款。</w:t>
      </w:r>
      <w:bookmarkEnd w:id="736"/>
      <w:bookmarkEnd w:id="737"/>
      <w:bookmarkEnd w:id="738"/>
    </w:p>
    <w:p w14:paraId="213BE513">
      <w:pPr>
        <w:widowControl w:val="0"/>
        <w:spacing w:line="360" w:lineRule="auto"/>
        <w:ind w:firstLine="480" w:firstLineChars="200"/>
        <w:jc w:val="both"/>
        <w:rPr>
          <w:rFonts w:hint="eastAsia" w:ascii="宋体" w:hAnsi="宋体" w:eastAsia="宋体" w:cs="宋体"/>
          <w:kern w:val="2"/>
          <w:sz w:val="24"/>
          <w:szCs w:val="24"/>
        </w:rPr>
      </w:pPr>
      <w:bookmarkStart w:id="739" w:name="_Toc477964601"/>
      <w:bookmarkStart w:id="740" w:name="_Toc480303472"/>
      <w:bookmarkStart w:id="741" w:name="_Toc479505745"/>
      <w:r>
        <w:rPr>
          <w:rFonts w:hint="eastAsia" w:ascii="宋体" w:hAnsi="宋体" w:eastAsia="宋体" w:cs="宋体"/>
          <w:kern w:val="2"/>
          <w:sz w:val="24"/>
          <w:szCs w:val="24"/>
        </w:rPr>
        <w:t>十三、本协议书连同其他合同文件正本一式6份，</w:t>
      </w:r>
      <w:bookmarkEnd w:id="739"/>
      <w:bookmarkEnd w:id="740"/>
      <w:bookmarkEnd w:id="741"/>
      <w:r>
        <w:rPr>
          <w:rFonts w:hint="eastAsia" w:ascii="宋体" w:hAnsi="宋体" w:eastAsia="宋体" w:cs="宋体"/>
          <w:kern w:val="2"/>
          <w:sz w:val="24"/>
          <w:szCs w:val="24"/>
        </w:rPr>
        <w:t>发包人执4份，承包人执2份。</w:t>
      </w:r>
    </w:p>
    <w:p w14:paraId="0DF3EAE4">
      <w:pPr>
        <w:widowControl w:val="0"/>
        <w:spacing w:line="360" w:lineRule="auto"/>
        <w:ind w:firstLine="480" w:firstLineChars="200"/>
        <w:jc w:val="both"/>
        <w:rPr>
          <w:rFonts w:hint="eastAsia" w:ascii="宋体" w:hAnsi="宋体" w:eastAsia="宋体" w:cs="宋体"/>
          <w:kern w:val="2"/>
          <w:sz w:val="24"/>
          <w:szCs w:val="24"/>
        </w:rPr>
      </w:pPr>
      <w:bookmarkStart w:id="742" w:name="_Toc479505746"/>
      <w:bookmarkStart w:id="743" w:name="_Toc477964602"/>
      <w:bookmarkStart w:id="744" w:name="_Toc480303473"/>
      <w:r>
        <w:rPr>
          <w:rFonts w:hint="eastAsia" w:ascii="宋体" w:hAnsi="宋体" w:eastAsia="宋体" w:cs="宋体"/>
          <w:kern w:val="2"/>
          <w:sz w:val="24"/>
          <w:szCs w:val="24"/>
        </w:rPr>
        <w:t>十四、合同未尽事宜，双方另行签订补充协议，但不得背离本协议第九条所约定的合同文件的实质性内容。补充协议是合同文件的组成部分。</w:t>
      </w:r>
      <w:bookmarkEnd w:id="742"/>
      <w:bookmarkEnd w:id="743"/>
      <w:bookmarkEnd w:id="744"/>
    </w:p>
    <w:p w14:paraId="45EFB2FF">
      <w:pPr>
        <w:widowControl w:val="0"/>
        <w:spacing w:line="360" w:lineRule="auto"/>
        <w:jc w:val="both"/>
        <w:rPr>
          <w:rFonts w:hint="eastAsia" w:ascii="宋体" w:hAnsi="宋体" w:eastAsia="宋体" w:cs="宋体"/>
          <w:kern w:val="2"/>
          <w:sz w:val="24"/>
          <w:szCs w:val="24"/>
          <w:u w:val="single"/>
        </w:rPr>
      </w:pPr>
    </w:p>
    <w:p w14:paraId="661ECA1B">
      <w:pPr>
        <w:widowControl w:val="0"/>
        <w:spacing w:line="360" w:lineRule="auto"/>
        <w:jc w:val="both"/>
        <w:rPr>
          <w:rFonts w:hint="eastAsia" w:ascii="宋体" w:hAnsi="宋体" w:eastAsia="宋体" w:cs="宋体"/>
          <w:b/>
          <w:bCs/>
          <w:kern w:val="2"/>
          <w:sz w:val="24"/>
          <w:szCs w:val="24"/>
        </w:rPr>
      </w:pPr>
    </w:p>
    <w:p w14:paraId="43D2B78A">
      <w:pPr>
        <w:widowControl w:val="0"/>
        <w:spacing w:line="360" w:lineRule="auto"/>
        <w:jc w:val="both"/>
        <w:rPr>
          <w:rFonts w:hint="eastAsia" w:ascii="宋体" w:hAnsi="宋体" w:eastAsia="宋体" w:cs="宋体"/>
          <w:kern w:val="2"/>
          <w:sz w:val="24"/>
          <w:szCs w:val="24"/>
        </w:rPr>
      </w:pPr>
      <w:r>
        <w:rPr>
          <w:rFonts w:hint="eastAsia" w:ascii="宋体" w:hAnsi="宋体" w:eastAsia="宋体" w:cs="宋体"/>
          <w:bCs/>
          <w:kern w:val="2"/>
          <w:sz w:val="24"/>
          <w:szCs w:val="24"/>
        </w:rPr>
        <w:t>发包人：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（盖单位章）</w:t>
      </w:r>
      <w:r>
        <w:rPr>
          <w:rFonts w:hint="eastAsia" w:ascii="宋体" w:hAnsi="宋体" w:eastAsia="宋体" w:cs="宋体"/>
          <w:bCs/>
          <w:kern w:val="2"/>
          <w:sz w:val="24"/>
          <w:szCs w:val="24"/>
        </w:rPr>
        <w:t xml:space="preserve"> 承包人：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（盖单位章）</w:t>
      </w:r>
    </w:p>
    <w:p w14:paraId="0CAD44E7">
      <w:pPr>
        <w:widowControl w:val="0"/>
        <w:spacing w:line="360" w:lineRule="auto"/>
        <w:jc w:val="both"/>
        <w:rPr>
          <w:rFonts w:hint="eastAsia" w:ascii="宋体" w:hAnsi="宋体" w:eastAsia="宋体" w:cs="宋体"/>
          <w:kern w:val="2"/>
          <w:sz w:val="24"/>
          <w:szCs w:val="24"/>
        </w:rPr>
      </w:pPr>
    </w:p>
    <w:p w14:paraId="04E51EB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bCs/>
          <w:kern w:val="2"/>
          <w:sz w:val="24"/>
          <w:szCs w:val="24"/>
        </w:rPr>
        <w:t>法定代表人或其</w:t>
      </w:r>
      <w:r>
        <w:rPr>
          <w:rFonts w:hint="eastAsia" w:ascii="宋体" w:hAnsi="宋体" w:eastAsia="宋体" w:cs="宋体"/>
          <w:kern w:val="2"/>
          <w:sz w:val="24"/>
          <w:szCs w:val="24"/>
        </w:rPr>
        <w:t xml:space="preserve">                           </w:t>
      </w:r>
      <w:r>
        <w:rPr>
          <w:rFonts w:hint="eastAsia" w:ascii="宋体" w:hAnsi="宋体" w:eastAsia="宋体" w:cs="宋体"/>
          <w:bCs/>
          <w:kern w:val="2"/>
          <w:sz w:val="24"/>
          <w:szCs w:val="24"/>
        </w:rPr>
        <w:t>法定代表人或其</w:t>
      </w:r>
    </w:p>
    <w:p w14:paraId="42F69A1F">
      <w:pPr>
        <w:widowControl w:val="0"/>
        <w:spacing w:line="360" w:lineRule="auto"/>
        <w:jc w:val="both"/>
        <w:rPr>
          <w:rFonts w:hint="eastAsia" w:ascii="宋体" w:hAnsi="宋体" w:eastAsia="宋体" w:cs="宋体"/>
          <w:kern w:val="2"/>
          <w:sz w:val="24"/>
          <w:szCs w:val="24"/>
        </w:rPr>
      </w:pPr>
      <w:r>
        <w:rPr>
          <w:rFonts w:hint="eastAsia" w:ascii="宋体" w:hAnsi="宋体" w:eastAsia="宋体" w:cs="宋体"/>
          <w:bCs/>
          <w:kern w:val="2"/>
          <w:sz w:val="24"/>
          <w:szCs w:val="24"/>
        </w:rPr>
        <w:t>委托代理人：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（签字） </w:t>
      </w:r>
      <w:r>
        <w:rPr>
          <w:rFonts w:hint="eastAsia" w:ascii="宋体" w:hAnsi="宋体" w:eastAsia="宋体" w:cs="宋体"/>
          <w:bCs/>
          <w:kern w:val="2"/>
          <w:sz w:val="24"/>
          <w:szCs w:val="24"/>
        </w:rPr>
        <w:t xml:space="preserve"> 委托代理人：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（签字）</w:t>
      </w:r>
    </w:p>
    <w:p w14:paraId="2BA3A281">
      <w:pPr>
        <w:widowControl w:val="0"/>
        <w:spacing w:line="360" w:lineRule="auto"/>
        <w:jc w:val="both"/>
        <w:rPr>
          <w:rFonts w:hint="eastAsia" w:ascii="宋体" w:hAnsi="宋体" w:eastAsia="宋体" w:cs="宋体"/>
          <w:kern w:val="2"/>
          <w:sz w:val="24"/>
          <w:szCs w:val="24"/>
          <w:u w:val="single"/>
        </w:rPr>
      </w:pPr>
    </w:p>
    <w:p w14:paraId="2135A048">
      <w:pPr>
        <w:widowControl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月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 日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 xml:space="preserve">月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日</w:t>
      </w:r>
    </w:p>
    <w:p w14:paraId="1FF6009F">
      <w:pPr>
        <w:widowControl w:val="0"/>
        <w:spacing w:line="360" w:lineRule="auto"/>
        <w:jc w:val="both"/>
        <w:rPr>
          <w:rFonts w:hint="eastAsia" w:ascii="宋体" w:hAnsi="宋体" w:eastAsia="宋体" w:cs="宋体"/>
          <w:kern w:val="2"/>
          <w:sz w:val="24"/>
          <w:szCs w:val="24"/>
        </w:rPr>
      </w:pPr>
    </w:p>
    <w:p w14:paraId="582A868D">
      <w:pPr>
        <w:widowControl w:val="0"/>
        <w:spacing w:line="360" w:lineRule="auto"/>
        <w:jc w:val="both"/>
        <w:rPr>
          <w:rFonts w:hint="eastAsia" w:ascii="宋体" w:hAnsi="宋体" w:eastAsia="宋体" w:cs="宋体"/>
          <w:b/>
          <w:kern w:val="2"/>
          <w:sz w:val="24"/>
          <w:szCs w:val="24"/>
        </w:rPr>
      </w:pPr>
      <w:r>
        <w:rPr>
          <w:rFonts w:hint="eastAsia" w:ascii="宋体" w:hAnsi="宋体" w:eastAsia="宋体" w:cs="宋体"/>
          <w:kern w:val="2"/>
          <w:sz w:val="24"/>
          <w:szCs w:val="24"/>
        </w:rPr>
        <w:t>签约地点：</w:t>
      </w:r>
      <w:r>
        <w:rPr>
          <w:rFonts w:hint="eastAsia" w:ascii="宋体" w:hAnsi="宋体" w:eastAsia="宋体" w:cs="宋体"/>
          <w:kern w:val="2"/>
          <w:sz w:val="24"/>
          <w:szCs w:val="24"/>
          <w:u w:val="single"/>
        </w:rPr>
        <w:t xml:space="preserve">    北京市木樨园体育运动技术学校（北京市丰台区光彩北路4号）         </w:t>
      </w:r>
      <w:r>
        <w:rPr>
          <w:rFonts w:hint="eastAsia" w:ascii="宋体" w:hAnsi="宋体" w:eastAsia="宋体" w:cs="宋体"/>
          <w:b/>
          <w:kern w:val="2"/>
          <w:sz w:val="24"/>
          <w:szCs w:val="24"/>
          <w:u w:val="single"/>
        </w:rPr>
        <w:t xml:space="preserve"> </w:t>
      </w:r>
    </w:p>
    <w:p w14:paraId="24E68B1E">
      <w:pPr>
        <w:widowControl w:val="0"/>
        <w:jc w:val="both"/>
        <w:rPr>
          <w:rFonts w:hint="eastAsia" w:ascii="宋体" w:hAnsi="宋体" w:eastAsia="宋体" w:cs="宋体"/>
          <w:kern w:val="2"/>
          <w:sz w:val="24"/>
          <w:szCs w:val="24"/>
        </w:rPr>
      </w:pPr>
    </w:p>
    <w:p w14:paraId="258E5AC9">
      <w:pPr>
        <w:keepNext/>
        <w:keepLines/>
        <w:widowControl w:val="0"/>
        <w:spacing w:before="260" w:after="260" w:line="416" w:lineRule="auto"/>
        <w:jc w:val="center"/>
        <w:outlineLvl w:val="1"/>
        <w:rPr>
          <w:rFonts w:hint="eastAsia" w:ascii="宋体" w:hAnsi="宋体" w:eastAsia="宋体" w:cs="宋体"/>
          <w:b/>
          <w:bCs/>
          <w:kern w:val="2"/>
          <w:sz w:val="24"/>
          <w:szCs w:val="24"/>
        </w:rPr>
      </w:pPr>
      <w:r>
        <w:rPr>
          <w:rFonts w:hint="eastAsia" w:ascii="宋体" w:hAnsi="宋体" w:eastAsia="宋体" w:cs="宋体"/>
          <w:kern w:val="2"/>
          <w:sz w:val="24"/>
          <w:szCs w:val="24"/>
        </w:rPr>
        <w:br w:type="page"/>
      </w:r>
      <w:r>
        <w:rPr>
          <w:rFonts w:hint="eastAsia" w:ascii="宋体" w:hAnsi="宋体" w:eastAsia="宋体" w:cs="宋体"/>
          <w:b/>
          <w:bCs/>
          <w:kern w:val="2"/>
          <w:sz w:val="24"/>
          <w:szCs w:val="24"/>
        </w:rPr>
        <w:t>合同条款通用部分</w:t>
      </w:r>
    </w:p>
    <w:p w14:paraId="2627324A">
      <w:pPr>
        <w:adjustRightInd w:val="0"/>
        <w:snapToGrid w:val="0"/>
        <w:spacing w:line="360" w:lineRule="auto"/>
        <w:jc w:val="center"/>
        <w:rPr>
          <w:rFonts w:hint="eastAsia" w:ascii="宋体" w:hAnsi="宋体" w:eastAsia="宋体" w:cs="宋体"/>
          <w:sz w:val="24"/>
          <w:szCs w:val="24"/>
        </w:rPr>
      </w:pPr>
    </w:p>
    <w:p w14:paraId="2E0866DB">
      <w:pPr>
        <w:adjustRightInd w:val="0"/>
        <w:snapToGrid w:val="0"/>
        <w:spacing w:line="360" w:lineRule="auto"/>
        <w:outlineLvl w:val="2"/>
        <w:rPr>
          <w:rFonts w:hint="eastAsia" w:ascii="宋体" w:hAnsi="宋体" w:eastAsia="宋体" w:cs="宋体"/>
          <w:sz w:val="24"/>
          <w:szCs w:val="24"/>
        </w:rPr>
      </w:pPr>
      <w:bookmarkStart w:id="745" w:name="_Toc84948818"/>
      <w:bookmarkStart w:id="746" w:name="_Toc85792326"/>
      <w:bookmarkStart w:id="747" w:name="_Toc161933493"/>
      <w:bookmarkStart w:id="748" w:name="_Toc28102"/>
      <w:r>
        <w:rPr>
          <w:rFonts w:hint="eastAsia" w:ascii="宋体" w:hAnsi="宋体" w:eastAsia="宋体" w:cs="宋体"/>
          <w:sz w:val="24"/>
          <w:szCs w:val="24"/>
        </w:rPr>
        <w:t>1.一般约定</w:t>
      </w:r>
      <w:bookmarkEnd w:id="745"/>
      <w:bookmarkEnd w:id="746"/>
      <w:bookmarkEnd w:id="747"/>
      <w:bookmarkEnd w:id="748"/>
    </w:p>
    <w:p w14:paraId="66B901F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  词语定义</w:t>
      </w:r>
    </w:p>
    <w:p w14:paraId="2A7C223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合同协议书、合同条款通用部分、合同条款专用部分中的下列词语应具有本款所赋予的含义。</w:t>
      </w:r>
    </w:p>
    <w:p w14:paraId="40CA197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  合同</w:t>
      </w:r>
    </w:p>
    <w:p w14:paraId="2435C0FD">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1.1.1.1  合同文件（或称合同）：指合同协议书、中标通知书、投标函及投标函附录、合同条款专用部分、合同条款通用部分、技术标准和要求、图纸、已标价工程量清单，以及其他合同文件。</w:t>
      </w:r>
    </w:p>
    <w:p w14:paraId="42078346">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1.1.1.2  合同协议书：指构成合同文件组成部分，由发包人与承包人共同签署的名为合同协议书的文件。</w:t>
      </w:r>
    </w:p>
    <w:p w14:paraId="26595F5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1.1.1.3  中标通知书：指构成合同文件组成部分，由发包人通知承包人中标的文件。</w:t>
      </w:r>
    </w:p>
    <w:p w14:paraId="6F3D2E60">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1.1.1.4  投标函：指构成合同文件组成部分，由承包人填写并签署的用于投标的名为投标函的文件。</w:t>
      </w:r>
    </w:p>
    <w:p w14:paraId="471F5246">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1.1.1.5  投标函附录：指附在投标函后构成合同文件组成部分，附在投标函后的名为投标函附录的文件。</w:t>
      </w:r>
    </w:p>
    <w:p w14:paraId="6D1407A4">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1.1.1.6  合同条款：指构成合同文件组成部分的合同条款通用部分和（或）合同条款专用部分。</w:t>
      </w:r>
    </w:p>
    <w:p w14:paraId="216063D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1.1.1.7  技术标准和要求：指构成合同文件组成部分，名为技术标准和要求的文件，包括合同双方当事人约定对其所作的修改或补充。</w:t>
      </w:r>
    </w:p>
    <w:p w14:paraId="02BFF486">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1.1.1.8  图纸：指构成合同文件组成部分的工程图纸，以及由发包人按合同约定提供的任何补充和修改的图纸，包括配套的说明。</w:t>
      </w:r>
    </w:p>
    <w:p w14:paraId="270730BC">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1.1.1.9  已标价工程量清单：指构成合同文件组成部分，由承包人按照规定的格式和要求填写并标明价格的工程量清单。</w:t>
      </w:r>
    </w:p>
    <w:p w14:paraId="2CB581D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1.1.1.10  其他合同文件：指经合同双方当事人确认构成合同文件的其他文件。</w:t>
      </w:r>
    </w:p>
    <w:p w14:paraId="695939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1.1.2  合同当事人和人员</w:t>
      </w:r>
    </w:p>
    <w:p w14:paraId="6B3DCF1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1.1.2.1  合同当事人：指发包人和（或）承包人。</w:t>
      </w:r>
    </w:p>
    <w:p w14:paraId="73D70254">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7AFC50C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034CCF05">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1.1.2.4  承包人项目经理：指承包人派驻施工场地的全权负责人。</w:t>
      </w:r>
    </w:p>
    <w:p w14:paraId="1D86787A">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1.1.2.5  监理人：指受发包人委托的对合同履行实施管理的法人或其他组织。监理人名称见合同条款专用部分。</w:t>
      </w:r>
    </w:p>
    <w:p w14:paraId="141DE5A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1.1.2.6  总监理工程师（总监）：指由监理人委派常驻施工场地对合同履行实施管理的全权负责人。</w:t>
      </w:r>
    </w:p>
    <w:p w14:paraId="7909B5A7">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1.1.2.7  发包人代表：指由发包人指定的派驻施工场地（现场）的全权代表。发包人代表相关信息见合同条款专用部分。</w:t>
      </w:r>
    </w:p>
    <w:p w14:paraId="0CB69913">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1.1.2.8  专项供应商：指根据合同条款第15.8.1项的约定，由发包人和承包人以招标方式选择的供应商。</w:t>
      </w:r>
    </w:p>
    <w:p w14:paraId="5F4D975A">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1.1.2.9  独立承包人：指与发包人直接订立工程承包合同，负责实施与工程有关的其他工作的当事人。</w:t>
      </w:r>
    </w:p>
    <w:p w14:paraId="3C0D784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1.1.3  工程和设备</w:t>
      </w:r>
    </w:p>
    <w:p w14:paraId="6816BDC3">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1.1.3.1  工程：指永久工程和（或）临时工程。</w:t>
      </w:r>
    </w:p>
    <w:p w14:paraId="286A5B93">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1.1.3.2  永久工程：指按照合同约定所需建造、完成并移交给发包人的工程，包括工程设备。永久工程的约定见合同条款专用部分。</w:t>
      </w:r>
    </w:p>
    <w:p w14:paraId="5F2D98F0">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1.1.3.3  临时工程：指为完成合同约定的永久工程所修建的各类临时性工程，不包括施工设备。临时工程的约定见合同条款专用部分。</w:t>
      </w:r>
    </w:p>
    <w:p w14:paraId="62F930E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1.1.3.4  单位工程：指具有相对独立的设计文件，能够独立组织施工并能形成独立使用功能的永久工程的组成部分。</w:t>
      </w:r>
    </w:p>
    <w:p w14:paraId="0A88FC63">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1.1.3.5  工程设备：指构成或计划构成永久工程一部分的机电设备、金属结构设备、仪器装置及其他类似的设备和装置。</w:t>
      </w:r>
    </w:p>
    <w:p w14:paraId="3CC106B7">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1.1.3.6  材料：指构成或将构成永久工程组成部分的各类物品(工程设备除外)，包括合同中可能约定的承包人仅负责供应的材料。</w:t>
      </w:r>
    </w:p>
    <w:p w14:paraId="36C0F1E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1.1.3.7  施工设备：指为完成合同约定的各项工作所需的设备、器具和其他物品，不包括临时工程和材料。</w:t>
      </w:r>
    </w:p>
    <w:p w14:paraId="65707A9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1.1.3.8  临时设施：指为完成合同约定的各项工作所服务的临时性生产和生活设施。</w:t>
      </w:r>
    </w:p>
    <w:p w14:paraId="6FD97E4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1.1.3.9  承包人设备：指承包人自带的施工设备。</w:t>
      </w:r>
    </w:p>
    <w:p w14:paraId="70E0A721">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1.1.3.10  施工场地（或称工地、现场）：指用于合同工程施工的场所，以及在合同中指定作为施工场地组成部分的其他场所，包括永久占地和临时占地。</w:t>
      </w:r>
    </w:p>
    <w:p w14:paraId="2E1BF44B">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1.1.3.11  永久占地：指为实施合同工程需永久占用的土地。永久占地的约定见合同条款专用部分。</w:t>
      </w:r>
    </w:p>
    <w:p w14:paraId="4DFFF9C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1.1.3.12  临时占地：指为实施合同工程需临时占用的土地。临时占地的约定见合同条款专用部分。</w:t>
      </w:r>
    </w:p>
    <w:p w14:paraId="71A037B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1.1.4  日期</w:t>
      </w:r>
    </w:p>
    <w:p w14:paraId="6FCEAA20">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1.1.4.1  开工通知：指监理人按第11.1款通知承包人开工的函件。</w:t>
      </w:r>
    </w:p>
    <w:p w14:paraId="01B7D4D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1.1.4.2  开工日期：指监理人按第11.1款发出的开工通知中写明的开工日期。</w:t>
      </w:r>
    </w:p>
    <w:p w14:paraId="0FB08BCB">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1.1.4.3  工期：指承包人在投标函中承诺的完成合同工程所需的期限，包括按第11.3款、第11.4款和第11.6款约定所作的变更。</w:t>
      </w:r>
    </w:p>
    <w:p w14:paraId="7DC8880B">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1.1.4.4  竣工日期：指第1.1.4.3目约定工期届满时的日期。实际竣工日期以工程接收证书中写明的日期为准。</w:t>
      </w:r>
    </w:p>
    <w:p w14:paraId="442A2B1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1.1.4.5  缺陷责任期：指履行第19.2款约定的缺陷责任的期限，包括根据第19.3款约定所作的延长。缺陷责任期的具体期限见合同条款专用部分。</w:t>
      </w:r>
    </w:p>
    <w:p w14:paraId="2629955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1.1.4.6  保修期：是根据现行有关法律规定，在合同条款第19.7款中约定的由承包人负责对合同约定的保修范围内发生的质量问题履行保修义务并对造成的损失承担赔偿责任的期限。</w:t>
      </w:r>
    </w:p>
    <w:p w14:paraId="605B8A05">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1.1.4.7  基准日期：指投标截止时间前28天的日期。</w:t>
      </w:r>
    </w:p>
    <w:p w14:paraId="3517F129">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1.1.4.8  天：除特别指明外，指日历天。合同中按天计算时间的，开始当天不计入，从次日开始计算。期限最后一天的截止时间为当天24:00。</w:t>
      </w:r>
    </w:p>
    <w:p w14:paraId="1387223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1.1.5  合同价格和费用</w:t>
      </w:r>
    </w:p>
    <w:p w14:paraId="353A6D5C">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1.1.5.1  签约合同价：指签定合同时合同协议书中写明的，包括了暂列金额、暂估价的合同总金额。</w:t>
      </w:r>
    </w:p>
    <w:p w14:paraId="15AFC350">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1.1.5.2  合同价格：指承包人按合同约定完成了包括缺陷责任期内的全部承包工作后，发包人应付给承包人的金额，包括在履行合同过程中按合同约定进行的变更和调整。</w:t>
      </w:r>
    </w:p>
    <w:p w14:paraId="30E53810">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1.1.5.3  费用：指为履行合同所发生的或将要发生的所有合理开支，包括管理费和应分摊的其他费用，但不包括利润。</w:t>
      </w:r>
    </w:p>
    <w:p w14:paraId="5FD76B2D">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1.1.5.4  暂列金额：指已标价工程量清单中所列的暂列金额，用于在签订合同协议书时尚未确定或不可预见变更的施工及其所需材料、工程设备、服务等的金额，包括以计日工方式支付的金额。</w:t>
      </w:r>
    </w:p>
    <w:p w14:paraId="0F75D78B">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1.1.5.5  暂估价：指发包人在工程量清单中给定的用于支付必然发生但暂时不能确定价格的材料、设备的金额。</w:t>
      </w:r>
    </w:p>
    <w:p w14:paraId="51BC22D9">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1.1.5.6  计日工：指对零星工作采取的一种计价方式，按合同中的计日工子目及其单价计价付款。</w:t>
      </w:r>
    </w:p>
    <w:p w14:paraId="6165C97A">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1.1.5.7  质量保证金（或称保留金）：指按第17.4.1项约定用于保证在缺陷责任期内履行缺陷修复义务的金额。</w:t>
      </w:r>
    </w:p>
    <w:p w14:paraId="4CB3932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1.1.6  书面形式：指合同文件、信函、电报、传真等可以有形地表现所载内容的形式。</w:t>
      </w:r>
    </w:p>
    <w:p w14:paraId="4807D67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1.1.7  争议评审组</w:t>
      </w:r>
    </w:p>
    <w:p w14:paraId="1956BAE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BC4922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1.1.8  其他需要补充的内容</w:t>
      </w:r>
    </w:p>
    <w:p w14:paraId="4633C12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其他需要补充的内容见合同条款专用部分。</w:t>
      </w:r>
    </w:p>
    <w:p w14:paraId="4A6BD60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  语言文字</w:t>
      </w:r>
    </w:p>
    <w:p w14:paraId="664B37E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除专用术语外，合同使用的语言文字为中文。必要时专用术语应附有中文注释。</w:t>
      </w:r>
    </w:p>
    <w:p w14:paraId="5F13997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  法律</w:t>
      </w:r>
    </w:p>
    <w:p w14:paraId="12AED46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适用于合同的法律包括中华人民共和国法律、行政法规、部门规章，以及北京市的地方法规、自治条例、单行条例和地方政府规章。</w:t>
      </w:r>
    </w:p>
    <w:p w14:paraId="1C2E788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1.4  合同文件的优先顺序</w:t>
      </w:r>
    </w:p>
    <w:p w14:paraId="08147DF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组成合同的各项文件应互相解释，互为说明。除合同条款专用部分另有约定外，解释合同文件的优先顺序如下：</w:t>
      </w:r>
    </w:p>
    <w:p w14:paraId="787C55C5">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1</w:t>
      </w:r>
      <w:r>
        <w:rPr>
          <w:rFonts w:hint="eastAsia" w:ascii="宋体" w:hAnsi="宋体" w:eastAsia="宋体" w:cs="宋体"/>
          <w:sz w:val="24"/>
          <w:szCs w:val="24"/>
          <w:shd w:val="clear" w:color="auto" w:fill="FFFFFF"/>
        </w:rPr>
        <w:t>）</w:t>
      </w:r>
      <w:r>
        <w:rPr>
          <w:rFonts w:hint="eastAsia" w:ascii="宋体" w:hAnsi="宋体" w:eastAsia="宋体" w:cs="宋体"/>
          <w:sz w:val="24"/>
          <w:szCs w:val="24"/>
        </w:rPr>
        <w:t>合同协议书；</w:t>
      </w:r>
    </w:p>
    <w:p w14:paraId="77098D2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中标通知书；</w:t>
      </w:r>
    </w:p>
    <w:p w14:paraId="23A8DEF8">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投标函及投标函附录；</w:t>
      </w:r>
    </w:p>
    <w:p w14:paraId="51323F19">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4</w:t>
      </w:r>
      <w:r>
        <w:rPr>
          <w:rFonts w:hint="eastAsia" w:ascii="宋体" w:hAnsi="宋体" w:eastAsia="宋体" w:cs="宋体"/>
          <w:sz w:val="24"/>
          <w:szCs w:val="24"/>
          <w:shd w:val="clear" w:color="auto" w:fill="FFFFFF"/>
        </w:rPr>
        <w:t>）</w:t>
      </w:r>
      <w:r>
        <w:rPr>
          <w:rFonts w:hint="eastAsia" w:ascii="宋体" w:hAnsi="宋体" w:eastAsia="宋体" w:cs="宋体"/>
          <w:sz w:val="24"/>
          <w:szCs w:val="24"/>
        </w:rPr>
        <w:t>合同条款专用部分；</w:t>
      </w:r>
    </w:p>
    <w:p w14:paraId="01732DD7">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5</w:t>
      </w:r>
      <w:r>
        <w:rPr>
          <w:rFonts w:hint="eastAsia" w:ascii="宋体" w:hAnsi="宋体" w:eastAsia="宋体" w:cs="宋体"/>
          <w:sz w:val="24"/>
          <w:szCs w:val="24"/>
          <w:shd w:val="clear" w:color="auto" w:fill="FFFFFF"/>
        </w:rPr>
        <w:t>）</w:t>
      </w:r>
      <w:r>
        <w:rPr>
          <w:rFonts w:hint="eastAsia" w:ascii="宋体" w:hAnsi="宋体" w:eastAsia="宋体" w:cs="宋体"/>
          <w:sz w:val="24"/>
          <w:szCs w:val="24"/>
        </w:rPr>
        <w:t>合同条款通用部分；</w:t>
      </w:r>
    </w:p>
    <w:p w14:paraId="75C42C64">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6</w:t>
      </w:r>
      <w:r>
        <w:rPr>
          <w:rFonts w:hint="eastAsia" w:ascii="宋体" w:hAnsi="宋体" w:eastAsia="宋体" w:cs="宋体"/>
          <w:sz w:val="24"/>
          <w:szCs w:val="24"/>
          <w:shd w:val="clear" w:color="auto" w:fill="FFFFFF"/>
        </w:rPr>
        <w:t>）</w:t>
      </w:r>
      <w:r>
        <w:rPr>
          <w:rFonts w:hint="eastAsia" w:ascii="宋体" w:hAnsi="宋体" w:eastAsia="宋体" w:cs="宋体"/>
          <w:sz w:val="24"/>
          <w:szCs w:val="24"/>
        </w:rPr>
        <w:t>技术标准和要求；</w:t>
      </w:r>
    </w:p>
    <w:p w14:paraId="65254A25">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7</w:t>
      </w:r>
      <w:r>
        <w:rPr>
          <w:rFonts w:hint="eastAsia" w:ascii="宋体" w:hAnsi="宋体" w:eastAsia="宋体" w:cs="宋体"/>
          <w:sz w:val="24"/>
          <w:szCs w:val="24"/>
          <w:shd w:val="clear" w:color="auto" w:fill="FFFFFF"/>
        </w:rPr>
        <w:t>）</w:t>
      </w:r>
      <w:r>
        <w:rPr>
          <w:rFonts w:hint="eastAsia" w:ascii="宋体" w:hAnsi="宋体" w:eastAsia="宋体" w:cs="宋体"/>
          <w:sz w:val="24"/>
          <w:szCs w:val="24"/>
        </w:rPr>
        <w:t>图纸；</w:t>
      </w:r>
    </w:p>
    <w:p w14:paraId="12C7CD31">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8</w:t>
      </w:r>
      <w:r>
        <w:rPr>
          <w:rFonts w:hint="eastAsia" w:ascii="宋体" w:hAnsi="宋体" w:eastAsia="宋体" w:cs="宋体"/>
          <w:sz w:val="24"/>
          <w:szCs w:val="24"/>
          <w:shd w:val="clear" w:color="auto" w:fill="FFFFFF"/>
        </w:rPr>
        <w:t>）</w:t>
      </w:r>
      <w:r>
        <w:rPr>
          <w:rFonts w:hint="eastAsia" w:ascii="宋体" w:hAnsi="宋体" w:eastAsia="宋体" w:cs="宋体"/>
          <w:sz w:val="24"/>
          <w:szCs w:val="24"/>
        </w:rPr>
        <w:t>已标价工程量清单；</w:t>
      </w:r>
    </w:p>
    <w:p w14:paraId="3729FC57">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9</w:t>
      </w:r>
      <w:r>
        <w:rPr>
          <w:rFonts w:hint="eastAsia" w:ascii="宋体" w:hAnsi="宋体" w:eastAsia="宋体" w:cs="宋体"/>
          <w:sz w:val="24"/>
          <w:szCs w:val="24"/>
          <w:shd w:val="clear" w:color="auto" w:fill="FFFFFF"/>
        </w:rPr>
        <w:t>）</w:t>
      </w:r>
      <w:r>
        <w:rPr>
          <w:rFonts w:hint="eastAsia" w:ascii="宋体" w:hAnsi="宋体" w:eastAsia="宋体" w:cs="宋体"/>
          <w:sz w:val="24"/>
          <w:szCs w:val="24"/>
        </w:rPr>
        <w:t>其他合同文件。</w:t>
      </w:r>
    </w:p>
    <w:p w14:paraId="35C5A9F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合同协议书中约定采用总价合同形式的，除非合同另有约定，已标价工程量清单中的各项工程量对合同双方不具合同约束力。</w:t>
      </w:r>
    </w:p>
    <w:p w14:paraId="3B76E2B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图纸与技术标准和要求之间有矛盾或者不一致的，以其中要求较严格的标准为准。</w:t>
      </w:r>
    </w:p>
    <w:p w14:paraId="4E80B55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合同双方在合同履行过程中签订的补充协议亦构成承包合同文件的组成部分，其解释顺序视其内容与其他合同文件的相互关系而定。</w:t>
      </w:r>
    </w:p>
    <w:p w14:paraId="7DC1A98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  合同协议书</w:t>
      </w:r>
    </w:p>
    <w:p w14:paraId="7C1F69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指由发包人与承包人共同签署的用于明确当事人合同关系的文件。授权委托人除法律另有规定或合同条款专用部分另有约定外，发包人和承包人的法定代表人或其授权委托人在合同协议书上签字并盖单位章后，合同生效。合同生效的条件见合同条款专用部分。</w:t>
      </w:r>
    </w:p>
    <w:p w14:paraId="44D6E61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1.6  图纸和承包人文件</w:t>
      </w:r>
    </w:p>
    <w:p w14:paraId="08DAEC4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图纸的提供</w:t>
      </w:r>
    </w:p>
    <w:p w14:paraId="0699883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（1）发包人按照合同约定向承包人提供图纸。发包人未按时提供图纸造成工期延误的，按第11.3款的约定处理。承包人需要增加图纸套数的，发包人应代为复制，复制费用由承包人承担。</w:t>
      </w:r>
    </w:p>
    <w:p w14:paraId="025B277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依据合同条款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2CA757D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7648091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780FBD8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（5）发包人提供图纸的期限、数量和其他约定见合同条款专用部分。</w:t>
      </w:r>
    </w:p>
    <w:p w14:paraId="0833AB6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承包人提供的文件</w:t>
      </w:r>
    </w:p>
    <w:p w14:paraId="2427BB0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7595EBB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(2)除合同条款第4.1.10项约定的由承包人提供的设计文件外，本项约定的其他应由承包人提供的文件，包括必要的加工图和大样图，均不能作为合同计量与支付的依据文件。</w:t>
      </w:r>
    </w:p>
    <w:p w14:paraId="65F37F2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1.6.3  图纸的修改</w:t>
      </w:r>
    </w:p>
    <w:p w14:paraId="70B9922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图纸需要修改和补充的，监理人应当按照合同条款第1.6.1(2)目约定的有合同约束力的图纸供应计划，签发图纸修改图给承包人。承包人应按修改后的图纸施工。</w:t>
      </w:r>
    </w:p>
    <w:p w14:paraId="6FDA99D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1.6.4  图纸的错误</w:t>
      </w:r>
    </w:p>
    <w:p w14:paraId="4D5125E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承包人发现发包人提供的图纸存在明显错误或疏忽，应及时通知监理人。</w:t>
      </w:r>
    </w:p>
    <w:p w14:paraId="14FB42A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1.6.5  图纸和承包人文件的保管</w:t>
      </w:r>
    </w:p>
    <w:p w14:paraId="1640292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监理人和承包人均应在施工场地各保存一套完整的包含第1.6.1项、第1.6.2项、第1.6.3项约定内容的图纸和承包人文件。</w:t>
      </w:r>
    </w:p>
    <w:p w14:paraId="747D193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  联络</w:t>
      </w:r>
    </w:p>
    <w:p w14:paraId="579C108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与合同有关的通知、批准、证明、证书、指示、要求、请求、同意、意见、确定和决定等，均应采用书面形式。</w:t>
      </w:r>
    </w:p>
    <w:p w14:paraId="48FE515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第1.7.1项中的通知、批准、证明、证书、指示、要求、请求、同意、意见、确定和决定等来往函件，均应在指定的期限内送达指定地点和接收人，并办理签收手续。</w:t>
      </w:r>
    </w:p>
    <w:p w14:paraId="7680817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（1）联络来往信函的送达期限：合同约定了发出期限的，送达期限为合同约定的发出期限后的24小时内；合同约定了通知、提供或者报送期限的，通知、提供或者报送期限即为送达期限。</w:t>
      </w:r>
    </w:p>
    <w:p w14:paraId="3C2736C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发包人指定的接收人和接收地点见合同条款专用部分。</w:t>
      </w:r>
    </w:p>
    <w:p w14:paraId="5759201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监理人指定的接收人和接收地点见合同条款专用部分。</w:t>
      </w:r>
    </w:p>
    <w:p w14:paraId="325E237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729AF0D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716235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012CBE1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  转让</w:t>
      </w:r>
    </w:p>
    <w:p w14:paraId="6BE7B18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除合同另有约定外，未经对方当事人同意，一方当事人不得将合同权利全部或部分转让给第三人，也不得全部或部分转移合同义务。</w:t>
      </w:r>
    </w:p>
    <w:p w14:paraId="1E5B6E9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  严禁贿赂</w:t>
      </w:r>
    </w:p>
    <w:p w14:paraId="0F1C548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合同双方当事人不得以贿赂或变相贿赂的方式，谋取不当利益或损害对方权益。因贿赂造成对方损失的，行为人应赔偿损失，并承担相应的法律责任。</w:t>
      </w:r>
    </w:p>
    <w:p w14:paraId="024EE38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1.10  化石、文物</w:t>
      </w:r>
    </w:p>
    <w:p w14:paraId="13CC32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254C0D3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1.10.2  承包人发现文物后不及时报告或隐瞒不报，致使文物丢失或损坏的，应赔偿损失，并承担相应的法律责任。</w:t>
      </w:r>
    </w:p>
    <w:p w14:paraId="74D011B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1.11  专利技术</w:t>
      </w:r>
    </w:p>
    <w:p w14:paraId="41037F2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1.11.1  承包人在使用任何材料、承包人设备、工程设备或采用施工工艺时，因侵犯专利权或其他知识产权所引起的责任，由承包人承担，但由于遵照发包人提供的设计或技术标准和要求引起的除外。</w:t>
      </w:r>
    </w:p>
    <w:p w14:paraId="663911C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1.11.2  承包人在投标文件中采用专利技术的，专利技术的使用费包含在投标报价内。</w:t>
      </w:r>
    </w:p>
    <w:p w14:paraId="67A38EA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1.11.3  承包人的技术秘密和声明需要保密的资料和信息，发包人和监理人不得为合同以外的目的泄露给他人。</w:t>
      </w:r>
    </w:p>
    <w:p w14:paraId="179E21E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1.12  图纸和文件的保密</w:t>
      </w:r>
    </w:p>
    <w:p w14:paraId="3805A11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1.12.1  发包人提供的图纸和文件，未经发包人同意，承包人不得为合同以外的目的泄露给他人或公开发表与引用。</w:t>
      </w:r>
    </w:p>
    <w:p w14:paraId="6EDF981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1.12.2  承包人提供的文件，未经承包人同意，发包人和监理人不得为合同以外的目的泄露给他人或公开发表与引用。</w:t>
      </w:r>
    </w:p>
    <w:p w14:paraId="0CD2189B">
      <w:pPr>
        <w:adjustRightInd w:val="0"/>
        <w:snapToGrid w:val="0"/>
        <w:spacing w:line="360" w:lineRule="auto"/>
        <w:outlineLvl w:val="2"/>
        <w:rPr>
          <w:rFonts w:hint="eastAsia" w:ascii="宋体" w:hAnsi="宋体" w:eastAsia="宋体" w:cs="宋体"/>
          <w:sz w:val="24"/>
          <w:szCs w:val="24"/>
        </w:rPr>
      </w:pPr>
      <w:bookmarkStart w:id="749" w:name="_Toc14529"/>
      <w:bookmarkStart w:id="750" w:name="_Toc161933494"/>
      <w:bookmarkStart w:id="751" w:name="_Toc85792327"/>
      <w:bookmarkStart w:id="752" w:name="_Toc84948819"/>
      <w:r>
        <w:rPr>
          <w:rFonts w:hint="eastAsia" w:ascii="宋体" w:hAnsi="宋体" w:eastAsia="宋体" w:cs="宋体"/>
          <w:sz w:val="24"/>
          <w:szCs w:val="24"/>
        </w:rPr>
        <w:t>2.发包人义务</w:t>
      </w:r>
      <w:bookmarkEnd w:id="749"/>
      <w:bookmarkEnd w:id="750"/>
      <w:bookmarkEnd w:id="751"/>
      <w:bookmarkEnd w:id="752"/>
    </w:p>
    <w:p w14:paraId="2BD03FE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  遵守法律</w:t>
      </w:r>
    </w:p>
    <w:p w14:paraId="3D59CB5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发包人在履行合同过程中应遵守法律，并保证承包人免于承担因发包人违反法律而引起的任何责任。</w:t>
      </w:r>
    </w:p>
    <w:p w14:paraId="7FA57BB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2.2  发出开工通知</w:t>
      </w:r>
    </w:p>
    <w:p w14:paraId="3951207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发包人应委托监理人按第11.1款的约定向承包人发出开工通知。</w:t>
      </w:r>
    </w:p>
    <w:p w14:paraId="1042EB1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2.3  提供基础资料、施工条件</w:t>
      </w:r>
    </w:p>
    <w:p w14:paraId="3E1FD41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2.3.1  发包人应在约定期限前向承包人提供履行合同所需的相应基础资料，并保证资料的真实、准确和完整。发包人向承包人提供履行本合同所需的相应基础资料的时限见合同条款专用部分。</w:t>
      </w:r>
    </w:p>
    <w:p w14:paraId="58B7A4A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2.3.2  发包人应在约定期限前确保施工场地具备施工条件并移交给承包人，具体施工条件在“技术标准和要求”中约定。发包人向承包人移交施工场地的期限见合同条款专用部分。</w:t>
      </w:r>
    </w:p>
    <w:p w14:paraId="689CA63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2.4  协助承包人办理证件和批件</w:t>
      </w:r>
    </w:p>
    <w:p w14:paraId="26D7DF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发包人应协助承包人办理法律规定的有关施工证件和批件。</w:t>
      </w:r>
    </w:p>
    <w:p w14:paraId="389D467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2.5  组织设计交底</w:t>
      </w:r>
    </w:p>
    <w:p w14:paraId="0653A7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发包人应根据批准的合同进度计划，组织设计单位向承包人进行设计交底。</w:t>
      </w:r>
    </w:p>
    <w:p w14:paraId="6A45411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7BAE09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2.6  支付合同价款</w:t>
      </w:r>
    </w:p>
    <w:p w14:paraId="3C9DC99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在承包人没有违约行为的前提下，发包人应按合同约定向承包人及时支付合同价款。</w:t>
      </w:r>
    </w:p>
    <w:p w14:paraId="2A2DEAC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2.7  组织竣工验收</w:t>
      </w:r>
    </w:p>
    <w:p w14:paraId="35502D1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发包人应按合同约定及时组织竣工验收。</w:t>
      </w:r>
    </w:p>
    <w:p w14:paraId="1968B47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2.8  向承包人提交支付担保</w:t>
      </w:r>
    </w:p>
    <w:p w14:paraId="02225B0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是否提交支付担保及支付担保额度见合同条款专用部分。发包人提供支付担保格式见合同条款专用部分附件四“支付担保格式”。</w:t>
      </w:r>
    </w:p>
    <w:p w14:paraId="1BABCAB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（2）支付担保的有效期应当自本合同生效之日起至发包人实际支付竣工付款之日止。</w:t>
      </w:r>
    </w:p>
    <w:p w14:paraId="29EF01A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（3）发包人无法获得一份不带具体截止日期的履约担保，支付担保中应当约定有“变更工程竣工付款支付日期的，保证期间按照变更后的竣工付款支付日期做相应调整”或类似约定的条款。</w:t>
      </w:r>
    </w:p>
    <w:p w14:paraId="1CD6E84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（4）支付担保应当在发包人付清竣工付款之日后28天内退还给发包人；承包人不承担发包人与支付担保有关的任何利息或其它类似的费用或者收益。</w:t>
      </w:r>
    </w:p>
    <w:p w14:paraId="4F712E5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2.9  办理工程质量监督手续</w:t>
      </w:r>
    </w:p>
    <w:p w14:paraId="12B88C3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发包人应按有关规定及时办理工程质量监督手续。</w:t>
      </w:r>
    </w:p>
    <w:p w14:paraId="409C1D3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2.10  环境保护责任</w:t>
      </w:r>
    </w:p>
    <w:p w14:paraId="653A02A1">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发包人对建筑垃圾处理、施工扬尘治理管理负总责。</w:t>
      </w:r>
    </w:p>
    <w:p w14:paraId="5736124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2.11  移交工程档案</w:t>
      </w:r>
    </w:p>
    <w:p w14:paraId="6EEF5BE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发包人应根据建设行政主管部门和（或）城市建设档案管理机构的规定，收集、整理、立卷、归档工程资料，并按规定时间向建设行政主管部门或者城市建设档案管理机构移交规定的工程档案。</w:t>
      </w:r>
    </w:p>
    <w:p w14:paraId="024D9FC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2.12  批准和确认</w:t>
      </w:r>
    </w:p>
    <w:p w14:paraId="744F84D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741DE66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2.13  其他义务</w:t>
      </w:r>
    </w:p>
    <w:p w14:paraId="0A38B62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发包人应履行的其他义务见合同条款专用部分。</w:t>
      </w:r>
    </w:p>
    <w:p w14:paraId="610C1E14">
      <w:pPr>
        <w:adjustRightInd w:val="0"/>
        <w:snapToGrid w:val="0"/>
        <w:spacing w:line="360" w:lineRule="auto"/>
        <w:outlineLvl w:val="2"/>
        <w:rPr>
          <w:rFonts w:hint="eastAsia" w:ascii="宋体" w:hAnsi="宋体" w:eastAsia="宋体" w:cs="宋体"/>
          <w:sz w:val="24"/>
          <w:szCs w:val="24"/>
        </w:rPr>
      </w:pPr>
      <w:bookmarkStart w:id="753" w:name="_Toc161933495"/>
      <w:bookmarkStart w:id="754" w:name="_Toc84948820"/>
      <w:bookmarkStart w:id="755" w:name="_Toc21900"/>
      <w:bookmarkStart w:id="756" w:name="_Toc85792328"/>
      <w:r>
        <w:rPr>
          <w:rFonts w:hint="eastAsia" w:ascii="宋体" w:hAnsi="宋体" w:eastAsia="宋体" w:cs="宋体"/>
          <w:sz w:val="24"/>
          <w:szCs w:val="24"/>
        </w:rPr>
        <w:t>3.监理人</w:t>
      </w:r>
      <w:bookmarkEnd w:id="753"/>
      <w:bookmarkEnd w:id="754"/>
      <w:bookmarkEnd w:id="755"/>
      <w:bookmarkEnd w:id="756"/>
    </w:p>
    <w:p w14:paraId="7BD7D2A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3.1  监理人的职责和权力</w:t>
      </w:r>
    </w:p>
    <w:p w14:paraId="288D371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14:paraId="6A1CD98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3.1.2  监理人发出的任何指示应视为已得到发包人的批准，但监理人无权减轻、免除或变更合同约定的发包人和承包人的权利、义务和责任。</w:t>
      </w:r>
    </w:p>
    <w:p w14:paraId="065E88C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3.1.3  合同约定应由承包人承担的义务和责任，不因监理人对承包人提交文件的审查或批准，对工程、材料和设备的检查和检验，以及为实施监理作出的指示等职务行为而减轻或解除。</w:t>
      </w:r>
    </w:p>
    <w:p w14:paraId="4548495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3.2  总监理工程师</w:t>
      </w:r>
    </w:p>
    <w:p w14:paraId="4E57D9C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发包人应在发出开工通知前将总监理工程师的任命通知承包人。总监理工程师更换时，应在调离14天前通知承包人。总监理工程师短期离开施工场地的，应委派代表代行其职责，并通知承包人。</w:t>
      </w:r>
    </w:p>
    <w:p w14:paraId="1825087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3.3  监理人员</w:t>
      </w:r>
    </w:p>
    <w:p w14:paraId="44684F8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916685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3.3.2  监理人员对承包人的任何工作、工程或其采用的材料和工程设备未在约定的或合理的期限内提出否定意见的，视为已获批准，但不影响监理人在以后拒绝该项工作、工程、材料或工程设备的权利。</w:t>
      </w:r>
    </w:p>
    <w:p w14:paraId="47E4DFE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3.3.3  承包人对总监理工程师授权的监理人员发出的指示有疑问的，可向总监理工程师提出书面异议，总监理工程师应在48小时内对该指示予以确认、更改或撤销。</w:t>
      </w:r>
    </w:p>
    <w:p w14:paraId="486A186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3.3.4  总监理工程师不应将合同条款通用部分第3.5款约定应由总监理工程师作出确定的权力授权或者委托给其他监理人员。</w:t>
      </w:r>
    </w:p>
    <w:p w14:paraId="6E4FD8D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3.4  监理人的指示</w:t>
      </w:r>
    </w:p>
    <w:p w14:paraId="2E9673B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3.4.1  监理人应按第3.1款的约定向承包人发出指示，监理人的指示应加盖监理人授权的施工场地机构章，并由总监理工程师或总监理工程师按第3.3.1项约定授权的监理人员签字。</w:t>
      </w:r>
    </w:p>
    <w:p w14:paraId="187454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3.4.2  承包人收到监理人按第3.4.1项作出的指示后，应遵照执行。指示构成变更的，应按第15条处理。</w:t>
      </w:r>
    </w:p>
    <w:p w14:paraId="7C86FED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3D21AA1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3.4.4  除合同另有约定外，承包人只从总监理工程师或按第3.3.1项被授权的监理人员处取得指示。</w:t>
      </w:r>
    </w:p>
    <w:p w14:paraId="5635F2A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3.4.5  由于监理人未能按合同约定发出指示、指示延误或指示错误而导致承包人费用增加和（或）工期延误的，由发包人承担赔偿责任。</w:t>
      </w:r>
    </w:p>
    <w:p w14:paraId="5E26125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3.5  商定或确定</w:t>
      </w:r>
    </w:p>
    <w:p w14:paraId="5D7A5D4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3.5.1  总监理工程师应按照本款对任何事项进行商定或确定时，总监理工程师应与合同当事人协商，尽量达成一致。不能达成一致的，总监理工程师应认真研究后审慎确定。</w:t>
      </w:r>
    </w:p>
    <w:p w14:paraId="2926FE1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4343E39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3.6  监理人的宽恕</w:t>
      </w:r>
    </w:p>
    <w:p w14:paraId="7A17027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72A02876">
      <w:pPr>
        <w:adjustRightInd w:val="0"/>
        <w:snapToGrid w:val="0"/>
        <w:spacing w:line="360" w:lineRule="auto"/>
        <w:outlineLvl w:val="2"/>
        <w:rPr>
          <w:rFonts w:hint="eastAsia" w:ascii="宋体" w:hAnsi="宋体" w:eastAsia="宋体" w:cs="宋体"/>
          <w:sz w:val="24"/>
          <w:szCs w:val="24"/>
        </w:rPr>
      </w:pPr>
      <w:bookmarkStart w:id="757" w:name="_Toc21540"/>
      <w:bookmarkStart w:id="758" w:name="_Toc84948821"/>
      <w:bookmarkStart w:id="759" w:name="_Toc161933496"/>
      <w:bookmarkStart w:id="760" w:name="_Toc85792329"/>
      <w:r>
        <w:rPr>
          <w:rFonts w:hint="eastAsia" w:ascii="宋体" w:hAnsi="宋体" w:eastAsia="宋体" w:cs="宋体"/>
          <w:sz w:val="24"/>
          <w:szCs w:val="24"/>
        </w:rPr>
        <w:t>4.承包人</w:t>
      </w:r>
      <w:bookmarkEnd w:id="757"/>
      <w:bookmarkEnd w:id="758"/>
      <w:bookmarkEnd w:id="759"/>
      <w:bookmarkEnd w:id="760"/>
    </w:p>
    <w:p w14:paraId="01ED501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4.1  承包人的一般义务</w:t>
      </w:r>
    </w:p>
    <w:p w14:paraId="3C215FF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  遵守法律</w:t>
      </w:r>
    </w:p>
    <w:p w14:paraId="59C6396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承包人在履行合同过程中应遵守法律，并保证发包人免于承担因承包人违反法律而引起的任何责任。</w:t>
      </w:r>
    </w:p>
    <w:p w14:paraId="128D7DB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4.1.2  依法纳税</w:t>
      </w:r>
    </w:p>
    <w:p w14:paraId="6E5CA0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承包人应按有关法律规定纳税，应缴纳的税金包括在合同价格内。</w:t>
      </w:r>
    </w:p>
    <w:p w14:paraId="2AC3584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4.1.3  完成各项承包工作</w:t>
      </w:r>
    </w:p>
    <w:p w14:paraId="24B643F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应按照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42CED72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应当依法合规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p>
    <w:p w14:paraId="02173D8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4.1.4  对施工作业和施工方法的完备性负责</w:t>
      </w:r>
    </w:p>
    <w:p w14:paraId="713F1C1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承包人应按合同约定的工作内容和施工进度要求，编制施工组织设计和施工措施计划，并对所有施工作业和施工方法的完备性和安全可靠性负责。</w:t>
      </w:r>
    </w:p>
    <w:p w14:paraId="28F25C1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4.1.5  保证工程施工和人员的安全</w:t>
      </w:r>
    </w:p>
    <w:p w14:paraId="34AB9B9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按照第9.2款约定采取施工安全措施，确保工程及其人员、材料、设备和设施的安全，防止因工程施工造成的人身伤害和财产损失。如施工现场发生任何非发包人原因而产生的人身损害或财产损失，由承包人独立承担相应责任，因此给发包人造成损失的，承包人应予赔偿。</w:t>
      </w:r>
    </w:p>
    <w:p w14:paraId="0C7B487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4.1.6  负责施工场地、周边环境和生态保护工作</w:t>
      </w:r>
    </w:p>
    <w:p w14:paraId="7220FC6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按照第9.4款约定负责施工场地及其周边环境与生态的保护工作。同时负责施工现场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4EE6D35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4.1.7  避免施工对公众与他人的利益造成损害</w:t>
      </w:r>
    </w:p>
    <w:p w14:paraId="5062D8F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164E8E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4.1.8  为他人提供方便</w:t>
      </w:r>
    </w:p>
    <w:p w14:paraId="5F77E95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应当对在施工场地或者附近实施与合同工程有关的其他工作的独立承包人履行配合和服务义务，由此发生的费用被认为已经包括在承包人的签约合同价（投标总报价）中，具体工作内容和要求见合同条款专用部分。</w:t>
      </w:r>
    </w:p>
    <w:p w14:paraId="56C69EC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（2）在施工场地或者附近实施与合同工程有关的其他工作的独立承包人为承包人提供的配合和服务内容见合同条款专用部分。</w:t>
      </w:r>
    </w:p>
    <w:p w14:paraId="086D77A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（3）承包人还应按监理人指示为独立承包人以外的他人在施工场地或者附近实施与合同工程有关的其他工作提供可能的条件，可能发生费用由监理人按合同条款通用部分第3.5款商定或者确定。</w:t>
      </w:r>
    </w:p>
    <w:p w14:paraId="7C3D56F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4.1.9  工程的维护和照管</w:t>
      </w:r>
    </w:p>
    <w:p w14:paraId="0AA356E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工程接收证书颁发前，承包人应负责照管和维护工程。工程接收证书颁发时尚有部分未竣工工程的，承包人还应负责该未竣工工程的照管和维护工作，直至竣工后移交给发包人为止。</w:t>
      </w:r>
    </w:p>
    <w:p w14:paraId="2C5F1D4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4.1.10  承包人的设计工作</w:t>
      </w:r>
    </w:p>
    <w:p w14:paraId="4380B6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发包人委托，在其设计资质等级和业务允许的范围内，完成约定的施工图设计或与工程配套的设计工作，经监理人确认后使用。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见合同条款专用部分。</w:t>
      </w:r>
    </w:p>
    <w:p w14:paraId="150C378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4.1.11  农民工工资保证金</w:t>
      </w:r>
    </w:p>
    <w:p w14:paraId="4954EEF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承包人应在银行设立工资保证金专用账户，专项用于发生欠薪时支付农民工工资的应急保障。账户内资金启用应当经建设主管部门和劳动保障行政部门批准。</w:t>
      </w:r>
    </w:p>
    <w:p w14:paraId="6D5C83F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4.1.12  其他义务</w:t>
      </w:r>
    </w:p>
    <w:p w14:paraId="09BC4B4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承包人应履行的其他义务见合同条款专用部分。</w:t>
      </w:r>
    </w:p>
    <w:p w14:paraId="0B99F85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4.2  履约担保</w:t>
      </w:r>
    </w:p>
    <w:p w14:paraId="22EC638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4.2.1  履约担保的格式和金额</w:t>
      </w:r>
    </w:p>
    <w:p w14:paraId="2B4244D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履约担保格式见合同条款专用部分附件三“履约担保格式”。承包人是否提交履约担保及需要提交履约担保的金额见合同条款专用部分。</w:t>
      </w:r>
    </w:p>
    <w:p w14:paraId="395E9C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4.2.2  履约担保的有效期</w:t>
      </w:r>
    </w:p>
    <w:p w14:paraId="4E0D432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208D7C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4.2.3  履约担保的退还</w:t>
      </w:r>
    </w:p>
    <w:p w14:paraId="61B1E25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履约担保应在监理人向承包人颁发（出具）工程接收证书之日后28天内退还给承包人。发包人不承担承包人与履约担保有关的任何利息或其它类似的费用或者收益。</w:t>
      </w:r>
    </w:p>
    <w:p w14:paraId="474AEDF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4.2.4  通知义务</w:t>
      </w:r>
    </w:p>
    <w:p w14:paraId="13DA5C2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4670442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4.3  分包</w:t>
      </w:r>
    </w:p>
    <w:p w14:paraId="2672E7E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承包人不得将其承包的工程转包或分包给第三人。</w:t>
      </w:r>
    </w:p>
    <w:p w14:paraId="13D9702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4.4  联合体</w:t>
      </w:r>
    </w:p>
    <w:p w14:paraId="78F93A2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4.4.1  联合体各方应共同与发包人签订合同协议书。联合体各方应为履行合同承担连带责任。</w:t>
      </w:r>
    </w:p>
    <w:p w14:paraId="216B00E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4.4.2  联合体协议经发包人确认后作为合同附件。在履行合同过程中，未经发包人同意，不得修改联合体协议。</w:t>
      </w:r>
    </w:p>
    <w:p w14:paraId="52CB8CE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4.4.3  联合体牵头人负责与发包人和监理人联系，并接受指示，负责组织联合体各成员全面履行合同。</w:t>
      </w:r>
    </w:p>
    <w:p w14:paraId="0472152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4.5  承包人项目经理</w:t>
      </w:r>
    </w:p>
    <w:p w14:paraId="5212066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相关信息应当在合同协议书中载明。</w:t>
      </w:r>
    </w:p>
    <w:p w14:paraId="513983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承包人更换项目经理应事先征得发包人同意，并应在更换14天前通知发包人和监理人。承包人项目经理短期离开施工场地，应事先征得监理人同意，并委派代表代行其职责。</w:t>
      </w:r>
    </w:p>
    <w:p w14:paraId="29295D1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776DA48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4.5.3  承包人为履行合同发出的一切函件均应盖有承包人授权的施工场地管理机构章，并由承包人项目经理或其授权代表签字。</w:t>
      </w:r>
    </w:p>
    <w:p w14:paraId="727D092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4.5.4  承包人项目经理可以授权其下属人员履行其某项职责，但事先应将这些人员的姓名和授权范围通知监理人。</w:t>
      </w:r>
    </w:p>
    <w:p w14:paraId="1722529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4.6  承包人人员的管理</w:t>
      </w:r>
    </w:p>
    <w:p w14:paraId="48061B0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005B552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4.6.2  为完成合同约定的各项工作，承包人应向施工场地派遣或雇佣足够数量的下列人员：</w:t>
      </w:r>
    </w:p>
    <w:p w14:paraId="55499D5D">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（1）具有相应资格的专业技工和合格的普工；</w:t>
      </w:r>
    </w:p>
    <w:p w14:paraId="2CF503E0">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（2）具有相应施工经验的技术人员；</w:t>
      </w:r>
    </w:p>
    <w:p w14:paraId="59A317C7">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（3）具有相应岗位资格的各级管理人员。</w:t>
      </w:r>
    </w:p>
    <w:p w14:paraId="22FF79A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4.6.3  承包人安排在施工场地的主要管理人员和技术骨干应相对稳定。承包人更换主要管理人员和技术骨干时，应取得监理人的同意。</w:t>
      </w:r>
    </w:p>
    <w:p w14:paraId="2866F8B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4.6.4  特殊岗位的工作人员均应持有相应的资格证明，监理人有权随时检查。监理人认为有必要时，可进行现场考核。</w:t>
      </w:r>
    </w:p>
    <w:p w14:paraId="401E868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4.7  撤换承包人项目经理和其他人员</w:t>
      </w:r>
    </w:p>
    <w:p w14:paraId="6BDE7B2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承包人应对其项目经理和其他人员进行有效管理。监理人要求撤换不能胜任本职工作、行为不端或玩忽职守的承包人项目经理和其他人员的，承包人应予以撤换。</w:t>
      </w:r>
    </w:p>
    <w:p w14:paraId="32D935C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4.8  保障承包人人员的合法权益</w:t>
      </w:r>
    </w:p>
    <w:p w14:paraId="20841A3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4.8.1  承包人应与其雇佣的人员签订劳动合同，并按时发放工资。</w:t>
      </w:r>
    </w:p>
    <w:p w14:paraId="451C9DD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4.8.2  承包人应按劳动法的规定安排工作时间，保证其雇佣人员享有休息和休假的权利。因工程施工的特殊需要占用休假日或延长工作时间的，应不超过法律规定的限度，并按法律规定给予补休或付酬。</w:t>
      </w:r>
    </w:p>
    <w:p w14:paraId="3581E69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4.8.3  承包人应为其雇佣人员提供必要的食宿条件，以及符合环境保护和卫生要求的生活环境，在远离城镇的施工场地，还应配备必要的伤病防治和急救的医务人员与医疗设施。</w:t>
      </w:r>
    </w:p>
    <w:p w14:paraId="008CD8F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482C1C8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4.8.5  承包人应按有关法律规定和合同约定，为其雇佣人员办理保险。</w:t>
      </w:r>
    </w:p>
    <w:p w14:paraId="0EECD42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4.8.6  承包人应负责处理其雇佣人员因工伤亡事故的善后事宜。</w:t>
      </w:r>
    </w:p>
    <w:p w14:paraId="17F82E0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4.9  工程价款应专款专用</w:t>
      </w:r>
    </w:p>
    <w:p w14:paraId="5DFB3AC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发包人按合同约定支付给承包人的各项价款应专用于合同工程。</w:t>
      </w:r>
    </w:p>
    <w:p w14:paraId="65004DE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4.10  承包人现场查勘</w:t>
      </w:r>
    </w:p>
    <w:p w14:paraId="6954B3C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4.10.1  发包人应将其持有的与本工程有关的现场地质勘探资料、水文气象资料提供给承包人，并对其准确性负责。但承包人应对其阅读上述有关资料后所作出的解释和推断负责。</w:t>
      </w:r>
    </w:p>
    <w:p w14:paraId="3177D11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B9F5A9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4.11  不利物质条件</w:t>
      </w:r>
    </w:p>
    <w:p w14:paraId="392544A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4.11.1  不利物质条件，除合同条款专用部分另有约定外，是指承包人在施工场地遇到的不可预见的自然物质条件、非自然的物质障碍和污染物，包括地下和水文条件，但不包括气候条件。不利物质条件的具体范围见合同条款专用部分。</w:t>
      </w:r>
    </w:p>
    <w:p w14:paraId="649CF1A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178C2A0D">
      <w:pPr>
        <w:adjustRightInd w:val="0"/>
        <w:snapToGrid w:val="0"/>
        <w:spacing w:line="360" w:lineRule="auto"/>
        <w:outlineLvl w:val="2"/>
        <w:rPr>
          <w:rFonts w:hint="eastAsia" w:ascii="宋体" w:hAnsi="宋体" w:eastAsia="宋体" w:cs="宋体"/>
          <w:sz w:val="24"/>
          <w:szCs w:val="24"/>
        </w:rPr>
      </w:pPr>
      <w:bookmarkStart w:id="761" w:name="_Toc84948822"/>
      <w:bookmarkStart w:id="762" w:name="_Toc12008"/>
      <w:bookmarkStart w:id="763" w:name="_Toc161933497"/>
      <w:bookmarkStart w:id="764" w:name="_Toc85792330"/>
      <w:r>
        <w:rPr>
          <w:rFonts w:hint="eastAsia" w:ascii="宋体" w:hAnsi="宋体" w:eastAsia="宋体" w:cs="宋体"/>
          <w:sz w:val="24"/>
          <w:szCs w:val="24"/>
        </w:rPr>
        <w:t>5.材料和工程设备</w:t>
      </w:r>
      <w:bookmarkEnd w:id="761"/>
      <w:bookmarkEnd w:id="762"/>
      <w:bookmarkEnd w:id="763"/>
      <w:bookmarkEnd w:id="764"/>
    </w:p>
    <w:p w14:paraId="31A846C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5.1  承包人提供的材料和工程设备</w:t>
      </w:r>
    </w:p>
    <w:p w14:paraId="7D0541F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5.1.1  除第5.2款约定由发包人提供的材料和工程设备外，由承包人提供的材料和工程设备均由承包人负责采购、运输和保管。承包人应对其采购的材料和工程设备负责。承包人负责提供的主要材料和工程设备清单见合同条款专用部分“承包人提供的材料和工程设备一览表”。</w:t>
      </w:r>
    </w:p>
    <w:p w14:paraId="01EE84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7B231F5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4675234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5.2  发包人提供的材料和工程设备</w:t>
      </w:r>
    </w:p>
    <w:p w14:paraId="69261BE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5.2.1  发包人负责提供的材料和工程设备的名称、规格、数量、价格、交货方式、交货地点和计划交货日期等见合同条款专用部分“附件二：发包人提供的材料和工程设备一览表”。</w:t>
      </w:r>
    </w:p>
    <w:p w14:paraId="4A5C372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5.2.2  承包人应根据合同进度计划的安排，向监理人报送要求发包人交货的日期计划。发包人应按照监理人与合同双方当事人商定的交货日期，向承包人提交材料和工程设备。</w:t>
      </w:r>
    </w:p>
    <w:p w14:paraId="7F76030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5.2.3  发包人应在材料和工程设备到货1天前通知承包人，承包人应会同监理人在约定的时间内，赴交货地点共同进行验收。由发包人提供的材料和工程设备验收后，由承包人负责接收、运输和保管。</w:t>
      </w:r>
    </w:p>
    <w:p w14:paraId="5F2E816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5.2.4  发包人要求向承包人提前交货的，承包人不得拒绝，但发包人应承担承包人由此增加的费用。</w:t>
      </w:r>
    </w:p>
    <w:p w14:paraId="4E5BD32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5.2.5  承包人要求更改交货日期或地点的，应事先报请监理人批准。由于承包人要求更改交货时间或地点所增加的费用和（或）工期延误由承包人承担。</w:t>
      </w:r>
    </w:p>
    <w:p w14:paraId="1D5D945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060884A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5.3  材料和工程设备专用于合同工程</w:t>
      </w:r>
    </w:p>
    <w:p w14:paraId="677DE80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5.3.1  运入施工场地的材料、工程设备，包括备品备件、安装专用工器具与随机资料，必须专用于合同工程，未经监理人同意，承包人不得运出施工场地或挪作他用。</w:t>
      </w:r>
    </w:p>
    <w:p w14:paraId="7BFD7BD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7DEA86B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5.4  禁止使用不合格的材料和工程设备</w:t>
      </w:r>
    </w:p>
    <w:p w14:paraId="383F155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5.4.1  监理人有权拒绝承包人提供的不合格材料或工程设备，并要求承包人立即进行更换。监理人应在更换后再次进行检查和检验，由此增加的费用和（或）工期延误由承包人承担。</w:t>
      </w:r>
    </w:p>
    <w:p w14:paraId="2A540BA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5.4.2  监理人发现承包人使用了不合格的材料和工程设备，应即时发出指示要求承包人立即改正，并禁止在工程中继续使用不合格的材料和工程设备。</w:t>
      </w:r>
    </w:p>
    <w:p w14:paraId="0F1854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5.4.3  发包人提供的材料或工程设备不符合合同要求的，承包人有权拒绝，并可要求发包人更换，由此增加的费用和（或）工期延误由发包人承担。</w:t>
      </w:r>
    </w:p>
    <w:p w14:paraId="7FC6BFC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5.4.4  当发包人或承包人对材料或工程设备质量存在争议时，应由双方共同对有争议的材料或工程设备进行检测，如检测结果为不合格，由材料或工程设备提供方承担相关检测费用，如检测合格，由提出质量异议方承担相关检测费用。</w:t>
      </w:r>
    </w:p>
    <w:p w14:paraId="143E0E92">
      <w:pPr>
        <w:adjustRightInd w:val="0"/>
        <w:snapToGrid w:val="0"/>
        <w:spacing w:line="360" w:lineRule="auto"/>
        <w:outlineLvl w:val="2"/>
        <w:rPr>
          <w:rFonts w:hint="eastAsia" w:ascii="宋体" w:hAnsi="宋体" w:eastAsia="宋体" w:cs="宋体"/>
          <w:sz w:val="24"/>
          <w:szCs w:val="24"/>
        </w:rPr>
      </w:pPr>
      <w:bookmarkStart w:id="765" w:name="_Toc23207"/>
      <w:bookmarkStart w:id="766" w:name="_Toc84948823"/>
      <w:bookmarkStart w:id="767" w:name="_Toc85792331"/>
      <w:bookmarkStart w:id="768" w:name="_Toc161933498"/>
      <w:r>
        <w:rPr>
          <w:rFonts w:hint="eastAsia" w:ascii="宋体" w:hAnsi="宋体" w:eastAsia="宋体" w:cs="宋体"/>
          <w:sz w:val="24"/>
          <w:szCs w:val="24"/>
        </w:rPr>
        <w:t>6.施工设备和临时设施</w:t>
      </w:r>
      <w:bookmarkEnd w:id="765"/>
      <w:bookmarkEnd w:id="766"/>
      <w:bookmarkEnd w:id="767"/>
      <w:bookmarkEnd w:id="768"/>
    </w:p>
    <w:p w14:paraId="351054D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6.1  承包人提供的施工设备和临时设施</w:t>
      </w:r>
    </w:p>
    <w:p w14:paraId="778E438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6.1.1  承包人应按合同进度计划的要求，及时配置施工设备和修建临时设施。进入施工场地的承包人设备需经监理人核查后才能投入使用。承包人更换合同约定的承包人设备的，应报监理人批准。</w:t>
      </w:r>
    </w:p>
    <w:p w14:paraId="5BBC250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6.1.2  除合同另有约定外，承包人应自行承担修建临时设施的费用，需要临时占地的，应由发包人办理申请手续并承担相应费用。发包人承担修建临时设施的范围以及需要发包人办理申请手续并承担相关费用的临时占地见合同条款专用部分。</w:t>
      </w:r>
    </w:p>
    <w:p w14:paraId="671D345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6.2  发包人提供的施工设备和临时设施</w:t>
      </w:r>
    </w:p>
    <w:p w14:paraId="1AEF546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发包人提供的施工设备或临时设施，以及相关运行、维护、拆除、清运费用的承担人见合同条款专用部分。</w:t>
      </w:r>
    </w:p>
    <w:p w14:paraId="117C906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6.3  要求承包人增加或更换施工设备</w:t>
      </w:r>
    </w:p>
    <w:p w14:paraId="3B514DB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承包人使用的施工设备不能满足合同进度计划和（或）质量要求时，监理人有权要求承包人增加或更换施工设备，承包人应及时增加或更换，由此增加的费用和（或）工期延误由承包人承担。</w:t>
      </w:r>
    </w:p>
    <w:p w14:paraId="59505EE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6.4  施工设备和临时设施专用于合同工程</w:t>
      </w:r>
    </w:p>
    <w:p w14:paraId="7F8FEB8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6.4.1  除为第4.1.8项约定的其他独立承包人和监理人指示的他人提供条件外,承包人运入施工场地的所有施工设备以及在施工场地建设的临时设施应专用于合同工程。未经监理人同意，不得将上述施工设备和临时设施中的任何部分运出施工场地或挪作他用。</w:t>
      </w:r>
    </w:p>
    <w:p w14:paraId="04BCF36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6.4.2  经监理人同意，承包人可根据合同进度计划撤走闲置的施工设备。</w:t>
      </w:r>
    </w:p>
    <w:p w14:paraId="30DE7A51">
      <w:pPr>
        <w:adjustRightInd w:val="0"/>
        <w:snapToGrid w:val="0"/>
        <w:spacing w:line="360" w:lineRule="auto"/>
        <w:outlineLvl w:val="2"/>
        <w:rPr>
          <w:rFonts w:hint="eastAsia" w:ascii="宋体" w:hAnsi="宋体" w:eastAsia="宋体" w:cs="宋体"/>
          <w:sz w:val="24"/>
          <w:szCs w:val="24"/>
        </w:rPr>
      </w:pPr>
      <w:bookmarkStart w:id="769" w:name="_Toc9272"/>
      <w:bookmarkStart w:id="770" w:name="_Toc85792332"/>
      <w:bookmarkStart w:id="771" w:name="_Toc161933499"/>
      <w:bookmarkStart w:id="772" w:name="_Toc84948824"/>
      <w:r>
        <w:rPr>
          <w:rFonts w:hint="eastAsia" w:ascii="宋体" w:hAnsi="宋体" w:eastAsia="宋体" w:cs="宋体"/>
          <w:sz w:val="24"/>
          <w:szCs w:val="24"/>
        </w:rPr>
        <w:t>7.交通运输</w:t>
      </w:r>
      <w:bookmarkEnd w:id="769"/>
      <w:bookmarkEnd w:id="770"/>
      <w:bookmarkEnd w:id="771"/>
      <w:bookmarkEnd w:id="772"/>
    </w:p>
    <w:p w14:paraId="5BB8BC9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7.1  道路通行权和场外设施</w:t>
      </w:r>
    </w:p>
    <w:p w14:paraId="3444BF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3CF3079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7.2  场内施工道路</w:t>
      </w:r>
    </w:p>
    <w:p w14:paraId="75577AE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7.2.1  除合同条款专用部分另有约定外，承包人应负责修建、维修、养护和管理施工所需的临时道路和交通设施，包括维修、养护和管理发包人提供的道路和交通设施，并承担相应费用。</w:t>
      </w:r>
    </w:p>
    <w:p w14:paraId="23FD76F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7.2.2  发包人和监理人有权无偿使用承包人修建的临时道路和交通设施，不需要交纳任何费用。</w:t>
      </w:r>
    </w:p>
    <w:p w14:paraId="50CB328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7.3  场外交通</w:t>
      </w:r>
    </w:p>
    <w:p w14:paraId="49ED47E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7.3.1  承包人车辆外出行驶所需的场外公共道路的通行费、养路费和税款等由承包人承担。</w:t>
      </w:r>
    </w:p>
    <w:p w14:paraId="7AB80E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7.3.2  承包人应遵守有关交通法规，严格按照道路和桥梁的限制荷重安全行驶，并服从交通管理部门的检查和监督。</w:t>
      </w:r>
    </w:p>
    <w:p w14:paraId="61E0DF8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7.4  超大件和超重件的运输</w:t>
      </w:r>
    </w:p>
    <w:p w14:paraId="23FA195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4C923B2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7.5  道路和桥梁的损坏责任</w:t>
      </w:r>
    </w:p>
    <w:p w14:paraId="3E419FD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因承包人运输造成施工场地内外公共道路和桥梁损坏的，由承包人承担修复损坏的全部费用和可能引起的赔偿。</w:t>
      </w:r>
    </w:p>
    <w:p w14:paraId="374FB28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7.6  水路和航空运输</w:t>
      </w:r>
    </w:p>
    <w:p w14:paraId="50041FA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本条上述各款的内容适用于水路运输和航空运输，其中“道路”一词的涵义包括河道、航线、船闸、机场、码头、堤防以及水路或航空运输中其他相似结构物；“车辆”一词的涵义包括船舶和飞机等。</w:t>
      </w:r>
    </w:p>
    <w:p w14:paraId="41A2C1DC">
      <w:pPr>
        <w:adjustRightInd w:val="0"/>
        <w:snapToGrid w:val="0"/>
        <w:spacing w:line="360" w:lineRule="auto"/>
        <w:outlineLvl w:val="2"/>
        <w:rPr>
          <w:rFonts w:hint="eastAsia" w:ascii="宋体" w:hAnsi="宋体" w:eastAsia="宋体" w:cs="宋体"/>
          <w:sz w:val="24"/>
          <w:szCs w:val="24"/>
        </w:rPr>
      </w:pPr>
      <w:bookmarkStart w:id="773" w:name="_Toc85792333"/>
      <w:bookmarkStart w:id="774" w:name="_Toc7756"/>
      <w:bookmarkStart w:id="775" w:name="_Toc161933500"/>
      <w:bookmarkStart w:id="776" w:name="_Toc84948825"/>
      <w:r>
        <w:rPr>
          <w:rFonts w:hint="eastAsia" w:ascii="宋体" w:hAnsi="宋体" w:eastAsia="宋体" w:cs="宋体"/>
          <w:sz w:val="24"/>
          <w:szCs w:val="24"/>
        </w:rPr>
        <w:t>8.测量放线</w:t>
      </w:r>
      <w:bookmarkEnd w:id="773"/>
      <w:bookmarkEnd w:id="774"/>
      <w:bookmarkEnd w:id="775"/>
      <w:bookmarkEnd w:id="776"/>
    </w:p>
    <w:p w14:paraId="0AC14E0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8.1  施工控制网</w:t>
      </w:r>
    </w:p>
    <w:p w14:paraId="3DC8BC7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8.1.1  发包人应在合同约定的期限内，通过监理人向承包人提供测量基准点、基准线和水准点及其书面资料。向承包人提供测量基准点、基准线和水准点及其书面资料的期限见合同条款专用部分。</w:t>
      </w:r>
    </w:p>
    <w:p w14:paraId="6F923A5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8.1.2  承包人负责施工过程中的施工测量放线工作，并配置合格的人员、仪器、设备和其他物品。承包人应矫正本工程的位置、标高、尺寸或准线中出现的任何差错，并对本工程各部分的定位负责。承包人负责对施工场地内施工水准点等测量标志物进行保护。</w:t>
      </w:r>
    </w:p>
    <w:p w14:paraId="546D58A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8.1.3  监理人可以指示承包人进行抽样复测，当复测中发现错误或出现超过合同约定的误差时，承包人应按监理人指示进行修正或补测，并承担相应的复测费用。</w:t>
      </w:r>
    </w:p>
    <w:p w14:paraId="4EA880C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8.1.4  承包人测设施工控制网及施工测量的其他要求见合同条款专用部分。</w:t>
      </w:r>
    </w:p>
    <w:p w14:paraId="03ACAAB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8.2  基准资料错误的责任</w:t>
      </w:r>
    </w:p>
    <w:p w14:paraId="0918EB3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39A872F7">
      <w:pPr>
        <w:adjustRightInd w:val="0"/>
        <w:snapToGrid w:val="0"/>
        <w:spacing w:line="360" w:lineRule="auto"/>
        <w:outlineLvl w:val="2"/>
        <w:rPr>
          <w:rFonts w:hint="eastAsia" w:ascii="宋体" w:hAnsi="宋体" w:eastAsia="宋体" w:cs="宋体"/>
          <w:sz w:val="24"/>
          <w:szCs w:val="24"/>
        </w:rPr>
      </w:pPr>
      <w:bookmarkStart w:id="777" w:name="_Toc161933501"/>
      <w:bookmarkStart w:id="778" w:name="_Toc84948826"/>
      <w:bookmarkStart w:id="779" w:name="_Toc85792334"/>
      <w:bookmarkStart w:id="780" w:name="_Toc13353"/>
      <w:r>
        <w:rPr>
          <w:rFonts w:hint="eastAsia" w:ascii="宋体" w:hAnsi="宋体" w:eastAsia="宋体" w:cs="宋体"/>
          <w:sz w:val="24"/>
          <w:szCs w:val="24"/>
        </w:rPr>
        <w:t>9.施工安全、治安保卫和环境保护</w:t>
      </w:r>
      <w:bookmarkEnd w:id="777"/>
      <w:bookmarkEnd w:id="778"/>
      <w:bookmarkEnd w:id="779"/>
      <w:bookmarkEnd w:id="780"/>
    </w:p>
    <w:p w14:paraId="1E5B77E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9.1  发包人的施工安全责任</w:t>
      </w:r>
    </w:p>
    <w:p w14:paraId="296C87F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9.1.1  发包人应按合同约定履行安全职责，授权监理人按合同约定的安全工作内容监督、检查承包人安全工作的实施，组织承包人和有关单位进行安全检查。</w:t>
      </w:r>
    </w:p>
    <w:p w14:paraId="4FBAF0C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9.1.2  发包人应对其现场机构雇佣的全部人员的工伤事故承担责任，但由于承包人原因造成发包人人员工伤的，应由承包人承担责任。</w:t>
      </w:r>
    </w:p>
    <w:p w14:paraId="323818B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9.1.3  发包人应负责赔偿以下各种情况造成的第三者人身伤亡和财产损失：</w:t>
      </w:r>
    </w:p>
    <w:p w14:paraId="65BED6C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（1）工程或工程的任何部分对土地的占用所造成的第三者财产损失；</w:t>
      </w:r>
    </w:p>
    <w:p w14:paraId="2D8EFB2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（2）由于发包人原因在施工场地及其毗邻地带造成的第三者人身伤亡和财产损失。</w:t>
      </w:r>
    </w:p>
    <w:p w14:paraId="251838B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9.2  承包人的施工安全责任</w:t>
      </w:r>
    </w:p>
    <w:p w14:paraId="5877E58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3B7AA2E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9.2.2  承包人应加强施工作业安全管理，特别应加强易燃、易爆材料、火工器材、有毒与腐蚀性材料、行业挥发性有机物和其他危险品的管理，以及对爆破作业和地下工程施工等危险作业的管理。</w:t>
      </w:r>
    </w:p>
    <w:p w14:paraId="208F269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9.2.3  承包人应严格按照国家安全标准制定施工安全操作规程，配备必要的安全生产和劳动保护设施，加强对承包人人员的安全教育，并发放安全工作手册和劳动保护用具。</w:t>
      </w:r>
    </w:p>
    <w:p w14:paraId="34C57C4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9.2.4  承包人应按监理人的指示制定应对灾害的紧急预案，报送监理人审批。承包人还应按预案做好安全检查，配置必要的救助物资和器材，切实保护好有关人员的人身和财产安全。</w:t>
      </w:r>
    </w:p>
    <w:p w14:paraId="648D09D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655F58B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9.2.6  承包人应对其履行合同所雇佣的全部人员的工伤事故承担责任，但由于发包人原因造成承包人人员工伤事故的，应由发包人承担责任。</w:t>
      </w:r>
    </w:p>
    <w:p w14:paraId="185C2A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9.2.7  由于承包人原因在施工场地内及其毗邻地带造成的第三者人员伤亡和财产损失，由承包人负责赔偿。</w:t>
      </w:r>
    </w:p>
    <w:p w14:paraId="63A5284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9.3  治安保卫</w:t>
      </w:r>
    </w:p>
    <w:p w14:paraId="2C96E1D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9.3.1  发包人应与当地公安部门协商，在现场建立治安管理机构或联防组织，负责统一管理施工场地的治安保卫事项，履行合同工程的治安保卫职责。</w:t>
      </w:r>
    </w:p>
    <w:p w14:paraId="7DA8C7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9.3.2  发包人和承包人除应协助现场治安管理机构或联防组织维护施工场地的社会治安外，还应做好包括生活区在内的各自管辖区的治安保卫工作。</w:t>
      </w:r>
    </w:p>
    <w:p w14:paraId="08700FD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222541F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9.4  环境保护</w:t>
      </w:r>
    </w:p>
    <w:p w14:paraId="28FF67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9.4.1  承包人在施工过程中，应遵守有关环境保护的法律，履行合同约定的环境保护义务，并对违反法律和合同约定义务所造成的环境破坏、人身伤害和财产损失负责。</w:t>
      </w:r>
    </w:p>
    <w:p w14:paraId="560304C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9.4.2  承包人应建立施工扬尘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76B30F2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67EFF97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264CA61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9.4.5  承包人应按合同约定采取有效措施，对施工开挖的边坡及时进行支护,维护排水设施，并进行水土保护，避免因施工造成的地质灾害。</w:t>
      </w:r>
    </w:p>
    <w:p w14:paraId="7714B4C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9.4.6  承包人应按国家饮用水管理标准定期对饮用水源进行监测，防止施工活动污染饮用水源。</w:t>
      </w:r>
    </w:p>
    <w:p w14:paraId="7784779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9.4.7  承包人应按合同约定，加强对噪声、粉尘、废气、废水和废油的控制，努力降低噪声，控制粉尘和废气浓度，做好废水和废油的治理和排放。</w:t>
      </w:r>
    </w:p>
    <w:p w14:paraId="1740152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9.5  事故处理</w:t>
      </w:r>
    </w:p>
    <w:p w14:paraId="23EE628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77C352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9.6  施工现场安全生产标准化管理目标</w:t>
      </w:r>
    </w:p>
    <w:p w14:paraId="5DDEE43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9.6.1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r>
        <w:rPr>
          <w:rFonts w:hint="eastAsia" w:ascii="宋体" w:hAnsi="宋体" w:eastAsia="宋体" w:cs="宋体"/>
          <w:b/>
          <w:bCs/>
          <w:sz w:val="24"/>
          <w:szCs w:val="24"/>
        </w:rPr>
        <w:t>见合同条款专用部分</w:t>
      </w:r>
      <w:r>
        <w:rPr>
          <w:rFonts w:hint="eastAsia" w:ascii="宋体" w:hAnsi="宋体" w:eastAsia="宋体" w:cs="宋体"/>
          <w:sz w:val="24"/>
          <w:szCs w:val="24"/>
        </w:rPr>
        <w:t>。</w:t>
      </w:r>
    </w:p>
    <w:p w14:paraId="04977D8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r>
        <w:rPr>
          <w:rFonts w:hint="eastAsia" w:ascii="宋体" w:hAnsi="宋体" w:eastAsia="宋体" w:cs="宋体"/>
          <w:b/>
          <w:bCs/>
          <w:sz w:val="24"/>
          <w:szCs w:val="24"/>
        </w:rPr>
        <w:t>见合同条款专用部分</w:t>
      </w:r>
      <w:r>
        <w:rPr>
          <w:rFonts w:hint="eastAsia" w:ascii="宋体" w:hAnsi="宋体" w:eastAsia="宋体" w:cs="宋体"/>
          <w:sz w:val="24"/>
          <w:szCs w:val="24"/>
        </w:rPr>
        <w:t>。</w:t>
      </w:r>
    </w:p>
    <w:p w14:paraId="4946A24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9.7  特殊安全文明施工</w:t>
      </w:r>
    </w:p>
    <w:p w14:paraId="339C681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9.7.1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r>
        <w:rPr>
          <w:rFonts w:hint="eastAsia" w:ascii="宋体" w:hAnsi="宋体" w:eastAsia="宋体" w:cs="宋体"/>
          <w:b/>
          <w:bCs/>
          <w:sz w:val="24"/>
          <w:szCs w:val="24"/>
        </w:rPr>
        <w:t>见合同条款专用部分</w:t>
      </w:r>
      <w:r>
        <w:rPr>
          <w:rFonts w:hint="eastAsia" w:ascii="宋体" w:hAnsi="宋体" w:eastAsia="宋体" w:cs="宋体"/>
          <w:sz w:val="24"/>
          <w:szCs w:val="24"/>
        </w:rPr>
        <w:t>。</w:t>
      </w:r>
    </w:p>
    <w:p w14:paraId="07C4F87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9.7.2 发包人鼓励承包人提高特殊安全文明施工要求。特殊安全文明施工要求高于合同约定的要求，发包人可给予承包人创优奖励。发包人是否给予承包人创优奖励及创优奖励金额或者计算方法</w:t>
      </w:r>
      <w:r>
        <w:rPr>
          <w:rFonts w:hint="eastAsia" w:ascii="宋体" w:hAnsi="宋体" w:eastAsia="宋体" w:cs="宋体"/>
          <w:b/>
          <w:bCs/>
          <w:sz w:val="24"/>
          <w:szCs w:val="24"/>
        </w:rPr>
        <w:t>见合同条款专用部分</w:t>
      </w:r>
      <w:r>
        <w:rPr>
          <w:rFonts w:hint="eastAsia" w:ascii="宋体" w:hAnsi="宋体" w:eastAsia="宋体" w:cs="宋体"/>
          <w:sz w:val="24"/>
          <w:szCs w:val="24"/>
        </w:rPr>
        <w:t>。</w:t>
      </w:r>
    </w:p>
    <w:p w14:paraId="51EC5CF9">
      <w:pPr>
        <w:adjustRightInd w:val="0"/>
        <w:snapToGrid w:val="0"/>
        <w:spacing w:line="360" w:lineRule="auto"/>
        <w:outlineLvl w:val="2"/>
        <w:rPr>
          <w:rFonts w:hint="eastAsia" w:ascii="宋体" w:hAnsi="宋体" w:eastAsia="宋体" w:cs="宋体"/>
          <w:sz w:val="24"/>
          <w:szCs w:val="24"/>
        </w:rPr>
      </w:pPr>
      <w:bookmarkStart w:id="781" w:name="_Toc85792335"/>
      <w:bookmarkStart w:id="782" w:name="_Toc161933502"/>
      <w:bookmarkStart w:id="783" w:name="_Toc3318"/>
      <w:bookmarkStart w:id="784" w:name="_Toc84948827"/>
      <w:r>
        <w:rPr>
          <w:rFonts w:hint="eastAsia" w:ascii="宋体" w:hAnsi="宋体" w:eastAsia="宋体" w:cs="宋体"/>
          <w:sz w:val="24"/>
          <w:szCs w:val="24"/>
        </w:rPr>
        <w:t>10.进度计划</w:t>
      </w:r>
      <w:bookmarkEnd w:id="781"/>
      <w:bookmarkEnd w:id="782"/>
      <w:bookmarkEnd w:id="783"/>
      <w:bookmarkEnd w:id="784"/>
    </w:p>
    <w:p w14:paraId="652B3A3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10.1  合同进度计划</w:t>
      </w:r>
    </w:p>
    <w:p w14:paraId="5DF865D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10.1.1  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02B4FE3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10.1.2  承包人还应根据合同进度计划，按照第10.1.1项相关约定编制更为详细的分阶段或分项进度计划，报监理人审批。承包人编制分阶段或分项施工进度计划和施工方案说明的内容及时限要求见合同条款专用部分。</w:t>
      </w:r>
    </w:p>
    <w:p w14:paraId="14B854B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62DCFFB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10.2  合同进度计划的修订</w:t>
      </w:r>
    </w:p>
    <w:p w14:paraId="1DFD1F2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27512DB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7C2D284B">
      <w:pPr>
        <w:adjustRightInd w:val="0"/>
        <w:snapToGrid w:val="0"/>
        <w:spacing w:line="360" w:lineRule="auto"/>
        <w:outlineLvl w:val="2"/>
        <w:rPr>
          <w:rFonts w:hint="eastAsia" w:ascii="宋体" w:hAnsi="宋体" w:eastAsia="宋体" w:cs="宋体"/>
          <w:sz w:val="24"/>
          <w:szCs w:val="24"/>
        </w:rPr>
      </w:pPr>
      <w:bookmarkStart w:id="785" w:name="_Toc85792336"/>
      <w:bookmarkStart w:id="786" w:name="_Toc161933503"/>
      <w:bookmarkStart w:id="787" w:name="_Toc32600"/>
      <w:bookmarkStart w:id="788" w:name="_Toc84948828"/>
      <w:r>
        <w:rPr>
          <w:rFonts w:hint="eastAsia" w:ascii="宋体" w:hAnsi="宋体" w:eastAsia="宋体" w:cs="宋体"/>
          <w:sz w:val="24"/>
          <w:szCs w:val="24"/>
        </w:rPr>
        <w:t>11.开工和竣工</w:t>
      </w:r>
      <w:bookmarkEnd w:id="785"/>
      <w:bookmarkEnd w:id="786"/>
      <w:bookmarkEnd w:id="787"/>
      <w:bookmarkEnd w:id="788"/>
    </w:p>
    <w:p w14:paraId="3B15C37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11.1  开工</w:t>
      </w:r>
    </w:p>
    <w:p w14:paraId="5623740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11.1.1  监理人应在开工日期7天前向承包人发出开工通知。监理人在发出开工通知前应获得发包人同意。工期自监理人发出的开工通知中载明的开工日期起计算。承包人应在开工日期后尽快施工。</w:t>
      </w:r>
    </w:p>
    <w:p w14:paraId="6E1F5E8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4553D12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11.2  竣工</w:t>
      </w:r>
    </w:p>
    <w:p w14:paraId="07D83B3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承包人应在第1.1.4.3目约定的期限内完成合同工程。实际竣工日期在接收证书中写明。</w:t>
      </w:r>
    </w:p>
    <w:p w14:paraId="3166BE6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11.3  发包人的工期延误</w:t>
      </w:r>
    </w:p>
    <w:p w14:paraId="0C915C5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在履行合同过程中，由于发包人的下列原因造成承包人关键线路工期延误的，承包人有权要求发包人延长工期和（或）增加费用，并支付合理利润。需要修订合同进度计划的，按照第10.2款的约定办理。</w:t>
      </w:r>
    </w:p>
    <w:p w14:paraId="2ED804A6">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1</w:t>
      </w:r>
      <w:r>
        <w:rPr>
          <w:rFonts w:hint="eastAsia" w:ascii="宋体" w:hAnsi="宋体" w:eastAsia="宋体" w:cs="宋体"/>
          <w:sz w:val="24"/>
          <w:szCs w:val="24"/>
          <w:shd w:val="clear" w:color="auto" w:fill="FFFFFF"/>
        </w:rPr>
        <w:t>）</w:t>
      </w:r>
      <w:r>
        <w:rPr>
          <w:rFonts w:hint="eastAsia" w:ascii="宋体" w:hAnsi="宋体" w:eastAsia="宋体" w:cs="宋体"/>
          <w:sz w:val="24"/>
          <w:szCs w:val="24"/>
        </w:rPr>
        <w:t>增加合同工作内容；</w:t>
      </w:r>
    </w:p>
    <w:p w14:paraId="6BA46C78">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改变合同中任何一项工作的质量要求或其他特性；</w:t>
      </w:r>
    </w:p>
    <w:p w14:paraId="7288D6AA">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发包人迟延提供材料、工程设备或变更交货地点的；</w:t>
      </w:r>
    </w:p>
    <w:p w14:paraId="0BDD1678">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4</w:t>
      </w:r>
      <w:r>
        <w:rPr>
          <w:rFonts w:hint="eastAsia" w:ascii="宋体" w:hAnsi="宋体" w:eastAsia="宋体" w:cs="宋体"/>
          <w:sz w:val="24"/>
          <w:szCs w:val="24"/>
          <w:shd w:val="clear" w:color="auto" w:fill="FFFFFF"/>
        </w:rPr>
        <w:t>）</w:t>
      </w:r>
      <w:r>
        <w:rPr>
          <w:rFonts w:hint="eastAsia" w:ascii="宋体" w:hAnsi="宋体" w:eastAsia="宋体" w:cs="宋体"/>
          <w:sz w:val="24"/>
          <w:szCs w:val="24"/>
        </w:rPr>
        <w:t>因发包人原因导致的暂停施工；</w:t>
      </w:r>
    </w:p>
    <w:p w14:paraId="65BA2B2C">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5</w:t>
      </w:r>
      <w:r>
        <w:rPr>
          <w:rFonts w:hint="eastAsia" w:ascii="宋体" w:hAnsi="宋体" w:eastAsia="宋体" w:cs="宋体"/>
          <w:sz w:val="24"/>
          <w:szCs w:val="24"/>
          <w:shd w:val="clear" w:color="auto" w:fill="FFFFFF"/>
        </w:rPr>
        <w:t>）</w:t>
      </w:r>
      <w:r>
        <w:rPr>
          <w:rFonts w:hint="eastAsia" w:ascii="宋体" w:hAnsi="宋体" w:eastAsia="宋体" w:cs="宋体"/>
          <w:sz w:val="24"/>
          <w:szCs w:val="24"/>
        </w:rPr>
        <w:t>提供图纸延误；</w:t>
      </w:r>
    </w:p>
    <w:p w14:paraId="6FF01C2C">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6</w:t>
      </w:r>
      <w:r>
        <w:rPr>
          <w:rFonts w:hint="eastAsia" w:ascii="宋体" w:hAnsi="宋体" w:eastAsia="宋体" w:cs="宋体"/>
          <w:sz w:val="24"/>
          <w:szCs w:val="24"/>
          <w:shd w:val="clear" w:color="auto" w:fill="FFFFFF"/>
        </w:rPr>
        <w:t>）</w:t>
      </w:r>
      <w:r>
        <w:rPr>
          <w:rFonts w:hint="eastAsia" w:ascii="宋体" w:hAnsi="宋体" w:eastAsia="宋体" w:cs="宋体"/>
          <w:sz w:val="24"/>
          <w:szCs w:val="24"/>
        </w:rPr>
        <w:t>未按合同约定及时支付预付款、进度款；</w:t>
      </w:r>
    </w:p>
    <w:p w14:paraId="1F69B98A">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7</w:t>
      </w:r>
      <w:r>
        <w:rPr>
          <w:rFonts w:hint="eastAsia" w:ascii="宋体" w:hAnsi="宋体" w:eastAsia="宋体" w:cs="宋体"/>
          <w:sz w:val="24"/>
          <w:szCs w:val="24"/>
          <w:shd w:val="clear" w:color="auto" w:fill="FFFFFF"/>
        </w:rPr>
        <w:t>）</w:t>
      </w:r>
      <w:r>
        <w:rPr>
          <w:rFonts w:hint="eastAsia" w:ascii="宋体" w:hAnsi="宋体" w:eastAsia="宋体" w:cs="宋体"/>
          <w:sz w:val="24"/>
          <w:szCs w:val="24"/>
        </w:rPr>
        <w:t>因发包人原因不能按照监理人发出的开工通知中载明的开工日期开工；</w:t>
      </w:r>
    </w:p>
    <w:p w14:paraId="0EAEFE36">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8</w:t>
      </w:r>
      <w:r>
        <w:rPr>
          <w:rFonts w:hint="eastAsia" w:ascii="宋体" w:hAnsi="宋体" w:eastAsia="宋体" w:cs="宋体"/>
          <w:sz w:val="24"/>
          <w:szCs w:val="24"/>
          <w:shd w:val="clear" w:color="auto" w:fill="FFFFFF"/>
        </w:rPr>
        <w:t>）</w:t>
      </w:r>
      <w:r>
        <w:rPr>
          <w:rFonts w:hint="eastAsia" w:ascii="宋体" w:hAnsi="宋体" w:eastAsia="宋体" w:cs="宋体"/>
          <w:sz w:val="24"/>
          <w:szCs w:val="24"/>
        </w:rPr>
        <w:t>发包人造成工期延误的其他原因见合同条款专用部分。</w:t>
      </w:r>
    </w:p>
    <w:p w14:paraId="66E3E9F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11.4  异常恶劣的气候条件</w:t>
      </w:r>
    </w:p>
    <w:p w14:paraId="776DBCB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由于出现异常恶劣气候的条件导致工期延误的，承包人有权要求发包人延长工期。异常恶劣的气候条件的范围和标准见合同条款专用部分。</w:t>
      </w:r>
    </w:p>
    <w:p w14:paraId="78DA4FA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11.5  承包人的工期延误</w:t>
      </w:r>
    </w:p>
    <w:p w14:paraId="60748FE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11.5.1  由于承包人原因，未能按合同进度计划完成工作，或监理人认为承包人施工进度不能满足合同工期要求的，承包人应采取措施加快进度，并承担加快进度所增加的费用。</w:t>
      </w:r>
    </w:p>
    <w:p w14:paraId="707D239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44F0DEA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监理人未在规定的期限内发出本款约定的书面通知的，发包人仍可自行主张逾期竣工违约金。</w:t>
      </w:r>
    </w:p>
    <w:p w14:paraId="15BB632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11.5.3  承包人支付逾期竣工违约金，不免除承包人完成工程及修补缺陷的义务。</w:t>
      </w:r>
    </w:p>
    <w:p w14:paraId="4EAB59F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11.6  工期提前</w:t>
      </w:r>
    </w:p>
    <w:p w14:paraId="2DAE504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要求承包人提前竣工，或承包人提出提前竣工的建议能够给发包人带来效益的，应由监理人与承包人共同协商采取加快工程进度的措施和修订合同进度计划。发包人因自身原因要求承包人提前竣工的，应承担承包人由此增加的费用，并视协商情况向承包人支付相应的奖金。提前竣工的奖励办法见合同条款专用部分。</w:t>
      </w:r>
    </w:p>
    <w:p w14:paraId="35C5C8B8">
      <w:pPr>
        <w:adjustRightInd w:val="0"/>
        <w:snapToGrid w:val="0"/>
        <w:spacing w:line="360" w:lineRule="auto"/>
        <w:outlineLvl w:val="2"/>
        <w:rPr>
          <w:rFonts w:hint="eastAsia" w:ascii="宋体" w:hAnsi="宋体" w:eastAsia="宋体" w:cs="宋体"/>
          <w:sz w:val="24"/>
          <w:szCs w:val="24"/>
        </w:rPr>
      </w:pPr>
      <w:bookmarkStart w:id="789" w:name="_Toc84948829"/>
      <w:bookmarkStart w:id="790" w:name="_Toc85792337"/>
      <w:bookmarkStart w:id="791" w:name="_Toc161933504"/>
      <w:bookmarkStart w:id="792" w:name="_Toc3590"/>
      <w:r>
        <w:rPr>
          <w:rFonts w:hint="eastAsia" w:ascii="宋体" w:hAnsi="宋体" w:eastAsia="宋体" w:cs="宋体"/>
          <w:sz w:val="24"/>
          <w:szCs w:val="24"/>
        </w:rPr>
        <w:t>12.暂停施工</w:t>
      </w:r>
      <w:bookmarkEnd w:id="789"/>
      <w:bookmarkEnd w:id="790"/>
      <w:bookmarkEnd w:id="791"/>
      <w:bookmarkEnd w:id="792"/>
    </w:p>
    <w:p w14:paraId="378EC94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12.1  承包人暂停施工的责任</w:t>
      </w:r>
    </w:p>
    <w:p w14:paraId="2E8319A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因下列情形暂停施工增加的费用和（或）工期延误由承包人承担：</w:t>
      </w:r>
    </w:p>
    <w:p w14:paraId="3CA06432">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1</w:t>
      </w:r>
      <w:r>
        <w:rPr>
          <w:rFonts w:hint="eastAsia" w:ascii="宋体" w:hAnsi="宋体" w:eastAsia="宋体" w:cs="宋体"/>
          <w:sz w:val="24"/>
          <w:szCs w:val="24"/>
          <w:shd w:val="clear" w:color="auto" w:fill="FFFFFF"/>
        </w:rPr>
        <w:t>）</w:t>
      </w:r>
      <w:r>
        <w:rPr>
          <w:rFonts w:hint="eastAsia" w:ascii="宋体" w:hAnsi="宋体" w:eastAsia="宋体" w:cs="宋体"/>
          <w:sz w:val="24"/>
          <w:szCs w:val="24"/>
        </w:rPr>
        <w:t>承包人违约引起的暂停施工；</w:t>
      </w:r>
    </w:p>
    <w:p w14:paraId="6D5C98F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由于承包人原因为工程合理施工和安全保障所必需的暂停施工；</w:t>
      </w:r>
    </w:p>
    <w:p w14:paraId="15FF3552">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承包人擅自暂停施工；</w:t>
      </w:r>
    </w:p>
    <w:p w14:paraId="53057F6B">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4</w:t>
      </w:r>
      <w:r>
        <w:rPr>
          <w:rFonts w:hint="eastAsia" w:ascii="宋体" w:hAnsi="宋体" w:eastAsia="宋体" w:cs="宋体"/>
          <w:sz w:val="24"/>
          <w:szCs w:val="24"/>
          <w:shd w:val="clear" w:color="auto" w:fill="FFFFFF"/>
        </w:rPr>
        <w:t>）</w:t>
      </w:r>
      <w:r>
        <w:rPr>
          <w:rFonts w:hint="eastAsia" w:ascii="宋体" w:hAnsi="宋体" w:eastAsia="宋体" w:cs="宋体"/>
          <w:sz w:val="24"/>
          <w:szCs w:val="24"/>
        </w:rPr>
        <w:t>承包人承担暂停施工责任的其他情形见合同条款专用部分。</w:t>
      </w:r>
    </w:p>
    <w:p w14:paraId="71BD110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12.2  发包人暂停施工的责任</w:t>
      </w:r>
    </w:p>
    <w:p w14:paraId="5719A81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由于发包人原因引起的暂停施工造成工期延误的，承包人有权要求发包人延长工期和（或）增加费用，并支付合理利润。</w:t>
      </w:r>
    </w:p>
    <w:p w14:paraId="130BF5D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12.3  监理人暂停施工指示</w:t>
      </w:r>
    </w:p>
    <w:p w14:paraId="1291741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12.3.1  监理人认为有必要时，可向承包人作出暂停施工的指示，承包人应按监理人指示暂停施工。不论由于何种原因引起的暂停施工，暂停施工期间承包人应负责妥善保护工程并提供安全保障。</w:t>
      </w:r>
    </w:p>
    <w:p w14:paraId="3EB9400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79994CC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12.4  暂停施工后的复工</w:t>
      </w:r>
    </w:p>
    <w:p w14:paraId="7B44724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412A746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12.4.2  承包人无故拖延和拒绝复工的，由此增加的费用和工期延误由承包人承担；因发包人原因无法按时复工的，承包人有权要求发包人延长工期和（或）增加费用，并支付合理利润。</w:t>
      </w:r>
    </w:p>
    <w:p w14:paraId="2049439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12.4.3  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718C760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12.4.4  暂停施工持续56天以上，按合同约定由承包人提供的材料和工程设备，由于暂停施工原因导致承包人在暂停施工前已经订购但被暂停运至施工现场的，发包人应按照承包人订购合同的约定支付相应的订购款项，但因此产生的运费、仓储费等其他费用由承担暂停施工责任的责任人承担。</w:t>
      </w:r>
    </w:p>
    <w:p w14:paraId="11A4D64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12.5  暂停施工持续56天以上</w:t>
      </w:r>
    </w:p>
    <w:p w14:paraId="0A9AA167">
      <w:pPr>
        <w:adjustRightInd w:val="0"/>
        <w:snapToGrid w:val="0"/>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且持续84天以上，承包人有权提出价格调整要求，或者解除合同。</w:t>
      </w:r>
    </w:p>
    <w:p w14:paraId="48502E8F">
      <w:pPr>
        <w:tabs>
          <w:tab w:val="left" w:pos="1560"/>
        </w:tabs>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12.5.2  由于承包人责任引起的暂停施工，如承包人在收到监理人暂停施工指示后56天内不认真采取有效的复工措施，造成工期延误，可视为承包人违约，应按第22.1款的规定办理。</w:t>
      </w:r>
    </w:p>
    <w:p w14:paraId="7C41A35A">
      <w:pPr>
        <w:adjustRightInd w:val="0"/>
        <w:snapToGrid w:val="0"/>
        <w:spacing w:line="360" w:lineRule="auto"/>
        <w:outlineLvl w:val="2"/>
        <w:rPr>
          <w:rFonts w:hint="eastAsia" w:ascii="宋体" w:hAnsi="宋体" w:eastAsia="宋体" w:cs="宋体"/>
          <w:sz w:val="24"/>
          <w:szCs w:val="24"/>
        </w:rPr>
      </w:pPr>
      <w:bookmarkStart w:id="793" w:name="_Toc161933505"/>
      <w:bookmarkStart w:id="794" w:name="_Toc84948830"/>
      <w:bookmarkStart w:id="795" w:name="_Toc23534"/>
      <w:bookmarkStart w:id="796" w:name="_Toc85792338"/>
      <w:r>
        <w:rPr>
          <w:rFonts w:hint="eastAsia" w:ascii="宋体" w:hAnsi="宋体" w:eastAsia="宋体" w:cs="宋体"/>
          <w:sz w:val="24"/>
          <w:szCs w:val="24"/>
        </w:rPr>
        <w:t>13.工程质量</w:t>
      </w:r>
      <w:bookmarkEnd w:id="793"/>
      <w:bookmarkEnd w:id="794"/>
      <w:bookmarkEnd w:id="795"/>
      <w:bookmarkEnd w:id="796"/>
    </w:p>
    <w:p w14:paraId="5E866F0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13.1  工程质量要求</w:t>
      </w:r>
    </w:p>
    <w:p w14:paraId="429560D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13.1.1  工程质量验收按合同约定验收标准执行。</w:t>
      </w:r>
    </w:p>
    <w:p w14:paraId="3A4EC0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13.1.2  因承包人原因造成工程质量达不到合同约定验收标准的，监理人有权要求承包人返工直至符合合同要求为止，由此造成的费用增加和（或）工期延误由承包人承担。</w:t>
      </w:r>
    </w:p>
    <w:p w14:paraId="67E885E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13.1.3  因发包人原因造成工程质量达不到合同约定验收标准的，发包人应承担由于承包人返工造成的费用增加和（或）工期延误，并支付承包人合理利润。</w:t>
      </w:r>
    </w:p>
    <w:p w14:paraId="7293E59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13.2  承包人的质量管理</w:t>
      </w:r>
    </w:p>
    <w:p w14:paraId="30808EE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时限内完成审批。</w:t>
      </w:r>
    </w:p>
    <w:p w14:paraId="2FF1F61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13.2.2  承包人应加强对其施工人员的质量教育和技术培训，定期考核其施工人员的劳动技能，严格执行规范和操作规程。</w:t>
      </w:r>
    </w:p>
    <w:p w14:paraId="6700BEE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13.3  承包人的质量检查</w:t>
      </w:r>
    </w:p>
    <w:p w14:paraId="27AC82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按合同条款专用部分的约定对材料、工程设备以及工程的所有部位及其施工工艺进行全过程的质量检查和检验，并作详细记录，编制工程质量报表，报送监理人审查。监理人应在合同条款专用部分约定的时限内完成审查。</w:t>
      </w:r>
    </w:p>
    <w:p w14:paraId="76D64F0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13.4  监理人的质量检查</w:t>
      </w:r>
    </w:p>
    <w:p w14:paraId="72B2EF9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或减轻承包人按合同约定应负的责任。监理人可以进行察看和查阅施工原始记录的其他地方见合同条款专用部分。</w:t>
      </w:r>
    </w:p>
    <w:p w14:paraId="3BE8A10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13.5  工程隐蔽部位覆盖前的检查</w:t>
      </w:r>
    </w:p>
    <w:p w14:paraId="511B77D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13.5.1  通知监理人检查</w:t>
      </w:r>
    </w:p>
    <w:p w14:paraId="186E458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时限见合同条款专用部分。</w:t>
      </w:r>
    </w:p>
    <w:p w14:paraId="363A230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13.5.2  监理人未到场检查</w:t>
      </w:r>
    </w:p>
    <w:p w14:paraId="58CB336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4FF832A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13.5.3  监理人重新检查</w:t>
      </w:r>
    </w:p>
    <w:p w14:paraId="2BBABCB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4D26160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13.5.4  承包人私自覆盖</w:t>
      </w:r>
    </w:p>
    <w:p w14:paraId="763C8AE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承包人未通知监理人到场检查，私自将工程隐蔽部位覆盖的，监理人有权指示承包人钻孔探测或揭开检查，由此增加的费用和（或）工期延误由承包人承担。</w:t>
      </w:r>
    </w:p>
    <w:p w14:paraId="03A84FF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13.6  清除不合格工程</w:t>
      </w:r>
    </w:p>
    <w:p w14:paraId="73E5875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58BF57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13.6.2  由于发包人提供的材料或工程设备不合格造成的工程不合格，需要承包人采取措施补救的，发包人应承担由此增加的费用和（或）工期延误，并支付承包人合理利润。</w:t>
      </w:r>
    </w:p>
    <w:p w14:paraId="57679CF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13.7  质量争议</w:t>
      </w:r>
    </w:p>
    <w:p w14:paraId="43B07A5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02BB356C">
      <w:pPr>
        <w:adjustRightInd w:val="0"/>
        <w:snapToGrid w:val="0"/>
        <w:spacing w:line="360" w:lineRule="auto"/>
        <w:outlineLvl w:val="2"/>
        <w:rPr>
          <w:rFonts w:hint="eastAsia" w:ascii="宋体" w:hAnsi="宋体" w:eastAsia="宋体" w:cs="宋体"/>
          <w:sz w:val="24"/>
          <w:szCs w:val="24"/>
        </w:rPr>
      </w:pPr>
      <w:bookmarkStart w:id="797" w:name="_Toc161933506"/>
      <w:bookmarkStart w:id="798" w:name="_Toc85792339"/>
      <w:bookmarkStart w:id="799" w:name="_Toc84948831"/>
      <w:bookmarkStart w:id="800" w:name="_Toc16908"/>
      <w:r>
        <w:rPr>
          <w:rFonts w:hint="eastAsia" w:ascii="宋体" w:hAnsi="宋体" w:eastAsia="宋体" w:cs="宋体"/>
          <w:sz w:val="24"/>
          <w:szCs w:val="24"/>
        </w:rPr>
        <w:t>14.试验和检验</w:t>
      </w:r>
      <w:bookmarkEnd w:id="797"/>
      <w:bookmarkEnd w:id="798"/>
      <w:bookmarkEnd w:id="799"/>
      <w:bookmarkEnd w:id="800"/>
    </w:p>
    <w:p w14:paraId="25FB2CA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14.1  材料、工程设备和工程的试验和检验</w:t>
      </w:r>
    </w:p>
    <w:p w14:paraId="57B54D9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541F5D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14.1.2  监理人未按合同约定派员参加试验和检验的，除监理人另有指示外，承包人可自行试验和检验，并应立即将试验和检验结果报送监理人，监理人应签字确认。</w:t>
      </w:r>
    </w:p>
    <w:p w14:paraId="30BA5AB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BD3E7E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14.2  现场材料试验</w:t>
      </w:r>
    </w:p>
    <w:p w14:paraId="090366A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14.2.1  承包人根据合同约定或监理人指示进行的现场材料试验，应由承包人提供试验场所、试验人员、试验设备器材以及其他必要的试验条件。</w:t>
      </w:r>
    </w:p>
    <w:p w14:paraId="5E73703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14.2.2  监理人在必要时可以使用承包人的试验场所、试验设备器材以及其他试验条件，进行以工程质量检查为目的的复核性材料试验，承包人应予以协助。</w:t>
      </w:r>
    </w:p>
    <w:p w14:paraId="324BC9E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14.3  现场工艺试验</w:t>
      </w:r>
    </w:p>
    <w:p w14:paraId="7988623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承包人应按合同约定或监理人指示进行现场工艺试验。对大型的现场工艺试验，监理人认为必要时，应由承包人根据监理人提出的工艺试验要求，编制工艺试验措施计划，报送监理人审批。</w:t>
      </w:r>
    </w:p>
    <w:p w14:paraId="3EBA3D18">
      <w:pPr>
        <w:adjustRightInd w:val="0"/>
        <w:snapToGrid w:val="0"/>
        <w:spacing w:line="360" w:lineRule="auto"/>
        <w:outlineLvl w:val="2"/>
        <w:rPr>
          <w:rFonts w:hint="eastAsia" w:ascii="宋体" w:hAnsi="宋体" w:eastAsia="宋体" w:cs="宋体"/>
          <w:sz w:val="24"/>
          <w:szCs w:val="24"/>
        </w:rPr>
      </w:pPr>
      <w:bookmarkStart w:id="801" w:name="_Toc10019"/>
      <w:bookmarkStart w:id="802" w:name="_Toc161933507"/>
      <w:bookmarkStart w:id="803" w:name="_Toc85792340"/>
      <w:bookmarkStart w:id="804" w:name="_Toc84948832"/>
      <w:r>
        <w:rPr>
          <w:rFonts w:hint="eastAsia" w:ascii="宋体" w:hAnsi="宋体" w:eastAsia="宋体" w:cs="宋体"/>
          <w:sz w:val="24"/>
          <w:szCs w:val="24"/>
        </w:rPr>
        <w:t>15.变更</w:t>
      </w:r>
      <w:bookmarkEnd w:id="801"/>
      <w:bookmarkEnd w:id="802"/>
      <w:bookmarkEnd w:id="803"/>
      <w:bookmarkEnd w:id="804"/>
    </w:p>
    <w:p w14:paraId="798E5F6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15.1  变更的范围和内容</w:t>
      </w:r>
    </w:p>
    <w:p w14:paraId="1408646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15.1.1  在履行合同中发生以下情形之一，应按照本条规定进行变更。</w:t>
      </w:r>
    </w:p>
    <w:p w14:paraId="6961D590">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1</w:t>
      </w:r>
      <w:r>
        <w:rPr>
          <w:rFonts w:hint="eastAsia" w:ascii="宋体" w:hAnsi="宋体" w:eastAsia="宋体" w:cs="宋体"/>
          <w:sz w:val="24"/>
          <w:szCs w:val="24"/>
          <w:shd w:val="clear" w:color="auto" w:fill="FFFFFF"/>
        </w:rPr>
        <w:t>）</w:t>
      </w:r>
      <w:r>
        <w:rPr>
          <w:rFonts w:hint="eastAsia" w:ascii="宋体" w:hAnsi="宋体" w:eastAsia="宋体" w:cs="宋体"/>
          <w:sz w:val="24"/>
          <w:szCs w:val="24"/>
        </w:rPr>
        <w:t>取消合同中任何一项工作，但被取消的工作不能转由发包人或其他人实施；</w:t>
      </w:r>
    </w:p>
    <w:p w14:paraId="2550BE0B">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改变合同中任何一项工作的质量或其他特性；</w:t>
      </w:r>
    </w:p>
    <w:p w14:paraId="4D339B93">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改变合同工程的基线、标高、位置或尺寸；</w:t>
      </w:r>
    </w:p>
    <w:p w14:paraId="09705541">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4</w:t>
      </w:r>
      <w:r>
        <w:rPr>
          <w:rFonts w:hint="eastAsia" w:ascii="宋体" w:hAnsi="宋体" w:eastAsia="宋体" w:cs="宋体"/>
          <w:sz w:val="24"/>
          <w:szCs w:val="24"/>
          <w:shd w:val="clear" w:color="auto" w:fill="FFFFFF"/>
        </w:rPr>
        <w:t>）</w:t>
      </w:r>
      <w:r>
        <w:rPr>
          <w:rFonts w:hint="eastAsia" w:ascii="宋体" w:hAnsi="宋体" w:eastAsia="宋体" w:cs="宋体"/>
          <w:sz w:val="24"/>
          <w:szCs w:val="24"/>
        </w:rPr>
        <w:t>改变合同中任何一项工作的施工时间或改变已批准的施工工艺或顺序；</w:t>
      </w:r>
    </w:p>
    <w:p w14:paraId="0FED4C20">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5</w:t>
      </w:r>
      <w:r>
        <w:rPr>
          <w:rFonts w:hint="eastAsia" w:ascii="宋体" w:hAnsi="宋体" w:eastAsia="宋体" w:cs="宋体"/>
          <w:sz w:val="24"/>
          <w:szCs w:val="24"/>
          <w:shd w:val="clear" w:color="auto" w:fill="FFFFFF"/>
        </w:rPr>
        <w:t>）增加或减少合同中任何工作，或</w:t>
      </w:r>
      <w:r>
        <w:rPr>
          <w:rFonts w:hint="eastAsia" w:ascii="宋体" w:hAnsi="宋体" w:eastAsia="宋体" w:cs="宋体"/>
          <w:sz w:val="24"/>
          <w:szCs w:val="24"/>
        </w:rPr>
        <w:t>为完成工程需要追加的额外工作；</w:t>
      </w:r>
    </w:p>
    <w:p w14:paraId="2E27A8E3">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6)</w:t>
      </w:r>
      <w:r>
        <w:rPr>
          <w:rFonts w:hint="eastAsia" w:ascii="宋体" w:hAnsi="宋体" w:eastAsia="宋体" w:cs="宋体"/>
          <w:sz w:val="24"/>
          <w:szCs w:val="24"/>
          <w:shd w:val="clear" w:color="auto" w:fill="FFFFFF"/>
        </w:rPr>
        <w:t>）</w:t>
      </w:r>
      <w:r>
        <w:rPr>
          <w:rFonts w:hint="eastAsia" w:ascii="宋体" w:hAnsi="宋体" w:eastAsia="宋体" w:cs="宋体"/>
          <w:sz w:val="24"/>
          <w:szCs w:val="24"/>
        </w:rPr>
        <w:t>变更的其他情形见合同条款专用部分。</w:t>
      </w:r>
    </w:p>
    <w:p w14:paraId="0584254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15.1.2  发包人违背第15.1.1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目的约定，在上述28天期限到期后的28天内，向监理人递交索赔意向通知书,并按第23.1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5CB7DFB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15.2  变更权</w:t>
      </w:r>
    </w:p>
    <w:p w14:paraId="31099AE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在履行合同过程中，经发包人同意，监理人可按第15.3款约定的变更程序向承包人作出变更指示，承包人应遵照执行。没有监理人的变更指示，承包人不得擅自变更。</w:t>
      </w:r>
    </w:p>
    <w:p w14:paraId="24CCD4A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15.3  变更程序</w:t>
      </w:r>
    </w:p>
    <w:p w14:paraId="5DB41E9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15.3.1  变更的提出</w:t>
      </w:r>
    </w:p>
    <w:p w14:paraId="608953D5">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629FB619">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（2）在合同履行过程中，发生第15.1.1项约定情形的，监理人应按照第15.3.3项约定向承包人发出变更指示。</w:t>
      </w:r>
    </w:p>
    <w:p w14:paraId="218E938B">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304DBE24">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（4）若承包人收到监理人的变更意向书后认为难以实施此项变更，应立即通知监理人，说明原因并附详细依据。监理人与承包人和发包人协商后确定撤销、改变或不改变原变更意向书。</w:t>
      </w:r>
    </w:p>
    <w:p w14:paraId="4C9CA61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15.3.2  变更估价</w:t>
      </w:r>
    </w:p>
    <w:p w14:paraId="2646D8E7">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见合同条款专用部分。</w:t>
      </w:r>
    </w:p>
    <w:p w14:paraId="58ACFE4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（2）变更工作影响工期的，承包人应提出调整工期的具体细节。监理人认为有必要时，可要求承包人提交要求提前或延长工期的施工进度计划，及相应施工措施等详细资料。</w:t>
      </w:r>
    </w:p>
    <w:p w14:paraId="7CDBD028">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（3）除合同条款专用部分对期限另有约定外，监理人收到承包人变更报价书后的14天内，根据第15.4款约定的估价原则，按照第3.5款商定或确定变更价格。监理人商定或确定变更价格的期限见合同条款专用部分。</w:t>
      </w:r>
    </w:p>
    <w:p w14:paraId="1DD1631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（4）收到变更指示后，如承包人未在规定的期限内提交变更报价书的，监理人可自行决定是否调整合同价款以及如果监理人决定调整合同价款时，相应调整的具体金额。</w:t>
      </w:r>
    </w:p>
    <w:p w14:paraId="639C8D2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15.3.3  变更指示</w:t>
      </w:r>
    </w:p>
    <w:p w14:paraId="0D942AF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（1）变更指示只能由监理人发出。</w:t>
      </w:r>
    </w:p>
    <w:p w14:paraId="23C71AC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（2）变更指示应说明变更的目的、范围、变更内容以及变更的工程量及其进度和技术要求，并附有关图纸和文件。承包人收到变更指示后，应按变更指示进行变更工作。</w:t>
      </w:r>
    </w:p>
    <w:p w14:paraId="431B528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15.4  变更的估价原则</w:t>
      </w:r>
    </w:p>
    <w:p w14:paraId="295BFB6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因工程量清单漏项（仅适用于合同协议书约定采用单价合同形式时）或变更引起的价格调整按照本款约定处理。</w:t>
      </w:r>
    </w:p>
    <w:p w14:paraId="714B354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15.4.1  已标价工程量清单中有适用于变更工作的子目的，采用该子目的单价。</w:t>
      </w:r>
    </w:p>
    <w:p w14:paraId="1874F1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15.4.2  已标价工程量清单中无适用于变更工作的子目，但有类似子目的，可在合理范围内参照类似子目的单价，由监理人按第3.5款商定或确定变更工作的单价。</w:t>
      </w:r>
    </w:p>
    <w:p w14:paraId="37D7603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15.4.3  已标价工程量清单中无适用或类似子目的单价，可按照成本加利润的原则，由监理人按第3.5款商定或确定变更工作的单价。</w:t>
      </w:r>
    </w:p>
    <w:p w14:paraId="4A690EF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4E0F4C1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1C95AE1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15.4.6  因变更引起价格调整的其他处理方式见合同条款专用部分。</w:t>
      </w:r>
    </w:p>
    <w:p w14:paraId="5E0349C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15.5  承包人的合理化建议</w:t>
      </w:r>
    </w:p>
    <w:p w14:paraId="1939354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10D33AD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15.5.2  承包人提出的合理化建议降低了合同价格、缩短了工期或者提高了工程经济效益的，发包人可按国家有关规定给予奖励。对承包人提出合理化建议的奖励方法见合同条款专用部分。</w:t>
      </w:r>
    </w:p>
    <w:p w14:paraId="0022054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15.6  暂列金额</w:t>
      </w:r>
    </w:p>
    <w:p w14:paraId="0D66B17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暂列金额只能按照监理人的指示使用，并对合同价格进行相应调整。</w:t>
      </w:r>
    </w:p>
    <w:p w14:paraId="4364D87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15.7  计日工</w:t>
      </w:r>
    </w:p>
    <w:p w14:paraId="7B1F7B1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15.7.1  发包人认为有必要时，由监理人通知承包人以计日工方式实施变更的零星工作。其价款按列入已标价工程量清单中的计日工计价子目及其单价进行计算。</w:t>
      </w:r>
    </w:p>
    <w:p w14:paraId="00494CD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15.7.2  采用计日工计价的任何一项变更工作，应从暂列金额中支付，承包人应在该项变更的实施过程中，每天提交以下报表和有关凭证报送监理人审批：</w:t>
      </w:r>
    </w:p>
    <w:p w14:paraId="009D01BB">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1</w:t>
      </w:r>
      <w:r>
        <w:rPr>
          <w:rFonts w:hint="eastAsia" w:ascii="宋体" w:hAnsi="宋体" w:eastAsia="宋体" w:cs="宋体"/>
          <w:sz w:val="24"/>
          <w:szCs w:val="24"/>
          <w:shd w:val="clear" w:color="auto" w:fill="FFFFFF"/>
        </w:rPr>
        <w:t>）</w:t>
      </w:r>
      <w:r>
        <w:rPr>
          <w:rFonts w:hint="eastAsia" w:ascii="宋体" w:hAnsi="宋体" w:eastAsia="宋体" w:cs="宋体"/>
          <w:sz w:val="24"/>
          <w:szCs w:val="24"/>
        </w:rPr>
        <w:t>工作名称、内容和数量；</w:t>
      </w:r>
    </w:p>
    <w:p w14:paraId="0F7E6775">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投入该工作所有人员的姓名、工种、级别和耗用工时；</w:t>
      </w:r>
    </w:p>
    <w:p w14:paraId="7945D2EC">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投入该工作的材料类别和数量；</w:t>
      </w:r>
    </w:p>
    <w:p w14:paraId="6F8DB0CB">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4</w:t>
      </w:r>
      <w:r>
        <w:rPr>
          <w:rFonts w:hint="eastAsia" w:ascii="宋体" w:hAnsi="宋体" w:eastAsia="宋体" w:cs="宋体"/>
          <w:sz w:val="24"/>
          <w:szCs w:val="24"/>
          <w:shd w:val="clear" w:color="auto" w:fill="FFFFFF"/>
        </w:rPr>
        <w:t>）</w:t>
      </w:r>
      <w:r>
        <w:rPr>
          <w:rFonts w:hint="eastAsia" w:ascii="宋体" w:hAnsi="宋体" w:eastAsia="宋体" w:cs="宋体"/>
          <w:sz w:val="24"/>
          <w:szCs w:val="24"/>
        </w:rPr>
        <w:t>投入该工作的施工设备型号、台数和耗用台时；</w:t>
      </w:r>
    </w:p>
    <w:p w14:paraId="7B539641">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5</w:t>
      </w:r>
      <w:r>
        <w:rPr>
          <w:rFonts w:hint="eastAsia" w:ascii="宋体" w:hAnsi="宋体" w:eastAsia="宋体" w:cs="宋体"/>
          <w:sz w:val="24"/>
          <w:szCs w:val="24"/>
          <w:shd w:val="clear" w:color="auto" w:fill="FFFFFF"/>
        </w:rPr>
        <w:t>）</w:t>
      </w:r>
      <w:r>
        <w:rPr>
          <w:rFonts w:hint="eastAsia" w:ascii="宋体" w:hAnsi="宋体" w:eastAsia="宋体" w:cs="宋体"/>
          <w:sz w:val="24"/>
          <w:szCs w:val="24"/>
        </w:rPr>
        <w:t>监理人要求提交的其他资料和凭证。</w:t>
      </w:r>
    </w:p>
    <w:p w14:paraId="12B59D3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15.7.3  计日工由承包人汇总后，按第17.3.2项的约定列入进度付款申请单，由监理人复核并经发包人同意后列入进度付款。</w:t>
      </w:r>
    </w:p>
    <w:p w14:paraId="687EB2B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15.8  暂估价</w:t>
      </w:r>
    </w:p>
    <w:p w14:paraId="57551E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15.8.1  发包人在工程量清单中给定暂估价的材料、工程设备属于依法必须招标的范围并达到规定的规模标准的，由发包人和承包人采用招标方式选择专项供应商。中标金额与工程量清单中所列的暂估价的金额差以及相应的税金等其他费用列入合同价格。</w:t>
      </w:r>
    </w:p>
    <w:p w14:paraId="3635732D">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按合同约定应当由发包人和承包人采用招标方式选择专项供应商的，应当由承包人作为招标人，依法组织招标工作并接受有管辖权的建设工程招标投标行政监督部门的监督。与组织招标工作有关的费用应当被认为已经包括在承包人的签约合同价（投标总报价）中。</w:t>
      </w:r>
    </w:p>
    <w:p w14:paraId="7A11D3D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15.8.2  发包人在工程量清单中给定暂估价的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367C25A2">
      <w:pPr>
        <w:adjustRightInd w:val="0"/>
        <w:snapToGrid w:val="0"/>
        <w:spacing w:line="360" w:lineRule="auto"/>
        <w:outlineLvl w:val="2"/>
        <w:rPr>
          <w:rFonts w:hint="eastAsia" w:ascii="宋体" w:hAnsi="宋体" w:eastAsia="宋体" w:cs="宋体"/>
          <w:sz w:val="24"/>
          <w:szCs w:val="24"/>
        </w:rPr>
      </w:pPr>
      <w:bookmarkStart w:id="805" w:name="_Toc85792341"/>
      <w:bookmarkStart w:id="806" w:name="_Toc23740"/>
      <w:bookmarkStart w:id="807" w:name="_Toc84948833"/>
      <w:bookmarkStart w:id="808" w:name="_Toc161933508"/>
      <w:r>
        <w:rPr>
          <w:rFonts w:hint="eastAsia" w:ascii="宋体" w:hAnsi="宋体" w:eastAsia="宋体" w:cs="宋体"/>
          <w:sz w:val="24"/>
          <w:szCs w:val="24"/>
        </w:rPr>
        <w:t>16.价格调整</w:t>
      </w:r>
      <w:bookmarkEnd w:id="805"/>
      <w:bookmarkEnd w:id="806"/>
      <w:bookmarkEnd w:id="807"/>
      <w:bookmarkEnd w:id="808"/>
    </w:p>
    <w:p w14:paraId="28B8F3D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16.1  物价波动引起的价格调整</w:t>
      </w:r>
    </w:p>
    <w:p w14:paraId="10433BE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除合同条款专用部分另有约定外，因物价波动引起的价格调整按照本款约定处理。</w:t>
      </w:r>
    </w:p>
    <w:p w14:paraId="746FF0D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16.1.1 采用价格指数调整价格差额</w:t>
      </w:r>
    </w:p>
    <w:p w14:paraId="501460C1">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16.1.1.1 价格调整公式</w:t>
      </w:r>
    </w:p>
    <w:p w14:paraId="1C85F28B">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因人工、材料和设备等价格波动影响合同价格时，根据投标函附录中的价格指数和权重表约定的数据，按以下公式计算差额并调整合同价格。</w:t>
      </w:r>
    </w:p>
    <w:p w14:paraId="636E553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drawing>
          <wp:inline distT="0" distB="0" distL="0" distR="0">
            <wp:extent cx="4607560" cy="498475"/>
            <wp:effectExtent l="0" t="0" r="2540"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4607560" cy="498475"/>
                    </a:xfrm>
                    <a:prstGeom prst="rect">
                      <a:avLst/>
                    </a:prstGeom>
                    <a:noFill/>
                    <a:ln>
                      <a:noFill/>
                    </a:ln>
                  </pic:spPr>
                </pic:pic>
              </a:graphicData>
            </a:graphic>
          </wp:inline>
        </w:drawing>
      </w:r>
    </w:p>
    <w:p w14:paraId="0F42A745">
      <w:pPr>
        <w:tabs>
          <w:tab w:val="left" w:pos="1260"/>
        </w:tabs>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式中： △P -- 需调整的价格差额；</w:t>
      </w:r>
    </w:p>
    <w:p w14:paraId="74987473">
      <w:pPr>
        <w:tabs>
          <w:tab w:val="left" w:pos="126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P</w:t>
      </w:r>
      <w:r>
        <w:rPr>
          <w:rFonts w:hint="eastAsia" w:ascii="宋体" w:hAnsi="宋体" w:eastAsia="宋体" w:cs="宋体"/>
          <w:sz w:val="24"/>
          <w:szCs w:val="24"/>
          <w:vertAlign w:val="subscript"/>
        </w:rPr>
        <w:t>0</w:t>
      </w:r>
      <w:r>
        <w:rPr>
          <w:rFonts w:hint="eastAsia" w:ascii="宋体" w:hAnsi="宋体" w:eastAsia="宋体" w:cs="宋体"/>
          <w:sz w:val="24"/>
          <w:szCs w:val="24"/>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1D0ECEFA">
      <w:pPr>
        <w:tabs>
          <w:tab w:val="left" w:pos="126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A -- 定值权重(即不调部分的权重)；</w:t>
      </w:r>
    </w:p>
    <w:p w14:paraId="53357941">
      <w:pPr>
        <w:tabs>
          <w:tab w:val="left" w:pos="126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B</w:t>
      </w:r>
      <w:r>
        <w:rPr>
          <w:rFonts w:hint="eastAsia" w:ascii="宋体" w:hAnsi="宋体" w:eastAsia="宋体" w:cs="宋体"/>
          <w:sz w:val="24"/>
          <w:szCs w:val="24"/>
          <w:vertAlign w:val="subscript"/>
        </w:rPr>
        <w:t>1</w:t>
      </w:r>
      <w:r>
        <w:rPr>
          <w:rFonts w:hint="eastAsia" w:ascii="宋体" w:hAnsi="宋体" w:eastAsia="宋体" w:cs="宋体"/>
          <w:sz w:val="24"/>
          <w:szCs w:val="24"/>
        </w:rPr>
        <w:t>; B</w:t>
      </w:r>
      <w:r>
        <w:rPr>
          <w:rFonts w:hint="eastAsia" w:ascii="宋体" w:hAnsi="宋体" w:eastAsia="宋体" w:cs="宋体"/>
          <w:sz w:val="24"/>
          <w:szCs w:val="24"/>
          <w:vertAlign w:val="subscript"/>
        </w:rPr>
        <w:t>2</w:t>
      </w:r>
      <w:r>
        <w:rPr>
          <w:rFonts w:hint="eastAsia" w:ascii="宋体" w:hAnsi="宋体" w:eastAsia="宋体" w:cs="宋体"/>
          <w:sz w:val="24"/>
          <w:szCs w:val="24"/>
        </w:rPr>
        <w:t xml:space="preserve"> ;B</w:t>
      </w:r>
      <w:r>
        <w:rPr>
          <w:rFonts w:hint="eastAsia" w:ascii="宋体" w:hAnsi="宋体" w:eastAsia="宋体" w:cs="宋体"/>
          <w:sz w:val="24"/>
          <w:szCs w:val="24"/>
          <w:vertAlign w:val="subscript"/>
        </w:rPr>
        <w:t>3</w:t>
      </w:r>
      <w:r>
        <w:rPr>
          <w:rFonts w:hint="eastAsia" w:ascii="宋体" w:hAnsi="宋体" w:eastAsia="宋体" w:cs="宋体"/>
          <w:sz w:val="24"/>
          <w:szCs w:val="24"/>
        </w:rPr>
        <w:t>·····B</w:t>
      </w:r>
      <w:r>
        <w:rPr>
          <w:rFonts w:hint="eastAsia" w:ascii="宋体" w:hAnsi="宋体" w:eastAsia="宋体" w:cs="宋体"/>
          <w:sz w:val="24"/>
          <w:szCs w:val="24"/>
          <w:vertAlign w:val="subscript"/>
        </w:rPr>
        <w:t>n</w:t>
      </w:r>
      <w:r>
        <w:rPr>
          <w:rFonts w:hint="eastAsia" w:ascii="宋体" w:hAnsi="宋体" w:eastAsia="宋体" w:cs="宋体"/>
          <w:sz w:val="24"/>
          <w:szCs w:val="24"/>
        </w:rPr>
        <w:t xml:space="preserve"> -- 各可调因子的变值权重(即可调部分的权重)为各可调因子在投标函投标总报价中所占的比例；</w:t>
      </w:r>
    </w:p>
    <w:p w14:paraId="6BA50ACA">
      <w:pPr>
        <w:tabs>
          <w:tab w:val="left" w:pos="126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F</w:t>
      </w:r>
      <w:r>
        <w:rPr>
          <w:rFonts w:hint="eastAsia" w:ascii="宋体" w:hAnsi="宋体" w:eastAsia="宋体" w:cs="宋体"/>
          <w:sz w:val="24"/>
          <w:szCs w:val="24"/>
          <w:vertAlign w:val="subscript"/>
        </w:rPr>
        <w:t>t1</w:t>
      </w:r>
      <w:r>
        <w:rPr>
          <w:rFonts w:hint="eastAsia" w:ascii="宋体" w:hAnsi="宋体" w:eastAsia="宋体" w:cs="宋体"/>
          <w:sz w:val="24"/>
          <w:szCs w:val="24"/>
        </w:rPr>
        <w:t xml:space="preserve"> ;F</w:t>
      </w:r>
      <w:r>
        <w:rPr>
          <w:rFonts w:hint="eastAsia" w:ascii="宋体" w:hAnsi="宋体" w:eastAsia="宋体" w:cs="宋体"/>
          <w:sz w:val="24"/>
          <w:szCs w:val="24"/>
          <w:vertAlign w:val="subscript"/>
        </w:rPr>
        <w:t>t2</w:t>
      </w:r>
      <w:r>
        <w:rPr>
          <w:rFonts w:hint="eastAsia" w:ascii="宋体" w:hAnsi="宋体" w:eastAsia="宋体" w:cs="宋体"/>
          <w:sz w:val="24"/>
          <w:szCs w:val="24"/>
        </w:rPr>
        <w:t xml:space="preserve"> ;F</w:t>
      </w:r>
      <w:r>
        <w:rPr>
          <w:rFonts w:hint="eastAsia" w:ascii="宋体" w:hAnsi="宋体" w:eastAsia="宋体" w:cs="宋体"/>
          <w:sz w:val="24"/>
          <w:szCs w:val="24"/>
          <w:vertAlign w:val="subscript"/>
        </w:rPr>
        <w:t>t3</w:t>
      </w:r>
      <w:r>
        <w:rPr>
          <w:rFonts w:hint="eastAsia" w:ascii="宋体" w:hAnsi="宋体" w:eastAsia="宋体" w:cs="宋体"/>
          <w:sz w:val="24"/>
          <w:szCs w:val="24"/>
        </w:rPr>
        <w:t>·····F</w:t>
      </w:r>
      <w:r>
        <w:rPr>
          <w:rFonts w:hint="eastAsia" w:ascii="宋体" w:hAnsi="宋体" w:eastAsia="宋体" w:cs="宋体"/>
          <w:sz w:val="24"/>
          <w:szCs w:val="24"/>
          <w:vertAlign w:val="subscript"/>
        </w:rPr>
        <w:t>tn</w:t>
      </w:r>
      <w:r>
        <w:rPr>
          <w:rFonts w:hint="eastAsia" w:ascii="宋体" w:hAnsi="宋体" w:eastAsia="宋体" w:cs="宋体"/>
          <w:sz w:val="24"/>
          <w:szCs w:val="24"/>
        </w:rPr>
        <w:t xml:space="preserve"> -- 各可调因子的现行价格指数，指第17.3.3项、第17.5.2项和第17.6.2项约定的付款证书相关周期最后一天的前42天的各可调因子的价格指数；</w:t>
      </w:r>
    </w:p>
    <w:p w14:paraId="1203BE39">
      <w:pPr>
        <w:tabs>
          <w:tab w:val="left" w:pos="1260"/>
        </w:tabs>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F</w:t>
      </w:r>
      <w:r>
        <w:rPr>
          <w:rFonts w:hint="eastAsia" w:ascii="宋体" w:hAnsi="宋体" w:eastAsia="宋体" w:cs="宋体"/>
          <w:sz w:val="24"/>
          <w:szCs w:val="24"/>
          <w:vertAlign w:val="subscript"/>
        </w:rPr>
        <w:t>o1</w:t>
      </w:r>
      <w:r>
        <w:rPr>
          <w:rFonts w:hint="eastAsia" w:ascii="宋体" w:hAnsi="宋体" w:eastAsia="宋体" w:cs="宋体"/>
          <w:sz w:val="24"/>
          <w:szCs w:val="24"/>
        </w:rPr>
        <w:t>; F</w:t>
      </w:r>
      <w:r>
        <w:rPr>
          <w:rFonts w:hint="eastAsia" w:ascii="宋体" w:hAnsi="宋体" w:eastAsia="宋体" w:cs="宋体"/>
          <w:sz w:val="24"/>
          <w:szCs w:val="24"/>
          <w:vertAlign w:val="subscript"/>
        </w:rPr>
        <w:t>o2</w:t>
      </w:r>
      <w:r>
        <w:rPr>
          <w:rFonts w:hint="eastAsia" w:ascii="宋体" w:hAnsi="宋体" w:eastAsia="宋体" w:cs="宋体"/>
          <w:sz w:val="24"/>
          <w:szCs w:val="24"/>
        </w:rPr>
        <w:t>; F</w:t>
      </w:r>
      <w:r>
        <w:rPr>
          <w:rFonts w:hint="eastAsia" w:ascii="宋体" w:hAnsi="宋体" w:eastAsia="宋体" w:cs="宋体"/>
          <w:sz w:val="24"/>
          <w:szCs w:val="24"/>
          <w:vertAlign w:val="subscript"/>
        </w:rPr>
        <w:t>o3</w:t>
      </w:r>
      <w:r>
        <w:rPr>
          <w:rFonts w:hint="eastAsia" w:ascii="宋体" w:hAnsi="宋体" w:eastAsia="宋体" w:cs="宋体"/>
          <w:sz w:val="24"/>
          <w:szCs w:val="24"/>
        </w:rPr>
        <w:t>·····F</w:t>
      </w:r>
      <w:r>
        <w:rPr>
          <w:rFonts w:hint="eastAsia" w:ascii="宋体" w:hAnsi="宋体" w:eastAsia="宋体" w:cs="宋体"/>
          <w:sz w:val="24"/>
          <w:szCs w:val="24"/>
          <w:vertAlign w:val="subscript"/>
        </w:rPr>
        <w:t>on</w:t>
      </w:r>
      <w:r>
        <w:rPr>
          <w:rFonts w:hint="eastAsia" w:ascii="宋体" w:hAnsi="宋体" w:eastAsia="宋体" w:cs="宋体"/>
          <w:sz w:val="24"/>
          <w:szCs w:val="24"/>
        </w:rPr>
        <w:t xml:space="preserve"> -- 各可调因子的基本价格指数，指基准日期的各可调因子的价格指数。</w:t>
      </w:r>
    </w:p>
    <w:p w14:paraId="3249194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3EEC82B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16.1.1.2 暂时确定调整差额</w:t>
      </w:r>
    </w:p>
    <w:p w14:paraId="7309447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在计算调整差额时得不到现行价格指数的，可暂用上一次价格指数计算，并在以后的付款中再按实际价格指数进行调整。</w:t>
      </w:r>
    </w:p>
    <w:p w14:paraId="71E5EC6C">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16.1.1.3 权重的调整</w:t>
      </w:r>
    </w:p>
    <w:p w14:paraId="05E46561">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按第15.1款约定的变更导致原定合同中的权重不合理时，由监理人与承包人和发包人协商后进行调整。</w:t>
      </w:r>
    </w:p>
    <w:p w14:paraId="22CC7EDE">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16.1.1.4 承包人工期延误后的价格调整</w:t>
      </w:r>
    </w:p>
    <w:p w14:paraId="7BCE5ED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2AC1BEC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16.1.2  采用造价信息调整价格差额</w:t>
      </w:r>
    </w:p>
    <w:p w14:paraId="5427EC7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施工期内，因人工、材料、设备和机械台班价格波动影响合同价格时，需要进行价格调整的，其价格和数量应由监理人审核，监理人确认需调整的内容、范围、价格和数量作为调整工程合同价格差额的依据。</w:t>
      </w:r>
    </w:p>
    <w:p w14:paraId="1F204454">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16.1.2.1  引起价格调整的物价波动风险范围及幅度</w:t>
      </w:r>
    </w:p>
    <w:p w14:paraId="04803844">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0801D8BA">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16.1.2.2  物价波动变化幅度的计算方法</w:t>
      </w:r>
    </w:p>
    <w:p w14:paraId="68E0A7C0">
      <w:pPr>
        <w:adjustRightInd w:val="0"/>
        <w:snapToGrid w:val="0"/>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（1）投标报价基准期确定的人工、材料、设备和机械台班的市场价格即为基准价。投标报价基准期见合同条款专用部分。</w:t>
      </w:r>
    </w:p>
    <w:p w14:paraId="1C7166AB">
      <w:pPr>
        <w:adjustRightInd w:val="0"/>
        <w:snapToGrid w:val="0"/>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766D78F4">
      <w:pPr>
        <w:adjustRightInd w:val="0"/>
        <w:snapToGrid w:val="0"/>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（3）合同施工期市场价格的确定方法见合同条款专用部分。</w:t>
      </w:r>
    </w:p>
    <w:p w14:paraId="5B8773FE">
      <w:pPr>
        <w:adjustRightInd w:val="0"/>
        <w:snapToGrid w:val="0"/>
        <w:spacing w:line="360" w:lineRule="auto"/>
        <w:ind w:firstLine="600" w:firstLineChars="250"/>
        <w:rPr>
          <w:rFonts w:hint="eastAsia" w:ascii="宋体" w:hAnsi="宋体" w:eastAsia="宋体" w:cs="宋体"/>
          <w:sz w:val="24"/>
          <w:szCs w:val="24"/>
        </w:rPr>
      </w:pPr>
      <w:r>
        <w:rPr>
          <w:rFonts w:hint="eastAsia" w:ascii="宋体" w:hAnsi="宋体" w:eastAsia="宋体" w:cs="宋体"/>
          <w:sz w:val="24"/>
          <w:szCs w:val="24"/>
        </w:rPr>
        <w:t>（4）物价波动变化幅度的计算方法：</w:t>
      </w:r>
    </w:p>
    <w:p w14:paraId="74F674FD">
      <w:pPr>
        <w:adjustRightInd w:val="0"/>
        <w:snapToGrid w:val="0"/>
        <w:spacing w:line="360" w:lineRule="auto"/>
        <w:ind w:left="993"/>
        <w:rPr>
          <w:rFonts w:hint="eastAsia" w:ascii="宋体" w:hAnsi="宋体" w:eastAsia="宋体" w:cs="宋体"/>
          <w:sz w:val="24"/>
          <w:szCs w:val="24"/>
        </w:rPr>
      </w:pPr>
      <w:r>
        <w:rPr>
          <w:rFonts w:hint="eastAsia" w:ascii="宋体" w:hAnsi="宋体" w:eastAsia="宋体" w:cs="宋体"/>
          <w:sz w:val="24"/>
          <w:szCs w:val="24"/>
        </w:rPr>
        <w:t>1）当承包人投标报价中的单价低于基准价时：</w:t>
      </w:r>
    </w:p>
    <w:p w14:paraId="1A831D1C">
      <w:pPr>
        <w:adjustRightInd w:val="0"/>
        <w:snapToGrid w:val="0"/>
        <w:spacing w:line="360" w:lineRule="auto"/>
        <w:ind w:left="1418" w:leftChars="675"/>
        <w:rPr>
          <w:rFonts w:hint="eastAsia" w:ascii="宋体" w:hAnsi="宋体" w:eastAsia="宋体" w:cs="宋体"/>
          <w:sz w:val="24"/>
          <w:szCs w:val="24"/>
        </w:rPr>
      </w:pPr>
      <w:r>
        <w:rPr>
          <w:rFonts w:hint="eastAsia" w:ascii="宋体" w:hAnsi="宋体" w:eastAsia="宋体" w:cs="宋体"/>
          <w:sz w:val="24"/>
          <w:szCs w:val="24"/>
        </w:rPr>
        <w:t>物价波动变化幅度（涨幅）=（施工期市场价-基准价）/基准价×100%</w:t>
      </w:r>
    </w:p>
    <w:p w14:paraId="2F3E38C4">
      <w:pPr>
        <w:adjustRightInd w:val="0"/>
        <w:snapToGrid w:val="0"/>
        <w:spacing w:line="360" w:lineRule="auto"/>
        <w:ind w:left="1418" w:leftChars="675"/>
        <w:rPr>
          <w:rFonts w:hint="eastAsia" w:ascii="宋体" w:hAnsi="宋体" w:eastAsia="宋体" w:cs="宋体"/>
          <w:sz w:val="24"/>
          <w:szCs w:val="24"/>
        </w:rPr>
      </w:pPr>
      <w:r>
        <w:rPr>
          <w:rFonts w:hint="eastAsia" w:ascii="宋体" w:hAnsi="宋体" w:eastAsia="宋体" w:cs="宋体"/>
          <w:sz w:val="24"/>
          <w:szCs w:val="24"/>
        </w:rPr>
        <w:t>物价波动变化幅度（跌幅）=（施工期市场价-投标单价）/投标单价×100%</w:t>
      </w:r>
    </w:p>
    <w:p w14:paraId="257FDF0B">
      <w:pPr>
        <w:adjustRightInd w:val="0"/>
        <w:snapToGrid w:val="0"/>
        <w:spacing w:line="360" w:lineRule="auto"/>
        <w:ind w:left="993"/>
        <w:rPr>
          <w:rFonts w:hint="eastAsia" w:ascii="宋体" w:hAnsi="宋体" w:eastAsia="宋体" w:cs="宋体"/>
          <w:sz w:val="24"/>
          <w:szCs w:val="24"/>
        </w:rPr>
      </w:pPr>
      <w:r>
        <w:rPr>
          <w:rFonts w:hint="eastAsia" w:ascii="宋体" w:hAnsi="宋体" w:eastAsia="宋体" w:cs="宋体"/>
          <w:sz w:val="24"/>
          <w:szCs w:val="24"/>
        </w:rPr>
        <w:t>2）当承包人投标报价中的单价高于基准价时：</w:t>
      </w:r>
    </w:p>
    <w:p w14:paraId="0E86EF27">
      <w:pPr>
        <w:adjustRightInd w:val="0"/>
        <w:snapToGrid w:val="0"/>
        <w:spacing w:line="360" w:lineRule="auto"/>
        <w:ind w:left="1418" w:leftChars="675"/>
        <w:rPr>
          <w:rFonts w:hint="eastAsia" w:ascii="宋体" w:hAnsi="宋体" w:eastAsia="宋体" w:cs="宋体"/>
          <w:sz w:val="24"/>
          <w:szCs w:val="24"/>
        </w:rPr>
      </w:pPr>
      <w:r>
        <w:rPr>
          <w:rFonts w:hint="eastAsia" w:ascii="宋体" w:hAnsi="宋体" w:eastAsia="宋体" w:cs="宋体"/>
          <w:sz w:val="24"/>
          <w:szCs w:val="24"/>
        </w:rPr>
        <w:t>物价波动变化幅度（涨幅）=（施工期市场价-投标单价）/投标单价×100%</w:t>
      </w:r>
    </w:p>
    <w:p w14:paraId="1DA7AF2F">
      <w:pPr>
        <w:adjustRightInd w:val="0"/>
        <w:snapToGrid w:val="0"/>
        <w:spacing w:line="360" w:lineRule="auto"/>
        <w:ind w:left="1418" w:leftChars="675"/>
        <w:rPr>
          <w:rFonts w:hint="eastAsia" w:ascii="宋体" w:hAnsi="宋体" w:eastAsia="宋体" w:cs="宋体"/>
          <w:sz w:val="24"/>
          <w:szCs w:val="24"/>
        </w:rPr>
      </w:pPr>
      <w:r>
        <w:rPr>
          <w:rFonts w:hint="eastAsia" w:ascii="宋体" w:hAnsi="宋体" w:eastAsia="宋体" w:cs="宋体"/>
          <w:sz w:val="24"/>
          <w:szCs w:val="24"/>
        </w:rPr>
        <w:t>物价波动变化幅度（跌幅）=（施工期市场价-基准价）/基准价×100%</w:t>
      </w:r>
    </w:p>
    <w:p w14:paraId="7CC2EF5C">
      <w:pPr>
        <w:adjustRightInd w:val="0"/>
        <w:snapToGrid w:val="0"/>
        <w:spacing w:line="360" w:lineRule="auto"/>
        <w:ind w:left="993"/>
        <w:rPr>
          <w:rFonts w:hint="eastAsia" w:ascii="宋体" w:hAnsi="宋体" w:eastAsia="宋体" w:cs="宋体"/>
          <w:sz w:val="24"/>
          <w:szCs w:val="24"/>
        </w:rPr>
      </w:pPr>
      <w:r>
        <w:rPr>
          <w:rFonts w:hint="eastAsia" w:ascii="宋体" w:hAnsi="宋体" w:eastAsia="宋体" w:cs="宋体"/>
          <w:sz w:val="24"/>
          <w:szCs w:val="24"/>
        </w:rPr>
        <w:t>3）当承包人投标报价中的单价等于基准价时：</w:t>
      </w:r>
    </w:p>
    <w:p w14:paraId="1B9AF99A">
      <w:pPr>
        <w:adjustRightInd w:val="0"/>
        <w:snapToGrid w:val="0"/>
        <w:spacing w:line="360" w:lineRule="auto"/>
        <w:ind w:left="1418" w:leftChars="675"/>
        <w:rPr>
          <w:rFonts w:hint="eastAsia" w:ascii="宋体" w:hAnsi="宋体" w:eastAsia="宋体" w:cs="宋体"/>
          <w:sz w:val="24"/>
          <w:szCs w:val="24"/>
        </w:rPr>
      </w:pPr>
      <w:r>
        <w:rPr>
          <w:rFonts w:hint="eastAsia" w:ascii="宋体" w:hAnsi="宋体" w:eastAsia="宋体" w:cs="宋体"/>
          <w:sz w:val="24"/>
          <w:szCs w:val="24"/>
        </w:rPr>
        <w:t>物价波动变化幅度=（施工期市场价-基准价）/基准价×100%</w:t>
      </w:r>
    </w:p>
    <w:p w14:paraId="33080155">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16.1.2.3  物价波动引起价格调整的方法</w:t>
      </w:r>
    </w:p>
    <w:p w14:paraId="2E5CBBF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（1）第16.1.2.1目中约定的人工、材料、设备和机械台班的物价波动变化幅度超过风险幅度时，其计算价格调整差额的方法见合同条款专用部分。</w:t>
      </w:r>
    </w:p>
    <w:p w14:paraId="52AF4A6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（2）第16.1.2.1目中约定的人工的物价波动变化幅度超过风险幅度时，应当计算全部价格差额，其价格差额由发包人承担或受益，其价格差额不计取规费，只计取税金。</w:t>
      </w:r>
    </w:p>
    <w:p w14:paraId="5B72EB9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（3）第16.1.2.1目中约定的材料、设备和机械台班的物价波动变化幅度超过风险幅度时，应当计算超过部分的价格差额，其价格差额由发包人承担或受益，其价格差额不计取规费，只计取税金。</w:t>
      </w:r>
    </w:p>
    <w:p w14:paraId="40B0BD1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16.1.2.4  物价波动引起价格调整的其他约定见合同条款专用部分。</w:t>
      </w:r>
    </w:p>
    <w:p w14:paraId="71A5B51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16.1.3  物价波动引起价格调整的其他方法见合同条款专用部分。</w:t>
      </w:r>
    </w:p>
    <w:p w14:paraId="68933A3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16.2  法律变化引起的价格调整</w:t>
      </w:r>
    </w:p>
    <w:p w14:paraId="20912EB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01CF7FD5">
      <w:pPr>
        <w:adjustRightInd w:val="0"/>
        <w:snapToGrid w:val="0"/>
        <w:spacing w:line="360" w:lineRule="auto"/>
        <w:outlineLvl w:val="2"/>
        <w:rPr>
          <w:rFonts w:hint="eastAsia" w:ascii="宋体" w:hAnsi="宋体" w:eastAsia="宋体" w:cs="宋体"/>
          <w:sz w:val="24"/>
          <w:szCs w:val="24"/>
        </w:rPr>
      </w:pPr>
      <w:bookmarkStart w:id="809" w:name="_Toc84948834"/>
      <w:bookmarkStart w:id="810" w:name="_Toc19401"/>
      <w:bookmarkStart w:id="811" w:name="_Toc85792342"/>
      <w:bookmarkStart w:id="812" w:name="_Toc161933509"/>
      <w:r>
        <w:rPr>
          <w:rFonts w:hint="eastAsia" w:ascii="宋体" w:hAnsi="宋体" w:eastAsia="宋体" w:cs="宋体"/>
          <w:sz w:val="24"/>
          <w:szCs w:val="24"/>
        </w:rPr>
        <w:t>17.计量与支付</w:t>
      </w:r>
      <w:bookmarkEnd w:id="809"/>
      <w:bookmarkEnd w:id="810"/>
      <w:bookmarkEnd w:id="811"/>
      <w:bookmarkEnd w:id="812"/>
    </w:p>
    <w:p w14:paraId="64D859D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17.1  计量</w:t>
      </w:r>
    </w:p>
    <w:p w14:paraId="0E5E15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17.1.1  计量单位</w:t>
      </w:r>
    </w:p>
    <w:p w14:paraId="4EA4708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计量采用国家法定的计量单位。</w:t>
      </w:r>
    </w:p>
    <w:p w14:paraId="640F2E6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17.1.2  计量方法</w:t>
      </w:r>
    </w:p>
    <w:p w14:paraId="24E3C03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工程量计算规则执行工程量清单中约定的计量计价规范版本。除合同另有约定外，承包人实际完成的工程量按约定的工程量计算规则和有合同约束力的图纸进行计量。</w:t>
      </w:r>
    </w:p>
    <w:p w14:paraId="4FA86F2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17.1.3  计量周期</w:t>
      </w:r>
    </w:p>
    <w:p w14:paraId="20EA45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（1）本合同的计量周期为月，当月计量截止日期（不含当日）和下月计量起始日期（含当日）见合同条款专用部分。</w:t>
      </w:r>
    </w:p>
    <w:p w14:paraId="402B613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（2）单价子目已完成工程量是否按月计量见合同条款专用部分。</w:t>
      </w:r>
    </w:p>
    <w:p w14:paraId="7E89B7F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（3）总价子目计量方法见合同条款专用部分。</w:t>
      </w:r>
    </w:p>
    <w:p w14:paraId="59E33F0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17.1.4  单价子目的计量</w:t>
      </w:r>
    </w:p>
    <w:p w14:paraId="509AF81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（1）已标价工程量清单中的单价子目工程量为估算工程量。结算工程量是承包人实际完成的，并按合同约定的计量方法进行计量的工程量。</w:t>
      </w:r>
    </w:p>
    <w:p w14:paraId="1D77AC0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（2）承包人对已完成的工程进行计量，向监理人提交进度付款申请单、已完成工程量报表和有关计量资料。</w:t>
      </w:r>
    </w:p>
    <w:p w14:paraId="0B4DFFE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对承包人提交的工程量报表进行复核，以确定实际完成的工程量。对数量有异议的，可要求承包人按第8.1款约定进行共同复核和抽样复测。承包人应协助监理人进行复核并按监理人要求提供补充计量资料。承包人未按监理人要求参加复核，监理人复核或修正的工程量视为承包人实际完成的工程量。</w:t>
      </w:r>
    </w:p>
    <w:p w14:paraId="5581D7B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（4）监理人认为有必要时，可通知承包人共同进行联合测量、计量，承包人应遵照执行。</w:t>
      </w:r>
    </w:p>
    <w:p w14:paraId="2A1B1F6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23763B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（6）监理人应在收到承包人提交的工程量报表后的7天内进行复核，监理人未在约定时间内复核的，承包人提交的工程量报表中的工程量视为承包人实际完成的工程量，据此计算工程价款。</w:t>
      </w:r>
    </w:p>
    <w:p w14:paraId="76C9191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17.1.5  总价子目的计量（适用于采用支付分解报告）</w:t>
      </w:r>
    </w:p>
    <w:p w14:paraId="3A94F5B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266D138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（1）总价子目的价格调整方法见合同条款专用部分。</w:t>
      </w:r>
    </w:p>
    <w:p w14:paraId="24FCCF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（2）列入每月进度付款申请单中各总价子目的价值为有合同约束力的支付分解表中对应月份的总价子目总价值。</w:t>
      </w:r>
    </w:p>
    <w:p w14:paraId="2D518CD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（3）监理人根据有合同约束力的支付分解表复核列入每月进度付款申请单中的总价子目的总价值。</w:t>
      </w:r>
    </w:p>
    <w:p w14:paraId="73E8CB0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（4）除按照第15条约定的变更外，在竣工结算时总价子目的工程量不应当重新计量，签约合同价所基于的工程量即是用于竣工结算的最终工程量。</w:t>
      </w:r>
    </w:p>
    <w:p w14:paraId="5030D49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17.1.5  总价子目的计量（适用于采用按实际完成工程量计量）</w:t>
      </w:r>
    </w:p>
    <w:p w14:paraId="74EFEF2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（1）总价子目的计量和支付应以总价为基础，对承包人实际完成的工程量进行计量，是进行工程目标管理和控制进度款支付的依据。总价子目的价格调整方法见合同条款专用部分。</w:t>
      </w:r>
    </w:p>
    <w:p w14:paraId="2D212EE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在合同条款第17.1.3(1)目约定的每月计量截止日期后，对已完成的分部分项工程和单价措施项目的子目，按照合同条款第17.1.2项约定的计量方法进行计量，对已完成的总价措施项目的相关子目，按其总价构成、费用性质和实际发生比例进行计量，向监理人提交进度付款申请单、已完成工程量报表和有关计量资料。</w:t>
      </w:r>
    </w:p>
    <w:p w14:paraId="738C310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5ED70BC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（4）监理人应在收到承包人提交的工程量报表后的7天内进行复核，监理人未在约定时间内复核的，承包人提交的工程量报表中的工程量视为承包人实际完成的工程量，据此计算工程价款。</w:t>
      </w:r>
    </w:p>
    <w:p w14:paraId="7C6E1DC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（5）除按照第15条约定的变更外，在竣工结算时总价子目的工程量不应当重新计量，签约合同价所基于的工程量即是用于竣工结算的最终工程量。</w:t>
      </w:r>
    </w:p>
    <w:p w14:paraId="1332571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17.2  预付款</w:t>
      </w:r>
    </w:p>
    <w:p w14:paraId="562B99E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17.2.1  预付款</w:t>
      </w:r>
    </w:p>
    <w:p w14:paraId="479352E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预付款用于承包人为合同工程施工购置材料、工程设备、施工设备、修建临时设施以及组织施工队伍进场等。预付款必须专用于合同工程。预付款的额度和预付办法以及支付时间见合同条款专用部分。</w:t>
      </w:r>
    </w:p>
    <w:p w14:paraId="1FFB0B3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安全文明施工费用预付款额度及方式见合同条款专用部分。</w:t>
      </w:r>
    </w:p>
    <w:p w14:paraId="5DA8816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发包人逾期支付合同约定的预付款，除承担第22.2款约定的违约责任外，还应向承包人支付按合同条款第17.3.3(2)目约定的标准和方法计算的逾期付款违约金。</w:t>
      </w:r>
    </w:p>
    <w:p w14:paraId="68C9909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17.2.2  预付款的扣回与还清</w:t>
      </w:r>
    </w:p>
    <w:p w14:paraId="637084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6D8C377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17.3  工程进度付款</w:t>
      </w:r>
    </w:p>
    <w:p w14:paraId="1C92F5C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17.3.1  付款周期</w:t>
      </w:r>
    </w:p>
    <w:p w14:paraId="3D58174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付款周期同计量周期。</w:t>
      </w:r>
    </w:p>
    <w:p w14:paraId="57B6E97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17.3.2  进度付款申请单</w:t>
      </w:r>
    </w:p>
    <w:p w14:paraId="6233C01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承包人应在每个付款周期末，按监理人批准的格式和合同约定的份数，向监理人提交进度付款申请单，并附相应的支持性证明文件。承包人提交进度付款申请单份数见合同条款专用部分。</w:t>
      </w:r>
    </w:p>
    <w:p w14:paraId="332920CE">
      <w:pPr>
        <w:adjustRightInd w:val="0"/>
        <w:snapToGrid w:val="0"/>
        <w:spacing w:line="360" w:lineRule="auto"/>
        <w:ind w:firstLine="480" w:firstLineChars="200"/>
        <w:rPr>
          <w:rFonts w:hint="eastAsia" w:ascii="宋体" w:hAnsi="宋体" w:eastAsia="宋体" w:cs="宋体"/>
          <w:dstrike/>
          <w:sz w:val="24"/>
          <w:szCs w:val="24"/>
        </w:rPr>
      </w:pPr>
      <w:r>
        <w:rPr>
          <w:rFonts w:hint="eastAsia" w:ascii="宋体" w:hAnsi="宋体" w:eastAsia="宋体" w:cs="宋体"/>
          <w:sz w:val="24"/>
          <w:szCs w:val="24"/>
        </w:rPr>
        <w:t>承包人报送监理人的进度付款申请单应包括下列内容：</w:t>
      </w:r>
    </w:p>
    <w:p w14:paraId="454AE28A">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1</w:t>
      </w:r>
      <w:r>
        <w:rPr>
          <w:rFonts w:hint="eastAsia" w:ascii="宋体" w:hAnsi="宋体" w:eastAsia="宋体" w:cs="宋体"/>
          <w:sz w:val="24"/>
          <w:szCs w:val="24"/>
          <w:shd w:val="clear" w:color="auto" w:fill="FFFFFF"/>
        </w:rPr>
        <w:t>）</w:t>
      </w:r>
      <w:r>
        <w:rPr>
          <w:rFonts w:hint="eastAsia" w:ascii="宋体" w:hAnsi="宋体" w:eastAsia="宋体" w:cs="宋体"/>
          <w:sz w:val="24"/>
          <w:szCs w:val="24"/>
        </w:rPr>
        <w:t>截至本次付款周期末已实施工程的价款；</w:t>
      </w:r>
    </w:p>
    <w:p w14:paraId="127D730D">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2</w:t>
      </w:r>
      <w:r>
        <w:rPr>
          <w:rFonts w:hint="eastAsia" w:ascii="宋体" w:hAnsi="宋体" w:eastAsia="宋体" w:cs="宋体"/>
          <w:sz w:val="24"/>
          <w:szCs w:val="24"/>
          <w:shd w:val="clear" w:color="auto" w:fill="FFFFFF"/>
        </w:rPr>
        <w:t>）</w:t>
      </w:r>
      <w:r>
        <w:rPr>
          <w:rFonts w:hint="eastAsia" w:ascii="宋体" w:hAnsi="宋体" w:eastAsia="宋体" w:cs="宋体"/>
          <w:sz w:val="24"/>
          <w:szCs w:val="24"/>
        </w:rPr>
        <w:t>根据第15条应增加和扣减的变更金额；</w:t>
      </w:r>
    </w:p>
    <w:p w14:paraId="3F006AD5">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3</w:t>
      </w:r>
      <w:r>
        <w:rPr>
          <w:rFonts w:hint="eastAsia" w:ascii="宋体" w:hAnsi="宋体" w:eastAsia="宋体" w:cs="宋体"/>
          <w:sz w:val="24"/>
          <w:szCs w:val="24"/>
          <w:shd w:val="clear" w:color="auto" w:fill="FFFFFF"/>
        </w:rPr>
        <w:t>）</w:t>
      </w:r>
      <w:r>
        <w:rPr>
          <w:rFonts w:hint="eastAsia" w:ascii="宋体" w:hAnsi="宋体" w:eastAsia="宋体" w:cs="宋体"/>
          <w:sz w:val="24"/>
          <w:szCs w:val="24"/>
        </w:rPr>
        <w:t>根据第23条应增加和扣减的索赔金额；</w:t>
      </w:r>
    </w:p>
    <w:p w14:paraId="10E512DE">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4</w:t>
      </w:r>
      <w:r>
        <w:rPr>
          <w:rFonts w:hint="eastAsia" w:ascii="宋体" w:hAnsi="宋体" w:eastAsia="宋体" w:cs="宋体"/>
          <w:sz w:val="24"/>
          <w:szCs w:val="24"/>
          <w:shd w:val="clear" w:color="auto" w:fill="FFFFFF"/>
        </w:rPr>
        <w:t>）</w:t>
      </w:r>
      <w:r>
        <w:rPr>
          <w:rFonts w:hint="eastAsia" w:ascii="宋体" w:hAnsi="宋体" w:eastAsia="宋体" w:cs="宋体"/>
          <w:sz w:val="24"/>
          <w:szCs w:val="24"/>
        </w:rPr>
        <w:t>根据第17.2款约定应支付的预付款和扣减的返还预付款；</w:t>
      </w:r>
    </w:p>
    <w:p w14:paraId="01A2BD3B">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5</w:t>
      </w:r>
      <w:r>
        <w:rPr>
          <w:rFonts w:hint="eastAsia" w:ascii="宋体" w:hAnsi="宋体" w:eastAsia="宋体" w:cs="宋体"/>
          <w:sz w:val="24"/>
          <w:szCs w:val="24"/>
          <w:shd w:val="clear" w:color="auto" w:fill="FFFFFF"/>
        </w:rPr>
        <w:t>）</w:t>
      </w:r>
      <w:r>
        <w:rPr>
          <w:rFonts w:hint="eastAsia" w:ascii="宋体" w:hAnsi="宋体" w:eastAsia="宋体" w:cs="宋体"/>
          <w:sz w:val="24"/>
          <w:szCs w:val="24"/>
        </w:rPr>
        <w:t>根据第17.4.1项约定应扣减的质量保证金；</w:t>
      </w:r>
    </w:p>
    <w:p w14:paraId="007F5266">
      <w:pPr>
        <w:adjustRightInd w:val="0"/>
        <w:snapToGrid w:val="0"/>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shd w:val="clear" w:color="auto" w:fill="FFFFFF"/>
        </w:rPr>
        <w:t>（</w:t>
      </w:r>
      <w:r>
        <w:rPr>
          <w:rFonts w:hint="eastAsia" w:ascii="宋体" w:hAnsi="宋体" w:eastAsia="宋体" w:cs="宋体"/>
          <w:sz w:val="24"/>
          <w:szCs w:val="24"/>
        </w:rPr>
        <w:t>6</w:t>
      </w:r>
      <w:r>
        <w:rPr>
          <w:rFonts w:hint="eastAsia" w:ascii="宋体" w:hAnsi="宋体" w:eastAsia="宋体" w:cs="宋体"/>
          <w:sz w:val="24"/>
          <w:szCs w:val="24"/>
          <w:shd w:val="clear" w:color="auto" w:fill="FFFFFF"/>
        </w:rPr>
        <w:t>）</w:t>
      </w:r>
      <w:r>
        <w:rPr>
          <w:rFonts w:hint="eastAsia" w:ascii="宋体" w:hAnsi="宋体" w:eastAsia="宋体" w:cs="宋体"/>
          <w:sz w:val="24"/>
          <w:szCs w:val="24"/>
        </w:rPr>
        <w:t>根据合同应增加和（或）扣减的其他内容金额见合同条款专用部分。</w:t>
      </w:r>
    </w:p>
    <w:p w14:paraId="7646C43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17.3.3  进度付款证书和支付时间</w:t>
      </w:r>
    </w:p>
    <w:p w14:paraId="33AA802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DED7F9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33EB301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（3）监理人出具进度付款证书，不应视为监理人已同意、批准或接受了承包人完成的该部分工作。</w:t>
      </w:r>
    </w:p>
    <w:p w14:paraId="351D913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（4）进度付款涉及政府投资资金的，按照国库集中支付等国家相关规定和合同约定办理。进度付款涉及政府性资金的支付方法见合同条款专用部分。</w:t>
      </w:r>
    </w:p>
    <w:p w14:paraId="1C52C82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17.3.4  工程进度付款的修正</w:t>
      </w:r>
    </w:p>
    <w:p w14:paraId="6B9215C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在对以往历次已签发的进度付款证书进行汇总和复核中发现错、漏或重复的，监理人有权予以修正，承包人也有权提出修正申请。经双方复核同意的修正，应在本次进度付款中支付或扣除。</w:t>
      </w:r>
    </w:p>
    <w:p w14:paraId="7C4F67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17.3.5  临时付款证书</w:t>
      </w:r>
    </w:p>
    <w:p w14:paraId="326B225E">
      <w:pPr>
        <w:adjustRightInd w:val="0"/>
        <w:snapToGrid w:val="0"/>
        <w:spacing w:line="360" w:lineRule="auto"/>
        <w:ind w:left="420" w:leftChars="200" w:firstLine="480" w:firstLineChars="200"/>
        <w:rPr>
          <w:rFonts w:hint="eastAsia" w:ascii="宋体" w:hAnsi="宋体" w:eastAsia="宋体" w:cs="宋体"/>
          <w:sz w:val="24"/>
          <w:szCs w:val="24"/>
        </w:rPr>
      </w:pPr>
      <w:r>
        <w:rPr>
          <w:rFonts w:hint="eastAsia" w:ascii="宋体" w:hAnsi="宋体" w:eastAsia="宋体" w:cs="宋体"/>
          <w:sz w:val="24"/>
          <w:szCs w:val="24"/>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6CA796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26A123C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5FE2598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17.4  质量保证金</w:t>
      </w:r>
    </w:p>
    <w:p w14:paraId="3FBAA9B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17.4.1  质量保证金处理</w:t>
      </w:r>
    </w:p>
    <w:p w14:paraId="1D55BC2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75CC4FD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合同条款专用部分第4.2.1项约定提交履约担保，采用扣留质量保证金的，在第17.5款竣工结算中，应当按照竣工结算合同总价约定的比例扣留质量保证金，当应支付的竣工付款金额不足应扣留的质量保证金金额时，承包人应返款差额部分；采用质量保证金保函担保形式的，工程竣工前，不得扣留质量保证金。</w:t>
      </w:r>
    </w:p>
    <w:p w14:paraId="558C0ED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（3)）质量保证金的形式与约定比例见合同条款专用部分。</w:t>
      </w:r>
    </w:p>
    <w:p w14:paraId="5F688D2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1DB580E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1548749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17.5  竣工结算</w:t>
      </w:r>
    </w:p>
    <w:p w14:paraId="14C8D83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17.5.1  竣工付款申请单</w:t>
      </w:r>
    </w:p>
    <w:p w14:paraId="69905CA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(1)工程接收证书颁发后，承包人应按合同约定的份数和期限向监理人提交竣工付款申请单，并提供相关证明材料。承包人提交竣工付款申请单份数和期限见合同条款专用部分。</w:t>
      </w:r>
    </w:p>
    <w:p w14:paraId="0E858A0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556A19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(3)监理人对竣工付款申请单有异议的，有权要求承包人进行修正和提供补充资料。经监理人和承包人协商后，由承包人向监理人提交修正后的竣工付款申请单。</w:t>
      </w:r>
    </w:p>
    <w:p w14:paraId="71DA64B8">
      <w:pPr>
        <w:adjustRightInd w:val="0"/>
        <w:snapToGrid w:val="0"/>
        <w:spacing w:line="360" w:lineRule="auto"/>
        <w:ind w:left="210" w:leftChars="100" w:firstLine="240" w:firstLineChars="100"/>
        <w:rPr>
          <w:rFonts w:hint="eastAsia" w:ascii="宋体" w:hAnsi="宋体" w:eastAsia="宋体" w:cs="宋体"/>
          <w:sz w:val="24"/>
          <w:szCs w:val="24"/>
        </w:rPr>
      </w:pPr>
      <w:r>
        <w:rPr>
          <w:rFonts w:hint="eastAsia" w:ascii="宋体" w:hAnsi="宋体" w:eastAsia="宋体" w:cs="宋体"/>
          <w:sz w:val="24"/>
          <w:szCs w:val="24"/>
        </w:rPr>
        <w:t>(4)承包人未按本项约定的期限和内容提交竣工付款申请单或者未按第17.5.1（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6F476267">
      <w:pPr>
        <w:adjustRightInd w:val="0"/>
        <w:snapToGrid w:val="0"/>
        <w:spacing w:line="360" w:lineRule="auto"/>
        <w:ind w:left="210" w:leftChars="100" w:firstLine="240" w:firstLineChars="100"/>
        <w:rPr>
          <w:rFonts w:hint="eastAsia" w:ascii="宋体" w:hAnsi="宋体" w:eastAsia="宋体" w:cs="宋体"/>
          <w:sz w:val="24"/>
          <w:szCs w:val="24"/>
        </w:rPr>
      </w:pPr>
      <w:r>
        <w:rPr>
          <w:rFonts w:hint="eastAsia" w:ascii="宋体" w:hAnsi="宋体" w:eastAsia="宋体" w:cs="宋体"/>
          <w:sz w:val="24"/>
          <w:szCs w:val="24"/>
        </w:rPr>
        <w:t>(5)不管第17.5.2项如何约定，发包人和承包人应当在承包人颁发（出具）工程接收证书后56天内办清竣工结算和竣工付款。但是，政府投资或者以政府投资为主的建设项目纳入审计项目计划的，发包人和承包人均负有配合、接受审计机关审计的义务，办清竣工结算和竣工付款的时间按照相关规定执行。</w:t>
      </w:r>
    </w:p>
    <w:p w14:paraId="3C1143D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17.5.2  竣工付款证书及支付时间</w:t>
      </w:r>
    </w:p>
    <w:p w14:paraId="408AAF5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监理人在收到承包人提交的竣工付款申请单后的14天内完成审核，并根据合同约定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55A9BF7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(2)发包人应在监理人出具竣工付款证书后的14天内，将应支付款支付给承包人。发包人不按期支付的，按第17.3.3(2)目的约定，将逾期付款违约金支付给承包人。</w:t>
      </w:r>
    </w:p>
    <w:p w14:paraId="526FC8D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(3)承包人对发包人签认的竣工付款证书有异议的，发包人可出具竣工付款申请单中与承包人达成一致意见部分的临时付款证书。存在争议的部分，按第24条“争议的解决”的约定办理。</w:t>
      </w:r>
    </w:p>
    <w:p w14:paraId="40DC8FE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(4)竣工付款涉及政府投资资金的，按第17.3.3(4)目的约定办理。</w:t>
      </w:r>
    </w:p>
    <w:p w14:paraId="25DC82A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17.5.3  除第17.5.1(5)目约定的情况外，发包人和承包人应当在监理人颁发（出具）工程接收证书后56天内办清竣工结算和竣工付款。</w:t>
      </w:r>
    </w:p>
    <w:p w14:paraId="67A7221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17.6  最终结清</w:t>
      </w:r>
    </w:p>
    <w:p w14:paraId="03D45BD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17.6.1  最终结清申请单</w:t>
      </w:r>
    </w:p>
    <w:p w14:paraId="6EF2155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(1)缺陷责任期终止证书签发后，承包人可按合同约定的份数和期限向监理人提交最终结清申请单，并提供相关证明材料。承包人提交最终结清申请单的份数和期限见合同条款专用部分。</w:t>
      </w:r>
    </w:p>
    <w:p w14:paraId="429EFCB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发包人向承包人支付质量保证金利息的，承包人应按照约定的利息计算方法计算利息，并列入最终结清申请单中。是否支付质量保证金利息及利息计算方法见合同条款专用部分。</w:t>
      </w:r>
    </w:p>
    <w:p w14:paraId="03DF1C7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(2)发包人对最终结清申请单内容有异议的，有权要求承包人进行修正和提供补充资料，由承包人向监理人提交修正后的最终结清申请单。</w:t>
      </w:r>
    </w:p>
    <w:p w14:paraId="716A3B2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17.6.2  最终结清证书和支付时间</w:t>
      </w:r>
    </w:p>
    <w:p w14:paraId="1B4563D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2ACD12D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(2)发包人应在监理人出具最终结清证书后的14天内，将应支付款支付给承包人。发包人不按期支付的，按第17.3.3(2)目的约定，将逾期付款违约金支付给承包人。</w:t>
      </w:r>
    </w:p>
    <w:p w14:paraId="39C1E57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(3)承包人对发包人签认的最终结清证书有异议的，按第24条“争议的解决”的约定办理。</w:t>
      </w:r>
    </w:p>
    <w:p w14:paraId="1B06544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(4)最终结清付款涉及政府投资资金的，按第17.3.3(4)目的约定办理。</w:t>
      </w:r>
    </w:p>
    <w:p w14:paraId="0D797088">
      <w:pPr>
        <w:adjustRightInd w:val="0"/>
        <w:snapToGrid w:val="0"/>
        <w:spacing w:line="360" w:lineRule="auto"/>
        <w:outlineLvl w:val="2"/>
        <w:rPr>
          <w:rFonts w:hint="eastAsia" w:ascii="宋体" w:hAnsi="宋体" w:eastAsia="宋体" w:cs="宋体"/>
          <w:sz w:val="24"/>
          <w:szCs w:val="24"/>
        </w:rPr>
      </w:pPr>
      <w:bookmarkStart w:id="813" w:name="_Toc85792343"/>
      <w:bookmarkStart w:id="814" w:name="_Toc161933510"/>
      <w:bookmarkStart w:id="815" w:name="_Toc84948835"/>
      <w:bookmarkStart w:id="816" w:name="_Toc21445"/>
      <w:r>
        <w:rPr>
          <w:rFonts w:hint="eastAsia" w:ascii="宋体" w:hAnsi="宋体" w:eastAsia="宋体" w:cs="宋体"/>
          <w:sz w:val="24"/>
          <w:szCs w:val="24"/>
        </w:rPr>
        <w:t>18.竣工验收</w:t>
      </w:r>
      <w:bookmarkEnd w:id="813"/>
      <w:bookmarkEnd w:id="814"/>
      <w:bookmarkEnd w:id="815"/>
      <w:bookmarkEnd w:id="816"/>
    </w:p>
    <w:p w14:paraId="56582E5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18.1  竣工验收的含义</w:t>
      </w:r>
    </w:p>
    <w:p w14:paraId="30E1317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18.1.1  竣工验收指承包人完成了全部合同工作后，发包人按合同要求进行的验收。</w:t>
      </w:r>
    </w:p>
    <w:p w14:paraId="4CCD480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18.1.2  国家验收是政府有关部门根据法律、规范、规程和政策要求，针对发包人全面组织实施的整个工程正式交付投运前的验收。</w:t>
      </w:r>
    </w:p>
    <w:p w14:paraId="64B1B0F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18.1.3  需要进行国家验收的，竣工验收是国家验收的一部分。竣工验收所采用的各项验收和评定标准应符合国家验收标准。发包人和承包人为竣工验收提供的各项竣工验收资料应符合国家验收的要求。</w:t>
      </w:r>
    </w:p>
    <w:p w14:paraId="4F5206D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18.2  竣工验收申请报告</w:t>
      </w:r>
    </w:p>
    <w:p w14:paraId="6BDC13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当工程具备以下条件时，承包人即可向监理人报送竣工验收申请报告：</w:t>
      </w:r>
    </w:p>
    <w:p w14:paraId="18FF48B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(1)除监理人同意列入缺陷责任期内完成的尾工（甩项）工程和缺陷修补工作外，合同范围内的全部工程以及有关工作，包括合同要求的试验、试运行以及检验和验收均已完成，并符合合同要求；</w:t>
      </w:r>
    </w:p>
    <w:p w14:paraId="39BFEE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1402AA3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(3)已按监理人的要求编制了在缺陷责任期内需完成的尾工（甩项）工程，和缺陷修补工作清单等相应施工计划；</w:t>
      </w:r>
    </w:p>
    <w:p w14:paraId="2982F61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(4)监理人要求在竣工验收前应完成的其他工作；</w:t>
      </w:r>
    </w:p>
    <w:p w14:paraId="1B22D62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(5)监理人要求提交的竣工验收资料清单。</w:t>
      </w:r>
    </w:p>
    <w:p w14:paraId="7B78603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18.3  验收</w:t>
      </w:r>
    </w:p>
    <w:p w14:paraId="1213019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监理人收到承包人按第18.2款约定提交的竣工验收申请报告后，应审查申请报告的各项内容，并按以下不同情况进行处理。</w:t>
      </w:r>
    </w:p>
    <w:p w14:paraId="4455948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7FC7D2B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18.3.2  监理人审查后认为已具备竣工验收条件的，应在收到竣工验收申请报告后的28天内提请发包人进行工程验收。</w:t>
      </w:r>
    </w:p>
    <w:p w14:paraId="3A78520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18.3.3  除非合同另有约定，发包人经过验收后同意接受工程的，应在监理人收到竣工验收申请报告后的56天内，由监理人向承包人出具经发包人签认的工程接收证书。发包人验收后同意接收工程，但提出整修和完善要求的，有权缓发工程接收证书，并要求承包人在合同约定的期限或发包人另行要求的期限内修好。整修和完善工作完成后，监理人复查达到要求的，经发包人同意后，再向承包人出具工程接收证书。</w:t>
      </w:r>
    </w:p>
    <w:p w14:paraId="7167E4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755ACB2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18.3.5  经验收合格的工程, 实际竣工日期为承包人按照第18.2款提交竣工验收申请报告或按照本款重新提交竣工验收申请报告的日期（以两者中时间在后者为准），并在工程接收证书中写明。</w:t>
      </w:r>
    </w:p>
    <w:p w14:paraId="795AEE9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18.3.6  发包人在收到承包人竣工验收申请报告56天后未进行验收的，视为验收合格，实际竣工日期以提交竣工验收申请报告的日期为准，但发包人由于不可抗力不能进行验收的除外。</w:t>
      </w:r>
    </w:p>
    <w:p w14:paraId="0CE7ECC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18.3.7  本工程未经验收或验收不合格，发包人擅自使用的，自转移占有本工程后之日起，本工程应被视为已竣工验收合格。</w:t>
      </w:r>
    </w:p>
    <w:p w14:paraId="15056A1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18.3.8  工程接收证书颁发后，发包人应负责照管和维护本工程。</w:t>
      </w:r>
    </w:p>
    <w:p w14:paraId="7A3A373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18.4  试运行</w:t>
      </w:r>
    </w:p>
    <w:p w14:paraId="12E7B7D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18.4.1  工程及工程设备试运行的组织与费用承担</w:t>
      </w:r>
    </w:p>
    <w:p w14:paraId="54C1F45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(1)工程设备安装具备单机无负荷试运行条件，由承包人组织试运行，费用由承包人承担。</w:t>
      </w:r>
    </w:p>
    <w:p w14:paraId="50818AC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(2)工程设备安装具备无负荷联动试运行条件，由发包人组织试运行，费用由发包人承担。</w:t>
      </w:r>
    </w:p>
    <w:p w14:paraId="7891581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(3)投料试运行应在工程竣工验收后由发包人负责，如发包人要求在工程竣工验收前进行或需要承包人配合时，应征得承包人同意，另行签订补充协议。</w:t>
      </w:r>
    </w:p>
    <w:p w14:paraId="3C977C0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18.4.2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596D234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18.5  竣工验收前的清理</w:t>
      </w:r>
    </w:p>
    <w:p w14:paraId="2652574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18.5.1  在向发包人提交竣工验收申请报告前，承包人应当完成下述完工验收前的清理工作：</w:t>
      </w:r>
    </w:p>
    <w:p w14:paraId="0474DF4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(1)从永久工程内清除所有剩余材料、杂物、垃圾等等；</w:t>
      </w:r>
    </w:p>
    <w:p w14:paraId="42CB2E5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(2)修缮所有损坏、清除所有污迹、替换所有需更换的材料；</w:t>
      </w:r>
    </w:p>
    <w:p w14:paraId="4124F19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(3)检查、测试和确保所有服务系统、设施和设备达到良好的运行状态和效果；</w:t>
      </w:r>
    </w:p>
    <w:p w14:paraId="28E315E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(4)其他清理工作见合同条款专用部分。</w:t>
      </w:r>
    </w:p>
    <w:p w14:paraId="06C86B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18.5.2  清理工作所需费用由承包人承担。</w:t>
      </w:r>
    </w:p>
    <w:p w14:paraId="63FBE42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18.6  竣工清场</w:t>
      </w:r>
    </w:p>
    <w:p w14:paraId="779C69D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18.6.1  监理人颁发（出具）工程接收证书后，承包人负责按照以下要求对施工场地进行清理，直至监理人检验合格为止。竣工清场费用由承包人承担。</w:t>
      </w:r>
    </w:p>
    <w:p w14:paraId="1BA0C28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(1)施工场地内残留的垃圾已全部清除出场；</w:t>
      </w:r>
    </w:p>
    <w:p w14:paraId="245391B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(2)从施工场地现场拆除所有的临时工程和临时设施并恢复地面原状，但经监理人批准的无法拆除的临时设施除外；</w:t>
      </w:r>
    </w:p>
    <w:p w14:paraId="7B034BD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(3)撤离所有承包人施工设备和剩余材料，包括废弃的施工设备和材料。（经监理人同意需在缺陷责任期内继续使用的除外）；</w:t>
      </w:r>
    </w:p>
    <w:p w14:paraId="7BE8DE1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(4)工程建筑物周边及其附近道路、河道的施工堆积物，已按发包人指示全部清理；</w:t>
      </w:r>
    </w:p>
    <w:p w14:paraId="009BEA0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(5)合同条款专用部分约定的其他场地清理工作已全部完成。</w:t>
      </w:r>
    </w:p>
    <w:p w14:paraId="1A4C68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18.6.2  承包人未按监理人的要求恢复临时占地，或者场地清理未达到合同约定的，发包人有权委托其他人恢复或清理，所发生的金额从拟支付给承包人的款项中扣除。</w:t>
      </w:r>
    </w:p>
    <w:p w14:paraId="4914F53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18.7  施工队伍的撤离</w:t>
      </w:r>
    </w:p>
    <w:p w14:paraId="39BED87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18.7.1  工程接收证书颁发后的56天内，除了经监理人同意需在缺陷责任期内继续工作和使用的人员、施工设备和临时工程外，其余的人员、施工设备和临时工程均应撤离施工场地或拆除。</w:t>
      </w:r>
    </w:p>
    <w:p w14:paraId="5CE40ED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18.7.2  承包人撤离施工场地（现场）时，监理人和承包人应当办理永久工程和施工场地移交手续，移交手续以书面方式出具，并分别经过发包人、监理人和承包人的签认。</w:t>
      </w:r>
    </w:p>
    <w:p w14:paraId="3D62B1D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18.7.3  缺陷责任期满时，承包人的人员和施工设备应在合同约定期限内全部撤离施工场地。撤离施工场地的期限要求见合同条款专用部分。</w:t>
      </w:r>
    </w:p>
    <w:p w14:paraId="1CFD878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18.8  中间验收</w:t>
      </w:r>
    </w:p>
    <w:p w14:paraId="0FE1925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18.8.1  本工程需要按照合同约定进行中间验收。进行中间验收的部位见合同条款专用部分。</w:t>
      </w:r>
    </w:p>
    <w:p w14:paraId="3E105CC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18.8.2  当工程进度达到第18.8.1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1A44536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18.8.3  监理人不能按时进行验收的，应在验收前至少24小时以书面形式向承包人提出延期要求，但延期不能超过48小时。监理人未能按本款约定的时限提出延期要求，又未按期进行验收的，承包人可自行组织验收并如实制作验收记录，监理人应认同验收记录。</w:t>
      </w:r>
    </w:p>
    <w:p w14:paraId="2824A6C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经监理人验收后，工程质量符合约定的验收标准，但验收24小时后监理人仍不在验收记录上签字的，视为监理人已经认可验收记录，承包人可继续施工。</w:t>
      </w:r>
    </w:p>
    <w:p w14:paraId="14EC7CDE">
      <w:pPr>
        <w:adjustRightInd w:val="0"/>
        <w:snapToGrid w:val="0"/>
        <w:spacing w:line="360" w:lineRule="auto"/>
        <w:outlineLvl w:val="2"/>
        <w:rPr>
          <w:rFonts w:hint="eastAsia" w:ascii="宋体" w:hAnsi="宋体" w:eastAsia="宋体" w:cs="宋体"/>
          <w:sz w:val="24"/>
          <w:szCs w:val="24"/>
        </w:rPr>
      </w:pPr>
      <w:bookmarkStart w:id="817" w:name="_Toc28245"/>
      <w:bookmarkStart w:id="818" w:name="_Toc84948836"/>
      <w:bookmarkStart w:id="819" w:name="_Toc85792344"/>
      <w:bookmarkStart w:id="820" w:name="_Toc161933511"/>
      <w:r>
        <w:rPr>
          <w:rFonts w:hint="eastAsia" w:ascii="宋体" w:hAnsi="宋体" w:eastAsia="宋体" w:cs="宋体"/>
          <w:sz w:val="24"/>
          <w:szCs w:val="24"/>
        </w:rPr>
        <w:t>19.缺陷责任与保修责任</w:t>
      </w:r>
      <w:bookmarkEnd w:id="817"/>
      <w:bookmarkEnd w:id="818"/>
      <w:bookmarkEnd w:id="819"/>
      <w:bookmarkEnd w:id="820"/>
    </w:p>
    <w:p w14:paraId="7B548A1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19.1  缺陷责任期的起算时间</w:t>
      </w:r>
    </w:p>
    <w:p w14:paraId="02429C6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除非合同条款专用部分另有约定，缺陷责任期自实际竣工日期起计算。缺陷责任期的起算时间见合同条款专用部分。</w:t>
      </w:r>
    </w:p>
    <w:p w14:paraId="707C0B9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19.2  缺陷责任</w:t>
      </w:r>
    </w:p>
    <w:p w14:paraId="5F2A625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19.2.1  承包人应在缺陷责任期内对已交付使用的工程承担缺陷责任。</w:t>
      </w:r>
    </w:p>
    <w:p w14:paraId="3CA7FAB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3C315BA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5C392B8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19.2.4  承包人不能在合理时间内修复缺陷的，发包人可自行修复或委托其他人修复，所需费用和利润的承担，按第19.2.3项约定办理。</w:t>
      </w:r>
    </w:p>
    <w:p w14:paraId="500C755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19.3  缺陷责任期的延长</w:t>
      </w:r>
    </w:p>
    <w:p w14:paraId="5544B07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由于承包人原因造成某项缺陷或损坏，使某项工程或工程设备不能按原定目标使用，需要再次检查、检验和修复的，发包人有权要求承包人相应延长缺陷责任期，但缺陷责任期最长不超过2年。</w:t>
      </w:r>
    </w:p>
    <w:p w14:paraId="4C399B7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19.4  进一步试验和试运行</w:t>
      </w:r>
    </w:p>
    <w:p w14:paraId="2B87117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任何一项缺陷或损坏修复后，经检查证明其影响了工程或工程设备的使用性能，承包人应重新进行合同约定的试验和试运行，试验和试运行的全部费用应由责任方承担。</w:t>
      </w:r>
    </w:p>
    <w:p w14:paraId="278A6B9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19.5  承包人的进入权</w:t>
      </w:r>
    </w:p>
    <w:p w14:paraId="6A4674C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缺陷责任期内承包人为缺陷修复工作需要，有权进入工程现场，但应遵守发包人的保安和保密规定。</w:t>
      </w:r>
    </w:p>
    <w:p w14:paraId="4025773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19.6  缺陷责任期终止证书</w:t>
      </w:r>
    </w:p>
    <w:p w14:paraId="413D11E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在第1.1.4.5目约定的缺陷责任期，包括根据第19.3款延长的期限终止后14天内，由监理人向承包人出具经发包人签认的缺陷责任期终止证书，并退还剩余的质量保证金或退还保函。</w:t>
      </w:r>
    </w:p>
    <w:p w14:paraId="483E5CF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19.7  保修责任</w:t>
      </w:r>
    </w:p>
    <w:p w14:paraId="5BDC8FD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1A2D5EF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6C37A905">
      <w:pPr>
        <w:adjustRightInd w:val="0"/>
        <w:snapToGrid w:val="0"/>
        <w:spacing w:line="360" w:lineRule="auto"/>
        <w:outlineLvl w:val="2"/>
        <w:rPr>
          <w:rFonts w:hint="eastAsia" w:ascii="宋体" w:hAnsi="宋体" w:eastAsia="宋体" w:cs="宋体"/>
          <w:sz w:val="24"/>
          <w:szCs w:val="24"/>
        </w:rPr>
      </w:pPr>
      <w:bookmarkStart w:id="821" w:name="_Toc85792345"/>
      <w:bookmarkStart w:id="822" w:name="_Toc161933512"/>
      <w:bookmarkStart w:id="823" w:name="_Toc12616"/>
      <w:bookmarkStart w:id="824" w:name="_Toc84948837"/>
      <w:r>
        <w:rPr>
          <w:rFonts w:hint="eastAsia" w:ascii="宋体" w:hAnsi="宋体" w:eastAsia="宋体" w:cs="宋体"/>
          <w:sz w:val="24"/>
          <w:szCs w:val="24"/>
        </w:rPr>
        <w:t>20.保险</w:t>
      </w:r>
      <w:bookmarkEnd w:id="821"/>
      <w:bookmarkEnd w:id="822"/>
      <w:bookmarkEnd w:id="823"/>
      <w:bookmarkEnd w:id="824"/>
    </w:p>
    <w:p w14:paraId="5322FC9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20.1  工程保险</w:t>
      </w:r>
    </w:p>
    <w:p w14:paraId="4F83F85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承包人应以发包人和承包人的共同名义向双方同意的保险人投保建筑工程一切险、安装工程一切险。其具体的投保内容、保险金额、保险费率、保险期限等有关内容见合同条款专用部分。</w:t>
      </w:r>
    </w:p>
    <w:p w14:paraId="19A3A0F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20.2  人员工伤事故的保险</w:t>
      </w:r>
    </w:p>
    <w:p w14:paraId="5CA2589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20.2.1  承包人员工伤事故的保险</w:t>
      </w:r>
    </w:p>
    <w:p w14:paraId="78589C2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(1)承包人应依照有关法律法规规定参加工伤保险，为其履行合同所雇佣的全部人员（包括劳务分包人使用的人员），在合同工程开工前应当一次性缴纳工伤保险费。</w:t>
      </w:r>
    </w:p>
    <w:p w14:paraId="1586471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(2)承包人工伤事故保险期限自合同工程开工之日起至合同终止之日止。</w:t>
      </w:r>
    </w:p>
    <w:p w14:paraId="0561D3E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20.2.2  发包人员工伤事故的保险</w:t>
      </w:r>
    </w:p>
    <w:p w14:paraId="5EFFF9B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发包人应依照有关法律法规规定参加工伤保险，为其现场机构雇佣的全部人员，缴纳工伤保险费，并要求其监理人也进行此项保险。</w:t>
      </w:r>
    </w:p>
    <w:p w14:paraId="614B404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20.3  人身意外伤害险</w:t>
      </w:r>
    </w:p>
    <w:p w14:paraId="66590D0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20.3.1  发包人应在整个施工期间为其现场机构雇用的全部人员，投保人身意外伤害险，缴纳保险费，并要求其监理人也进行此项保险。</w:t>
      </w:r>
    </w:p>
    <w:p w14:paraId="5ADC2D3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20.3.2  承包人应在整个施工期间为其现场机构雇用的全部人员（包括劳务分包人使用的人员），投保人身意外伤害险，缴纳保险费。</w:t>
      </w:r>
    </w:p>
    <w:p w14:paraId="5F0A6D3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20.4  第三者责任险</w:t>
      </w:r>
    </w:p>
    <w:p w14:paraId="393DD2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E4E168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20.4.2  在缺陷责任期终止证书颁发前，承包人应以承包人和发包人的共同名义，投保第20.4.1项约定的第三者责任险，其保险费率、保险金额、保险费承担人等有关内容见合同条款专用部分。</w:t>
      </w:r>
    </w:p>
    <w:p w14:paraId="46D49FF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20.5  其他保险</w:t>
      </w:r>
    </w:p>
    <w:p w14:paraId="57CB00D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承包人应为其施工设备、进场的材料和工程设备等办理保险。办理保险的险种见合同条款专用部分。</w:t>
      </w:r>
    </w:p>
    <w:p w14:paraId="5316F13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20.6  对各项保险的一般要求</w:t>
      </w:r>
    </w:p>
    <w:p w14:paraId="3FB71DD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20.6.1  保险凭证</w:t>
      </w:r>
    </w:p>
    <w:p w14:paraId="65F777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承包人应在合同约定的期限内向发包人提交各项保险生效的证据和保险单副本，保险单必须与合同约定的条件保持一致。各项保险生效的证据和保险单副本的期限见合同条款专用部分。</w:t>
      </w:r>
    </w:p>
    <w:p w14:paraId="7CB114C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20.6.2  保险合同条款的变动</w:t>
      </w:r>
    </w:p>
    <w:p w14:paraId="33DC495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承包人需要变动保险合同条款时，应事先征得发包人同意，并通知监理人。保险人作出变动的，承包人应在收到保险人通知后立即通知发包人和监理人。</w:t>
      </w:r>
    </w:p>
    <w:p w14:paraId="6E8027B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20.6.3  持续保险</w:t>
      </w:r>
    </w:p>
    <w:p w14:paraId="4C3C15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承包人应与保险人保持联系，使保险人能够随时了解工程实施中的变动，并确保按保险合同条款要求持续保险。</w:t>
      </w:r>
    </w:p>
    <w:p w14:paraId="7D6939F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20.6.4  保险金不足的补偿</w:t>
      </w:r>
    </w:p>
    <w:p w14:paraId="59850CC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保险金不足以补偿损失的，应由承包人和（或）发包人按合同约定负责补偿。保险金不足的补偿原则见合同条款专用部分。</w:t>
      </w:r>
    </w:p>
    <w:p w14:paraId="058EE0F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20.6.5  未按约定投保的补救</w:t>
      </w:r>
    </w:p>
    <w:p w14:paraId="1BA655B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(1)由于负有投保义务的一方当事人未按合同约定办理保险，或未能使保险持续有效的，另一方当事人可代为办理，所需费用由对方当事人承担。</w:t>
      </w:r>
    </w:p>
    <w:p w14:paraId="027B63A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(2)由于负有投保义务的一方当事人未按合同约定办理某项保险，导致受益人未能得到保险人的赔偿，原应从该项保险得到的保险金应由负有投保义务的一方当事人支付。</w:t>
      </w:r>
    </w:p>
    <w:p w14:paraId="54E8868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20.6.6  报告义务</w:t>
      </w:r>
    </w:p>
    <w:p w14:paraId="466DB3B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当保险事故发生时，投保人应按照保险单规定的条件和期限及时向保险人报告。</w:t>
      </w:r>
    </w:p>
    <w:p w14:paraId="371E231E">
      <w:pPr>
        <w:adjustRightInd w:val="0"/>
        <w:snapToGrid w:val="0"/>
        <w:spacing w:line="360" w:lineRule="auto"/>
        <w:outlineLvl w:val="2"/>
        <w:rPr>
          <w:rFonts w:hint="eastAsia" w:ascii="宋体" w:hAnsi="宋体" w:eastAsia="宋体" w:cs="宋体"/>
          <w:sz w:val="24"/>
          <w:szCs w:val="24"/>
        </w:rPr>
      </w:pPr>
      <w:bookmarkStart w:id="825" w:name="_Toc84948838"/>
      <w:bookmarkStart w:id="826" w:name="_Toc85792346"/>
      <w:bookmarkStart w:id="827" w:name="_Toc161933513"/>
      <w:bookmarkStart w:id="828" w:name="_Toc29179"/>
      <w:r>
        <w:rPr>
          <w:rFonts w:hint="eastAsia" w:ascii="宋体" w:hAnsi="宋体" w:eastAsia="宋体" w:cs="宋体"/>
          <w:sz w:val="24"/>
          <w:szCs w:val="24"/>
        </w:rPr>
        <w:t>21.不可抗力</w:t>
      </w:r>
      <w:bookmarkEnd w:id="825"/>
      <w:bookmarkEnd w:id="826"/>
      <w:bookmarkEnd w:id="827"/>
      <w:bookmarkEnd w:id="828"/>
    </w:p>
    <w:p w14:paraId="78A2590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21.1  不可抗力的确认</w:t>
      </w:r>
    </w:p>
    <w:p w14:paraId="6873024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3FD6084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334223D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21.2  不可抗力的通知</w:t>
      </w:r>
    </w:p>
    <w:p w14:paraId="48035A7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21.2.1  合同一方当事人遇到不可抗力事件，使其履行合同义务受到阻碍时，应立即通知合同另一方当事人和监理人，书面说明不可抗力和受阻碍的详细情况，并提供必要的证明。</w:t>
      </w:r>
    </w:p>
    <w:p w14:paraId="7760480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21.2.2  如不可抗力持续发生，合同一方当事人应及时向合同另一方当事人和监理人提交中间报告，说明不可抗力和履行合同受阻的情况，并于不可抗力事件结束后28天内提交最终报告及有关资料。</w:t>
      </w:r>
    </w:p>
    <w:p w14:paraId="131A9A6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21.3  不可抗力后果及其处理</w:t>
      </w:r>
    </w:p>
    <w:p w14:paraId="2C5A470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21.3.1  不可抗力造成损害的责任</w:t>
      </w:r>
    </w:p>
    <w:p w14:paraId="2EFAF6B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不可抗力导致的人员伤亡、财产损失、费用增加和（或）工期延误等后果，由合同双方按以下原则承担：</w:t>
      </w:r>
    </w:p>
    <w:p w14:paraId="20AD307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(1)永久工程，包括已运至施工场地的材料和工程设备的损害，以及因工程损害造成的第三者人员伤亡和财产损失由发包人承担；</w:t>
      </w:r>
    </w:p>
    <w:p w14:paraId="498DBF7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(2)承包人设备的损坏由承包人承担；</w:t>
      </w:r>
    </w:p>
    <w:p w14:paraId="5DC5BCF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(3)发包人和承包人各自承担其人员伤亡和其他财产损失及其相关费用；</w:t>
      </w:r>
    </w:p>
    <w:p w14:paraId="05B0DF2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(4)承包人的停工损失由承包人承担，但停工期间应监理人要求照管工程和清理、修复工程的金额由发包人承担；</w:t>
      </w:r>
    </w:p>
    <w:p w14:paraId="1882CE7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(5)不能按期竣工的，应合理延长工期，承包人不需支付逾期竣工违约金。发包人要求赶工的，承包人应采取赶工措施，赶工费用由发包人承担。</w:t>
      </w:r>
    </w:p>
    <w:p w14:paraId="34064CF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21.3.2  延迟履行期间发生的不可抗力</w:t>
      </w:r>
    </w:p>
    <w:p w14:paraId="6CBE4C7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合同一方当事人延迟履行，在延迟履行期间发生不可抗力的，不免除其责任。</w:t>
      </w:r>
    </w:p>
    <w:p w14:paraId="169D212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21.3.3  避免和减少不可抗力损失</w:t>
      </w:r>
    </w:p>
    <w:p w14:paraId="3A17D7E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不可抗力发生后，发包人和承包人均应采取措施尽量避免和减少损失的扩大，任何一方没有采取有效措施导致损失扩大的，应对扩大的损失承担责任。</w:t>
      </w:r>
    </w:p>
    <w:p w14:paraId="2FAD373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21.3.4  因不可抗力解除合同</w:t>
      </w:r>
    </w:p>
    <w:p w14:paraId="39AA8CD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各方协商承担，因未及时退货造成的损失由责任方承担。合同解除后的付款，参照第22.2.4项约定，由监理人按第3.5款商定或确定，但22.2.4项中第（5）目不适用。</w:t>
      </w:r>
    </w:p>
    <w:p w14:paraId="0F02C35E">
      <w:pPr>
        <w:adjustRightInd w:val="0"/>
        <w:snapToGrid w:val="0"/>
        <w:spacing w:line="360" w:lineRule="auto"/>
        <w:outlineLvl w:val="2"/>
        <w:rPr>
          <w:rFonts w:hint="eastAsia" w:ascii="宋体" w:hAnsi="宋体" w:eastAsia="宋体" w:cs="宋体"/>
          <w:sz w:val="24"/>
          <w:szCs w:val="24"/>
        </w:rPr>
      </w:pPr>
      <w:bookmarkStart w:id="829" w:name="_Toc161933514"/>
      <w:bookmarkStart w:id="830" w:name="_Toc3824"/>
      <w:bookmarkStart w:id="831" w:name="_Toc84948839"/>
      <w:bookmarkStart w:id="832" w:name="_Toc85792347"/>
      <w:r>
        <w:rPr>
          <w:rFonts w:hint="eastAsia" w:ascii="宋体" w:hAnsi="宋体" w:eastAsia="宋体" w:cs="宋体"/>
          <w:sz w:val="24"/>
          <w:szCs w:val="24"/>
        </w:rPr>
        <w:t>22.违约</w:t>
      </w:r>
      <w:bookmarkEnd w:id="829"/>
      <w:bookmarkEnd w:id="830"/>
      <w:bookmarkEnd w:id="831"/>
      <w:bookmarkEnd w:id="832"/>
    </w:p>
    <w:p w14:paraId="1F67611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22.1  承包人违约</w:t>
      </w:r>
    </w:p>
    <w:p w14:paraId="7E62D8F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22.1.1  承包人违约的情形</w:t>
      </w:r>
    </w:p>
    <w:p w14:paraId="0F8F853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在履行合同过程中发生的下列情况属承包人违约：</w:t>
      </w:r>
    </w:p>
    <w:p w14:paraId="6F04467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(1)承包人违反第1.8款或第4.3款的约定，私自将合同的全部或部分权利转让给其他人，或私自将合同的全部或部分义务转移给其他人；</w:t>
      </w:r>
    </w:p>
    <w:p w14:paraId="40034AF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(2)承包人违反第5.3款或第6.4款的约定，未经监理人批准，私自将已按合同约定进入施工场地的施工设备、临时设施或材料撤离施工场地；</w:t>
      </w:r>
    </w:p>
    <w:p w14:paraId="37505A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(3)承包人违反第5.4款的约定使用了不合格材料或工程设备，工程质量达不到标准要求，又拒绝清除不合格工程；</w:t>
      </w:r>
    </w:p>
    <w:p w14:paraId="2A8DFFC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(4)承包人未能按合同进度计划及时完成合同约定的工作，已造成或预期造成工期延误；</w:t>
      </w:r>
    </w:p>
    <w:p w14:paraId="1E2857A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(5)承包人在缺陷责任期内，未能对工程接收证书所列的缺陷清单的内容或缺陷责任期内发生的缺陷进行修复，而又拒绝按监理人指示再进行修补；</w:t>
      </w:r>
    </w:p>
    <w:p w14:paraId="70AFA77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(6)承包人无法继续履行或明确表示不履行或实质上已停止履行合同；</w:t>
      </w:r>
    </w:p>
    <w:p w14:paraId="108F08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(7)承包人不按合同约定履行义务的其他情况。</w:t>
      </w:r>
    </w:p>
    <w:p w14:paraId="0017664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22.1.2  对承包人违约的处理</w:t>
      </w:r>
    </w:p>
    <w:p w14:paraId="060F9DD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(1)承包人发生第22.1.1(6)目约定的违约情况时，发包人可通知承包人立即解除合同，并按有关法律处理。</w:t>
      </w:r>
    </w:p>
    <w:p w14:paraId="58C3D4A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(2)承包人发生除第22.1.1(6)目约定以外的其他违约情况时，监理人可向承包人发出整改通知，要求其在指定的期限内改正。</w:t>
      </w:r>
    </w:p>
    <w:p w14:paraId="6106BB3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(3)经检查证明承包人已采取了有效措施纠正违约行为，具备复工条件的，可由监理人签发复工通知复工。</w:t>
      </w:r>
    </w:p>
    <w:p w14:paraId="72B39D4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(4)承包人应承担因其违约行为而增加的费用和（或）延误的工期。此外，合同当事人可在合同条款专用部分中另行约定承包人违约责任的承担方式和计算方法。</w:t>
      </w:r>
    </w:p>
    <w:p w14:paraId="6E30C27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22.1.3  承包人违约解除合同</w:t>
      </w:r>
    </w:p>
    <w:p w14:paraId="4D90669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监理人按第22.1.2（2）目约定发出的整改通知所载指定期限届满后，承包人仍不纠正违约行为的，或满足22.1.2（1）目情形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0FA6BC0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22.1.4  合同解除后的估价、付款和结清</w:t>
      </w:r>
    </w:p>
    <w:p w14:paraId="6955F37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(1)合同解除后，监理人按第3.5款商定或确定承包人实际完成工作的价值，以及承包人已提供的材料、施工设备、工程设备和临时工程等的价值。</w:t>
      </w:r>
    </w:p>
    <w:p w14:paraId="5C5A904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(2)合同解除后，发包人应暂停对承包人的一切付款，查清各项付款和已扣款金额，包括承包人应支付的违约金。</w:t>
      </w:r>
    </w:p>
    <w:p w14:paraId="7825C3E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(3)合同解除后，发包人应按第23.4款的约定向承包人索赔由于解除合同给发包人造成的损失。</w:t>
      </w:r>
    </w:p>
    <w:p w14:paraId="7F4104C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(4)合同双方确认上述往来款项并完成清算后，出具最终结清付款证书，结清全部合同款项。</w:t>
      </w:r>
    </w:p>
    <w:p w14:paraId="436A676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(5)发包人和承包人未能就解除合同后的结清达成一致而形成争议的，按第24条的约定办理。</w:t>
      </w:r>
    </w:p>
    <w:p w14:paraId="3CEED3E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22.1.5  协议利益的转让</w:t>
      </w:r>
    </w:p>
    <w:p w14:paraId="1278FF3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因承包人违约解除合同的，发包人有权要求承包人将其为实施合同而签订的材料和设备的订货协议或任何服务协议利益转让给发包人，并在解除合同后的14天内，依法办理转让手续。</w:t>
      </w:r>
    </w:p>
    <w:p w14:paraId="598E66A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22.1.6  紧急情况下无能力或不愿进行抢救</w:t>
      </w:r>
    </w:p>
    <w:p w14:paraId="554B5D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689785C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22.2  发包人违约</w:t>
      </w:r>
    </w:p>
    <w:p w14:paraId="6E001F6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22.2.1  发包人违约的情形</w:t>
      </w:r>
    </w:p>
    <w:p w14:paraId="526BF31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在履行合同过程中发生的下列情形，属发包人违约：</w:t>
      </w:r>
    </w:p>
    <w:p w14:paraId="2B2ADB8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(1)发包人未能按合同约定支付预付款或合同价款，或拖延、拒绝批准付款申请和支付凭证，导致付款延误的；</w:t>
      </w:r>
    </w:p>
    <w:p w14:paraId="316AB4A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(2)因发包人违反合同约定造成停工的；</w:t>
      </w:r>
    </w:p>
    <w:p w14:paraId="6B522BB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(3)监理人无正当理由没有在约定期限内发出复工指示，导致承包人无法复工的；</w:t>
      </w:r>
    </w:p>
    <w:p w14:paraId="3C2C459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(4)发包人明确表示或者以其行为表明不履行合同主要义务的；</w:t>
      </w:r>
    </w:p>
    <w:p w14:paraId="5FD7E8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(5)发包人不履行合同约定其他义务的。</w:t>
      </w:r>
    </w:p>
    <w:p w14:paraId="191CFD3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22.2.2  承包人有权暂停施工</w:t>
      </w:r>
    </w:p>
    <w:p w14:paraId="70C536F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发生除第22.2.1(4)目以外的违约情况时，承包人可向发包人发出通知，要求发包人采取有效措施纠正违约行为。发包人收到承包人通知后的28天内仍不纠正违约行为的，承包人有权暂停施工，并通知监理人，发包人应承担由此增加的费用和（或）工期延误，并支付承包人合理利润。</w:t>
      </w:r>
    </w:p>
    <w:p w14:paraId="046A5B7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22.2.3  发包人违约解除合同</w:t>
      </w:r>
    </w:p>
    <w:p w14:paraId="7A67530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(1)发生第22.2.1(4)目的违约情况时，承包人可书面通知发包人解除合同。</w:t>
      </w:r>
    </w:p>
    <w:p w14:paraId="3BE99D6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62EDED5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22.2.4  解除合同后的付款</w:t>
      </w:r>
    </w:p>
    <w:p w14:paraId="79E5C1E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因发包人违约解除合同的，发包人应在解除合同后28天内向承包人支付下列金额，承包人应在此期限内及时向发包人提交要求支付下列金额的有关资料和凭证：</w:t>
      </w:r>
    </w:p>
    <w:p w14:paraId="00A04E8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(1)合同解除日以前所完成工作的价款；</w:t>
      </w:r>
    </w:p>
    <w:p w14:paraId="17B14B2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(2)承包人为该工程施工订购并已付款的材料、工程设备和其他物品的金额。发包人付还后，该材料、工程设备和其他物品归发包人所有；</w:t>
      </w:r>
    </w:p>
    <w:p w14:paraId="27217FE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(3)承包人为完成工程所发生的，发包人应付而未支付的金额；</w:t>
      </w:r>
    </w:p>
    <w:p w14:paraId="1988933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(4)承包人撤离施工场地以及遣散承包人人员的金额；</w:t>
      </w:r>
    </w:p>
    <w:p w14:paraId="41CBE7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(5)因解除合同给承包人造成的损失；</w:t>
      </w:r>
    </w:p>
    <w:p w14:paraId="4B71142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(6)按合同约定在合同解除日前应支付给承包人的其他金额。</w:t>
      </w:r>
    </w:p>
    <w:p w14:paraId="0F87DC6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发包人应按本项约定支付上述金额并退还质量保证金或退还质量保证金保函和履约担保，但有权要求承包人支付应偿还给发包人的各项金额。</w:t>
      </w:r>
    </w:p>
    <w:p w14:paraId="30B524C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22.2.5  解除合同后的承包人撤离</w:t>
      </w:r>
    </w:p>
    <w:p w14:paraId="549F10A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发包人违约而解除合同后，承包人应妥善做好已竣工工程和已购材料、设备的保护和移交工作，按发包人要求将承包人设备和人员撤出施工场地。承包人撤出施工场地应遵守第18.6.1项的约定，发包人应为承包人撤出提供必要条件。</w:t>
      </w:r>
    </w:p>
    <w:p w14:paraId="1E5576C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22.3  第三人造成的违约</w:t>
      </w:r>
    </w:p>
    <w:p w14:paraId="57F1775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在履行合同过程中，一方当事人因第三人的原因造成违约的，应当向对方当事人承担违约责任。一方当事人和第三人之间的纠纷，依照法律规定或者按照约定解决。</w:t>
      </w:r>
    </w:p>
    <w:p w14:paraId="4A8591EE">
      <w:pPr>
        <w:adjustRightInd w:val="0"/>
        <w:snapToGrid w:val="0"/>
        <w:spacing w:line="360" w:lineRule="auto"/>
        <w:outlineLvl w:val="2"/>
        <w:rPr>
          <w:rFonts w:hint="eastAsia" w:ascii="宋体" w:hAnsi="宋体" w:eastAsia="宋体" w:cs="宋体"/>
          <w:sz w:val="24"/>
          <w:szCs w:val="24"/>
        </w:rPr>
      </w:pPr>
      <w:bookmarkStart w:id="833" w:name="_Toc161933515"/>
      <w:bookmarkStart w:id="834" w:name="_Toc84948840"/>
      <w:bookmarkStart w:id="835" w:name="_Toc85792348"/>
      <w:bookmarkStart w:id="836" w:name="_Toc26581"/>
      <w:r>
        <w:rPr>
          <w:rFonts w:hint="eastAsia" w:ascii="宋体" w:hAnsi="宋体" w:eastAsia="宋体" w:cs="宋体"/>
          <w:sz w:val="24"/>
          <w:szCs w:val="24"/>
        </w:rPr>
        <w:t>23.索赔</w:t>
      </w:r>
      <w:bookmarkEnd w:id="833"/>
      <w:bookmarkEnd w:id="834"/>
      <w:bookmarkEnd w:id="835"/>
      <w:bookmarkEnd w:id="836"/>
    </w:p>
    <w:p w14:paraId="7F6F178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23.1  承包人索赔的提出</w:t>
      </w:r>
    </w:p>
    <w:p w14:paraId="7A5D401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根据合同约定，承包人认为有权得到追加付款和（或）延长工期的，应按以下程序向发包人提出索赔：</w:t>
      </w:r>
    </w:p>
    <w:p w14:paraId="1F58674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B09CA2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(2)承包人应在发出索赔意向通知书后28天内，向监理人正式递交索赔通知书。索赔通知书应详细说明索赔理由以及要求追加的付款金额和（或）延长的工期，并附必要的记录和证明材料；</w:t>
      </w:r>
    </w:p>
    <w:p w14:paraId="3EFA9CD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(3)索赔事件具有连续影响的，承包人应按合理时间间隔继续递交延续索赔通知，说明连续影响的实际情况和记录，列出累计的追加付款金额和（或）工期延长天数；</w:t>
      </w:r>
    </w:p>
    <w:p w14:paraId="189CAEC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(4)在索赔事件影响结束后的28天内，承包人应向监理人递交最终索赔通知书，说明最终要求索赔的追加付款金额和延长的工期，并附必要的记录和证明材料。</w:t>
      </w:r>
    </w:p>
    <w:p w14:paraId="2F3DCE1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23.2  承包人索赔处理程序</w:t>
      </w:r>
    </w:p>
    <w:p w14:paraId="623F055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(1)监理人收到承包人提交的索赔通知书后，应及时审查索赔通知书的内容、查验承包人的记录和证明材料，必要时监理人可要求承包人提交全部原始记录副本。</w:t>
      </w:r>
    </w:p>
    <w:p w14:paraId="2DD028E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(2)监理人应按第3.5款商定或确定拟追加的付款和（或）延长的工期，并在收到上述索赔通知书或有关索赔的进一步证明材料后的42天内，将索赔处理结果答复承包人。</w:t>
      </w:r>
    </w:p>
    <w:p w14:paraId="4709B6B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(3)承包人接受索赔处理结果的，发包人应在作出索赔处理结果答复后28天内完成赔付。承包人不接受索赔处理结果的，按第24条的约定办理。</w:t>
      </w:r>
    </w:p>
    <w:p w14:paraId="7F0EB36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23.3  承包人提出索赔的期限</w:t>
      </w:r>
    </w:p>
    <w:p w14:paraId="6B5EE25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23.3.1  承包人按第17.5款的约定接受了竣工付款证书后，应被认为已无权再提出在合同工程接收证书颁发前所发生的任何索赔。</w:t>
      </w:r>
    </w:p>
    <w:p w14:paraId="53C8C7F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23.3.2  承包人按第17.6款的约定提交的最终结清申请单中，只限于提出工程接收证书颁发后发生的索赔。提出索赔的期限自接受最终结清证书时终止。</w:t>
      </w:r>
    </w:p>
    <w:p w14:paraId="6417F45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23.4  发包人的索赔</w:t>
      </w:r>
    </w:p>
    <w:p w14:paraId="4CD7BFC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2B1D607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23.4.2  监理人按第3.5款商定或确定发包人从承包人处得到赔付的金额和（或）缺陷责任期的延长期。承包人应付给发包人的金额可从拟支付给承包人的合同价款中扣除，或由承包人按照发包人要求的期限以其他方式支付给发包人。</w:t>
      </w:r>
    </w:p>
    <w:p w14:paraId="74713CC9">
      <w:pPr>
        <w:adjustRightInd w:val="0"/>
        <w:snapToGrid w:val="0"/>
        <w:spacing w:line="360" w:lineRule="auto"/>
        <w:outlineLvl w:val="2"/>
        <w:rPr>
          <w:rFonts w:hint="eastAsia" w:ascii="宋体" w:hAnsi="宋体" w:eastAsia="宋体" w:cs="宋体"/>
          <w:sz w:val="24"/>
          <w:szCs w:val="24"/>
        </w:rPr>
      </w:pPr>
      <w:bookmarkStart w:id="837" w:name="_Toc84948841"/>
      <w:bookmarkStart w:id="838" w:name="_Toc161933516"/>
      <w:bookmarkStart w:id="839" w:name="_Toc85792349"/>
      <w:bookmarkStart w:id="840" w:name="_Toc9992"/>
      <w:r>
        <w:rPr>
          <w:rFonts w:hint="eastAsia" w:ascii="宋体" w:hAnsi="宋体" w:eastAsia="宋体" w:cs="宋体"/>
          <w:sz w:val="24"/>
          <w:szCs w:val="24"/>
        </w:rPr>
        <w:t>24.争议的解决</w:t>
      </w:r>
      <w:bookmarkEnd w:id="837"/>
      <w:bookmarkEnd w:id="838"/>
      <w:bookmarkEnd w:id="839"/>
      <w:bookmarkEnd w:id="840"/>
    </w:p>
    <w:p w14:paraId="6F27B00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24.1  争议的解决方式</w:t>
      </w:r>
    </w:p>
    <w:p w14:paraId="2712452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3409DE2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(1)向约定的仲裁委员会申请仲裁；</w:t>
      </w:r>
    </w:p>
    <w:p w14:paraId="7844590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(2)向有管辖权的人民法院提起诉讼。</w:t>
      </w:r>
    </w:p>
    <w:p w14:paraId="3434CF2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24.2  友好解决</w:t>
      </w:r>
    </w:p>
    <w:p w14:paraId="50CAEFD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在提请争议评审、仲裁或者诉讼前，以及在争议评审、仲裁或诉讼过程中，发包人和承包人均可共同努力友好协商解决争议。</w:t>
      </w:r>
    </w:p>
    <w:p w14:paraId="14C53B4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24.3  争议评审</w:t>
      </w:r>
    </w:p>
    <w:p w14:paraId="605176B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24.3.1  采用争议评审的，发包人和承包人应在开工日后的28天内或在争议发生后，协商成立争议评审组。争议评审组由有合同管理和工程实践经验的专家组成。</w:t>
      </w:r>
    </w:p>
    <w:p w14:paraId="0D5F508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24.3.2  合同双方的争议，应首先由申请人向争议评审组提交一份详细的评审申请报告，并附必要的文件、图纸和证明材料，申请人还应将上述报告的副本同时提交给被申请人和监理人。</w:t>
      </w:r>
    </w:p>
    <w:p w14:paraId="083AA0E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24.3.3  被申请人在收到申请人评审申请报告副本后的28天内，向争议评审组提交一份答辩报告，并附证明材料。被申请人应将答辩报告的副本同时提交给申请人和监理人。</w:t>
      </w:r>
    </w:p>
    <w:p w14:paraId="3D5EFE8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441E871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02896A7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24.3.6  发包人和承包人接受评审意见的，由监理人根据评审意见拟定执行协议，经争议双方签字后作为合同的补充文件，并遵照执行。</w:t>
      </w:r>
    </w:p>
    <w:p w14:paraId="7B80993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24.3.7  发包人或承包人不接受评审意见，并要求提交仲裁或提起诉讼的，应在收到评审意见后的14天内将仲裁或起诉意向书面通知另一方，并抄送监理人。</w:t>
      </w:r>
      <w:bookmarkStart w:id="841" w:name="page134"/>
      <w:bookmarkEnd w:id="841"/>
    </w:p>
    <w:p w14:paraId="55B768B6">
      <w:pPr>
        <w:adjustRightInd/>
        <w:snapToGrid/>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br w:type="page"/>
      </w:r>
    </w:p>
    <w:p w14:paraId="6EF196EA">
      <w:pPr>
        <w:pStyle w:val="2"/>
        <w:rPr>
          <w:rFonts w:hint="eastAsia" w:ascii="宋体" w:hAnsi="宋体" w:eastAsia="宋体" w:cs="宋体"/>
          <w:sz w:val="24"/>
          <w:szCs w:val="24"/>
        </w:rPr>
      </w:pPr>
    </w:p>
    <w:p w14:paraId="143CCE58">
      <w:pPr>
        <w:keepNext/>
        <w:keepLines/>
        <w:widowControl w:val="0"/>
        <w:spacing w:before="260" w:after="260" w:line="416" w:lineRule="auto"/>
        <w:jc w:val="center"/>
        <w:outlineLvl w:val="1"/>
        <w:rPr>
          <w:rFonts w:hint="eastAsia" w:ascii="宋体" w:hAnsi="宋体" w:eastAsia="宋体" w:cs="宋体"/>
          <w:b/>
          <w:bCs/>
          <w:kern w:val="2"/>
          <w:sz w:val="24"/>
          <w:szCs w:val="24"/>
        </w:rPr>
      </w:pPr>
      <w:bookmarkStart w:id="842" w:name="_Toc85792350"/>
      <w:bookmarkStart w:id="843" w:name="_Toc16439"/>
      <w:bookmarkStart w:id="844" w:name="_Toc84948842"/>
      <w:bookmarkStart w:id="845" w:name="_Toc161933517"/>
      <w:r>
        <w:rPr>
          <w:rFonts w:hint="eastAsia" w:ascii="宋体" w:hAnsi="宋体" w:eastAsia="宋体" w:cs="宋体"/>
          <w:b/>
          <w:bCs/>
          <w:kern w:val="2"/>
          <w:sz w:val="24"/>
          <w:szCs w:val="24"/>
        </w:rPr>
        <w:t>合同条款专用部分</w:t>
      </w:r>
      <w:bookmarkEnd w:id="842"/>
      <w:bookmarkEnd w:id="843"/>
      <w:bookmarkEnd w:id="844"/>
      <w:bookmarkEnd w:id="845"/>
    </w:p>
    <w:p w14:paraId="54053740">
      <w:pPr>
        <w:adjustRightInd w:val="0"/>
        <w:snapToGrid w:val="0"/>
        <w:spacing w:line="360" w:lineRule="auto"/>
        <w:outlineLvl w:val="2"/>
        <w:rPr>
          <w:rFonts w:hint="eastAsia" w:ascii="宋体" w:hAnsi="宋体" w:eastAsia="宋体" w:cs="宋体"/>
          <w:sz w:val="24"/>
          <w:szCs w:val="24"/>
        </w:rPr>
      </w:pPr>
      <w:bookmarkStart w:id="846" w:name="_Toc84948843"/>
      <w:bookmarkStart w:id="847" w:name="_Toc85792351"/>
      <w:bookmarkStart w:id="848" w:name="_Toc4864"/>
      <w:bookmarkStart w:id="849" w:name="_Toc161933518"/>
      <w:r>
        <w:rPr>
          <w:rFonts w:hint="eastAsia" w:ascii="宋体" w:hAnsi="宋体" w:eastAsia="宋体" w:cs="宋体"/>
          <w:sz w:val="24"/>
          <w:szCs w:val="24"/>
        </w:rPr>
        <w:t>1.一般约定</w:t>
      </w:r>
      <w:bookmarkEnd w:id="846"/>
      <w:bookmarkEnd w:id="847"/>
      <w:bookmarkEnd w:id="848"/>
      <w:bookmarkEnd w:id="849"/>
    </w:p>
    <w:p w14:paraId="2A2A05A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  词语定义</w:t>
      </w:r>
    </w:p>
    <w:p w14:paraId="1635BF3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1.1.2  合同当事人和人员</w:t>
      </w:r>
    </w:p>
    <w:p w14:paraId="58F0F419">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1.1.2.2  发包人：</w:t>
      </w:r>
      <w:r>
        <w:rPr>
          <w:rFonts w:hint="eastAsia" w:ascii="宋体" w:hAnsi="宋体" w:eastAsia="宋体" w:cs="宋体"/>
          <w:sz w:val="24"/>
          <w:szCs w:val="24"/>
          <w:u w:val="single"/>
        </w:rPr>
        <w:t>北京市木樨园体育运动技术学校（北京市排球运动管理中心）</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input364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785EC45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1.1.2.3  承包人：</w:t>
      </w:r>
      <w:r>
        <w:rPr>
          <w:rFonts w:hint="eastAsia" w:ascii="宋体" w:hAnsi="宋体" w:eastAsia="宋体" w:cs="宋体"/>
          <w:sz w:val="24"/>
          <w:szCs w:val="24"/>
          <w:u w:val="single"/>
        </w:rPr>
        <w:t>待定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input363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E1B8ED9">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1.1.2.6  监理人：</w:t>
      </w:r>
      <w:r>
        <w:rPr>
          <w:rFonts w:hint="eastAsia" w:ascii="宋体" w:hAnsi="宋体" w:eastAsia="宋体" w:cs="宋体"/>
          <w:sz w:val="24"/>
          <w:szCs w:val="24"/>
          <w:u w:val="single"/>
        </w:rPr>
        <w:t>待定。</w:t>
      </w:r>
    </w:p>
    <w:p w14:paraId="439F8E3D">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1.1.2.8  发包人代表：</w:t>
      </w:r>
    </w:p>
    <w:p w14:paraId="5573FE7F">
      <w:pPr>
        <w:adjustRightInd w:val="0"/>
        <w:snapToGrid w:val="0"/>
        <w:spacing w:line="360" w:lineRule="auto"/>
        <w:ind w:firstLine="1800" w:firstLineChars="75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待定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input592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F54EB07">
      <w:pPr>
        <w:adjustRightInd w:val="0"/>
        <w:snapToGrid w:val="0"/>
        <w:spacing w:line="360" w:lineRule="auto"/>
        <w:ind w:firstLine="1800" w:firstLineChars="750"/>
        <w:rPr>
          <w:rFonts w:hint="eastAsia" w:ascii="宋体" w:hAnsi="宋体" w:eastAsia="宋体" w:cs="宋体"/>
          <w:sz w:val="24"/>
          <w:szCs w:val="24"/>
        </w:rPr>
      </w:pPr>
      <w:r>
        <w:rPr>
          <w:rFonts w:hint="eastAsia" w:ascii="宋体" w:hAnsi="宋体" w:eastAsia="宋体" w:cs="宋体"/>
          <w:sz w:val="24"/>
          <w:szCs w:val="24"/>
        </w:rPr>
        <w:t>职    称：</w:t>
      </w:r>
      <w:r>
        <w:rPr>
          <w:rFonts w:hint="eastAsia" w:ascii="宋体" w:hAnsi="宋体" w:eastAsia="宋体" w:cs="宋体"/>
          <w:sz w:val="24"/>
          <w:szCs w:val="24"/>
          <w:u w:val="single"/>
        </w:rPr>
        <w:t>待定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input593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7A306C88">
      <w:pPr>
        <w:adjustRightInd w:val="0"/>
        <w:snapToGrid w:val="0"/>
        <w:spacing w:line="360" w:lineRule="auto"/>
        <w:ind w:firstLine="1800" w:firstLineChars="75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待定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BB00EEB">
      <w:pPr>
        <w:adjustRightInd w:val="0"/>
        <w:snapToGrid w:val="0"/>
        <w:spacing w:line="360" w:lineRule="auto"/>
        <w:ind w:firstLine="1800" w:firstLineChars="750"/>
        <w:rPr>
          <w:rFonts w:hint="eastAsia" w:ascii="宋体" w:hAnsi="宋体" w:eastAsia="宋体" w:cs="宋体"/>
          <w:sz w:val="24"/>
          <w:szCs w:val="24"/>
        </w:rPr>
      </w:pPr>
      <w:r>
        <w:rPr>
          <w:rFonts w:hint="eastAsia" w:ascii="宋体" w:hAnsi="宋体" w:eastAsia="宋体" w:cs="宋体"/>
          <w:sz w:val="24"/>
          <w:szCs w:val="24"/>
        </w:rPr>
        <w:t>电子信箱：</w:t>
      </w:r>
      <w:r>
        <w:rPr>
          <w:rFonts w:hint="eastAsia" w:ascii="宋体" w:hAnsi="宋体" w:eastAsia="宋体" w:cs="宋体"/>
          <w:sz w:val="24"/>
          <w:szCs w:val="24"/>
          <w:u w:val="single"/>
        </w:rPr>
        <w:t>待定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0E685957">
      <w:pPr>
        <w:adjustRightInd w:val="0"/>
        <w:snapToGrid w:val="0"/>
        <w:spacing w:line="360" w:lineRule="auto"/>
        <w:ind w:firstLine="1800" w:firstLineChars="750"/>
        <w:rPr>
          <w:rFonts w:hint="eastAsia" w:ascii="宋体" w:hAnsi="宋体" w:eastAsia="宋体" w:cs="宋体"/>
          <w:sz w:val="24"/>
          <w:szCs w:val="24"/>
        </w:rPr>
      </w:pPr>
      <w:r>
        <w:rPr>
          <w:rFonts w:hint="eastAsia" w:ascii="宋体" w:hAnsi="宋体" w:eastAsia="宋体" w:cs="宋体"/>
          <w:sz w:val="24"/>
          <w:szCs w:val="24"/>
        </w:rPr>
        <w:t>通信地址：</w:t>
      </w:r>
      <w:r>
        <w:rPr>
          <w:rFonts w:hint="eastAsia" w:ascii="宋体" w:hAnsi="宋体" w:eastAsia="宋体" w:cs="宋体"/>
          <w:sz w:val="24"/>
          <w:szCs w:val="24"/>
          <w:u w:val="single"/>
        </w:rPr>
        <w:t>待定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input596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11FFAD1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1.1.3  工程和设备</w:t>
      </w:r>
    </w:p>
    <w:p w14:paraId="3A4DFFB4">
      <w:pPr>
        <w:adjustRightInd w:val="0"/>
        <w:snapToGrid w:val="0"/>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1.1.3.2  永久工程：</w:t>
      </w:r>
      <w:r>
        <w:rPr>
          <w:rFonts w:hint="eastAsia" w:ascii="宋体" w:hAnsi="宋体" w:eastAsia="宋体" w:cs="宋体"/>
          <w:sz w:val="24"/>
          <w:szCs w:val="24"/>
          <w:u w:val="single"/>
        </w:rPr>
        <w:t xml:space="preserve">          /            </w:t>
      </w:r>
    </w:p>
    <w:p w14:paraId="698D6174">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1.1.3.3  临时工程：</w:t>
      </w:r>
      <w:r>
        <w:rPr>
          <w:rFonts w:hint="eastAsia" w:ascii="宋体" w:hAnsi="宋体" w:eastAsia="宋体" w:cs="宋体"/>
          <w:sz w:val="24"/>
          <w:szCs w:val="24"/>
          <w:u w:val="single"/>
        </w:rPr>
        <w:t>施工用水、施工用电、临时设施</w:t>
      </w:r>
    </w:p>
    <w:p w14:paraId="6997A8A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1.1.3.11  永久占地：</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2F3D0DC4">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1.1.3.12  临时占地：</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3FCD646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1.1.4  日期</w:t>
      </w:r>
    </w:p>
    <w:p w14:paraId="4CC32148">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1.1.4.5  缺陷责任期期限：</w:t>
      </w:r>
      <w:r>
        <w:rPr>
          <w:rFonts w:hint="eastAsia" w:ascii="宋体" w:hAnsi="宋体" w:eastAsia="宋体" w:cs="宋体"/>
          <w:sz w:val="24"/>
          <w:szCs w:val="24"/>
          <w:u w:val="single"/>
        </w:rPr>
        <w:t>24个</w:t>
      </w:r>
      <w:r>
        <w:rPr>
          <w:rFonts w:hint="eastAsia" w:ascii="宋体" w:hAnsi="宋体" w:eastAsia="宋体" w:cs="宋体"/>
          <w:sz w:val="24"/>
          <w:szCs w:val="24"/>
        </w:rPr>
        <w:t>月。</w:t>
      </w:r>
    </w:p>
    <w:p w14:paraId="04FE404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1.1.8  其他需要补充的内容</w:t>
      </w:r>
    </w:p>
    <w:p w14:paraId="62B30CBC">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input377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2EFB349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1.4  合同文件的优先顺序</w:t>
      </w:r>
    </w:p>
    <w:p w14:paraId="354487A1">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合同文件的优先解释顺序如下：</w:t>
      </w:r>
    </w:p>
    <w:p w14:paraId="1CA27660">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(1)合同协议书；</w:t>
      </w:r>
    </w:p>
    <w:p w14:paraId="7BE8372C">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(2)中标通知书；</w:t>
      </w:r>
    </w:p>
    <w:p w14:paraId="62A1156D">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(3)投标函及投标函附录；</w:t>
      </w:r>
    </w:p>
    <w:p w14:paraId="67ABA567">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(4)合同条款专用部分；</w:t>
      </w:r>
    </w:p>
    <w:p w14:paraId="2F10151E">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(5)合同条款通用部分；</w:t>
      </w:r>
    </w:p>
    <w:p w14:paraId="0836C9BD">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u w:val="single"/>
        </w:rPr>
        <w:t>技术标准和要求；</w:t>
      </w:r>
      <w:r>
        <w:rPr>
          <w:rFonts w:hint="eastAsia" w:ascii="宋体" w:hAnsi="宋体" w:eastAsia="宋体" w:cs="宋体"/>
          <w:sz w:val="24"/>
          <w:szCs w:val="24"/>
        </w:rPr>
        <w:t xml:space="preserve"> </w:t>
      </w:r>
    </w:p>
    <w:p w14:paraId="2B8F6D80">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u w:val="single"/>
        </w:rPr>
        <w:t>图纸；</w:t>
      </w:r>
      <w:r>
        <w:rPr>
          <w:rFonts w:hint="eastAsia" w:ascii="宋体" w:hAnsi="宋体" w:eastAsia="宋体" w:cs="宋体"/>
          <w:sz w:val="24"/>
          <w:szCs w:val="24"/>
        </w:rPr>
        <w:t xml:space="preserve"> </w:t>
      </w:r>
    </w:p>
    <w:p w14:paraId="15DE331A">
      <w:pPr>
        <w:adjustRightInd w:val="0"/>
        <w:snapToGrid w:val="0"/>
        <w:spacing w:line="360" w:lineRule="auto"/>
        <w:ind w:firstLine="482"/>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u w:val="single"/>
        </w:rPr>
        <w:t>已标价工程量清单；</w:t>
      </w:r>
      <w:r>
        <w:rPr>
          <w:rFonts w:hint="eastAsia" w:ascii="宋体" w:hAnsi="宋体" w:eastAsia="宋体" w:cs="宋体"/>
          <w:sz w:val="24"/>
          <w:szCs w:val="24"/>
        </w:rPr>
        <w:t xml:space="preserve"> </w:t>
      </w:r>
    </w:p>
    <w:p w14:paraId="49FBC13F">
      <w:pPr>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u w:val="single"/>
        </w:rPr>
        <w:t>其他合同文件。</w:t>
      </w:r>
    </w:p>
    <w:p w14:paraId="725F3776">
      <w:pPr>
        <w:adjustRightInd w:val="0"/>
        <w:snapToGrid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（说明：(6)、(7)、(8)填空内容分别限于技术标准和要求、图纸、已标价工程量清单三者之一。）</w:t>
      </w:r>
    </w:p>
    <w:p w14:paraId="4ED4E13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  合同协议书</w:t>
      </w:r>
    </w:p>
    <w:p w14:paraId="37E6858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合同生效的条件：</w:t>
      </w:r>
      <w:r>
        <w:rPr>
          <w:rFonts w:hint="eastAsia" w:ascii="宋体" w:hAnsi="宋体" w:eastAsia="宋体" w:cs="宋体"/>
          <w:sz w:val="24"/>
          <w:szCs w:val="24"/>
          <w:u w:val="single"/>
        </w:rPr>
        <w:t>双方法定代表人或法定代表人授权代表签字并加盖公章后方可生效</w:t>
      </w:r>
    </w:p>
    <w:p w14:paraId="1E23E85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1.6  图纸和承包人文件</w:t>
      </w:r>
    </w:p>
    <w:p w14:paraId="24F4B3E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图纸的提供</w:t>
      </w:r>
    </w:p>
    <w:p w14:paraId="56A7CC9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(5)发包人提供图纸的期限：</w:t>
      </w:r>
      <w:r>
        <w:rPr>
          <w:rFonts w:hint="eastAsia" w:ascii="宋体" w:hAnsi="宋体" w:eastAsia="宋体" w:cs="宋体"/>
          <w:sz w:val="24"/>
          <w:szCs w:val="24"/>
          <w:u w:val="single"/>
        </w:rPr>
        <w:t>合同签订后10个工作日内</w:t>
      </w:r>
    </w:p>
    <w:p w14:paraId="05874D7F">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发包人提供图纸的数量：</w:t>
      </w:r>
      <w:r>
        <w:rPr>
          <w:rFonts w:hint="eastAsia" w:ascii="宋体" w:hAnsi="宋体" w:eastAsia="宋体" w:cs="宋体"/>
          <w:sz w:val="24"/>
          <w:szCs w:val="24"/>
          <w:u w:val="single"/>
        </w:rPr>
        <w:t>两套</w:t>
      </w:r>
    </w:p>
    <w:p w14:paraId="51EA0E26">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其他约定：</w:t>
      </w:r>
      <w:r>
        <w:rPr>
          <w:rFonts w:hint="eastAsia" w:ascii="宋体" w:hAnsi="宋体" w:eastAsia="宋体" w:cs="宋体"/>
          <w:sz w:val="24"/>
          <w:szCs w:val="24"/>
          <w:u w:val="single"/>
        </w:rPr>
        <w:t>待定</w:t>
      </w:r>
    </w:p>
    <w:p w14:paraId="7BF05F1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承包人提供的文件</w:t>
      </w:r>
    </w:p>
    <w:p w14:paraId="64197FB2">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rPr>
        <w:t>(1)由承包人提供的文件范围：</w:t>
      </w:r>
      <w:r>
        <w:rPr>
          <w:rFonts w:hint="eastAsia" w:ascii="宋体" w:hAnsi="宋体" w:eastAsia="宋体" w:cs="宋体"/>
          <w:sz w:val="24"/>
          <w:szCs w:val="24"/>
          <w:u w:val="single"/>
        </w:rPr>
        <w:t>详细的施工组织设计方案、施工进度计划(包括但不限于整体工程的总进度机械设备、劳动力安排计划表及月进度施工计划表)等监理人、发包人认为必要的资料。其他应由承包人提供的文件还包括:发包人和承包人认为需深化设计的部分或节点大样图，并报原设计单位确认,设计费已含在合同价中。</w:t>
      </w:r>
    </w:p>
    <w:p w14:paraId="52E1031C">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承包人提供文件的期限：</w:t>
      </w:r>
      <w:r>
        <w:rPr>
          <w:rFonts w:hint="eastAsia" w:ascii="宋体" w:hAnsi="宋体" w:eastAsia="宋体" w:cs="宋体"/>
          <w:sz w:val="24"/>
          <w:szCs w:val="24"/>
          <w:u w:val="single"/>
        </w:rPr>
        <w:t>发出开工通知后7天内提供满足工程进度需要的工期计划；施工组织设计方案在合同签订后5个工作日内提交；周进度计划在每周监理例会前一日提交；月进度计划在每月开始的5日前提交。以上提交文件应向监理人、发包人等提交，并经发包人、监理人审批确认后方可实施。</w:t>
      </w:r>
    </w:p>
    <w:p w14:paraId="3D11F8B5">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监理人批复承包人提供文件的期限：</w:t>
      </w:r>
      <w:r>
        <w:rPr>
          <w:rFonts w:hint="eastAsia" w:ascii="宋体" w:hAnsi="宋体" w:eastAsia="宋体" w:cs="宋体"/>
          <w:sz w:val="24"/>
          <w:szCs w:val="24"/>
          <w:u w:val="single"/>
        </w:rPr>
        <w:t>收到承包人提供的文件后7个工作日内提出书面批复意见。监理人不同意的,应由承包人在监理人批复载明的日期内进行修正后再行提交监理人,直至监理人批复同意。</w:t>
      </w:r>
    </w:p>
    <w:p w14:paraId="25B3215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其他约定：</w:t>
      </w:r>
      <w:r>
        <w:rPr>
          <w:rFonts w:hint="eastAsia" w:ascii="宋体" w:hAnsi="宋体" w:eastAsia="宋体" w:cs="宋体"/>
          <w:sz w:val="24"/>
          <w:szCs w:val="24"/>
          <w:u w:val="single"/>
        </w:rPr>
        <w:t>竣工图纸及竣工资料编制等所涉及的费用已包含在合同价款中。</w:t>
      </w:r>
    </w:p>
    <w:p w14:paraId="7DF1739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  联 络</w:t>
      </w:r>
    </w:p>
    <w:p w14:paraId="5006BED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联络来往函件的送达和接收</w:t>
      </w:r>
    </w:p>
    <w:p w14:paraId="113FFE9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(2)发包人指定的接收地点：</w:t>
      </w:r>
      <w:r>
        <w:rPr>
          <w:rFonts w:hint="eastAsia" w:ascii="宋体" w:hAnsi="宋体" w:eastAsia="宋体" w:cs="宋体"/>
          <w:sz w:val="24"/>
          <w:szCs w:val="24"/>
          <w:u w:val="single"/>
        </w:rPr>
        <w:t>合同签订时双方协商确定</w:t>
      </w:r>
    </w:p>
    <w:p w14:paraId="1AC077E4">
      <w:pPr>
        <w:adjustRightInd w:val="0"/>
        <w:snapToGrid w:val="0"/>
        <w:spacing w:line="360" w:lineRule="auto"/>
        <w:ind w:firstLine="648" w:firstLineChars="270"/>
        <w:rPr>
          <w:rFonts w:hint="eastAsia" w:ascii="宋体" w:hAnsi="宋体" w:eastAsia="宋体" w:cs="宋体"/>
          <w:sz w:val="24"/>
          <w:szCs w:val="24"/>
        </w:rPr>
      </w:pPr>
      <w:r>
        <w:rPr>
          <w:rFonts w:hint="eastAsia" w:ascii="宋体" w:hAnsi="宋体" w:eastAsia="宋体" w:cs="宋体"/>
          <w:sz w:val="24"/>
          <w:szCs w:val="24"/>
        </w:rPr>
        <w:t>发包人指定的接收人为：</w:t>
      </w:r>
      <w:r>
        <w:rPr>
          <w:rFonts w:hint="eastAsia" w:ascii="宋体" w:hAnsi="宋体" w:eastAsia="宋体" w:cs="宋体"/>
          <w:sz w:val="24"/>
          <w:szCs w:val="24"/>
          <w:u w:val="single"/>
        </w:rPr>
        <w:t>合同签订时双方协商确定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input597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DDD3C0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(3)监理人指定的接收地点：</w:t>
      </w:r>
      <w:r>
        <w:rPr>
          <w:rFonts w:hint="eastAsia" w:ascii="宋体" w:hAnsi="宋体" w:eastAsia="宋体" w:cs="宋体"/>
          <w:sz w:val="24"/>
          <w:szCs w:val="24"/>
          <w:u w:val="single"/>
        </w:rPr>
        <w:t>施工现场监理人办公室</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input598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6AA4C80">
      <w:pPr>
        <w:adjustRightInd w:val="0"/>
        <w:snapToGrid w:val="0"/>
        <w:spacing w:line="360" w:lineRule="auto"/>
        <w:ind w:firstLine="648" w:firstLineChars="270"/>
        <w:rPr>
          <w:rFonts w:hint="eastAsia" w:ascii="宋体" w:hAnsi="宋体" w:eastAsia="宋体" w:cs="宋体"/>
          <w:sz w:val="24"/>
          <w:szCs w:val="24"/>
          <w:u w:val="single"/>
        </w:rPr>
      </w:pPr>
      <w:r>
        <w:rPr>
          <w:rFonts w:hint="eastAsia" w:ascii="宋体" w:hAnsi="宋体" w:eastAsia="宋体" w:cs="宋体"/>
          <w:sz w:val="24"/>
          <w:szCs w:val="24"/>
        </w:rPr>
        <w:t>监理人指定的接收人为：</w:t>
      </w:r>
      <w:r>
        <w:rPr>
          <w:rFonts w:hint="eastAsia" w:ascii="宋体" w:hAnsi="宋体" w:eastAsia="宋体" w:cs="宋体"/>
          <w:sz w:val="24"/>
          <w:szCs w:val="24"/>
          <w:u w:val="single"/>
        </w:rPr>
        <w:t>总监理工程师或总监代表</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input599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3D7E10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(4)承包人指定的接收地点：</w:t>
      </w:r>
      <w:r>
        <w:rPr>
          <w:rFonts w:hint="eastAsia" w:ascii="宋体" w:hAnsi="宋体" w:eastAsia="宋体" w:cs="宋体"/>
          <w:sz w:val="24"/>
          <w:szCs w:val="24"/>
          <w:u w:val="single"/>
        </w:rPr>
        <w:t>合同签订时双方协商确定</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input391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644DE2F9">
      <w:pPr>
        <w:adjustRightInd w:val="0"/>
        <w:snapToGrid w:val="0"/>
        <w:spacing w:line="360" w:lineRule="auto"/>
        <w:outlineLvl w:val="2"/>
        <w:rPr>
          <w:rFonts w:hint="eastAsia" w:ascii="宋体" w:hAnsi="宋体" w:eastAsia="宋体" w:cs="宋体"/>
          <w:sz w:val="24"/>
          <w:szCs w:val="24"/>
        </w:rPr>
      </w:pPr>
      <w:bookmarkStart w:id="850" w:name="_Toc6037"/>
      <w:bookmarkStart w:id="851" w:name="_Toc84948844"/>
      <w:bookmarkStart w:id="852" w:name="_Toc85792352"/>
      <w:bookmarkStart w:id="853" w:name="_Toc161933519"/>
      <w:r>
        <w:rPr>
          <w:rFonts w:hint="eastAsia" w:ascii="宋体" w:hAnsi="宋体" w:eastAsia="宋体" w:cs="宋体"/>
          <w:sz w:val="24"/>
          <w:szCs w:val="24"/>
        </w:rPr>
        <w:t>2.发包人义务</w:t>
      </w:r>
      <w:bookmarkEnd w:id="850"/>
      <w:bookmarkEnd w:id="851"/>
      <w:bookmarkEnd w:id="852"/>
      <w:bookmarkEnd w:id="853"/>
    </w:p>
    <w:p w14:paraId="2D7ADF1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2.3  提供基础资料、施工条件</w:t>
      </w:r>
    </w:p>
    <w:p w14:paraId="43691864">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2.3.1  发包人向承包人提供履行本合同所需的相应基础资料的期限：</w:t>
      </w:r>
      <w:r>
        <w:rPr>
          <w:rFonts w:hint="eastAsia" w:ascii="宋体" w:hAnsi="宋体" w:eastAsia="宋体" w:cs="宋体"/>
          <w:sz w:val="24"/>
          <w:szCs w:val="24"/>
          <w:u w:val="single"/>
        </w:rPr>
        <w:t>监理人发出开工通知中载明的开工日期7天前移交给承包人</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input600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429302FF">
      <w:pPr>
        <w:adjustRightInd w:val="0"/>
        <w:snapToGrid w:val="0"/>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2.3.2  发包人向承包人提供与工程有关的施工场地的期限：</w:t>
      </w:r>
      <w:r>
        <w:rPr>
          <w:rFonts w:hint="eastAsia" w:ascii="宋体" w:hAnsi="宋体" w:eastAsia="宋体" w:cs="宋体"/>
          <w:sz w:val="24"/>
          <w:szCs w:val="24"/>
          <w:u w:val="single"/>
        </w:rPr>
        <w:t>发包人应当将具备基础施工条件的施工场地，在监理人发出开工通知中载明的开工日期7天前移交给承包人</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input601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1E1A98B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2.8  向承包人提交支付担保</w:t>
      </w:r>
    </w:p>
    <w:p w14:paraId="458BC07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(1)发包人</w:t>
      </w:r>
      <w:r>
        <w:rPr>
          <w:rFonts w:hint="eastAsia" w:ascii="宋体" w:hAnsi="宋体" w:eastAsia="宋体" w:cs="宋体"/>
          <w:sz w:val="24"/>
          <w:szCs w:val="24"/>
          <w:u w:val="single"/>
        </w:rPr>
        <w:t>不向</w:t>
      </w:r>
      <w:r>
        <w:rPr>
          <w:rFonts w:hint="eastAsia" w:ascii="宋体" w:hAnsi="宋体" w:eastAsia="宋体" w:cs="宋体"/>
          <w:sz w:val="24"/>
          <w:szCs w:val="24"/>
        </w:rPr>
        <w:t>（向/不向）承包人提供支付担保。</w:t>
      </w:r>
    </w:p>
    <w:p w14:paraId="5070E41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发包人向承包人提交支付担保的金额：</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input603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216EB95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2.13  其他义务</w:t>
      </w:r>
    </w:p>
    <w:p w14:paraId="4560565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发包人应履行的其他义务：</w:t>
      </w:r>
      <w:r>
        <w:rPr>
          <w:rFonts w:hint="eastAsia" w:ascii="宋体" w:hAnsi="宋体" w:eastAsia="宋体" w:cs="宋体"/>
          <w:sz w:val="24"/>
          <w:szCs w:val="24"/>
          <w:u w:val="single"/>
        </w:rPr>
        <w:t>1)发包人委托工程监理人对承包人落实文明施工和环境保护措施情况进行现场监理。</w:t>
      </w:r>
    </w:p>
    <w:p w14:paraId="7442EB3B">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发包人向承包人提供的有关现场的数据和资料。双方确认，前述材料仅包括发包人现有的能被承包人利用的资料,承包人有义务积极并尽一切可能对施工现场进行详细了解,发包人对承包人做出的任何推论、理解和结论均不负责任。</w:t>
      </w:r>
    </w:p>
    <w:p w14:paraId="000263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3)发包人负责将质量监督手续、竣工资料移交城建档案馆。</w:t>
      </w:r>
    </w:p>
    <w:p w14:paraId="6233DAD8">
      <w:pPr>
        <w:adjustRightInd w:val="0"/>
        <w:snapToGrid w:val="0"/>
        <w:spacing w:line="360" w:lineRule="auto"/>
        <w:outlineLvl w:val="2"/>
        <w:rPr>
          <w:rFonts w:hint="eastAsia" w:ascii="宋体" w:hAnsi="宋体" w:eastAsia="宋体" w:cs="宋体"/>
          <w:sz w:val="24"/>
          <w:szCs w:val="24"/>
        </w:rPr>
      </w:pPr>
      <w:bookmarkStart w:id="854" w:name="_Toc19253"/>
      <w:bookmarkStart w:id="855" w:name="_Toc85792353"/>
      <w:bookmarkStart w:id="856" w:name="_Toc84948845"/>
      <w:bookmarkStart w:id="857" w:name="_Toc161933520"/>
      <w:r>
        <w:rPr>
          <w:rFonts w:hint="eastAsia" w:ascii="宋体" w:hAnsi="宋体" w:eastAsia="宋体" w:cs="宋体"/>
          <w:sz w:val="24"/>
          <w:szCs w:val="24"/>
        </w:rPr>
        <w:t>3.监理人</w:t>
      </w:r>
      <w:bookmarkEnd w:id="854"/>
      <w:bookmarkEnd w:id="855"/>
      <w:bookmarkEnd w:id="856"/>
      <w:bookmarkEnd w:id="857"/>
    </w:p>
    <w:p w14:paraId="7D78A8E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3.1  监理人的职责和权力</w:t>
      </w:r>
    </w:p>
    <w:p w14:paraId="48EE5F0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3.1.1  需经发包人明确批准后行使的权力：</w:t>
      </w:r>
      <w:r>
        <w:rPr>
          <w:rFonts w:hint="eastAsia" w:ascii="宋体" w:hAnsi="宋体" w:eastAsia="宋体" w:cs="宋体"/>
          <w:sz w:val="24"/>
          <w:szCs w:val="24"/>
          <w:u w:val="single"/>
        </w:rPr>
        <w:t>①监理工程师受发包人委托对合同执行的全程实施检查、监督、管理之职责。监理工程师必须认真履行合同赋予的职责,按作业顺序及时跟班到位实行严格监理。严肃行使质量和计量支付否决权,监理工程师有权对有关工程的质量控制、进度控制、费用控制、合同管理、信息管理、安全管理和工作协调的各个方面作出为全面实施合同并符合合同规定的指令批准和有关规定。</w:t>
      </w:r>
    </w:p>
    <w:p w14:paraId="448C7F4D">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②有权要求承包人按规定的质量目标实施工程。监理工程师必须严格按合同的规定行使职权,其无权修改合同,无权提出超出合同规定的要求,也无权免除合同各方的任何责任和义务。</w:t>
      </w:r>
    </w:p>
    <w:p w14:paraId="2EC12F28">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③监理工程师应严格按合同的规定全面、客观、公正地履行其职责和权利,在工作中应认真听取合同各方的意见,对发包人工作积极协助,对承包人给予必要的引导,及时、公正合理的处理合同事宜。</w:t>
      </w:r>
    </w:p>
    <w:p w14:paraId="0206D2D3">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④为保证工程的顺利实施,监理工程师有权按合同的规定,依据情况随时对承包人下达指令、指示并要求其执行。监理工程师的指令、批准等均以书面形式发布。在必要的情况下,监理工程师可以先发出口头指令,但应在事后3天内以书面形式加以确认。如果监理工程师未用书面形式确认其口头指令,承包人可以在其后3天内,以书面形式将监理工程师口头指令或决定的记录上报监理工程师要求确认,监理工程师如在7天内未予书面否定，则此项记录可被认为是监理工程师的书面指令。如果承包人不执行上述指令,监理工程师有权暂缓计量相关清单项目直至不予计量,或建议发包人雇佣他人完成指令中所述工作,其费用从承包人的款项中扣除。</w:t>
      </w:r>
    </w:p>
    <w:p w14:paraId="629C359D">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⑤监理工程师应按合同规定向承包人签发本工程的各项开工申请,承包人按合同规定完成合同项目后,由监理工程师会同发包人和承包人等进行工程交工验收,批准承包人的缺陷责任期工作计划,并签发交工证书,监理工程师对承包人在缺陷责任期内应进行的工作,将继续实施监督管理。缺陷责任期满后,由监理工程师会同发包人对承包人的所有合同项目及工作进行检验后,签发缺陷责任终止证书。监理人需要取得发包人批准才能行使职权,监理工程师签发任何付款凭证,均须征得发包人的同意。</w:t>
      </w:r>
    </w:p>
    <w:p w14:paraId="049AA140">
      <w:pPr>
        <w:adjustRightInd w:val="0"/>
        <w:snapToGrid w:val="0"/>
        <w:spacing w:line="360" w:lineRule="auto"/>
        <w:outlineLvl w:val="2"/>
        <w:rPr>
          <w:rFonts w:hint="eastAsia" w:ascii="宋体" w:hAnsi="宋体" w:eastAsia="宋体" w:cs="宋体"/>
          <w:sz w:val="24"/>
          <w:szCs w:val="24"/>
        </w:rPr>
      </w:pPr>
      <w:bookmarkStart w:id="858" w:name="_Toc937"/>
      <w:bookmarkStart w:id="859" w:name="_Toc84948846"/>
      <w:bookmarkStart w:id="860" w:name="_Toc85792354"/>
      <w:bookmarkStart w:id="861" w:name="_Toc161933521"/>
      <w:r>
        <w:rPr>
          <w:rFonts w:hint="eastAsia" w:ascii="宋体" w:hAnsi="宋体" w:eastAsia="宋体" w:cs="宋体"/>
          <w:sz w:val="24"/>
          <w:szCs w:val="24"/>
        </w:rPr>
        <w:t>4.承包人</w:t>
      </w:r>
      <w:bookmarkEnd w:id="858"/>
      <w:bookmarkEnd w:id="859"/>
      <w:bookmarkEnd w:id="860"/>
      <w:bookmarkEnd w:id="861"/>
    </w:p>
    <w:p w14:paraId="778DD6E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4.1  承包人的一般义务</w:t>
      </w:r>
    </w:p>
    <w:p w14:paraId="476A026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4.1.8  为他人提供方便</w:t>
      </w:r>
    </w:p>
    <w:p w14:paraId="376B91C4">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rPr>
        <w:t>(1)承包人应当对在施工场地或者附近实施与合同工程有关的其他工作的独立承包人履行管理、协调、配合、照管和服务义务的具体工作内容和要求：</w:t>
      </w:r>
      <w:r>
        <w:rPr>
          <w:rFonts w:hint="eastAsia" w:ascii="宋体" w:hAnsi="宋体" w:eastAsia="宋体" w:cs="宋体"/>
          <w:sz w:val="24"/>
          <w:szCs w:val="24"/>
          <w:u w:val="single"/>
        </w:rPr>
        <w:t>1)承包人对本工程现场的使用仅限于为完成本工程施工的目的,不允许承包人将现场用于非本合同或与本合同不相关的工作。</w:t>
      </w:r>
    </w:p>
    <w:p w14:paraId="4AADB02C">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2)承包人应最大限度地减少对周边毗邻地区和公共区域的干扰。</w:t>
      </w:r>
    </w:p>
    <w:p w14:paraId="59F99747">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3)承包人需根据发包人及监理人要求，办理有关施工场地交通、环卫和施工噪音管理等手续:</w:t>
      </w:r>
    </w:p>
    <w:p w14:paraId="5E6DE23E">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a.需要办理特别通行证时,由承包人负责办证,发包人提供必要协助</w:t>
      </w:r>
    </w:p>
    <w:p w14:paraId="158E55C3">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b.施工现场需要排放有害物质及污水时,由承包人办理有关手续</w:t>
      </w:r>
    </w:p>
    <w:p w14:paraId="2B60258F">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c.施工噪音超过当地主管部门的规定时,由承包人提出相应措施，并在监理人及发包人同意后予以措施。</w:t>
      </w:r>
    </w:p>
    <w:p w14:paraId="4CD76BE9">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4)承包人在施工前,须对施工地段下的电缆、水管、障碍物等地下物进行认真调查,查明其准确位置、高程和尺寸。</w:t>
      </w:r>
    </w:p>
    <w:p w14:paraId="10F535A3">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5)承包人必须按照发包人和监理人的要求，合理使用建设场地，合理占用路权、合理分配临时用水用电，相关单位之间相互配合。承包人需积极、主动完成合同约定的相应管理、协调、配合、服务工作。</w:t>
      </w:r>
    </w:p>
    <w:p w14:paraId="1EAC6DA9">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6)承包人负责修建、维修及保养现场施工通道。在现场通道上搭建硬质安全防护(如需要)。</w:t>
      </w:r>
    </w:p>
    <w:p w14:paraId="7BCD29F6">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7)承包人获得监理人许可后可以使用已安装在场的工作平台及其它机械设备(如果有),积极协调对大型临时机械及临时设施等共用资源的使用。</w:t>
      </w:r>
    </w:p>
    <w:p w14:paraId="45D56F53">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8)承包人应在指定区域设置垃圾堆放点,并负责垃圾清理、外运及消纳工作,应设置临时厕所,并安排专人看护及清理。承包人应在现场设立固定的垃圾临时存放点，并在各层设立足够尺寸的垃圾箱（筒）。所有垃圾必须当天清除出场，并按照政府有关规定，运至指定地点。</w:t>
      </w:r>
    </w:p>
    <w:p w14:paraId="212ABD92">
      <w:pPr>
        <w:adjustRightInd w:val="0"/>
        <w:snapToGrid w:val="0"/>
        <w:spacing w:line="360" w:lineRule="auto"/>
        <w:ind w:firstLine="360" w:firstLineChars="150"/>
        <w:rPr>
          <w:rFonts w:hint="eastAsia" w:ascii="宋体" w:hAnsi="宋体" w:eastAsia="宋体" w:cs="宋体"/>
          <w:sz w:val="24"/>
          <w:szCs w:val="24"/>
          <w:u w:val="single"/>
        </w:rPr>
      </w:pPr>
      <w:r>
        <w:rPr>
          <w:rFonts w:hint="eastAsia" w:ascii="宋体" w:hAnsi="宋体" w:eastAsia="宋体" w:cs="宋体"/>
          <w:sz w:val="24"/>
          <w:szCs w:val="24"/>
          <w:u w:val="single"/>
        </w:rPr>
        <w:t>9)为保证承包人和其他承包人的工作面不发生冲突,承包人应对其他承包人的工作场所及材料存放场所的安排、布置负责协调。</w:t>
      </w:r>
    </w:p>
    <w:p w14:paraId="42AADB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4.1.10  承包人的设计工作</w:t>
      </w:r>
    </w:p>
    <w:p w14:paraId="1615328B">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承包人承担的施工图设计或与工程配套的设计工作内容：</w:t>
      </w:r>
      <w:r>
        <w:rPr>
          <w:rFonts w:hint="eastAsia" w:ascii="宋体" w:hAnsi="宋体" w:eastAsia="宋体" w:cs="宋体"/>
          <w:sz w:val="24"/>
          <w:szCs w:val="24"/>
          <w:u w:val="single"/>
        </w:rPr>
        <w:t>负责合同范围内发包人和承包人认为需深化设计的部分或节点大样图，并报原设计单位确认，设计费已包含在合同价格中。</w:t>
      </w:r>
    </w:p>
    <w:p w14:paraId="5D3CD1C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4.1.12  其他义务</w:t>
      </w:r>
    </w:p>
    <w:p w14:paraId="1FC593C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（1）安全文明施工费由承包人管理，承包人对工程安全文明施工负责。</w:t>
      </w:r>
    </w:p>
    <w:p w14:paraId="46D400A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于超过一定规模的危大工程（如有），承包人应当组织召开专家论证会对专项施工方案进行论证，并根据专家论证意见对专项方案进行调整，前述费用均已包括在合同价格中。如因发包人原因造成专项方案调整，因调整产生的费用由发包人承担。</w:t>
      </w:r>
    </w:p>
    <w:p w14:paraId="42CED0B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（3）承包人应履行的其他义务：</w:t>
      </w:r>
      <w:r>
        <w:rPr>
          <w:rFonts w:hint="eastAsia" w:ascii="宋体" w:hAnsi="宋体" w:eastAsia="宋体" w:cs="宋体"/>
          <w:sz w:val="24"/>
          <w:szCs w:val="24"/>
          <w:u w:val="single"/>
        </w:rPr>
        <w:t>1）承包人应在施工期间加强环保意识、保持施工现场清洁、控制扬尘、杜绝漏洒材料，确保施工现场及周围无扬尘污染。</w:t>
      </w:r>
    </w:p>
    <w:p w14:paraId="58F737D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扰民与民扰：承包人应采取必要的措施,解决与工程有关的任何扰民或民扰问题,承包人必须遵照国家或北京市的有关规定,避免或减少由于施工造成的噪音、震动、光线、空气污染等因素带来的扰民及民扰影响以及施工带来的对日常行人使用道路的干扰。承包人必须主动协调同周围有关单位的关系,以免造成窝工、停工、延误工期的现象发生。如承包人在北京市有关规定中所允许的施工时间以外进行施工,或施工行为违反合同约定及/或相关法律法规，则发生噪音、空气污染等扰民事故索赔、额外费用、工期延误等均由承包人自行承担。</w:t>
      </w:r>
    </w:p>
    <w:p w14:paraId="67ABD5C2">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3)成品保护：承包人应提供必要的人员、材料和设备用于整个工程的成品保护,包括对已完成的其他承包人(如果有)的工程或工作的保护,防止任何已完工作遭受任何损坏或破坏,并自行承担有关费用。</w:t>
      </w:r>
    </w:p>
    <w:p w14:paraId="59D5AAE0">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4)承包人进行阶段性验收和专项竣工验收工作,应按照监理人要求准备并报送验收资料(包括但不限于经监理人审核盖章的竣工图纸)。承包人应按相关主管部门相关规定移交符合存档要求的完整资料并留存记录，及时撤场。</w:t>
      </w:r>
    </w:p>
    <w:p w14:paraId="0CED4F6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5）承包人应严格遵守发包人制订的各项管理流程及规章制度，若有违反则按相应规章制度执行。承包人应服从发包人对施工现场协调方的决定意见,服从项目整体管理。承包人应按照发包人要求移交已完工程内容。</w:t>
      </w:r>
    </w:p>
    <w:p w14:paraId="6CC3BDD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6)承包人应合理规划工期,对工程进度实施动态控制,为确保工期采取必要的措施。</w:t>
      </w:r>
    </w:p>
    <w:p w14:paraId="16057772">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7)承包人需对施工现场及周边进行踏勘,以充分了解工程位置、地质风貌、气候与水文条件、交通状况、电力、上下水、热力和燃气等市政基础设施及任何其他足以影响其施工安全性、施工方案的可实现性,以及对环保、社区或相邻环境及对相关方相邻权的影响，任何因承包人忽视、误解、未尽力确证项目相关情况等消极行为,而使发包人及/或第三方在项目实施过程中蒙受损失,将由承包人独立承担全部赔偿责任,不得作为向发包人索赔(包括工期、造价等)的依据。承包人应承担踏勘现场的责任和风险,做好施工准备工作,并负责施工期间内外部影响的协调、解决工作。</w:t>
      </w:r>
    </w:p>
    <w:p w14:paraId="12BB240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8)缴纳工程相关保险。</w:t>
      </w:r>
    </w:p>
    <w:p w14:paraId="1A923580">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9)承包人应按照国家现行规范标准与合同要求实施工程,完成全部工作内容,达到合同预期目的,接受发包人、政府主管部门及监理人的监督、检查、指导和管理。</w:t>
      </w:r>
    </w:p>
    <w:p w14:paraId="5CB09A2A">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10)承包人应按投标文件的承诺投入所报人员、机械设备等,并保证投入人员和机械设备在合同期内不得随意调换。确需调换时,承包人应征得发包人、监理人的事先同意,在保证同等条件下进行调整,但不得低于投标阶段配备标准。</w:t>
      </w:r>
    </w:p>
    <w:p w14:paraId="070D963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11)承包人应为工程的设计(如需)、实施、竣工以及修补缺陷而提供所需的全部工程照管、监督、劳务、设备、材料、施工机械、临时工程以及其他所有相关物品或工作。</w:t>
      </w:r>
    </w:p>
    <w:p w14:paraId="613303F4">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12)承包人应慎施工、勤量测，严格控制工程质量。</w:t>
      </w:r>
    </w:p>
    <w:p w14:paraId="1E42F38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13)承包人应已充分考虑施工期间产生的噪音、扬尘、震动、占地、通行、光线等对第三人或邻近建(构)筑物安全与正常使用的影响及其扰民费用,及由此产生的民扰对工程的影响及其费用,并已将此类有关费用包含于合同价中，因上述扰民或民扰行为引发的人身伤亡、罚款、索赔、赔偿、诉讼费和其它费用、损失及工期延误等,由承包人自行承担。承包人不得以处理扰民及民扰问题为由,向发包人提出索赔或要求延长工期。</w:t>
      </w:r>
    </w:p>
    <w:p w14:paraId="339AFFBC">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14)发包人在招标或施工过程中发放的各项基础资料,承包人应当负有核查义务,相应的核查费用包含在合同价格之中。</w:t>
      </w:r>
    </w:p>
    <w:p w14:paraId="45C8896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15)承包人应对所有现场作业、所有施工方法和全部工程的完备性、稳定性和安全性承担责任。</w:t>
      </w:r>
    </w:p>
    <w:p w14:paraId="087E0613">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16)如果任何为本工程正常使用功能和设计使用寿命所必须的或为本工程适用的任何规范、规程或标准所要求的工作既未以文字形式明确约定为属于发包人或任何其他承包人的工作,也未在本合同中以文字形式明确提及,则此类工作应作为承担本工程承包责任和义务的承包人的工作。承包人应积极完成相应工作，不得就此类潜在责任和义务向发包人提出任何费用和工期的索赔要求,且在任何情况下,承包人也不得就此提出有关其投标价格考虑不周、有缺或漏、计算错误等的补偿要求。</w:t>
      </w:r>
    </w:p>
    <w:p w14:paraId="641CEC4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17)政府有关职能部门下发的有关本工程的任何管理意见和通知,凡涉及承包人的,承包人应无条件承担相关责任和工作。政府政策性停工造成的工期延长，可双方协商一致后顺延。因政策性停工引起的费用增加，若有政府相关文件，则按文件执行，否则合同价格不予调整，相应损失由承包人自行承担。</w:t>
      </w:r>
    </w:p>
    <w:p w14:paraId="435141E4">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18)需承包人办理的有关施工场地交通、环卫和施工噪声管理等,包括但不限于如下手续:</w:t>
      </w:r>
    </w:p>
    <w:p w14:paraId="1BFB8570">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I需要办理交通特别通行证时,由承包人办理有关手续；施工现场需要排放有害污水时,由承包人办理有关手续；</w:t>
      </w:r>
    </w:p>
    <w:p w14:paraId="7F7F79CB">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II施工噪音的控制要按照当地主管部门的规定,由承包人提出具体措施,经监理人和发包人认可后，承包人予以实施；</w:t>
      </w:r>
    </w:p>
    <w:p w14:paraId="0C506FF9">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III承包人需严格遵守地方政府和有关部门对施工场地交通、施工噪声、施工现场环境卫生和场外污染等管理规定,并办理有关手续,由于承包人责任造成的罚款由承包人负责支付；</w:t>
      </w:r>
    </w:p>
    <w:p w14:paraId="177B2812">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Ⅳ协调有关各方关系。</w:t>
      </w:r>
    </w:p>
    <w:p w14:paraId="09FFE038">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19)由承包人负责采购的设备、材料，加工订货前须经发包人和监理人确认质量、必要时核实价格；承包人在采购材料和设备前，必须严格按照招标文件或发包人所规定的性能和技术需求进行选型，并经过发包人认可后方可采购，否则，发包人和监理人将拒绝进场，由此产生的一切损失由承包人自行承担。承包人自行采购的材料和工程设备如超过进度计划到场时间5日仍不能到场，视为影响工程进度，发包人有权另行组织订货，并从承包人合同款中扣除该项费用。同时，发包人有权向承包人追究因此而造成的损失。</w:t>
      </w:r>
    </w:p>
    <w:p w14:paraId="31EA5D40">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20）承包人须确保安全文明施工,达到北京市绿色安全文明示范工地达标标准。承包人违反前述约定，造成严重影响的,发包人将按照相关规定扣除违约金,且安全事故后果由承包人承担。发生重大伤亡及其他安全事故,承包人应按有关规定立即上报有关部门并通知发包人及监理人,同时按政府有关部门要求处理,除由事故责任方承担发生的费用外,由此造成的工程质量及工期影响按本专用条款中有关质量和进度违约的约定及合同文件要求执行。</w:t>
      </w:r>
    </w:p>
    <w:p w14:paraId="0CFFA1BD">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21)承包人应保证所承包工程在竣工验收、移交前,处于完好状态并承担需发生的全部费用。</w:t>
      </w:r>
    </w:p>
    <w:p w14:paraId="32D9252F">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22) 在施工过程中，因承包人安全措施未落实或工程质量未达到合同约定标准，发包人有权通过监理人发出停工整改令，承包人不得因停工整改而提出工期顺延要求。当施工过程中发现不合格项目,相关工程款不予支付,承包人应及时整改，经重新验收合格后再行支付相关工程款。因承包人原因工程质量未达到质量标准，发包人有权要求承包人在合理期限内无偿修改或返工，直到通过验收，达到合同约定的质量标准，且工期不予顺延。</w:t>
      </w:r>
    </w:p>
    <w:p w14:paraId="19A6E6AC">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23)发包人严禁任何挂靠单位进入现场施工，若发现承包人有挂靠行为,而承包人未采取任何措施予以制止,均视为是承包人的违约行为,承包人应承担违约责任并须接受相关监督管理部门的处罚。发包人有权要求挂靠的单位无条件退出现场,不给予任何补偿,若上述挂靠行为给发包人造成经济损失的,承包人应视为严重违约。</w:t>
      </w:r>
    </w:p>
    <w:p w14:paraId="0DE9048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24)竣工清理:工程竣工后,无论发包人是否已办妥政府有关部门所要求的一切必要的批准、备案手续以及是否已发布移交证书,承包人均应当安排专业队伍全面履行合同责任和义务。包括:</w:t>
      </w:r>
    </w:p>
    <w:p w14:paraId="1D9EC5C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a清除现场剩余材料、杂物、渣土和垃圾；</w:t>
      </w:r>
    </w:p>
    <w:p w14:paraId="2F57AFEB">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b除非发包人和监理人批准保留,承包人应当拆除现场所有的临时建筑物(含基础)、构筑物(含基础)和临时设施(含基础),并恢复地面原状；</w:t>
      </w:r>
    </w:p>
    <w:p w14:paraId="4C894510">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c修缮所有损失、清除所有污迹、替换所有需要更换的材料。</w:t>
      </w:r>
    </w:p>
    <w:p w14:paraId="0709A339">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25)工程移交:承包人在竣工验收前15日内须向发包人提供相关行政主管部门验收备案所用的图纸及资料；在工程竣工验收后30日内提交竣工资料及图纸,具体要求见技术规范，竣工图纸及资料(应符合城建档案馆的要求)的费用由承包人承担。承包人应在向发包人提供的竣工图纸上按要求签字、盖章,并由监理人审核，按要求签字、盖章。除提交主管部门所需图纸外，承包人还需制作两份竣工资料及竣工图纸必须给发包人自用。</w:t>
      </w:r>
    </w:p>
    <w:p w14:paraId="762B2752">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26）承包人应严格执行《北京市住房和城乡建设委员会关于在建设工程施工现场推广使用远程视频监控系统的通知》（京建法【2013】17号）的规定，为摄像头的安装提供必要的场地及技术支持，积极配合视频监控系统的安装工作，并做好摄像头的保护工作，确保设备不被人为破坏。</w:t>
      </w:r>
    </w:p>
    <w:p w14:paraId="0D5FD004">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27）须具备工程建设类执业资格和持证上岗的人员情况：</w:t>
      </w:r>
    </w:p>
    <w:p w14:paraId="46FEE78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1、承包人为本地施工企业的，合同中应当将：项目负责人（建造师注册证书）、项目负责人安全生产考核合格证书（B本）、专职安全管理员（C本）、合同管理人员的姓名、身份证号、注册（资格）证书编号等内容以合同附件形式集中列出。</w:t>
      </w:r>
    </w:p>
    <w:p w14:paraId="54F4E32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承包人为外地施工企业的，合同中应当将：项目负责人（建造师注册证书）、项目负责人安全生产考核合格证书（B本）、专职安全管理员（C本）、造价员、合同管理人员及项目管理机构全体人员的姓名、身份证号、注册（资格）证书编号等内容以合同附件形式集中列出。</w:t>
      </w:r>
    </w:p>
    <w:p w14:paraId="1AE1546D">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3、为确保工程顺利进行，承包人投标项目管理人员不能擅自更换，项目经理、生产经理、项目技术负责人。若因不可抗力以外的原因更换生产经理、项目技术负责人，须提前1个月向发包人提出申请，且必须经发包人书面同意后方可更换，更换的项目经理在学历、执业资格证书等级及同类项目业绩经验等必须参照本项目资格预审文件中对项目经理要求，不能低于原项目经理水平标准。如有违约，按现场管理规定处理。由于项目经理更换导致发包人受损失的，由承包人赔偿，赔偿方式双方另行协商。</w:t>
      </w:r>
    </w:p>
    <w:p w14:paraId="5C814825">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4、各项违约金发包人有权自行在当期工程款中扣除，当期工程款不足时在后续工程款中继续扣除。尽管承包人因各种原因支付违约金，但承包人并不因此而免责。本条款适用于本项目合同文件项下承包人违约的所有情景。</w:t>
      </w:r>
    </w:p>
    <w:p w14:paraId="59D035A3">
      <w:pPr>
        <w:adjustRightInd w:val="0"/>
        <w:snapToGrid w:val="0"/>
        <w:spacing w:line="360" w:lineRule="auto"/>
        <w:ind w:firstLine="480" w:firstLineChars="200"/>
        <w:outlineLvl w:val="2"/>
        <w:rPr>
          <w:rFonts w:hint="eastAsia" w:ascii="宋体" w:hAnsi="宋体" w:eastAsia="宋体" w:cs="宋体"/>
          <w:sz w:val="24"/>
          <w:szCs w:val="24"/>
          <w:u w:val="single"/>
        </w:rPr>
      </w:pPr>
      <w:bookmarkStart w:id="862" w:name="_Toc23044"/>
      <w:r>
        <w:rPr>
          <w:rFonts w:hint="eastAsia" w:ascii="宋体" w:hAnsi="宋体" w:eastAsia="宋体" w:cs="宋体"/>
          <w:sz w:val="24"/>
          <w:szCs w:val="24"/>
          <w:u w:val="single"/>
        </w:rPr>
        <w:t>5、季节性施工应加强季节性施工安全生产工作。</w:t>
      </w:r>
      <w:bookmarkEnd w:id="862"/>
    </w:p>
    <w:p w14:paraId="2737BDB3">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6、工程款支付与竣工结算环节中，承包人应充分配合发包人聘请的全过程造价咨询服务机构的工作，即结算文件经发包人聘请的全过程造价咨询服务机构确认后生效。如因承包人原因造成的，承包人费用而发生的债务纠纷，由承包人自行完全解决，发包人不承担任何责任，也不协调解决。</w:t>
      </w:r>
    </w:p>
    <w:p w14:paraId="7F7B8D12">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 xml:space="preserve">7、发、承包双方在按合同约定办理了竣工结算后，应被认为承包人已无权再提出竣工结算前所发生的任何索赔。   </w:t>
      </w:r>
    </w:p>
    <w:p w14:paraId="4CA00D1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8、承包人预留的质量保证金不足以抵减本工程缺陷修复费用的，承包人应承担不足部分的补偿责任。</w:t>
      </w:r>
    </w:p>
    <w:p w14:paraId="0DAA7DF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28）承包人应严格落实《保障农民工工资支付条例》（国务院令第724号文），规范农民工工资支付行为，保障农民工工资按时足额支付。</w:t>
      </w:r>
    </w:p>
    <w:p w14:paraId="130D976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29）承包人应按工程项目开设农民工工资专用银行账户。承包人应于每月25日前在工程款的中期计量支付中，向发包人提供本期农民工工资支付金额。发包人依据经审计审定的农民工工资金额，将相应的款项支付至承包人的农民工工资专用账户。</w:t>
      </w:r>
    </w:p>
    <w:p w14:paraId="190B9AD4">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30）工程竣工结算时，承包人应向发包人提交农民工工资已支付完毕的相关支撑性资料和经盖公章的农民工资已支付完毕的承诺书，作为工程结算签订定案表的前置条件。否则，发包人有权扣留农民工工资对应金额，并有权自行向相应农民工支付，此等情况下，视为发包人已向承包人履行完毕对应款项支付义务。</w:t>
      </w:r>
    </w:p>
    <w:p w14:paraId="768DCD3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4.2  履约担保</w:t>
      </w:r>
    </w:p>
    <w:p w14:paraId="4E7DC10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4.2.1  承包人履约担保的格式和金额</w:t>
      </w:r>
    </w:p>
    <w:p w14:paraId="2A81543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工程过程中，发包人依据实际需求，确定是否需要承包人提供履约担保。</w:t>
      </w:r>
    </w:p>
    <w:p w14:paraId="27AF96E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如需要提供履约担保，则按以下条款执行：发包人</w:t>
      </w:r>
      <w:r>
        <w:rPr>
          <w:rFonts w:hint="eastAsia" w:ascii="宋体" w:hAnsi="宋体" w:eastAsia="宋体" w:cs="宋体"/>
          <w:sz w:val="24"/>
          <w:szCs w:val="24"/>
          <w:u w:val="single"/>
        </w:rPr>
        <w:t>要求</w:t>
      </w:r>
      <w:r>
        <w:rPr>
          <w:rFonts w:hint="eastAsia" w:ascii="宋体" w:hAnsi="宋体" w:eastAsia="宋体" w:cs="宋体"/>
          <w:sz w:val="24"/>
          <w:szCs w:val="24"/>
        </w:rPr>
        <w:t>承包人提供承包人履约担保。履约担保采取</w:t>
      </w:r>
      <w:r>
        <w:rPr>
          <w:rFonts w:hint="eastAsia" w:ascii="宋体" w:hAnsi="宋体" w:eastAsia="宋体" w:cs="宋体"/>
          <w:sz w:val="24"/>
          <w:szCs w:val="24"/>
          <w:u w:val="single"/>
        </w:rPr>
        <w:t>履约保函</w:t>
      </w:r>
      <w:r>
        <w:rPr>
          <w:rFonts w:hint="eastAsia" w:ascii="宋体" w:hAnsi="宋体" w:eastAsia="宋体" w:cs="宋体"/>
          <w:sz w:val="24"/>
          <w:szCs w:val="24"/>
        </w:rPr>
        <w:t>的形式，承包人提供履约保函的金额</w:t>
      </w:r>
      <w:r>
        <w:rPr>
          <w:rFonts w:hint="eastAsia" w:ascii="宋体" w:hAnsi="宋体" w:eastAsia="宋体" w:cs="宋体"/>
          <w:sz w:val="24"/>
          <w:szCs w:val="24"/>
          <w:lang w:eastAsia="zh-CN"/>
        </w:rPr>
        <w:t>、</w:t>
      </w:r>
      <w:r>
        <w:rPr>
          <w:rFonts w:hint="eastAsia" w:ascii="宋体" w:hAnsi="宋体" w:eastAsia="宋体" w:cs="宋体"/>
          <w:sz w:val="24"/>
          <w:szCs w:val="24"/>
          <w:u w:val="single"/>
        </w:rPr>
        <w:t>提供和退回时间依据实际情况甲乙双方协商确定。</w:t>
      </w:r>
    </w:p>
    <w:p w14:paraId="3340112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4.11  不利物质条件</w:t>
      </w:r>
    </w:p>
    <w:p w14:paraId="78AC1EC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4.11.1  不利物质条件的范围：</w:t>
      </w:r>
      <w:r>
        <w:rPr>
          <w:rFonts w:hint="eastAsia" w:ascii="宋体" w:hAnsi="宋体" w:eastAsia="宋体" w:cs="宋体"/>
          <w:sz w:val="24"/>
          <w:szCs w:val="24"/>
          <w:u w:val="single"/>
        </w:rPr>
        <w:t>不利物质条件、地下已存在的但未探明的非自然物质障碍和污染物等,，包括地下和水文条件，,但不包括气候条件和不可抗力。</w:t>
      </w:r>
    </w:p>
    <w:p w14:paraId="106E2A75">
      <w:pPr>
        <w:adjustRightInd w:val="0"/>
        <w:snapToGrid w:val="0"/>
        <w:spacing w:line="360" w:lineRule="auto"/>
        <w:outlineLvl w:val="2"/>
        <w:rPr>
          <w:rFonts w:hint="eastAsia" w:ascii="宋体" w:hAnsi="宋体" w:eastAsia="宋体" w:cs="宋体"/>
          <w:sz w:val="24"/>
          <w:szCs w:val="24"/>
        </w:rPr>
      </w:pPr>
      <w:bookmarkStart w:id="863" w:name="_Toc85792355"/>
      <w:bookmarkStart w:id="864" w:name="_Toc84948847"/>
      <w:bookmarkStart w:id="865" w:name="_Toc10938"/>
      <w:bookmarkStart w:id="866" w:name="_Toc161933522"/>
      <w:r>
        <w:rPr>
          <w:rFonts w:hint="eastAsia" w:ascii="宋体" w:hAnsi="宋体" w:eastAsia="宋体" w:cs="宋体"/>
          <w:sz w:val="24"/>
          <w:szCs w:val="24"/>
        </w:rPr>
        <w:t>5.材料和工程设备</w:t>
      </w:r>
      <w:bookmarkEnd w:id="863"/>
      <w:bookmarkEnd w:id="864"/>
      <w:bookmarkEnd w:id="865"/>
      <w:bookmarkEnd w:id="866"/>
    </w:p>
    <w:p w14:paraId="23D7993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5.1  承包人提供的材料和工程设备</w:t>
      </w:r>
    </w:p>
    <w:p w14:paraId="171320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5.1.2 承包人将由其提供的材料和工程设备的供货人和品种、规格、数量及供货时间等报送监理人审批的期限：</w:t>
      </w:r>
      <w:r>
        <w:rPr>
          <w:rFonts w:hint="eastAsia" w:ascii="宋体" w:hAnsi="宋体" w:eastAsia="宋体" w:cs="宋体"/>
          <w:sz w:val="24"/>
          <w:szCs w:val="24"/>
          <w:u w:val="single"/>
        </w:rPr>
        <w:t>材料和工程设备进场前7日.</w:t>
      </w:r>
    </w:p>
    <w:p w14:paraId="6872AD9E">
      <w:pPr>
        <w:adjustRightInd w:val="0"/>
        <w:snapToGrid w:val="0"/>
        <w:spacing w:line="360" w:lineRule="auto"/>
        <w:outlineLvl w:val="2"/>
        <w:rPr>
          <w:rFonts w:hint="eastAsia" w:ascii="宋体" w:hAnsi="宋体" w:eastAsia="宋体" w:cs="宋体"/>
          <w:sz w:val="24"/>
          <w:szCs w:val="24"/>
        </w:rPr>
      </w:pPr>
      <w:bookmarkStart w:id="867" w:name="_Toc1136"/>
      <w:bookmarkStart w:id="868" w:name="_Toc85792356"/>
      <w:bookmarkStart w:id="869" w:name="_Toc161933523"/>
      <w:bookmarkStart w:id="870" w:name="_Toc84948848"/>
      <w:r>
        <w:rPr>
          <w:rFonts w:hint="eastAsia" w:ascii="宋体" w:hAnsi="宋体" w:eastAsia="宋体" w:cs="宋体"/>
          <w:sz w:val="24"/>
          <w:szCs w:val="24"/>
        </w:rPr>
        <w:t>6.施工设备和临时设施</w:t>
      </w:r>
      <w:bookmarkEnd w:id="867"/>
      <w:bookmarkEnd w:id="868"/>
      <w:bookmarkEnd w:id="869"/>
      <w:bookmarkEnd w:id="870"/>
    </w:p>
    <w:p w14:paraId="03AE23A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6.1  承包人提供的施工设备和临时设施</w:t>
      </w:r>
    </w:p>
    <w:p w14:paraId="6FC68F4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6.1.2  发包人承担修建临时设施费用的范围：</w:t>
      </w:r>
      <w:r>
        <w:rPr>
          <w:rFonts w:hint="eastAsia" w:ascii="宋体" w:hAnsi="宋体" w:eastAsia="宋体" w:cs="宋体"/>
          <w:sz w:val="24"/>
          <w:szCs w:val="24"/>
          <w:u w:val="single"/>
        </w:rPr>
        <w:t>满足现场施工的临水、临电以及安全文明施工设施等；住宿、用餐等需由承包方自行解决；其他由双方根据现场实际条件协商解决。</w:t>
      </w:r>
    </w:p>
    <w:p w14:paraId="0CBC3E1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需要发包人办理申请手续并承担相关费用的临时占地：</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input614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8AC65B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6.2  发包人提供的施工设备和临时设施</w:t>
      </w:r>
    </w:p>
    <w:p w14:paraId="3C343D6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发包人提供的施工设备和临时设施：</w:t>
      </w:r>
      <w:r>
        <w:rPr>
          <w:rFonts w:hint="eastAsia" w:ascii="宋体" w:hAnsi="宋体" w:eastAsia="宋体" w:cs="宋体"/>
          <w:sz w:val="24"/>
          <w:szCs w:val="24"/>
          <w:u w:val="single"/>
        </w:rPr>
        <w:t>双方根据现场实际条件协商解决。</w:t>
      </w:r>
    </w:p>
    <w:p w14:paraId="50DC99E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发包人提供的施工设备和临时设施的运行、维护、拆除、清运费用的承担人：</w:t>
      </w:r>
      <w:r>
        <w:rPr>
          <w:rFonts w:hint="eastAsia" w:ascii="宋体" w:hAnsi="宋体" w:eastAsia="宋体" w:cs="宋体"/>
          <w:sz w:val="24"/>
          <w:szCs w:val="24"/>
          <w:u w:val="single"/>
        </w:rPr>
        <w:t>承包人。</w:t>
      </w:r>
    </w:p>
    <w:p w14:paraId="34B34B1E">
      <w:pPr>
        <w:adjustRightInd w:val="0"/>
        <w:snapToGrid w:val="0"/>
        <w:spacing w:line="360" w:lineRule="auto"/>
        <w:outlineLvl w:val="2"/>
        <w:rPr>
          <w:rFonts w:hint="eastAsia" w:ascii="宋体" w:hAnsi="宋体" w:eastAsia="宋体" w:cs="宋体"/>
          <w:sz w:val="24"/>
          <w:szCs w:val="24"/>
        </w:rPr>
      </w:pPr>
      <w:bookmarkStart w:id="871" w:name="_Toc32311"/>
      <w:bookmarkStart w:id="872" w:name="_Toc85792357"/>
      <w:bookmarkStart w:id="873" w:name="_Toc161933524"/>
      <w:bookmarkStart w:id="874" w:name="_Toc84948849"/>
      <w:r>
        <w:rPr>
          <w:rFonts w:hint="eastAsia" w:ascii="宋体" w:hAnsi="宋体" w:eastAsia="宋体" w:cs="宋体"/>
          <w:sz w:val="24"/>
          <w:szCs w:val="24"/>
        </w:rPr>
        <w:t>7.交通运输</w:t>
      </w:r>
      <w:bookmarkEnd w:id="871"/>
      <w:bookmarkEnd w:id="872"/>
      <w:bookmarkEnd w:id="873"/>
      <w:bookmarkEnd w:id="874"/>
    </w:p>
    <w:p w14:paraId="4F760C2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7.1  道路通行权和场外设施</w:t>
      </w:r>
    </w:p>
    <w:p w14:paraId="664F8A2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负责取得道路通行权、场外设施修建权的办理人:</w:t>
      </w:r>
      <w:r>
        <w:rPr>
          <w:rFonts w:hint="eastAsia" w:ascii="宋体" w:hAnsi="宋体" w:eastAsia="宋体" w:cs="宋体"/>
          <w:sz w:val="24"/>
          <w:szCs w:val="24"/>
          <w:u w:val="single"/>
        </w:rPr>
        <w:t>承包人</w:t>
      </w:r>
      <w:r>
        <w:rPr>
          <w:rFonts w:hint="eastAsia" w:ascii="宋体" w:hAnsi="宋体" w:eastAsia="宋体" w:cs="宋体"/>
          <w:sz w:val="24"/>
          <w:szCs w:val="24"/>
        </w:rPr>
        <w:t xml:space="preserve">，其相关费用由发包人承担。 </w:t>
      </w:r>
    </w:p>
    <w:p w14:paraId="606B53C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7.2  场内施工道路</w:t>
      </w:r>
    </w:p>
    <w:p w14:paraId="2D9D886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7.2.1  施工所需的场内临时道路和交通设施的修建、维护、养护和管理人：</w:t>
      </w:r>
      <w:r>
        <w:rPr>
          <w:rFonts w:hint="eastAsia" w:ascii="宋体" w:hAnsi="宋体" w:eastAsia="宋体" w:cs="宋体"/>
          <w:sz w:val="24"/>
          <w:szCs w:val="24"/>
          <w:u w:val="single"/>
        </w:rPr>
        <w:t>承包人</w:t>
      </w:r>
      <w:r>
        <w:rPr>
          <w:rFonts w:hint="eastAsia" w:ascii="宋体" w:hAnsi="宋体" w:eastAsia="宋体" w:cs="宋体"/>
          <w:sz w:val="24"/>
          <w:szCs w:val="24"/>
        </w:rPr>
        <w:t>，相关费用由</w:t>
      </w:r>
      <w:r>
        <w:rPr>
          <w:rFonts w:hint="eastAsia" w:ascii="宋体" w:hAnsi="宋体" w:eastAsia="宋体" w:cs="宋体"/>
          <w:sz w:val="24"/>
          <w:szCs w:val="24"/>
          <w:u w:val="single"/>
        </w:rPr>
        <w:t>承包人</w:t>
      </w:r>
      <w:r>
        <w:rPr>
          <w:rFonts w:hint="eastAsia" w:ascii="宋体" w:hAnsi="宋体" w:eastAsia="宋体" w:cs="宋体"/>
          <w:sz w:val="24"/>
          <w:szCs w:val="24"/>
        </w:rPr>
        <w:t>承担。</w:t>
      </w:r>
    </w:p>
    <w:p w14:paraId="3C53402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7.4  超大件和超重件的运输</w:t>
      </w:r>
    </w:p>
    <w:p w14:paraId="46F9979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运输超大件或超重件所需的道路和桥梁临时加固改造等费用的承担人：</w:t>
      </w:r>
      <w:r>
        <w:rPr>
          <w:rFonts w:hint="eastAsia" w:ascii="宋体" w:hAnsi="宋体" w:eastAsia="宋体" w:cs="宋体"/>
          <w:sz w:val="24"/>
          <w:szCs w:val="24"/>
          <w:u w:val="single"/>
        </w:rPr>
        <w:t>承包人，相关费用由承包人承担。</w:t>
      </w:r>
    </w:p>
    <w:p w14:paraId="49A55CED">
      <w:pPr>
        <w:adjustRightInd w:val="0"/>
        <w:snapToGrid w:val="0"/>
        <w:spacing w:line="360" w:lineRule="auto"/>
        <w:outlineLvl w:val="2"/>
        <w:rPr>
          <w:rFonts w:hint="eastAsia" w:ascii="宋体" w:hAnsi="宋体" w:eastAsia="宋体" w:cs="宋体"/>
          <w:sz w:val="24"/>
          <w:szCs w:val="24"/>
        </w:rPr>
      </w:pPr>
      <w:bookmarkStart w:id="875" w:name="_Toc31962"/>
      <w:bookmarkStart w:id="876" w:name="_Toc84948850"/>
      <w:bookmarkStart w:id="877" w:name="_Toc85792358"/>
      <w:bookmarkStart w:id="878" w:name="_Toc161933525"/>
      <w:r>
        <w:rPr>
          <w:rFonts w:hint="eastAsia" w:ascii="宋体" w:hAnsi="宋体" w:eastAsia="宋体" w:cs="宋体"/>
          <w:sz w:val="24"/>
          <w:szCs w:val="24"/>
        </w:rPr>
        <w:t>8.测量放线</w:t>
      </w:r>
      <w:bookmarkEnd w:id="875"/>
      <w:bookmarkEnd w:id="876"/>
      <w:bookmarkEnd w:id="877"/>
      <w:bookmarkEnd w:id="878"/>
    </w:p>
    <w:p w14:paraId="6210FCB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8.1  施工控制网</w:t>
      </w:r>
    </w:p>
    <w:p w14:paraId="6CE1B0E4">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8.1.1  发包人通过监理人提供测量基准点、基准线和水准点及其书面资料的期限：</w:t>
      </w:r>
    </w:p>
    <w:p w14:paraId="32BCF548">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开工通知发出后7天内。</w:t>
      </w:r>
    </w:p>
    <w:p w14:paraId="701665B8">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8.1.4  承包人测设施工控制网及施工测量的其他要求：</w:t>
      </w:r>
      <w:r>
        <w:rPr>
          <w:rFonts w:hint="eastAsia" w:ascii="宋体" w:hAnsi="宋体" w:eastAsia="宋体" w:cs="宋体"/>
          <w:sz w:val="24"/>
          <w:szCs w:val="24"/>
          <w:u w:val="single"/>
        </w:rPr>
        <w:t>承包人将施工控制网资料报送监理人审批的期限：收到开工通知7天内报送。</w:t>
      </w:r>
    </w:p>
    <w:p w14:paraId="0606B37F">
      <w:pPr>
        <w:adjustRightInd w:val="0"/>
        <w:snapToGrid w:val="0"/>
        <w:spacing w:line="360" w:lineRule="auto"/>
        <w:outlineLvl w:val="2"/>
        <w:rPr>
          <w:rFonts w:hint="eastAsia" w:ascii="宋体" w:hAnsi="宋体" w:eastAsia="宋体" w:cs="宋体"/>
          <w:sz w:val="24"/>
          <w:szCs w:val="24"/>
        </w:rPr>
      </w:pPr>
      <w:bookmarkStart w:id="879" w:name="_Toc84948851"/>
      <w:bookmarkStart w:id="880" w:name="_Toc31486"/>
      <w:bookmarkStart w:id="881" w:name="_Toc85792359"/>
      <w:bookmarkStart w:id="882" w:name="_Toc161933526"/>
      <w:r>
        <w:rPr>
          <w:rFonts w:hint="eastAsia" w:ascii="宋体" w:hAnsi="宋体" w:eastAsia="宋体" w:cs="宋体"/>
          <w:sz w:val="24"/>
          <w:szCs w:val="24"/>
        </w:rPr>
        <w:t>9.施工安全、治安保卫和环境保护</w:t>
      </w:r>
      <w:bookmarkEnd w:id="879"/>
      <w:bookmarkEnd w:id="880"/>
      <w:bookmarkEnd w:id="881"/>
      <w:bookmarkEnd w:id="882"/>
    </w:p>
    <w:p w14:paraId="5AB9855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9.2  承包人的施工安全责任</w:t>
      </w:r>
    </w:p>
    <w:p w14:paraId="0E359AAD">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9.2.1  承包人向监理人报送施工安全措施计划的期限：</w:t>
      </w:r>
      <w:r>
        <w:rPr>
          <w:rFonts w:hint="eastAsia" w:ascii="宋体" w:hAnsi="宋体" w:eastAsia="宋体" w:cs="宋体"/>
          <w:sz w:val="24"/>
          <w:szCs w:val="24"/>
          <w:u w:val="single"/>
        </w:rPr>
        <w:t>收到开工通知后7天内报送</w:t>
      </w:r>
    </w:p>
    <w:p w14:paraId="43EBF304">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监理人收到承包人报送的施工安全措施计划后应当在</w:t>
      </w:r>
      <w:r>
        <w:rPr>
          <w:rFonts w:hint="eastAsia" w:ascii="宋体" w:hAnsi="宋体" w:eastAsia="宋体" w:cs="宋体"/>
          <w:sz w:val="24"/>
          <w:szCs w:val="24"/>
          <w:u w:val="single"/>
        </w:rPr>
        <w:t>7</w:t>
      </w:r>
      <w:r>
        <w:rPr>
          <w:rFonts w:hint="eastAsia" w:ascii="宋体" w:hAnsi="宋体" w:eastAsia="宋体" w:cs="宋体"/>
          <w:sz w:val="24"/>
          <w:szCs w:val="24"/>
        </w:rPr>
        <w:t>天内给予批复。</w:t>
      </w:r>
    </w:p>
    <w:p w14:paraId="56183F6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9.3  治安保卫</w:t>
      </w:r>
    </w:p>
    <w:p w14:paraId="707BA8A0">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9.3.3 制定施工场地治安管理计划和突发治安事件紧急预案的责任人：</w:t>
      </w:r>
      <w:r>
        <w:rPr>
          <w:rFonts w:hint="eastAsia" w:ascii="宋体" w:hAnsi="宋体" w:eastAsia="宋体" w:cs="宋体"/>
          <w:sz w:val="24"/>
          <w:szCs w:val="24"/>
          <w:u w:val="single"/>
        </w:rPr>
        <w:t>承包人</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input625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817206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9.4  环境保护</w:t>
      </w:r>
    </w:p>
    <w:p w14:paraId="22457975">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9.4.3  施工环保措施计划报送监理人审批的时间：</w:t>
      </w:r>
      <w:r>
        <w:rPr>
          <w:rFonts w:hint="eastAsia" w:ascii="宋体" w:hAnsi="宋体" w:eastAsia="宋体" w:cs="宋体"/>
          <w:sz w:val="24"/>
          <w:szCs w:val="24"/>
          <w:u w:val="single"/>
        </w:rPr>
        <w:t>签订合同后7天内报送。</w:t>
      </w:r>
    </w:p>
    <w:p w14:paraId="1E88DA7D">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监理人收到承包人报送的施工环保措施计划后应当在</w:t>
      </w:r>
      <w:r>
        <w:rPr>
          <w:rFonts w:hint="eastAsia" w:ascii="宋体" w:hAnsi="宋体" w:eastAsia="宋体" w:cs="宋体"/>
          <w:sz w:val="24"/>
          <w:szCs w:val="24"/>
          <w:u w:val="single"/>
        </w:rPr>
        <w:t>7</w:t>
      </w:r>
      <w:r>
        <w:rPr>
          <w:rFonts w:hint="eastAsia" w:ascii="宋体" w:hAnsi="宋体" w:eastAsia="宋体" w:cs="宋体"/>
          <w:sz w:val="24"/>
          <w:szCs w:val="24"/>
        </w:rPr>
        <w:t>天内给予批复。</w:t>
      </w:r>
    </w:p>
    <w:p w14:paraId="2FE3E30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9.6  施工现场安全生产标准化管理目标 </w:t>
      </w:r>
    </w:p>
    <w:p w14:paraId="0E8CD828">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rPr>
        <w:t>9.6.1 未达到合同协议书中约定的安全生产标准化管理目标等级的违约金或损失赔偿金的金额或者计算方法：</w:t>
      </w:r>
      <w:r>
        <w:rPr>
          <w:rFonts w:hint="eastAsia" w:ascii="宋体" w:hAnsi="宋体" w:eastAsia="宋体" w:cs="宋体"/>
          <w:sz w:val="24"/>
          <w:szCs w:val="24"/>
          <w:u w:val="single"/>
        </w:rPr>
        <w:t>A=(1— Κ1÷ Κ2)× F</w:t>
      </w:r>
    </w:p>
    <w:p w14:paraId="4D235085">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其中:A一计算的违约损失赔偿金</w:t>
      </w:r>
    </w:p>
    <w:p w14:paraId="360322A7">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Κ1—标准化考评认定等级对应《安全文明施工管理办法》规定的标准费率</w:t>
      </w:r>
    </w:p>
    <w:p w14:paraId="4A49ECEB">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Κ2一合同约定的管理目标等级对应《安全文明施工管理办法》规定的标准费率</w:t>
      </w:r>
    </w:p>
    <w:p w14:paraId="6E48372A">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u w:val="single"/>
        </w:rPr>
        <w:t>F一合同中载明的安全文明施工费总额</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input744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2ED2C90F">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9.6.2  发包人</w:t>
      </w:r>
      <w:r>
        <w:rPr>
          <w:rFonts w:hint="eastAsia" w:ascii="宋体" w:hAnsi="宋体" w:eastAsia="宋体" w:cs="宋体"/>
          <w:sz w:val="24"/>
          <w:szCs w:val="24"/>
          <w:u w:val="single"/>
        </w:rPr>
        <w:t>不给予</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input745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r>
        <w:rPr>
          <w:rFonts w:hint="eastAsia" w:ascii="宋体" w:hAnsi="宋体" w:eastAsia="宋体" w:cs="宋体"/>
          <w:sz w:val="24"/>
          <w:szCs w:val="24"/>
        </w:rPr>
        <w:t>（给予/不给予）承包人创优奖励。发包人给予承包人创优奖励的，创优奖励金额或者计算方法：</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input746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480D838F">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9.7  特殊安全文明施工</w:t>
      </w:r>
    </w:p>
    <w:p w14:paraId="0FEA5C52">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 xml:space="preserve">9.7.1  未达到合同约定的特殊安全文明施工要求的违约金或损失赔偿金的金额或者计算方法： </w:t>
      </w:r>
    </w:p>
    <w:p w14:paraId="4D60FC70">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input747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82353BD">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9.7.2 发包人</w:t>
      </w:r>
      <w:r>
        <w:rPr>
          <w:rFonts w:hint="eastAsia" w:ascii="宋体" w:hAnsi="宋体" w:eastAsia="宋体" w:cs="宋体"/>
          <w:sz w:val="24"/>
          <w:szCs w:val="24"/>
          <w:u w:val="single"/>
        </w:rPr>
        <w:t>不给予</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input748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r>
        <w:rPr>
          <w:rFonts w:hint="eastAsia" w:ascii="宋体" w:hAnsi="宋体" w:eastAsia="宋体" w:cs="宋体"/>
          <w:sz w:val="24"/>
          <w:szCs w:val="24"/>
        </w:rPr>
        <w:t>（给予/不给予）承包人创优奖励。发包人给予承包人创优奖励的，创优奖励金额或者计算方法：</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input749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274BA427">
      <w:pPr>
        <w:adjustRightInd w:val="0"/>
        <w:snapToGrid w:val="0"/>
        <w:spacing w:line="360" w:lineRule="auto"/>
        <w:outlineLvl w:val="2"/>
        <w:rPr>
          <w:rFonts w:hint="eastAsia" w:ascii="宋体" w:hAnsi="宋体" w:eastAsia="宋体" w:cs="宋体"/>
          <w:sz w:val="24"/>
          <w:szCs w:val="24"/>
        </w:rPr>
      </w:pPr>
      <w:bookmarkStart w:id="883" w:name="_Toc85792360"/>
      <w:bookmarkStart w:id="884" w:name="_Toc6302"/>
      <w:bookmarkStart w:id="885" w:name="_Toc84948852"/>
      <w:bookmarkStart w:id="886" w:name="_Toc161933527"/>
      <w:r>
        <w:rPr>
          <w:rFonts w:hint="eastAsia" w:ascii="宋体" w:hAnsi="宋体" w:eastAsia="宋体" w:cs="宋体"/>
          <w:sz w:val="24"/>
          <w:szCs w:val="24"/>
        </w:rPr>
        <w:t>10.进度计划</w:t>
      </w:r>
      <w:bookmarkEnd w:id="883"/>
      <w:bookmarkEnd w:id="884"/>
      <w:bookmarkEnd w:id="885"/>
      <w:bookmarkEnd w:id="886"/>
    </w:p>
    <w:p w14:paraId="292B04D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10.1  合同进度计划</w:t>
      </w:r>
    </w:p>
    <w:p w14:paraId="105EAAF9">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rPr>
        <w:t>10.1.1  承包人编制施工进度计划和施工方案说明的内容：</w:t>
      </w:r>
      <w:r>
        <w:rPr>
          <w:rFonts w:hint="eastAsia" w:ascii="宋体" w:hAnsi="宋体" w:eastAsia="宋体" w:cs="宋体"/>
          <w:sz w:val="24"/>
          <w:szCs w:val="24"/>
          <w:u w:val="single"/>
        </w:rPr>
        <w:t>作为本工程的承包人,承包人提交的总进度计划应包含所有为实现本工程竣工验收应完成的全部工作内容。承包人编制的进度计划必须在合同生效后7天内或发包人有要求时提供第一版,在经发包人和监理人审核并提出修改意见后及时调整，承包人编制的进度计划至少应详细列出以下要求：</w:t>
      </w:r>
    </w:p>
    <w:p w14:paraId="5D955158">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1)每一个分部工程施工进度。</w:t>
      </w:r>
    </w:p>
    <w:p w14:paraId="68B976B0">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2)至少列出诸如水电初始安装到位等阶段性时间里程碑。</w:t>
      </w:r>
    </w:p>
    <w:p w14:paraId="62D88FF9">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3)竣工验收前需要完成的各专项验收或检查的完成时间。</w:t>
      </w:r>
    </w:p>
    <w:p w14:paraId="6BEA7E08">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rPr>
        <w:t>10.1.2  承包人编制分阶段或分项施工进度计划和施工方案说明的内容及时限要求：</w:t>
      </w:r>
    </w:p>
    <w:p w14:paraId="6967AF3E">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u w:val="single"/>
        </w:rPr>
        <w:t>最终版本应在收到监理人发出的开工通知后7天内提交</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input629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2BE1652A">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10.1.3  群体工程中有关编制进度计划和施工方案说明的要求：</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input630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123487E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10.2  合同进度计划的修订</w:t>
      </w:r>
    </w:p>
    <w:p w14:paraId="73ABFD9D">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10.2.1  承包人报送修订合同进度计划申请报告和相关资料的期限：</w:t>
      </w:r>
      <w:r>
        <w:rPr>
          <w:rFonts w:hint="eastAsia" w:ascii="宋体" w:hAnsi="宋体" w:eastAsia="宋体" w:cs="宋体"/>
          <w:sz w:val="24"/>
          <w:szCs w:val="24"/>
          <w:u w:val="single"/>
        </w:rPr>
        <w:t>合同进度延期事宜出现后7天内。</w:t>
      </w:r>
    </w:p>
    <w:p w14:paraId="7AC77F40">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监理人批复修订合同进度计划申请报告的期限：</w:t>
      </w:r>
      <w:r>
        <w:rPr>
          <w:rFonts w:hint="eastAsia" w:ascii="宋体" w:hAnsi="宋体" w:eastAsia="宋体" w:cs="宋体"/>
          <w:sz w:val="24"/>
          <w:szCs w:val="24"/>
          <w:u w:val="single"/>
        </w:rPr>
        <w:t>收到承包人报送的修订合同进度计划申请报告和相关资料后7日内</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input632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6FF1369F">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10.2.2  监理人批复修订合同进度计划的期限：</w:t>
      </w:r>
      <w:r>
        <w:rPr>
          <w:rFonts w:hint="eastAsia" w:ascii="宋体" w:hAnsi="宋体" w:eastAsia="宋体" w:cs="宋体"/>
          <w:sz w:val="24"/>
          <w:szCs w:val="24"/>
          <w:u w:val="single"/>
        </w:rPr>
        <w:t>收到承包人报送的修订合同进度计划和相关资料后7天内。</w:t>
      </w:r>
    </w:p>
    <w:p w14:paraId="27E2F473">
      <w:pPr>
        <w:adjustRightInd w:val="0"/>
        <w:snapToGrid w:val="0"/>
        <w:spacing w:line="360" w:lineRule="auto"/>
        <w:outlineLvl w:val="2"/>
        <w:rPr>
          <w:rFonts w:hint="eastAsia" w:ascii="宋体" w:hAnsi="宋体" w:eastAsia="宋体" w:cs="宋体"/>
          <w:sz w:val="24"/>
          <w:szCs w:val="24"/>
        </w:rPr>
      </w:pPr>
      <w:bookmarkStart w:id="887" w:name="_Toc9479"/>
      <w:bookmarkStart w:id="888" w:name="_Toc161933528"/>
      <w:bookmarkStart w:id="889" w:name="_Toc85792361"/>
      <w:bookmarkStart w:id="890" w:name="_Toc84948853"/>
      <w:r>
        <w:rPr>
          <w:rFonts w:hint="eastAsia" w:ascii="宋体" w:hAnsi="宋体" w:eastAsia="宋体" w:cs="宋体"/>
          <w:sz w:val="24"/>
          <w:szCs w:val="24"/>
        </w:rPr>
        <w:t>11.开工和竣工</w:t>
      </w:r>
      <w:bookmarkEnd w:id="887"/>
      <w:bookmarkEnd w:id="888"/>
      <w:bookmarkEnd w:id="889"/>
      <w:bookmarkEnd w:id="890"/>
    </w:p>
    <w:p w14:paraId="000C4FD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11.3  发包人原因造成的工期延误</w:t>
      </w:r>
    </w:p>
    <w:p w14:paraId="5DB76729">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发包人造成工期延误的其他原因：</w:t>
      </w:r>
      <w:r>
        <w:rPr>
          <w:rFonts w:hint="eastAsia" w:ascii="宋体" w:hAnsi="宋体" w:eastAsia="宋体" w:cs="宋体"/>
          <w:sz w:val="24"/>
          <w:szCs w:val="24"/>
          <w:u w:val="single"/>
        </w:rPr>
        <w:t>重大设计变更。</w:t>
      </w:r>
    </w:p>
    <w:p w14:paraId="29D8549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11.4  异常恶劣的气候条件</w:t>
      </w:r>
    </w:p>
    <w:p w14:paraId="554FFDAF">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异常恶劣的气候条件的范围和标准：</w:t>
      </w:r>
      <w:r>
        <w:rPr>
          <w:rFonts w:hint="eastAsia" w:ascii="宋体" w:hAnsi="宋体" w:eastAsia="宋体" w:cs="宋体"/>
          <w:sz w:val="24"/>
          <w:szCs w:val="24"/>
          <w:u w:val="single"/>
        </w:rPr>
        <w:t>50年一遇的最大降水（雪）量，最高（低）温度等，以当地气象部门发布的标准为准。因前述异常恶劣气候条件引起的工程延误，各方互不承担违约责任。是否属于异常恶劣气候条件由监理工程师根据承包人提交的证明予以认定。</w:t>
      </w:r>
    </w:p>
    <w:p w14:paraId="11CB2F5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11.5  承包人原因造成的工期延误</w:t>
      </w:r>
    </w:p>
    <w:p w14:paraId="269E9827">
      <w:pPr>
        <w:adjustRightInd w:val="0"/>
        <w:snapToGrid w:val="0"/>
        <w:spacing w:after="120" w:line="360" w:lineRule="auto"/>
        <w:ind w:left="420" w:leftChars="200"/>
        <w:rPr>
          <w:rFonts w:hint="eastAsia" w:ascii="宋体" w:hAnsi="宋体" w:eastAsia="宋体" w:cs="宋体"/>
          <w:sz w:val="24"/>
          <w:szCs w:val="24"/>
          <w:u w:val="single"/>
        </w:rPr>
      </w:pPr>
      <w:r>
        <w:rPr>
          <w:rFonts w:hint="eastAsia" w:ascii="宋体" w:hAnsi="宋体" w:eastAsia="宋体" w:cs="宋体"/>
          <w:sz w:val="24"/>
          <w:szCs w:val="24"/>
        </w:rPr>
        <w:t>11.5.1  逾期竣工违约金的计算标准和计算方法：</w:t>
      </w:r>
      <w:r>
        <w:rPr>
          <w:rFonts w:hint="eastAsia" w:ascii="宋体" w:hAnsi="宋体" w:eastAsia="宋体" w:cs="宋体"/>
          <w:sz w:val="24"/>
          <w:szCs w:val="24"/>
          <w:u w:val="single"/>
        </w:rPr>
        <w:t>计算标准：工期每延误一天，承包人应当向发包人赔偿签约合同价的0.1‰，不足一天按一天计。</w:t>
      </w:r>
    </w:p>
    <w:p w14:paraId="4143D5C0">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u w:val="single"/>
        </w:rPr>
        <w:t>逾期竣工违约金的计算方法： 合同金额×0.1‰×逾期天数。</w:t>
      </w:r>
    </w:p>
    <w:p w14:paraId="666C531C">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逾期竣工违约金最高限额：</w:t>
      </w:r>
      <w:r>
        <w:rPr>
          <w:rFonts w:hint="eastAsia" w:ascii="宋体" w:hAnsi="宋体" w:eastAsia="宋体" w:cs="宋体"/>
          <w:sz w:val="24"/>
          <w:szCs w:val="24"/>
          <w:u w:val="single"/>
        </w:rPr>
        <w:t>合同签约价款的20%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input637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如该等违约金不足以弥补发包人损失的，承包人应继续赔偿直至完全弥补发包人损失。</w:t>
      </w:r>
    </w:p>
    <w:p w14:paraId="4DBA7DC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11.6  工期提前</w:t>
      </w:r>
    </w:p>
    <w:p w14:paraId="0FF12A85">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提前竣工的奖励办法：</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input638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6A41CEDB">
      <w:pPr>
        <w:adjustRightInd w:val="0"/>
        <w:snapToGrid w:val="0"/>
        <w:spacing w:line="360" w:lineRule="auto"/>
        <w:outlineLvl w:val="2"/>
        <w:rPr>
          <w:rFonts w:hint="eastAsia" w:ascii="宋体" w:hAnsi="宋体" w:eastAsia="宋体" w:cs="宋体"/>
          <w:sz w:val="24"/>
          <w:szCs w:val="24"/>
        </w:rPr>
      </w:pPr>
      <w:bookmarkStart w:id="891" w:name="_Toc1951"/>
      <w:bookmarkStart w:id="892" w:name="_Toc84948854"/>
      <w:bookmarkStart w:id="893" w:name="_Toc161933529"/>
      <w:bookmarkStart w:id="894" w:name="_Toc85792362"/>
      <w:r>
        <w:rPr>
          <w:rFonts w:hint="eastAsia" w:ascii="宋体" w:hAnsi="宋体" w:eastAsia="宋体" w:cs="宋体"/>
          <w:sz w:val="24"/>
          <w:szCs w:val="24"/>
        </w:rPr>
        <w:t>12.暂停施工</w:t>
      </w:r>
      <w:bookmarkEnd w:id="891"/>
      <w:bookmarkEnd w:id="892"/>
      <w:bookmarkEnd w:id="893"/>
      <w:bookmarkEnd w:id="894"/>
    </w:p>
    <w:p w14:paraId="7223BFD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12.1  承包人暂停施工的责任</w:t>
      </w:r>
    </w:p>
    <w:p w14:paraId="1638E6C5">
      <w:pPr>
        <w:adjustRightInd w:val="0"/>
        <w:snapToGrid w:val="0"/>
        <w:spacing w:after="120" w:line="360" w:lineRule="auto"/>
        <w:ind w:left="420" w:leftChars="200"/>
        <w:rPr>
          <w:rFonts w:hint="eastAsia" w:ascii="宋体" w:hAnsi="宋体" w:eastAsia="宋体" w:cs="宋体"/>
          <w:sz w:val="24"/>
          <w:szCs w:val="24"/>
        </w:rPr>
      </w:pPr>
      <w:r>
        <w:rPr>
          <w:rFonts w:hint="eastAsia" w:ascii="宋体" w:hAnsi="宋体" w:eastAsia="宋体" w:cs="宋体"/>
          <w:sz w:val="24"/>
          <w:szCs w:val="24"/>
        </w:rPr>
        <w:t>承包人承担暂停施工责任的情形：</w:t>
      </w:r>
      <w:r>
        <w:rPr>
          <w:rFonts w:hint="eastAsia" w:ascii="宋体" w:hAnsi="宋体" w:eastAsia="宋体" w:cs="宋体"/>
          <w:sz w:val="24"/>
          <w:szCs w:val="24"/>
          <w:u w:val="single"/>
        </w:rPr>
        <w:t>工程若因施工质量问题或承包人不当施工行为需暂停施工而影响正常施工的，承包人应制订赶工计划，赶工造成的费用由承包人承担，发包人不予增加相应的费用。</w:t>
      </w:r>
    </w:p>
    <w:p w14:paraId="0D0FF5C3">
      <w:pPr>
        <w:adjustRightInd w:val="0"/>
        <w:snapToGrid w:val="0"/>
        <w:spacing w:line="360" w:lineRule="auto"/>
        <w:outlineLvl w:val="2"/>
        <w:rPr>
          <w:rFonts w:hint="eastAsia" w:ascii="宋体" w:hAnsi="宋体" w:eastAsia="宋体" w:cs="宋体"/>
          <w:sz w:val="24"/>
          <w:szCs w:val="24"/>
        </w:rPr>
      </w:pPr>
      <w:bookmarkStart w:id="895" w:name="_Toc24914"/>
      <w:bookmarkStart w:id="896" w:name="_Toc161933530"/>
      <w:bookmarkStart w:id="897" w:name="_Toc85792363"/>
      <w:bookmarkStart w:id="898" w:name="_Toc84948855"/>
      <w:r>
        <w:rPr>
          <w:rFonts w:hint="eastAsia" w:ascii="宋体" w:hAnsi="宋体" w:eastAsia="宋体" w:cs="宋体"/>
          <w:sz w:val="24"/>
          <w:szCs w:val="24"/>
        </w:rPr>
        <w:t>13.工程质量</w:t>
      </w:r>
      <w:bookmarkEnd w:id="895"/>
      <w:bookmarkEnd w:id="896"/>
      <w:bookmarkEnd w:id="897"/>
      <w:bookmarkEnd w:id="898"/>
    </w:p>
    <w:p w14:paraId="2CBE2C2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13.2  承包人的质量管理</w:t>
      </w:r>
    </w:p>
    <w:p w14:paraId="30DD95E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13.2.1  承包人向监理人提交工程质量保证措施文件的期限：</w:t>
      </w:r>
      <w:r>
        <w:rPr>
          <w:rFonts w:hint="eastAsia" w:ascii="宋体" w:hAnsi="宋体" w:eastAsia="宋体" w:cs="宋体"/>
          <w:sz w:val="24"/>
          <w:szCs w:val="24"/>
          <w:u w:val="single"/>
        </w:rPr>
        <w:t>签订合同后7日内。</w:t>
      </w:r>
    </w:p>
    <w:p w14:paraId="7B273AE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监理人审批工程质量保证措施文件的期限：</w:t>
      </w:r>
      <w:r>
        <w:rPr>
          <w:rFonts w:hint="eastAsia" w:ascii="宋体" w:hAnsi="宋体" w:eastAsia="宋体" w:cs="宋体"/>
          <w:sz w:val="24"/>
          <w:szCs w:val="24"/>
          <w:u w:val="single"/>
        </w:rPr>
        <w:t>收到承包人报送的工程质量保证措施文件后7天内。</w:t>
      </w:r>
    </w:p>
    <w:p w14:paraId="542DBD3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13.3  承包人的质量检查</w:t>
      </w:r>
    </w:p>
    <w:p w14:paraId="1A6DB7F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承包人向监理人报送工程质量报表的期限：</w:t>
      </w:r>
      <w:r>
        <w:rPr>
          <w:rFonts w:hint="eastAsia" w:ascii="宋体" w:hAnsi="宋体" w:eastAsia="宋体" w:cs="宋体"/>
          <w:sz w:val="24"/>
          <w:szCs w:val="24"/>
          <w:u w:val="single"/>
        </w:rPr>
        <w:t>每月5日前</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input642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05EEA33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承包人向监理人报送工程质量报表的要求：</w:t>
      </w:r>
      <w:r>
        <w:rPr>
          <w:rFonts w:hint="eastAsia" w:ascii="宋体" w:hAnsi="宋体" w:eastAsia="宋体" w:cs="宋体"/>
          <w:sz w:val="24"/>
          <w:szCs w:val="24"/>
          <w:u w:val="single"/>
        </w:rPr>
        <w:t>应包含上月已完成的及下月准备进行的对材料、工程设备以及工程的所有部位及其施工工艺的质量检查和检验工作内容。</w:t>
      </w:r>
    </w:p>
    <w:p w14:paraId="5D7196E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监理人审查工程质量报表的期限：</w:t>
      </w:r>
      <w:r>
        <w:rPr>
          <w:rFonts w:hint="eastAsia" w:ascii="宋体" w:hAnsi="宋体" w:eastAsia="宋体" w:cs="宋体"/>
          <w:sz w:val="24"/>
          <w:szCs w:val="24"/>
          <w:u w:val="single"/>
        </w:rPr>
        <w:t>监理人在收到承包人报送的工程质量报表后7天内批准或提出修改意见。</w:t>
      </w:r>
    </w:p>
    <w:p w14:paraId="39BD811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13.4  监理人的质量检查</w:t>
      </w:r>
    </w:p>
    <w:p w14:paraId="5B17941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承包人应当为监理人的检查和检验提供方便，监理人可以进行察看和查阅施工原始记录的其他地方包括：</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341D7EB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13.5  工程隐蔽部位覆盖前的检查</w:t>
      </w:r>
    </w:p>
    <w:p w14:paraId="360F4A0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13.5.1  监理人对工程隐蔽部位进行检查的期限：</w:t>
      </w:r>
      <w:r>
        <w:rPr>
          <w:rFonts w:hint="eastAsia" w:ascii="宋体" w:hAnsi="宋体" w:eastAsia="宋体" w:cs="宋体"/>
          <w:sz w:val="24"/>
          <w:szCs w:val="24"/>
          <w:u w:val="single"/>
        </w:rPr>
        <w:t>收到承包人隐蔽工程检查申请的48小时内进行检查并签字确认。</w:t>
      </w:r>
    </w:p>
    <w:p w14:paraId="7D605307">
      <w:pPr>
        <w:adjustRightInd w:val="0"/>
        <w:snapToGrid w:val="0"/>
        <w:spacing w:line="360" w:lineRule="auto"/>
        <w:outlineLvl w:val="2"/>
        <w:rPr>
          <w:rFonts w:hint="eastAsia" w:ascii="宋体" w:hAnsi="宋体" w:eastAsia="宋体" w:cs="宋体"/>
          <w:sz w:val="24"/>
          <w:szCs w:val="24"/>
        </w:rPr>
      </w:pPr>
      <w:bookmarkStart w:id="899" w:name="_Toc161933531"/>
      <w:bookmarkStart w:id="900" w:name="_Toc17654"/>
      <w:bookmarkStart w:id="901" w:name="_Toc85792364"/>
      <w:bookmarkStart w:id="902" w:name="_Toc84948856"/>
      <w:r>
        <w:rPr>
          <w:rFonts w:hint="eastAsia" w:ascii="宋体" w:hAnsi="宋体" w:eastAsia="宋体" w:cs="宋体"/>
          <w:sz w:val="24"/>
          <w:szCs w:val="24"/>
        </w:rPr>
        <w:t>15.变更</w:t>
      </w:r>
      <w:bookmarkEnd w:id="899"/>
      <w:bookmarkEnd w:id="900"/>
      <w:bookmarkEnd w:id="901"/>
      <w:bookmarkEnd w:id="902"/>
    </w:p>
    <w:p w14:paraId="2511576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15.1  变更的范围和内容</w:t>
      </w:r>
    </w:p>
    <w:p w14:paraId="228B28D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15.1.1在履行合同中发生以下情形之一，应按照本条规定进行变更。</w:t>
      </w:r>
    </w:p>
    <w:p w14:paraId="72F7702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(6)变更的其他情形：</w:t>
      </w:r>
      <w:r>
        <w:rPr>
          <w:rFonts w:hint="eastAsia" w:ascii="宋体" w:hAnsi="宋体" w:eastAsia="宋体" w:cs="宋体"/>
          <w:sz w:val="24"/>
          <w:szCs w:val="24"/>
          <w:u w:val="single"/>
        </w:rPr>
        <w:t xml:space="preserve">/ </w:t>
      </w:r>
    </w:p>
    <w:p w14:paraId="5F4E313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15.3  变更程序</w:t>
      </w:r>
    </w:p>
    <w:p w14:paraId="60AAEE2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15.3.1  变更估价</w:t>
      </w:r>
    </w:p>
    <w:p w14:paraId="39E39B0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(1)承包人提交变更报价书的期限：</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19C46B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(2)监理人商定或确定变更价格的期限：</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6BAC854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15.4  变更的估价原则</w:t>
      </w:r>
    </w:p>
    <w:p w14:paraId="664FD20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15.4.1  合同协议书约定采用单价合同形式时，因非承包人原因引起已标价工程量清单中列明的工程量发生增减，且单个子目工程量变化幅度在</w:t>
      </w:r>
      <w:r>
        <w:rPr>
          <w:rFonts w:hint="eastAsia" w:ascii="宋体" w:hAnsi="宋体" w:eastAsia="宋体" w:cs="宋体"/>
          <w:sz w:val="24"/>
          <w:szCs w:val="24"/>
          <w:u w:val="single"/>
        </w:rPr>
        <w:t>±15</w:t>
      </w:r>
      <w:r>
        <w:rPr>
          <w:rFonts w:hint="eastAsia" w:ascii="宋体" w:hAnsi="宋体" w:eastAsia="宋体" w:cs="宋体"/>
          <w:sz w:val="24"/>
          <w:szCs w:val="24"/>
        </w:rPr>
        <w:t xml:space="preserve"> %以内（含）时，应执行已标价工程量清单中列明的该子目的单价；单个子目工程量变化幅度在</w:t>
      </w:r>
      <w:r>
        <w:rPr>
          <w:rFonts w:hint="eastAsia" w:ascii="宋体" w:hAnsi="宋体" w:eastAsia="宋体" w:cs="宋体"/>
          <w:sz w:val="24"/>
          <w:szCs w:val="24"/>
          <w:u w:val="single"/>
        </w:rPr>
        <w:t>±15</w:t>
      </w:r>
      <w:r>
        <w:rPr>
          <w:rFonts w:hint="eastAsia" w:ascii="宋体" w:hAnsi="宋体" w:eastAsia="宋体" w:cs="宋体"/>
          <w:sz w:val="24"/>
          <w:szCs w:val="24"/>
        </w:rPr>
        <w:t xml:space="preserve"> %以外（不含），且导致分部分项工程费总额变化幅度超过</w:t>
      </w:r>
      <w:r>
        <w:rPr>
          <w:rFonts w:hint="eastAsia" w:ascii="宋体" w:hAnsi="宋体" w:eastAsia="宋体" w:cs="宋体"/>
          <w:sz w:val="24"/>
          <w:szCs w:val="24"/>
          <w:u w:val="single"/>
        </w:rPr>
        <w:t>±1</w:t>
      </w:r>
      <w:r>
        <w:rPr>
          <w:rFonts w:hint="eastAsia" w:ascii="宋体" w:hAnsi="宋体" w:eastAsia="宋体" w:cs="宋体"/>
          <w:sz w:val="24"/>
          <w:szCs w:val="24"/>
        </w:rPr>
        <w:t xml:space="preserve"> %时，由承包人提出并由监理人按第3.5款商定或确定新的单价，该子目按修正后的新的单价计价。</w:t>
      </w:r>
    </w:p>
    <w:p w14:paraId="21159358">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15.4.1  因变更引起价格调整的其他处理方式：</w:t>
      </w:r>
      <w:r>
        <w:rPr>
          <w:rFonts w:hint="eastAsia" w:ascii="宋体" w:hAnsi="宋体" w:eastAsia="宋体" w:cs="宋体"/>
          <w:sz w:val="24"/>
          <w:szCs w:val="24"/>
          <w:u w:val="single"/>
        </w:rPr>
        <w:t>/</w:t>
      </w:r>
    </w:p>
    <w:p w14:paraId="3C5B2F4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15.5  承包人的合理化建议</w:t>
      </w:r>
    </w:p>
    <w:p w14:paraId="0668A8CF">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15.5.2  对承包人提出合理化建议的奖励方法：</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input654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410BEF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17.2  预付款</w:t>
      </w:r>
    </w:p>
    <w:p w14:paraId="1F7A11F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17.2.1  预付款</w:t>
      </w:r>
    </w:p>
    <w:p w14:paraId="75DDF0E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(1)预付款额度</w:t>
      </w:r>
    </w:p>
    <w:p w14:paraId="6D8665E1">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预付款额度：签约</w:t>
      </w:r>
      <w:r>
        <w:rPr>
          <w:rFonts w:hint="eastAsia" w:ascii="宋体" w:hAnsi="宋体" w:eastAsia="宋体" w:cs="宋体"/>
          <w:sz w:val="24"/>
          <w:szCs w:val="24"/>
          <w:u w:val="single"/>
        </w:rPr>
        <w:t>合同价的30% 。</w:t>
      </w:r>
    </w:p>
    <w:p w14:paraId="4D39F733">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其中：</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232D654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(2)预付办法</w:t>
      </w:r>
    </w:p>
    <w:p w14:paraId="03360223">
      <w:pPr>
        <w:adjustRightInd w:val="0"/>
        <w:snapToGrid w:val="0"/>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预付款预付办法：</w:t>
      </w:r>
      <w:r>
        <w:rPr>
          <w:rFonts w:hint="eastAsia" w:ascii="宋体" w:hAnsi="宋体" w:eastAsia="宋体" w:cs="宋体"/>
          <w:sz w:val="24"/>
          <w:szCs w:val="24"/>
          <w:u w:val="single"/>
        </w:rPr>
        <w:t>在收到承包人提交的预付款申请和正式发票后，发包人一次性向承包人支付预付款</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input673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28F68C54">
      <w:pPr>
        <w:adjustRightInd w:val="0"/>
        <w:snapToGrid w:val="0"/>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预付款的支付时间：</w:t>
      </w:r>
      <w:r>
        <w:rPr>
          <w:rFonts w:hint="eastAsia" w:ascii="宋体" w:hAnsi="宋体" w:eastAsia="宋体" w:cs="宋体"/>
          <w:sz w:val="24"/>
          <w:szCs w:val="24"/>
          <w:u w:val="single"/>
        </w:rPr>
        <w:t>合同签订并开具符合发包人要求的发票后20个工作日内。</w:t>
      </w:r>
    </w:p>
    <w:p w14:paraId="4035FE65">
      <w:pPr>
        <w:adjustRightInd w:val="0"/>
        <w:snapToGrid w:val="0"/>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其他预付款约定：</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input675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23880E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17.3  工程进度付款</w:t>
      </w:r>
    </w:p>
    <w:p w14:paraId="141C1C6A">
      <w:pPr>
        <w:pStyle w:val="265"/>
        <w:spacing w:line="362" w:lineRule="exact"/>
        <w:ind w:firstLine="482" w:firstLineChars="200"/>
        <w:jc w:val="both"/>
        <w:rPr>
          <w:rFonts w:hint="eastAsia" w:ascii="宋体" w:hAnsi="宋体" w:eastAsia="宋体" w:cs="宋体"/>
          <w:b/>
          <w:bCs/>
          <w:sz w:val="24"/>
          <w:szCs w:val="24"/>
          <w:u w:val="single"/>
          <w:lang w:eastAsia="zh-CN"/>
        </w:rPr>
      </w:pPr>
      <w:r>
        <w:rPr>
          <w:rFonts w:hint="eastAsia" w:ascii="宋体" w:hAnsi="宋体" w:eastAsia="宋体" w:cs="宋体"/>
          <w:b/>
          <w:bCs/>
          <w:sz w:val="24"/>
          <w:szCs w:val="24"/>
          <w:u w:val="single"/>
          <w:lang w:eastAsia="zh-CN"/>
        </w:rPr>
        <w:t>合同签订并开具发票后20个工作日内，支付签约合同价的</w:t>
      </w:r>
      <w:r>
        <w:rPr>
          <w:rFonts w:hint="eastAsia" w:ascii="宋体" w:hAnsi="宋体" w:eastAsia="宋体" w:cs="宋体"/>
          <w:b/>
          <w:bCs/>
          <w:sz w:val="24"/>
          <w:szCs w:val="24"/>
          <w:u w:val="single"/>
          <w:lang w:val="en-US" w:eastAsia="zh-CN"/>
        </w:rPr>
        <w:t>3</w:t>
      </w:r>
      <w:r>
        <w:rPr>
          <w:rFonts w:hint="eastAsia" w:ascii="宋体" w:hAnsi="宋体" w:eastAsia="宋体" w:cs="宋体"/>
          <w:b/>
          <w:bCs/>
          <w:sz w:val="24"/>
          <w:szCs w:val="24"/>
          <w:u w:val="single"/>
          <w:lang w:eastAsia="zh-CN"/>
        </w:rPr>
        <w:t>0%作为预付款；工程结算审核完成后，承包人向发包人支付结算审定金额的3%作为质保金。质保金转入发包人账户后20个工作日内，支付项目尾款。</w:t>
      </w:r>
    </w:p>
    <w:p w14:paraId="61424E4A">
      <w:pPr>
        <w:adjustRightInd w:val="0"/>
        <w:snapToGrid w:val="0"/>
        <w:spacing w:line="360" w:lineRule="auto"/>
        <w:rPr>
          <w:rFonts w:hint="eastAsia" w:ascii="宋体" w:hAnsi="宋体" w:eastAsia="宋体" w:cs="宋体"/>
          <w:sz w:val="24"/>
          <w:szCs w:val="24"/>
        </w:rPr>
      </w:pPr>
    </w:p>
    <w:p w14:paraId="6977F8C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17.4  质量保证金</w:t>
      </w:r>
    </w:p>
    <w:p w14:paraId="041B422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17.4.1  质量保证金处理</w:t>
      </w:r>
    </w:p>
    <w:p w14:paraId="1798A1B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质量保证金形式：</w:t>
      </w:r>
      <w:r>
        <w:rPr>
          <w:rFonts w:hint="eastAsia" w:ascii="宋体" w:hAnsi="宋体" w:eastAsia="宋体" w:cs="宋体"/>
          <w:sz w:val="24"/>
          <w:szCs w:val="24"/>
          <w:u w:val="single"/>
        </w:rPr>
        <w:t>采用银行汇款或转账形式</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input682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4F989984">
      <w:pPr>
        <w:autoSpaceDE w:val="0"/>
        <w:autoSpaceDN w:val="0"/>
        <w:adjustRightInd w:val="0"/>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质量保证金约定比例：</w:t>
      </w:r>
      <w:r>
        <w:rPr>
          <w:rFonts w:hint="eastAsia" w:ascii="宋体" w:hAnsi="宋体" w:eastAsia="宋体" w:cs="宋体"/>
          <w:b/>
          <w:bCs/>
          <w:sz w:val="24"/>
          <w:szCs w:val="24"/>
        </w:rPr>
        <w:t>3%（质保期两年）。</w:t>
      </w:r>
    </w:p>
    <w:p w14:paraId="1CC7988A">
      <w:pPr>
        <w:adjustRightInd w:val="0"/>
        <w:snapToGrid w:val="0"/>
        <w:spacing w:line="360" w:lineRule="auto"/>
        <w:ind w:firstLine="648" w:firstLineChars="270"/>
        <w:rPr>
          <w:rFonts w:hint="eastAsia" w:ascii="宋体" w:hAnsi="宋体" w:eastAsia="宋体" w:cs="宋体"/>
          <w:sz w:val="24"/>
          <w:szCs w:val="24"/>
        </w:rPr>
      </w:pPr>
    </w:p>
    <w:p w14:paraId="39C3C56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17.5  竣工结算</w:t>
      </w:r>
    </w:p>
    <w:p w14:paraId="2914D8F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17.5.1  竣工付款申请单</w:t>
      </w:r>
    </w:p>
    <w:p w14:paraId="6B1E96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(1)承包人提交竣工付款申请单的份数：</w:t>
      </w:r>
      <w:r>
        <w:rPr>
          <w:rFonts w:hint="eastAsia" w:ascii="宋体" w:hAnsi="宋体" w:eastAsia="宋体" w:cs="宋体"/>
          <w:sz w:val="24"/>
          <w:szCs w:val="24"/>
          <w:u w:val="single"/>
        </w:rPr>
        <w:t>提交2份竣工付款申请单。</w:t>
      </w:r>
    </w:p>
    <w:p w14:paraId="025264FF">
      <w:pPr>
        <w:adjustRightInd w:val="0"/>
        <w:snapToGrid w:val="0"/>
        <w:spacing w:line="360" w:lineRule="auto"/>
        <w:ind w:firstLine="648" w:firstLineChars="270"/>
        <w:rPr>
          <w:rFonts w:hint="eastAsia" w:ascii="宋体" w:hAnsi="宋体" w:eastAsia="宋体" w:cs="宋体"/>
          <w:sz w:val="24"/>
          <w:szCs w:val="24"/>
        </w:rPr>
      </w:pPr>
      <w:r>
        <w:rPr>
          <w:rFonts w:hint="eastAsia" w:ascii="宋体" w:hAnsi="宋体" w:eastAsia="宋体" w:cs="宋体"/>
          <w:sz w:val="24"/>
          <w:szCs w:val="24"/>
        </w:rPr>
        <w:t>承包人提交竣工付款申请单的期限：</w:t>
      </w:r>
      <w:r>
        <w:rPr>
          <w:rFonts w:hint="eastAsia" w:ascii="宋体" w:hAnsi="宋体" w:eastAsia="宋体" w:cs="宋体"/>
          <w:sz w:val="24"/>
          <w:szCs w:val="24"/>
          <w:u w:val="single"/>
        </w:rPr>
        <w:t>在工程接收证书颁发后14日内</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input685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10ED6EC4">
      <w:pPr>
        <w:numPr>
          <w:ilvl w:val="0"/>
          <w:numId w:val="15"/>
        </w:num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竣工付款申请单的其他内容：</w:t>
      </w:r>
      <w:r>
        <w:rPr>
          <w:rFonts w:hint="eastAsia" w:ascii="宋体" w:hAnsi="宋体" w:eastAsia="宋体" w:cs="宋体"/>
          <w:sz w:val="24"/>
          <w:szCs w:val="24"/>
          <w:u w:val="single"/>
        </w:rPr>
        <w:t>竣工结算合同总价、已支付的工程价款、质量保证金、应支付的竣工付款金额等。</w:t>
      </w:r>
    </w:p>
    <w:p w14:paraId="278F56A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17.6  最终结清</w:t>
      </w:r>
    </w:p>
    <w:p w14:paraId="0CDE410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17.6.1  最终结清申请单</w:t>
      </w:r>
    </w:p>
    <w:p w14:paraId="2030CDEA">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(1)承包人提交最终结清申请单的份数：</w:t>
      </w:r>
      <w:r>
        <w:rPr>
          <w:rFonts w:hint="eastAsia" w:ascii="宋体" w:hAnsi="宋体" w:eastAsia="宋体" w:cs="宋体"/>
          <w:sz w:val="24"/>
          <w:szCs w:val="24"/>
          <w:u w:val="single"/>
        </w:rPr>
        <w:t>提交2份最终结清申请单</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input687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1B62F18">
      <w:pPr>
        <w:adjustRightInd w:val="0"/>
        <w:snapToGrid w:val="0"/>
        <w:spacing w:line="360" w:lineRule="auto"/>
        <w:ind w:firstLine="1080" w:firstLineChars="450"/>
        <w:rPr>
          <w:rFonts w:hint="eastAsia" w:ascii="宋体" w:hAnsi="宋体" w:eastAsia="宋体" w:cs="宋体"/>
          <w:sz w:val="24"/>
          <w:szCs w:val="24"/>
        </w:rPr>
      </w:pPr>
      <w:r>
        <w:rPr>
          <w:rFonts w:hint="eastAsia" w:ascii="宋体" w:hAnsi="宋体" w:eastAsia="宋体" w:cs="宋体"/>
          <w:sz w:val="24"/>
          <w:szCs w:val="24"/>
        </w:rPr>
        <w:t>承包人提交最终结清申请单的期限：</w:t>
      </w:r>
      <w:r>
        <w:rPr>
          <w:rFonts w:hint="eastAsia" w:ascii="宋体" w:hAnsi="宋体" w:eastAsia="宋体" w:cs="宋体"/>
          <w:sz w:val="24"/>
          <w:szCs w:val="24"/>
          <w:u w:val="single"/>
        </w:rPr>
        <w:t>在缺陷责任期终止证书颁发后28日内</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input688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47B499B">
      <w:pPr>
        <w:adjustRightInd w:val="0"/>
        <w:snapToGrid w:val="0"/>
        <w:spacing w:line="360" w:lineRule="auto"/>
        <w:ind w:firstLine="1084" w:firstLineChars="452"/>
        <w:rPr>
          <w:rFonts w:hint="eastAsia" w:ascii="宋体" w:hAnsi="宋体" w:eastAsia="宋体" w:cs="宋体"/>
          <w:sz w:val="24"/>
          <w:szCs w:val="24"/>
        </w:rPr>
      </w:pPr>
      <w:r>
        <w:rPr>
          <w:rFonts w:hint="eastAsia" w:ascii="宋体" w:hAnsi="宋体" w:eastAsia="宋体" w:cs="宋体"/>
          <w:sz w:val="24"/>
          <w:szCs w:val="24"/>
        </w:rPr>
        <w:t>发包人向承包人</w:t>
      </w:r>
      <w:r>
        <w:rPr>
          <w:rFonts w:hint="eastAsia" w:ascii="宋体" w:hAnsi="宋体" w:eastAsia="宋体" w:cs="宋体"/>
          <w:sz w:val="24"/>
          <w:szCs w:val="24"/>
          <w:u w:val="single"/>
        </w:rPr>
        <w:t>不支付</w:t>
      </w:r>
      <w:r>
        <w:rPr>
          <w:rFonts w:hint="eastAsia" w:ascii="宋体" w:hAnsi="宋体" w:eastAsia="宋体" w:cs="宋体"/>
          <w:sz w:val="24"/>
          <w:szCs w:val="24"/>
        </w:rPr>
        <w:t>（支付 / 不支付）质量保证金利息。</w:t>
      </w:r>
    </w:p>
    <w:p w14:paraId="35388448">
      <w:pPr>
        <w:adjustRightInd w:val="0"/>
        <w:snapToGrid w:val="0"/>
        <w:spacing w:line="360" w:lineRule="auto"/>
        <w:ind w:firstLine="1084" w:firstLineChars="452"/>
        <w:rPr>
          <w:rFonts w:hint="eastAsia" w:ascii="宋体" w:hAnsi="宋体" w:eastAsia="宋体" w:cs="宋体"/>
          <w:sz w:val="24"/>
          <w:szCs w:val="24"/>
        </w:rPr>
      </w:pPr>
      <w:r>
        <w:rPr>
          <w:rFonts w:hint="eastAsia" w:ascii="宋体" w:hAnsi="宋体" w:eastAsia="宋体" w:cs="宋体"/>
          <w:sz w:val="24"/>
          <w:szCs w:val="24"/>
        </w:rPr>
        <w:t>发包人向承包人支付质量保证金利息的，利息计算方法：</w:t>
      </w:r>
      <w:r>
        <w:rPr>
          <w:rFonts w:hint="eastAsia" w:ascii="宋体" w:hAnsi="宋体" w:eastAsia="宋体" w:cs="宋体"/>
          <w:sz w:val="24"/>
          <w:szCs w:val="24"/>
          <w:u w:val="single"/>
        </w:rPr>
        <w:t>/。</w:t>
      </w:r>
      <w:r>
        <w:rPr>
          <w:rFonts w:hint="eastAsia" w:ascii="宋体" w:hAnsi="宋体" w:eastAsia="宋体" w:cs="宋体"/>
          <w:sz w:val="24"/>
          <w:szCs w:val="24"/>
        </w:rPr>
        <w:t xml:space="preserve"> </w:t>
      </w:r>
    </w:p>
    <w:p w14:paraId="343676BF">
      <w:pPr>
        <w:spacing w:after="48" w:afterLines="20"/>
        <w:ind w:firstLine="480" w:firstLineChars="200"/>
        <w:rPr>
          <w:rFonts w:hint="eastAsia" w:ascii="宋体" w:hAnsi="宋体" w:eastAsia="宋体" w:cs="宋体"/>
          <w:sz w:val="24"/>
          <w:szCs w:val="24"/>
          <w:u w:val="single"/>
        </w:rPr>
      </w:pPr>
      <w:r>
        <w:rPr>
          <w:rFonts w:hint="eastAsia" w:ascii="宋体" w:hAnsi="宋体" w:eastAsia="宋体" w:cs="宋体"/>
          <w:sz w:val="24"/>
          <w:szCs w:val="24"/>
        </w:rPr>
        <w:t>（2）</w:t>
      </w:r>
      <w:r>
        <w:rPr>
          <w:rFonts w:hint="eastAsia" w:ascii="宋体" w:hAnsi="宋体" w:eastAsia="宋体" w:cs="宋体"/>
          <w:sz w:val="24"/>
          <w:szCs w:val="24"/>
          <w:u w:val="single"/>
        </w:rPr>
        <w:t>结算价以最终结算审定金额为准，且不超出项目预算批复金额。</w:t>
      </w:r>
    </w:p>
    <w:p w14:paraId="6C06C2EB">
      <w:pPr>
        <w:widowControl w:val="0"/>
        <w:spacing w:after="120"/>
        <w:jc w:val="both"/>
        <w:rPr>
          <w:rFonts w:hint="eastAsia" w:ascii="宋体" w:hAnsi="宋体" w:eastAsia="宋体" w:cs="宋体"/>
          <w:kern w:val="2"/>
          <w:sz w:val="24"/>
          <w:szCs w:val="24"/>
        </w:rPr>
      </w:pPr>
    </w:p>
    <w:p w14:paraId="3744F426">
      <w:pPr>
        <w:adjustRightInd w:val="0"/>
        <w:snapToGrid w:val="0"/>
        <w:spacing w:line="360" w:lineRule="auto"/>
        <w:outlineLvl w:val="2"/>
        <w:rPr>
          <w:rFonts w:hint="eastAsia" w:ascii="宋体" w:hAnsi="宋体" w:eastAsia="宋体" w:cs="宋体"/>
          <w:sz w:val="24"/>
          <w:szCs w:val="24"/>
        </w:rPr>
      </w:pPr>
      <w:bookmarkStart w:id="903" w:name="_Toc7111"/>
      <w:bookmarkStart w:id="904" w:name="_Toc84948859"/>
      <w:bookmarkStart w:id="905" w:name="_Toc85792367"/>
      <w:bookmarkStart w:id="906" w:name="_Toc161933534"/>
      <w:r>
        <w:rPr>
          <w:rFonts w:hint="eastAsia" w:ascii="宋体" w:hAnsi="宋体" w:eastAsia="宋体" w:cs="宋体"/>
          <w:sz w:val="24"/>
          <w:szCs w:val="24"/>
        </w:rPr>
        <w:t>18.竣工验收</w:t>
      </w:r>
      <w:bookmarkEnd w:id="903"/>
      <w:bookmarkEnd w:id="904"/>
      <w:bookmarkEnd w:id="905"/>
      <w:bookmarkEnd w:id="906"/>
    </w:p>
    <w:p w14:paraId="35A1E83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18.2  竣工验收申请报告</w:t>
      </w:r>
    </w:p>
    <w:p w14:paraId="5D666B2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(1)承包人负责整理和提交的竣工验收资料具体内容：</w:t>
      </w:r>
      <w:r>
        <w:rPr>
          <w:rFonts w:hint="eastAsia" w:ascii="宋体" w:hAnsi="宋体" w:eastAsia="宋体" w:cs="宋体"/>
          <w:sz w:val="24"/>
          <w:szCs w:val="24"/>
          <w:u w:val="single"/>
        </w:rPr>
        <w:t>按通用条款18.2条执行并满足发包人要求。</w:t>
      </w:r>
    </w:p>
    <w:p w14:paraId="612DBC9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竣工验收资料的份数：</w:t>
      </w:r>
      <w:r>
        <w:rPr>
          <w:rFonts w:hint="eastAsia" w:ascii="宋体" w:hAnsi="宋体" w:eastAsia="宋体" w:cs="宋体"/>
          <w:sz w:val="24"/>
          <w:szCs w:val="24"/>
          <w:u w:val="single"/>
        </w:rPr>
        <w:t>一式2份</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input692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201A4E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竣工验收资料的费用支付方式：</w:t>
      </w:r>
      <w:r>
        <w:rPr>
          <w:rFonts w:hint="eastAsia" w:ascii="宋体" w:hAnsi="宋体" w:eastAsia="宋体" w:cs="宋体"/>
          <w:sz w:val="24"/>
          <w:szCs w:val="24"/>
          <w:u w:val="single"/>
        </w:rPr>
        <w:t>由承包人承担，已包含在合同价款中</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input693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0BBBEA8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18.5  竣工验收前的清理</w:t>
      </w:r>
    </w:p>
    <w:p w14:paraId="6CBB29A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18.5.1  在向发包人提交竣工验收申请报告前，承包人应当完成下述竣工验收前的清理工作：</w:t>
      </w:r>
    </w:p>
    <w:p w14:paraId="420ED57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(1)其他清理工作：</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input694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4E40863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18.6  竣工清场</w:t>
      </w:r>
    </w:p>
    <w:p w14:paraId="6D47D78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18.6.1  监理人颁发（出具）工程接收证书后，承包人应在</w:t>
      </w:r>
      <w:r>
        <w:rPr>
          <w:rFonts w:hint="eastAsia" w:ascii="宋体" w:hAnsi="宋体" w:eastAsia="宋体" w:cs="宋体"/>
          <w:sz w:val="24"/>
          <w:szCs w:val="24"/>
          <w:u w:val="single"/>
        </w:rPr>
        <w:t>14</w:t>
      </w:r>
      <w:r>
        <w:rPr>
          <w:rFonts w:hint="eastAsia" w:ascii="宋体" w:hAnsi="宋体" w:eastAsia="宋体" w:cs="宋体"/>
          <w:sz w:val="24"/>
          <w:szCs w:val="24"/>
        </w:rPr>
        <w:t>天内按照以下要求对施工场地进行清理并承担相关费用，直至监理人检验合格为止。</w:t>
      </w:r>
    </w:p>
    <w:p w14:paraId="087FD5A1">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(1)其他场地清理工作：</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input696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5C9BABF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18.7  施工队伍的撤离</w:t>
      </w:r>
    </w:p>
    <w:p w14:paraId="4C55EB1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18.7.3  缺陷责任期满时，承包人在施工场地保留的人员和施工设备最终撤离的期限：</w:t>
      </w:r>
    </w:p>
    <w:p w14:paraId="63B42B3C">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u w:val="single"/>
        </w:rPr>
        <w:t>在发包人发出最终撤离通知后15天内。</w:t>
      </w:r>
    </w:p>
    <w:p w14:paraId="18EB34A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18.8  中间验收</w:t>
      </w:r>
    </w:p>
    <w:p w14:paraId="72A20DE9">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18.8.1  本工程需要进行中间验收的部位：</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input698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02EF574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18.8.2  验收不合格的，承包人在</w:t>
      </w:r>
      <w:r>
        <w:rPr>
          <w:rFonts w:hint="eastAsia" w:ascii="宋体" w:hAnsi="宋体" w:eastAsia="宋体" w:cs="宋体"/>
          <w:sz w:val="24"/>
          <w:szCs w:val="24"/>
          <w:u w:val="single"/>
        </w:rPr>
        <w:t>/</w:t>
      </w:r>
      <w:r>
        <w:rPr>
          <w:rFonts w:hint="eastAsia" w:ascii="宋体" w:hAnsi="宋体" w:eastAsia="宋体" w:cs="宋体"/>
          <w:sz w:val="24"/>
          <w:szCs w:val="24"/>
        </w:rPr>
        <w:t>期限内进行修改后重新验收。</w:t>
      </w:r>
    </w:p>
    <w:p w14:paraId="04DE4414">
      <w:pPr>
        <w:adjustRightInd w:val="0"/>
        <w:snapToGrid w:val="0"/>
        <w:spacing w:line="360" w:lineRule="auto"/>
        <w:outlineLvl w:val="2"/>
        <w:rPr>
          <w:rFonts w:hint="eastAsia" w:ascii="宋体" w:hAnsi="宋体" w:eastAsia="宋体" w:cs="宋体"/>
          <w:sz w:val="24"/>
          <w:szCs w:val="24"/>
        </w:rPr>
      </w:pPr>
      <w:bookmarkStart w:id="907" w:name="_Toc161933535"/>
      <w:bookmarkStart w:id="908" w:name="_Toc7256"/>
      <w:bookmarkStart w:id="909" w:name="_Toc84948860"/>
      <w:bookmarkStart w:id="910" w:name="_Toc85792368"/>
      <w:r>
        <w:rPr>
          <w:rFonts w:hint="eastAsia" w:ascii="宋体" w:hAnsi="宋体" w:eastAsia="宋体" w:cs="宋体"/>
          <w:sz w:val="24"/>
          <w:szCs w:val="24"/>
        </w:rPr>
        <w:t>19.缺陷责任与保修责任</w:t>
      </w:r>
      <w:bookmarkEnd w:id="907"/>
      <w:bookmarkEnd w:id="908"/>
      <w:bookmarkEnd w:id="909"/>
      <w:bookmarkEnd w:id="910"/>
    </w:p>
    <w:p w14:paraId="690CFD7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19.1  缺陷责任期的起算时间</w:t>
      </w:r>
    </w:p>
    <w:p w14:paraId="6B8F689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缺陷责任期的起算时间：</w:t>
      </w:r>
      <w:r>
        <w:rPr>
          <w:rFonts w:hint="eastAsia" w:ascii="宋体" w:hAnsi="宋体" w:eastAsia="宋体" w:cs="宋体"/>
          <w:sz w:val="24"/>
          <w:szCs w:val="24"/>
          <w:u w:val="single"/>
        </w:rPr>
        <w:t>自竣工验收后合格之日起计算。</w:t>
      </w:r>
    </w:p>
    <w:p w14:paraId="1DAC956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19.7  保修责任</w:t>
      </w:r>
    </w:p>
    <w:p w14:paraId="3F90A81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19.7.1  工程质量保修范围：</w:t>
      </w:r>
      <w:r>
        <w:rPr>
          <w:rFonts w:hint="eastAsia" w:ascii="宋体" w:hAnsi="宋体" w:eastAsia="宋体" w:cs="宋体"/>
          <w:sz w:val="24"/>
          <w:szCs w:val="24"/>
          <w:u w:val="single"/>
        </w:rPr>
        <w:t>执行《建设工程质量管理条例》</w:t>
      </w:r>
    </w:p>
    <w:p w14:paraId="7702BBE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工程质量保修期限：</w:t>
      </w:r>
      <w:r>
        <w:rPr>
          <w:rFonts w:hint="eastAsia" w:ascii="宋体" w:hAnsi="宋体" w:eastAsia="宋体" w:cs="宋体"/>
          <w:sz w:val="24"/>
          <w:szCs w:val="24"/>
          <w:u w:val="single"/>
        </w:rPr>
        <w:t>遵守《建设工程质量管理条例》中工程质量保修期限的相关规定，详见本合同后附房屋建筑工程质量保修书。</w:t>
      </w:r>
    </w:p>
    <w:p w14:paraId="66F2D44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工程质量保修责任：</w:t>
      </w:r>
      <w:r>
        <w:rPr>
          <w:rFonts w:hint="eastAsia" w:ascii="宋体" w:hAnsi="宋体" w:eastAsia="宋体" w:cs="宋体"/>
          <w:sz w:val="24"/>
          <w:szCs w:val="24"/>
          <w:u w:val="single"/>
        </w:rPr>
        <w:t>具体详见合同附件式部分附件五《房屋建筑工程质量保修书》的约定。</w:t>
      </w:r>
    </w:p>
    <w:p w14:paraId="69FE148C">
      <w:pPr>
        <w:adjustRightInd w:val="0"/>
        <w:snapToGrid w:val="0"/>
        <w:spacing w:line="360" w:lineRule="auto"/>
        <w:outlineLvl w:val="2"/>
        <w:rPr>
          <w:rFonts w:hint="eastAsia" w:ascii="宋体" w:hAnsi="宋体" w:eastAsia="宋体" w:cs="宋体"/>
          <w:sz w:val="24"/>
          <w:szCs w:val="24"/>
        </w:rPr>
      </w:pPr>
      <w:bookmarkStart w:id="911" w:name="_Toc10262"/>
      <w:bookmarkStart w:id="912" w:name="_Toc85792369"/>
      <w:bookmarkStart w:id="913" w:name="_Toc84948861"/>
      <w:bookmarkStart w:id="914" w:name="_Toc161933536"/>
      <w:r>
        <w:rPr>
          <w:rFonts w:hint="eastAsia" w:ascii="宋体" w:hAnsi="宋体" w:eastAsia="宋体" w:cs="宋体"/>
          <w:sz w:val="24"/>
          <w:szCs w:val="24"/>
        </w:rPr>
        <w:t>20.保险</w:t>
      </w:r>
      <w:bookmarkEnd w:id="911"/>
      <w:bookmarkEnd w:id="912"/>
      <w:bookmarkEnd w:id="913"/>
      <w:bookmarkEnd w:id="914"/>
    </w:p>
    <w:p w14:paraId="4DBDC82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20.1  工程保险</w:t>
      </w:r>
    </w:p>
    <w:p w14:paraId="1EBF434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本工程</w:t>
      </w:r>
      <w:r>
        <w:rPr>
          <w:rFonts w:hint="eastAsia" w:ascii="宋体" w:hAnsi="宋体" w:eastAsia="宋体" w:cs="宋体"/>
          <w:sz w:val="24"/>
          <w:szCs w:val="24"/>
          <w:u w:val="single"/>
        </w:rPr>
        <w:t>投保</w:t>
      </w:r>
      <w:r>
        <w:rPr>
          <w:rFonts w:hint="eastAsia" w:ascii="宋体" w:hAnsi="宋体" w:eastAsia="宋体" w:cs="宋体"/>
          <w:sz w:val="24"/>
          <w:szCs w:val="24"/>
        </w:rPr>
        <w:t xml:space="preserve"> (投保/不投保)工程保险，由此产生的费用由承包人自行承担。投保工程保险时，险种为：</w:t>
      </w:r>
      <w:r>
        <w:rPr>
          <w:rFonts w:hint="eastAsia" w:ascii="宋体" w:hAnsi="宋体" w:eastAsia="宋体" w:cs="宋体"/>
          <w:sz w:val="24"/>
          <w:szCs w:val="24"/>
          <w:u w:val="single"/>
        </w:rPr>
        <w:t>建筑工程一切险、安装工程一切险</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input705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r>
        <w:rPr>
          <w:rFonts w:hint="eastAsia" w:ascii="宋体" w:hAnsi="宋体" w:eastAsia="宋体" w:cs="宋体"/>
          <w:sz w:val="24"/>
          <w:szCs w:val="24"/>
        </w:rPr>
        <w:t>并符合以下约定：</w:t>
      </w:r>
    </w:p>
    <w:p w14:paraId="548C7A4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(1)投保人：</w:t>
      </w:r>
      <w:r>
        <w:rPr>
          <w:rFonts w:hint="eastAsia" w:ascii="宋体" w:hAnsi="宋体" w:eastAsia="宋体" w:cs="宋体"/>
          <w:sz w:val="24"/>
          <w:szCs w:val="24"/>
          <w:u w:val="single"/>
        </w:rPr>
        <w:t>承包人</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input706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0423D72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(2)投保内容：</w:t>
      </w:r>
      <w:r>
        <w:rPr>
          <w:rFonts w:hint="eastAsia" w:ascii="宋体" w:hAnsi="宋体" w:eastAsia="宋体" w:cs="宋体"/>
          <w:sz w:val="24"/>
          <w:szCs w:val="24"/>
          <w:u w:val="single"/>
        </w:rPr>
        <w:t>本合同承包单位内全部工程内容</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input707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6A8679D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(3)保险费率：由投保人与合同双方同意的保险人商定。</w:t>
      </w:r>
    </w:p>
    <w:p w14:paraId="667FC03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(4)保险金额：</w:t>
      </w:r>
      <w:r>
        <w:rPr>
          <w:rFonts w:hint="eastAsia" w:ascii="宋体" w:hAnsi="宋体" w:eastAsia="宋体" w:cs="宋体"/>
          <w:sz w:val="24"/>
          <w:szCs w:val="24"/>
          <w:u w:val="single"/>
        </w:rPr>
        <w:t>同合同总价。</w:t>
      </w:r>
    </w:p>
    <w:p w14:paraId="6CFF6B65">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(5)保险期限：</w:t>
      </w:r>
      <w:r>
        <w:rPr>
          <w:rFonts w:hint="eastAsia" w:ascii="宋体" w:hAnsi="宋体" w:eastAsia="宋体" w:cs="宋体"/>
          <w:sz w:val="24"/>
          <w:szCs w:val="24"/>
          <w:u w:val="single"/>
        </w:rPr>
        <w:t>同合同工期</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input709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47F26B5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20.4  第三者责任险</w:t>
      </w:r>
    </w:p>
    <w:p w14:paraId="50E3C18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20.4.2  保险金额：</w:t>
      </w:r>
      <w:r>
        <w:rPr>
          <w:rFonts w:hint="eastAsia" w:ascii="宋体" w:hAnsi="宋体" w:eastAsia="宋体" w:cs="宋体"/>
          <w:sz w:val="24"/>
          <w:szCs w:val="24"/>
          <w:u w:val="single"/>
        </w:rPr>
        <w:t>双方协商</w:t>
      </w:r>
      <w:r>
        <w:rPr>
          <w:rFonts w:hint="eastAsia" w:ascii="宋体" w:hAnsi="宋体" w:eastAsia="宋体" w:cs="宋体"/>
          <w:sz w:val="24"/>
          <w:szCs w:val="24"/>
        </w:rPr>
        <w:t>，保险费率由承包人与发包人同意的保险人商定，相关保险费由</w:t>
      </w:r>
      <w:r>
        <w:rPr>
          <w:rFonts w:hint="eastAsia" w:ascii="宋体" w:hAnsi="宋体" w:eastAsia="宋体" w:cs="宋体"/>
          <w:sz w:val="24"/>
          <w:szCs w:val="24"/>
          <w:u w:val="single"/>
        </w:rPr>
        <w:t>承包人</w:t>
      </w:r>
      <w:r>
        <w:rPr>
          <w:rFonts w:hint="eastAsia" w:ascii="宋体" w:hAnsi="宋体" w:eastAsia="宋体" w:cs="宋体"/>
          <w:sz w:val="24"/>
          <w:szCs w:val="24"/>
        </w:rPr>
        <w:t>承担。</w:t>
      </w:r>
    </w:p>
    <w:p w14:paraId="407E091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20.5  其他保险</w:t>
      </w:r>
    </w:p>
    <w:p w14:paraId="1C06FD6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承包人应为其施工设备、进场材料和工程设备等办理的保险：</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input712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031D5D9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20.6  对各项保险的一般要求</w:t>
      </w:r>
    </w:p>
    <w:p w14:paraId="73157DE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20.6.1  保险凭证</w:t>
      </w:r>
    </w:p>
    <w:p w14:paraId="738C3F50">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承包人向发包人提交各项保险生效的证据和保险单副本的期限：</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input713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5F13A6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20.6.4  保险金不足的补偿</w:t>
      </w:r>
    </w:p>
    <w:p w14:paraId="64578AEC">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保险金不足以补偿损失时，承包人和发包人负责补偿的责任分摊：</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input714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660CB3B6">
      <w:pPr>
        <w:adjustRightInd w:val="0"/>
        <w:snapToGrid w:val="0"/>
        <w:spacing w:line="360" w:lineRule="auto"/>
        <w:outlineLvl w:val="2"/>
        <w:rPr>
          <w:rFonts w:hint="eastAsia" w:ascii="宋体" w:hAnsi="宋体" w:eastAsia="宋体" w:cs="宋体"/>
          <w:sz w:val="24"/>
          <w:szCs w:val="24"/>
        </w:rPr>
      </w:pPr>
      <w:bookmarkStart w:id="915" w:name="_Toc161933537"/>
      <w:bookmarkStart w:id="916" w:name="_Toc85792370"/>
      <w:bookmarkStart w:id="917" w:name="_Toc4665"/>
      <w:bookmarkStart w:id="918" w:name="_Toc84948862"/>
      <w:r>
        <w:rPr>
          <w:rFonts w:hint="eastAsia" w:ascii="宋体" w:hAnsi="宋体" w:eastAsia="宋体" w:cs="宋体"/>
          <w:sz w:val="24"/>
          <w:szCs w:val="24"/>
        </w:rPr>
        <w:t>21.不可抗力</w:t>
      </w:r>
      <w:bookmarkEnd w:id="915"/>
      <w:bookmarkEnd w:id="916"/>
      <w:bookmarkEnd w:id="917"/>
      <w:bookmarkEnd w:id="918"/>
    </w:p>
    <w:p w14:paraId="1DA2BCE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21.1  不可抗力的确认</w:t>
      </w:r>
    </w:p>
    <w:p w14:paraId="65A044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21.1.1  合同条款通用部分第21.1.1项约定的不可抗力以外的其他情形：</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input715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914ECD6">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不可抗力的等级范围约定：</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input716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69582B01">
      <w:pPr>
        <w:adjustRightInd w:val="0"/>
        <w:snapToGrid w:val="0"/>
        <w:spacing w:line="360" w:lineRule="auto"/>
        <w:outlineLvl w:val="2"/>
        <w:rPr>
          <w:rFonts w:hint="eastAsia" w:ascii="宋体" w:hAnsi="宋体" w:eastAsia="宋体" w:cs="宋体"/>
          <w:sz w:val="24"/>
          <w:szCs w:val="24"/>
        </w:rPr>
      </w:pPr>
      <w:r>
        <w:rPr>
          <w:rFonts w:hint="eastAsia" w:ascii="宋体" w:hAnsi="宋体" w:eastAsia="宋体" w:cs="宋体"/>
          <w:sz w:val="24"/>
          <w:szCs w:val="24"/>
        </w:rPr>
        <w:t>22.违约责任</w:t>
      </w:r>
    </w:p>
    <w:p w14:paraId="3B74356E">
      <w:pPr>
        <w:pStyle w:val="2"/>
        <w:ind w:left="0" w:leftChars="0"/>
        <w:rPr>
          <w:rFonts w:hint="eastAsia" w:ascii="宋体" w:hAnsi="宋体" w:eastAsia="宋体" w:cs="宋体"/>
          <w:sz w:val="24"/>
          <w:szCs w:val="24"/>
        </w:rPr>
      </w:pPr>
      <w:r>
        <w:rPr>
          <w:rFonts w:hint="eastAsia" w:ascii="宋体" w:hAnsi="宋体" w:eastAsia="宋体" w:cs="宋体"/>
          <w:sz w:val="24"/>
          <w:szCs w:val="24"/>
        </w:rPr>
        <w:t>如承包人出现合同约定违约情形的，承包人须承担违约责任，发包人有权要求承包人支付违约金，违约金按签约合同价20%计算，如违约金不足以弥补发包人实际损失的，承包人应负责继续赔偿全部损失（包括但不限于发包人的直接损失、间接损失以及诉讼费、仲裁费、鉴定费、公证费、律师费等）。</w:t>
      </w:r>
    </w:p>
    <w:p w14:paraId="21C0DDED">
      <w:pPr>
        <w:pStyle w:val="2"/>
        <w:ind w:left="0" w:leftChars="0"/>
        <w:rPr>
          <w:rFonts w:hint="eastAsia" w:ascii="宋体" w:hAnsi="宋体" w:eastAsia="宋体" w:cs="宋体"/>
          <w:sz w:val="24"/>
          <w:szCs w:val="24"/>
        </w:rPr>
      </w:pPr>
      <w:r>
        <w:rPr>
          <w:rFonts w:hint="eastAsia" w:ascii="宋体" w:hAnsi="宋体" w:eastAsia="宋体" w:cs="宋体"/>
          <w:sz w:val="24"/>
          <w:szCs w:val="24"/>
        </w:rPr>
        <w:t>承包人存在违约行为的，发包人有权自行从履约保证金、质量保证金及/或尚未支付的款项中扣除承包人应支付的违约金和赔偿金。前述款项不足以覆盖承包人应赔付的款项金额的，承包人应继续支付、赔偿。</w:t>
      </w:r>
    </w:p>
    <w:p w14:paraId="265D8615">
      <w:pPr>
        <w:adjustRightInd w:val="0"/>
        <w:snapToGrid w:val="0"/>
        <w:spacing w:line="360" w:lineRule="auto"/>
        <w:outlineLvl w:val="2"/>
        <w:rPr>
          <w:rFonts w:hint="eastAsia" w:ascii="宋体" w:hAnsi="宋体" w:eastAsia="宋体" w:cs="宋体"/>
          <w:sz w:val="24"/>
          <w:szCs w:val="24"/>
        </w:rPr>
      </w:pPr>
      <w:bookmarkStart w:id="919" w:name="_Toc84948863"/>
      <w:bookmarkStart w:id="920" w:name="_Toc19118"/>
      <w:bookmarkStart w:id="921" w:name="_Toc161933538"/>
      <w:bookmarkStart w:id="922" w:name="_Toc85792371"/>
      <w:r>
        <w:rPr>
          <w:rFonts w:hint="eastAsia" w:ascii="宋体" w:hAnsi="宋体" w:eastAsia="宋体" w:cs="宋体"/>
          <w:sz w:val="24"/>
          <w:szCs w:val="24"/>
        </w:rPr>
        <w:t>24.争议的解决</w:t>
      </w:r>
      <w:bookmarkEnd w:id="919"/>
      <w:bookmarkEnd w:id="920"/>
      <w:bookmarkEnd w:id="921"/>
      <w:bookmarkEnd w:id="922"/>
    </w:p>
    <w:p w14:paraId="4EF6878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24.1  争议的解决方式</w:t>
      </w:r>
    </w:p>
    <w:p w14:paraId="3AD7720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因本合同引起的或与本合同有关的任何争议，合同双方友好协商不成、不愿提请争议组评审或者不愿接受争议评审组意见的，选择下列第</w:t>
      </w:r>
      <w:r>
        <w:rPr>
          <w:rFonts w:hint="eastAsia" w:ascii="宋体" w:hAnsi="宋体" w:eastAsia="宋体" w:cs="宋体"/>
          <w:sz w:val="24"/>
          <w:szCs w:val="24"/>
          <w:u w:val="single"/>
        </w:rPr>
        <w:t>贰</w:t>
      </w:r>
      <w:r>
        <w:rPr>
          <w:rFonts w:hint="eastAsia" w:ascii="宋体" w:hAnsi="宋体" w:eastAsia="宋体" w:cs="宋体"/>
          <w:sz w:val="24"/>
          <w:szCs w:val="24"/>
        </w:rPr>
        <w:t>种方式解决：</w:t>
      </w:r>
    </w:p>
    <w:p w14:paraId="42AEFC3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（壹）</w:t>
      </w:r>
      <w:r>
        <w:rPr>
          <w:rFonts w:hint="eastAsia" w:ascii="宋体" w:hAnsi="宋体" w:eastAsia="宋体" w:cs="宋体"/>
          <w:sz w:val="24"/>
          <w:szCs w:val="24"/>
        </w:rPr>
        <w:t>提请</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input718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r>
        <w:rPr>
          <w:rFonts w:hint="eastAsia" w:ascii="宋体" w:hAnsi="宋体" w:eastAsia="宋体" w:cs="宋体"/>
          <w:sz w:val="24"/>
          <w:szCs w:val="24"/>
        </w:rPr>
        <w:t>仲裁委员会按照该会仲裁规则进行仲裁，仲裁裁决是终局的，对合同双方均有约束力。</w:t>
      </w:r>
    </w:p>
    <w:p w14:paraId="348313F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（贰）</w:t>
      </w:r>
      <w:r>
        <w:rPr>
          <w:rFonts w:hint="eastAsia" w:ascii="宋体" w:hAnsi="宋体" w:eastAsia="宋体" w:cs="宋体"/>
          <w:sz w:val="24"/>
          <w:szCs w:val="24"/>
        </w:rPr>
        <w:t>向北京市丰台区人民法院提起诉讼。</w:t>
      </w:r>
    </w:p>
    <w:p w14:paraId="5E608B2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24.3  争议评审</w:t>
      </w:r>
    </w:p>
    <w:p w14:paraId="4BB946D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24.3.4  争议评审组邀请合同双方代表人和有关人员举行调查会的期限：</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input719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p>
    <w:p w14:paraId="347CAA6A">
      <w:pPr>
        <w:adjustRightInd w:val="0"/>
        <w:snapToGrid w:val="0"/>
        <w:spacing w:line="360" w:lineRule="auto"/>
        <w:outlineLvl w:val="1"/>
        <w:rPr>
          <w:rFonts w:hint="eastAsia" w:ascii="宋体" w:hAnsi="宋体" w:eastAsia="宋体" w:cs="宋体"/>
          <w:color w:val="auto"/>
          <w:sz w:val="24"/>
          <w:szCs w:val="24"/>
        </w:rPr>
      </w:pPr>
      <w:r>
        <w:rPr>
          <w:rFonts w:hint="eastAsia" w:ascii="宋体" w:hAnsi="宋体" w:eastAsia="宋体" w:cs="宋体"/>
          <w:sz w:val="24"/>
          <w:szCs w:val="24"/>
        </w:rPr>
        <w:t>24.3.5  争议评审组在调查会后作出争议评审意见的期限：</w:t>
      </w:r>
      <w:r>
        <w:rPr>
          <w:rFonts w:hint="eastAsia" w:ascii="宋体" w:hAnsi="宋体" w:eastAsia="宋体" w:cs="宋体"/>
          <w:sz w:val="24"/>
          <w:szCs w:val="24"/>
          <w:u w:val="single"/>
        </w:rPr>
        <w:t>/</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input720 \* MERGEFORMAT </w:instrText>
      </w:r>
      <w:r>
        <w:rPr>
          <w:rFonts w:hint="eastAsia" w:ascii="宋体" w:hAnsi="宋体" w:eastAsia="宋体" w:cs="宋体"/>
          <w:sz w:val="24"/>
          <w:szCs w:val="24"/>
          <w:u w:val="single"/>
        </w:rPr>
        <w:fldChar w:fldCharType="separate"/>
      </w:r>
      <w:r>
        <w:rPr>
          <w:rFonts w:hint="eastAsia" w:ascii="宋体" w:hAnsi="宋体" w:eastAsia="宋体" w:cs="宋体"/>
          <w:b/>
          <w:bCs/>
          <w:sz w:val="24"/>
          <w:szCs w:val="24"/>
          <w:u w:val="single"/>
        </w:rPr>
        <w:t>。</w:t>
      </w:r>
      <w:r>
        <w:rPr>
          <w:rFonts w:hint="eastAsia" w:ascii="宋体" w:hAnsi="宋体" w:eastAsia="宋体" w:cs="宋体"/>
          <w:sz w:val="24"/>
          <w:szCs w:val="24"/>
          <w:u w:val="single"/>
        </w:rPr>
        <w:fldChar w:fldCharType="end"/>
      </w:r>
      <w:r>
        <w:rPr>
          <w:rFonts w:hint="eastAsia" w:ascii="宋体" w:hAnsi="宋体" w:eastAsia="宋体" w:cs="宋体"/>
          <w:sz w:val="24"/>
          <w:szCs w:val="24"/>
        </w:rPr>
        <w:br w:type="page"/>
      </w:r>
      <w:bookmarkStart w:id="923" w:name="_Toc85792372"/>
      <w:bookmarkStart w:id="924" w:name="_Toc8161"/>
      <w:bookmarkStart w:id="925" w:name="_Toc161933539"/>
      <w:bookmarkStart w:id="926" w:name="_Toc84948864"/>
      <w:r>
        <w:rPr>
          <w:rFonts w:hint="eastAsia" w:ascii="宋体" w:hAnsi="宋体" w:eastAsia="宋体" w:cs="宋体"/>
          <w:color w:val="auto"/>
          <w:sz w:val="24"/>
          <w:szCs w:val="24"/>
        </w:rPr>
        <w:t>附件一：承包人提供的材料和工程设备一览表</w:t>
      </w:r>
      <w:bookmarkEnd w:id="923"/>
      <w:bookmarkEnd w:id="924"/>
      <w:bookmarkEnd w:id="925"/>
      <w:bookmarkEnd w:id="926"/>
    </w:p>
    <w:p w14:paraId="0FFF8DED">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承包人提供的材料和工程设备一览表</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1166"/>
        <w:gridCol w:w="1059"/>
        <w:gridCol w:w="1059"/>
        <w:gridCol w:w="635"/>
        <w:gridCol w:w="529"/>
        <w:gridCol w:w="740"/>
        <w:gridCol w:w="847"/>
        <w:gridCol w:w="847"/>
        <w:gridCol w:w="740"/>
        <w:gridCol w:w="952"/>
      </w:tblGrid>
      <w:tr w14:paraId="5FB4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048F84D1">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w:t>
            </w:r>
          </w:p>
          <w:p w14:paraId="694D6FD4">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号</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2109BD8C">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材料设备</w:t>
            </w:r>
          </w:p>
          <w:p w14:paraId="32CBF582">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05FB214B">
            <w:pPr>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品牌</w:t>
            </w:r>
          </w:p>
        </w:tc>
        <w:tc>
          <w:tcPr>
            <w:tcW w:w="584" w:type="pct"/>
            <w:tcBorders>
              <w:top w:val="single" w:color="auto" w:sz="4" w:space="0"/>
              <w:left w:val="single" w:color="auto" w:sz="4" w:space="0"/>
              <w:bottom w:val="single" w:color="auto" w:sz="4" w:space="0"/>
              <w:right w:val="single" w:color="auto" w:sz="4" w:space="0"/>
            </w:tcBorders>
            <w:noWrap w:val="0"/>
            <w:vAlign w:val="center"/>
          </w:tcPr>
          <w:p w14:paraId="667BC4BA">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规格</w:t>
            </w:r>
          </w:p>
          <w:p w14:paraId="191EE70A">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型号</w:t>
            </w:r>
          </w:p>
        </w:tc>
        <w:tc>
          <w:tcPr>
            <w:tcW w:w="350" w:type="pct"/>
            <w:tcBorders>
              <w:top w:val="single" w:color="auto" w:sz="4" w:space="0"/>
              <w:left w:val="single" w:color="auto" w:sz="4" w:space="0"/>
              <w:bottom w:val="single" w:color="auto" w:sz="4" w:space="0"/>
              <w:right w:val="single" w:color="auto" w:sz="4" w:space="0"/>
            </w:tcBorders>
            <w:noWrap w:val="0"/>
            <w:vAlign w:val="center"/>
          </w:tcPr>
          <w:p w14:paraId="2C460BA0">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14:paraId="7DA8B006">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位</w:t>
            </w:r>
          </w:p>
        </w:tc>
        <w:tc>
          <w:tcPr>
            <w:tcW w:w="292" w:type="pct"/>
            <w:tcBorders>
              <w:top w:val="single" w:color="auto" w:sz="4" w:space="0"/>
              <w:left w:val="single" w:color="auto" w:sz="4" w:space="0"/>
              <w:bottom w:val="single" w:color="auto" w:sz="4" w:space="0"/>
              <w:right w:val="single" w:color="auto" w:sz="4" w:space="0"/>
            </w:tcBorders>
            <w:noWrap w:val="0"/>
            <w:vAlign w:val="center"/>
          </w:tcPr>
          <w:p w14:paraId="0EDB423C">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数</w:t>
            </w:r>
          </w:p>
          <w:p w14:paraId="3E16F985">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量</w:t>
            </w:r>
          </w:p>
        </w:tc>
        <w:tc>
          <w:tcPr>
            <w:tcW w:w="408" w:type="pct"/>
            <w:tcBorders>
              <w:top w:val="single" w:color="auto" w:sz="4" w:space="0"/>
              <w:left w:val="single" w:color="auto" w:sz="4" w:space="0"/>
              <w:bottom w:val="single" w:color="auto" w:sz="4" w:space="0"/>
              <w:right w:val="single" w:color="auto" w:sz="4" w:space="0"/>
            </w:tcBorders>
            <w:noWrap w:val="0"/>
            <w:vAlign w:val="center"/>
          </w:tcPr>
          <w:p w14:paraId="78270E71">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单</w:t>
            </w:r>
          </w:p>
          <w:p w14:paraId="1F317B57">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价</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76DB9106">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14:paraId="549357CB">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方式</w:t>
            </w:r>
          </w:p>
        </w:tc>
        <w:tc>
          <w:tcPr>
            <w:tcW w:w="467" w:type="pct"/>
            <w:tcBorders>
              <w:top w:val="single" w:color="auto" w:sz="4" w:space="0"/>
              <w:left w:val="single" w:color="auto" w:sz="4" w:space="0"/>
              <w:bottom w:val="single" w:color="auto" w:sz="4" w:space="0"/>
              <w:right w:val="single" w:color="auto" w:sz="4" w:space="0"/>
            </w:tcBorders>
            <w:noWrap w:val="0"/>
            <w:vAlign w:val="center"/>
          </w:tcPr>
          <w:p w14:paraId="324173DA">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w:t>
            </w:r>
          </w:p>
          <w:p w14:paraId="096C5CEF">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408" w:type="pct"/>
            <w:tcBorders>
              <w:top w:val="single" w:color="auto" w:sz="4" w:space="0"/>
              <w:left w:val="single" w:color="auto" w:sz="4" w:space="0"/>
              <w:bottom w:val="single" w:color="auto" w:sz="4" w:space="0"/>
              <w:right w:val="single" w:color="auto" w:sz="4" w:space="0"/>
            </w:tcBorders>
            <w:noWrap w:val="0"/>
            <w:vAlign w:val="center"/>
          </w:tcPr>
          <w:p w14:paraId="0C8B831D">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计划交货</w:t>
            </w:r>
          </w:p>
          <w:p w14:paraId="5EC15B8A">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时间</w:t>
            </w:r>
          </w:p>
        </w:tc>
        <w:tc>
          <w:tcPr>
            <w:tcW w:w="525" w:type="pct"/>
            <w:tcBorders>
              <w:top w:val="single" w:color="auto" w:sz="4" w:space="0"/>
              <w:left w:val="single" w:color="auto" w:sz="4" w:space="0"/>
              <w:bottom w:val="single" w:color="auto" w:sz="4" w:space="0"/>
              <w:right w:val="single" w:color="auto" w:sz="4" w:space="0"/>
            </w:tcBorders>
            <w:noWrap w:val="0"/>
            <w:vAlign w:val="center"/>
          </w:tcPr>
          <w:p w14:paraId="1705F3AE">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73E7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2E0BE40A">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4B114C04">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570F099A">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F471844">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67CF505E">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44A4760B">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540B5E4D">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6A51AE28">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6ABC4004">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4257A04B">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752E678F">
            <w:pPr>
              <w:adjustRightInd w:val="0"/>
              <w:snapToGrid w:val="0"/>
              <w:spacing w:line="360" w:lineRule="auto"/>
              <w:jc w:val="center"/>
              <w:rPr>
                <w:rFonts w:hint="eastAsia" w:ascii="宋体" w:hAnsi="宋体" w:eastAsia="宋体" w:cs="宋体"/>
                <w:color w:val="auto"/>
                <w:sz w:val="24"/>
                <w:szCs w:val="24"/>
              </w:rPr>
            </w:pPr>
          </w:p>
        </w:tc>
      </w:tr>
      <w:tr w14:paraId="2FA1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377B8522">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3C764BEF">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6E5FF403">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014A252A">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2C2F4B67">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0893A006">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1A1CADD1">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18D94BD5">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CAA9F5D">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1105E395">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1D815868">
            <w:pPr>
              <w:adjustRightInd w:val="0"/>
              <w:snapToGrid w:val="0"/>
              <w:spacing w:line="360" w:lineRule="auto"/>
              <w:jc w:val="center"/>
              <w:rPr>
                <w:rFonts w:hint="eastAsia" w:ascii="宋体" w:hAnsi="宋体" w:eastAsia="宋体" w:cs="宋体"/>
                <w:color w:val="auto"/>
                <w:sz w:val="24"/>
                <w:szCs w:val="24"/>
              </w:rPr>
            </w:pPr>
          </w:p>
        </w:tc>
      </w:tr>
      <w:tr w14:paraId="0F9B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09DA4DF0">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0D090C63">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90640DB">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A201D28">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26CEBB7C">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690AD58B">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10CF06FC">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539AC6E7">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61596E07">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3B23B253">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554393D7">
            <w:pPr>
              <w:adjustRightInd w:val="0"/>
              <w:snapToGrid w:val="0"/>
              <w:spacing w:line="360" w:lineRule="auto"/>
              <w:jc w:val="center"/>
              <w:rPr>
                <w:rFonts w:hint="eastAsia" w:ascii="宋体" w:hAnsi="宋体" w:eastAsia="宋体" w:cs="宋体"/>
                <w:color w:val="auto"/>
                <w:sz w:val="24"/>
                <w:szCs w:val="24"/>
              </w:rPr>
            </w:pPr>
          </w:p>
        </w:tc>
      </w:tr>
      <w:tr w14:paraId="7688F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4A759B32">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12FAAA34">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3AB99BA">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75E42516">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76A64F62">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5D2C5E6F">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5C4737D5">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05405790">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4677B97F">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50605AA3">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366FEA3E">
            <w:pPr>
              <w:adjustRightInd w:val="0"/>
              <w:snapToGrid w:val="0"/>
              <w:spacing w:line="360" w:lineRule="auto"/>
              <w:jc w:val="center"/>
              <w:rPr>
                <w:rFonts w:hint="eastAsia" w:ascii="宋体" w:hAnsi="宋体" w:eastAsia="宋体" w:cs="宋体"/>
                <w:color w:val="auto"/>
                <w:sz w:val="24"/>
                <w:szCs w:val="24"/>
              </w:rPr>
            </w:pPr>
          </w:p>
        </w:tc>
      </w:tr>
      <w:tr w14:paraId="6FE2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76BF4D73">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931DFD1">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3EBBCF9C">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71CF6D65">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22B308EB">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3FF56878">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66AF5D17">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1B835FB">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E8A2AF7">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07FF2D46">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7BE52377">
            <w:pPr>
              <w:adjustRightInd w:val="0"/>
              <w:snapToGrid w:val="0"/>
              <w:spacing w:line="360" w:lineRule="auto"/>
              <w:jc w:val="center"/>
              <w:rPr>
                <w:rFonts w:hint="eastAsia" w:ascii="宋体" w:hAnsi="宋体" w:eastAsia="宋体" w:cs="宋体"/>
                <w:color w:val="auto"/>
                <w:sz w:val="24"/>
                <w:szCs w:val="24"/>
              </w:rPr>
            </w:pPr>
          </w:p>
        </w:tc>
      </w:tr>
      <w:tr w14:paraId="567E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407D7465">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8C8E162">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DF78656">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91261C9">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11B36FB4">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0EA9FA29">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4454EEAA">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65FB603E">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0C3BEC59">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59E8DF1F">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418E293B">
            <w:pPr>
              <w:adjustRightInd w:val="0"/>
              <w:snapToGrid w:val="0"/>
              <w:spacing w:line="360" w:lineRule="auto"/>
              <w:jc w:val="center"/>
              <w:rPr>
                <w:rFonts w:hint="eastAsia" w:ascii="宋体" w:hAnsi="宋体" w:eastAsia="宋体" w:cs="宋体"/>
                <w:color w:val="auto"/>
                <w:sz w:val="24"/>
                <w:szCs w:val="24"/>
              </w:rPr>
            </w:pPr>
          </w:p>
        </w:tc>
      </w:tr>
      <w:tr w14:paraId="4756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3EB4475C">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30E325D6">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06257457">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5A115006">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28D3D716">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6340522F">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8AF63BD">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34ED137">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41BD1096">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AE06E0D">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7D1C3576">
            <w:pPr>
              <w:adjustRightInd w:val="0"/>
              <w:snapToGrid w:val="0"/>
              <w:spacing w:line="360" w:lineRule="auto"/>
              <w:jc w:val="center"/>
              <w:rPr>
                <w:rFonts w:hint="eastAsia" w:ascii="宋体" w:hAnsi="宋体" w:eastAsia="宋体" w:cs="宋体"/>
                <w:color w:val="auto"/>
                <w:sz w:val="24"/>
                <w:szCs w:val="24"/>
              </w:rPr>
            </w:pPr>
          </w:p>
        </w:tc>
      </w:tr>
      <w:tr w14:paraId="1DD1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51FA8655">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EC27A36">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02F69437">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2F7E617">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560AE3BB">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677EF6C9">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3B683F8D">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C5654DA">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0170E655">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0F34933">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04BBC164">
            <w:pPr>
              <w:adjustRightInd w:val="0"/>
              <w:snapToGrid w:val="0"/>
              <w:spacing w:line="360" w:lineRule="auto"/>
              <w:jc w:val="center"/>
              <w:rPr>
                <w:rFonts w:hint="eastAsia" w:ascii="宋体" w:hAnsi="宋体" w:eastAsia="宋体" w:cs="宋体"/>
                <w:color w:val="auto"/>
                <w:sz w:val="24"/>
                <w:szCs w:val="24"/>
              </w:rPr>
            </w:pPr>
          </w:p>
        </w:tc>
      </w:tr>
      <w:tr w14:paraId="5BFE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7C09271F">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3A7EA7B">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23E1F3FD">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895D5EF">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226F6FF0">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0D61984B">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90F0CA5">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73C645F5">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22BC5E1">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41B7257E">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45936B70">
            <w:pPr>
              <w:adjustRightInd w:val="0"/>
              <w:snapToGrid w:val="0"/>
              <w:spacing w:line="360" w:lineRule="auto"/>
              <w:jc w:val="center"/>
              <w:rPr>
                <w:rFonts w:hint="eastAsia" w:ascii="宋体" w:hAnsi="宋体" w:eastAsia="宋体" w:cs="宋体"/>
                <w:color w:val="auto"/>
                <w:sz w:val="24"/>
                <w:szCs w:val="24"/>
              </w:rPr>
            </w:pPr>
          </w:p>
        </w:tc>
      </w:tr>
      <w:tr w14:paraId="7640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2F645DD8">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B5DFF4E">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7F8472B3">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576C8B54">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016B30DC">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1769AC98">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090EBC02">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70D64DE8">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1E629B4A">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4297BC7">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4D69294F">
            <w:pPr>
              <w:adjustRightInd w:val="0"/>
              <w:snapToGrid w:val="0"/>
              <w:spacing w:line="360" w:lineRule="auto"/>
              <w:jc w:val="center"/>
              <w:rPr>
                <w:rFonts w:hint="eastAsia" w:ascii="宋体" w:hAnsi="宋体" w:eastAsia="宋体" w:cs="宋体"/>
                <w:color w:val="auto"/>
                <w:sz w:val="24"/>
                <w:szCs w:val="24"/>
              </w:rPr>
            </w:pPr>
          </w:p>
        </w:tc>
      </w:tr>
      <w:tr w14:paraId="6590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470EFB3A">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35E61573">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32906318">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22FD7B44">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51BD5D03">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435F4D30">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0CA3A06C">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76AA1EAE">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0EEF49B8">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4DE0481B">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632DC55F">
            <w:pPr>
              <w:adjustRightInd w:val="0"/>
              <w:snapToGrid w:val="0"/>
              <w:spacing w:line="360" w:lineRule="auto"/>
              <w:jc w:val="center"/>
              <w:rPr>
                <w:rFonts w:hint="eastAsia" w:ascii="宋体" w:hAnsi="宋体" w:eastAsia="宋体" w:cs="宋体"/>
                <w:color w:val="auto"/>
                <w:sz w:val="24"/>
                <w:szCs w:val="24"/>
              </w:rPr>
            </w:pPr>
          </w:p>
        </w:tc>
      </w:tr>
      <w:tr w14:paraId="2D369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69525F77">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0CEF5E72">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06B83C73">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C748656">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3DCAB0D9">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31F16B7F">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32929DF2">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0A7FE79F">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1947DDD8">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7E419344">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160BBD7B">
            <w:pPr>
              <w:adjustRightInd w:val="0"/>
              <w:snapToGrid w:val="0"/>
              <w:spacing w:line="360" w:lineRule="auto"/>
              <w:jc w:val="center"/>
              <w:rPr>
                <w:rFonts w:hint="eastAsia" w:ascii="宋体" w:hAnsi="宋体" w:eastAsia="宋体" w:cs="宋体"/>
                <w:color w:val="auto"/>
                <w:sz w:val="24"/>
                <w:szCs w:val="24"/>
              </w:rPr>
            </w:pPr>
          </w:p>
        </w:tc>
      </w:tr>
      <w:tr w14:paraId="3870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58485F98">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1172175B">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256C2637">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578558EC">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57EE5CF1">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6F01EC86">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52A912AA">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755931C7">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22ABA1DD">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D159AF2">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00FFC987">
            <w:pPr>
              <w:adjustRightInd w:val="0"/>
              <w:snapToGrid w:val="0"/>
              <w:spacing w:line="360" w:lineRule="auto"/>
              <w:jc w:val="center"/>
              <w:rPr>
                <w:rFonts w:hint="eastAsia" w:ascii="宋体" w:hAnsi="宋体" w:eastAsia="宋体" w:cs="宋体"/>
                <w:color w:val="auto"/>
                <w:sz w:val="24"/>
                <w:szCs w:val="24"/>
              </w:rPr>
            </w:pPr>
          </w:p>
        </w:tc>
      </w:tr>
      <w:tr w14:paraId="42F98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219F3489">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2F15AA04">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35A5E87">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3F76104E">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3B12EC97">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170BDD78">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4B5E8CD6">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44552DCC">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0B4AB420">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2492E29A">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2E17B8F1">
            <w:pPr>
              <w:adjustRightInd w:val="0"/>
              <w:snapToGrid w:val="0"/>
              <w:spacing w:line="360" w:lineRule="auto"/>
              <w:jc w:val="center"/>
              <w:rPr>
                <w:rFonts w:hint="eastAsia" w:ascii="宋体" w:hAnsi="宋体" w:eastAsia="宋体" w:cs="宋体"/>
                <w:color w:val="auto"/>
                <w:sz w:val="24"/>
                <w:szCs w:val="24"/>
              </w:rPr>
            </w:pPr>
          </w:p>
        </w:tc>
      </w:tr>
      <w:tr w14:paraId="0685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5D9607D5">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B17ADB7">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03D98E9D">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6E201CBD">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3D394BA4">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2DFAF04C">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7E2F7ABE">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303FF1D0">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7EABB63F">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0A225B69">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2CC2DB88">
            <w:pPr>
              <w:adjustRightInd w:val="0"/>
              <w:snapToGrid w:val="0"/>
              <w:spacing w:line="360" w:lineRule="auto"/>
              <w:jc w:val="center"/>
              <w:rPr>
                <w:rFonts w:hint="eastAsia" w:ascii="宋体" w:hAnsi="宋体" w:eastAsia="宋体" w:cs="宋体"/>
                <w:color w:val="auto"/>
                <w:sz w:val="24"/>
                <w:szCs w:val="24"/>
              </w:rPr>
            </w:pPr>
          </w:p>
        </w:tc>
      </w:tr>
      <w:tr w14:paraId="5451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0D8A9353">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7A47A8DB">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1A23A1A">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55D464B">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10CB8EAD">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55DA01C5">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39A42206">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69B04337">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2A60BB53">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136668EA">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4E06953C">
            <w:pPr>
              <w:adjustRightInd w:val="0"/>
              <w:snapToGrid w:val="0"/>
              <w:spacing w:line="360" w:lineRule="auto"/>
              <w:jc w:val="center"/>
              <w:rPr>
                <w:rFonts w:hint="eastAsia" w:ascii="宋体" w:hAnsi="宋体" w:eastAsia="宋体" w:cs="宋体"/>
                <w:color w:val="auto"/>
                <w:sz w:val="24"/>
                <w:szCs w:val="24"/>
              </w:rPr>
            </w:pPr>
          </w:p>
        </w:tc>
      </w:tr>
      <w:tr w14:paraId="1D10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083E4DF8">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49FA67B0">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A70DAD5">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152EC25E">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2F48EAE0">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44DB6953">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4F2560E2">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29ADE2C5">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2F02890F">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731574CB">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71EABD4E">
            <w:pPr>
              <w:adjustRightInd w:val="0"/>
              <w:snapToGrid w:val="0"/>
              <w:spacing w:line="360" w:lineRule="auto"/>
              <w:jc w:val="center"/>
              <w:rPr>
                <w:rFonts w:hint="eastAsia" w:ascii="宋体" w:hAnsi="宋体" w:eastAsia="宋体" w:cs="宋体"/>
                <w:color w:val="auto"/>
                <w:sz w:val="24"/>
                <w:szCs w:val="24"/>
              </w:rPr>
            </w:pPr>
          </w:p>
        </w:tc>
      </w:tr>
      <w:tr w14:paraId="3EE1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 w:type="pct"/>
            <w:tcBorders>
              <w:top w:val="single" w:color="auto" w:sz="4" w:space="0"/>
              <w:left w:val="single" w:color="auto" w:sz="4" w:space="0"/>
              <w:bottom w:val="single" w:color="auto" w:sz="4" w:space="0"/>
              <w:right w:val="single" w:color="auto" w:sz="4" w:space="0"/>
            </w:tcBorders>
            <w:noWrap w:val="0"/>
            <w:vAlign w:val="center"/>
          </w:tcPr>
          <w:p w14:paraId="458CA436">
            <w:pPr>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44CD8262">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79D98EF4">
            <w:pPr>
              <w:adjustRightInd w:val="0"/>
              <w:snapToGrid w:val="0"/>
              <w:spacing w:line="360" w:lineRule="auto"/>
              <w:jc w:val="center"/>
              <w:rPr>
                <w:rFonts w:hint="eastAsia" w:ascii="宋体" w:hAnsi="宋体" w:eastAsia="宋体" w:cs="宋体"/>
                <w:color w:val="auto"/>
                <w:sz w:val="24"/>
                <w:szCs w:val="24"/>
              </w:rPr>
            </w:pPr>
          </w:p>
        </w:tc>
        <w:tc>
          <w:tcPr>
            <w:tcW w:w="584" w:type="pct"/>
            <w:tcBorders>
              <w:top w:val="single" w:color="auto" w:sz="4" w:space="0"/>
              <w:left w:val="single" w:color="auto" w:sz="4" w:space="0"/>
              <w:bottom w:val="single" w:color="auto" w:sz="4" w:space="0"/>
              <w:right w:val="single" w:color="auto" w:sz="4" w:space="0"/>
            </w:tcBorders>
            <w:noWrap w:val="0"/>
            <w:vAlign w:val="center"/>
          </w:tcPr>
          <w:p w14:paraId="421E0A5D">
            <w:pPr>
              <w:adjustRightInd w:val="0"/>
              <w:snapToGrid w:val="0"/>
              <w:spacing w:line="360" w:lineRule="auto"/>
              <w:jc w:val="center"/>
              <w:rPr>
                <w:rFonts w:hint="eastAsia" w:ascii="宋体" w:hAnsi="宋体" w:eastAsia="宋体" w:cs="宋体"/>
                <w:color w:val="auto"/>
                <w:sz w:val="24"/>
                <w:szCs w:val="24"/>
              </w:rPr>
            </w:pPr>
          </w:p>
        </w:tc>
        <w:tc>
          <w:tcPr>
            <w:tcW w:w="350" w:type="pct"/>
            <w:tcBorders>
              <w:top w:val="single" w:color="auto" w:sz="4" w:space="0"/>
              <w:left w:val="single" w:color="auto" w:sz="4" w:space="0"/>
              <w:bottom w:val="single" w:color="auto" w:sz="4" w:space="0"/>
              <w:right w:val="single" w:color="auto" w:sz="4" w:space="0"/>
            </w:tcBorders>
            <w:noWrap w:val="0"/>
            <w:vAlign w:val="center"/>
          </w:tcPr>
          <w:p w14:paraId="5621FCB1">
            <w:pPr>
              <w:adjustRightInd w:val="0"/>
              <w:snapToGrid w:val="0"/>
              <w:spacing w:line="360" w:lineRule="auto"/>
              <w:jc w:val="center"/>
              <w:rPr>
                <w:rFonts w:hint="eastAsia" w:ascii="宋体" w:hAnsi="宋体" w:eastAsia="宋体" w:cs="宋体"/>
                <w:color w:val="auto"/>
                <w:sz w:val="24"/>
                <w:szCs w:val="24"/>
              </w:rPr>
            </w:pPr>
          </w:p>
        </w:tc>
        <w:tc>
          <w:tcPr>
            <w:tcW w:w="292" w:type="pct"/>
            <w:tcBorders>
              <w:top w:val="single" w:color="auto" w:sz="4" w:space="0"/>
              <w:left w:val="single" w:color="auto" w:sz="4" w:space="0"/>
              <w:bottom w:val="single" w:color="auto" w:sz="4" w:space="0"/>
              <w:right w:val="single" w:color="auto" w:sz="4" w:space="0"/>
            </w:tcBorders>
            <w:noWrap w:val="0"/>
            <w:vAlign w:val="center"/>
          </w:tcPr>
          <w:p w14:paraId="3F2903B1">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65238B20">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7F04A81C">
            <w:pPr>
              <w:adjustRightInd w:val="0"/>
              <w:snapToGrid w:val="0"/>
              <w:spacing w:line="360" w:lineRule="auto"/>
              <w:jc w:val="center"/>
              <w:rPr>
                <w:rFonts w:hint="eastAsia" w:ascii="宋体" w:hAnsi="宋体" w:eastAsia="宋体" w:cs="宋体"/>
                <w:color w:val="auto"/>
                <w:sz w:val="24"/>
                <w:szCs w:val="24"/>
              </w:rPr>
            </w:pPr>
          </w:p>
        </w:tc>
        <w:tc>
          <w:tcPr>
            <w:tcW w:w="467" w:type="pct"/>
            <w:tcBorders>
              <w:top w:val="single" w:color="auto" w:sz="4" w:space="0"/>
              <w:left w:val="single" w:color="auto" w:sz="4" w:space="0"/>
              <w:bottom w:val="single" w:color="auto" w:sz="4" w:space="0"/>
              <w:right w:val="single" w:color="auto" w:sz="4" w:space="0"/>
            </w:tcBorders>
            <w:noWrap w:val="0"/>
            <w:vAlign w:val="center"/>
          </w:tcPr>
          <w:p w14:paraId="59A9A081">
            <w:pPr>
              <w:adjustRightInd w:val="0"/>
              <w:snapToGrid w:val="0"/>
              <w:spacing w:line="360" w:lineRule="auto"/>
              <w:jc w:val="center"/>
              <w:rPr>
                <w:rFonts w:hint="eastAsia" w:ascii="宋体" w:hAnsi="宋体" w:eastAsia="宋体" w:cs="宋体"/>
                <w:color w:val="auto"/>
                <w:sz w:val="24"/>
                <w:szCs w:val="24"/>
              </w:rPr>
            </w:pPr>
          </w:p>
        </w:tc>
        <w:tc>
          <w:tcPr>
            <w:tcW w:w="408" w:type="pct"/>
            <w:tcBorders>
              <w:top w:val="single" w:color="auto" w:sz="4" w:space="0"/>
              <w:left w:val="single" w:color="auto" w:sz="4" w:space="0"/>
              <w:bottom w:val="single" w:color="auto" w:sz="4" w:space="0"/>
              <w:right w:val="single" w:color="auto" w:sz="4" w:space="0"/>
            </w:tcBorders>
            <w:noWrap w:val="0"/>
            <w:vAlign w:val="center"/>
          </w:tcPr>
          <w:p w14:paraId="1F7FFB75">
            <w:pPr>
              <w:adjustRightInd w:val="0"/>
              <w:snapToGrid w:val="0"/>
              <w:spacing w:line="360" w:lineRule="auto"/>
              <w:jc w:val="center"/>
              <w:rPr>
                <w:rFonts w:hint="eastAsia" w:ascii="宋体" w:hAnsi="宋体" w:eastAsia="宋体" w:cs="宋体"/>
                <w:color w:val="auto"/>
                <w:sz w:val="24"/>
                <w:szCs w:val="24"/>
              </w:rPr>
            </w:pPr>
          </w:p>
        </w:tc>
        <w:tc>
          <w:tcPr>
            <w:tcW w:w="525" w:type="pct"/>
            <w:tcBorders>
              <w:top w:val="single" w:color="auto" w:sz="4" w:space="0"/>
              <w:left w:val="single" w:color="auto" w:sz="4" w:space="0"/>
              <w:bottom w:val="single" w:color="auto" w:sz="4" w:space="0"/>
              <w:right w:val="single" w:color="auto" w:sz="4" w:space="0"/>
            </w:tcBorders>
            <w:noWrap w:val="0"/>
            <w:vAlign w:val="center"/>
          </w:tcPr>
          <w:p w14:paraId="467F3DAA">
            <w:pPr>
              <w:adjustRightInd w:val="0"/>
              <w:snapToGrid w:val="0"/>
              <w:spacing w:line="360" w:lineRule="auto"/>
              <w:jc w:val="center"/>
              <w:rPr>
                <w:rFonts w:hint="eastAsia" w:ascii="宋体" w:hAnsi="宋体" w:eastAsia="宋体" w:cs="宋体"/>
                <w:color w:val="auto"/>
                <w:sz w:val="24"/>
                <w:szCs w:val="24"/>
              </w:rPr>
            </w:pPr>
          </w:p>
        </w:tc>
      </w:tr>
    </w:tbl>
    <w:p w14:paraId="01507740">
      <w:pPr>
        <w:adjustRightInd/>
        <w:snapToGrid/>
        <w:spacing w:line="240" w:lineRule="auto"/>
        <w:rPr>
          <w:rFonts w:hint="eastAsia" w:ascii="宋体" w:hAnsi="宋体" w:eastAsia="宋体" w:cs="宋体"/>
          <w:sz w:val="24"/>
          <w:szCs w:val="24"/>
        </w:rPr>
      </w:pPr>
      <w:r>
        <w:rPr>
          <w:rFonts w:hint="eastAsia" w:ascii="宋体" w:hAnsi="宋体" w:eastAsia="宋体" w:cs="宋体"/>
          <w:color w:val="auto"/>
          <w:sz w:val="24"/>
          <w:szCs w:val="24"/>
        </w:rPr>
        <w:br w:type="page"/>
      </w:r>
    </w:p>
    <w:p w14:paraId="0E0661D5">
      <w:pPr>
        <w:adjustRightInd w:val="0"/>
        <w:snapToGrid w:val="0"/>
        <w:spacing w:line="360" w:lineRule="auto"/>
        <w:outlineLvl w:val="1"/>
        <w:rPr>
          <w:rFonts w:hint="eastAsia" w:ascii="宋体" w:hAnsi="宋体" w:eastAsia="宋体" w:cs="宋体"/>
          <w:sz w:val="24"/>
          <w:szCs w:val="24"/>
        </w:rPr>
      </w:pPr>
      <w:bookmarkStart w:id="927" w:name="_Toc85792373"/>
      <w:bookmarkStart w:id="928" w:name="_Toc161933540"/>
      <w:bookmarkStart w:id="929" w:name="_Toc84948865"/>
      <w:bookmarkStart w:id="930" w:name="_Toc15105"/>
      <w:r>
        <w:rPr>
          <w:rFonts w:hint="eastAsia" w:ascii="宋体" w:hAnsi="宋体" w:eastAsia="宋体" w:cs="宋体"/>
          <w:sz w:val="24"/>
          <w:szCs w:val="24"/>
        </w:rPr>
        <w:t>附件二：发包人提供的材料和工程设备一览表</w:t>
      </w:r>
      <w:bookmarkEnd w:id="927"/>
      <w:bookmarkEnd w:id="928"/>
      <w:bookmarkEnd w:id="929"/>
      <w:bookmarkEnd w:id="930"/>
    </w:p>
    <w:p w14:paraId="5C04AC29">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b/>
          <w:sz w:val="24"/>
          <w:szCs w:val="24"/>
        </w:rPr>
        <w:t>发包人提供的材料和工程设备一览表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1319"/>
        <w:gridCol w:w="1200"/>
        <w:gridCol w:w="720"/>
        <w:gridCol w:w="600"/>
        <w:gridCol w:w="839"/>
        <w:gridCol w:w="959"/>
        <w:gridCol w:w="959"/>
        <w:gridCol w:w="839"/>
        <w:gridCol w:w="1078"/>
      </w:tblGrid>
      <w:tr w14:paraId="37BC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3A13A5F0">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序</w:t>
            </w:r>
          </w:p>
          <w:p w14:paraId="0CF2FA2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号</w:t>
            </w:r>
          </w:p>
        </w:tc>
        <w:tc>
          <w:tcPr>
            <w:tcW w:w="728" w:type="pct"/>
            <w:tcBorders>
              <w:top w:val="single" w:color="auto" w:sz="4" w:space="0"/>
              <w:left w:val="single" w:color="auto" w:sz="4" w:space="0"/>
              <w:bottom w:val="single" w:color="auto" w:sz="4" w:space="0"/>
              <w:right w:val="single" w:color="auto" w:sz="4" w:space="0"/>
            </w:tcBorders>
            <w:vAlign w:val="center"/>
          </w:tcPr>
          <w:p w14:paraId="2DCD1C2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材料设备</w:t>
            </w:r>
          </w:p>
          <w:p w14:paraId="41C12A0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名    称</w:t>
            </w:r>
          </w:p>
        </w:tc>
        <w:tc>
          <w:tcPr>
            <w:tcW w:w="662" w:type="pct"/>
            <w:tcBorders>
              <w:top w:val="single" w:color="auto" w:sz="4" w:space="0"/>
              <w:left w:val="single" w:color="auto" w:sz="4" w:space="0"/>
              <w:bottom w:val="single" w:color="auto" w:sz="4" w:space="0"/>
              <w:right w:val="single" w:color="auto" w:sz="4" w:space="0"/>
            </w:tcBorders>
            <w:vAlign w:val="center"/>
          </w:tcPr>
          <w:p w14:paraId="2E1D01C0">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规格</w:t>
            </w:r>
          </w:p>
          <w:p w14:paraId="00635F0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型号</w:t>
            </w:r>
          </w:p>
        </w:tc>
        <w:tc>
          <w:tcPr>
            <w:tcW w:w="397" w:type="pct"/>
            <w:tcBorders>
              <w:top w:val="single" w:color="auto" w:sz="4" w:space="0"/>
              <w:left w:val="single" w:color="auto" w:sz="4" w:space="0"/>
              <w:bottom w:val="single" w:color="auto" w:sz="4" w:space="0"/>
              <w:right w:val="single" w:color="auto" w:sz="4" w:space="0"/>
            </w:tcBorders>
            <w:vAlign w:val="center"/>
          </w:tcPr>
          <w:p w14:paraId="1A1F19EE">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单</w:t>
            </w:r>
          </w:p>
          <w:p w14:paraId="5A6284CF">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位</w:t>
            </w:r>
          </w:p>
        </w:tc>
        <w:tc>
          <w:tcPr>
            <w:tcW w:w="331" w:type="pct"/>
            <w:tcBorders>
              <w:top w:val="single" w:color="auto" w:sz="4" w:space="0"/>
              <w:left w:val="single" w:color="auto" w:sz="4" w:space="0"/>
              <w:bottom w:val="single" w:color="auto" w:sz="4" w:space="0"/>
              <w:right w:val="single" w:color="auto" w:sz="4" w:space="0"/>
            </w:tcBorders>
            <w:vAlign w:val="center"/>
          </w:tcPr>
          <w:p w14:paraId="64027AAA">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数</w:t>
            </w:r>
          </w:p>
          <w:p w14:paraId="2E83D4D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量</w:t>
            </w:r>
          </w:p>
        </w:tc>
        <w:tc>
          <w:tcPr>
            <w:tcW w:w="463" w:type="pct"/>
            <w:tcBorders>
              <w:top w:val="single" w:color="auto" w:sz="4" w:space="0"/>
              <w:left w:val="single" w:color="auto" w:sz="4" w:space="0"/>
              <w:bottom w:val="single" w:color="auto" w:sz="4" w:space="0"/>
              <w:right w:val="single" w:color="auto" w:sz="4" w:space="0"/>
            </w:tcBorders>
            <w:vAlign w:val="center"/>
          </w:tcPr>
          <w:p w14:paraId="5C6C3EB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单</w:t>
            </w:r>
          </w:p>
          <w:p w14:paraId="28423D26">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价</w:t>
            </w:r>
          </w:p>
        </w:tc>
        <w:tc>
          <w:tcPr>
            <w:tcW w:w="529" w:type="pct"/>
            <w:tcBorders>
              <w:top w:val="single" w:color="auto" w:sz="4" w:space="0"/>
              <w:left w:val="single" w:color="auto" w:sz="4" w:space="0"/>
              <w:bottom w:val="single" w:color="auto" w:sz="4" w:space="0"/>
              <w:right w:val="single" w:color="auto" w:sz="4" w:space="0"/>
            </w:tcBorders>
            <w:vAlign w:val="center"/>
          </w:tcPr>
          <w:p w14:paraId="6526DA68">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交货</w:t>
            </w:r>
          </w:p>
          <w:p w14:paraId="1A2C86E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方式</w:t>
            </w:r>
          </w:p>
        </w:tc>
        <w:tc>
          <w:tcPr>
            <w:tcW w:w="529" w:type="pct"/>
            <w:tcBorders>
              <w:top w:val="single" w:color="auto" w:sz="4" w:space="0"/>
              <w:left w:val="single" w:color="auto" w:sz="4" w:space="0"/>
              <w:bottom w:val="single" w:color="auto" w:sz="4" w:space="0"/>
              <w:right w:val="single" w:color="auto" w:sz="4" w:space="0"/>
            </w:tcBorders>
            <w:vAlign w:val="center"/>
          </w:tcPr>
          <w:p w14:paraId="7D0E93F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交货</w:t>
            </w:r>
          </w:p>
          <w:p w14:paraId="4ACE4A2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地点</w:t>
            </w:r>
          </w:p>
        </w:tc>
        <w:tc>
          <w:tcPr>
            <w:tcW w:w="463" w:type="pct"/>
            <w:tcBorders>
              <w:top w:val="single" w:color="auto" w:sz="4" w:space="0"/>
              <w:left w:val="single" w:color="auto" w:sz="4" w:space="0"/>
              <w:bottom w:val="single" w:color="auto" w:sz="4" w:space="0"/>
              <w:right w:val="single" w:color="auto" w:sz="4" w:space="0"/>
            </w:tcBorders>
            <w:vAlign w:val="center"/>
          </w:tcPr>
          <w:p w14:paraId="57608E9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计划交货</w:t>
            </w:r>
          </w:p>
          <w:p w14:paraId="057408F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时间</w:t>
            </w:r>
          </w:p>
        </w:tc>
        <w:tc>
          <w:tcPr>
            <w:tcW w:w="595" w:type="pct"/>
            <w:tcBorders>
              <w:top w:val="single" w:color="auto" w:sz="4" w:space="0"/>
              <w:left w:val="single" w:color="auto" w:sz="4" w:space="0"/>
              <w:bottom w:val="single" w:color="auto" w:sz="4" w:space="0"/>
              <w:right w:val="single" w:color="auto" w:sz="4" w:space="0"/>
            </w:tcBorders>
            <w:vAlign w:val="center"/>
          </w:tcPr>
          <w:p w14:paraId="4C8B558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6D9BF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6A8309D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7C2F92A9">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12E08E81">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1B91A356">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39B168AE">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6704450E">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28E70A98">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6ACD1F63">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3B52C93C">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40EC865F">
            <w:pPr>
              <w:adjustRightInd w:val="0"/>
              <w:snapToGrid w:val="0"/>
              <w:spacing w:line="360" w:lineRule="auto"/>
              <w:jc w:val="center"/>
              <w:rPr>
                <w:rFonts w:hint="eastAsia" w:ascii="宋体" w:hAnsi="宋体" w:eastAsia="宋体" w:cs="宋体"/>
                <w:sz w:val="24"/>
                <w:szCs w:val="24"/>
              </w:rPr>
            </w:pPr>
          </w:p>
        </w:tc>
      </w:tr>
      <w:tr w14:paraId="67CB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4E1830E6">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745AC429">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2C423EB8">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2BC48671">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29292C01">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221FE8F0">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0331D96E">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290DE4E4">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0554B137">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08C412F5">
            <w:pPr>
              <w:adjustRightInd w:val="0"/>
              <w:snapToGrid w:val="0"/>
              <w:spacing w:line="360" w:lineRule="auto"/>
              <w:jc w:val="center"/>
              <w:rPr>
                <w:rFonts w:hint="eastAsia" w:ascii="宋体" w:hAnsi="宋体" w:eastAsia="宋体" w:cs="宋体"/>
                <w:sz w:val="24"/>
                <w:szCs w:val="24"/>
              </w:rPr>
            </w:pPr>
          </w:p>
        </w:tc>
      </w:tr>
      <w:tr w14:paraId="1435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067860D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61B94CC6">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6C6FD887">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54A7858A">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73874039">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747DFF9C">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7D12B24F">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52446C07">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4CF182BF">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06046920">
            <w:pPr>
              <w:adjustRightInd w:val="0"/>
              <w:snapToGrid w:val="0"/>
              <w:spacing w:line="360" w:lineRule="auto"/>
              <w:jc w:val="center"/>
              <w:rPr>
                <w:rFonts w:hint="eastAsia" w:ascii="宋体" w:hAnsi="宋体" w:eastAsia="宋体" w:cs="宋体"/>
                <w:sz w:val="24"/>
                <w:szCs w:val="24"/>
              </w:rPr>
            </w:pPr>
          </w:p>
        </w:tc>
      </w:tr>
      <w:tr w14:paraId="6DB0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5E472EB7">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55E47C34">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243A38B7">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614862A3">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3CB36E71">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14A5BFE7">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2D451CC4">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41B60B6C">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14B562AA">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3A7413A2">
            <w:pPr>
              <w:adjustRightInd w:val="0"/>
              <w:snapToGrid w:val="0"/>
              <w:spacing w:line="360" w:lineRule="auto"/>
              <w:jc w:val="center"/>
              <w:rPr>
                <w:rFonts w:hint="eastAsia" w:ascii="宋体" w:hAnsi="宋体" w:eastAsia="宋体" w:cs="宋体"/>
                <w:sz w:val="24"/>
                <w:szCs w:val="24"/>
              </w:rPr>
            </w:pPr>
          </w:p>
        </w:tc>
      </w:tr>
      <w:tr w14:paraId="7855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6C48A13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50740850">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20173282">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7E28A8D7">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509EB19F">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2A51F9EF">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19A6F788">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1456BBE0">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7BCDACD8">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37C3417D">
            <w:pPr>
              <w:adjustRightInd w:val="0"/>
              <w:snapToGrid w:val="0"/>
              <w:spacing w:line="360" w:lineRule="auto"/>
              <w:jc w:val="center"/>
              <w:rPr>
                <w:rFonts w:hint="eastAsia" w:ascii="宋体" w:hAnsi="宋体" w:eastAsia="宋体" w:cs="宋体"/>
                <w:sz w:val="24"/>
                <w:szCs w:val="24"/>
              </w:rPr>
            </w:pPr>
          </w:p>
        </w:tc>
      </w:tr>
      <w:tr w14:paraId="22C38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15C109D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5F560B5D">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7CB598CB">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385FA7DA">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7A847424">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5EDF8B8E">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5BE7BC16">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6248DF93">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4C856C2D">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153DB334">
            <w:pPr>
              <w:adjustRightInd w:val="0"/>
              <w:snapToGrid w:val="0"/>
              <w:spacing w:line="360" w:lineRule="auto"/>
              <w:jc w:val="center"/>
              <w:rPr>
                <w:rFonts w:hint="eastAsia" w:ascii="宋体" w:hAnsi="宋体" w:eastAsia="宋体" w:cs="宋体"/>
                <w:sz w:val="24"/>
                <w:szCs w:val="24"/>
              </w:rPr>
            </w:pPr>
          </w:p>
        </w:tc>
      </w:tr>
      <w:tr w14:paraId="2A5C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45B43B7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503113AF">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097C4FF5">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25EE2463">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475CC58C">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714F533F">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4F9C4104">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6FA3C9D6">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4602114E">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4FC34E0D">
            <w:pPr>
              <w:adjustRightInd w:val="0"/>
              <w:snapToGrid w:val="0"/>
              <w:spacing w:line="360" w:lineRule="auto"/>
              <w:jc w:val="center"/>
              <w:rPr>
                <w:rFonts w:hint="eastAsia" w:ascii="宋体" w:hAnsi="宋体" w:eastAsia="宋体" w:cs="宋体"/>
                <w:sz w:val="24"/>
                <w:szCs w:val="24"/>
              </w:rPr>
            </w:pPr>
          </w:p>
        </w:tc>
      </w:tr>
      <w:tr w14:paraId="3903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672DC01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7490A2A5">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7FD87676">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16617DD4">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42EFCDBC">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4A740F65">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6C77DED9">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25F5D5FD">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07069D37">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7635F28F">
            <w:pPr>
              <w:adjustRightInd w:val="0"/>
              <w:snapToGrid w:val="0"/>
              <w:spacing w:line="360" w:lineRule="auto"/>
              <w:jc w:val="center"/>
              <w:rPr>
                <w:rFonts w:hint="eastAsia" w:ascii="宋体" w:hAnsi="宋体" w:eastAsia="宋体" w:cs="宋体"/>
                <w:sz w:val="24"/>
                <w:szCs w:val="24"/>
              </w:rPr>
            </w:pPr>
          </w:p>
        </w:tc>
      </w:tr>
      <w:tr w14:paraId="397B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1E1A84C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096EE9BA">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2CBF4403">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1888B169">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0A82F1E4">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36BB4ECC">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1EB19E03">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57DAFC6D">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2A907B7C">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55BA21F4">
            <w:pPr>
              <w:adjustRightInd w:val="0"/>
              <w:snapToGrid w:val="0"/>
              <w:spacing w:line="360" w:lineRule="auto"/>
              <w:jc w:val="center"/>
              <w:rPr>
                <w:rFonts w:hint="eastAsia" w:ascii="宋体" w:hAnsi="宋体" w:eastAsia="宋体" w:cs="宋体"/>
                <w:sz w:val="24"/>
                <w:szCs w:val="24"/>
              </w:rPr>
            </w:pPr>
          </w:p>
        </w:tc>
      </w:tr>
      <w:tr w14:paraId="5126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6BACEC4F">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5101B87C">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73B6E92B">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5C3FD3F3">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71E5D37E">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1846F8A7">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36A99E67">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253F4556">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1889E0D2">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67D6B946">
            <w:pPr>
              <w:adjustRightInd w:val="0"/>
              <w:snapToGrid w:val="0"/>
              <w:spacing w:line="360" w:lineRule="auto"/>
              <w:jc w:val="center"/>
              <w:rPr>
                <w:rFonts w:hint="eastAsia" w:ascii="宋体" w:hAnsi="宋体" w:eastAsia="宋体" w:cs="宋体"/>
                <w:sz w:val="24"/>
                <w:szCs w:val="24"/>
              </w:rPr>
            </w:pPr>
          </w:p>
        </w:tc>
      </w:tr>
      <w:tr w14:paraId="3257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02AC9E3E">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67A3AD6F">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1732D021">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3680497A">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738EFAC5">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0A0FA21C">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1E8BD5AC">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41B43A3D">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596A1E24">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7B0967C8">
            <w:pPr>
              <w:adjustRightInd w:val="0"/>
              <w:snapToGrid w:val="0"/>
              <w:spacing w:line="360" w:lineRule="auto"/>
              <w:jc w:val="center"/>
              <w:rPr>
                <w:rFonts w:hint="eastAsia" w:ascii="宋体" w:hAnsi="宋体" w:eastAsia="宋体" w:cs="宋体"/>
                <w:sz w:val="24"/>
                <w:szCs w:val="24"/>
              </w:rPr>
            </w:pPr>
          </w:p>
        </w:tc>
      </w:tr>
      <w:tr w14:paraId="7A2A7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230E4E4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2D0C48FF">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5AFAC856">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73B8ED16">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3FA7E9F2">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3D57BB01">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743735A3">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1FC3C845">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2EF7715D">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5D0024E0">
            <w:pPr>
              <w:adjustRightInd w:val="0"/>
              <w:snapToGrid w:val="0"/>
              <w:spacing w:line="360" w:lineRule="auto"/>
              <w:jc w:val="center"/>
              <w:rPr>
                <w:rFonts w:hint="eastAsia" w:ascii="宋体" w:hAnsi="宋体" w:eastAsia="宋体" w:cs="宋体"/>
                <w:sz w:val="24"/>
                <w:szCs w:val="24"/>
              </w:rPr>
            </w:pPr>
          </w:p>
        </w:tc>
      </w:tr>
      <w:tr w14:paraId="51FF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506E6CF9">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4942DF98">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1BA5DC7D">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05F633E2">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03124D6A">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29EBE0DF">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63861AAC">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4A67EC84">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06BD9901">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539A345E">
            <w:pPr>
              <w:adjustRightInd w:val="0"/>
              <w:snapToGrid w:val="0"/>
              <w:spacing w:line="360" w:lineRule="auto"/>
              <w:jc w:val="center"/>
              <w:rPr>
                <w:rFonts w:hint="eastAsia" w:ascii="宋体" w:hAnsi="宋体" w:eastAsia="宋体" w:cs="宋体"/>
                <w:sz w:val="24"/>
                <w:szCs w:val="24"/>
              </w:rPr>
            </w:pPr>
          </w:p>
        </w:tc>
      </w:tr>
      <w:tr w14:paraId="521D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490D6B4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516CD253">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1E237046">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4F9EA9C2">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0C944E0D">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5E6D70AB">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421ED409">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02D133FC">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23D7375E">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508A3F78">
            <w:pPr>
              <w:adjustRightInd w:val="0"/>
              <w:snapToGrid w:val="0"/>
              <w:spacing w:line="360" w:lineRule="auto"/>
              <w:jc w:val="center"/>
              <w:rPr>
                <w:rFonts w:hint="eastAsia" w:ascii="宋体" w:hAnsi="宋体" w:eastAsia="宋体" w:cs="宋体"/>
                <w:sz w:val="24"/>
                <w:szCs w:val="24"/>
              </w:rPr>
            </w:pPr>
          </w:p>
        </w:tc>
      </w:tr>
      <w:tr w14:paraId="6DC39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7C497703">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3BE1D728">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10C8E7EA">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3D3C34BA">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29E8B0D4">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73548C4A">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2633F6C2">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3F3D2B69">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58ED42B5">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4B04EB74">
            <w:pPr>
              <w:adjustRightInd w:val="0"/>
              <w:snapToGrid w:val="0"/>
              <w:spacing w:line="360" w:lineRule="auto"/>
              <w:jc w:val="center"/>
              <w:rPr>
                <w:rFonts w:hint="eastAsia" w:ascii="宋体" w:hAnsi="宋体" w:eastAsia="宋体" w:cs="宋体"/>
                <w:sz w:val="24"/>
                <w:szCs w:val="24"/>
              </w:rPr>
            </w:pPr>
          </w:p>
        </w:tc>
      </w:tr>
      <w:tr w14:paraId="6FA29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46A6027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0AAE20C9">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58BF0A98">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6E9257AD">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391F2796">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6D3CB2FA">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540E0CCD">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036B2D6F">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48FFCA23">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2D9EA1C3">
            <w:pPr>
              <w:adjustRightInd w:val="0"/>
              <w:snapToGrid w:val="0"/>
              <w:spacing w:line="360" w:lineRule="auto"/>
              <w:jc w:val="center"/>
              <w:rPr>
                <w:rFonts w:hint="eastAsia" w:ascii="宋体" w:hAnsi="宋体" w:eastAsia="宋体" w:cs="宋体"/>
                <w:sz w:val="24"/>
                <w:szCs w:val="24"/>
              </w:rPr>
            </w:pPr>
          </w:p>
        </w:tc>
      </w:tr>
      <w:tr w14:paraId="2143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3" w:type="pct"/>
            <w:tcBorders>
              <w:top w:val="single" w:color="auto" w:sz="4" w:space="0"/>
              <w:left w:val="single" w:color="auto" w:sz="4" w:space="0"/>
              <w:bottom w:val="single" w:color="auto" w:sz="4" w:space="0"/>
              <w:right w:val="single" w:color="auto" w:sz="4" w:space="0"/>
            </w:tcBorders>
            <w:vAlign w:val="center"/>
          </w:tcPr>
          <w:p w14:paraId="15DE51EC">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w:t>
            </w:r>
          </w:p>
        </w:tc>
        <w:tc>
          <w:tcPr>
            <w:tcW w:w="728" w:type="pct"/>
            <w:tcBorders>
              <w:top w:val="single" w:color="auto" w:sz="4" w:space="0"/>
              <w:left w:val="single" w:color="auto" w:sz="4" w:space="0"/>
              <w:bottom w:val="single" w:color="auto" w:sz="4" w:space="0"/>
              <w:right w:val="single" w:color="auto" w:sz="4" w:space="0"/>
            </w:tcBorders>
            <w:vAlign w:val="center"/>
          </w:tcPr>
          <w:p w14:paraId="3133A751">
            <w:pPr>
              <w:adjustRightInd w:val="0"/>
              <w:snapToGrid w:val="0"/>
              <w:spacing w:line="360" w:lineRule="auto"/>
              <w:jc w:val="center"/>
              <w:rPr>
                <w:rFonts w:hint="eastAsia" w:ascii="宋体" w:hAnsi="宋体" w:eastAsia="宋体" w:cs="宋体"/>
                <w:sz w:val="24"/>
                <w:szCs w:val="24"/>
              </w:rPr>
            </w:pPr>
          </w:p>
        </w:tc>
        <w:tc>
          <w:tcPr>
            <w:tcW w:w="662" w:type="pct"/>
            <w:tcBorders>
              <w:top w:val="single" w:color="auto" w:sz="4" w:space="0"/>
              <w:left w:val="single" w:color="auto" w:sz="4" w:space="0"/>
              <w:bottom w:val="single" w:color="auto" w:sz="4" w:space="0"/>
              <w:right w:val="single" w:color="auto" w:sz="4" w:space="0"/>
            </w:tcBorders>
            <w:vAlign w:val="center"/>
          </w:tcPr>
          <w:p w14:paraId="34003557">
            <w:pPr>
              <w:adjustRightInd w:val="0"/>
              <w:snapToGrid w:val="0"/>
              <w:spacing w:line="360" w:lineRule="auto"/>
              <w:jc w:val="center"/>
              <w:rPr>
                <w:rFonts w:hint="eastAsia" w:ascii="宋体" w:hAnsi="宋体" w:eastAsia="宋体" w:cs="宋体"/>
                <w:sz w:val="24"/>
                <w:szCs w:val="24"/>
              </w:rPr>
            </w:pPr>
          </w:p>
        </w:tc>
        <w:tc>
          <w:tcPr>
            <w:tcW w:w="397" w:type="pct"/>
            <w:tcBorders>
              <w:top w:val="single" w:color="auto" w:sz="4" w:space="0"/>
              <w:left w:val="single" w:color="auto" w:sz="4" w:space="0"/>
              <w:bottom w:val="single" w:color="auto" w:sz="4" w:space="0"/>
              <w:right w:val="single" w:color="auto" w:sz="4" w:space="0"/>
            </w:tcBorders>
            <w:vAlign w:val="center"/>
          </w:tcPr>
          <w:p w14:paraId="45EE6D17">
            <w:pPr>
              <w:adjustRightInd w:val="0"/>
              <w:snapToGrid w:val="0"/>
              <w:spacing w:line="360" w:lineRule="auto"/>
              <w:jc w:val="center"/>
              <w:rPr>
                <w:rFonts w:hint="eastAsia" w:ascii="宋体" w:hAnsi="宋体" w:eastAsia="宋体" w:cs="宋体"/>
                <w:sz w:val="24"/>
                <w:szCs w:val="24"/>
              </w:rPr>
            </w:pPr>
          </w:p>
        </w:tc>
        <w:tc>
          <w:tcPr>
            <w:tcW w:w="331" w:type="pct"/>
            <w:tcBorders>
              <w:top w:val="single" w:color="auto" w:sz="4" w:space="0"/>
              <w:left w:val="single" w:color="auto" w:sz="4" w:space="0"/>
              <w:bottom w:val="single" w:color="auto" w:sz="4" w:space="0"/>
              <w:right w:val="single" w:color="auto" w:sz="4" w:space="0"/>
            </w:tcBorders>
            <w:vAlign w:val="center"/>
          </w:tcPr>
          <w:p w14:paraId="4AB99C68">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376239C3">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388559C3">
            <w:pPr>
              <w:adjustRightInd w:val="0"/>
              <w:snapToGrid w:val="0"/>
              <w:spacing w:line="360" w:lineRule="auto"/>
              <w:jc w:val="center"/>
              <w:rPr>
                <w:rFonts w:hint="eastAsia" w:ascii="宋体" w:hAnsi="宋体" w:eastAsia="宋体" w:cs="宋体"/>
                <w:sz w:val="24"/>
                <w:szCs w:val="24"/>
              </w:rPr>
            </w:pPr>
          </w:p>
        </w:tc>
        <w:tc>
          <w:tcPr>
            <w:tcW w:w="529" w:type="pct"/>
            <w:tcBorders>
              <w:top w:val="single" w:color="auto" w:sz="4" w:space="0"/>
              <w:left w:val="single" w:color="auto" w:sz="4" w:space="0"/>
              <w:bottom w:val="single" w:color="auto" w:sz="4" w:space="0"/>
              <w:right w:val="single" w:color="auto" w:sz="4" w:space="0"/>
            </w:tcBorders>
            <w:vAlign w:val="center"/>
          </w:tcPr>
          <w:p w14:paraId="17A31955">
            <w:pPr>
              <w:adjustRightInd w:val="0"/>
              <w:snapToGrid w:val="0"/>
              <w:spacing w:line="360" w:lineRule="auto"/>
              <w:jc w:val="center"/>
              <w:rPr>
                <w:rFonts w:hint="eastAsia" w:ascii="宋体" w:hAnsi="宋体" w:eastAsia="宋体" w:cs="宋体"/>
                <w:sz w:val="24"/>
                <w:szCs w:val="24"/>
              </w:rPr>
            </w:pPr>
          </w:p>
        </w:tc>
        <w:tc>
          <w:tcPr>
            <w:tcW w:w="463" w:type="pct"/>
            <w:tcBorders>
              <w:top w:val="single" w:color="auto" w:sz="4" w:space="0"/>
              <w:left w:val="single" w:color="auto" w:sz="4" w:space="0"/>
              <w:bottom w:val="single" w:color="auto" w:sz="4" w:space="0"/>
              <w:right w:val="single" w:color="auto" w:sz="4" w:space="0"/>
            </w:tcBorders>
            <w:vAlign w:val="center"/>
          </w:tcPr>
          <w:p w14:paraId="54C09744">
            <w:pPr>
              <w:adjustRightInd w:val="0"/>
              <w:snapToGrid w:val="0"/>
              <w:spacing w:line="360" w:lineRule="auto"/>
              <w:jc w:val="center"/>
              <w:rPr>
                <w:rFonts w:hint="eastAsia" w:ascii="宋体" w:hAnsi="宋体" w:eastAsia="宋体" w:cs="宋体"/>
                <w:sz w:val="24"/>
                <w:szCs w:val="24"/>
              </w:rPr>
            </w:pPr>
          </w:p>
        </w:tc>
        <w:tc>
          <w:tcPr>
            <w:tcW w:w="595" w:type="pct"/>
            <w:tcBorders>
              <w:top w:val="single" w:color="auto" w:sz="4" w:space="0"/>
              <w:left w:val="single" w:color="auto" w:sz="4" w:space="0"/>
              <w:bottom w:val="single" w:color="auto" w:sz="4" w:space="0"/>
              <w:right w:val="single" w:color="auto" w:sz="4" w:space="0"/>
            </w:tcBorders>
            <w:vAlign w:val="center"/>
          </w:tcPr>
          <w:p w14:paraId="55AEA68A">
            <w:pPr>
              <w:adjustRightInd w:val="0"/>
              <w:snapToGrid w:val="0"/>
              <w:spacing w:line="360" w:lineRule="auto"/>
              <w:jc w:val="center"/>
              <w:rPr>
                <w:rFonts w:hint="eastAsia" w:ascii="宋体" w:hAnsi="宋体" w:eastAsia="宋体" w:cs="宋体"/>
                <w:sz w:val="24"/>
                <w:szCs w:val="24"/>
              </w:rPr>
            </w:pPr>
          </w:p>
        </w:tc>
      </w:tr>
    </w:tbl>
    <w:p w14:paraId="24CD0219">
      <w:pPr>
        <w:tabs>
          <w:tab w:val="left" w:pos="1440"/>
        </w:tabs>
        <w:adjustRightInd w:val="0"/>
        <w:snapToGrid w:val="0"/>
        <w:spacing w:line="360" w:lineRule="auto"/>
        <w:rPr>
          <w:rFonts w:hint="eastAsia" w:ascii="宋体" w:hAnsi="宋体" w:eastAsia="宋体" w:cs="宋体"/>
          <w:kern w:val="2"/>
          <w:sz w:val="24"/>
          <w:szCs w:val="24"/>
        </w:rPr>
      </w:pPr>
      <w:r>
        <w:rPr>
          <w:rFonts w:hint="eastAsia" w:ascii="宋体" w:hAnsi="宋体" w:eastAsia="宋体" w:cs="宋体"/>
          <w:sz w:val="24"/>
          <w:szCs w:val="24"/>
        </w:rPr>
        <w:t>备注：除合同另有约定外，本表所列发包人供应材料和工程设备的数量不考虑施工损耗，施工损耗被认为已经包括在承包人的投标价格中。</w:t>
      </w:r>
    </w:p>
    <w:p w14:paraId="7AD389A5">
      <w:pPr>
        <w:adjustRightInd w:val="0"/>
        <w:snapToGrid w:val="0"/>
        <w:spacing w:line="360" w:lineRule="auto"/>
        <w:outlineLvl w:val="1"/>
        <w:rPr>
          <w:rFonts w:hint="eastAsia" w:ascii="宋体" w:hAnsi="宋体" w:eastAsia="宋体" w:cs="宋体"/>
          <w:sz w:val="24"/>
          <w:szCs w:val="24"/>
        </w:rPr>
      </w:pPr>
      <w:r>
        <w:rPr>
          <w:rFonts w:hint="eastAsia" w:ascii="宋体" w:hAnsi="宋体" w:eastAsia="宋体" w:cs="宋体"/>
          <w:sz w:val="24"/>
          <w:szCs w:val="24"/>
        </w:rPr>
        <w:br w:type="page"/>
      </w:r>
      <w:bookmarkStart w:id="931" w:name="_Toc84948868"/>
      <w:bookmarkStart w:id="932" w:name="_Toc85792376"/>
      <w:bookmarkStart w:id="933" w:name="_Toc161933543"/>
      <w:bookmarkStart w:id="934" w:name="_Toc25147"/>
      <w:r>
        <w:rPr>
          <w:rFonts w:hint="eastAsia" w:ascii="宋体" w:hAnsi="宋体" w:eastAsia="宋体" w:cs="宋体"/>
          <w:sz w:val="24"/>
          <w:szCs w:val="24"/>
        </w:rPr>
        <w:t>附件三：质量保修书格式</w:t>
      </w:r>
      <w:bookmarkEnd w:id="931"/>
      <w:bookmarkEnd w:id="932"/>
      <w:bookmarkEnd w:id="933"/>
      <w:bookmarkEnd w:id="934"/>
    </w:p>
    <w:p w14:paraId="6E2EB1B7">
      <w:pPr>
        <w:tabs>
          <w:tab w:val="left" w:pos="3855"/>
        </w:tabs>
        <w:adjustRightInd w:val="0"/>
        <w:snapToGrid w:val="0"/>
        <w:spacing w:line="360" w:lineRule="auto"/>
        <w:ind w:firstLine="482" w:firstLineChars="200"/>
        <w:jc w:val="center"/>
        <w:rPr>
          <w:rFonts w:hint="eastAsia" w:ascii="宋体" w:hAnsi="宋体" w:eastAsia="宋体" w:cs="宋体"/>
          <w:sz w:val="24"/>
          <w:szCs w:val="24"/>
        </w:rPr>
      </w:pPr>
      <w:r>
        <w:rPr>
          <w:rFonts w:hint="eastAsia" w:ascii="宋体" w:hAnsi="宋体" w:eastAsia="宋体" w:cs="宋体"/>
          <w:b/>
          <w:sz w:val="24"/>
          <w:szCs w:val="24"/>
        </w:rPr>
        <w:t>房屋建筑工程质量保修书</w:t>
      </w:r>
    </w:p>
    <w:p w14:paraId="3F8DF054">
      <w:pPr>
        <w:adjustRightInd w:val="0"/>
        <w:snapToGrid w:val="0"/>
        <w:spacing w:line="360" w:lineRule="auto"/>
        <w:rPr>
          <w:rFonts w:hint="eastAsia" w:ascii="宋体" w:hAnsi="宋体" w:eastAsia="宋体" w:cs="宋体"/>
          <w:sz w:val="24"/>
          <w:szCs w:val="24"/>
        </w:rPr>
      </w:pPr>
    </w:p>
    <w:p w14:paraId="2DA9AC0A">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rPr>
        <w:t>发包人：</w:t>
      </w:r>
      <w:r>
        <w:rPr>
          <w:rFonts w:hint="eastAsia" w:ascii="宋体" w:hAnsi="宋体" w:eastAsia="宋体" w:cs="宋体"/>
          <w:kern w:val="2"/>
          <w:sz w:val="24"/>
          <w:szCs w:val="24"/>
          <w:u w:val="single"/>
        </w:rPr>
        <w:t>北京市木樨园体育运动技术学校（北京市排球运动管理中心）</w:t>
      </w:r>
    </w:p>
    <w:p w14:paraId="671E7E1B">
      <w:pPr>
        <w:adjustRightInd w:val="0"/>
        <w:snapToGrid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承包人：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p>
    <w:p w14:paraId="57A67CFF">
      <w:pPr>
        <w:adjustRightInd w:val="0"/>
        <w:snapToGrid w:val="0"/>
        <w:spacing w:line="360" w:lineRule="auto"/>
        <w:ind w:firstLine="488"/>
        <w:rPr>
          <w:rFonts w:hint="eastAsia" w:ascii="宋体" w:hAnsi="宋体" w:eastAsia="宋体" w:cs="宋体"/>
          <w:sz w:val="24"/>
          <w:szCs w:val="24"/>
          <w:u w:val="single"/>
        </w:rPr>
      </w:pPr>
    </w:p>
    <w:p w14:paraId="37A10C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发包人、承包人根据《中华人民共和国建筑法》、《建设工程质量管理条例》和《房屋建筑工程质量保修办法》，经协商一致，对</w:t>
      </w:r>
      <w:r>
        <w:rPr>
          <w:rFonts w:hint="eastAsia" w:ascii="宋体" w:hAnsi="宋体" w:eastAsia="宋体" w:cs="宋体"/>
          <w:sz w:val="24"/>
          <w:szCs w:val="24"/>
          <w:lang w:val="en-US" w:eastAsia="zh-CN"/>
        </w:rPr>
        <w:t xml:space="preserve"> </w:t>
      </w:r>
      <w:r>
        <w:rPr>
          <w:rFonts w:hint="eastAsia" w:ascii="宋体" w:hAnsi="宋体" w:eastAsia="宋体" w:cs="宋体"/>
          <w:kern w:val="2"/>
          <w:sz w:val="24"/>
          <w:szCs w:val="24"/>
          <w:u w:val="single"/>
        </w:rPr>
        <w:t xml:space="preserve">手球馆暖气系统设备维修改造 </w:t>
      </w:r>
      <w:r>
        <w:rPr>
          <w:rFonts w:hint="eastAsia" w:ascii="宋体" w:hAnsi="宋体" w:eastAsia="宋体" w:cs="宋体"/>
          <w:sz w:val="24"/>
          <w:szCs w:val="24"/>
        </w:rPr>
        <w:t>（工程名称）签订保修书。</w:t>
      </w:r>
    </w:p>
    <w:p w14:paraId="295506B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一、工程保修范围和内容</w:t>
      </w:r>
    </w:p>
    <w:p w14:paraId="744EED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承包人在保修期内，按照有关法律、法规、规章的管理规定和双方约定，承担本工程保修责任。</w:t>
      </w:r>
    </w:p>
    <w:p w14:paraId="5DB84E5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54E0751">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___________________________________________________________________________</w:t>
      </w:r>
    </w:p>
    <w:p w14:paraId="3BF06839">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___________________________________________________________________________</w:t>
      </w:r>
    </w:p>
    <w:p w14:paraId="2E65118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u w:val="single"/>
        </w:rPr>
        <w:t>_______________________________________________________________________</w:t>
      </w:r>
      <w:r>
        <w:rPr>
          <w:rFonts w:hint="eastAsia" w:ascii="宋体" w:hAnsi="宋体" w:eastAsia="宋体" w:cs="宋体"/>
          <w:sz w:val="24"/>
          <w:szCs w:val="24"/>
        </w:rPr>
        <w:t>。</w:t>
      </w:r>
    </w:p>
    <w:p w14:paraId="08ABF23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二、保修期</w:t>
      </w:r>
    </w:p>
    <w:p w14:paraId="2BDC9DC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双方根据《建设工程质量管理条例》及有关规定，约定本工程的保修期如下：</w:t>
      </w:r>
    </w:p>
    <w:p w14:paraId="7FA1BE2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地基基础工程和主体结构工程为设计文件规定的该工程合理使用年限；</w:t>
      </w:r>
    </w:p>
    <w:p w14:paraId="6CA326D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屋面防水工程、有防水要求的卫生间、房间和外墙面的防渗漏为</w:t>
      </w:r>
      <w:r>
        <w:rPr>
          <w:rFonts w:hint="eastAsia" w:ascii="宋体" w:hAnsi="宋体" w:eastAsia="宋体" w:cs="宋体"/>
          <w:sz w:val="24"/>
          <w:szCs w:val="24"/>
          <w:u w:val="single"/>
        </w:rPr>
        <w:t>___5___</w:t>
      </w:r>
      <w:r>
        <w:rPr>
          <w:rFonts w:hint="eastAsia" w:ascii="宋体" w:hAnsi="宋体" w:eastAsia="宋体" w:cs="宋体"/>
          <w:sz w:val="24"/>
          <w:szCs w:val="24"/>
        </w:rPr>
        <w:t>年；</w:t>
      </w:r>
    </w:p>
    <w:p w14:paraId="0201864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外窗工程为</w:t>
      </w:r>
      <w:r>
        <w:rPr>
          <w:rFonts w:hint="eastAsia" w:ascii="宋体" w:hAnsi="宋体" w:eastAsia="宋体" w:cs="宋体"/>
          <w:sz w:val="24"/>
          <w:szCs w:val="24"/>
          <w:u w:val="single"/>
        </w:rPr>
        <w:t>____2___</w:t>
      </w:r>
      <w:r>
        <w:rPr>
          <w:rFonts w:hint="eastAsia" w:ascii="宋体" w:hAnsi="宋体" w:eastAsia="宋体" w:cs="宋体"/>
          <w:sz w:val="24"/>
          <w:szCs w:val="24"/>
        </w:rPr>
        <w:t>年，外窗防渗漏为</w:t>
      </w:r>
      <w:r>
        <w:rPr>
          <w:rFonts w:hint="eastAsia" w:ascii="宋体" w:hAnsi="宋体" w:eastAsia="宋体" w:cs="宋体"/>
          <w:sz w:val="24"/>
          <w:szCs w:val="24"/>
          <w:u w:val="single"/>
        </w:rPr>
        <w:t>_____2_____</w:t>
      </w:r>
      <w:r>
        <w:rPr>
          <w:rFonts w:hint="eastAsia" w:ascii="宋体" w:hAnsi="宋体" w:eastAsia="宋体" w:cs="宋体"/>
          <w:sz w:val="24"/>
          <w:szCs w:val="24"/>
        </w:rPr>
        <w:t>年；</w:t>
      </w:r>
    </w:p>
    <w:p w14:paraId="32946C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装修工程为</w:t>
      </w:r>
      <w:r>
        <w:rPr>
          <w:rFonts w:hint="eastAsia" w:ascii="宋体" w:hAnsi="宋体" w:eastAsia="宋体" w:cs="宋体"/>
          <w:sz w:val="24"/>
          <w:szCs w:val="24"/>
          <w:u w:val="single"/>
        </w:rPr>
        <w:t>____2_____</w:t>
      </w:r>
      <w:r>
        <w:rPr>
          <w:rFonts w:hint="eastAsia" w:ascii="宋体" w:hAnsi="宋体" w:eastAsia="宋体" w:cs="宋体"/>
          <w:sz w:val="24"/>
          <w:szCs w:val="24"/>
        </w:rPr>
        <w:t>年；</w:t>
      </w:r>
    </w:p>
    <w:p w14:paraId="25E915E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电气管线、给排水管道、设备安装工程为</w:t>
      </w:r>
      <w:r>
        <w:rPr>
          <w:rFonts w:hint="eastAsia" w:ascii="宋体" w:hAnsi="宋体" w:eastAsia="宋体" w:cs="宋体"/>
          <w:sz w:val="24"/>
          <w:szCs w:val="24"/>
          <w:u w:val="single"/>
        </w:rPr>
        <w:t>_____2_____</w:t>
      </w:r>
      <w:r>
        <w:rPr>
          <w:rFonts w:hint="eastAsia" w:ascii="宋体" w:hAnsi="宋体" w:eastAsia="宋体" w:cs="宋体"/>
          <w:sz w:val="24"/>
          <w:szCs w:val="24"/>
        </w:rPr>
        <w:t>年；</w:t>
      </w:r>
    </w:p>
    <w:p w14:paraId="5A8AEAC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供热与供冷系统为</w:t>
      </w:r>
      <w:r>
        <w:rPr>
          <w:rFonts w:hint="eastAsia" w:ascii="宋体" w:hAnsi="宋体" w:eastAsia="宋体" w:cs="宋体"/>
          <w:sz w:val="24"/>
          <w:szCs w:val="24"/>
          <w:u w:val="single"/>
        </w:rPr>
        <w:t>_____2_____</w:t>
      </w:r>
      <w:r>
        <w:rPr>
          <w:rFonts w:hint="eastAsia" w:ascii="宋体" w:hAnsi="宋体" w:eastAsia="宋体" w:cs="宋体"/>
          <w:sz w:val="24"/>
          <w:szCs w:val="24"/>
        </w:rPr>
        <w:t>个采暖期、供冷期；</w:t>
      </w:r>
    </w:p>
    <w:p w14:paraId="715BADF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住宅小区内的给排水设施、道路等配套工程为</w:t>
      </w:r>
      <w:r>
        <w:rPr>
          <w:rFonts w:hint="eastAsia" w:ascii="宋体" w:hAnsi="宋体" w:eastAsia="宋体" w:cs="宋体"/>
          <w:sz w:val="24"/>
          <w:szCs w:val="24"/>
          <w:u w:val="single"/>
        </w:rPr>
        <w:t>____2_____</w:t>
      </w:r>
      <w:r>
        <w:rPr>
          <w:rFonts w:hint="eastAsia" w:ascii="宋体" w:hAnsi="宋体" w:eastAsia="宋体" w:cs="宋体"/>
          <w:sz w:val="24"/>
          <w:szCs w:val="24"/>
        </w:rPr>
        <w:t>年；</w:t>
      </w:r>
    </w:p>
    <w:p w14:paraId="2C78ADE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其他项目保修期限约定如下：</w:t>
      </w:r>
    </w:p>
    <w:p w14:paraId="78F5A374">
      <w:pPr>
        <w:adjustRightInd w:val="0"/>
        <w:snapToGrid w:val="0"/>
        <w:spacing w:line="360" w:lineRule="auto"/>
        <w:ind w:firstLine="960" w:firstLineChars="400"/>
        <w:rPr>
          <w:rFonts w:hint="eastAsia" w:ascii="宋体" w:hAnsi="宋体" w:eastAsia="宋体" w:cs="宋体"/>
          <w:sz w:val="24"/>
          <w:szCs w:val="24"/>
          <w:u w:val="single"/>
        </w:rPr>
      </w:pPr>
      <w:r>
        <w:rPr>
          <w:rFonts w:hint="eastAsia" w:ascii="宋体" w:hAnsi="宋体" w:eastAsia="宋体" w:cs="宋体"/>
          <w:sz w:val="24"/>
          <w:szCs w:val="24"/>
          <w:u w:val="single"/>
        </w:rPr>
        <w:t>工程质量保修责任：缺陷责任期内，承包人应负责工程维修。对于由承包人原因造成的缺陷，承包人承担鉴定及维修费用，如承包人不维修也不承担费用，发包人可自行扣除质保金，并由承包人承担违约责任，质保金不足以支付维修费用的，承包人仍应承担全部差额。承包人维修并承担相应费用后，不免除对工程的一般损失赔偿责任。</w:t>
      </w:r>
    </w:p>
    <w:p w14:paraId="39C9C9B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三、保修责任</w:t>
      </w:r>
    </w:p>
    <w:p w14:paraId="55B00B6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1、属于责任范围、内容的项目，承包人应当在接到保修通知之日起7天内派人保修。承包人不在约定期限内派人保修的，发包人可以委托他人修理，由此产生的费用属于保修费用。</w:t>
      </w:r>
    </w:p>
    <w:p w14:paraId="3CF9124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2、发生紧急抢修事故的，承包人在接到事故通知后，应当立即到达事故现场抢修。</w:t>
      </w:r>
    </w:p>
    <w:p w14:paraId="5FD8DF3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29F8C0AC">
      <w:pPr>
        <w:adjustRightInd w:val="0"/>
        <w:snapToGrid w:val="0"/>
        <w:spacing w:line="360" w:lineRule="auto"/>
        <w:ind w:firstLine="480" w:firstLineChars="200"/>
        <w:rPr>
          <w:rFonts w:hint="eastAsia" w:ascii="宋体" w:hAnsi="宋体" w:eastAsia="宋体" w:cs="宋体"/>
          <w:sz w:val="24"/>
          <w:szCs w:val="24"/>
        </w:rPr>
      </w:pPr>
      <w:bookmarkStart w:id="935" w:name="_Toc471"/>
      <w:r>
        <w:rPr>
          <w:rFonts w:hint="eastAsia" w:ascii="宋体" w:hAnsi="宋体" w:eastAsia="宋体" w:cs="宋体"/>
          <w:sz w:val="24"/>
          <w:szCs w:val="24"/>
        </w:rPr>
        <w:t>4、质量保修完成后，由发包人组织验收。</w:t>
      </w:r>
      <w:bookmarkEnd w:id="935"/>
    </w:p>
    <w:p w14:paraId="209C7DC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四、保修费用</w:t>
      </w:r>
    </w:p>
    <w:p w14:paraId="68E54047">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因发包人原因导致的工程损坏，保修费用由发包人承担。非因发包人原因（如因承包人原因或其他第三方原因）导致的工程损坏，保修费用由承包人承担，承包人自行向相关责任主体追偿。</w:t>
      </w:r>
    </w:p>
    <w:p w14:paraId="6703D3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五、其 他</w:t>
      </w:r>
    </w:p>
    <w:p w14:paraId="4107698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双方约定的其他工程保修责任事项：</w:t>
      </w:r>
    </w:p>
    <w:p w14:paraId="574885D8">
      <w:pPr>
        <w:adjustRightInd w:val="0"/>
        <w:snapToGrid w:val="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___________________________________________________________________________</w:t>
      </w:r>
      <w:r>
        <w:rPr>
          <w:rFonts w:hint="eastAsia" w:ascii="宋体" w:hAnsi="宋体" w:eastAsia="宋体" w:cs="宋体"/>
          <w:sz w:val="24"/>
          <w:szCs w:val="24"/>
          <w:u w:val="single"/>
          <w:lang w:val="en-US" w:eastAsia="zh-CN"/>
        </w:rPr>
        <w:t xml:space="preserve">                                                            </w:t>
      </w:r>
    </w:p>
    <w:p w14:paraId="229B9B7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u w:val="single"/>
        </w:rPr>
        <w:t>_______________________________________________________________________</w:t>
      </w:r>
      <w:r>
        <w:rPr>
          <w:rFonts w:hint="eastAsia" w:ascii="宋体" w:hAnsi="宋体" w:eastAsia="宋体" w:cs="宋体"/>
          <w:sz w:val="24"/>
          <w:szCs w:val="24"/>
        </w:rPr>
        <w:t>。</w:t>
      </w:r>
    </w:p>
    <w:p w14:paraId="6AD74A0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本工程保修书，由施工合同发包人、承包人双方在竣工验收前共同签署，作为施工合同附件，其有效期限至保修期满。</w:t>
      </w:r>
    </w:p>
    <w:p w14:paraId="479E8DB6">
      <w:pPr>
        <w:adjustRightInd w:val="0"/>
        <w:snapToGrid w:val="0"/>
        <w:spacing w:line="360" w:lineRule="auto"/>
        <w:rPr>
          <w:rFonts w:hint="eastAsia" w:ascii="宋体" w:hAnsi="宋体" w:eastAsia="宋体" w:cs="宋体"/>
          <w:sz w:val="24"/>
          <w:szCs w:val="24"/>
        </w:rPr>
      </w:pPr>
    </w:p>
    <w:p w14:paraId="02B9C4FE">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rPr>
        <w:t>发包人：</w:t>
      </w:r>
      <w:r>
        <w:rPr>
          <w:rFonts w:hint="eastAsia" w:ascii="宋体" w:hAnsi="宋体" w:eastAsia="宋体" w:cs="宋体"/>
          <w:sz w:val="24"/>
          <w:szCs w:val="24"/>
          <w:u w:val="single"/>
        </w:rPr>
        <w:t xml:space="preserve">北京市木樨园体育运动技术学校    </w:t>
      </w:r>
      <w:r>
        <w:rPr>
          <w:rFonts w:hint="eastAsia" w:ascii="宋体" w:hAnsi="宋体" w:eastAsia="宋体" w:cs="宋体"/>
          <w:sz w:val="24"/>
          <w:szCs w:val="24"/>
        </w:rPr>
        <w:t>承包人：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（公章）</w:t>
      </w:r>
    </w:p>
    <w:p w14:paraId="3F1FD8C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u w:val="single"/>
        </w:rPr>
        <w:t>(北京市排球运动管理中心)</w:t>
      </w:r>
      <w:r>
        <w:rPr>
          <w:rFonts w:hint="eastAsia" w:ascii="宋体" w:hAnsi="宋体" w:eastAsia="宋体" w:cs="宋体"/>
          <w:sz w:val="24"/>
          <w:szCs w:val="24"/>
        </w:rPr>
        <w:t xml:space="preserve">（公章）   </w:t>
      </w:r>
    </w:p>
    <w:p w14:paraId="2E1BC25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法定地址：</w:t>
      </w:r>
      <w:r>
        <w:rPr>
          <w:rFonts w:hint="eastAsia" w:ascii="宋体" w:hAnsi="宋体" w:eastAsia="宋体" w:cs="宋体"/>
          <w:sz w:val="24"/>
          <w:szCs w:val="24"/>
          <w:u w:val="single"/>
        </w:rPr>
        <w:t>北京市丰台区光彩北路4号</w:t>
      </w:r>
      <w:r>
        <w:rPr>
          <w:rFonts w:hint="eastAsia" w:ascii="宋体" w:hAnsi="宋体" w:eastAsia="宋体" w:cs="宋体"/>
          <w:sz w:val="24"/>
          <w:szCs w:val="24"/>
        </w:rPr>
        <w:t xml:space="preserve">    法定地址：</w:t>
      </w:r>
      <w:r>
        <w:rPr>
          <w:rFonts w:hint="eastAsia" w:ascii="宋体" w:hAnsi="宋体" w:eastAsia="宋体" w:cs="宋体"/>
          <w:sz w:val="24"/>
          <w:szCs w:val="24"/>
          <w:u w:val="single"/>
        </w:rPr>
        <w:t xml:space="preserve">                  </w:t>
      </w:r>
    </w:p>
    <w:p w14:paraId="1B0679B8">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法定代表人或其                            法定代表人或其</w:t>
      </w:r>
    </w:p>
    <w:p w14:paraId="4286F83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授权委托人：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（签字）       授权委托人：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（签字）</w:t>
      </w:r>
    </w:p>
    <w:p w14:paraId="41095E9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144427BE">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1A77A9C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帐号：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帐号：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6A196B8C">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1659C2CF">
      <w:pPr>
        <w:rPr>
          <w:rFonts w:hint="eastAsia" w:ascii="宋体" w:hAnsi="宋体" w:eastAsia="宋体" w:cs="宋体"/>
          <w:sz w:val="24"/>
          <w:szCs w:val="24"/>
        </w:rPr>
      </w:pPr>
      <w:r>
        <w:rPr>
          <w:rFonts w:hint="eastAsia" w:ascii="宋体" w:hAnsi="宋体" w:eastAsia="宋体" w:cs="宋体"/>
          <w:sz w:val="24"/>
          <w:szCs w:val="24"/>
        </w:rPr>
        <w:br w:type="page"/>
      </w:r>
    </w:p>
    <w:p w14:paraId="1FE4213A">
      <w:pPr>
        <w:adjustRightInd w:val="0"/>
        <w:snapToGrid w:val="0"/>
        <w:spacing w:line="360" w:lineRule="auto"/>
        <w:outlineLvl w:val="1"/>
        <w:rPr>
          <w:rFonts w:hint="eastAsia" w:ascii="宋体" w:hAnsi="宋体" w:eastAsia="宋体" w:cs="宋体"/>
          <w:sz w:val="24"/>
          <w:szCs w:val="24"/>
        </w:rPr>
      </w:pPr>
      <w:bookmarkStart w:id="936" w:name="_Toc84948869"/>
      <w:bookmarkStart w:id="937" w:name="_Toc85792377"/>
      <w:bookmarkStart w:id="938" w:name="_Toc28286"/>
      <w:bookmarkStart w:id="939" w:name="_Toc161933544"/>
      <w:r>
        <w:rPr>
          <w:rFonts w:hint="eastAsia" w:ascii="宋体" w:hAnsi="宋体" w:eastAsia="宋体" w:cs="宋体"/>
          <w:sz w:val="24"/>
          <w:szCs w:val="24"/>
        </w:rPr>
        <w:t>附件四：廉政责任书格式</w:t>
      </w:r>
      <w:bookmarkEnd w:id="936"/>
      <w:bookmarkEnd w:id="937"/>
      <w:bookmarkEnd w:id="938"/>
      <w:bookmarkEnd w:id="939"/>
    </w:p>
    <w:p w14:paraId="5DC1518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b/>
          <w:sz w:val="24"/>
          <w:szCs w:val="24"/>
        </w:rPr>
        <w:t>建设工程廉政责任书</w:t>
      </w:r>
    </w:p>
    <w:p w14:paraId="73B4A64C">
      <w:pPr>
        <w:adjustRightInd w:val="0"/>
        <w:snapToGrid w:val="0"/>
        <w:spacing w:line="360" w:lineRule="auto"/>
        <w:rPr>
          <w:rFonts w:hint="eastAsia" w:ascii="宋体" w:hAnsi="宋体" w:eastAsia="宋体" w:cs="宋体"/>
          <w:sz w:val="24"/>
          <w:szCs w:val="24"/>
        </w:rPr>
      </w:pPr>
    </w:p>
    <w:p w14:paraId="4BF4E3CB">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rPr>
        <w:t>发包人：</w:t>
      </w:r>
      <w:r>
        <w:rPr>
          <w:rFonts w:hint="eastAsia" w:ascii="宋体" w:hAnsi="宋体" w:eastAsia="宋体" w:cs="宋体"/>
          <w:kern w:val="2"/>
          <w:sz w:val="24"/>
          <w:szCs w:val="24"/>
          <w:u w:val="single"/>
        </w:rPr>
        <w:t>北京市木樨园体育运动技术学校（北京市排球运动管理中心）</w:t>
      </w:r>
    </w:p>
    <w:p w14:paraId="033EB8B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承包人：</w:t>
      </w:r>
      <w:r>
        <w:rPr>
          <w:rFonts w:hint="eastAsia" w:ascii="宋体" w:hAnsi="宋体" w:eastAsia="宋体" w:cs="宋体"/>
          <w:kern w:val="2"/>
          <w:sz w:val="24"/>
          <w:szCs w:val="24"/>
          <w:u w:val="single"/>
        </w:rPr>
        <w:t xml:space="preserve">                              </w:t>
      </w:r>
    </w:p>
    <w:p w14:paraId="53A5AC8C">
      <w:pPr>
        <w:adjustRightInd w:val="0"/>
        <w:snapToGrid w:val="0"/>
        <w:spacing w:line="360" w:lineRule="auto"/>
        <w:ind w:firstLine="480" w:firstLineChars="200"/>
        <w:rPr>
          <w:rFonts w:hint="eastAsia" w:ascii="宋体" w:hAnsi="宋体" w:eastAsia="宋体" w:cs="宋体"/>
          <w:sz w:val="24"/>
          <w:szCs w:val="24"/>
        </w:rPr>
      </w:pPr>
    </w:p>
    <w:p w14:paraId="0F83A3B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0084C6A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一、双方的责任</w:t>
      </w:r>
    </w:p>
    <w:p w14:paraId="723E7A5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应严格遵守国家关于建设工程的有关法律、法规，相关政策，以及廉政建设的各项规定。</w:t>
      </w:r>
    </w:p>
    <w:p w14:paraId="55A1319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 严格执行建设工程合同文件，自觉按合同办事。</w:t>
      </w:r>
    </w:p>
    <w:p w14:paraId="700760C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 各项活动必须坚持公开、公平、公正、诚信、透明的原则（除法律法规另有规定者外），不得为获取不正当的利益，损害国家、集体和对方利益，不得违反建设工程管理的规章制度。</w:t>
      </w:r>
    </w:p>
    <w:p w14:paraId="7361F46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 发现对方在业务活动中有违规、违纪、违法行为的，应及时提醒对方，情节严重的，应向其上级主管部门或纪检监察、司法等有关机关举报。</w:t>
      </w:r>
    </w:p>
    <w:p w14:paraId="4D82394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二、发包人责任</w:t>
      </w:r>
    </w:p>
    <w:p w14:paraId="234CCC5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发包人的领导和从事该建设工程项目的工作人员，在工程建设的事前、事中、事后应遵守以下规定：</w:t>
      </w:r>
    </w:p>
    <w:p w14:paraId="551C33A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2.1不得向承包人和相关单位索要或接受回扣、礼金、有价证券、贵重物品和好处费、感谢费等。</w:t>
      </w:r>
    </w:p>
    <w:p w14:paraId="67F48F4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 不得在承包人和相关单位报销任何应由发包人或个人支付的费用。</w:t>
      </w:r>
    </w:p>
    <w:p w14:paraId="6509A72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 不得要求、暗示或接受承包人和相关单位为个人装修住房、婚丧嫁娶、配偶子女的工作安排以及出国（境）、旅游等提供方便。</w:t>
      </w:r>
    </w:p>
    <w:p w14:paraId="62DAFCB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 不得参加有可能影响公正执行公务的承包人和相关单位的宴请、健身、娱乐等活动。</w:t>
      </w:r>
    </w:p>
    <w:p w14:paraId="207A265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 不得向承包人和相关单位介绍或为配偶、子女、亲属参与同发包人工程建设管理合同有关的业务活动；不得以任何理由要求承包人和相关单位使用某种产品、材料和设备。</w:t>
      </w:r>
    </w:p>
    <w:p w14:paraId="0A12CF3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三、承包人责任</w:t>
      </w:r>
    </w:p>
    <w:p w14:paraId="2EEC9B8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应与发包人保持正常的业务交往，按照有关法律法规和程序开展业务工作，严格执行工程建设的有关方针、政策，执行工程建设强制性标准，并遵守以下规定：</w:t>
      </w:r>
    </w:p>
    <w:p w14:paraId="54B2E7E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 不得以任何理由向发包人及其工作人员索要、接受或赠送礼金、有价证券、贵重物品及回扣、好处费、感谢费等。</w:t>
      </w:r>
    </w:p>
    <w:p w14:paraId="2BAFC73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3.2不得以任何理由为发包人和相关单位报销应由对方或个人支付的费用。</w:t>
      </w:r>
    </w:p>
    <w:p w14:paraId="47FBFF4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3.3不得接受或暗示为发包人、相关单位或个人装修住房、婚丧嫁娶、配偶子女的工作安排以及出国（境）、旅游等提供方便。</w:t>
      </w:r>
    </w:p>
    <w:p w14:paraId="22C5998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3.4不得以任何理由为发包人、相关单位或个人组织有可能影响公正执行公务的宴请、健身、娱乐等活动。</w:t>
      </w:r>
    </w:p>
    <w:p w14:paraId="256F2C3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四、违约责任</w:t>
      </w:r>
    </w:p>
    <w:p w14:paraId="06B8EFD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4.1发包人工作人员有违反本责任书第一、二条责任行为的，依据有关法律、法规给予处理；涉嫌犯罪的，移交司法机关追究刑事责任；给承包人单位造成经济损失的，应予以赔偿。</w:t>
      </w:r>
    </w:p>
    <w:p w14:paraId="03F9C51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 承包人工作人员有违反本责任书第一、三条责任行为的，依据有关法律法规处理；涉嫌犯罪的，移交司法机关追究刑事责任；给发包人单位造成经济损失的，应予以赔偿。</w:t>
      </w:r>
    </w:p>
    <w:p w14:paraId="0CD94DE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4.3 本责任书作为建设工程合同的组成部分，与建设工程合同具有同等法律效力。经双方签署后立即生效。</w:t>
      </w:r>
    </w:p>
    <w:p w14:paraId="12994E3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五、责任书有效期</w:t>
      </w:r>
    </w:p>
    <w:p w14:paraId="538099C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本责任书的有效期为双方签署之日起至该工程项目竣工验收合格时止。</w:t>
      </w:r>
    </w:p>
    <w:p w14:paraId="3C5C4F8A">
      <w:pPr>
        <w:adjustRightInd w:val="0"/>
        <w:snapToGrid w:val="0"/>
        <w:spacing w:line="360" w:lineRule="auto"/>
        <w:rPr>
          <w:rFonts w:hint="eastAsia" w:ascii="宋体" w:hAnsi="宋体" w:eastAsia="宋体" w:cs="宋体"/>
          <w:sz w:val="24"/>
          <w:szCs w:val="24"/>
        </w:rPr>
      </w:pPr>
    </w:p>
    <w:p w14:paraId="4FC0281B">
      <w:pPr>
        <w:adjustRightInd w:val="0"/>
        <w:snapToGrid w:val="0"/>
        <w:spacing w:line="360" w:lineRule="auto"/>
        <w:rPr>
          <w:rFonts w:hint="eastAsia" w:ascii="宋体" w:hAnsi="宋体" w:eastAsia="宋体" w:cs="宋体"/>
          <w:sz w:val="24"/>
          <w:szCs w:val="24"/>
          <w:u w:val="single"/>
        </w:rPr>
      </w:pPr>
      <w:r>
        <w:rPr>
          <w:rFonts w:hint="eastAsia" w:ascii="宋体" w:hAnsi="宋体" w:eastAsia="宋体" w:cs="宋体"/>
          <w:sz w:val="24"/>
          <w:szCs w:val="24"/>
        </w:rPr>
        <w:t>发包人：</w:t>
      </w:r>
      <w:r>
        <w:rPr>
          <w:rFonts w:hint="eastAsia" w:ascii="宋体" w:hAnsi="宋体" w:eastAsia="宋体" w:cs="宋体"/>
          <w:sz w:val="24"/>
          <w:szCs w:val="24"/>
          <w:u w:val="single"/>
        </w:rPr>
        <w:t xml:space="preserve">_北京市木樨园体育运动技术学校    </w:t>
      </w:r>
      <w:r>
        <w:rPr>
          <w:rFonts w:hint="eastAsia" w:ascii="宋体" w:hAnsi="宋体" w:eastAsia="宋体" w:cs="宋体"/>
          <w:sz w:val="24"/>
          <w:szCs w:val="24"/>
        </w:rPr>
        <w:t>承包人：</w:t>
      </w:r>
      <w:r>
        <w:rPr>
          <w:rFonts w:hint="eastAsia" w:ascii="宋体" w:hAnsi="宋体" w:eastAsia="宋体" w:cs="宋体"/>
          <w:sz w:val="24"/>
          <w:szCs w:val="24"/>
          <w:u w:val="single"/>
        </w:rPr>
        <w:t xml:space="preserve">                 </w:t>
      </w:r>
      <w:r>
        <w:rPr>
          <w:rFonts w:hint="eastAsia" w:ascii="宋体" w:hAnsi="宋体" w:eastAsia="宋体" w:cs="宋体"/>
          <w:sz w:val="24"/>
          <w:szCs w:val="24"/>
        </w:rPr>
        <w:t>（公章）</w:t>
      </w:r>
    </w:p>
    <w:p w14:paraId="02B62FFD">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u w:val="single"/>
        </w:rPr>
        <w:t>(北京市排球运动管理中心)_</w:t>
      </w:r>
      <w:r>
        <w:rPr>
          <w:rFonts w:hint="eastAsia" w:ascii="宋体" w:hAnsi="宋体" w:eastAsia="宋体" w:cs="宋体"/>
          <w:sz w:val="24"/>
          <w:szCs w:val="24"/>
        </w:rPr>
        <w:t xml:space="preserve">（公章）   </w:t>
      </w:r>
    </w:p>
    <w:p w14:paraId="4AF13683">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法定地址：</w:t>
      </w:r>
      <w:r>
        <w:rPr>
          <w:rFonts w:hint="eastAsia" w:ascii="宋体" w:hAnsi="宋体" w:eastAsia="宋体" w:cs="宋体"/>
          <w:sz w:val="24"/>
          <w:szCs w:val="24"/>
          <w:u w:val="single"/>
        </w:rPr>
        <w:t>北京市丰台区光彩北路4号</w:t>
      </w:r>
      <w:r>
        <w:rPr>
          <w:rFonts w:hint="eastAsia" w:ascii="宋体" w:hAnsi="宋体" w:eastAsia="宋体" w:cs="宋体"/>
          <w:sz w:val="24"/>
          <w:szCs w:val="24"/>
        </w:rPr>
        <w:t xml:space="preserve">    法定地址：</w:t>
      </w:r>
      <w:r>
        <w:rPr>
          <w:rFonts w:hint="eastAsia" w:ascii="宋体" w:hAnsi="宋体" w:eastAsia="宋体" w:cs="宋体"/>
          <w:sz w:val="24"/>
          <w:szCs w:val="24"/>
          <w:u w:val="single"/>
        </w:rPr>
        <w:t xml:space="preserve">                        </w:t>
      </w:r>
    </w:p>
    <w:p w14:paraId="29B2BB3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法定代表人或其                            法定代表人或其</w:t>
      </w:r>
    </w:p>
    <w:p w14:paraId="6ED20F0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授权委托人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授权委托人：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00265ED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u w:val="single"/>
        </w:rPr>
        <w:t>___    _____________</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电话：</w:t>
      </w:r>
      <w:r>
        <w:rPr>
          <w:rFonts w:hint="eastAsia" w:ascii="宋体" w:hAnsi="宋体" w:eastAsia="宋体" w:cs="宋体"/>
          <w:sz w:val="24"/>
          <w:szCs w:val="24"/>
          <w:u w:val="single"/>
        </w:rPr>
        <w:t>____         ______________</w:t>
      </w:r>
    </w:p>
    <w:p w14:paraId="34AC71F7">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开户银行：</w:t>
      </w:r>
      <w:r>
        <w:rPr>
          <w:rFonts w:hint="eastAsia" w:ascii="宋体" w:hAnsi="宋体" w:eastAsia="宋体" w:cs="宋体"/>
          <w:sz w:val="24"/>
          <w:szCs w:val="24"/>
          <w:u w:val="single"/>
        </w:rPr>
        <w:t xml:space="preserve">                        </w:t>
      </w:r>
    </w:p>
    <w:p w14:paraId="42FDA84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帐号：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帐号：</w:t>
      </w:r>
      <w:r>
        <w:rPr>
          <w:rFonts w:hint="eastAsia" w:ascii="宋体" w:hAnsi="宋体" w:eastAsia="宋体" w:cs="宋体"/>
          <w:sz w:val="24"/>
          <w:szCs w:val="24"/>
          <w:u w:val="single"/>
        </w:rPr>
        <w:t xml:space="preserve">                        </w:t>
      </w:r>
    </w:p>
    <w:p w14:paraId="1420AB5B">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p>
    <w:p w14:paraId="31BE0DFA">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监督单位：</w:t>
      </w:r>
      <w:r>
        <w:rPr>
          <w:rFonts w:hint="eastAsia" w:ascii="宋体" w:hAnsi="宋体" w:eastAsia="宋体" w:cs="宋体"/>
          <w:sz w:val="24"/>
          <w:szCs w:val="24"/>
          <w:u w:val="single"/>
        </w:rPr>
        <w:t>__________________</w:t>
      </w:r>
      <w:r>
        <w:rPr>
          <w:rFonts w:hint="eastAsia" w:ascii="宋体" w:hAnsi="宋体" w:eastAsia="宋体" w:cs="宋体"/>
          <w:sz w:val="24"/>
          <w:szCs w:val="24"/>
        </w:rPr>
        <w:t>（盖章）      监督单位：</w:t>
      </w:r>
      <w:r>
        <w:rPr>
          <w:rFonts w:hint="eastAsia" w:ascii="宋体" w:hAnsi="宋体" w:eastAsia="宋体" w:cs="宋体"/>
          <w:sz w:val="24"/>
          <w:szCs w:val="24"/>
          <w:u w:val="single"/>
        </w:rPr>
        <w:t>________________</w:t>
      </w:r>
      <w:r>
        <w:rPr>
          <w:rFonts w:hint="eastAsia" w:ascii="宋体" w:hAnsi="宋体" w:eastAsia="宋体" w:cs="宋体"/>
          <w:sz w:val="24"/>
          <w:szCs w:val="24"/>
        </w:rPr>
        <w:t>（盖章）</w:t>
      </w:r>
    </w:p>
    <w:p w14:paraId="2D6BCB0D">
      <w:pPr>
        <w:keepNext/>
        <w:keepLines/>
        <w:widowControl w:val="0"/>
        <w:spacing w:before="260" w:after="260" w:line="416" w:lineRule="auto"/>
        <w:jc w:val="both"/>
        <w:outlineLvl w:val="1"/>
        <w:rPr>
          <w:rFonts w:hint="eastAsia" w:ascii="宋体" w:hAnsi="宋体" w:eastAsia="宋体" w:cs="宋体"/>
          <w:b/>
          <w:bCs/>
          <w:kern w:val="2"/>
          <w:sz w:val="24"/>
          <w:szCs w:val="24"/>
        </w:rPr>
      </w:pPr>
      <w:r>
        <w:rPr>
          <w:rFonts w:hint="eastAsia" w:ascii="宋体" w:hAnsi="宋体" w:eastAsia="宋体" w:cs="宋体"/>
          <w:b/>
          <w:bCs/>
          <w:kern w:val="2"/>
          <w:sz w:val="24"/>
          <w:szCs w:val="24"/>
        </w:rPr>
        <w:br w:type="page"/>
      </w:r>
      <w:bookmarkStart w:id="940" w:name="_Toc13829"/>
      <w:r>
        <w:rPr>
          <w:rFonts w:hint="eastAsia" w:ascii="宋体" w:hAnsi="宋体" w:eastAsia="宋体" w:cs="宋体"/>
          <w:sz w:val="24"/>
          <w:szCs w:val="24"/>
        </w:rPr>
        <w:t>附件五：安全生产协议书</w:t>
      </w:r>
      <w:bookmarkEnd w:id="940"/>
    </w:p>
    <w:p w14:paraId="4AD78EE2">
      <w:pPr>
        <w:widowControl w:val="0"/>
        <w:tabs>
          <w:tab w:val="left" w:pos="3855"/>
        </w:tabs>
        <w:snapToGrid w:val="0"/>
        <w:spacing w:after="240" w:afterLines="100" w:line="480" w:lineRule="exact"/>
        <w:jc w:val="center"/>
        <w:rPr>
          <w:rFonts w:hint="eastAsia" w:ascii="宋体" w:hAnsi="宋体" w:eastAsia="宋体" w:cs="宋体"/>
          <w:b/>
          <w:sz w:val="24"/>
          <w:szCs w:val="24"/>
        </w:rPr>
      </w:pPr>
      <w:r>
        <w:rPr>
          <w:rFonts w:hint="eastAsia" w:ascii="宋体" w:hAnsi="宋体" w:eastAsia="宋体" w:cs="宋体"/>
          <w:b/>
          <w:sz w:val="24"/>
          <w:szCs w:val="24"/>
        </w:rPr>
        <w:t>安全生产协议书</w:t>
      </w:r>
    </w:p>
    <w:p w14:paraId="04EFBA7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为贯彻落实 “安全第一、预防为主、综合治理”的安全管理方针，依据《中华人民共和国民法典》、《中华人民共和国安全生产法》等法律法规及相关要求，双方本着平等 、自愿的原则，签订本协议，并按照约定要求在作业过程中严格履行。此协议作为《建设工程施工合同》的附件，对甲方（即发包人）、乙方（即承包人）应履行的权利、义务和责任进行约束。</w:t>
      </w:r>
    </w:p>
    <w:p w14:paraId="2E26B40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在施工准备阶段和施工过程中，甲乙双方都应贯彻执行国家和本市有关建筑施工安全、文明施工和施工现场管理方面的法律、法规及行业安全操作、规范、标准 ,确定履行法律、法规所赋予双方各自的安全职责，以确保建筑工程施工始终在安全文明的前提下进行。</w:t>
      </w:r>
    </w:p>
    <w:p w14:paraId="358C281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一、甲方的权利和安全责任</w:t>
      </w:r>
    </w:p>
    <w:p w14:paraId="5BFECB9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1.在作业现场或经营管理区域，甲方应确定乙方现场安全管理人员，对现场作业安全进行监督管理；</w:t>
      </w:r>
    </w:p>
    <w:p w14:paraId="6F65371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2.在作业过程中，对乙方的作业安全进行监督检查，发现事故隐患有权要求乙方停止作业，对存在的安全隐患进行整改完成后复工；</w:t>
      </w:r>
    </w:p>
    <w:p w14:paraId="20E68C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3.甲方应为乙方的作业安全提供协调支持，如：存在与第三方交叉作业，协助乙方进行管理协调；</w:t>
      </w:r>
    </w:p>
    <w:p w14:paraId="2AE3978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4.发生突发事件时，甲方应对事故事件的应急救援提供保障，有权参与事故的调查分析，因乙方责任造成人员伤亡和财产损失的，甲方有权向乙方索取相应的经济赔偿，追究相应的法律责任；</w:t>
      </w:r>
    </w:p>
    <w:p w14:paraId="207F5E0D">
      <w:pPr>
        <w:adjustRightInd w:val="0"/>
        <w:snapToGrid w:val="0"/>
        <w:spacing w:line="360" w:lineRule="auto"/>
        <w:ind w:firstLine="480" w:firstLineChars="200"/>
        <w:rPr>
          <w:rFonts w:hint="eastAsia" w:ascii="宋体" w:hAnsi="宋体" w:eastAsia="宋体" w:cs="宋体"/>
          <w:sz w:val="24"/>
          <w:szCs w:val="24"/>
        </w:rPr>
      </w:pPr>
      <w:bookmarkStart w:id="941" w:name="_Toc10022"/>
      <w:r>
        <w:rPr>
          <w:rFonts w:hint="eastAsia" w:ascii="宋体" w:hAnsi="宋体" w:eastAsia="宋体" w:cs="宋体"/>
          <w:sz w:val="24"/>
          <w:szCs w:val="24"/>
        </w:rPr>
        <w:t>5.法律、法规和安全技术规范规定的其他职责。</w:t>
      </w:r>
      <w:bookmarkEnd w:id="941"/>
    </w:p>
    <w:p w14:paraId="3E92B9A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二、乙方的权利和安全责任</w:t>
      </w:r>
    </w:p>
    <w:p w14:paraId="4FBAEAB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乙方进场后应遵守国家和本市对施工现场安全及文明施工的有关文件规定，包括行业安全操作规程、规范及标准，以及甲方规定的各项规章制度和管理规定。乙方对施工现场的规定负全责，凡在施工现场内(含生产现场和生活区)因违章指挥、违章操作导致发生高空坠落、物体打击、机械事故、触电土方坍塌事故及管线折断、破裂、泄漏事故或由乙方自身原因造成的失火、失盗、人员伤亡事故,以及民生政治、刑事、治安案件和食物中毒、职业危害、交通事故等非正常死亡,除依法追究肇事者和有关管理人员的责任外，一切由此引起的经济损失，及所造成的不良影响和后果均由乙方承担(发生不可抗拒的灾害除外)。</w:t>
      </w:r>
    </w:p>
    <w:p w14:paraId="0C67A8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施工前乙方必须建立安全生产责任制度。明确从项目经理到一线施工人员的安全责任，对所有进场施工人员(含管理人员在内)，进行入场安全教育,并编制详细的施工组织设计或施工方案，进行安全技术交底(做到使所有施工人员知情，并使操作人员制定和掌握具体的实施方法）向有关部门提供施工单位的资质证明，保证所有特种作业人员持证上岗。</w:t>
      </w:r>
    </w:p>
    <w:p w14:paraId="296E5E0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3.乙方项目经理为安全第一责任人。全面负责施工现场的安全管理, 乙方必须指定专人负责现场的安全技术管理工作,安全管理人员认真履行职责，组织力量实施现场安全监督、跟踪管理、并不得擅自离开现场。对可能发生的问题及时采取措施予以控制,发现违章指挥、违章操作的行为要及时指出、坚决制止。</w:t>
      </w:r>
    </w:p>
    <w:p w14:paraId="40D5D69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4.乙方须严格按照相关法律、法规和操作规程、规范及标准进行施工，并做到:</w:t>
      </w:r>
    </w:p>
    <w:p w14:paraId="1119283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（1）据甲方提供的资料以及自身勘查结果，对施工现场及其影响的区域内地下的障碍物清理或采取相应的措施，对周围道路管线采取保护措施。</w:t>
      </w:r>
    </w:p>
    <w:p w14:paraId="1DC25A4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（2）加强暑期中暑、流感的有效防控，发现异常立即了解情况并按相关卫生防疫政策处置。</w:t>
      </w:r>
    </w:p>
    <w:p w14:paraId="6A06CDC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施工作业前需对机械、设备、仪器、仪表、工具器材等进行检查，确认完好无误后方可使用。电气设备、电源线路必须绝缘良好，不得与金属物浸水位置(导电物品）搭接捆绑在一起，各种临时电源线，绝缘皮要防止摩擦破损和被重物埋压。电动机、配电箱应按规定安装防护设路、漏电保护器及接地、接零和设备专一电闸等有效控制。当临时停电或停工休息时必须拉闸、上锁。</w:t>
      </w:r>
    </w:p>
    <w:p w14:paraId="7F06491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（4）在施工中动用明火(如进行电气焊作业)或高处作业等必须实行审批制度和安全防护措施,现场(含生活区)的消防设备、器材按有关规定配置,对易燃易爆的危险品运输、储存、保管要符合安全规定要求。</w:t>
      </w:r>
    </w:p>
    <w:p w14:paraId="5EC3FE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督促施工人员做好下班后清理检查工作，对作业区域存在的危险因素(如管道沟、槽，管道井及高低压线路、变电、配电设施)要采取防护措施,设置防护围栏,设置警示标识(含晚间设置警示灯)。要严加防范、重点监控。在管道井下或密闭等有限空间作业应严守操作规程并注意通风、照明和保持通讯联络,并有两个以上人员作业，以防因缺氧造成的事故。</w:t>
      </w:r>
    </w:p>
    <w:p w14:paraId="43FFE2F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（6）实施挖土作业和拆除工程中发现管道、电缆及其它埋设物应及时报告,不得擅自处理。</w:t>
      </w:r>
    </w:p>
    <w:p w14:paraId="2BE775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（7）按规范要求及现场实际情况布置现场消防通道、消防栓、消防水龙带、消防专职安全员。</w:t>
      </w:r>
    </w:p>
    <w:p w14:paraId="0208FDD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三、违约责任</w:t>
      </w:r>
    </w:p>
    <w:p w14:paraId="19E6C4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1.由于甲方或乙方责任造成对方或第三方的人身伤害、设备损坏等财产损失，由责任方承担相应责任，并赔偿对方或第三方因此造成的全部损失；</w:t>
      </w:r>
    </w:p>
    <w:p w14:paraId="3C1516A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2.合同履行中，发现乙方提供的有关资质材料不真实或为无效资料的，甲方有权解除与乙方的主合同及其他一应合同文件，并由乙方承担由此造成的一切损失；</w:t>
      </w:r>
    </w:p>
    <w:p w14:paraId="58DC6C6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乙方未设置安管人员；未能正确、全面落实安全管理制度；作业、管理人员未掌握本作业特点及作业安全措施；用于本作业的施工机械、工器具及安全防护用品不满足作业需要，甲方有权要求乙方立即停工整改，由此引起的后果及损失由乙方承担；</w:t>
      </w:r>
    </w:p>
    <w:p w14:paraId="44DF053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4.如乙方对存在隐患和违章违纪行为逾期和屡纠不改或拒不整改和纠正的，甲方有权停止乙方作业，一切后果由乙方负责；</w:t>
      </w:r>
    </w:p>
    <w:p w14:paraId="488D284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乙方在作业时，各种作业必须按本工种《安全操作规程》执行，特种作业人员必须持证上岗，以备双方安全检查人员的检查，不得违章操作。对因违章造成甲方或第三方的财产损失和人身伤害，由乙方承担全部责任；</w:t>
      </w:r>
    </w:p>
    <w:p w14:paraId="1C5A2C8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甲方有权对乙方的作业场所、责任区域进行安全监督检查，对违章、违纪行为有权制止、纠正或处罚。对拒绝、阻挠甲方检查，或存在对甲方检查人员打击报负，甲方有权停止乙方施工，因此造成甲方的损失由乙方负责赔偿，乙方的损失由乙方自负；各方确认，虽然甲方有权对乙方安全施工行为进行检查，但甲方不因此承担本应由乙方承担的安全施工责任，乙方亦不因甲方检查行为而可以免除相应责任。</w:t>
      </w:r>
    </w:p>
    <w:p w14:paraId="78C162A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7.在施工、责任区域管理中如发生安全事故，乙方要迅速采取有效措施，组织抢救，防止事故扩大，减少人员伤亡和财产损失；</w:t>
      </w:r>
    </w:p>
    <w:p w14:paraId="42AFDC3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8.乙方使用甲方提供的设施设备、工器具等造成损坏的，应照价赔偿；</w:t>
      </w:r>
    </w:p>
    <w:p w14:paraId="2C2BB389">
      <w:pPr>
        <w:adjustRightInd w:val="0"/>
        <w:snapToGrid w:val="0"/>
        <w:spacing w:line="360" w:lineRule="auto"/>
        <w:ind w:firstLine="480" w:firstLineChars="200"/>
        <w:rPr>
          <w:rFonts w:hint="eastAsia" w:ascii="宋体" w:hAnsi="宋体" w:eastAsia="宋体" w:cs="宋体"/>
          <w:sz w:val="24"/>
          <w:szCs w:val="24"/>
        </w:rPr>
      </w:pPr>
      <w:bookmarkStart w:id="942" w:name="_Toc27669"/>
      <w:r>
        <w:rPr>
          <w:rFonts w:hint="eastAsia" w:ascii="宋体" w:hAnsi="宋体" w:eastAsia="宋体" w:cs="宋体"/>
          <w:sz w:val="24"/>
          <w:szCs w:val="24"/>
        </w:rPr>
        <w:t>9.未尽事宜，由甲乙双方另行协商解决。</w:t>
      </w:r>
      <w:bookmarkEnd w:id="942"/>
    </w:p>
    <w:p w14:paraId="753E89B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四、其他</w:t>
      </w:r>
    </w:p>
    <w:p w14:paraId="08631A7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协议一式两份，甲、乙双方各执一份。双方签字盖章之日起生效。未尽事宜双方可以签订补充协议，补充协议与本协议具有同等法律效力。因本协议产生的纠纷，双方先行协商解决，协商不成约定由北京市丰台区人民法院管辖。</w:t>
      </w:r>
    </w:p>
    <w:p w14:paraId="58BD735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2.其他未尽事宜，按国家相关法律、法规执行。</w:t>
      </w:r>
    </w:p>
    <w:p w14:paraId="2885035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3.本协议有效期同服务合同有效期一致。</w:t>
      </w:r>
    </w:p>
    <w:p w14:paraId="17B755D7">
      <w:pPr>
        <w:widowControl w:val="0"/>
        <w:snapToGrid w:val="0"/>
        <w:spacing w:line="360" w:lineRule="auto"/>
        <w:ind w:firstLine="480" w:firstLineChars="200"/>
        <w:jc w:val="both"/>
        <w:rPr>
          <w:rFonts w:hint="eastAsia" w:ascii="宋体" w:hAnsi="宋体" w:eastAsia="宋体" w:cs="宋体"/>
          <w:kern w:val="2"/>
          <w:sz w:val="24"/>
          <w:szCs w:val="24"/>
        </w:rPr>
      </w:pPr>
    </w:p>
    <w:p w14:paraId="1D176BCB">
      <w:pPr>
        <w:widowControl w:val="0"/>
        <w:snapToGrid w:val="0"/>
        <w:spacing w:line="360" w:lineRule="auto"/>
        <w:ind w:firstLine="480" w:firstLineChars="200"/>
        <w:jc w:val="both"/>
        <w:rPr>
          <w:rFonts w:hint="eastAsia" w:ascii="宋体" w:hAnsi="宋体" w:eastAsia="宋体" w:cs="宋体"/>
          <w:kern w:val="2"/>
          <w:sz w:val="24"/>
          <w:szCs w:val="24"/>
        </w:rPr>
      </w:pPr>
    </w:p>
    <w:p w14:paraId="6952EF39">
      <w:pPr>
        <w:widowControl w:val="0"/>
        <w:spacing w:after="120"/>
        <w:ind w:left="420" w:leftChars="200" w:firstLine="480" w:firstLineChars="200"/>
        <w:rPr>
          <w:rFonts w:hint="eastAsia" w:ascii="宋体" w:hAnsi="宋体" w:eastAsia="宋体" w:cs="宋体"/>
          <w:kern w:val="2"/>
          <w:sz w:val="24"/>
          <w:szCs w:val="24"/>
        </w:rPr>
      </w:pPr>
    </w:p>
    <w:p w14:paraId="45361C03">
      <w:pPr>
        <w:widowControl w:val="0"/>
        <w:spacing w:after="120"/>
        <w:ind w:left="420" w:leftChars="200" w:firstLine="480" w:firstLineChars="200"/>
        <w:rPr>
          <w:rFonts w:hint="eastAsia" w:ascii="宋体" w:hAnsi="宋体" w:eastAsia="宋体" w:cs="宋体"/>
          <w:kern w:val="2"/>
          <w:sz w:val="24"/>
          <w:szCs w:val="24"/>
        </w:rPr>
      </w:pPr>
    </w:p>
    <w:p w14:paraId="4F1E2889">
      <w:pPr>
        <w:widowControl w:val="0"/>
        <w:snapToGrid w:val="0"/>
        <w:spacing w:line="360" w:lineRule="auto"/>
        <w:jc w:val="both"/>
        <w:rPr>
          <w:rFonts w:hint="eastAsia" w:ascii="宋体" w:hAnsi="宋体" w:eastAsia="宋体" w:cs="宋体"/>
          <w:kern w:val="2"/>
          <w:sz w:val="24"/>
          <w:szCs w:val="24"/>
        </w:rPr>
      </w:pPr>
    </w:p>
    <w:p w14:paraId="1B077FAB">
      <w:pPr>
        <w:widowControl w:val="0"/>
        <w:snapToGrid w:val="0"/>
        <w:spacing w:line="360" w:lineRule="auto"/>
        <w:rPr>
          <w:rFonts w:hint="eastAsia" w:ascii="宋体" w:hAnsi="宋体" w:eastAsia="宋体" w:cs="宋体"/>
          <w:kern w:val="2"/>
          <w:sz w:val="24"/>
          <w:szCs w:val="24"/>
          <w:u w:val="single"/>
        </w:rPr>
      </w:pPr>
      <w:r>
        <w:rPr>
          <w:rFonts w:hint="eastAsia" w:ascii="宋体" w:hAnsi="宋体" w:eastAsia="宋体" w:cs="宋体"/>
          <w:kern w:val="2"/>
          <w:sz w:val="24"/>
          <w:szCs w:val="24"/>
        </w:rPr>
        <w:t>甲方：</w:t>
      </w:r>
      <w:r>
        <w:rPr>
          <w:rFonts w:hint="eastAsia" w:ascii="宋体" w:hAnsi="宋体" w:eastAsia="宋体" w:cs="宋体"/>
          <w:kern w:val="2"/>
          <w:sz w:val="24"/>
          <w:szCs w:val="24"/>
          <w:u w:val="single"/>
        </w:rPr>
        <w:t xml:space="preserve">北京市木樨园体育运动技术学校   </w:t>
      </w:r>
      <w:r>
        <w:rPr>
          <w:rFonts w:hint="eastAsia" w:ascii="宋体" w:hAnsi="宋体" w:eastAsia="宋体" w:cs="宋体"/>
          <w:kern w:val="2"/>
          <w:sz w:val="24"/>
          <w:szCs w:val="24"/>
        </w:rPr>
        <w:t>乙方：</w:t>
      </w:r>
      <w:r>
        <w:rPr>
          <w:rFonts w:hint="eastAsia" w:ascii="宋体" w:hAnsi="宋体" w:eastAsia="宋体" w:cs="宋体"/>
          <w:kern w:val="2"/>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（公章）</w:t>
      </w:r>
    </w:p>
    <w:p w14:paraId="0E08B731">
      <w:pPr>
        <w:ind w:firstLine="480" w:firstLineChars="200"/>
        <w:rPr>
          <w:rFonts w:hint="eastAsia" w:ascii="宋体" w:hAnsi="宋体" w:eastAsia="宋体" w:cs="宋体"/>
          <w:kern w:val="2"/>
          <w:sz w:val="24"/>
          <w:szCs w:val="24"/>
        </w:rPr>
      </w:pPr>
      <w:bookmarkStart w:id="943" w:name="_Toc17926"/>
      <w:r>
        <w:rPr>
          <w:rFonts w:hint="eastAsia" w:ascii="宋体" w:hAnsi="宋体" w:eastAsia="宋体" w:cs="宋体"/>
          <w:kern w:val="2"/>
          <w:sz w:val="24"/>
          <w:szCs w:val="24"/>
          <w:u w:val="single"/>
        </w:rPr>
        <w:t>（北京市排球运动管理中心）</w:t>
      </w:r>
      <w:r>
        <w:rPr>
          <w:rFonts w:hint="eastAsia" w:ascii="宋体" w:hAnsi="宋体" w:eastAsia="宋体" w:cs="宋体"/>
          <w:kern w:val="2"/>
          <w:sz w:val="24"/>
          <w:szCs w:val="24"/>
        </w:rPr>
        <w:t>（公章）</w:t>
      </w:r>
      <w:bookmarkEnd w:id="943"/>
      <w:r>
        <w:rPr>
          <w:rFonts w:hint="eastAsia" w:ascii="宋体" w:hAnsi="宋体" w:eastAsia="宋体" w:cs="宋体"/>
          <w:kern w:val="2"/>
          <w:sz w:val="24"/>
          <w:szCs w:val="24"/>
        </w:rPr>
        <w:t xml:space="preserve">      </w:t>
      </w:r>
    </w:p>
    <w:p w14:paraId="30DFB9E4">
      <w:pPr>
        <w:widowControl w:val="0"/>
        <w:snapToGrid w:val="0"/>
        <w:spacing w:line="360" w:lineRule="auto"/>
        <w:ind w:left="4830" w:hanging="5520" w:hangingChars="2300"/>
        <w:jc w:val="both"/>
        <w:rPr>
          <w:rFonts w:hint="eastAsia" w:ascii="宋体" w:hAnsi="宋体" w:eastAsia="宋体" w:cs="宋体"/>
          <w:kern w:val="2"/>
          <w:sz w:val="24"/>
          <w:szCs w:val="24"/>
          <w:u w:val="single"/>
        </w:rPr>
      </w:pPr>
      <w:r>
        <w:rPr>
          <w:rFonts w:hint="eastAsia" w:ascii="宋体" w:hAnsi="宋体" w:eastAsia="宋体" w:cs="宋体"/>
          <w:kern w:val="2"/>
          <w:sz w:val="24"/>
          <w:szCs w:val="24"/>
        </w:rPr>
        <w:t>法定地址：</w:t>
      </w:r>
      <w:r>
        <w:rPr>
          <w:rFonts w:hint="eastAsia" w:ascii="宋体" w:hAnsi="宋体" w:eastAsia="宋体" w:cs="宋体"/>
          <w:kern w:val="2"/>
          <w:sz w:val="24"/>
          <w:szCs w:val="24"/>
          <w:u w:val="single"/>
        </w:rPr>
        <w:t xml:space="preserve"> 北京市丰台区光彩北路4号  </w:t>
      </w:r>
      <w:r>
        <w:rPr>
          <w:rFonts w:hint="eastAsia" w:ascii="宋体" w:hAnsi="宋体" w:eastAsia="宋体" w:cs="宋体"/>
          <w:kern w:val="2"/>
          <w:sz w:val="24"/>
          <w:szCs w:val="24"/>
        </w:rPr>
        <w:t>法定地址：</w:t>
      </w:r>
      <w:r>
        <w:rPr>
          <w:rFonts w:hint="eastAsia" w:ascii="宋体" w:hAnsi="宋体" w:eastAsia="宋体" w:cs="宋体"/>
          <w:kern w:val="2"/>
          <w:sz w:val="24"/>
          <w:szCs w:val="24"/>
          <w:u w:val="single"/>
        </w:rPr>
        <w:t xml:space="preserve">                               </w:t>
      </w:r>
    </w:p>
    <w:p w14:paraId="572280F0">
      <w:pPr>
        <w:widowControl w:val="0"/>
        <w:snapToGrid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法定代表人或其                       法定代表人或其</w:t>
      </w:r>
    </w:p>
    <w:p w14:paraId="58DE8038">
      <w:pPr>
        <w:widowControl w:val="0"/>
        <w:snapToGrid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委托代理人：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（签字）  委托代理人：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（签字）</w:t>
      </w:r>
    </w:p>
    <w:p w14:paraId="38866976">
      <w:pPr>
        <w:widowControl w:val="0"/>
        <w:snapToGrid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电话：</w:t>
      </w:r>
      <w:r>
        <w:rPr>
          <w:rFonts w:hint="eastAsia" w:ascii="宋体" w:hAnsi="宋体" w:eastAsia="宋体" w:cs="宋体"/>
          <w:kern w:val="2"/>
          <w:sz w:val="24"/>
          <w:szCs w:val="24"/>
          <w:u w:val="single"/>
        </w:rPr>
        <w:t xml:space="preserve">  67215550                  </w:t>
      </w:r>
      <w:r>
        <w:rPr>
          <w:rFonts w:hint="eastAsia" w:ascii="宋体" w:hAnsi="宋体" w:eastAsia="宋体" w:cs="宋体"/>
          <w:kern w:val="2"/>
          <w:sz w:val="24"/>
          <w:szCs w:val="24"/>
        </w:rPr>
        <w:t xml:space="preserve">   电话：</w:t>
      </w:r>
      <w:r>
        <w:rPr>
          <w:rFonts w:hint="eastAsia" w:ascii="宋体" w:hAnsi="宋体" w:eastAsia="宋体" w:cs="宋体"/>
          <w:kern w:val="2"/>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kern w:val="2"/>
          <w:sz w:val="24"/>
          <w:szCs w:val="24"/>
          <w:u w:val="single"/>
        </w:rPr>
        <w:t xml:space="preserve">                           </w:t>
      </w:r>
    </w:p>
    <w:p w14:paraId="542EA26F">
      <w:pPr>
        <w:widowControl w:val="0"/>
        <w:snapToGrid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传真：</w:t>
      </w:r>
      <w:r>
        <w:rPr>
          <w:rFonts w:hint="eastAsia" w:ascii="宋体" w:hAnsi="宋体" w:eastAsia="宋体" w:cs="宋体"/>
          <w:kern w:val="2"/>
          <w:sz w:val="24"/>
          <w:szCs w:val="24"/>
          <w:u w:val="single"/>
        </w:rPr>
        <w:t xml:space="preserve">       /                    </w:t>
      </w:r>
      <w:r>
        <w:rPr>
          <w:rFonts w:hint="eastAsia" w:ascii="宋体" w:hAnsi="宋体" w:eastAsia="宋体" w:cs="宋体"/>
          <w:kern w:val="2"/>
          <w:sz w:val="24"/>
          <w:szCs w:val="24"/>
        </w:rPr>
        <w:t xml:space="preserve">   传真：</w:t>
      </w:r>
      <w:r>
        <w:rPr>
          <w:rFonts w:hint="eastAsia" w:ascii="宋体" w:hAnsi="宋体" w:eastAsia="宋体" w:cs="宋体"/>
          <w:kern w:val="2"/>
          <w:sz w:val="24"/>
          <w:szCs w:val="24"/>
          <w:u w:val="single"/>
        </w:rPr>
        <w:t xml:space="preserve">         /                          </w:t>
      </w:r>
    </w:p>
    <w:p w14:paraId="695BC0D9">
      <w:pPr>
        <w:widowControl w:val="0"/>
        <w:snapToGrid w:val="0"/>
        <w:spacing w:line="360" w:lineRule="auto"/>
        <w:jc w:val="both"/>
        <w:rPr>
          <w:rFonts w:hint="eastAsia" w:ascii="宋体" w:hAnsi="宋体" w:eastAsia="宋体" w:cs="宋体"/>
          <w:kern w:val="2"/>
          <w:sz w:val="24"/>
          <w:szCs w:val="24"/>
        </w:rPr>
      </w:pPr>
      <w:r>
        <w:rPr>
          <w:rFonts w:hint="eastAsia" w:ascii="宋体" w:hAnsi="宋体" w:eastAsia="宋体" w:cs="宋体"/>
          <w:kern w:val="2"/>
          <w:sz w:val="24"/>
          <w:szCs w:val="24"/>
        </w:rPr>
        <w:t>日期：      年    月    日           日期：      年    月    日</w:t>
      </w:r>
    </w:p>
    <w:bookmarkEnd w:id="700"/>
    <w:bookmarkEnd w:id="701"/>
    <w:bookmarkEnd w:id="702"/>
    <w:bookmarkEnd w:id="703"/>
    <w:bookmarkEnd w:id="704"/>
    <w:p w14:paraId="317E8ED6">
      <w:pPr>
        <w:widowControl w:val="0"/>
        <w:jc w:val="both"/>
        <w:rPr>
          <w:rFonts w:hint="eastAsia" w:ascii="宋体" w:hAnsi="宋体" w:eastAsia="宋体" w:cs="宋体"/>
          <w:kern w:val="2"/>
          <w:sz w:val="24"/>
          <w:szCs w:val="24"/>
        </w:rPr>
      </w:pPr>
    </w:p>
    <w:p w14:paraId="1BEBB5A8"/>
    <w:p w14:paraId="2D663B85">
      <w:pPr>
        <w:spacing w:line="360" w:lineRule="auto"/>
        <w:rPr>
          <w:rFonts w:ascii="Calibri" w:hAnsi="Calibri"/>
          <w:szCs w:val="22"/>
        </w:rPr>
      </w:pPr>
    </w:p>
    <w:p w14:paraId="2B34361D">
      <w:pPr>
        <w:rPr>
          <w:rFonts w:eastAsiaTheme="minorEastAsia"/>
          <w:b/>
          <w:sz w:val="36"/>
          <w:szCs w:val="36"/>
        </w:rPr>
      </w:pPr>
      <w:bookmarkStart w:id="944" w:name="_Toc167110019"/>
      <w:r>
        <w:rPr>
          <w:rFonts w:eastAsiaTheme="minorEastAsia"/>
          <w:b/>
          <w:sz w:val="36"/>
          <w:szCs w:val="36"/>
        </w:rPr>
        <w:br w:type="page"/>
      </w:r>
    </w:p>
    <w:p w14:paraId="4ED602CC">
      <w:pPr>
        <w:spacing w:line="360" w:lineRule="auto"/>
        <w:jc w:val="center"/>
        <w:outlineLvl w:val="0"/>
        <w:rPr>
          <w:rFonts w:eastAsiaTheme="minorEastAsia"/>
          <w:b/>
          <w:sz w:val="36"/>
          <w:szCs w:val="36"/>
        </w:rPr>
      </w:pPr>
      <w:r>
        <w:rPr>
          <w:rFonts w:eastAsiaTheme="minorEastAsia"/>
          <w:b/>
          <w:sz w:val="36"/>
          <w:szCs w:val="36"/>
        </w:rPr>
        <w:t>第六章   响应文件格式</w:t>
      </w:r>
      <w:bookmarkEnd w:id="944"/>
    </w:p>
    <w:p w14:paraId="67B8186D">
      <w:pPr>
        <w:widowControl/>
        <w:spacing w:line="360" w:lineRule="auto"/>
        <w:jc w:val="left"/>
        <w:rPr>
          <w:rFonts w:eastAsiaTheme="minorEastAsia"/>
          <w:b/>
          <w:sz w:val="24"/>
        </w:rPr>
      </w:pPr>
    </w:p>
    <w:p w14:paraId="662A84F1">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2BD67AEA">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27EC4105">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01FF9507">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12A7F6B8">
      <w:pPr>
        <w:tabs>
          <w:tab w:val="left" w:pos="900"/>
          <w:tab w:val="left" w:pos="1980"/>
        </w:tabs>
        <w:snapToGrid w:val="0"/>
        <w:spacing w:line="360" w:lineRule="auto"/>
        <w:ind w:left="142"/>
        <w:rPr>
          <w:rFonts w:eastAsiaTheme="minorEastAsia"/>
          <w:sz w:val="24"/>
        </w:rPr>
      </w:pPr>
    </w:p>
    <w:p w14:paraId="763241B8">
      <w:pPr>
        <w:widowControl/>
        <w:jc w:val="left"/>
        <w:rPr>
          <w:rFonts w:eastAsiaTheme="minorEastAsia"/>
          <w:sz w:val="24"/>
        </w:rPr>
      </w:pPr>
      <w:r>
        <w:rPr>
          <w:rFonts w:eastAsiaTheme="minorEastAsia"/>
          <w:sz w:val="24"/>
        </w:rPr>
        <w:br w:type="page"/>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14:paraId="34A7C072">
      <w:pPr>
        <w:rPr>
          <w:rFonts w:eastAsiaTheme="minorEastAsia"/>
          <w:b/>
          <w:spacing w:val="20"/>
          <w:szCs w:val="21"/>
        </w:rPr>
      </w:pPr>
    </w:p>
    <w:p w14:paraId="6C587909">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1CF906C6">
      <w:pPr>
        <w:jc w:val="center"/>
        <w:rPr>
          <w:rFonts w:eastAsiaTheme="minorEastAsia"/>
          <w:szCs w:val="21"/>
        </w:rPr>
      </w:pPr>
    </w:p>
    <w:p w14:paraId="6A902230">
      <w:pPr>
        <w:jc w:val="center"/>
        <w:rPr>
          <w:rFonts w:eastAsiaTheme="minorEastAsia"/>
          <w:b/>
          <w:spacing w:val="60"/>
          <w:sz w:val="84"/>
          <w:szCs w:val="84"/>
        </w:rPr>
      </w:pPr>
      <w:r>
        <w:rPr>
          <w:rFonts w:eastAsiaTheme="minorEastAsia"/>
          <w:b/>
          <w:spacing w:val="60"/>
          <w:sz w:val="84"/>
          <w:szCs w:val="84"/>
        </w:rPr>
        <w:t>响 应 文 件</w:t>
      </w:r>
    </w:p>
    <w:p w14:paraId="2F24FF04">
      <w:pPr>
        <w:jc w:val="center"/>
        <w:rPr>
          <w:rFonts w:eastAsiaTheme="minorEastAsia"/>
          <w:b/>
          <w:spacing w:val="60"/>
          <w:sz w:val="52"/>
          <w:szCs w:val="52"/>
        </w:rPr>
      </w:pPr>
    </w:p>
    <w:p w14:paraId="01ECD607">
      <w:pPr>
        <w:ind w:firstLine="542" w:firstLineChars="150"/>
        <w:rPr>
          <w:rFonts w:eastAsiaTheme="minorEastAsia"/>
          <w:b/>
          <w:spacing w:val="20"/>
          <w:sz w:val="32"/>
          <w:szCs w:val="32"/>
        </w:rPr>
      </w:pPr>
    </w:p>
    <w:p w14:paraId="3CC34539">
      <w:pPr>
        <w:ind w:firstLine="542" w:firstLineChars="150"/>
        <w:rPr>
          <w:rFonts w:eastAsiaTheme="minorEastAsia"/>
          <w:b/>
          <w:spacing w:val="20"/>
          <w:sz w:val="32"/>
          <w:szCs w:val="32"/>
        </w:rPr>
      </w:pPr>
    </w:p>
    <w:p w14:paraId="15A0A19C">
      <w:pPr>
        <w:ind w:firstLine="542" w:firstLineChars="150"/>
        <w:rPr>
          <w:rFonts w:eastAsiaTheme="minorEastAsia"/>
          <w:b/>
          <w:spacing w:val="20"/>
          <w:sz w:val="32"/>
          <w:szCs w:val="32"/>
        </w:rPr>
      </w:pPr>
      <w:r>
        <w:rPr>
          <w:rFonts w:eastAsiaTheme="minorEastAsia"/>
          <w:b/>
          <w:spacing w:val="20"/>
          <w:sz w:val="32"/>
          <w:szCs w:val="32"/>
        </w:rPr>
        <w:t>项目名称:</w:t>
      </w:r>
    </w:p>
    <w:p w14:paraId="052AF25D">
      <w:pPr>
        <w:ind w:firstLine="542" w:firstLineChars="150"/>
        <w:rPr>
          <w:rFonts w:eastAsiaTheme="minorEastAsia"/>
          <w:b/>
          <w:spacing w:val="20"/>
          <w:sz w:val="32"/>
          <w:szCs w:val="32"/>
        </w:rPr>
      </w:pPr>
      <w:r>
        <w:rPr>
          <w:rFonts w:eastAsiaTheme="minorEastAsia"/>
          <w:b/>
          <w:spacing w:val="20"/>
          <w:sz w:val="32"/>
          <w:szCs w:val="32"/>
        </w:rPr>
        <w:t>项目编号：</w:t>
      </w:r>
    </w:p>
    <w:p w14:paraId="6E8EA664">
      <w:pPr>
        <w:ind w:firstLine="542" w:firstLineChars="150"/>
        <w:rPr>
          <w:rFonts w:eastAsiaTheme="minorEastAsia"/>
          <w:b/>
          <w:spacing w:val="20"/>
          <w:sz w:val="32"/>
          <w:szCs w:val="32"/>
        </w:rPr>
      </w:pPr>
    </w:p>
    <w:p w14:paraId="5288DABC">
      <w:pPr>
        <w:ind w:firstLine="542" w:firstLineChars="150"/>
        <w:rPr>
          <w:rFonts w:eastAsiaTheme="minorEastAsia"/>
          <w:b/>
          <w:spacing w:val="20"/>
          <w:sz w:val="32"/>
          <w:szCs w:val="32"/>
        </w:rPr>
      </w:pPr>
    </w:p>
    <w:p w14:paraId="760ED8EE">
      <w:pPr>
        <w:jc w:val="center"/>
        <w:rPr>
          <w:rFonts w:eastAsiaTheme="minorEastAsia"/>
          <w:b/>
          <w:sz w:val="32"/>
          <w:szCs w:val="32"/>
        </w:rPr>
      </w:pPr>
    </w:p>
    <w:p w14:paraId="418E6BE1">
      <w:pPr>
        <w:jc w:val="center"/>
        <w:rPr>
          <w:rFonts w:eastAsiaTheme="minorEastAsia"/>
          <w:b/>
          <w:sz w:val="32"/>
          <w:szCs w:val="32"/>
        </w:rPr>
      </w:pPr>
    </w:p>
    <w:p w14:paraId="75E8C99A">
      <w:pPr>
        <w:jc w:val="center"/>
        <w:rPr>
          <w:rFonts w:eastAsiaTheme="minorEastAsia"/>
          <w:b/>
          <w:sz w:val="32"/>
          <w:szCs w:val="32"/>
        </w:rPr>
      </w:pPr>
    </w:p>
    <w:p w14:paraId="290D7036">
      <w:pPr>
        <w:jc w:val="center"/>
        <w:rPr>
          <w:rFonts w:eastAsiaTheme="minorEastAsia"/>
          <w:b/>
          <w:spacing w:val="20"/>
          <w:sz w:val="32"/>
          <w:szCs w:val="32"/>
        </w:rPr>
      </w:pPr>
    </w:p>
    <w:p w14:paraId="108D823E">
      <w:pPr>
        <w:jc w:val="center"/>
        <w:rPr>
          <w:rFonts w:eastAsiaTheme="minorEastAsia"/>
          <w:b/>
          <w:spacing w:val="20"/>
          <w:sz w:val="32"/>
          <w:szCs w:val="32"/>
        </w:rPr>
      </w:pPr>
    </w:p>
    <w:p w14:paraId="6A40F7F2">
      <w:pPr>
        <w:jc w:val="center"/>
        <w:rPr>
          <w:rFonts w:eastAsiaTheme="minorEastAsia"/>
          <w:b/>
          <w:spacing w:val="20"/>
          <w:sz w:val="32"/>
          <w:szCs w:val="32"/>
        </w:rPr>
      </w:pPr>
    </w:p>
    <w:p w14:paraId="7DF1365E">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4AA4947C">
      <w:pPr>
        <w:jc w:val="center"/>
        <w:rPr>
          <w:rFonts w:eastAsiaTheme="minorEastAsia"/>
          <w:b/>
          <w:sz w:val="32"/>
          <w:szCs w:val="32"/>
        </w:rPr>
      </w:pPr>
    </w:p>
    <w:p w14:paraId="2FCF46B6">
      <w:pPr>
        <w:rPr>
          <w:rFonts w:eastAsiaTheme="minorEastAsia"/>
          <w:b/>
        </w:rPr>
      </w:pPr>
      <w:r>
        <w:rPr>
          <w:rFonts w:eastAsiaTheme="minorEastAsia"/>
          <w:b/>
          <w:spacing w:val="20"/>
          <w:sz w:val="32"/>
          <w:szCs w:val="32"/>
        </w:rPr>
        <w:br w:type="page"/>
      </w:r>
    </w:p>
    <w:p w14:paraId="03318B41">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19397E2E">
      <w:pPr>
        <w:spacing w:line="360" w:lineRule="auto"/>
        <w:outlineLvl w:val="2"/>
        <w:rPr>
          <w:rFonts w:eastAsiaTheme="minorEastAsia"/>
          <w:color w:val="000000"/>
          <w:sz w:val="24"/>
        </w:rPr>
      </w:pPr>
      <w:r>
        <w:rPr>
          <w:rFonts w:eastAsiaTheme="minorEastAsia"/>
          <w:color w:val="000000"/>
          <w:sz w:val="24"/>
        </w:rPr>
        <w:t>1-1 营业执照等证明文件</w:t>
      </w:r>
      <w:r>
        <w:rPr>
          <w:rFonts w:hint="eastAsia" w:ascii="宋体" w:hAnsi="宋体" w:cs="宋体"/>
          <w:color w:val="000000"/>
          <w:sz w:val="24"/>
        </w:rPr>
        <w:t>（复印件加盖公章）</w:t>
      </w:r>
    </w:p>
    <w:p w14:paraId="579A8400">
      <w:pPr>
        <w:tabs>
          <w:tab w:val="left" w:pos="1080"/>
        </w:tabs>
        <w:snapToGrid w:val="0"/>
        <w:rPr>
          <w:rFonts w:eastAsiaTheme="minorEastAsia"/>
          <w:sz w:val="24"/>
        </w:rPr>
      </w:pPr>
    </w:p>
    <w:p w14:paraId="60872958">
      <w:pPr>
        <w:widowControl/>
        <w:jc w:val="left"/>
        <w:rPr>
          <w:rFonts w:eastAsiaTheme="minorEastAsia"/>
          <w:color w:val="000000"/>
          <w:sz w:val="24"/>
          <w:szCs w:val="20"/>
        </w:rPr>
      </w:pPr>
      <w:r>
        <w:rPr>
          <w:rFonts w:eastAsiaTheme="minorEastAsia"/>
          <w:color w:val="000000"/>
          <w:sz w:val="24"/>
        </w:rPr>
        <w:br w:type="page"/>
      </w:r>
    </w:p>
    <w:p w14:paraId="21C49D48">
      <w:pPr>
        <w:pStyle w:val="6"/>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r>
        <w:rPr>
          <w:rFonts w:hint="eastAsia" w:ascii="Times New Roman" w:eastAsiaTheme="minorEastAsia"/>
          <w:b w:val="0"/>
          <w:color w:val="000000"/>
          <w:szCs w:val="24"/>
          <w:u w:val="none"/>
        </w:rPr>
        <w:t>（实质性格式）</w:t>
      </w:r>
    </w:p>
    <w:p w14:paraId="66AFD83E">
      <w:pPr>
        <w:jc w:val="center"/>
        <w:rPr>
          <w:b/>
          <w:color w:val="000000"/>
          <w:sz w:val="36"/>
          <w:szCs w:val="36"/>
        </w:rPr>
      </w:pPr>
      <w:r>
        <w:rPr>
          <w:b/>
          <w:color w:val="000000"/>
          <w:sz w:val="36"/>
          <w:szCs w:val="36"/>
        </w:rPr>
        <w:t>供应商资格声明书</w:t>
      </w:r>
    </w:p>
    <w:p w14:paraId="545235CC">
      <w:pPr>
        <w:tabs>
          <w:tab w:val="left" w:pos="5580"/>
        </w:tabs>
        <w:spacing w:line="360" w:lineRule="auto"/>
        <w:rPr>
          <w:rFonts w:eastAsiaTheme="minorEastAsia"/>
          <w:sz w:val="24"/>
        </w:rPr>
      </w:pPr>
    </w:p>
    <w:p w14:paraId="682679E2">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EF18638">
      <w:pPr>
        <w:spacing w:line="360" w:lineRule="auto"/>
        <w:ind w:firstLine="480" w:firstLineChars="200"/>
        <w:rPr>
          <w:rFonts w:eastAsiaTheme="minorEastAsia"/>
          <w:sz w:val="24"/>
        </w:rPr>
      </w:pPr>
      <w:r>
        <w:rPr>
          <w:rFonts w:eastAsiaTheme="minorEastAsia"/>
          <w:sz w:val="24"/>
        </w:rPr>
        <w:t>在参与本次项目磋商中，我单位承诺：</w:t>
      </w:r>
    </w:p>
    <w:p w14:paraId="2B9F80B7">
      <w:pPr>
        <w:numPr>
          <w:ilvl w:val="0"/>
          <w:numId w:val="16"/>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9DFEC74">
      <w:pPr>
        <w:numPr>
          <w:ilvl w:val="0"/>
          <w:numId w:val="16"/>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45146489">
      <w:pPr>
        <w:numPr>
          <w:ilvl w:val="0"/>
          <w:numId w:val="16"/>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34D09DF6">
      <w:pPr>
        <w:numPr>
          <w:ilvl w:val="0"/>
          <w:numId w:val="16"/>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7B26761">
      <w:pPr>
        <w:numPr>
          <w:ilvl w:val="0"/>
          <w:numId w:val="16"/>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5521D75">
      <w:pPr>
        <w:numPr>
          <w:ilvl w:val="0"/>
          <w:numId w:val="16"/>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431CC811">
      <w:pPr>
        <w:numPr>
          <w:ilvl w:val="0"/>
          <w:numId w:val="16"/>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E848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F6C5EC1">
            <w:pPr>
              <w:jc w:val="center"/>
              <w:rPr>
                <w:rFonts w:eastAsiaTheme="minorEastAsia"/>
                <w:sz w:val="24"/>
              </w:rPr>
            </w:pPr>
            <w:r>
              <w:rPr>
                <w:rFonts w:eastAsiaTheme="minorEastAsia"/>
                <w:sz w:val="24"/>
              </w:rPr>
              <w:t>序号</w:t>
            </w:r>
          </w:p>
        </w:tc>
        <w:tc>
          <w:tcPr>
            <w:tcW w:w="4574" w:type="dxa"/>
            <w:vAlign w:val="center"/>
          </w:tcPr>
          <w:p w14:paraId="367EA285">
            <w:pPr>
              <w:jc w:val="center"/>
              <w:rPr>
                <w:rFonts w:eastAsiaTheme="minorEastAsia"/>
                <w:sz w:val="24"/>
              </w:rPr>
            </w:pPr>
            <w:r>
              <w:rPr>
                <w:rFonts w:eastAsiaTheme="minorEastAsia"/>
                <w:sz w:val="24"/>
              </w:rPr>
              <w:t>单位名称</w:t>
            </w:r>
          </w:p>
        </w:tc>
        <w:tc>
          <w:tcPr>
            <w:tcW w:w="2976" w:type="dxa"/>
            <w:vAlign w:val="center"/>
          </w:tcPr>
          <w:p w14:paraId="23EB2B98">
            <w:pPr>
              <w:jc w:val="center"/>
              <w:rPr>
                <w:rFonts w:eastAsiaTheme="minorEastAsia"/>
                <w:sz w:val="24"/>
              </w:rPr>
            </w:pPr>
            <w:r>
              <w:rPr>
                <w:rFonts w:eastAsiaTheme="minorEastAsia"/>
                <w:sz w:val="24"/>
              </w:rPr>
              <w:t>相互关系</w:t>
            </w:r>
          </w:p>
        </w:tc>
      </w:tr>
      <w:tr w14:paraId="541FC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D47EB80">
            <w:pPr>
              <w:jc w:val="center"/>
              <w:rPr>
                <w:rFonts w:eastAsiaTheme="minorEastAsia"/>
                <w:sz w:val="24"/>
              </w:rPr>
            </w:pPr>
            <w:r>
              <w:rPr>
                <w:rFonts w:eastAsiaTheme="minorEastAsia"/>
                <w:sz w:val="24"/>
              </w:rPr>
              <w:t>1</w:t>
            </w:r>
          </w:p>
        </w:tc>
        <w:tc>
          <w:tcPr>
            <w:tcW w:w="4574" w:type="dxa"/>
            <w:vAlign w:val="center"/>
          </w:tcPr>
          <w:p w14:paraId="02B06B6B">
            <w:pPr>
              <w:jc w:val="center"/>
              <w:rPr>
                <w:rFonts w:eastAsiaTheme="minorEastAsia"/>
                <w:sz w:val="24"/>
              </w:rPr>
            </w:pPr>
          </w:p>
        </w:tc>
        <w:tc>
          <w:tcPr>
            <w:tcW w:w="2976" w:type="dxa"/>
            <w:vAlign w:val="center"/>
          </w:tcPr>
          <w:p w14:paraId="23F87150">
            <w:pPr>
              <w:jc w:val="center"/>
              <w:rPr>
                <w:rFonts w:eastAsiaTheme="minorEastAsia"/>
                <w:sz w:val="24"/>
              </w:rPr>
            </w:pPr>
          </w:p>
        </w:tc>
      </w:tr>
      <w:tr w14:paraId="3584B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B2E83AE">
            <w:pPr>
              <w:jc w:val="center"/>
              <w:rPr>
                <w:rFonts w:eastAsiaTheme="minorEastAsia"/>
                <w:sz w:val="24"/>
              </w:rPr>
            </w:pPr>
            <w:r>
              <w:rPr>
                <w:rFonts w:eastAsiaTheme="minorEastAsia"/>
                <w:sz w:val="24"/>
              </w:rPr>
              <w:t>2</w:t>
            </w:r>
          </w:p>
        </w:tc>
        <w:tc>
          <w:tcPr>
            <w:tcW w:w="4574" w:type="dxa"/>
            <w:vAlign w:val="center"/>
          </w:tcPr>
          <w:p w14:paraId="219AB8CA">
            <w:pPr>
              <w:jc w:val="center"/>
              <w:rPr>
                <w:rFonts w:eastAsiaTheme="minorEastAsia"/>
                <w:sz w:val="24"/>
              </w:rPr>
            </w:pPr>
          </w:p>
        </w:tc>
        <w:tc>
          <w:tcPr>
            <w:tcW w:w="2976" w:type="dxa"/>
            <w:vAlign w:val="center"/>
          </w:tcPr>
          <w:p w14:paraId="4E3EB334">
            <w:pPr>
              <w:jc w:val="center"/>
              <w:rPr>
                <w:rFonts w:eastAsiaTheme="minorEastAsia"/>
                <w:sz w:val="24"/>
              </w:rPr>
            </w:pPr>
          </w:p>
        </w:tc>
      </w:tr>
      <w:tr w14:paraId="6CB9B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787388">
            <w:pPr>
              <w:jc w:val="center"/>
              <w:rPr>
                <w:rFonts w:eastAsiaTheme="minorEastAsia"/>
                <w:sz w:val="24"/>
              </w:rPr>
            </w:pPr>
            <w:r>
              <w:rPr>
                <w:rFonts w:eastAsiaTheme="minorEastAsia"/>
                <w:sz w:val="24"/>
              </w:rPr>
              <w:t>…</w:t>
            </w:r>
          </w:p>
        </w:tc>
        <w:tc>
          <w:tcPr>
            <w:tcW w:w="4574" w:type="dxa"/>
            <w:vAlign w:val="center"/>
          </w:tcPr>
          <w:p w14:paraId="7847133B">
            <w:pPr>
              <w:jc w:val="center"/>
              <w:rPr>
                <w:rFonts w:eastAsiaTheme="minorEastAsia"/>
                <w:sz w:val="24"/>
              </w:rPr>
            </w:pPr>
          </w:p>
        </w:tc>
        <w:tc>
          <w:tcPr>
            <w:tcW w:w="2976" w:type="dxa"/>
            <w:vAlign w:val="center"/>
          </w:tcPr>
          <w:p w14:paraId="5CE4B2B0">
            <w:pPr>
              <w:jc w:val="center"/>
              <w:rPr>
                <w:rFonts w:eastAsiaTheme="minorEastAsia"/>
                <w:sz w:val="24"/>
              </w:rPr>
            </w:pPr>
          </w:p>
        </w:tc>
      </w:tr>
    </w:tbl>
    <w:p w14:paraId="00B7B06D">
      <w:pPr>
        <w:rPr>
          <w:rFonts w:eastAsiaTheme="minorEastAsia"/>
        </w:rPr>
      </w:pPr>
    </w:p>
    <w:p w14:paraId="233562D1">
      <w:pPr>
        <w:ind w:firstLine="480" w:firstLineChars="200"/>
        <w:rPr>
          <w:rFonts w:eastAsiaTheme="minorEastAsia"/>
          <w:sz w:val="24"/>
          <w:szCs w:val="22"/>
        </w:rPr>
      </w:pPr>
      <w:r>
        <w:rPr>
          <w:rFonts w:eastAsiaTheme="minorEastAsia"/>
          <w:sz w:val="24"/>
        </w:rPr>
        <w:t>上述声明真实有效，否则我方负全部责任。</w:t>
      </w:r>
    </w:p>
    <w:p w14:paraId="30F7B1E4">
      <w:pPr>
        <w:spacing w:line="360" w:lineRule="auto"/>
        <w:rPr>
          <w:rFonts w:eastAsiaTheme="minorEastAsia"/>
          <w:sz w:val="24"/>
        </w:rPr>
      </w:pPr>
    </w:p>
    <w:p w14:paraId="33E8C5DC">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244E119">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3684C765">
      <w:pPr>
        <w:spacing w:line="360" w:lineRule="auto"/>
        <w:rPr>
          <w:rFonts w:eastAsiaTheme="minorEastAsia"/>
          <w:sz w:val="24"/>
        </w:rPr>
      </w:pPr>
      <w:r>
        <w:rPr>
          <w:sz w:val="24"/>
        </w:rPr>
        <w:t>说明：供应商承诺不实的，依据《政府采购法》第七十七条“提供虚假材料谋取中标、成交的”有关规定予以处理。</w:t>
      </w:r>
    </w:p>
    <w:p w14:paraId="4A31391B">
      <w:pPr>
        <w:tabs>
          <w:tab w:val="left" w:pos="5580"/>
        </w:tabs>
        <w:spacing w:line="360" w:lineRule="auto"/>
        <w:rPr>
          <w:rFonts w:eastAsiaTheme="minorEastAsia"/>
          <w:sz w:val="24"/>
        </w:rPr>
        <w:sectPr>
          <w:headerReference r:id="rId13" w:type="first"/>
          <w:footerReference r:id="rId16" w:type="first"/>
          <w:headerReference r:id="rId11" w:type="default"/>
          <w:footerReference r:id="rId14" w:type="default"/>
          <w:headerReference r:id="rId12" w:type="even"/>
          <w:footerReference r:id="rId15" w:type="even"/>
          <w:pgSz w:w="11907" w:h="16840"/>
          <w:pgMar w:top="1418" w:right="1134" w:bottom="1418" w:left="1701" w:header="851" w:footer="851" w:gutter="0"/>
          <w:cols w:space="720" w:num="1"/>
          <w:docGrid w:linePitch="462" w:charSpace="0"/>
        </w:sectPr>
      </w:pPr>
    </w:p>
    <w:p w14:paraId="3D1FA882">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637FCFD3">
      <w:pPr>
        <w:spacing w:line="360" w:lineRule="auto"/>
        <w:outlineLvl w:val="2"/>
        <w:rPr>
          <w:rFonts w:eastAsiaTheme="minorEastAsia"/>
          <w:color w:val="000000"/>
          <w:sz w:val="24"/>
          <w:szCs w:val="20"/>
        </w:rPr>
      </w:pPr>
      <w:r>
        <w:rPr>
          <w:rFonts w:eastAsiaTheme="minorEastAsia"/>
          <w:color w:val="000000"/>
          <w:sz w:val="24"/>
          <w:szCs w:val="20"/>
        </w:rPr>
        <w:t>2-1 中小企业证明文件</w:t>
      </w:r>
    </w:p>
    <w:p w14:paraId="68685A47">
      <w:pPr>
        <w:tabs>
          <w:tab w:val="left" w:pos="5580"/>
        </w:tabs>
        <w:spacing w:line="360" w:lineRule="auto"/>
        <w:rPr>
          <w:rFonts w:eastAsiaTheme="minorEastAsia"/>
          <w:sz w:val="24"/>
        </w:rPr>
      </w:pPr>
      <w:r>
        <w:rPr>
          <w:rFonts w:eastAsiaTheme="minorEastAsia"/>
          <w:sz w:val="24"/>
        </w:rPr>
        <w:t>说明：</w:t>
      </w:r>
    </w:p>
    <w:p w14:paraId="18E425F3">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3AEB1E73">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7A201C76">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EB6E8C8">
      <w:pPr>
        <w:tabs>
          <w:tab w:val="left" w:pos="5580"/>
        </w:tabs>
        <w:spacing w:line="360" w:lineRule="auto"/>
        <w:rPr>
          <w:sz w:val="24"/>
        </w:rPr>
      </w:pPr>
      <w:r>
        <w:rPr>
          <w:rFonts w:eastAsiaTheme="minorEastAsia"/>
          <w:sz w:val="24"/>
        </w:rPr>
        <w:t>（4）</w:t>
      </w:r>
      <w:r>
        <w:rPr>
          <w:sz w:val="24"/>
        </w:rPr>
        <w:t>中小企业声明函填写注意事项</w:t>
      </w:r>
    </w:p>
    <w:p w14:paraId="75D6E853">
      <w:pPr>
        <w:tabs>
          <w:tab w:val="left" w:pos="5580"/>
        </w:tabs>
        <w:spacing w:line="360" w:lineRule="auto"/>
        <w:rPr>
          <w:sz w:val="24"/>
        </w:rPr>
      </w:pPr>
      <w:r>
        <w:rPr>
          <w:sz w:val="24"/>
        </w:rPr>
        <w:t>1）《中小企业声明函》由参加政府采购活动的供应商出具。联合体参与的，《中小企业声明函》可由牵头人出具。</w:t>
      </w:r>
    </w:p>
    <w:p w14:paraId="2C37CBB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38180DB">
      <w:pPr>
        <w:tabs>
          <w:tab w:val="left" w:pos="5580"/>
        </w:tabs>
        <w:spacing w:line="360" w:lineRule="auto"/>
        <w:rPr>
          <w:sz w:val="24"/>
        </w:rPr>
      </w:pPr>
      <w:r>
        <w:rPr>
          <w:sz w:val="24"/>
        </w:rPr>
        <w:t>3）对于多标的采购项目，供应商应充分、准确地了解所提供货物的制造企业、提供服务的承接企业信息。对相关情况了解不清楚的，不建议填报本声明函。</w:t>
      </w:r>
    </w:p>
    <w:p w14:paraId="7AC34E8E">
      <w:pPr>
        <w:tabs>
          <w:tab w:val="left" w:pos="5580"/>
        </w:tabs>
        <w:spacing w:line="360" w:lineRule="auto"/>
        <w:rPr>
          <w:rFonts w:eastAsiaTheme="minorEastAsia"/>
          <w:sz w:val="24"/>
        </w:rPr>
      </w:pPr>
    </w:p>
    <w:p w14:paraId="1BAADBC5">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5E720FB">
      <w:pPr>
        <w:widowControl/>
        <w:jc w:val="left"/>
        <w:rPr>
          <w:rFonts w:eastAsiaTheme="minorEastAsia"/>
          <w:b/>
          <w:bCs/>
          <w:color w:val="000000"/>
          <w:sz w:val="36"/>
          <w:szCs w:val="36"/>
        </w:rPr>
      </w:pPr>
    </w:p>
    <w:p w14:paraId="42A4CAE1">
      <w:pPr>
        <w:pStyle w:val="8"/>
        <w:tabs>
          <w:tab w:val="left" w:pos="7797"/>
        </w:tabs>
        <w:rPr>
          <w:rFonts w:ascii="Times New Roman" w:hAnsi="Times New Roman" w:eastAsiaTheme="majorEastAsia"/>
          <w:sz w:val="24"/>
          <w:szCs w:val="24"/>
        </w:rPr>
      </w:pPr>
      <w:r>
        <w:rPr>
          <w:rFonts w:ascii="Times New Roman" w:hAnsi="Times New Roman" w:eastAsiaTheme="majorEastAsia"/>
          <w:sz w:val="24"/>
          <w:szCs w:val="24"/>
        </w:rPr>
        <w:t>2-1-1 中小企业声明函及残疾人福利性单位声明函格式</w:t>
      </w:r>
    </w:p>
    <w:p w14:paraId="3E9B17CA">
      <w:pPr>
        <w:spacing w:line="360" w:lineRule="auto"/>
        <w:rPr>
          <w:rFonts w:eastAsiaTheme="minorEastAsia"/>
          <w:color w:val="000000"/>
          <w:sz w:val="24"/>
        </w:rPr>
      </w:pPr>
    </w:p>
    <w:p w14:paraId="1C4D9017">
      <w:pPr>
        <w:spacing w:before="240" w:beforeLines="100" w:after="240" w:afterLines="100" w:line="360" w:lineRule="auto"/>
        <w:ind w:firstLine="1084" w:firstLineChars="300"/>
        <w:jc w:val="both"/>
        <w:rPr>
          <w:rFonts w:eastAsiaTheme="minorEastAsia"/>
          <w:b/>
          <w:bCs/>
          <w:color w:val="000000"/>
          <w:sz w:val="36"/>
          <w:szCs w:val="36"/>
        </w:rPr>
      </w:pPr>
      <w:r>
        <w:rPr>
          <w:rFonts w:eastAsiaTheme="minorEastAsia"/>
          <w:b/>
          <w:bCs/>
          <w:color w:val="000000"/>
          <w:sz w:val="36"/>
          <w:szCs w:val="36"/>
        </w:rPr>
        <w:t>中小企业声明函（工程、服务）格式</w:t>
      </w:r>
    </w:p>
    <w:p w14:paraId="5AE0C175">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1588AE3">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3681B00D">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6F8E8050">
      <w:pPr>
        <w:spacing w:line="360" w:lineRule="auto"/>
        <w:ind w:firstLine="504"/>
        <w:rPr>
          <w:rFonts w:eastAsiaTheme="minorEastAsia"/>
          <w:spacing w:val="6"/>
          <w:sz w:val="24"/>
        </w:rPr>
      </w:pPr>
    </w:p>
    <w:p w14:paraId="7B26B31B">
      <w:pPr>
        <w:spacing w:line="360" w:lineRule="auto"/>
        <w:ind w:firstLine="504"/>
        <w:rPr>
          <w:rFonts w:eastAsiaTheme="minorEastAsia"/>
          <w:spacing w:val="6"/>
          <w:sz w:val="24"/>
        </w:rPr>
      </w:pPr>
      <w:r>
        <w:rPr>
          <w:rFonts w:eastAsiaTheme="minorEastAsia"/>
          <w:spacing w:val="6"/>
          <w:sz w:val="24"/>
        </w:rPr>
        <w:t>……</w:t>
      </w:r>
    </w:p>
    <w:p w14:paraId="2D3318B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1A5786EF">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0D1E82DB">
      <w:pPr>
        <w:spacing w:line="360" w:lineRule="auto"/>
        <w:ind w:right="360" w:firstLine="480"/>
        <w:jc w:val="right"/>
        <w:rPr>
          <w:rFonts w:eastAsiaTheme="minorEastAsia"/>
          <w:color w:val="000000"/>
          <w:sz w:val="24"/>
        </w:rPr>
      </w:pPr>
    </w:p>
    <w:p w14:paraId="3C173C04">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3D491DFA">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03FDA433">
      <w:pPr>
        <w:adjustRightInd w:val="0"/>
        <w:snapToGrid w:val="0"/>
        <w:jc w:val="left"/>
        <w:rPr>
          <w:rFonts w:eastAsiaTheme="minorEastAsia"/>
          <w:color w:val="000000"/>
          <w:sz w:val="24"/>
          <w:szCs w:val="21"/>
        </w:rPr>
      </w:pPr>
    </w:p>
    <w:p w14:paraId="183A2104">
      <w:pPr>
        <w:adjustRightInd w:val="0"/>
        <w:snapToGrid w:val="0"/>
        <w:jc w:val="left"/>
        <w:rPr>
          <w:rFonts w:eastAsiaTheme="minorEastAsia"/>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031652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ABC579C">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0B84EBBF">
      <w:pPr>
        <w:adjustRightInd w:val="0"/>
        <w:snapToGrid w:val="0"/>
        <w:jc w:val="left"/>
        <w:rPr>
          <w:rFonts w:eastAsiaTheme="minorEastAsia"/>
          <w:color w:val="000000"/>
          <w:szCs w:val="21"/>
          <w:vertAlign w:val="superscript"/>
        </w:rPr>
      </w:pPr>
    </w:p>
    <w:p w14:paraId="34CE4D0B">
      <w:pPr>
        <w:spacing w:line="360" w:lineRule="auto"/>
        <w:ind w:right="360" w:firstLine="480"/>
        <w:jc w:val="right"/>
        <w:rPr>
          <w:rFonts w:eastAsiaTheme="minorEastAsia"/>
          <w:color w:val="000000"/>
          <w:sz w:val="24"/>
        </w:rPr>
      </w:pPr>
    </w:p>
    <w:p w14:paraId="06527E81">
      <w:pPr>
        <w:spacing w:line="360" w:lineRule="auto"/>
        <w:ind w:right="360" w:firstLine="480"/>
        <w:jc w:val="right"/>
        <w:rPr>
          <w:rFonts w:eastAsiaTheme="minorEastAsia"/>
          <w:color w:val="000000"/>
          <w:sz w:val="24"/>
        </w:rPr>
      </w:pPr>
    </w:p>
    <w:p w14:paraId="2558CE84">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4F81205D">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7172162B">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17C33F41">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01A2D3C4">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A999D77">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58BAFD00">
      <w:pPr>
        <w:spacing w:line="588" w:lineRule="exact"/>
        <w:ind w:firstLine="504" w:firstLineChars="200"/>
        <w:rPr>
          <w:rFonts w:eastAsiaTheme="minorEastAsia"/>
          <w:spacing w:val="6"/>
          <w:sz w:val="24"/>
        </w:rPr>
      </w:pPr>
    </w:p>
    <w:p w14:paraId="4146FF55">
      <w:pPr>
        <w:spacing w:line="588" w:lineRule="exact"/>
        <w:ind w:firstLine="504" w:firstLineChars="200"/>
        <w:rPr>
          <w:rFonts w:eastAsiaTheme="minorEastAsia"/>
          <w:spacing w:val="6"/>
          <w:sz w:val="24"/>
        </w:rPr>
      </w:pPr>
    </w:p>
    <w:p w14:paraId="35469536">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569F421F">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55BAA53E">
      <w:pPr>
        <w:widowControl/>
        <w:jc w:val="left"/>
        <w:rPr>
          <w:rFonts w:eastAsiaTheme="minorEastAsia"/>
          <w:color w:val="000000"/>
          <w:sz w:val="24"/>
          <w:szCs w:val="20"/>
        </w:rPr>
      </w:pPr>
      <w:r>
        <w:rPr>
          <w:rFonts w:eastAsiaTheme="minorEastAsia"/>
          <w:color w:val="000000"/>
          <w:sz w:val="24"/>
          <w:szCs w:val="20"/>
        </w:rPr>
        <w:br w:type="page"/>
      </w:r>
    </w:p>
    <w:p w14:paraId="7CD18D53">
      <w:pPr>
        <w:pStyle w:val="8"/>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00DA4A41">
      <w:pPr>
        <w:tabs>
          <w:tab w:val="left" w:pos="5580"/>
        </w:tabs>
        <w:spacing w:line="360" w:lineRule="auto"/>
        <w:rPr>
          <w:rFonts w:eastAsiaTheme="minorEastAsia"/>
          <w:sz w:val="24"/>
        </w:rPr>
      </w:pPr>
      <w:r>
        <w:rPr>
          <w:rFonts w:eastAsiaTheme="minorEastAsia"/>
          <w:sz w:val="24"/>
        </w:rPr>
        <w:t>说明：</w:t>
      </w:r>
    </w:p>
    <w:p w14:paraId="7FDF2294">
      <w:pPr>
        <w:tabs>
          <w:tab w:val="left" w:pos="5580"/>
        </w:tabs>
        <w:spacing w:line="360" w:lineRule="auto"/>
        <w:rPr>
          <w:rFonts w:eastAsiaTheme="minorEastAsia"/>
          <w:sz w:val="24"/>
        </w:rPr>
      </w:pPr>
      <w:r>
        <w:rPr>
          <w:rFonts w:eastAsiaTheme="minorEastAsia"/>
          <w:sz w:val="24"/>
        </w:rPr>
        <w:t>如本项目（包）允许分包，且供应商拟进行分包时，</w:t>
      </w:r>
    </w:p>
    <w:p w14:paraId="1F314AB0">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1B633850">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171F36B9">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62F0039E">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0E1533C4">
      <w:pPr>
        <w:tabs>
          <w:tab w:val="left" w:pos="5580"/>
        </w:tabs>
        <w:spacing w:line="360" w:lineRule="auto"/>
        <w:rPr>
          <w:rFonts w:eastAsiaTheme="minorEastAsia"/>
          <w:sz w:val="24"/>
        </w:rPr>
      </w:pPr>
      <w:r>
        <w:rPr>
          <w:sz w:val="24"/>
        </w:rPr>
        <w:t>（3）不属于上述情形时，无须提供《拟分包情况说明》及《分包意向协议》。</w:t>
      </w:r>
    </w:p>
    <w:p w14:paraId="3EC66FA7">
      <w:pPr>
        <w:autoSpaceDE w:val="0"/>
        <w:autoSpaceDN w:val="0"/>
        <w:adjustRightInd w:val="0"/>
        <w:rPr>
          <w:rFonts w:eastAsiaTheme="minorEastAsia"/>
          <w:color w:val="000000"/>
          <w:sz w:val="30"/>
          <w:szCs w:val="30"/>
        </w:rPr>
      </w:pPr>
    </w:p>
    <w:p w14:paraId="427A7FBB">
      <w:pPr>
        <w:widowControl/>
        <w:jc w:val="left"/>
        <w:rPr>
          <w:rFonts w:eastAsiaTheme="minorEastAsia"/>
          <w:b/>
          <w:color w:val="000000"/>
          <w:sz w:val="36"/>
          <w:szCs w:val="36"/>
        </w:rPr>
      </w:pPr>
      <w:r>
        <w:rPr>
          <w:rFonts w:eastAsiaTheme="minorEastAsia"/>
          <w:b/>
          <w:color w:val="000000"/>
          <w:sz w:val="36"/>
          <w:szCs w:val="36"/>
        </w:rPr>
        <w:br w:type="page"/>
      </w:r>
    </w:p>
    <w:p w14:paraId="46C50896">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4CCE2DD5">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6B175108">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54C7A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163E21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49A8F5B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0D7B63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5315C0B0">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18B9EE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7A210D9">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535D57C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6314EA1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47ACCA9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43F8EC8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DC201A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5ECAA6F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67A06A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46397CD0">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D3873C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2C57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CE0845B">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3813C90E">
            <w:pPr>
              <w:pStyle w:val="247"/>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B71220B">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665F9B9">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7C728B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60E9DD0">
            <w:pPr>
              <w:pStyle w:val="247"/>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F494446">
            <w:pPr>
              <w:pStyle w:val="247"/>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41738B9">
            <w:pPr>
              <w:pStyle w:val="247"/>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63E02D0B">
            <w:pPr>
              <w:pStyle w:val="247"/>
              <w:jc w:val="center"/>
              <w:rPr>
                <w:rFonts w:ascii="Times New Roman" w:hAnsi="Times New Roman" w:cs="Times New Roman" w:eastAsiaTheme="minorEastAsia"/>
                <w:sz w:val="30"/>
                <w:lang w:eastAsia="zh-CN"/>
              </w:rPr>
            </w:pPr>
          </w:p>
        </w:tc>
      </w:tr>
      <w:tr w14:paraId="4550A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037088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4F072009">
            <w:pPr>
              <w:pStyle w:val="247"/>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A70C04A">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B99F5B">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AA7BDA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00FA4729">
            <w:pPr>
              <w:pStyle w:val="247"/>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2E8B2D41">
            <w:pPr>
              <w:pStyle w:val="247"/>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C28F640">
            <w:pPr>
              <w:pStyle w:val="247"/>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64133065">
            <w:pPr>
              <w:pStyle w:val="247"/>
              <w:jc w:val="center"/>
              <w:rPr>
                <w:rFonts w:ascii="Times New Roman" w:hAnsi="Times New Roman" w:cs="Times New Roman" w:eastAsiaTheme="minorEastAsia"/>
                <w:sz w:val="30"/>
                <w:lang w:eastAsia="zh-CN"/>
              </w:rPr>
            </w:pPr>
          </w:p>
        </w:tc>
      </w:tr>
      <w:tr w14:paraId="01C5F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2CCC7922">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5E9DF25B">
            <w:pPr>
              <w:pStyle w:val="247"/>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7E59CF8C">
            <w:pPr>
              <w:pStyle w:val="247"/>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D5DBC8A">
            <w:pPr>
              <w:pStyle w:val="247"/>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45C303E7">
            <w:pPr>
              <w:pStyle w:val="247"/>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6136FCD5">
            <w:pPr>
              <w:pStyle w:val="247"/>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F7BE781">
            <w:pPr>
              <w:pStyle w:val="247"/>
              <w:jc w:val="center"/>
              <w:rPr>
                <w:rFonts w:ascii="Times New Roman" w:hAnsi="Times New Roman" w:cs="Times New Roman" w:eastAsiaTheme="minorEastAsia"/>
                <w:sz w:val="30"/>
              </w:rPr>
            </w:pPr>
          </w:p>
        </w:tc>
      </w:tr>
      <w:tr w14:paraId="0DD2D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054D0696">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17D2A554">
            <w:pPr>
              <w:pStyle w:val="247"/>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CC737F7">
            <w:pPr>
              <w:pStyle w:val="247"/>
              <w:jc w:val="center"/>
              <w:rPr>
                <w:rFonts w:ascii="Times New Roman" w:hAnsi="Times New Roman" w:cs="Times New Roman" w:eastAsiaTheme="minorEastAsia"/>
                <w:sz w:val="30"/>
              </w:rPr>
            </w:pPr>
          </w:p>
        </w:tc>
      </w:tr>
    </w:tbl>
    <w:p w14:paraId="26819C55">
      <w:pPr>
        <w:adjustRightInd w:val="0"/>
        <w:snapToGrid w:val="0"/>
        <w:spacing w:line="360" w:lineRule="auto"/>
        <w:jc w:val="left"/>
        <w:rPr>
          <w:rFonts w:eastAsiaTheme="minorEastAsia"/>
          <w:sz w:val="24"/>
        </w:rPr>
      </w:pPr>
    </w:p>
    <w:p w14:paraId="6733ECF5">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3920D0E1">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5E335D54">
      <w:pPr>
        <w:adjustRightInd w:val="0"/>
        <w:snapToGrid w:val="0"/>
        <w:spacing w:line="360" w:lineRule="auto"/>
        <w:jc w:val="left"/>
        <w:rPr>
          <w:rFonts w:eastAsiaTheme="minorEastAsia"/>
          <w:sz w:val="24"/>
        </w:rPr>
      </w:pPr>
    </w:p>
    <w:p w14:paraId="6268A60C">
      <w:pPr>
        <w:adjustRightInd w:val="0"/>
        <w:snapToGrid w:val="0"/>
        <w:spacing w:line="360" w:lineRule="auto"/>
        <w:jc w:val="left"/>
        <w:rPr>
          <w:rFonts w:eastAsiaTheme="minorEastAsia"/>
          <w:sz w:val="24"/>
        </w:rPr>
      </w:pPr>
      <w:r>
        <w:rPr>
          <w:rFonts w:eastAsiaTheme="minorEastAsia"/>
          <w:sz w:val="24"/>
        </w:rPr>
        <w:t>注：</w:t>
      </w:r>
    </w:p>
    <w:p w14:paraId="7510E79A">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3366CDFB">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121601C7">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0B2AF478">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分包意向协议（实质性格式）</w:t>
      </w:r>
    </w:p>
    <w:p w14:paraId="31A6D4E5">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584C18F9">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67CB1238">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甲方承诺，一旦在______（采购项目名称）（项目编号：______）采购项目中获得采购合同，将按照下述约定将合同项下部分内容分包给乙方：</w:t>
      </w:r>
    </w:p>
    <w:p w14:paraId="2A4A6F4E">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3163B000">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715E8AD5">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6C3132FD">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29A0FA37">
      <w:pPr>
        <w:spacing w:line="360" w:lineRule="auto"/>
        <w:ind w:firstLine="471"/>
        <w:rPr>
          <w:rFonts w:eastAsiaTheme="minorEastAsia"/>
          <w:b/>
          <w:color w:val="000000"/>
          <w:sz w:val="24"/>
        </w:rPr>
      </w:pPr>
    </w:p>
    <w:p w14:paraId="22867D08">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305D45C3">
      <w:pPr>
        <w:spacing w:line="360" w:lineRule="auto"/>
        <w:ind w:left="480"/>
        <w:jc w:val="right"/>
        <w:rPr>
          <w:rFonts w:eastAsiaTheme="minorEastAsia"/>
          <w:color w:val="000000"/>
          <w:sz w:val="24"/>
        </w:rPr>
      </w:pPr>
    </w:p>
    <w:p w14:paraId="189A2675">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5C2BDC57">
      <w:pPr>
        <w:tabs>
          <w:tab w:val="left" w:pos="8280"/>
        </w:tabs>
        <w:spacing w:line="360" w:lineRule="auto"/>
        <w:ind w:firstLine="480"/>
        <w:rPr>
          <w:rFonts w:eastAsiaTheme="minorEastAsia"/>
          <w:color w:val="000000"/>
          <w:sz w:val="24"/>
        </w:rPr>
      </w:pPr>
    </w:p>
    <w:p w14:paraId="04D678E6">
      <w:pPr>
        <w:tabs>
          <w:tab w:val="left" w:pos="8280"/>
        </w:tabs>
        <w:spacing w:line="360" w:lineRule="auto"/>
        <w:rPr>
          <w:rFonts w:eastAsiaTheme="minorEastAsia"/>
          <w:color w:val="000000"/>
          <w:sz w:val="24"/>
        </w:rPr>
      </w:pPr>
      <w:r>
        <w:rPr>
          <w:rFonts w:eastAsiaTheme="minorEastAsia"/>
          <w:color w:val="000000"/>
          <w:sz w:val="24"/>
        </w:rPr>
        <w:t>注：</w:t>
      </w:r>
    </w:p>
    <w:p w14:paraId="01849D68">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17EEA496">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3C53331A">
      <w:pPr>
        <w:tabs>
          <w:tab w:val="left" w:pos="8280"/>
        </w:tabs>
        <w:spacing w:line="360" w:lineRule="auto"/>
        <w:rPr>
          <w:rFonts w:eastAsiaTheme="minorEastAsia"/>
          <w:color w:val="000000"/>
          <w:sz w:val="24"/>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p>
    <w:p w14:paraId="765E34C5">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3BEDB148">
      <w:pPr>
        <w:widowControl/>
        <w:jc w:val="left"/>
        <w:rPr>
          <w:rFonts w:eastAsiaTheme="minorEastAsia"/>
          <w:sz w:val="24"/>
        </w:rPr>
      </w:pPr>
    </w:p>
    <w:p w14:paraId="7981CE05">
      <w:pPr>
        <w:widowControl/>
        <w:jc w:val="left"/>
        <w:rPr>
          <w:rFonts w:eastAsiaTheme="minorEastAsia"/>
          <w:sz w:val="24"/>
        </w:rPr>
      </w:pPr>
      <w:r>
        <w:rPr>
          <w:rFonts w:eastAsiaTheme="minorEastAsia"/>
          <w:sz w:val="24"/>
        </w:rPr>
        <w:br w:type="page"/>
      </w:r>
    </w:p>
    <w:p w14:paraId="5A2AF9B5">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7399BB21">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23FF74D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2B32472C">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03153BDB">
      <w:pPr>
        <w:numPr>
          <w:ilvl w:val="0"/>
          <w:numId w:val="17"/>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1059FF99">
      <w:pPr>
        <w:numPr>
          <w:ilvl w:val="0"/>
          <w:numId w:val="17"/>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67652DC5">
      <w:pPr>
        <w:numPr>
          <w:ilvl w:val="0"/>
          <w:numId w:val="17"/>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1AFF75E8">
      <w:pPr>
        <w:numPr>
          <w:ilvl w:val="0"/>
          <w:numId w:val="17"/>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69004E20">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155C2414">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BBB2DDF">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1C962FC3">
      <w:pPr>
        <w:numPr>
          <w:ilvl w:val="0"/>
          <w:numId w:val="17"/>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2244C0C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5969E6C4">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3C6ACDC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71FA9271">
      <w:pPr>
        <w:numPr>
          <w:ilvl w:val="0"/>
          <w:numId w:val="17"/>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79155C82">
      <w:pPr>
        <w:numPr>
          <w:ilvl w:val="0"/>
          <w:numId w:val="17"/>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414785EF">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631CA525">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3C99ED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5EA71D76">
      <w:pPr>
        <w:spacing w:line="360" w:lineRule="auto"/>
        <w:ind w:firstLine="471"/>
        <w:rPr>
          <w:color w:val="000000"/>
          <w:sz w:val="24"/>
        </w:rPr>
      </w:pPr>
    </w:p>
    <w:p w14:paraId="1261E910">
      <w:pPr>
        <w:spacing w:line="360" w:lineRule="auto"/>
        <w:ind w:firstLine="471"/>
        <w:rPr>
          <w:color w:val="000000"/>
          <w:sz w:val="24"/>
        </w:rPr>
      </w:pPr>
    </w:p>
    <w:p w14:paraId="4A0BC76B">
      <w:pPr>
        <w:spacing w:line="360" w:lineRule="auto"/>
        <w:ind w:firstLine="471"/>
        <w:rPr>
          <w:color w:val="000000"/>
          <w:sz w:val="24"/>
        </w:rPr>
      </w:pPr>
      <w:r>
        <w:rPr>
          <w:color w:val="000000"/>
          <w:sz w:val="24"/>
        </w:rPr>
        <w:t>联合体成员名称：</w:t>
      </w:r>
      <w:r>
        <w:rPr>
          <w:color w:val="000000"/>
          <w:sz w:val="24"/>
          <w:szCs w:val="20"/>
        </w:rPr>
        <w:t>______</w:t>
      </w:r>
    </w:p>
    <w:p w14:paraId="5988C5B7">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0513335A">
      <w:pPr>
        <w:spacing w:line="360" w:lineRule="auto"/>
        <w:ind w:left="480"/>
        <w:jc w:val="right"/>
        <w:rPr>
          <w:rFonts w:eastAsiaTheme="minorEastAsia"/>
          <w:color w:val="000000"/>
          <w:sz w:val="24"/>
        </w:rPr>
      </w:pPr>
    </w:p>
    <w:p w14:paraId="1958F7B9">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5B0A3B57">
      <w:pPr>
        <w:spacing w:line="360" w:lineRule="auto"/>
        <w:ind w:left="480"/>
        <w:jc w:val="right"/>
        <w:rPr>
          <w:rFonts w:eastAsiaTheme="minorEastAsia"/>
          <w:b/>
          <w:color w:val="000000"/>
          <w:sz w:val="24"/>
        </w:rPr>
      </w:pPr>
    </w:p>
    <w:p w14:paraId="5DE20A69">
      <w:pPr>
        <w:tabs>
          <w:tab w:val="left" w:pos="8280"/>
        </w:tabs>
        <w:spacing w:line="360" w:lineRule="auto"/>
        <w:ind w:firstLine="480"/>
        <w:rPr>
          <w:rFonts w:eastAsiaTheme="minorEastAsia"/>
          <w:color w:val="000000"/>
          <w:sz w:val="24"/>
        </w:rPr>
      </w:pPr>
    </w:p>
    <w:p w14:paraId="6A8870EC">
      <w:pPr>
        <w:tabs>
          <w:tab w:val="left" w:pos="8280"/>
        </w:tabs>
        <w:spacing w:line="360" w:lineRule="auto"/>
        <w:ind w:firstLine="480"/>
        <w:rPr>
          <w:rFonts w:eastAsiaTheme="minorEastAsia"/>
          <w:color w:val="000000"/>
          <w:sz w:val="24"/>
        </w:rPr>
      </w:pPr>
    </w:p>
    <w:p w14:paraId="43BF2840">
      <w:pPr>
        <w:spacing w:line="360" w:lineRule="auto"/>
        <w:ind w:left="719" w:leftChars="228" w:hanging="240" w:hangingChars="100"/>
        <w:rPr>
          <w:rFonts w:eastAsiaTheme="minorEastAsia"/>
          <w:color w:val="000000"/>
          <w:sz w:val="24"/>
        </w:rPr>
      </w:pPr>
      <w:r>
        <w:rPr>
          <w:rFonts w:eastAsiaTheme="minorEastAsia"/>
          <w:color w:val="000000"/>
          <w:sz w:val="24"/>
        </w:rPr>
        <w:t>注：</w:t>
      </w:r>
    </w:p>
    <w:p w14:paraId="68DD3275">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3EA10B7E">
      <w:pPr>
        <w:spacing w:line="360" w:lineRule="auto"/>
        <w:ind w:left="719" w:leftChars="228" w:hanging="240" w:hangingChars="100"/>
        <w:rPr>
          <w:rFonts w:eastAsiaTheme="minorEastAsia"/>
          <w:color w:val="000000"/>
          <w:sz w:val="24"/>
        </w:rPr>
      </w:pPr>
      <w:r>
        <w:rPr>
          <w:rFonts w:eastAsiaTheme="minorEastAsia"/>
          <w:color w:val="000000"/>
          <w:sz w:val="24"/>
        </w:rPr>
        <w:t>2. 联合体各方成员需在本协议上共同盖章。</w:t>
      </w:r>
    </w:p>
    <w:p w14:paraId="70D015F6">
      <w:pPr>
        <w:widowControl/>
        <w:jc w:val="left"/>
        <w:rPr>
          <w:rFonts w:eastAsiaTheme="minorEastAsia"/>
          <w:sz w:val="24"/>
        </w:rPr>
      </w:pPr>
      <w:r>
        <w:rPr>
          <w:rFonts w:eastAsiaTheme="minorEastAsia"/>
          <w:sz w:val="24"/>
        </w:rPr>
        <w:br w:type="page"/>
      </w:r>
    </w:p>
    <w:p w14:paraId="253616B0">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5FC4555C">
      <w:pPr>
        <w:tabs>
          <w:tab w:val="left" w:pos="5580"/>
        </w:tabs>
        <w:spacing w:line="360" w:lineRule="auto"/>
        <w:rPr>
          <w:rFonts w:eastAsiaTheme="minorEastAsia"/>
          <w:sz w:val="24"/>
        </w:rPr>
      </w:pPr>
    </w:p>
    <w:p w14:paraId="7C4386B6">
      <w:pPr>
        <w:widowControl/>
        <w:jc w:val="left"/>
        <w:rPr>
          <w:rFonts w:eastAsiaTheme="minorEastAsia"/>
          <w:sz w:val="24"/>
          <w:szCs w:val="20"/>
        </w:rPr>
      </w:pPr>
      <w:r>
        <w:rPr>
          <w:rFonts w:eastAsiaTheme="minorEastAsia"/>
          <w:sz w:val="24"/>
          <w:szCs w:val="20"/>
        </w:rPr>
        <w:br w:type="page"/>
      </w:r>
    </w:p>
    <w:p w14:paraId="4424CDD9">
      <w:pPr>
        <w:widowControl/>
        <w:jc w:val="left"/>
        <w:rPr>
          <w:rFonts w:eastAsiaTheme="minorEastAsia"/>
          <w:kern w:val="0"/>
          <w:sz w:val="24"/>
          <w:szCs w:val="20"/>
        </w:rPr>
      </w:pPr>
    </w:p>
    <w:p w14:paraId="49DA46BF">
      <w:pPr>
        <w:tabs>
          <w:tab w:val="left" w:pos="360"/>
        </w:tabs>
        <w:snapToGrid w:val="0"/>
        <w:spacing w:line="360" w:lineRule="auto"/>
        <w:outlineLvl w:val="1"/>
        <w:rPr>
          <w:rFonts w:eastAsiaTheme="minorEastAsia"/>
          <w:sz w:val="24"/>
        </w:rPr>
      </w:pPr>
      <w:bookmarkStart w:id="945" w:name="_Hlt520355504"/>
      <w:bookmarkEnd w:id="945"/>
      <w:bookmarkStart w:id="946" w:name="_Hlt520274121"/>
      <w:bookmarkEnd w:id="946"/>
      <w:bookmarkStart w:id="947" w:name="_Hlt520343392"/>
      <w:bookmarkEnd w:id="947"/>
      <w:bookmarkStart w:id="948" w:name="_Hlt520274393"/>
      <w:bookmarkEnd w:id="948"/>
      <w:bookmarkStart w:id="949" w:name="_Hlt520350918"/>
      <w:bookmarkEnd w:id="949"/>
      <w:bookmarkStart w:id="950" w:name="_Hlt520274407"/>
      <w:bookmarkEnd w:id="950"/>
      <w:bookmarkStart w:id="951" w:name="_Hlt520273711"/>
      <w:bookmarkEnd w:id="951"/>
      <w:bookmarkStart w:id="952" w:name="_Hlt520274065"/>
      <w:bookmarkEnd w:id="952"/>
      <w:bookmarkStart w:id="953" w:name="_Hlt520271212"/>
      <w:bookmarkEnd w:id="953"/>
      <w:bookmarkStart w:id="954" w:name="_Hlt520343000"/>
      <w:bookmarkEnd w:id="954"/>
      <w:bookmarkStart w:id="955" w:name="_Ref467988698"/>
      <w:bookmarkStart w:id="956" w:name="_Toc480942349"/>
      <w:bookmarkStart w:id="957" w:name="_Toc150480794"/>
      <w:bookmarkStart w:id="958" w:name="_Toc127151556"/>
      <w:bookmarkStart w:id="959" w:name="_Toc195842921"/>
      <w:bookmarkStart w:id="960" w:name="_Toc226309800"/>
      <w:bookmarkStart w:id="961" w:name="_Toc150774761"/>
      <w:bookmarkStart w:id="962" w:name="_Toc226965829"/>
      <w:bookmarkStart w:id="963" w:name="_Toc226337252"/>
      <w:bookmarkStart w:id="964" w:name="_Toc142311058"/>
      <w:bookmarkStart w:id="965" w:name="_Toc226965746"/>
      <w:bookmarkStart w:id="966" w:name="_Toc520356217"/>
      <w:r>
        <w:rPr>
          <w:rFonts w:hint="eastAsia" w:eastAsiaTheme="minorEastAsia"/>
          <w:sz w:val="24"/>
          <w:lang w:val="en-US" w:eastAsia="zh-CN"/>
        </w:rPr>
        <w:t>4</w:t>
      </w:r>
      <w:r>
        <w:rPr>
          <w:rFonts w:eastAsiaTheme="minorEastAsia"/>
          <w:sz w:val="24"/>
        </w:rPr>
        <w:t xml:space="preserve">  </w:t>
      </w:r>
      <w:bookmarkEnd w:id="955"/>
      <w:bookmarkEnd w:id="956"/>
      <w:r>
        <w:rPr>
          <w:rFonts w:eastAsiaTheme="minorEastAsia"/>
          <w:sz w:val="24"/>
        </w:rPr>
        <w:t>响应书</w:t>
      </w:r>
      <w:bookmarkEnd w:id="957"/>
      <w:bookmarkEnd w:id="958"/>
      <w:bookmarkEnd w:id="959"/>
      <w:bookmarkEnd w:id="960"/>
      <w:bookmarkEnd w:id="961"/>
      <w:bookmarkEnd w:id="962"/>
      <w:bookmarkEnd w:id="963"/>
      <w:bookmarkEnd w:id="964"/>
      <w:bookmarkEnd w:id="965"/>
      <w:bookmarkEnd w:id="966"/>
      <w:r>
        <w:rPr>
          <w:rFonts w:eastAsiaTheme="minorEastAsia"/>
          <w:sz w:val="24"/>
        </w:rPr>
        <w:t>（实质性格式）</w:t>
      </w:r>
    </w:p>
    <w:p w14:paraId="1DBAABB2">
      <w:pPr>
        <w:tabs>
          <w:tab w:val="left" w:pos="5580"/>
        </w:tabs>
        <w:spacing w:line="360" w:lineRule="auto"/>
        <w:rPr>
          <w:rFonts w:eastAsiaTheme="minorEastAsia"/>
          <w:color w:val="000000"/>
          <w:sz w:val="24"/>
        </w:rPr>
      </w:pPr>
    </w:p>
    <w:p w14:paraId="0C10DD59">
      <w:pPr>
        <w:spacing w:line="360" w:lineRule="auto"/>
        <w:jc w:val="center"/>
        <w:rPr>
          <w:rFonts w:eastAsiaTheme="minorEastAsia"/>
          <w:b/>
          <w:color w:val="000000"/>
          <w:sz w:val="36"/>
          <w:szCs w:val="36"/>
        </w:rPr>
      </w:pPr>
      <w:r>
        <w:rPr>
          <w:rFonts w:eastAsiaTheme="minorEastAsia"/>
          <w:b/>
          <w:color w:val="000000"/>
          <w:sz w:val="36"/>
          <w:szCs w:val="36"/>
        </w:rPr>
        <w:t>响应书</w:t>
      </w:r>
    </w:p>
    <w:p w14:paraId="45B3822F">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BEBCA7D">
      <w:pPr>
        <w:tabs>
          <w:tab w:val="left" w:pos="5580"/>
        </w:tabs>
        <w:spacing w:line="360" w:lineRule="auto"/>
        <w:rPr>
          <w:rFonts w:eastAsiaTheme="minorEastAsia"/>
          <w:color w:val="000000"/>
          <w:sz w:val="24"/>
          <w:szCs w:val="20"/>
        </w:rPr>
      </w:pPr>
    </w:p>
    <w:p w14:paraId="1767443D">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（项目名称，项目编号）组织的采购活动，并对此项目进行磋商。</w:t>
      </w:r>
    </w:p>
    <w:p w14:paraId="0C35668A">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6334C8AA">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56E584F1">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005FFA5D">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5967388A">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399FE8BD">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30B9693B">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3249F22A">
      <w:pPr>
        <w:tabs>
          <w:tab w:val="left" w:pos="5580"/>
        </w:tabs>
        <w:spacing w:line="360" w:lineRule="auto"/>
        <w:ind w:left="420"/>
        <w:rPr>
          <w:rFonts w:eastAsiaTheme="minorEastAsia"/>
          <w:color w:val="000000"/>
          <w:sz w:val="24"/>
          <w:szCs w:val="20"/>
        </w:rPr>
      </w:pPr>
    </w:p>
    <w:p w14:paraId="6E974103">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2714DFA9">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49EE23D1">
      <w:pPr>
        <w:tabs>
          <w:tab w:val="left" w:pos="5580"/>
        </w:tabs>
        <w:spacing w:line="360" w:lineRule="auto"/>
        <w:ind w:left="420"/>
        <w:rPr>
          <w:rFonts w:eastAsiaTheme="minorEastAsia"/>
          <w:color w:val="000000"/>
          <w:sz w:val="24"/>
          <w:szCs w:val="20"/>
        </w:rPr>
      </w:pPr>
    </w:p>
    <w:p w14:paraId="094FE990">
      <w:pPr>
        <w:tabs>
          <w:tab w:val="left" w:pos="5580"/>
        </w:tabs>
        <w:spacing w:line="360" w:lineRule="auto"/>
        <w:ind w:left="420"/>
        <w:rPr>
          <w:rFonts w:eastAsiaTheme="minorEastAsia"/>
          <w:color w:val="000000"/>
          <w:sz w:val="24"/>
          <w:szCs w:val="20"/>
        </w:rPr>
      </w:pPr>
    </w:p>
    <w:p w14:paraId="484B8BE2">
      <w:pPr>
        <w:tabs>
          <w:tab w:val="left" w:pos="5580"/>
        </w:tabs>
        <w:spacing w:line="360" w:lineRule="auto"/>
        <w:ind w:left="420"/>
        <w:rPr>
          <w:rFonts w:eastAsiaTheme="minorEastAsia"/>
          <w:color w:val="000000"/>
          <w:sz w:val="24"/>
          <w:szCs w:val="20"/>
        </w:rPr>
      </w:pPr>
    </w:p>
    <w:p w14:paraId="40DAF56E">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3196C609">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3162BB6B">
      <w:pPr>
        <w:tabs>
          <w:tab w:val="left" w:pos="5580"/>
        </w:tabs>
        <w:spacing w:line="360" w:lineRule="auto"/>
        <w:ind w:left="420"/>
        <w:jc w:val="left"/>
        <w:rPr>
          <w:rFonts w:eastAsiaTheme="minorEastAsia"/>
          <w:color w:val="000000"/>
          <w:sz w:val="24"/>
          <w:szCs w:val="20"/>
        </w:rPr>
      </w:pPr>
    </w:p>
    <w:p w14:paraId="7BD67D0D">
      <w:pPr>
        <w:widowControl/>
        <w:jc w:val="left"/>
        <w:rPr>
          <w:rFonts w:eastAsiaTheme="minorEastAsia"/>
          <w:b/>
          <w:color w:val="000000"/>
          <w:sz w:val="24"/>
          <w:szCs w:val="20"/>
        </w:rPr>
      </w:pPr>
      <w:r>
        <w:rPr>
          <w:rFonts w:eastAsiaTheme="minorEastAsia"/>
          <w:b/>
          <w:color w:val="000000"/>
          <w:sz w:val="24"/>
          <w:szCs w:val="20"/>
        </w:rPr>
        <w:br w:type="page"/>
      </w:r>
    </w:p>
    <w:p w14:paraId="06F4AB43">
      <w:pPr>
        <w:tabs>
          <w:tab w:val="left" w:pos="360"/>
        </w:tabs>
        <w:snapToGrid w:val="0"/>
        <w:spacing w:line="360" w:lineRule="auto"/>
        <w:outlineLvl w:val="1"/>
        <w:rPr>
          <w:rFonts w:eastAsiaTheme="minorEastAsia"/>
          <w:sz w:val="24"/>
        </w:rPr>
      </w:pPr>
      <w:bookmarkStart w:id="967" w:name="_Hlt520356243"/>
      <w:bookmarkEnd w:id="967"/>
      <w:bookmarkStart w:id="968" w:name="_Hlt520355938"/>
      <w:bookmarkEnd w:id="968"/>
      <w:bookmarkStart w:id="969" w:name="_Ref467988705"/>
      <w:bookmarkStart w:id="970" w:name="_Toc150774762"/>
      <w:bookmarkStart w:id="971" w:name="_Toc226337253"/>
      <w:bookmarkStart w:id="972" w:name="_Toc226965747"/>
      <w:bookmarkStart w:id="973" w:name="_Toc264969247"/>
      <w:bookmarkStart w:id="974" w:name="_Toc305158899"/>
      <w:bookmarkStart w:id="975" w:name="_Toc265228395"/>
      <w:bookmarkStart w:id="976" w:name="_Toc150480795"/>
      <w:bookmarkStart w:id="977" w:name="_Toc142311059"/>
      <w:bookmarkStart w:id="978" w:name="_Toc520356218"/>
      <w:bookmarkStart w:id="979" w:name="_Toc195842922"/>
      <w:bookmarkStart w:id="980" w:name="_Toc226965830"/>
      <w:bookmarkStart w:id="981" w:name="_Toc127151557"/>
      <w:bookmarkStart w:id="982" w:name="_Toc305158825"/>
      <w:bookmarkStart w:id="983" w:name="_Toc480942350"/>
      <w:bookmarkStart w:id="984" w:name="_Toc226309801"/>
      <w:r>
        <w:rPr>
          <w:rFonts w:hint="eastAsia" w:eastAsiaTheme="minorEastAsia"/>
          <w:sz w:val="24"/>
          <w:lang w:val="en-US" w:eastAsia="zh-CN"/>
        </w:rPr>
        <w:t>5</w:t>
      </w:r>
      <w:r>
        <w:rPr>
          <w:rFonts w:eastAsiaTheme="minorEastAsia"/>
          <w:sz w:val="24"/>
        </w:rPr>
        <w:t xml:space="preserve">  授权委托书（实质性格式）</w:t>
      </w:r>
    </w:p>
    <w:p w14:paraId="543B7CD7">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39D95225">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（姓名）为我方代理人。代理人根据授权，以我方名义签署、澄清确认、提交、撤回、修改___（项目名称）响应文件和处理有关事宜，其法律后果由我方承担。</w:t>
      </w:r>
    </w:p>
    <w:p w14:paraId="7431332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371BB9F9">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25F52ACF">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22E9E74">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6F19D9E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3B27EDE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446EB08D">
      <w:pPr>
        <w:tabs>
          <w:tab w:val="left" w:pos="5580"/>
        </w:tabs>
        <w:spacing w:line="360" w:lineRule="auto"/>
        <w:ind w:firstLine="480" w:firstLineChars="200"/>
        <w:rPr>
          <w:rFonts w:eastAsiaTheme="minorEastAsia"/>
          <w:color w:val="000000"/>
          <w:sz w:val="24"/>
          <w:szCs w:val="20"/>
        </w:rPr>
      </w:pPr>
    </w:p>
    <w:p w14:paraId="3E2EAD78">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61F9F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14:paraId="00F50A84">
            <w:pPr>
              <w:tabs>
                <w:tab w:val="left" w:pos="5580"/>
              </w:tabs>
              <w:spacing w:line="360" w:lineRule="auto"/>
              <w:rPr>
                <w:color w:val="000000"/>
                <w:sz w:val="24"/>
                <w:szCs w:val="20"/>
              </w:rPr>
            </w:pPr>
          </w:p>
        </w:tc>
      </w:tr>
    </w:tbl>
    <w:p w14:paraId="40602607">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3CDF1CAC">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02986D61">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05F078F7">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7C85B9FE">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6ADD65C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12043854">
      <w:pPr>
        <w:kinsoku w:val="0"/>
        <w:overflowPunct w:val="0"/>
        <w:spacing w:line="200" w:lineRule="exact"/>
        <w:rPr>
          <w:rFonts w:eastAsiaTheme="minorEastAsia"/>
          <w:sz w:val="20"/>
          <w:szCs w:val="20"/>
        </w:rPr>
      </w:pPr>
    </w:p>
    <w:p w14:paraId="27C1EB92">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235296BC">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02C4461D">
      <w:pPr>
        <w:pStyle w:val="20"/>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71FC98F1">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E194E15">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02C19F57">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3403955">
      <w:pPr>
        <w:pStyle w:val="20"/>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625C4B4">
      <w:pPr>
        <w:pStyle w:val="20"/>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472C3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23AF05D4">
            <w:pPr>
              <w:pStyle w:val="20"/>
              <w:kinsoku w:val="0"/>
              <w:overflowPunct w:val="0"/>
              <w:spacing w:line="583" w:lineRule="auto"/>
              <w:ind w:right="-46"/>
              <w:rPr>
                <w:color w:val="000000"/>
                <w:szCs w:val="20"/>
              </w:rPr>
            </w:pPr>
          </w:p>
        </w:tc>
      </w:tr>
    </w:tbl>
    <w:p w14:paraId="63956BEE">
      <w:pPr>
        <w:pStyle w:val="20"/>
        <w:kinsoku w:val="0"/>
        <w:overflowPunct w:val="0"/>
        <w:spacing w:line="583" w:lineRule="auto"/>
        <w:ind w:right="4305"/>
        <w:rPr>
          <w:rFonts w:ascii="Times New Roman" w:hAnsi="Times New Roman" w:eastAsiaTheme="minorEastAsia"/>
          <w:spacing w:val="-3"/>
        </w:rPr>
      </w:pPr>
    </w:p>
    <w:p w14:paraId="7146653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F8B5DE6">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1635868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2E1F438">
      <w:pPr>
        <w:widowControl/>
        <w:jc w:val="left"/>
        <w:rPr>
          <w:rFonts w:eastAsiaTheme="minorEastAsia"/>
          <w:i/>
          <w:color w:val="000000"/>
          <w:sz w:val="24"/>
          <w:szCs w:val="20"/>
          <w:u w:val="single"/>
        </w:rPr>
      </w:pPr>
    </w:p>
    <w:p w14:paraId="61D8544B">
      <w:pPr>
        <w:widowControl/>
        <w:jc w:val="left"/>
        <w:rPr>
          <w:rFonts w:eastAsiaTheme="minorEastAsia"/>
          <w:color w:val="000000"/>
          <w:sz w:val="24"/>
          <w:szCs w:val="20"/>
        </w:rPr>
      </w:pPr>
      <w:r>
        <w:rPr>
          <w:rFonts w:eastAsiaTheme="minorEastAsia"/>
          <w:color w:val="000000"/>
          <w:sz w:val="24"/>
          <w:szCs w:val="20"/>
        </w:rPr>
        <w:br w:type="page"/>
      </w:r>
    </w:p>
    <w:p w14:paraId="214F17DD">
      <w:pPr>
        <w:tabs>
          <w:tab w:val="left" w:pos="360"/>
        </w:tabs>
        <w:snapToGrid w:val="0"/>
        <w:spacing w:line="360" w:lineRule="auto"/>
        <w:outlineLvl w:val="1"/>
        <w:rPr>
          <w:rFonts w:eastAsiaTheme="minorEastAsia"/>
          <w:sz w:val="24"/>
        </w:rPr>
      </w:pPr>
      <w:r>
        <w:rPr>
          <w:rFonts w:hint="eastAsia" w:eastAsiaTheme="minorEastAsia"/>
          <w:sz w:val="24"/>
          <w:lang w:val="en-US" w:eastAsia="zh-CN"/>
        </w:rPr>
        <w:t>6</w:t>
      </w:r>
      <w:r>
        <w:rPr>
          <w:rFonts w:eastAsiaTheme="minorEastAsia"/>
          <w:sz w:val="24"/>
        </w:rPr>
        <w:t xml:space="preserve">  报价一览表</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14:paraId="363B6644">
      <w:pPr>
        <w:spacing w:line="360" w:lineRule="exact"/>
        <w:jc w:val="center"/>
        <w:rPr>
          <w:rFonts w:eastAsiaTheme="minorEastAsia"/>
          <w:b/>
          <w:color w:val="000000"/>
          <w:sz w:val="36"/>
          <w:szCs w:val="36"/>
        </w:rPr>
      </w:pPr>
      <w:bookmarkStart w:id="985" w:name="_Toc265228396"/>
      <w:bookmarkStart w:id="986" w:name="_Toc305158826"/>
      <w:bookmarkStart w:id="987" w:name="_Toc164608827"/>
      <w:bookmarkStart w:id="988" w:name="_Toc226337254"/>
      <w:bookmarkStart w:id="989" w:name="_Toc226965831"/>
      <w:bookmarkStart w:id="990" w:name="_Toc226309802"/>
      <w:bookmarkStart w:id="991" w:name="_Toc305158900"/>
      <w:bookmarkStart w:id="992" w:name="_Toc195842923"/>
      <w:bookmarkStart w:id="993" w:name="_Toc164608672"/>
      <w:bookmarkStart w:id="994" w:name="_Toc226965748"/>
      <w:bookmarkStart w:id="995" w:name="_Toc264969248"/>
      <w:r>
        <w:rPr>
          <w:rFonts w:eastAsiaTheme="minorEastAsia"/>
          <w:b/>
          <w:color w:val="000000"/>
          <w:sz w:val="36"/>
          <w:szCs w:val="36"/>
        </w:rPr>
        <w:t>报价一览表</w:t>
      </w:r>
      <w:bookmarkEnd w:id="985"/>
      <w:bookmarkEnd w:id="986"/>
      <w:bookmarkEnd w:id="987"/>
      <w:bookmarkEnd w:id="988"/>
      <w:bookmarkEnd w:id="989"/>
      <w:bookmarkEnd w:id="990"/>
      <w:bookmarkEnd w:id="991"/>
      <w:bookmarkEnd w:id="992"/>
      <w:bookmarkEnd w:id="993"/>
      <w:bookmarkEnd w:id="994"/>
      <w:bookmarkEnd w:id="995"/>
    </w:p>
    <w:p w14:paraId="6E200342">
      <w:pPr>
        <w:tabs>
          <w:tab w:val="left" w:pos="1800"/>
          <w:tab w:val="left" w:pos="5580"/>
        </w:tabs>
        <w:spacing w:line="360" w:lineRule="auto"/>
        <w:jc w:val="left"/>
        <w:rPr>
          <w:rFonts w:eastAsiaTheme="minorEastAsia"/>
          <w:color w:val="000000"/>
          <w:sz w:val="24"/>
        </w:rPr>
      </w:pPr>
    </w:p>
    <w:p w14:paraId="50E30FFD">
      <w:pPr>
        <w:tabs>
          <w:tab w:val="left" w:pos="1800"/>
          <w:tab w:val="left" w:pos="5580"/>
        </w:tabs>
        <w:spacing w:line="360" w:lineRule="auto"/>
        <w:ind w:firstLine="240" w:firstLineChars="100"/>
        <w:jc w:val="left"/>
        <w:rPr>
          <w:rFonts w:eastAsiaTheme="minorEastAsia"/>
          <w:sz w:val="24"/>
        </w:rPr>
      </w:pPr>
      <w:r>
        <w:rPr>
          <w:rFonts w:eastAsiaTheme="minorEastAsia"/>
          <w:color w:val="000000"/>
          <w:sz w:val="24"/>
        </w:rPr>
        <w:t>项目编号</w:t>
      </w:r>
      <w:r>
        <w:rPr>
          <w:rFonts w:hint="eastAsia" w:eastAsiaTheme="minorEastAsia"/>
          <w:color w:val="000000"/>
          <w:sz w:val="24"/>
          <w:lang w:val="en-US" w:eastAsia="zh-CN"/>
        </w:rPr>
        <w:t>/包号</w:t>
      </w:r>
      <w:r>
        <w:rPr>
          <w:rFonts w:eastAsiaTheme="minorEastAsia"/>
          <w:color w:val="000000"/>
          <w:sz w:val="24"/>
        </w:rPr>
        <w:t>：</w:t>
      </w:r>
      <w:r>
        <w:rPr>
          <w:rFonts w:eastAsiaTheme="minorEastAsia"/>
          <w:sz w:val="24"/>
        </w:rPr>
        <w:t>___________</w:t>
      </w:r>
      <w:r>
        <w:rPr>
          <w:rFonts w:eastAsiaTheme="minorEastAsia"/>
          <w:color w:val="000000"/>
          <w:sz w:val="24"/>
        </w:rPr>
        <w:t xml:space="preserve">     </w:t>
      </w:r>
      <w:r>
        <w:rPr>
          <w:rFonts w:hint="eastAsia" w:eastAsiaTheme="minorEastAsia"/>
          <w:color w:val="000000"/>
          <w:sz w:val="24"/>
          <w:lang w:val="en-US" w:eastAsia="zh-CN"/>
        </w:rPr>
        <w:t xml:space="preserve">          </w:t>
      </w:r>
      <w:r>
        <w:rPr>
          <w:rFonts w:eastAsiaTheme="minorEastAsia"/>
          <w:color w:val="000000"/>
          <w:sz w:val="24"/>
        </w:rPr>
        <w:t>项目名称：</w:t>
      </w:r>
      <w:r>
        <w:rPr>
          <w:rFonts w:eastAsiaTheme="minorEastAsia"/>
          <w:sz w:val="24"/>
        </w:rPr>
        <w:t>___________</w:t>
      </w:r>
    </w:p>
    <w:p w14:paraId="39384777">
      <w:pPr>
        <w:tabs>
          <w:tab w:val="left" w:pos="1800"/>
          <w:tab w:val="left" w:pos="5580"/>
        </w:tabs>
        <w:spacing w:line="360" w:lineRule="auto"/>
        <w:ind w:firstLine="240" w:firstLineChars="100"/>
        <w:jc w:val="left"/>
        <w:rPr>
          <w:rFonts w:eastAsiaTheme="minorEastAsia"/>
          <w:sz w:val="24"/>
        </w:rPr>
      </w:pPr>
    </w:p>
    <w:p w14:paraId="17AC2ECF">
      <w:pPr>
        <w:tabs>
          <w:tab w:val="left" w:pos="1800"/>
          <w:tab w:val="left" w:pos="5580"/>
        </w:tabs>
        <w:spacing w:line="360" w:lineRule="auto"/>
        <w:ind w:firstLine="240" w:firstLineChars="100"/>
        <w:jc w:val="left"/>
        <w:rPr>
          <w:sz w:val="24"/>
          <w:u w:val="single"/>
        </w:rPr>
      </w:pPr>
    </w:p>
    <w:tbl>
      <w:tblPr>
        <w:tblStyle w:val="43"/>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39"/>
        <w:gridCol w:w="1049"/>
        <w:gridCol w:w="1411"/>
        <w:gridCol w:w="2723"/>
      </w:tblGrid>
      <w:tr w14:paraId="5273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158" w:type="pct"/>
            <w:tcBorders>
              <w:top w:val="single" w:color="auto" w:sz="4" w:space="0"/>
              <w:left w:val="single" w:color="auto" w:sz="4" w:space="0"/>
              <w:bottom w:val="single" w:color="auto" w:sz="4" w:space="0"/>
              <w:right w:val="single" w:color="auto" w:sz="4" w:space="0"/>
            </w:tcBorders>
            <w:vAlign w:val="center"/>
          </w:tcPr>
          <w:p w14:paraId="6F0956E4">
            <w:pPr>
              <w:tabs>
                <w:tab w:val="left" w:pos="5580"/>
              </w:tabs>
              <w:jc w:val="center"/>
              <w:rPr>
                <w:b/>
                <w:sz w:val="24"/>
              </w:rPr>
            </w:pPr>
            <w:r>
              <w:rPr>
                <w:b/>
                <w:sz w:val="24"/>
              </w:rPr>
              <w:t>供应商名称</w:t>
            </w:r>
          </w:p>
        </w:tc>
        <w:tc>
          <w:tcPr>
            <w:tcW w:w="1348" w:type="pct"/>
            <w:gridSpan w:val="2"/>
            <w:tcBorders>
              <w:top w:val="single" w:color="auto" w:sz="4" w:space="0"/>
              <w:left w:val="single" w:color="auto" w:sz="4" w:space="0"/>
              <w:bottom w:val="single" w:color="auto" w:sz="4" w:space="0"/>
              <w:right w:val="single" w:color="auto" w:sz="4" w:space="0"/>
            </w:tcBorders>
            <w:vAlign w:val="center"/>
          </w:tcPr>
          <w:p w14:paraId="2BB5FB5F">
            <w:pPr>
              <w:tabs>
                <w:tab w:val="left" w:pos="5580"/>
              </w:tabs>
              <w:jc w:val="center"/>
              <w:rPr>
                <w:b/>
                <w:sz w:val="24"/>
              </w:rPr>
            </w:pPr>
            <w:r>
              <w:rPr>
                <w:b/>
                <w:sz w:val="24"/>
              </w:rPr>
              <w:t>报价</w:t>
            </w:r>
          </w:p>
        </w:tc>
        <w:tc>
          <w:tcPr>
            <w:tcW w:w="1492" w:type="pct"/>
            <w:tcBorders>
              <w:top w:val="single" w:color="auto" w:sz="4" w:space="0"/>
              <w:left w:val="single" w:color="auto" w:sz="4" w:space="0"/>
              <w:right w:val="single" w:color="auto" w:sz="4" w:space="0"/>
            </w:tcBorders>
            <w:vAlign w:val="center"/>
          </w:tcPr>
          <w:p w14:paraId="07902106">
            <w:pPr>
              <w:tabs>
                <w:tab w:val="left" w:pos="5580"/>
              </w:tabs>
              <w:jc w:val="center"/>
              <w:rPr>
                <w:b/>
                <w:sz w:val="24"/>
              </w:rPr>
            </w:pPr>
            <w:r>
              <w:rPr>
                <w:b/>
                <w:sz w:val="24"/>
              </w:rPr>
              <w:t>工期</w:t>
            </w:r>
          </w:p>
        </w:tc>
      </w:tr>
      <w:tr w14:paraId="2A12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6" w:hRule="atLeast"/>
          <w:jc w:val="center"/>
        </w:trPr>
        <w:tc>
          <w:tcPr>
            <w:tcW w:w="2158" w:type="pct"/>
            <w:vMerge w:val="restart"/>
            <w:tcBorders>
              <w:top w:val="single" w:color="auto" w:sz="4" w:space="0"/>
              <w:left w:val="single" w:color="auto" w:sz="4" w:space="0"/>
              <w:right w:val="single" w:color="auto" w:sz="4" w:space="0"/>
            </w:tcBorders>
            <w:vAlign w:val="center"/>
          </w:tcPr>
          <w:p w14:paraId="03290877">
            <w:pPr>
              <w:tabs>
                <w:tab w:val="left" w:pos="5580"/>
              </w:tabs>
              <w:jc w:val="center"/>
              <w:rPr>
                <w:sz w:val="24"/>
              </w:rPr>
            </w:pPr>
          </w:p>
        </w:tc>
        <w:tc>
          <w:tcPr>
            <w:tcW w:w="575" w:type="pct"/>
            <w:tcBorders>
              <w:top w:val="single" w:color="auto" w:sz="4" w:space="0"/>
              <w:left w:val="single" w:color="auto" w:sz="4" w:space="0"/>
              <w:bottom w:val="single" w:color="auto" w:sz="4" w:space="0"/>
              <w:right w:val="single" w:color="auto" w:sz="4" w:space="0"/>
            </w:tcBorders>
            <w:vAlign w:val="center"/>
          </w:tcPr>
          <w:p w14:paraId="69401A23">
            <w:pPr>
              <w:tabs>
                <w:tab w:val="left" w:pos="5580"/>
              </w:tabs>
              <w:jc w:val="center"/>
              <w:rPr>
                <w:sz w:val="24"/>
              </w:rPr>
            </w:pPr>
            <w:r>
              <w:rPr>
                <w:sz w:val="24"/>
              </w:rPr>
              <w:t>大写</w:t>
            </w:r>
          </w:p>
        </w:tc>
        <w:tc>
          <w:tcPr>
            <w:tcW w:w="773" w:type="pct"/>
            <w:tcBorders>
              <w:top w:val="single" w:color="auto" w:sz="4" w:space="0"/>
              <w:left w:val="single" w:color="auto" w:sz="4" w:space="0"/>
              <w:bottom w:val="single" w:color="auto" w:sz="4" w:space="0"/>
              <w:right w:val="single" w:color="auto" w:sz="4" w:space="0"/>
            </w:tcBorders>
            <w:vAlign w:val="center"/>
          </w:tcPr>
          <w:p w14:paraId="440DF18C">
            <w:pPr>
              <w:tabs>
                <w:tab w:val="left" w:pos="5580"/>
              </w:tabs>
              <w:jc w:val="center"/>
              <w:rPr>
                <w:sz w:val="24"/>
              </w:rPr>
            </w:pPr>
          </w:p>
        </w:tc>
        <w:tc>
          <w:tcPr>
            <w:tcW w:w="1492" w:type="pct"/>
            <w:vMerge w:val="restart"/>
            <w:tcBorders>
              <w:top w:val="single" w:color="auto" w:sz="4" w:space="0"/>
              <w:left w:val="single" w:color="auto" w:sz="4" w:space="0"/>
              <w:right w:val="single" w:color="auto" w:sz="4" w:space="0"/>
            </w:tcBorders>
            <w:vAlign w:val="center"/>
          </w:tcPr>
          <w:p w14:paraId="1753B426">
            <w:pPr>
              <w:tabs>
                <w:tab w:val="left" w:pos="5580"/>
              </w:tabs>
              <w:jc w:val="center"/>
              <w:rPr>
                <w:sz w:val="24"/>
              </w:rPr>
            </w:pPr>
          </w:p>
        </w:tc>
      </w:tr>
      <w:tr w14:paraId="7A79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2158" w:type="pct"/>
            <w:vMerge w:val="continue"/>
            <w:tcBorders>
              <w:left w:val="single" w:color="auto" w:sz="4" w:space="0"/>
              <w:bottom w:val="single" w:color="auto" w:sz="4" w:space="0"/>
              <w:right w:val="single" w:color="auto" w:sz="4" w:space="0"/>
            </w:tcBorders>
            <w:vAlign w:val="center"/>
          </w:tcPr>
          <w:p w14:paraId="2CF7D75F">
            <w:pPr>
              <w:tabs>
                <w:tab w:val="left" w:pos="5580"/>
              </w:tabs>
              <w:jc w:val="center"/>
              <w:rPr>
                <w:sz w:val="24"/>
              </w:rPr>
            </w:pPr>
          </w:p>
        </w:tc>
        <w:tc>
          <w:tcPr>
            <w:tcW w:w="575" w:type="pct"/>
            <w:tcBorders>
              <w:top w:val="single" w:color="auto" w:sz="4" w:space="0"/>
              <w:left w:val="single" w:color="auto" w:sz="4" w:space="0"/>
              <w:bottom w:val="single" w:color="auto" w:sz="4" w:space="0"/>
              <w:right w:val="single" w:color="auto" w:sz="4" w:space="0"/>
            </w:tcBorders>
            <w:vAlign w:val="center"/>
          </w:tcPr>
          <w:p w14:paraId="1DF9C2A7">
            <w:pPr>
              <w:tabs>
                <w:tab w:val="left" w:pos="5580"/>
              </w:tabs>
              <w:jc w:val="center"/>
              <w:rPr>
                <w:sz w:val="24"/>
              </w:rPr>
            </w:pPr>
            <w:r>
              <w:rPr>
                <w:sz w:val="24"/>
              </w:rPr>
              <w:t>小写</w:t>
            </w:r>
          </w:p>
        </w:tc>
        <w:tc>
          <w:tcPr>
            <w:tcW w:w="773" w:type="pct"/>
            <w:tcBorders>
              <w:top w:val="single" w:color="auto" w:sz="4" w:space="0"/>
              <w:left w:val="single" w:color="auto" w:sz="4" w:space="0"/>
              <w:bottom w:val="single" w:color="auto" w:sz="4" w:space="0"/>
              <w:right w:val="single" w:color="auto" w:sz="4" w:space="0"/>
            </w:tcBorders>
            <w:vAlign w:val="center"/>
          </w:tcPr>
          <w:p w14:paraId="450493F0">
            <w:pPr>
              <w:tabs>
                <w:tab w:val="left" w:pos="5580"/>
              </w:tabs>
              <w:jc w:val="center"/>
              <w:rPr>
                <w:sz w:val="24"/>
              </w:rPr>
            </w:pPr>
          </w:p>
        </w:tc>
        <w:tc>
          <w:tcPr>
            <w:tcW w:w="1492" w:type="pct"/>
            <w:vMerge w:val="continue"/>
            <w:tcBorders>
              <w:left w:val="single" w:color="auto" w:sz="4" w:space="0"/>
              <w:bottom w:val="single" w:color="auto" w:sz="4" w:space="0"/>
              <w:right w:val="single" w:color="auto" w:sz="4" w:space="0"/>
            </w:tcBorders>
            <w:vAlign w:val="center"/>
          </w:tcPr>
          <w:p w14:paraId="15E4B5BC">
            <w:pPr>
              <w:tabs>
                <w:tab w:val="left" w:pos="5580"/>
              </w:tabs>
              <w:jc w:val="center"/>
              <w:rPr>
                <w:sz w:val="24"/>
              </w:rPr>
            </w:pPr>
          </w:p>
        </w:tc>
      </w:tr>
    </w:tbl>
    <w:p w14:paraId="02D02CD4">
      <w:pPr>
        <w:autoSpaceDE w:val="0"/>
        <w:autoSpaceDN w:val="0"/>
        <w:adjustRightInd w:val="0"/>
        <w:jc w:val="left"/>
        <w:rPr>
          <w:kern w:val="0"/>
          <w:sz w:val="24"/>
        </w:rPr>
      </w:pPr>
    </w:p>
    <w:p w14:paraId="69DA283E">
      <w:pPr>
        <w:autoSpaceDE w:val="0"/>
        <w:autoSpaceDN w:val="0"/>
        <w:adjustRightInd w:val="0"/>
        <w:jc w:val="left"/>
        <w:rPr>
          <w:rFonts w:eastAsiaTheme="minorEastAsia"/>
          <w:color w:val="000000"/>
          <w:kern w:val="0"/>
          <w:sz w:val="24"/>
        </w:rPr>
      </w:pPr>
    </w:p>
    <w:p w14:paraId="4C72B2C5">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5FBD98C6">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6039DABE">
      <w:pPr>
        <w:tabs>
          <w:tab w:val="left" w:pos="5580"/>
        </w:tabs>
        <w:ind w:firstLine="480" w:firstLineChars="200"/>
        <w:rPr>
          <w:rFonts w:eastAsiaTheme="minorEastAsia"/>
          <w:color w:val="000000"/>
          <w:sz w:val="24"/>
          <w:szCs w:val="20"/>
        </w:rPr>
      </w:pPr>
    </w:p>
    <w:p w14:paraId="3653D5FD">
      <w:pPr>
        <w:autoSpaceDE w:val="0"/>
        <w:autoSpaceDN w:val="0"/>
        <w:adjustRightInd w:val="0"/>
        <w:snapToGrid w:val="0"/>
        <w:spacing w:before="25" w:after="25" w:line="360" w:lineRule="auto"/>
        <w:rPr>
          <w:rFonts w:eastAsiaTheme="minorEastAsia"/>
          <w:color w:val="000000"/>
          <w:sz w:val="24"/>
          <w:lang w:val="zh-CN"/>
        </w:rPr>
      </w:pPr>
    </w:p>
    <w:p w14:paraId="4C3CBA1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1C8BC1E">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67859CE7">
      <w:pPr>
        <w:autoSpaceDE w:val="0"/>
        <w:autoSpaceDN w:val="0"/>
        <w:adjustRightInd w:val="0"/>
        <w:snapToGrid w:val="0"/>
        <w:spacing w:line="360" w:lineRule="auto"/>
        <w:rPr>
          <w:rFonts w:eastAsiaTheme="minorEastAsia"/>
          <w:color w:val="000000"/>
          <w:sz w:val="24"/>
          <w:szCs w:val="20"/>
        </w:rPr>
      </w:pPr>
      <w:r>
        <w:rPr>
          <w:rFonts w:eastAsiaTheme="minorEastAsia"/>
          <w:color w:val="000000"/>
          <w:sz w:val="24"/>
        </w:rPr>
        <w:t>日期：</w:t>
      </w:r>
      <w:r>
        <w:rPr>
          <w:rFonts w:eastAsiaTheme="minorEastAsia"/>
          <w:color w:val="000000"/>
          <w:sz w:val="24"/>
          <w:szCs w:val="20"/>
        </w:rPr>
        <w:t>____年____月____</w:t>
      </w:r>
    </w:p>
    <w:p w14:paraId="3BC6CE8E">
      <w:pPr>
        <w:numPr>
          <w:ilvl w:val="0"/>
          <w:numId w:val="18"/>
        </w:numPr>
        <w:rPr>
          <w:rFonts w:hint="eastAsia" w:eastAsiaTheme="minorEastAsia"/>
          <w:color w:val="000000"/>
          <w:sz w:val="24"/>
          <w:szCs w:val="20"/>
          <w:lang w:val="en-US" w:eastAsia="zh-CN"/>
        </w:rPr>
      </w:pPr>
      <w:r>
        <w:rPr>
          <w:rFonts w:eastAsiaTheme="minorEastAsia"/>
          <w:color w:val="000000"/>
          <w:sz w:val="24"/>
          <w:szCs w:val="20"/>
        </w:rPr>
        <w:br w:type="page"/>
      </w:r>
      <w:r>
        <w:rPr>
          <w:rFonts w:hint="eastAsia" w:eastAsiaTheme="minorEastAsia"/>
          <w:color w:val="000000"/>
          <w:sz w:val="24"/>
          <w:szCs w:val="20"/>
          <w:lang w:val="en-US" w:eastAsia="zh-CN"/>
        </w:rPr>
        <w:t>分项报价表</w:t>
      </w:r>
      <w:r>
        <w:rPr>
          <w:sz w:val="24"/>
        </w:rPr>
        <w:t>（非实质性格式）</w:t>
      </w:r>
    </w:p>
    <w:p w14:paraId="016B39F2">
      <w:pPr>
        <w:pStyle w:val="2"/>
        <w:widowControl w:val="0"/>
        <w:numPr>
          <w:ilvl w:val="0"/>
          <w:numId w:val="0"/>
        </w:numPr>
        <w:spacing w:after="120" w:line="480" w:lineRule="exact"/>
        <w:jc w:val="both"/>
        <w:rPr>
          <w:rFonts w:hint="default"/>
          <w:lang w:val="en-US" w:eastAsia="zh-CN"/>
        </w:rPr>
      </w:pPr>
    </w:p>
    <w:p w14:paraId="71AB6C33">
      <w:pPr>
        <w:tabs>
          <w:tab w:val="left" w:pos="360"/>
        </w:tabs>
        <w:snapToGrid w:val="0"/>
        <w:spacing w:line="360" w:lineRule="auto"/>
        <w:outlineLvl w:val="1"/>
        <w:rPr>
          <w:sz w:val="24"/>
        </w:rPr>
      </w:pPr>
      <w:r>
        <w:rPr>
          <w:rFonts w:hint="eastAsia"/>
          <w:sz w:val="24"/>
          <w:lang w:val="en-US" w:eastAsia="zh-CN"/>
        </w:rPr>
        <w:t>7</w:t>
      </w:r>
      <w:r>
        <w:rPr>
          <w:rFonts w:hint="eastAsia"/>
          <w:sz w:val="24"/>
        </w:rPr>
        <w:t>-1已标价工程量清单</w:t>
      </w:r>
    </w:p>
    <w:p w14:paraId="2CE35136">
      <w:pPr>
        <w:spacing w:line="360" w:lineRule="auto"/>
        <w:jc w:val="center"/>
        <w:rPr>
          <w:b/>
          <w:sz w:val="36"/>
          <w:szCs w:val="36"/>
        </w:rPr>
      </w:pPr>
      <w:r>
        <w:rPr>
          <w:b/>
          <w:sz w:val="36"/>
          <w:szCs w:val="36"/>
        </w:rPr>
        <w:t>已标价工程量清单</w:t>
      </w:r>
    </w:p>
    <w:p w14:paraId="1DA9FB22">
      <w:pPr>
        <w:tabs>
          <w:tab w:val="left" w:pos="1800"/>
          <w:tab w:val="left" w:pos="5580"/>
        </w:tabs>
        <w:spacing w:line="360" w:lineRule="auto"/>
        <w:jc w:val="left"/>
        <w:rPr>
          <w:sz w:val="24"/>
        </w:rPr>
      </w:pPr>
    </w:p>
    <w:p w14:paraId="706EFE21">
      <w:pPr>
        <w:tabs>
          <w:tab w:val="left" w:pos="1800"/>
          <w:tab w:val="left" w:pos="5580"/>
        </w:tabs>
        <w:spacing w:line="360" w:lineRule="auto"/>
        <w:jc w:val="left"/>
        <w:rPr>
          <w:sz w:val="24"/>
        </w:rPr>
      </w:pPr>
    </w:p>
    <w:p w14:paraId="6199E137">
      <w:pPr>
        <w:tabs>
          <w:tab w:val="left" w:pos="1800"/>
          <w:tab w:val="left" w:pos="5580"/>
        </w:tabs>
        <w:spacing w:line="360" w:lineRule="auto"/>
        <w:jc w:val="left"/>
        <w:rPr>
          <w:sz w:val="24"/>
        </w:rPr>
      </w:pPr>
    </w:p>
    <w:p w14:paraId="3F86E0EA">
      <w:pPr>
        <w:tabs>
          <w:tab w:val="left" w:pos="1800"/>
          <w:tab w:val="left" w:pos="5580"/>
        </w:tabs>
        <w:spacing w:line="360" w:lineRule="auto"/>
        <w:jc w:val="left"/>
        <w:rPr>
          <w:sz w:val="24"/>
        </w:rPr>
      </w:pPr>
      <w:r>
        <w:rPr>
          <w:sz w:val="24"/>
        </w:rPr>
        <w:t>注：1.如果不提供已标价工程量清单将视为没有实质性响应竞争性磋商文件。</w:t>
      </w:r>
    </w:p>
    <w:p w14:paraId="324C9C2F">
      <w:pPr>
        <w:spacing w:line="360" w:lineRule="auto"/>
        <w:rPr>
          <w:rFonts w:hint="eastAsia" w:ascii="宋体" w:hAnsi="宋体" w:cs="宋体"/>
          <w:sz w:val="24"/>
        </w:rPr>
      </w:pPr>
    </w:p>
    <w:p w14:paraId="47587E7D">
      <w:pPr>
        <w:spacing w:line="360" w:lineRule="auto"/>
        <w:rPr>
          <w:rFonts w:hint="eastAsia" w:ascii="宋体" w:hAnsi="宋体" w:cs="宋体"/>
          <w:sz w:val="24"/>
        </w:rPr>
      </w:pPr>
    </w:p>
    <w:p w14:paraId="1C160C86">
      <w:pPr>
        <w:spacing w:line="360" w:lineRule="auto"/>
        <w:rPr>
          <w:rFonts w:hint="eastAsia" w:ascii="宋体" w:hAnsi="宋体" w:cs="宋体"/>
          <w:sz w:val="24"/>
        </w:rPr>
      </w:pPr>
    </w:p>
    <w:p w14:paraId="12564CAD">
      <w:pPr>
        <w:pStyle w:val="2"/>
        <w:rPr>
          <w:rFonts w:hint="default" w:eastAsiaTheme="minorEastAsia"/>
          <w:b/>
          <w:color w:val="000000"/>
          <w:sz w:val="36"/>
          <w:szCs w:val="36"/>
          <w:lang w:val="en-US" w:eastAsia="zh-CN"/>
        </w:rPr>
        <w:sectPr>
          <w:headerReference r:id="rId22" w:type="first"/>
          <w:footerReference r:id="rId24" w:type="first"/>
          <w:headerReference r:id="rId21" w:type="even"/>
          <w:footerReference r:id="rId23" w:type="even"/>
          <w:pgSz w:w="11907" w:h="16840"/>
          <w:pgMar w:top="1418" w:right="1134" w:bottom="1418" w:left="1701" w:header="851" w:footer="851" w:gutter="0"/>
          <w:cols w:space="720" w:num="1"/>
          <w:docGrid w:linePitch="462" w:charSpace="0"/>
        </w:sectPr>
      </w:pPr>
    </w:p>
    <w:p w14:paraId="0D976822">
      <w:pPr>
        <w:tabs>
          <w:tab w:val="left" w:pos="360"/>
        </w:tabs>
        <w:snapToGrid w:val="0"/>
        <w:spacing w:line="360" w:lineRule="auto"/>
        <w:outlineLvl w:val="1"/>
        <w:rPr>
          <w:rFonts w:eastAsiaTheme="minorEastAsia"/>
          <w:color w:val="000000"/>
          <w:sz w:val="24"/>
          <w:szCs w:val="20"/>
        </w:rPr>
      </w:pPr>
      <w:bookmarkStart w:id="996" w:name="_Toc226337258"/>
      <w:bookmarkStart w:id="997" w:name="_Toc226965835"/>
      <w:bookmarkStart w:id="998" w:name="_Toc150480798"/>
      <w:bookmarkStart w:id="999" w:name="_Toc305158904"/>
      <w:bookmarkStart w:id="1000" w:name="_Toc195842927"/>
      <w:bookmarkStart w:id="1001" w:name="_Toc150774765"/>
      <w:bookmarkStart w:id="1002" w:name="_Toc264969252"/>
      <w:bookmarkStart w:id="1003" w:name="_Toc226965752"/>
      <w:bookmarkStart w:id="1004" w:name="_Toc305158830"/>
      <w:bookmarkStart w:id="1005" w:name="_Toc265228400"/>
      <w:bookmarkStart w:id="1006" w:name="_Toc142311062"/>
      <w:bookmarkStart w:id="1007" w:name="_Toc127151562"/>
      <w:bookmarkStart w:id="1008" w:name="_Toc226309806"/>
      <w:bookmarkStart w:id="1009" w:name="_Toc265228399"/>
      <w:bookmarkStart w:id="1010" w:name="_Toc226965834"/>
      <w:bookmarkStart w:id="1011" w:name="_Toc264969251"/>
      <w:bookmarkStart w:id="1012" w:name="_Toc226309805"/>
      <w:bookmarkStart w:id="1013" w:name="_Toc127151561"/>
      <w:bookmarkStart w:id="1014" w:name="_Toc226965751"/>
      <w:bookmarkStart w:id="1015" w:name="_Toc226337257"/>
      <w:bookmarkStart w:id="1016" w:name="_Toc142311061"/>
      <w:bookmarkStart w:id="1017" w:name="_Toc305158903"/>
      <w:bookmarkStart w:id="1018" w:name="_Toc150480797"/>
      <w:bookmarkStart w:id="1019" w:name="_Toc305158829"/>
      <w:bookmarkStart w:id="1020" w:name="_Toc195842926"/>
      <w:bookmarkStart w:id="1021" w:name="_Toc150774764"/>
      <w:r>
        <w:rPr>
          <w:rFonts w:hint="eastAsia" w:eastAsiaTheme="minorEastAsia"/>
          <w:sz w:val="24"/>
          <w:lang w:val="en-US" w:eastAsia="zh-CN"/>
        </w:rPr>
        <w:t>8</w:t>
      </w:r>
      <w:r>
        <w:rPr>
          <w:rFonts w:eastAsiaTheme="minorEastAsia"/>
          <w:sz w:val="24"/>
        </w:rPr>
        <w:t xml:space="preserve">  合同条款偏离表</w:t>
      </w:r>
      <w:bookmarkEnd w:id="996"/>
      <w:bookmarkEnd w:id="997"/>
      <w:bookmarkEnd w:id="998"/>
      <w:bookmarkEnd w:id="999"/>
      <w:bookmarkEnd w:id="1000"/>
      <w:bookmarkEnd w:id="1001"/>
      <w:bookmarkEnd w:id="1002"/>
      <w:bookmarkEnd w:id="1003"/>
      <w:bookmarkEnd w:id="1004"/>
      <w:bookmarkEnd w:id="1005"/>
      <w:bookmarkEnd w:id="1006"/>
      <w:bookmarkEnd w:id="1007"/>
      <w:bookmarkEnd w:id="1008"/>
      <w:r>
        <w:rPr>
          <w:rFonts w:eastAsiaTheme="minorEastAsia"/>
          <w:sz w:val="24"/>
        </w:rPr>
        <w:t>（实质性格式）</w:t>
      </w:r>
    </w:p>
    <w:p w14:paraId="5536E0AA">
      <w:pPr>
        <w:spacing w:line="360" w:lineRule="auto"/>
        <w:rPr>
          <w:rFonts w:eastAsiaTheme="minorEastAsia"/>
          <w:color w:val="000000"/>
          <w:sz w:val="24"/>
          <w:szCs w:val="20"/>
        </w:rPr>
      </w:pPr>
    </w:p>
    <w:p w14:paraId="25E95F14">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52644071">
      <w:pPr>
        <w:spacing w:line="360" w:lineRule="auto"/>
        <w:rPr>
          <w:rFonts w:eastAsiaTheme="minorEastAsia"/>
          <w:color w:val="000000"/>
          <w:sz w:val="24"/>
          <w:szCs w:val="20"/>
        </w:rPr>
      </w:pPr>
    </w:p>
    <w:p w14:paraId="64F743C0">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w:t>
      </w:r>
      <w:r>
        <w:rPr>
          <w:rFonts w:hint="eastAsia" w:eastAsiaTheme="minorEastAsia"/>
          <w:color w:val="000000"/>
          <w:sz w:val="24"/>
          <w:lang w:val="en-US" w:eastAsia="zh-CN"/>
        </w:rPr>
        <w:t>/包号</w:t>
      </w:r>
      <w:r>
        <w:rPr>
          <w:rFonts w:eastAsiaTheme="minorEastAsia"/>
          <w:color w:val="000000"/>
          <w:sz w:val="24"/>
        </w:rPr>
        <w:t xml:space="preserve">：_______________     </w:t>
      </w:r>
      <w:r>
        <w:rPr>
          <w:rFonts w:hint="eastAsia" w:eastAsiaTheme="minorEastAsia"/>
          <w:color w:val="000000"/>
          <w:sz w:val="24"/>
          <w:lang w:val="en-US" w:eastAsia="zh-CN"/>
        </w:rPr>
        <w:t xml:space="preserve">          </w:t>
      </w:r>
      <w:r>
        <w:rPr>
          <w:rFonts w:eastAsiaTheme="minorEastAsia"/>
          <w:color w:val="000000"/>
          <w:sz w:val="24"/>
        </w:rPr>
        <w:t>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530"/>
        <w:gridCol w:w="1729"/>
        <w:gridCol w:w="1730"/>
        <w:gridCol w:w="2120"/>
        <w:gridCol w:w="962"/>
      </w:tblGrid>
      <w:tr w14:paraId="097D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648BFDC">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7CE26904">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0FC8F4B2">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61086C5E">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29E8068D">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41920AB4">
            <w:pPr>
              <w:adjustRightInd w:val="0"/>
              <w:snapToGrid w:val="0"/>
              <w:jc w:val="center"/>
              <w:rPr>
                <w:rFonts w:eastAsiaTheme="minorEastAsia"/>
                <w:color w:val="000000"/>
                <w:sz w:val="24"/>
              </w:rPr>
            </w:pPr>
            <w:r>
              <w:rPr>
                <w:rFonts w:eastAsiaTheme="minorEastAsia"/>
                <w:color w:val="000000"/>
                <w:sz w:val="24"/>
              </w:rPr>
              <w:t>说明</w:t>
            </w:r>
          </w:p>
        </w:tc>
      </w:tr>
      <w:tr w14:paraId="4068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84DA40C">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0D004720">
            <w:pPr>
              <w:adjustRightInd w:val="0"/>
              <w:snapToGrid w:val="0"/>
              <w:jc w:val="left"/>
              <w:rPr>
                <w:rFonts w:eastAsiaTheme="minorEastAsia"/>
                <w:b/>
                <w:color w:val="000000"/>
                <w:sz w:val="24"/>
              </w:rPr>
            </w:pPr>
            <w:r>
              <w:rPr>
                <w:rFonts w:hint="eastAsia" w:eastAsiaTheme="minorEastAsia"/>
                <w:b/>
                <w:color w:val="000000"/>
                <w:sz w:val="24"/>
                <w:lang w:eastAsia="zh-CN"/>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3900307B">
            <w:pPr>
              <w:adjustRightInd w:val="0"/>
              <w:snapToGrid w:val="0"/>
              <w:jc w:val="left"/>
              <w:rPr>
                <w:rFonts w:eastAsiaTheme="minorEastAsia"/>
                <w:color w:val="000000"/>
                <w:sz w:val="24"/>
              </w:rPr>
            </w:pPr>
            <w:r>
              <w:rPr>
                <w:rFonts w:hint="eastAsia" w:eastAsiaTheme="minorEastAsia"/>
                <w:b/>
                <w:color w:val="000000"/>
                <w:sz w:val="24"/>
                <w:lang w:eastAsia="zh-CN"/>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14C5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22A149C">
            <w:pPr>
              <w:adjustRightInd w:val="0"/>
              <w:snapToGrid w:val="0"/>
              <w:jc w:val="center"/>
              <w:rPr>
                <w:rFonts w:eastAsiaTheme="minorEastAsia"/>
                <w:color w:val="000000"/>
                <w:sz w:val="24"/>
              </w:rPr>
            </w:pPr>
          </w:p>
        </w:tc>
        <w:tc>
          <w:tcPr>
            <w:tcW w:w="1394" w:type="dxa"/>
            <w:vAlign w:val="center"/>
          </w:tcPr>
          <w:p w14:paraId="7338DA29">
            <w:pPr>
              <w:adjustRightInd w:val="0"/>
              <w:snapToGrid w:val="0"/>
              <w:jc w:val="center"/>
              <w:rPr>
                <w:rFonts w:eastAsiaTheme="minorEastAsia"/>
                <w:color w:val="000000"/>
                <w:sz w:val="24"/>
              </w:rPr>
            </w:pPr>
          </w:p>
        </w:tc>
        <w:tc>
          <w:tcPr>
            <w:tcW w:w="1808" w:type="dxa"/>
            <w:vAlign w:val="center"/>
          </w:tcPr>
          <w:p w14:paraId="6E6EE3EE">
            <w:pPr>
              <w:adjustRightInd w:val="0"/>
              <w:snapToGrid w:val="0"/>
              <w:jc w:val="center"/>
              <w:rPr>
                <w:rFonts w:eastAsiaTheme="minorEastAsia"/>
                <w:color w:val="000000"/>
                <w:sz w:val="24"/>
              </w:rPr>
            </w:pPr>
          </w:p>
        </w:tc>
        <w:tc>
          <w:tcPr>
            <w:tcW w:w="1809" w:type="dxa"/>
            <w:vAlign w:val="center"/>
          </w:tcPr>
          <w:p w14:paraId="02D069DA">
            <w:pPr>
              <w:adjustRightInd w:val="0"/>
              <w:snapToGrid w:val="0"/>
              <w:jc w:val="center"/>
              <w:rPr>
                <w:rFonts w:eastAsiaTheme="minorEastAsia"/>
                <w:color w:val="000000"/>
                <w:sz w:val="24"/>
              </w:rPr>
            </w:pPr>
          </w:p>
        </w:tc>
        <w:tc>
          <w:tcPr>
            <w:tcW w:w="2290" w:type="dxa"/>
            <w:vAlign w:val="center"/>
          </w:tcPr>
          <w:p w14:paraId="01943157">
            <w:pPr>
              <w:adjustRightInd w:val="0"/>
              <w:snapToGrid w:val="0"/>
              <w:jc w:val="center"/>
              <w:rPr>
                <w:rFonts w:eastAsiaTheme="minorEastAsia"/>
                <w:color w:val="000000"/>
                <w:sz w:val="24"/>
              </w:rPr>
            </w:pPr>
          </w:p>
        </w:tc>
        <w:tc>
          <w:tcPr>
            <w:tcW w:w="863" w:type="dxa"/>
            <w:vAlign w:val="center"/>
          </w:tcPr>
          <w:p w14:paraId="41C2FF92">
            <w:pPr>
              <w:adjustRightInd w:val="0"/>
              <w:snapToGrid w:val="0"/>
              <w:jc w:val="center"/>
              <w:rPr>
                <w:rFonts w:eastAsiaTheme="minorEastAsia"/>
                <w:color w:val="000000"/>
                <w:sz w:val="24"/>
              </w:rPr>
            </w:pPr>
          </w:p>
        </w:tc>
      </w:tr>
      <w:tr w14:paraId="0F7A7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E9D309E">
            <w:pPr>
              <w:adjustRightInd w:val="0"/>
              <w:snapToGrid w:val="0"/>
              <w:jc w:val="center"/>
              <w:rPr>
                <w:rFonts w:eastAsiaTheme="minorEastAsia"/>
                <w:color w:val="000000"/>
                <w:sz w:val="24"/>
              </w:rPr>
            </w:pPr>
          </w:p>
        </w:tc>
        <w:tc>
          <w:tcPr>
            <w:tcW w:w="1394" w:type="dxa"/>
            <w:vAlign w:val="center"/>
          </w:tcPr>
          <w:p w14:paraId="44163F49">
            <w:pPr>
              <w:adjustRightInd w:val="0"/>
              <w:snapToGrid w:val="0"/>
              <w:jc w:val="center"/>
              <w:rPr>
                <w:rFonts w:eastAsiaTheme="minorEastAsia"/>
                <w:color w:val="000000"/>
                <w:sz w:val="24"/>
              </w:rPr>
            </w:pPr>
          </w:p>
        </w:tc>
        <w:tc>
          <w:tcPr>
            <w:tcW w:w="1808" w:type="dxa"/>
            <w:vAlign w:val="center"/>
          </w:tcPr>
          <w:p w14:paraId="3AC6265A">
            <w:pPr>
              <w:adjustRightInd w:val="0"/>
              <w:snapToGrid w:val="0"/>
              <w:jc w:val="center"/>
              <w:rPr>
                <w:rFonts w:eastAsiaTheme="minorEastAsia"/>
                <w:color w:val="000000"/>
                <w:sz w:val="24"/>
              </w:rPr>
            </w:pPr>
          </w:p>
        </w:tc>
        <w:tc>
          <w:tcPr>
            <w:tcW w:w="1809" w:type="dxa"/>
            <w:vAlign w:val="center"/>
          </w:tcPr>
          <w:p w14:paraId="4A1D3218">
            <w:pPr>
              <w:adjustRightInd w:val="0"/>
              <w:snapToGrid w:val="0"/>
              <w:jc w:val="center"/>
              <w:rPr>
                <w:rFonts w:eastAsiaTheme="minorEastAsia"/>
                <w:color w:val="000000"/>
                <w:sz w:val="24"/>
              </w:rPr>
            </w:pPr>
          </w:p>
        </w:tc>
        <w:tc>
          <w:tcPr>
            <w:tcW w:w="2290" w:type="dxa"/>
            <w:vAlign w:val="center"/>
          </w:tcPr>
          <w:p w14:paraId="4EDCEED0">
            <w:pPr>
              <w:adjustRightInd w:val="0"/>
              <w:snapToGrid w:val="0"/>
              <w:jc w:val="center"/>
              <w:rPr>
                <w:rFonts w:eastAsiaTheme="minorEastAsia"/>
                <w:color w:val="000000"/>
                <w:sz w:val="24"/>
              </w:rPr>
            </w:pPr>
          </w:p>
        </w:tc>
        <w:tc>
          <w:tcPr>
            <w:tcW w:w="863" w:type="dxa"/>
            <w:vAlign w:val="center"/>
          </w:tcPr>
          <w:p w14:paraId="3E909F76">
            <w:pPr>
              <w:adjustRightInd w:val="0"/>
              <w:snapToGrid w:val="0"/>
              <w:jc w:val="center"/>
              <w:rPr>
                <w:rFonts w:eastAsiaTheme="minorEastAsia"/>
                <w:color w:val="000000"/>
                <w:sz w:val="24"/>
              </w:rPr>
            </w:pPr>
          </w:p>
        </w:tc>
      </w:tr>
      <w:tr w14:paraId="2184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CF75147">
            <w:pPr>
              <w:adjustRightInd w:val="0"/>
              <w:snapToGrid w:val="0"/>
              <w:jc w:val="center"/>
              <w:rPr>
                <w:rFonts w:eastAsiaTheme="minorEastAsia"/>
                <w:color w:val="000000"/>
                <w:sz w:val="24"/>
              </w:rPr>
            </w:pPr>
          </w:p>
        </w:tc>
        <w:tc>
          <w:tcPr>
            <w:tcW w:w="1394" w:type="dxa"/>
            <w:vAlign w:val="center"/>
          </w:tcPr>
          <w:p w14:paraId="08583020">
            <w:pPr>
              <w:adjustRightInd w:val="0"/>
              <w:snapToGrid w:val="0"/>
              <w:jc w:val="center"/>
              <w:rPr>
                <w:rFonts w:eastAsiaTheme="minorEastAsia"/>
                <w:color w:val="000000"/>
                <w:sz w:val="24"/>
              </w:rPr>
            </w:pPr>
          </w:p>
        </w:tc>
        <w:tc>
          <w:tcPr>
            <w:tcW w:w="1808" w:type="dxa"/>
            <w:vAlign w:val="center"/>
          </w:tcPr>
          <w:p w14:paraId="239A7B97">
            <w:pPr>
              <w:adjustRightInd w:val="0"/>
              <w:snapToGrid w:val="0"/>
              <w:jc w:val="center"/>
              <w:rPr>
                <w:rFonts w:eastAsiaTheme="minorEastAsia"/>
                <w:color w:val="000000"/>
                <w:sz w:val="24"/>
              </w:rPr>
            </w:pPr>
          </w:p>
        </w:tc>
        <w:tc>
          <w:tcPr>
            <w:tcW w:w="1809" w:type="dxa"/>
            <w:vAlign w:val="center"/>
          </w:tcPr>
          <w:p w14:paraId="214C5435">
            <w:pPr>
              <w:adjustRightInd w:val="0"/>
              <w:snapToGrid w:val="0"/>
              <w:jc w:val="center"/>
              <w:rPr>
                <w:rFonts w:eastAsiaTheme="minorEastAsia"/>
                <w:color w:val="000000"/>
                <w:sz w:val="24"/>
              </w:rPr>
            </w:pPr>
          </w:p>
        </w:tc>
        <w:tc>
          <w:tcPr>
            <w:tcW w:w="2290" w:type="dxa"/>
            <w:vAlign w:val="center"/>
          </w:tcPr>
          <w:p w14:paraId="7512CA22">
            <w:pPr>
              <w:adjustRightInd w:val="0"/>
              <w:snapToGrid w:val="0"/>
              <w:jc w:val="center"/>
              <w:rPr>
                <w:rFonts w:eastAsiaTheme="minorEastAsia"/>
                <w:color w:val="000000"/>
                <w:sz w:val="24"/>
              </w:rPr>
            </w:pPr>
          </w:p>
        </w:tc>
        <w:tc>
          <w:tcPr>
            <w:tcW w:w="863" w:type="dxa"/>
            <w:vAlign w:val="center"/>
          </w:tcPr>
          <w:p w14:paraId="704CCCB0">
            <w:pPr>
              <w:adjustRightInd w:val="0"/>
              <w:snapToGrid w:val="0"/>
              <w:jc w:val="center"/>
              <w:rPr>
                <w:rFonts w:eastAsiaTheme="minorEastAsia"/>
                <w:color w:val="000000"/>
                <w:sz w:val="24"/>
              </w:rPr>
            </w:pPr>
          </w:p>
        </w:tc>
      </w:tr>
      <w:tr w14:paraId="34A4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D6B0F3A">
            <w:pPr>
              <w:adjustRightInd w:val="0"/>
              <w:snapToGrid w:val="0"/>
              <w:jc w:val="center"/>
              <w:rPr>
                <w:rFonts w:eastAsiaTheme="minorEastAsia"/>
                <w:color w:val="000000"/>
                <w:sz w:val="24"/>
              </w:rPr>
            </w:pPr>
          </w:p>
        </w:tc>
        <w:tc>
          <w:tcPr>
            <w:tcW w:w="1394" w:type="dxa"/>
            <w:vAlign w:val="center"/>
          </w:tcPr>
          <w:p w14:paraId="45899691">
            <w:pPr>
              <w:adjustRightInd w:val="0"/>
              <w:snapToGrid w:val="0"/>
              <w:jc w:val="center"/>
              <w:rPr>
                <w:rFonts w:eastAsiaTheme="minorEastAsia"/>
                <w:color w:val="000000"/>
                <w:sz w:val="24"/>
              </w:rPr>
            </w:pPr>
          </w:p>
        </w:tc>
        <w:tc>
          <w:tcPr>
            <w:tcW w:w="1808" w:type="dxa"/>
            <w:vAlign w:val="center"/>
          </w:tcPr>
          <w:p w14:paraId="7F4F0C98">
            <w:pPr>
              <w:adjustRightInd w:val="0"/>
              <w:snapToGrid w:val="0"/>
              <w:jc w:val="center"/>
              <w:rPr>
                <w:rFonts w:eastAsiaTheme="minorEastAsia"/>
                <w:color w:val="000000"/>
                <w:sz w:val="24"/>
              </w:rPr>
            </w:pPr>
          </w:p>
        </w:tc>
        <w:tc>
          <w:tcPr>
            <w:tcW w:w="1809" w:type="dxa"/>
            <w:vAlign w:val="center"/>
          </w:tcPr>
          <w:p w14:paraId="4E2E5DE9">
            <w:pPr>
              <w:adjustRightInd w:val="0"/>
              <w:snapToGrid w:val="0"/>
              <w:jc w:val="center"/>
              <w:rPr>
                <w:rFonts w:eastAsiaTheme="minorEastAsia"/>
                <w:color w:val="000000"/>
                <w:sz w:val="24"/>
              </w:rPr>
            </w:pPr>
          </w:p>
        </w:tc>
        <w:tc>
          <w:tcPr>
            <w:tcW w:w="2290" w:type="dxa"/>
            <w:vAlign w:val="center"/>
          </w:tcPr>
          <w:p w14:paraId="332B6371">
            <w:pPr>
              <w:adjustRightInd w:val="0"/>
              <w:snapToGrid w:val="0"/>
              <w:jc w:val="center"/>
              <w:rPr>
                <w:rFonts w:eastAsiaTheme="minorEastAsia"/>
                <w:color w:val="000000"/>
                <w:sz w:val="24"/>
              </w:rPr>
            </w:pPr>
          </w:p>
        </w:tc>
        <w:tc>
          <w:tcPr>
            <w:tcW w:w="863" w:type="dxa"/>
            <w:vAlign w:val="center"/>
          </w:tcPr>
          <w:p w14:paraId="64CAB614">
            <w:pPr>
              <w:adjustRightInd w:val="0"/>
              <w:snapToGrid w:val="0"/>
              <w:jc w:val="center"/>
              <w:rPr>
                <w:rFonts w:eastAsiaTheme="minorEastAsia"/>
                <w:color w:val="000000"/>
                <w:sz w:val="24"/>
              </w:rPr>
            </w:pPr>
          </w:p>
        </w:tc>
      </w:tr>
      <w:tr w14:paraId="447FE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0D291E6">
            <w:pPr>
              <w:adjustRightInd w:val="0"/>
              <w:snapToGrid w:val="0"/>
              <w:jc w:val="center"/>
              <w:rPr>
                <w:rFonts w:eastAsiaTheme="minorEastAsia"/>
                <w:color w:val="000000"/>
                <w:sz w:val="24"/>
              </w:rPr>
            </w:pPr>
          </w:p>
        </w:tc>
        <w:tc>
          <w:tcPr>
            <w:tcW w:w="1394" w:type="dxa"/>
            <w:vAlign w:val="center"/>
          </w:tcPr>
          <w:p w14:paraId="5C9A7B1B">
            <w:pPr>
              <w:adjustRightInd w:val="0"/>
              <w:snapToGrid w:val="0"/>
              <w:jc w:val="center"/>
              <w:rPr>
                <w:rFonts w:eastAsiaTheme="minorEastAsia"/>
                <w:color w:val="000000"/>
                <w:sz w:val="24"/>
              </w:rPr>
            </w:pPr>
          </w:p>
        </w:tc>
        <w:tc>
          <w:tcPr>
            <w:tcW w:w="1808" w:type="dxa"/>
            <w:vAlign w:val="center"/>
          </w:tcPr>
          <w:p w14:paraId="0CF0EB82">
            <w:pPr>
              <w:adjustRightInd w:val="0"/>
              <w:snapToGrid w:val="0"/>
              <w:jc w:val="center"/>
              <w:rPr>
                <w:rFonts w:eastAsiaTheme="minorEastAsia"/>
                <w:color w:val="000000"/>
                <w:sz w:val="24"/>
              </w:rPr>
            </w:pPr>
          </w:p>
        </w:tc>
        <w:tc>
          <w:tcPr>
            <w:tcW w:w="1809" w:type="dxa"/>
            <w:vAlign w:val="center"/>
          </w:tcPr>
          <w:p w14:paraId="56656F97">
            <w:pPr>
              <w:adjustRightInd w:val="0"/>
              <w:snapToGrid w:val="0"/>
              <w:jc w:val="center"/>
              <w:rPr>
                <w:rFonts w:eastAsiaTheme="minorEastAsia"/>
                <w:color w:val="000000"/>
                <w:sz w:val="24"/>
              </w:rPr>
            </w:pPr>
          </w:p>
        </w:tc>
        <w:tc>
          <w:tcPr>
            <w:tcW w:w="2290" w:type="dxa"/>
            <w:vAlign w:val="center"/>
          </w:tcPr>
          <w:p w14:paraId="0FD7EA7D">
            <w:pPr>
              <w:adjustRightInd w:val="0"/>
              <w:snapToGrid w:val="0"/>
              <w:jc w:val="center"/>
              <w:rPr>
                <w:rFonts w:eastAsiaTheme="minorEastAsia"/>
                <w:color w:val="000000"/>
                <w:sz w:val="24"/>
              </w:rPr>
            </w:pPr>
          </w:p>
        </w:tc>
        <w:tc>
          <w:tcPr>
            <w:tcW w:w="863" w:type="dxa"/>
            <w:vAlign w:val="center"/>
          </w:tcPr>
          <w:p w14:paraId="5DE0FF55">
            <w:pPr>
              <w:adjustRightInd w:val="0"/>
              <w:snapToGrid w:val="0"/>
              <w:jc w:val="center"/>
              <w:rPr>
                <w:rFonts w:eastAsiaTheme="minorEastAsia"/>
                <w:color w:val="000000"/>
                <w:sz w:val="24"/>
              </w:rPr>
            </w:pPr>
          </w:p>
        </w:tc>
      </w:tr>
    </w:tbl>
    <w:p w14:paraId="167CD8A8">
      <w:pPr>
        <w:tabs>
          <w:tab w:val="left" w:pos="1800"/>
          <w:tab w:val="left" w:pos="5580"/>
        </w:tabs>
        <w:jc w:val="left"/>
        <w:rPr>
          <w:rFonts w:eastAsiaTheme="minorEastAsia"/>
          <w:color w:val="000000"/>
          <w:sz w:val="24"/>
        </w:rPr>
      </w:pPr>
    </w:p>
    <w:p w14:paraId="0D444AC6">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37AFAA3C">
      <w:pPr>
        <w:spacing w:line="360" w:lineRule="auto"/>
        <w:rPr>
          <w:rFonts w:eastAsiaTheme="minorEastAsia"/>
          <w:color w:val="000000"/>
          <w:sz w:val="24"/>
          <w:szCs w:val="20"/>
        </w:rPr>
      </w:pPr>
    </w:p>
    <w:p w14:paraId="68FA09E8">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2D79D02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362E4579">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lang w:val="en-US" w:eastAsia="zh-CN"/>
        </w:rPr>
        <w:t>9</w:t>
      </w:r>
      <w:r>
        <w:rPr>
          <w:rFonts w:eastAsiaTheme="minorEastAsia"/>
          <w:sz w:val="24"/>
        </w:rPr>
        <w:t xml:space="preserve">  </w:t>
      </w:r>
      <w:bookmarkEnd w:id="1009"/>
      <w:bookmarkEnd w:id="1010"/>
      <w:bookmarkEnd w:id="1011"/>
      <w:bookmarkEnd w:id="1012"/>
      <w:bookmarkEnd w:id="1013"/>
      <w:bookmarkEnd w:id="1014"/>
      <w:bookmarkEnd w:id="1015"/>
      <w:bookmarkEnd w:id="1016"/>
      <w:bookmarkEnd w:id="1017"/>
      <w:bookmarkEnd w:id="1018"/>
      <w:bookmarkEnd w:id="1019"/>
      <w:bookmarkEnd w:id="1020"/>
      <w:bookmarkEnd w:id="1021"/>
      <w:r>
        <w:rPr>
          <w:rFonts w:eastAsiaTheme="minorEastAsia"/>
          <w:sz w:val="24"/>
        </w:rPr>
        <w:t>采购需求偏离表（实质性格式）</w:t>
      </w:r>
    </w:p>
    <w:p w14:paraId="589EC005">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206880D0">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w:t>
      </w:r>
      <w:r>
        <w:rPr>
          <w:rFonts w:hint="eastAsia" w:eastAsiaTheme="minorEastAsia"/>
          <w:color w:val="000000"/>
          <w:sz w:val="24"/>
          <w:lang w:val="en-US" w:eastAsia="zh-CN"/>
        </w:rPr>
        <w:t>/包号</w:t>
      </w:r>
      <w:r>
        <w:rPr>
          <w:rFonts w:eastAsiaTheme="minorEastAsia"/>
          <w:color w:val="000000"/>
          <w:sz w:val="24"/>
        </w:rPr>
        <w:t>：_______________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EFE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458CE3E">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196B5349">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7C498199">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26113363">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717B3B71">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4804FA33">
            <w:pPr>
              <w:adjustRightInd w:val="0"/>
              <w:snapToGrid w:val="0"/>
              <w:jc w:val="center"/>
              <w:rPr>
                <w:rFonts w:eastAsiaTheme="minorEastAsia"/>
                <w:color w:val="000000"/>
                <w:sz w:val="24"/>
              </w:rPr>
            </w:pPr>
            <w:r>
              <w:rPr>
                <w:rFonts w:eastAsiaTheme="minorEastAsia"/>
                <w:color w:val="000000"/>
                <w:sz w:val="24"/>
              </w:rPr>
              <w:t>说明</w:t>
            </w:r>
          </w:p>
        </w:tc>
      </w:tr>
      <w:tr w14:paraId="7AD7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1B315C3">
            <w:pPr>
              <w:adjustRightInd w:val="0"/>
              <w:snapToGrid w:val="0"/>
              <w:jc w:val="center"/>
              <w:rPr>
                <w:rFonts w:eastAsiaTheme="minorEastAsia"/>
                <w:color w:val="000000"/>
                <w:sz w:val="24"/>
              </w:rPr>
            </w:pPr>
          </w:p>
        </w:tc>
        <w:tc>
          <w:tcPr>
            <w:tcW w:w="1482" w:type="dxa"/>
            <w:vAlign w:val="center"/>
          </w:tcPr>
          <w:p w14:paraId="072291C4">
            <w:pPr>
              <w:adjustRightInd w:val="0"/>
              <w:snapToGrid w:val="0"/>
              <w:jc w:val="center"/>
              <w:rPr>
                <w:rFonts w:eastAsiaTheme="minorEastAsia"/>
                <w:color w:val="000000"/>
                <w:sz w:val="24"/>
              </w:rPr>
            </w:pPr>
          </w:p>
        </w:tc>
        <w:tc>
          <w:tcPr>
            <w:tcW w:w="2384" w:type="dxa"/>
            <w:vAlign w:val="center"/>
          </w:tcPr>
          <w:p w14:paraId="38902179">
            <w:pPr>
              <w:adjustRightInd w:val="0"/>
              <w:snapToGrid w:val="0"/>
              <w:jc w:val="center"/>
              <w:rPr>
                <w:rFonts w:eastAsiaTheme="minorEastAsia"/>
                <w:color w:val="000000"/>
                <w:sz w:val="24"/>
              </w:rPr>
            </w:pPr>
          </w:p>
        </w:tc>
        <w:tc>
          <w:tcPr>
            <w:tcW w:w="2126" w:type="dxa"/>
            <w:vAlign w:val="center"/>
          </w:tcPr>
          <w:p w14:paraId="6F33E1FF">
            <w:pPr>
              <w:adjustRightInd w:val="0"/>
              <w:snapToGrid w:val="0"/>
              <w:jc w:val="center"/>
              <w:rPr>
                <w:rFonts w:eastAsiaTheme="minorEastAsia"/>
                <w:color w:val="000000"/>
                <w:sz w:val="24"/>
              </w:rPr>
            </w:pPr>
          </w:p>
        </w:tc>
        <w:tc>
          <w:tcPr>
            <w:tcW w:w="1875" w:type="dxa"/>
            <w:vAlign w:val="center"/>
          </w:tcPr>
          <w:p w14:paraId="2EC11E40">
            <w:pPr>
              <w:adjustRightInd w:val="0"/>
              <w:snapToGrid w:val="0"/>
              <w:jc w:val="center"/>
              <w:rPr>
                <w:rFonts w:eastAsiaTheme="minorEastAsia"/>
                <w:color w:val="000000"/>
                <w:sz w:val="24"/>
              </w:rPr>
            </w:pPr>
          </w:p>
        </w:tc>
        <w:tc>
          <w:tcPr>
            <w:tcW w:w="1009" w:type="dxa"/>
            <w:vAlign w:val="center"/>
          </w:tcPr>
          <w:p w14:paraId="59A8E0B7">
            <w:pPr>
              <w:adjustRightInd w:val="0"/>
              <w:snapToGrid w:val="0"/>
              <w:jc w:val="center"/>
              <w:rPr>
                <w:rFonts w:eastAsiaTheme="minorEastAsia"/>
                <w:color w:val="000000"/>
                <w:sz w:val="24"/>
              </w:rPr>
            </w:pPr>
          </w:p>
        </w:tc>
      </w:tr>
      <w:tr w14:paraId="40D3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432A24">
            <w:pPr>
              <w:adjustRightInd w:val="0"/>
              <w:snapToGrid w:val="0"/>
              <w:jc w:val="center"/>
              <w:rPr>
                <w:rFonts w:eastAsiaTheme="minorEastAsia"/>
                <w:color w:val="000000"/>
                <w:sz w:val="24"/>
              </w:rPr>
            </w:pPr>
          </w:p>
        </w:tc>
        <w:tc>
          <w:tcPr>
            <w:tcW w:w="1482" w:type="dxa"/>
            <w:vAlign w:val="center"/>
          </w:tcPr>
          <w:p w14:paraId="3F12CF13">
            <w:pPr>
              <w:adjustRightInd w:val="0"/>
              <w:snapToGrid w:val="0"/>
              <w:jc w:val="center"/>
              <w:rPr>
                <w:rFonts w:eastAsiaTheme="minorEastAsia"/>
                <w:color w:val="000000"/>
                <w:sz w:val="24"/>
              </w:rPr>
            </w:pPr>
          </w:p>
        </w:tc>
        <w:tc>
          <w:tcPr>
            <w:tcW w:w="2384" w:type="dxa"/>
            <w:vAlign w:val="center"/>
          </w:tcPr>
          <w:p w14:paraId="1855D00C">
            <w:pPr>
              <w:adjustRightInd w:val="0"/>
              <w:snapToGrid w:val="0"/>
              <w:jc w:val="center"/>
              <w:rPr>
                <w:rFonts w:eastAsiaTheme="minorEastAsia"/>
                <w:color w:val="000000"/>
                <w:sz w:val="24"/>
              </w:rPr>
            </w:pPr>
          </w:p>
        </w:tc>
        <w:tc>
          <w:tcPr>
            <w:tcW w:w="2126" w:type="dxa"/>
            <w:vAlign w:val="center"/>
          </w:tcPr>
          <w:p w14:paraId="05CCA29B">
            <w:pPr>
              <w:adjustRightInd w:val="0"/>
              <w:snapToGrid w:val="0"/>
              <w:jc w:val="center"/>
              <w:rPr>
                <w:rFonts w:eastAsiaTheme="minorEastAsia"/>
                <w:color w:val="000000"/>
                <w:sz w:val="24"/>
              </w:rPr>
            </w:pPr>
          </w:p>
        </w:tc>
        <w:tc>
          <w:tcPr>
            <w:tcW w:w="1875" w:type="dxa"/>
            <w:vAlign w:val="center"/>
          </w:tcPr>
          <w:p w14:paraId="73A7B4F0">
            <w:pPr>
              <w:adjustRightInd w:val="0"/>
              <w:snapToGrid w:val="0"/>
              <w:jc w:val="center"/>
              <w:rPr>
                <w:rFonts w:eastAsiaTheme="minorEastAsia"/>
                <w:color w:val="000000"/>
                <w:sz w:val="24"/>
              </w:rPr>
            </w:pPr>
          </w:p>
        </w:tc>
        <w:tc>
          <w:tcPr>
            <w:tcW w:w="1009" w:type="dxa"/>
            <w:vAlign w:val="center"/>
          </w:tcPr>
          <w:p w14:paraId="5F80839A">
            <w:pPr>
              <w:adjustRightInd w:val="0"/>
              <w:snapToGrid w:val="0"/>
              <w:jc w:val="center"/>
              <w:rPr>
                <w:rFonts w:eastAsiaTheme="minorEastAsia"/>
                <w:color w:val="000000"/>
                <w:sz w:val="24"/>
              </w:rPr>
            </w:pPr>
          </w:p>
        </w:tc>
      </w:tr>
      <w:tr w14:paraId="7A53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7F2BB0">
            <w:pPr>
              <w:adjustRightInd w:val="0"/>
              <w:snapToGrid w:val="0"/>
              <w:jc w:val="center"/>
              <w:rPr>
                <w:rFonts w:eastAsiaTheme="minorEastAsia"/>
                <w:color w:val="000000"/>
                <w:sz w:val="24"/>
              </w:rPr>
            </w:pPr>
          </w:p>
        </w:tc>
        <w:tc>
          <w:tcPr>
            <w:tcW w:w="1482" w:type="dxa"/>
            <w:vAlign w:val="center"/>
          </w:tcPr>
          <w:p w14:paraId="219A52A4">
            <w:pPr>
              <w:adjustRightInd w:val="0"/>
              <w:snapToGrid w:val="0"/>
              <w:jc w:val="center"/>
              <w:rPr>
                <w:rFonts w:eastAsiaTheme="minorEastAsia"/>
                <w:color w:val="000000"/>
                <w:sz w:val="24"/>
              </w:rPr>
            </w:pPr>
          </w:p>
        </w:tc>
        <w:tc>
          <w:tcPr>
            <w:tcW w:w="2384" w:type="dxa"/>
            <w:vAlign w:val="center"/>
          </w:tcPr>
          <w:p w14:paraId="3F2A9092">
            <w:pPr>
              <w:adjustRightInd w:val="0"/>
              <w:snapToGrid w:val="0"/>
              <w:jc w:val="center"/>
              <w:rPr>
                <w:rFonts w:eastAsiaTheme="minorEastAsia"/>
                <w:color w:val="000000"/>
                <w:sz w:val="24"/>
              </w:rPr>
            </w:pPr>
          </w:p>
        </w:tc>
        <w:tc>
          <w:tcPr>
            <w:tcW w:w="2126" w:type="dxa"/>
            <w:vAlign w:val="center"/>
          </w:tcPr>
          <w:p w14:paraId="1E18A4E8">
            <w:pPr>
              <w:adjustRightInd w:val="0"/>
              <w:snapToGrid w:val="0"/>
              <w:jc w:val="center"/>
              <w:rPr>
                <w:rFonts w:eastAsiaTheme="minorEastAsia"/>
                <w:color w:val="000000"/>
                <w:sz w:val="24"/>
              </w:rPr>
            </w:pPr>
          </w:p>
        </w:tc>
        <w:tc>
          <w:tcPr>
            <w:tcW w:w="1875" w:type="dxa"/>
            <w:vAlign w:val="center"/>
          </w:tcPr>
          <w:p w14:paraId="24AEF44E">
            <w:pPr>
              <w:adjustRightInd w:val="0"/>
              <w:snapToGrid w:val="0"/>
              <w:jc w:val="center"/>
              <w:rPr>
                <w:rFonts w:eastAsiaTheme="minorEastAsia"/>
                <w:color w:val="000000"/>
                <w:sz w:val="24"/>
              </w:rPr>
            </w:pPr>
          </w:p>
        </w:tc>
        <w:tc>
          <w:tcPr>
            <w:tcW w:w="1009" w:type="dxa"/>
            <w:vAlign w:val="center"/>
          </w:tcPr>
          <w:p w14:paraId="2CA7948B">
            <w:pPr>
              <w:adjustRightInd w:val="0"/>
              <w:snapToGrid w:val="0"/>
              <w:jc w:val="center"/>
              <w:rPr>
                <w:rFonts w:eastAsiaTheme="minorEastAsia"/>
                <w:color w:val="000000"/>
                <w:sz w:val="24"/>
              </w:rPr>
            </w:pPr>
          </w:p>
        </w:tc>
      </w:tr>
      <w:tr w14:paraId="63759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D197CE">
            <w:pPr>
              <w:adjustRightInd w:val="0"/>
              <w:snapToGrid w:val="0"/>
              <w:jc w:val="center"/>
              <w:rPr>
                <w:rFonts w:eastAsiaTheme="minorEastAsia"/>
                <w:color w:val="000000"/>
                <w:sz w:val="24"/>
              </w:rPr>
            </w:pPr>
          </w:p>
        </w:tc>
        <w:tc>
          <w:tcPr>
            <w:tcW w:w="1482" w:type="dxa"/>
            <w:vAlign w:val="center"/>
          </w:tcPr>
          <w:p w14:paraId="3AE5E593">
            <w:pPr>
              <w:adjustRightInd w:val="0"/>
              <w:snapToGrid w:val="0"/>
              <w:jc w:val="center"/>
              <w:rPr>
                <w:rFonts w:eastAsiaTheme="minorEastAsia"/>
                <w:color w:val="000000"/>
                <w:sz w:val="24"/>
              </w:rPr>
            </w:pPr>
          </w:p>
        </w:tc>
        <w:tc>
          <w:tcPr>
            <w:tcW w:w="2384" w:type="dxa"/>
            <w:vAlign w:val="center"/>
          </w:tcPr>
          <w:p w14:paraId="54F92969">
            <w:pPr>
              <w:adjustRightInd w:val="0"/>
              <w:snapToGrid w:val="0"/>
              <w:jc w:val="center"/>
              <w:rPr>
                <w:rFonts w:eastAsiaTheme="minorEastAsia"/>
                <w:color w:val="000000"/>
                <w:sz w:val="24"/>
              </w:rPr>
            </w:pPr>
          </w:p>
        </w:tc>
        <w:tc>
          <w:tcPr>
            <w:tcW w:w="2126" w:type="dxa"/>
            <w:vAlign w:val="center"/>
          </w:tcPr>
          <w:p w14:paraId="4E624BF9">
            <w:pPr>
              <w:adjustRightInd w:val="0"/>
              <w:snapToGrid w:val="0"/>
              <w:jc w:val="center"/>
              <w:rPr>
                <w:rFonts w:eastAsiaTheme="minorEastAsia"/>
                <w:color w:val="000000"/>
                <w:sz w:val="24"/>
              </w:rPr>
            </w:pPr>
          </w:p>
        </w:tc>
        <w:tc>
          <w:tcPr>
            <w:tcW w:w="1875" w:type="dxa"/>
            <w:vAlign w:val="center"/>
          </w:tcPr>
          <w:p w14:paraId="6A4F3F00">
            <w:pPr>
              <w:adjustRightInd w:val="0"/>
              <w:snapToGrid w:val="0"/>
              <w:jc w:val="center"/>
              <w:rPr>
                <w:rFonts w:eastAsiaTheme="minorEastAsia"/>
                <w:color w:val="000000"/>
                <w:sz w:val="24"/>
              </w:rPr>
            </w:pPr>
          </w:p>
        </w:tc>
        <w:tc>
          <w:tcPr>
            <w:tcW w:w="1009" w:type="dxa"/>
            <w:vAlign w:val="center"/>
          </w:tcPr>
          <w:p w14:paraId="62A2C374">
            <w:pPr>
              <w:adjustRightInd w:val="0"/>
              <w:snapToGrid w:val="0"/>
              <w:jc w:val="center"/>
              <w:rPr>
                <w:rFonts w:eastAsiaTheme="minorEastAsia"/>
                <w:color w:val="000000"/>
                <w:sz w:val="24"/>
              </w:rPr>
            </w:pPr>
          </w:p>
        </w:tc>
      </w:tr>
      <w:tr w14:paraId="5E049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BBCF82C">
            <w:pPr>
              <w:adjustRightInd w:val="0"/>
              <w:snapToGrid w:val="0"/>
              <w:jc w:val="center"/>
              <w:rPr>
                <w:rFonts w:eastAsiaTheme="minorEastAsia"/>
                <w:color w:val="000000"/>
                <w:sz w:val="24"/>
              </w:rPr>
            </w:pPr>
          </w:p>
        </w:tc>
        <w:tc>
          <w:tcPr>
            <w:tcW w:w="1482" w:type="dxa"/>
            <w:vAlign w:val="center"/>
          </w:tcPr>
          <w:p w14:paraId="2E993338">
            <w:pPr>
              <w:adjustRightInd w:val="0"/>
              <w:snapToGrid w:val="0"/>
              <w:jc w:val="center"/>
              <w:rPr>
                <w:rFonts w:eastAsiaTheme="minorEastAsia"/>
                <w:color w:val="000000"/>
                <w:sz w:val="24"/>
              </w:rPr>
            </w:pPr>
          </w:p>
        </w:tc>
        <w:tc>
          <w:tcPr>
            <w:tcW w:w="2384" w:type="dxa"/>
            <w:vAlign w:val="center"/>
          </w:tcPr>
          <w:p w14:paraId="32246EB5">
            <w:pPr>
              <w:adjustRightInd w:val="0"/>
              <w:snapToGrid w:val="0"/>
              <w:jc w:val="center"/>
              <w:rPr>
                <w:rFonts w:eastAsiaTheme="minorEastAsia"/>
                <w:color w:val="000000"/>
                <w:sz w:val="24"/>
              </w:rPr>
            </w:pPr>
          </w:p>
        </w:tc>
        <w:tc>
          <w:tcPr>
            <w:tcW w:w="2126" w:type="dxa"/>
            <w:vAlign w:val="center"/>
          </w:tcPr>
          <w:p w14:paraId="7FFA3A14">
            <w:pPr>
              <w:adjustRightInd w:val="0"/>
              <w:snapToGrid w:val="0"/>
              <w:jc w:val="center"/>
              <w:rPr>
                <w:rFonts w:eastAsiaTheme="minorEastAsia"/>
                <w:color w:val="000000"/>
                <w:sz w:val="24"/>
              </w:rPr>
            </w:pPr>
          </w:p>
        </w:tc>
        <w:tc>
          <w:tcPr>
            <w:tcW w:w="1875" w:type="dxa"/>
            <w:vAlign w:val="center"/>
          </w:tcPr>
          <w:p w14:paraId="29A096F5">
            <w:pPr>
              <w:adjustRightInd w:val="0"/>
              <w:snapToGrid w:val="0"/>
              <w:jc w:val="center"/>
              <w:rPr>
                <w:rFonts w:eastAsiaTheme="minorEastAsia"/>
                <w:color w:val="000000"/>
                <w:sz w:val="24"/>
              </w:rPr>
            </w:pPr>
          </w:p>
        </w:tc>
        <w:tc>
          <w:tcPr>
            <w:tcW w:w="1009" w:type="dxa"/>
            <w:vAlign w:val="center"/>
          </w:tcPr>
          <w:p w14:paraId="609BCAB1">
            <w:pPr>
              <w:adjustRightInd w:val="0"/>
              <w:snapToGrid w:val="0"/>
              <w:jc w:val="center"/>
              <w:rPr>
                <w:rFonts w:eastAsiaTheme="minorEastAsia"/>
                <w:color w:val="000000"/>
                <w:sz w:val="24"/>
              </w:rPr>
            </w:pPr>
          </w:p>
        </w:tc>
      </w:tr>
      <w:tr w14:paraId="0B94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0D93A9">
            <w:pPr>
              <w:adjustRightInd w:val="0"/>
              <w:snapToGrid w:val="0"/>
              <w:jc w:val="center"/>
              <w:rPr>
                <w:rFonts w:eastAsiaTheme="minorEastAsia"/>
                <w:color w:val="000000"/>
                <w:sz w:val="24"/>
              </w:rPr>
            </w:pPr>
          </w:p>
        </w:tc>
        <w:tc>
          <w:tcPr>
            <w:tcW w:w="1482" w:type="dxa"/>
            <w:vAlign w:val="center"/>
          </w:tcPr>
          <w:p w14:paraId="09B6BEF5">
            <w:pPr>
              <w:adjustRightInd w:val="0"/>
              <w:snapToGrid w:val="0"/>
              <w:jc w:val="center"/>
              <w:rPr>
                <w:rFonts w:eastAsiaTheme="minorEastAsia"/>
                <w:color w:val="000000"/>
                <w:sz w:val="24"/>
              </w:rPr>
            </w:pPr>
          </w:p>
        </w:tc>
        <w:tc>
          <w:tcPr>
            <w:tcW w:w="2384" w:type="dxa"/>
            <w:vAlign w:val="center"/>
          </w:tcPr>
          <w:p w14:paraId="49BD8653">
            <w:pPr>
              <w:adjustRightInd w:val="0"/>
              <w:snapToGrid w:val="0"/>
              <w:jc w:val="center"/>
              <w:rPr>
                <w:rFonts w:eastAsiaTheme="minorEastAsia"/>
                <w:color w:val="000000"/>
                <w:sz w:val="24"/>
              </w:rPr>
            </w:pPr>
          </w:p>
        </w:tc>
        <w:tc>
          <w:tcPr>
            <w:tcW w:w="2126" w:type="dxa"/>
            <w:vAlign w:val="center"/>
          </w:tcPr>
          <w:p w14:paraId="7ED4F475">
            <w:pPr>
              <w:adjustRightInd w:val="0"/>
              <w:snapToGrid w:val="0"/>
              <w:jc w:val="center"/>
              <w:rPr>
                <w:rFonts w:eastAsiaTheme="minorEastAsia"/>
                <w:color w:val="000000"/>
                <w:sz w:val="24"/>
              </w:rPr>
            </w:pPr>
          </w:p>
        </w:tc>
        <w:tc>
          <w:tcPr>
            <w:tcW w:w="1875" w:type="dxa"/>
            <w:vAlign w:val="center"/>
          </w:tcPr>
          <w:p w14:paraId="2310AACC">
            <w:pPr>
              <w:adjustRightInd w:val="0"/>
              <w:snapToGrid w:val="0"/>
              <w:jc w:val="center"/>
              <w:rPr>
                <w:rFonts w:eastAsiaTheme="minorEastAsia"/>
                <w:color w:val="000000"/>
                <w:sz w:val="24"/>
              </w:rPr>
            </w:pPr>
          </w:p>
        </w:tc>
        <w:tc>
          <w:tcPr>
            <w:tcW w:w="1009" w:type="dxa"/>
            <w:vAlign w:val="center"/>
          </w:tcPr>
          <w:p w14:paraId="08F23D8A">
            <w:pPr>
              <w:adjustRightInd w:val="0"/>
              <w:snapToGrid w:val="0"/>
              <w:jc w:val="center"/>
              <w:rPr>
                <w:rFonts w:eastAsiaTheme="minorEastAsia"/>
                <w:color w:val="000000"/>
                <w:sz w:val="24"/>
              </w:rPr>
            </w:pPr>
          </w:p>
        </w:tc>
      </w:tr>
    </w:tbl>
    <w:p w14:paraId="33F20D08">
      <w:pPr>
        <w:tabs>
          <w:tab w:val="left" w:pos="1800"/>
          <w:tab w:val="left" w:pos="5580"/>
        </w:tabs>
        <w:spacing w:line="360" w:lineRule="auto"/>
        <w:ind w:firstLine="360" w:firstLineChars="150"/>
        <w:jc w:val="left"/>
        <w:rPr>
          <w:rFonts w:eastAsiaTheme="minorEastAsia"/>
          <w:color w:val="000000"/>
          <w:sz w:val="24"/>
          <w:u w:val="single"/>
        </w:rPr>
      </w:pPr>
    </w:p>
    <w:p w14:paraId="7AE3B286">
      <w:pPr>
        <w:tabs>
          <w:tab w:val="left" w:pos="1800"/>
          <w:tab w:val="left" w:pos="5580"/>
        </w:tabs>
        <w:spacing w:line="360" w:lineRule="auto"/>
        <w:ind w:firstLine="360" w:firstLineChars="150"/>
        <w:jc w:val="left"/>
        <w:rPr>
          <w:rFonts w:eastAsiaTheme="minorEastAsia"/>
          <w:color w:val="000000"/>
          <w:sz w:val="24"/>
          <w:u w:val="single"/>
        </w:rPr>
      </w:pPr>
    </w:p>
    <w:p w14:paraId="7CC661D0">
      <w:pPr>
        <w:tabs>
          <w:tab w:val="left" w:pos="1800"/>
          <w:tab w:val="left" w:pos="5580"/>
        </w:tabs>
        <w:jc w:val="left"/>
        <w:rPr>
          <w:rFonts w:eastAsiaTheme="minorEastAsia"/>
          <w:color w:val="000000"/>
          <w:sz w:val="24"/>
        </w:rPr>
      </w:pPr>
      <w:r>
        <w:rPr>
          <w:rFonts w:eastAsiaTheme="minorEastAsia"/>
          <w:color w:val="000000"/>
          <w:sz w:val="24"/>
        </w:rPr>
        <w:t>注：</w:t>
      </w:r>
    </w:p>
    <w:p w14:paraId="020099F8">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60A7FFE">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21D6CBA5">
      <w:pPr>
        <w:tabs>
          <w:tab w:val="left" w:pos="1800"/>
          <w:tab w:val="left" w:pos="5580"/>
        </w:tabs>
        <w:jc w:val="left"/>
        <w:rPr>
          <w:rFonts w:eastAsiaTheme="minorEastAsia"/>
          <w:color w:val="000000"/>
          <w:sz w:val="24"/>
        </w:rPr>
      </w:pPr>
    </w:p>
    <w:p w14:paraId="56FC2BB0">
      <w:pPr>
        <w:rPr>
          <w:rFonts w:eastAsiaTheme="minorEastAsia"/>
          <w:color w:val="000000"/>
          <w:sz w:val="24"/>
          <w:szCs w:val="20"/>
        </w:rPr>
      </w:pPr>
    </w:p>
    <w:p w14:paraId="283DE754">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3BCB1EEB">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5B030759">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spacing w:before="0" w:beforeAutospacing="0" w:after="0" w:afterAutospacing="0" w:line="360" w:lineRule="auto"/>
        <w:ind w:left="0" w:right="0"/>
        <w:jc w:val="both"/>
        <w:rPr>
          <w:rFonts w:hint="eastAsia" w:eastAsia="宋体"/>
          <w:lang w:eastAsia="zh-CN"/>
        </w:rPr>
      </w:pPr>
      <w:r>
        <w:rPr>
          <w:rFonts w:eastAsiaTheme="minorEastAsia"/>
          <w:color w:val="000000"/>
          <w:sz w:val="24"/>
          <w:szCs w:val="20"/>
        </w:rPr>
        <w:br w:type="page"/>
      </w:r>
      <w:r>
        <w:rPr>
          <w:rFonts w:hint="default" w:ascii="Times New Roman" w:hAnsi="Times New Roman" w:cs="Times New Roman"/>
          <w:color w:val="000000"/>
          <w:sz w:val="24"/>
          <w:szCs w:val="24"/>
        </w:rPr>
        <w:t>1</w:t>
      </w:r>
      <w:r>
        <w:rPr>
          <w:rFonts w:hint="eastAsia" w:ascii="Times New Roman" w:hAnsi="Times New Roman" w:cs="Times New Roman"/>
          <w:color w:val="000000"/>
          <w:sz w:val="24"/>
          <w:szCs w:val="24"/>
          <w:lang w:val="en-US" w:eastAsia="zh-CN"/>
        </w:rPr>
        <w:t>0</w:t>
      </w:r>
      <w:r>
        <w:rPr>
          <w:rFonts w:hint="default" w:ascii="Times New Roman" w:hAnsi="Times New Roman" w:cs="Times New Roman"/>
          <w:color w:val="000000"/>
          <w:sz w:val="24"/>
          <w:szCs w:val="24"/>
        </w:rPr>
        <w:t xml:space="preserve"> 本国产品标准证明文件</w:t>
      </w:r>
      <w:r>
        <w:rPr>
          <w:rFonts w:hint="eastAsia" w:ascii="Times New Roman" w:hAnsi="Times New Roman" w:cs="Times New Roman"/>
          <w:color w:val="000000"/>
          <w:sz w:val="24"/>
          <w:szCs w:val="24"/>
          <w:lang w:eastAsia="zh-CN"/>
        </w:rPr>
        <w:t>（</w:t>
      </w:r>
      <w:r>
        <w:rPr>
          <w:rFonts w:hint="eastAsia" w:ascii="Times New Roman" w:hAnsi="Times New Roman" w:cs="Times New Roman"/>
          <w:color w:val="000000"/>
          <w:sz w:val="24"/>
          <w:szCs w:val="24"/>
          <w:lang w:val="en-US" w:eastAsia="zh-CN"/>
        </w:rPr>
        <w:t>如适用</w:t>
      </w:r>
      <w:r>
        <w:rPr>
          <w:rFonts w:hint="eastAsia" w:ascii="Times New Roman" w:hAnsi="Times New Roman" w:cs="Times New Roman"/>
          <w:color w:val="000000"/>
          <w:sz w:val="24"/>
          <w:szCs w:val="24"/>
          <w:lang w:eastAsia="zh-CN"/>
        </w:rPr>
        <w:t>）</w:t>
      </w:r>
    </w:p>
    <w:p w14:paraId="127A3B3D">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jc w:val="center"/>
      </w:pPr>
      <w:r>
        <w:rPr>
          <w:rFonts w:hint="eastAsia" w:ascii="宋体" w:hAnsi="宋体" w:eastAsia="宋体" w:cs="宋体"/>
          <w:b/>
          <w:bCs/>
          <w:color w:val="333333"/>
          <w:sz w:val="36"/>
          <w:szCs w:val="36"/>
          <w:shd w:val="clear" w:fill="FFFFFF"/>
        </w:rPr>
        <w:t>关于符合本国产品标准的声明函</w:t>
      </w:r>
    </w:p>
    <w:p w14:paraId="71028B06">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ind w:left="0" w:firstLine="420"/>
      </w:pPr>
      <w:r>
        <w:rPr>
          <w:shd w:val="clear" w:fill="FFFFFF"/>
        </w:rPr>
        <w:t> </w:t>
      </w:r>
    </w:p>
    <w:p w14:paraId="12124A6A">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pPr>
      <w:r>
        <w:rPr>
          <w:rFonts w:hint="eastAsia" w:ascii="宋体" w:hAnsi="宋体" w:eastAsia="宋体" w:cs="宋体"/>
          <w:color w:val="333333"/>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028D1A18">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pPr>
      <w:r>
        <w:rPr>
          <w:rFonts w:hint="eastAsia" w:ascii="宋体" w:hAnsi="宋体" w:eastAsia="宋体" w:cs="宋体"/>
          <w:color w:val="333333"/>
          <w:sz w:val="24"/>
          <w:szCs w:val="24"/>
          <w:shd w:val="clear" w:fill="FFFFFF"/>
        </w:rPr>
        <w:t>1.</w:t>
      </w:r>
      <w:r>
        <w:rPr>
          <w:rFonts w:hint="eastAsia" w:ascii="宋体" w:hAnsi="宋体" w:eastAsia="宋体" w:cs="宋体"/>
          <w:color w:val="333333"/>
          <w:sz w:val="24"/>
          <w:szCs w:val="24"/>
          <w:u w:val="single"/>
          <w:shd w:val="clear" w:fill="FFFFFF"/>
        </w:rPr>
        <w:t>（产品名称1）</w:t>
      </w:r>
      <w:r>
        <w:rPr>
          <w:rFonts w:hint="eastAsia" w:ascii="宋体" w:hAnsi="宋体" w:eastAsia="宋体" w:cs="宋体"/>
          <w:color w:val="333333"/>
          <w:sz w:val="24"/>
          <w:szCs w:val="24"/>
          <w:shd w:val="clear" w:fill="FFFFFF"/>
          <w:vertAlign w:val="superscript"/>
        </w:rPr>
        <w:t>1</w:t>
      </w:r>
      <w:r>
        <w:rPr>
          <w:rFonts w:hint="eastAsia" w:ascii="宋体" w:hAnsi="宋体" w:eastAsia="宋体" w:cs="宋体"/>
          <w:color w:val="333333"/>
          <w:sz w:val="24"/>
          <w:szCs w:val="24"/>
          <w:shd w:val="clear" w:fill="FFFFFF"/>
        </w:rPr>
        <w:t>，生产厂为</w:t>
      </w:r>
      <w:r>
        <w:rPr>
          <w:rFonts w:hint="eastAsia" w:ascii="宋体" w:hAnsi="宋体" w:eastAsia="宋体" w:cs="宋体"/>
          <w:color w:val="333333"/>
          <w:sz w:val="24"/>
          <w:szCs w:val="24"/>
          <w:u w:val="single"/>
          <w:shd w:val="clear" w:fill="FFFFFF"/>
        </w:rPr>
        <w:t>（厂名）</w:t>
      </w:r>
      <w:r>
        <w:rPr>
          <w:rFonts w:hint="eastAsia" w:ascii="宋体" w:hAnsi="宋体" w:eastAsia="宋体" w:cs="宋体"/>
          <w:color w:val="333333"/>
          <w:sz w:val="24"/>
          <w:szCs w:val="24"/>
          <w:shd w:val="clear" w:fill="FFFFFF"/>
          <w:vertAlign w:val="superscript"/>
        </w:rPr>
        <w:t>2</w:t>
      </w:r>
      <w:r>
        <w:rPr>
          <w:rFonts w:hint="eastAsia" w:ascii="宋体" w:hAnsi="宋体" w:eastAsia="宋体" w:cs="宋体"/>
          <w:color w:val="333333"/>
          <w:sz w:val="24"/>
          <w:szCs w:val="24"/>
          <w:shd w:val="clear" w:fill="FFFFFF"/>
        </w:rPr>
        <w:t>，厂址为</w:t>
      </w:r>
      <w:r>
        <w:rPr>
          <w:rFonts w:hint="eastAsia" w:ascii="宋体" w:hAnsi="宋体" w:eastAsia="宋体" w:cs="宋体"/>
          <w:color w:val="333333"/>
          <w:sz w:val="24"/>
          <w:szCs w:val="24"/>
          <w:u w:val="single"/>
          <w:shd w:val="clear" w:fill="FFFFFF"/>
        </w:rPr>
        <w:t>（生产厂址）</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u w:val="single"/>
          <w:shd w:val="clear" w:fill="FFFFFF"/>
        </w:rPr>
        <w:t>（产品名称1）</w:t>
      </w:r>
      <w:r>
        <w:rPr>
          <w:rFonts w:hint="eastAsia" w:ascii="宋体" w:hAnsi="宋体" w:eastAsia="宋体" w:cs="宋体"/>
          <w:color w:val="333333"/>
          <w:sz w:val="24"/>
          <w:szCs w:val="24"/>
          <w:shd w:val="clear" w:fill="FFFFFF"/>
        </w:rPr>
        <w:t>的中国境内生产的组件成本占比≥</w:t>
      </w:r>
      <w:r>
        <w:rPr>
          <w:rFonts w:hint="eastAsia" w:ascii="宋体" w:hAnsi="宋体" w:eastAsia="宋体" w:cs="宋体"/>
          <w:color w:val="333333"/>
          <w:sz w:val="24"/>
          <w:szCs w:val="24"/>
          <w:u w:val="single"/>
          <w:shd w:val="clear" w:fill="FFFFFF"/>
        </w:rPr>
        <w:t>（规定比例）</w:t>
      </w:r>
      <w:r>
        <w:rPr>
          <w:rFonts w:hint="eastAsia" w:ascii="宋体" w:hAnsi="宋体" w:eastAsia="宋体" w:cs="宋体"/>
          <w:color w:val="333333"/>
          <w:sz w:val="24"/>
          <w:szCs w:val="24"/>
          <w:shd w:val="clear" w:fill="FFFFFF"/>
          <w:vertAlign w:val="superscript"/>
        </w:rPr>
        <w:t>3</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u w:val="single"/>
          <w:shd w:val="clear" w:fill="FFFFFF"/>
        </w:rPr>
        <w:t>（产品名称1）</w:t>
      </w:r>
      <w:r>
        <w:rPr>
          <w:rFonts w:hint="eastAsia" w:ascii="宋体" w:hAnsi="宋体" w:eastAsia="宋体" w:cs="宋体"/>
          <w:color w:val="333333"/>
          <w:sz w:val="24"/>
          <w:szCs w:val="24"/>
          <w:shd w:val="clear" w:fill="FFFFFF"/>
        </w:rPr>
        <w:t>的</w:t>
      </w:r>
      <w:r>
        <w:rPr>
          <w:rFonts w:hint="eastAsia" w:ascii="宋体" w:hAnsi="宋体" w:eastAsia="宋体" w:cs="宋体"/>
          <w:color w:val="333333"/>
          <w:sz w:val="24"/>
          <w:szCs w:val="24"/>
          <w:u w:val="single"/>
          <w:shd w:val="clear" w:fill="FFFFFF"/>
        </w:rPr>
        <w:t>（关键组件）</w:t>
      </w:r>
      <w:r>
        <w:rPr>
          <w:rFonts w:hint="eastAsia" w:ascii="宋体" w:hAnsi="宋体" w:eastAsia="宋体" w:cs="宋体"/>
          <w:color w:val="333333"/>
          <w:sz w:val="24"/>
          <w:szCs w:val="24"/>
          <w:shd w:val="clear" w:fill="FFFFFF"/>
          <w:vertAlign w:val="superscript"/>
        </w:rPr>
        <w:t>4</w:t>
      </w:r>
      <w:r>
        <w:rPr>
          <w:rFonts w:hint="eastAsia" w:ascii="宋体" w:hAnsi="宋体" w:eastAsia="宋体" w:cs="宋体"/>
          <w:color w:val="333333"/>
          <w:sz w:val="24"/>
          <w:szCs w:val="24"/>
          <w:shd w:val="clear" w:fill="FFFFFF"/>
        </w:rPr>
        <w:t>在中国境内生产。</w:t>
      </w:r>
      <w:r>
        <w:rPr>
          <w:rFonts w:hint="eastAsia" w:ascii="宋体" w:hAnsi="宋体" w:eastAsia="宋体" w:cs="宋体"/>
          <w:color w:val="333333"/>
          <w:sz w:val="24"/>
          <w:szCs w:val="24"/>
          <w:u w:val="single"/>
          <w:shd w:val="clear" w:fill="FFFFFF"/>
        </w:rPr>
        <w:t>（产品名称1）</w:t>
      </w:r>
      <w:r>
        <w:rPr>
          <w:rFonts w:hint="eastAsia" w:ascii="宋体" w:hAnsi="宋体" w:eastAsia="宋体" w:cs="宋体"/>
          <w:color w:val="333333"/>
          <w:sz w:val="24"/>
          <w:szCs w:val="24"/>
          <w:shd w:val="clear" w:fill="FFFFFF"/>
        </w:rPr>
        <w:t>的</w:t>
      </w:r>
      <w:r>
        <w:rPr>
          <w:rFonts w:hint="eastAsia" w:ascii="宋体" w:hAnsi="宋体" w:eastAsia="宋体" w:cs="宋体"/>
          <w:color w:val="333333"/>
          <w:sz w:val="24"/>
          <w:szCs w:val="24"/>
          <w:u w:val="single"/>
          <w:shd w:val="clear" w:fill="FFFFFF"/>
        </w:rPr>
        <w:t>（关键工序）</w:t>
      </w:r>
      <w:r>
        <w:rPr>
          <w:rFonts w:hint="eastAsia" w:ascii="宋体" w:hAnsi="宋体" w:eastAsia="宋体" w:cs="宋体"/>
          <w:color w:val="333333"/>
          <w:sz w:val="24"/>
          <w:szCs w:val="24"/>
          <w:shd w:val="clear" w:fill="FFFFFF"/>
          <w:vertAlign w:val="superscript"/>
        </w:rPr>
        <w:t>5</w:t>
      </w:r>
      <w:r>
        <w:rPr>
          <w:rFonts w:hint="eastAsia" w:ascii="宋体" w:hAnsi="宋体" w:eastAsia="宋体" w:cs="宋体"/>
          <w:color w:val="333333"/>
          <w:sz w:val="24"/>
          <w:szCs w:val="24"/>
          <w:shd w:val="clear" w:fill="FFFFFF"/>
        </w:rPr>
        <w:t>在中国境内完成。</w:t>
      </w:r>
    </w:p>
    <w:p w14:paraId="6DD6BA1C">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pPr>
      <w:r>
        <w:rPr>
          <w:rFonts w:hint="eastAsia" w:ascii="宋体" w:hAnsi="宋体" w:eastAsia="宋体" w:cs="宋体"/>
          <w:color w:val="333333"/>
          <w:sz w:val="24"/>
          <w:szCs w:val="24"/>
          <w:shd w:val="clear" w:fill="FFFFFF"/>
        </w:rPr>
        <w:t>2.</w:t>
      </w:r>
      <w:r>
        <w:rPr>
          <w:rFonts w:hint="eastAsia" w:ascii="宋体" w:hAnsi="宋体" w:eastAsia="宋体" w:cs="宋体"/>
          <w:color w:val="333333"/>
          <w:sz w:val="24"/>
          <w:szCs w:val="24"/>
          <w:u w:val="single"/>
          <w:shd w:val="clear" w:fill="FFFFFF"/>
        </w:rPr>
        <w:t>（产品名称2）</w:t>
      </w:r>
      <w:r>
        <w:rPr>
          <w:rFonts w:hint="eastAsia" w:ascii="宋体" w:hAnsi="宋体" w:eastAsia="宋体" w:cs="宋体"/>
          <w:color w:val="333333"/>
          <w:sz w:val="24"/>
          <w:szCs w:val="24"/>
          <w:shd w:val="clear" w:fill="FFFFFF"/>
        </w:rPr>
        <w:t>，生产厂为</w:t>
      </w:r>
      <w:r>
        <w:rPr>
          <w:rFonts w:hint="eastAsia" w:ascii="宋体" w:hAnsi="宋体" w:eastAsia="宋体" w:cs="宋体"/>
          <w:color w:val="333333"/>
          <w:sz w:val="24"/>
          <w:szCs w:val="24"/>
          <w:u w:val="single"/>
          <w:shd w:val="clear" w:fill="FFFFFF"/>
        </w:rPr>
        <w:t>（厂名）</w:t>
      </w:r>
      <w:r>
        <w:rPr>
          <w:rFonts w:hint="eastAsia" w:ascii="宋体" w:hAnsi="宋体" w:eastAsia="宋体" w:cs="宋体"/>
          <w:color w:val="333333"/>
          <w:sz w:val="24"/>
          <w:szCs w:val="24"/>
          <w:shd w:val="clear" w:fill="FFFFFF"/>
        </w:rPr>
        <w:t>，厂址为</w:t>
      </w:r>
      <w:r>
        <w:rPr>
          <w:rFonts w:hint="eastAsia" w:ascii="宋体" w:hAnsi="宋体" w:eastAsia="宋体" w:cs="宋体"/>
          <w:color w:val="333333"/>
          <w:sz w:val="24"/>
          <w:szCs w:val="24"/>
          <w:u w:val="single"/>
          <w:shd w:val="clear" w:fill="FFFFFF"/>
        </w:rPr>
        <w:t>（生产厂址）</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u w:val="single"/>
          <w:shd w:val="clear" w:fill="FFFFFF"/>
        </w:rPr>
        <w:t>（产品名称2）</w:t>
      </w:r>
      <w:r>
        <w:rPr>
          <w:rFonts w:hint="eastAsia" w:ascii="宋体" w:hAnsi="宋体" w:eastAsia="宋体" w:cs="宋体"/>
          <w:color w:val="333333"/>
          <w:sz w:val="24"/>
          <w:szCs w:val="24"/>
          <w:shd w:val="clear" w:fill="FFFFFF"/>
        </w:rPr>
        <w:t>的中国境内生产的组件成本占比≥</w:t>
      </w:r>
      <w:r>
        <w:rPr>
          <w:rFonts w:hint="eastAsia" w:ascii="宋体" w:hAnsi="宋体" w:eastAsia="宋体" w:cs="宋体"/>
          <w:color w:val="333333"/>
          <w:sz w:val="24"/>
          <w:szCs w:val="24"/>
          <w:u w:val="single"/>
          <w:shd w:val="clear" w:fill="FFFFFF"/>
        </w:rPr>
        <w:t>（规定比例）</w:t>
      </w:r>
      <w:r>
        <w:rPr>
          <w:rFonts w:hint="eastAsia" w:ascii="宋体" w:hAnsi="宋体" w:eastAsia="宋体" w:cs="宋体"/>
          <w:color w:val="333333"/>
          <w:sz w:val="24"/>
          <w:szCs w:val="24"/>
          <w:shd w:val="clear" w:fill="FFFFFF"/>
        </w:rPr>
        <w:t>。</w:t>
      </w:r>
      <w:r>
        <w:rPr>
          <w:rFonts w:hint="eastAsia" w:ascii="宋体" w:hAnsi="宋体" w:eastAsia="宋体" w:cs="宋体"/>
          <w:color w:val="333333"/>
          <w:sz w:val="24"/>
          <w:szCs w:val="24"/>
          <w:u w:val="single"/>
          <w:shd w:val="clear" w:fill="FFFFFF"/>
        </w:rPr>
        <w:t>（产品名称2）</w:t>
      </w:r>
      <w:r>
        <w:rPr>
          <w:rFonts w:hint="eastAsia" w:ascii="宋体" w:hAnsi="宋体" w:eastAsia="宋体" w:cs="宋体"/>
          <w:color w:val="333333"/>
          <w:sz w:val="24"/>
          <w:szCs w:val="24"/>
          <w:shd w:val="clear" w:fill="FFFFFF"/>
        </w:rPr>
        <w:t>的</w:t>
      </w:r>
      <w:r>
        <w:rPr>
          <w:rFonts w:hint="eastAsia" w:ascii="宋体" w:hAnsi="宋体" w:eastAsia="宋体" w:cs="宋体"/>
          <w:color w:val="333333"/>
          <w:sz w:val="24"/>
          <w:szCs w:val="24"/>
          <w:u w:val="single"/>
          <w:shd w:val="clear" w:fill="FFFFFF"/>
        </w:rPr>
        <w:t>（关键组件）</w:t>
      </w:r>
      <w:r>
        <w:rPr>
          <w:rFonts w:hint="eastAsia" w:ascii="宋体" w:hAnsi="宋体" w:eastAsia="宋体" w:cs="宋体"/>
          <w:color w:val="333333"/>
          <w:sz w:val="24"/>
          <w:szCs w:val="24"/>
          <w:shd w:val="clear" w:fill="FFFFFF"/>
        </w:rPr>
        <w:t>在中国境内生产。</w:t>
      </w:r>
      <w:r>
        <w:rPr>
          <w:rFonts w:hint="eastAsia" w:ascii="宋体" w:hAnsi="宋体" w:eastAsia="宋体" w:cs="宋体"/>
          <w:color w:val="333333"/>
          <w:sz w:val="24"/>
          <w:szCs w:val="24"/>
          <w:u w:val="single"/>
          <w:shd w:val="clear" w:fill="FFFFFF"/>
        </w:rPr>
        <w:t>（产品名称2）</w:t>
      </w:r>
      <w:r>
        <w:rPr>
          <w:rFonts w:hint="eastAsia" w:ascii="宋体" w:hAnsi="宋体" w:eastAsia="宋体" w:cs="宋体"/>
          <w:color w:val="333333"/>
          <w:sz w:val="24"/>
          <w:szCs w:val="24"/>
          <w:shd w:val="clear" w:fill="FFFFFF"/>
        </w:rPr>
        <w:t>的</w:t>
      </w:r>
      <w:r>
        <w:rPr>
          <w:rFonts w:hint="eastAsia" w:ascii="宋体" w:hAnsi="宋体" w:eastAsia="宋体" w:cs="宋体"/>
          <w:color w:val="333333"/>
          <w:sz w:val="24"/>
          <w:szCs w:val="24"/>
          <w:u w:val="single"/>
          <w:shd w:val="clear" w:fill="FFFFFF"/>
        </w:rPr>
        <w:t>（关键工序）</w:t>
      </w:r>
      <w:r>
        <w:rPr>
          <w:rFonts w:hint="eastAsia" w:ascii="宋体" w:hAnsi="宋体" w:eastAsia="宋体" w:cs="宋体"/>
          <w:color w:val="333333"/>
          <w:sz w:val="24"/>
          <w:szCs w:val="24"/>
          <w:shd w:val="clear" w:fill="FFFFFF"/>
        </w:rPr>
        <w:t>在中国境内完成。</w:t>
      </w:r>
    </w:p>
    <w:p w14:paraId="6758ABFB">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pPr>
      <w:r>
        <w:rPr>
          <w:rFonts w:hint="eastAsia" w:ascii="宋体" w:hAnsi="宋体" w:eastAsia="宋体" w:cs="宋体"/>
          <w:color w:val="333333"/>
          <w:sz w:val="24"/>
          <w:szCs w:val="24"/>
          <w:shd w:val="clear" w:fill="FFFFFF"/>
        </w:rPr>
        <w:t>……</w:t>
      </w:r>
    </w:p>
    <w:p w14:paraId="03A8A19A">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pPr>
      <w:r>
        <w:rPr>
          <w:rFonts w:hint="eastAsia" w:ascii="宋体" w:hAnsi="宋体" w:eastAsia="宋体" w:cs="宋体"/>
          <w:color w:val="333333"/>
          <w:sz w:val="24"/>
          <w:szCs w:val="24"/>
          <w:shd w:val="clear" w:fill="FFFFFF"/>
        </w:rPr>
        <w:t>本公司（单位）对上述声明内容的真实性负责。如有虚假，愿承担相应法律责任。</w:t>
      </w:r>
    </w:p>
    <w:p w14:paraId="47B1F5B8">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pPr>
      <w:r>
        <w:rPr>
          <w:shd w:val="clear" w:fill="FFFFFF"/>
        </w:rPr>
        <w:t> </w:t>
      </w:r>
    </w:p>
    <w:p w14:paraId="1F11FE8E">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jc w:val="right"/>
      </w:pPr>
      <w:r>
        <w:rPr>
          <w:shd w:val="clear" w:fill="FFFFFF"/>
        </w:rPr>
        <w:t> </w:t>
      </w:r>
    </w:p>
    <w:p w14:paraId="7292D54B">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jc w:val="right"/>
      </w:pPr>
      <w:r>
        <w:rPr>
          <w:rFonts w:hint="eastAsia" w:ascii="宋体" w:hAnsi="宋体" w:eastAsia="宋体" w:cs="宋体"/>
          <w:color w:val="333333"/>
          <w:sz w:val="24"/>
          <w:szCs w:val="24"/>
          <w:shd w:val="clear" w:fill="FFFFFF"/>
        </w:rPr>
        <w:t xml:space="preserve">公司（单位）名称（盖章）：         </w:t>
      </w:r>
    </w:p>
    <w:p w14:paraId="7FBD57F7">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jc w:val="right"/>
      </w:pPr>
      <w:r>
        <w:rPr>
          <w:rFonts w:hint="eastAsia" w:ascii="宋体" w:hAnsi="宋体" w:eastAsia="宋体" w:cs="宋体"/>
          <w:color w:val="333333"/>
          <w:sz w:val="24"/>
          <w:szCs w:val="24"/>
          <w:shd w:val="clear" w:fill="FFFFFF"/>
          <w:lang w:val="en-US" w:eastAsia="zh-CN"/>
        </w:rPr>
        <w:t xml:space="preserve">             </w:t>
      </w:r>
      <w:r>
        <w:rPr>
          <w:rFonts w:hint="eastAsia" w:ascii="宋体" w:hAnsi="宋体" w:eastAsia="宋体" w:cs="宋体"/>
          <w:color w:val="333333"/>
          <w:sz w:val="24"/>
          <w:szCs w:val="24"/>
          <w:shd w:val="clear" w:fill="FFFFFF"/>
        </w:rPr>
        <w:t xml:space="preserve">日期：  年  月   日         </w:t>
      </w:r>
    </w:p>
    <w:p w14:paraId="7DFDD4DD">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pPr>
      <w:r>
        <w:rPr>
          <w:shd w:val="clear" w:fill="FFFFFF"/>
        </w:rPr>
        <w:t> </w:t>
      </w:r>
    </w:p>
    <w:p w14:paraId="0FCC7977">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pPr>
      <w:r>
        <w:rPr>
          <w:shd w:val="clear" w:fill="FFFFFF"/>
        </w:rPr>
        <w:t> </w:t>
      </w:r>
    </w:p>
    <w:p w14:paraId="243C0F76">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rPr>
          <w:rFonts w:hint="eastAsia" w:ascii="宋体" w:hAnsi="宋体" w:eastAsia="宋体" w:cs="宋体"/>
          <w:color w:val="333333"/>
          <w:sz w:val="24"/>
          <w:szCs w:val="24"/>
          <w:shd w:val="clear" w:fill="FFFFFF"/>
        </w:rPr>
      </w:pPr>
      <w:r>
        <w:rPr>
          <w:rFonts w:hint="default" w:ascii="宋体" w:hAnsi="宋体" w:eastAsia="宋体" w:cs="宋体"/>
          <w:color w:val="333333"/>
          <w:sz w:val="24"/>
          <w:szCs w:val="24"/>
          <w:shd w:val="clear" w:fill="FFFFFF"/>
        </w:rPr>
        <w:t>注：1.产品如有型号，请在“产品名称”栏一并填写。</w:t>
      </w:r>
    </w:p>
    <w:p w14:paraId="1C77A605">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rPr>
          <w:rFonts w:hint="eastAsia" w:ascii="宋体" w:hAnsi="宋体" w:eastAsia="宋体" w:cs="宋体"/>
          <w:color w:val="333333"/>
          <w:sz w:val="24"/>
          <w:szCs w:val="24"/>
          <w:shd w:val="clear" w:fill="FFFFFF"/>
        </w:rPr>
      </w:pPr>
      <w:r>
        <w:rPr>
          <w:rFonts w:hint="default" w:ascii="宋体" w:hAnsi="宋体" w:eastAsia="宋体" w:cs="宋体"/>
          <w:color w:val="333333"/>
          <w:sz w:val="24"/>
          <w:szCs w:val="24"/>
          <w:shd w:val="clear" w:fill="FFFFFF"/>
        </w:rPr>
        <w:t>2.生产厂名与厂址应与生产厂营业执照载明的相关信息保持一致。</w:t>
      </w:r>
    </w:p>
    <w:p w14:paraId="3A7F41AB">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rPr>
          <w:rFonts w:hint="eastAsia" w:ascii="宋体" w:hAnsi="宋体" w:eastAsia="宋体" w:cs="宋体"/>
          <w:color w:val="333333"/>
          <w:sz w:val="24"/>
          <w:szCs w:val="24"/>
          <w:shd w:val="clear" w:fill="FFFFFF"/>
        </w:rPr>
      </w:pPr>
      <w:r>
        <w:rPr>
          <w:rFonts w:hint="default" w:ascii="宋体" w:hAnsi="宋体" w:eastAsia="宋体" w:cs="宋体"/>
          <w:color w:val="333333"/>
          <w:sz w:val="24"/>
          <w:szCs w:val="24"/>
          <w:shd w:val="clear" w:fill="FFFFFF"/>
        </w:rPr>
        <w:t>3.该产品的中国境内生产的组件成本占比相关要求实施前，“规定比例”栏可不填。</w:t>
      </w:r>
    </w:p>
    <w:p w14:paraId="44B6200F">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rPr>
          <w:rFonts w:hint="eastAsia" w:ascii="宋体" w:hAnsi="宋体" w:eastAsia="宋体" w:cs="宋体"/>
          <w:color w:val="333333"/>
          <w:sz w:val="24"/>
          <w:szCs w:val="24"/>
          <w:shd w:val="clear" w:fill="FFFFFF"/>
        </w:rPr>
      </w:pPr>
      <w:r>
        <w:rPr>
          <w:rFonts w:hint="default" w:ascii="宋体" w:hAnsi="宋体" w:eastAsia="宋体" w:cs="宋体"/>
          <w:color w:val="333333"/>
          <w:sz w:val="24"/>
          <w:szCs w:val="24"/>
          <w:shd w:val="clear" w:fill="FFFFFF"/>
        </w:rPr>
        <w:t>4.该产品的关键组件要求实施前，“关键组件”栏可不填。</w:t>
      </w:r>
    </w:p>
    <w:p w14:paraId="76A5E257">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ind w:left="0" w:firstLine="480"/>
        <w:rPr>
          <w:rFonts w:hint="eastAsia" w:ascii="宋体" w:hAnsi="宋体" w:eastAsia="宋体" w:cs="宋体"/>
          <w:color w:val="333333"/>
          <w:sz w:val="24"/>
          <w:szCs w:val="24"/>
          <w:shd w:val="clear" w:fill="FFFFFF"/>
        </w:rPr>
      </w:pPr>
      <w:r>
        <w:rPr>
          <w:rFonts w:hint="default" w:ascii="宋体" w:hAnsi="宋体" w:eastAsia="宋体" w:cs="宋体"/>
          <w:color w:val="333333"/>
          <w:sz w:val="24"/>
          <w:szCs w:val="24"/>
          <w:shd w:val="clear" w:fill="FFFFFF"/>
        </w:rPr>
        <w:t>5.该产品的关键工序要求实施前，“关键工序”栏可不填。</w:t>
      </w:r>
    </w:p>
    <w:p w14:paraId="65AF8CF4">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rPr>
          <w:rFonts w:hint="default" w:ascii="Times New Roman" w:hAnsi="Times New Roman" w:cs="Times New Roman"/>
          <w:color w:val="333333"/>
          <w:sz w:val="21"/>
          <w:szCs w:val="21"/>
          <w:shd w:val="clear" w:fill="FFFFFF"/>
        </w:rPr>
        <w:br w:type="page"/>
      </w:r>
      <w:r>
        <w:rPr>
          <w:rFonts w:hint="default" w:ascii="Times New Roman" w:hAnsi="Times New Roman" w:cs="Times New Roman"/>
          <w:color w:val="333333"/>
          <w:sz w:val="21"/>
          <w:szCs w:val="21"/>
          <w:shd w:val="clear" w:fill="FFFFFF"/>
        </w:rPr>
        <w:t> </w:t>
      </w:r>
    </w:p>
    <w:p w14:paraId="557A683F">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jc w:val="center"/>
      </w:pPr>
      <w:r>
        <w:rPr>
          <w:rFonts w:hint="eastAsia" w:ascii="宋体" w:hAnsi="宋体" w:eastAsia="宋体" w:cs="宋体"/>
          <w:b/>
          <w:bCs/>
          <w:color w:val="000000"/>
          <w:sz w:val="36"/>
          <w:szCs w:val="36"/>
          <w:shd w:val="clear" w:fill="FFFFFF"/>
        </w:rPr>
        <w:t>产品成本占比承诺函</w:t>
      </w:r>
    </w:p>
    <w:p w14:paraId="4DDFBD77">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pPr>
      <w:r>
        <w:rPr>
          <w:shd w:val="clear" w:fill="FFFFFF"/>
        </w:rPr>
        <w:t> </w:t>
      </w:r>
    </w:p>
    <w:p w14:paraId="3324B76C">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default" w:ascii="Times New Roman" w:hAnsi="Times New Roman" w:cs="Times New Roman"/>
          <w:color w:val="333333"/>
          <w:sz w:val="24"/>
          <w:szCs w:val="24"/>
          <w:shd w:val="clear" w:fill="FFFFFF"/>
        </w:rPr>
        <w:t>我公司（单位）郑重承诺，我公司已阅读并理解《国务院办公厅关于在政府采购中实施本国产品标准及相关政策的通知》（国办发〔2025〕34号）的规定。据此承诺如下：</w:t>
      </w:r>
    </w:p>
    <w:p w14:paraId="050D925D">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rPr>
          <w:rFonts w:hint="default" w:ascii="Times New Roman" w:hAnsi="Times New Roman" w:cs="Times New Roman"/>
          <w:color w:val="333333"/>
          <w:sz w:val="24"/>
          <w:szCs w:val="24"/>
          <w:shd w:val="clear" w:fill="FFFFFF"/>
        </w:rPr>
        <w:t>为本采购项目或者采购包提供的符合本国产品标准的产品成本之和占提供的全部产品成本之和的比例为</w:t>
      </w:r>
      <w:r>
        <w:rPr>
          <w:rFonts w:hint="default" w:ascii="Times New Roman" w:hAnsi="Times New Roman" w:cs="Times New Roman"/>
          <w:color w:val="000000"/>
          <w:sz w:val="24"/>
          <w:szCs w:val="24"/>
        </w:rPr>
        <w:t>______%。</w:t>
      </w:r>
    </w:p>
    <w:p w14:paraId="0AF0EFE2">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pPr>
      <w:r>
        <w:t> </w:t>
      </w:r>
    </w:p>
    <w:p w14:paraId="64ABBF2D">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0" w:beforeAutospacing="0" w:after="0" w:afterAutospacing="0" w:line="360" w:lineRule="auto"/>
        <w:jc w:val="right"/>
      </w:pPr>
      <w:r>
        <w:rPr>
          <w:rFonts w:hint="eastAsia" w:ascii="宋体" w:hAnsi="宋体" w:eastAsia="宋体" w:cs="宋体"/>
          <w:color w:val="333333"/>
          <w:sz w:val="24"/>
          <w:szCs w:val="24"/>
          <w:shd w:val="clear" w:fill="FFFFFF"/>
        </w:rPr>
        <w:t xml:space="preserve">公司（单位）名称（盖章）：         </w:t>
      </w:r>
    </w:p>
    <w:p w14:paraId="3D8CFC32">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right"/>
      </w:pPr>
      <w:r>
        <w:rPr>
          <w:rFonts w:hint="default" w:ascii="Times New Roman" w:hAnsi="Times New Roman" w:cs="Times New Roman"/>
          <w:color w:val="333333"/>
          <w:sz w:val="24"/>
          <w:szCs w:val="24"/>
          <w:shd w:val="clear" w:fill="FFFFFF"/>
        </w:rPr>
        <w:t xml:space="preserve">日期：      </w:t>
      </w:r>
      <w:r>
        <w:rPr>
          <w:rFonts w:hint="eastAsia" w:ascii="宋体" w:hAnsi="宋体" w:eastAsia="宋体" w:cs="宋体"/>
          <w:color w:val="333333"/>
          <w:sz w:val="24"/>
          <w:szCs w:val="24"/>
          <w:shd w:val="clear" w:fill="FFFFFF"/>
        </w:rPr>
        <w:t xml:space="preserve">年 </w:t>
      </w:r>
      <w:r>
        <w:rPr>
          <w:rFonts w:hint="default" w:ascii="Times New Roman" w:hAnsi="Times New Roman" w:cs="Times New Roman"/>
          <w:color w:val="333333"/>
          <w:sz w:val="24"/>
          <w:szCs w:val="24"/>
          <w:shd w:val="clear" w:fill="FFFFFF"/>
        </w:rPr>
        <w:t xml:space="preserve">  </w:t>
      </w:r>
      <w:r>
        <w:rPr>
          <w:rFonts w:hint="eastAsia" w:ascii="宋体" w:hAnsi="宋体" w:eastAsia="宋体" w:cs="宋体"/>
          <w:color w:val="333333"/>
          <w:sz w:val="24"/>
          <w:szCs w:val="24"/>
          <w:shd w:val="clear" w:fill="FFFFFF"/>
        </w:rPr>
        <w:t xml:space="preserve">月 </w:t>
      </w:r>
      <w:r>
        <w:rPr>
          <w:rFonts w:hint="default" w:ascii="Times New Roman" w:hAnsi="Times New Roman" w:cs="Times New Roman"/>
          <w:color w:val="333333"/>
          <w:sz w:val="24"/>
          <w:szCs w:val="24"/>
          <w:shd w:val="clear" w:fill="FFFFFF"/>
        </w:rPr>
        <w:t xml:space="preserve">  </w:t>
      </w:r>
      <w:r>
        <w:rPr>
          <w:rFonts w:hint="eastAsia" w:ascii="宋体" w:hAnsi="宋体" w:eastAsia="宋体" w:cs="宋体"/>
          <w:color w:val="333333"/>
          <w:sz w:val="24"/>
          <w:szCs w:val="24"/>
          <w:shd w:val="clear" w:fill="FFFFFF"/>
        </w:rPr>
        <w:t>日</w:t>
      </w:r>
      <w:r>
        <w:rPr>
          <w:rFonts w:hint="default" w:ascii="Times New Roman" w:hAnsi="Times New Roman" w:cs="Times New Roman"/>
          <w:color w:val="333333"/>
          <w:sz w:val="24"/>
          <w:szCs w:val="24"/>
          <w:shd w:val="clear" w:fill="FFFFFF"/>
        </w:rPr>
        <w:t xml:space="preserve">     </w:t>
      </w:r>
    </w:p>
    <w:p w14:paraId="6AC41175">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0187548F">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48B22DF5">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cs="Times New Roman"/>
          <w:color w:val="333333"/>
          <w:sz w:val="24"/>
          <w:szCs w:val="24"/>
          <w:shd w:val="clear" w:fill="FFFFFF"/>
        </w:rPr>
      </w:pPr>
      <w:r>
        <w:rPr>
          <w:rFonts w:hint="default" w:ascii="Times New Roman" w:hAnsi="Times New Roman" w:cs="Times New Roman"/>
          <w:color w:val="333333"/>
          <w:sz w:val="24"/>
          <w:szCs w:val="24"/>
          <w:shd w:val="clear" w:fill="FFFFFF"/>
        </w:rPr>
        <w:t>注：</w:t>
      </w:r>
    </w:p>
    <w:p w14:paraId="67D6737E">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cs="Times New Roman"/>
          <w:color w:val="333333"/>
          <w:sz w:val="24"/>
          <w:szCs w:val="24"/>
          <w:shd w:val="clear" w:fill="FFFFFF"/>
        </w:rPr>
      </w:pPr>
      <w:r>
        <w:rPr>
          <w:rFonts w:hint="default" w:ascii="Times New Roman" w:hAnsi="Times New Roman" w:cs="Times New Roman"/>
          <w:color w:val="333333"/>
          <w:sz w:val="24"/>
          <w:szCs w:val="24"/>
          <w:shd w:val="clear" w:fill="FFFFFF"/>
        </w:rPr>
        <w:t>1. 本承诺函应按包分别提供。</w:t>
      </w:r>
    </w:p>
    <w:p w14:paraId="3222B3EF">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cs="Times New Roman"/>
          <w:color w:val="333333"/>
          <w:sz w:val="24"/>
          <w:szCs w:val="24"/>
          <w:shd w:val="clear" w:fill="FFFFFF"/>
        </w:rPr>
      </w:pPr>
      <w:r>
        <w:rPr>
          <w:rFonts w:hint="default" w:ascii="Times New Roman" w:hAnsi="Times New Roman" w:cs="Times New Roman"/>
          <w:color w:val="333333"/>
          <w:sz w:val="24"/>
          <w:szCs w:val="24"/>
          <w:shd w:val="clear" w:fill="FFFFFF"/>
        </w:rPr>
        <w:t>2. 单一产品采购无须提供本承诺函；供应商提供产品全部为本国产品，且提供了《关于符合本国产品标准的声明函》时，无须提供本承诺函。</w:t>
      </w:r>
    </w:p>
    <w:p w14:paraId="5CB3EFDC">
      <w:pPr>
        <w:pStyle w:val="3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rFonts w:hint="default" w:ascii="Times New Roman" w:hAnsi="Times New Roman" w:cs="Times New Roman"/>
          <w:color w:val="333333"/>
          <w:sz w:val="24"/>
          <w:szCs w:val="24"/>
          <w:shd w:val="clear" w:fill="FFFFFF"/>
        </w:rPr>
      </w:pPr>
      <w:r>
        <w:rPr>
          <w:rFonts w:hint="default" w:ascii="Times New Roman" w:hAnsi="Times New Roman" w:cs="Times New Roman"/>
          <w:color w:val="333333"/>
          <w:sz w:val="24"/>
          <w:szCs w:val="24"/>
          <w:shd w:val="clear" w:fill="FFFFFF"/>
        </w:rPr>
        <w:t>3. 当采购项目或单个采购包中含有多种产品，且供应商提供的产品同时包含本国产品及非本国产品，则供应商除需提供《关于符合本国产品标准的声明函》外，还需提供本承诺函；否则，不享受价格评审优惠。</w:t>
      </w:r>
    </w:p>
    <w:p w14:paraId="0484CE58">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pPr>
      <w:r>
        <w:t> </w:t>
      </w:r>
    </w:p>
    <w:p w14:paraId="0FF8949B">
      <w:pPr>
        <w:rPr>
          <w:rFonts w:eastAsiaTheme="minorEastAsia"/>
          <w:color w:val="000000"/>
          <w:sz w:val="24"/>
          <w:szCs w:val="20"/>
        </w:rPr>
      </w:pPr>
      <w:r>
        <w:rPr>
          <w:rFonts w:eastAsiaTheme="minorEastAsia"/>
          <w:color w:val="000000"/>
          <w:sz w:val="24"/>
          <w:szCs w:val="20"/>
        </w:rPr>
        <w:br w:type="page"/>
      </w:r>
    </w:p>
    <w:p w14:paraId="1E14FE7C">
      <w:pPr>
        <w:adjustRightInd w:val="0"/>
        <w:snapToGrid w:val="0"/>
        <w:spacing w:line="460" w:lineRule="exact"/>
        <w:ind w:firstLine="480" w:firstLineChars="200"/>
        <w:rPr>
          <w:rFonts w:ascii="宋体" w:hAnsi="宋体"/>
          <w:sz w:val="24"/>
        </w:rPr>
      </w:pPr>
      <w:r>
        <w:rPr>
          <w:rFonts w:hint="eastAsia" w:eastAsiaTheme="minorEastAsia"/>
          <w:sz w:val="24"/>
          <w:lang w:val="en-US" w:eastAsia="zh-CN"/>
        </w:rPr>
        <w:t>11</w:t>
      </w:r>
      <w:r>
        <w:rPr>
          <w:rFonts w:eastAsiaTheme="minorEastAsia"/>
          <w:sz w:val="24"/>
        </w:rPr>
        <w:t xml:space="preserve"> </w:t>
      </w:r>
      <w:r>
        <w:rPr>
          <w:rFonts w:ascii="宋体" w:hAnsi="宋体"/>
          <w:sz w:val="24"/>
        </w:rPr>
        <w:t>竞争性磋商文件要求提供或供应商认为应附的其他材料</w:t>
      </w:r>
    </w:p>
    <w:p w14:paraId="3B91E587">
      <w:pPr>
        <w:widowControl/>
        <w:jc w:val="left"/>
        <w:rPr>
          <w:b/>
          <w:sz w:val="24"/>
        </w:rPr>
      </w:pPr>
      <w:r>
        <w:rPr>
          <w:b/>
          <w:sz w:val="24"/>
        </w:rPr>
        <w:t>包括但不限于施工组织设计、项目管理机构、近年完成的类似项目情况等内容。</w:t>
      </w:r>
    </w:p>
    <w:p w14:paraId="325A0A8B">
      <w:pPr>
        <w:widowControl/>
        <w:jc w:val="left"/>
        <w:rPr>
          <w:b/>
          <w:bCs/>
          <w:sz w:val="24"/>
        </w:rPr>
      </w:pPr>
      <w:r>
        <w:rPr>
          <w:b/>
          <w:bCs/>
        </w:rPr>
        <w:br w:type="page"/>
      </w:r>
    </w:p>
    <w:p w14:paraId="1187F770">
      <w:pPr>
        <w:pStyle w:val="20"/>
        <w:spacing w:line="360" w:lineRule="auto"/>
        <w:outlineLvl w:val="2"/>
        <w:rPr>
          <w:rFonts w:ascii="Times New Roman" w:hAnsi="Times New Roman"/>
          <w:highlight w:val="none"/>
        </w:rPr>
      </w:pPr>
      <w:r>
        <w:rPr>
          <w:rFonts w:ascii="Times New Roman" w:hAnsi="Times New Roman"/>
          <w:b/>
          <w:bCs/>
        </w:rPr>
        <w:t>1</w:t>
      </w:r>
      <w:r>
        <w:rPr>
          <w:rFonts w:hint="eastAsia" w:ascii="Times New Roman" w:hAnsi="Times New Roman"/>
          <w:b/>
          <w:bCs/>
          <w:lang w:val="en-US" w:eastAsia="zh-CN"/>
        </w:rPr>
        <w:t>1-</w:t>
      </w:r>
      <w:r>
        <w:rPr>
          <w:rFonts w:ascii="Times New Roman" w:hAnsi="Times New Roman"/>
          <w:b/>
          <w:bCs/>
        </w:rPr>
        <w:t>1施工组织设计</w:t>
      </w:r>
    </w:p>
    <w:p w14:paraId="74B65529">
      <w:pPr>
        <w:spacing w:line="360" w:lineRule="auto"/>
        <w:ind w:firstLine="480" w:firstLineChars="200"/>
        <w:rPr>
          <w:sz w:val="24"/>
          <w:highlight w:val="none"/>
        </w:rPr>
      </w:pPr>
      <w:r>
        <w:rPr>
          <w:sz w:val="24"/>
          <w:highlight w:val="none"/>
        </w:rPr>
        <w:t>1．供应商编制施工组织设计的要求：供应商应根据磋商文件和对现场的勘察情况，采用文字并结合图表形式，编制本工程的施工组织设计。其中：</w:t>
      </w:r>
    </w:p>
    <w:p w14:paraId="032FFD47">
      <w:pPr>
        <w:spacing w:line="360" w:lineRule="auto"/>
        <w:ind w:firstLine="480" w:firstLineChars="200"/>
        <w:rPr>
          <w:sz w:val="24"/>
          <w:highlight w:val="none"/>
        </w:rPr>
      </w:pPr>
      <w:r>
        <w:rPr>
          <w:sz w:val="24"/>
          <w:highlight w:val="none"/>
        </w:rPr>
        <w:t>安全文明施工方案应当按以下要求进行编制：</w:t>
      </w:r>
    </w:p>
    <w:p w14:paraId="29D43622">
      <w:pPr>
        <w:spacing w:line="360" w:lineRule="auto"/>
        <w:ind w:firstLine="480" w:firstLineChars="200"/>
        <w:rPr>
          <w:sz w:val="24"/>
          <w:u w:val="single"/>
        </w:rPr>
      </w:pPr>
      <w:r>
        <w:rPr>
          <w:sz w:val="24"/>
          <w:highlight w:val="none"/>
          <w:u w:val="single"/>
        </w:rPr>
        <w:t>1.供应商根据磋商文件的要求和工程现场情况，结合企业的自身</w:t>
      </w:r>
      <w:r>
        <w:rPr>
          <w:sz w:val="24"/>
          <w:u w:val="single"/>
        </w:rPr>
        <w:t>情况和技术实力，在并对应报价函所填报的管理目标等级在施工组织设计中编制有针对性的安全文明措施方案。</w:t>
      </w:r>
    </w:p>
    <w:p w14:paraId="1E184D16">
      <w:pPr>
        <w:spacing w:line="360" w:lineRule="auto"/>
        <w:ind w:firstLine="480" w:firstLineChars="200"/>
        <w:rPr>
          <w:sz w:val="24"/>
          <w:u w:val="single"/>
        </w:rPr>
      </w:pPr>
      <w:r>
        <w:rPr>
          <w:sz w:val="24"/>
          <w:u w:val="single"/>
        </w:rPr>
        <w:t>(1）编制与所填报的管理目标等级相对应的安全文明施工措施：结合《图集》分别编制安全施工措施方案、文明施工措施方案、环境保护措施方案和临时设施措施方案。</w:t>
      </w:r>
    </w:p>
    <w:p w14:paraId="07632D05">
      <w:pPr>
        <w:spacing w:line="360" w:lineRule="auto"/>
        <w:ind w:firstLine="480" w:firstLineChars="200"/>
        <w:rPr>
          <w:sz w:val="24"/>
          <w:u w:val="single"/>
        </w:rPr>
      </w:pPr>
      <w:r>
        <w:rPr>
          <w:sz w:val="24"/>
          <w:u w:val="single"/>
        </w:rPr>
        <w:t>(2）采购人有特殊安全文明施工要求的，供应商编制对应的特殊安全文明施工措施方案。分别编制管理目标等级对应的《图集》标 准外项目措施方案（如有）、超过一定规模的危大工程对应的安全文明施工增加措施方案（如有）和其他特殊安全文明施工措施方案（如有）。</w:t>
      </w:r>
    </w:p>
    <w:p w14:paraId="6B2C845C">
      <w:pPr>
        <w:spacing w:line="360" w:lineRule="auto"/>
        <w:ind w:firstLine="480" w:firstLineChars="200"/>
        <w:rPr>
          <w:sz w:val="24"/>
          <w:u w:val="single"/>
        </w:rPr>
      </w:pPr>
      <w:r>
        <w:rPr>
          <w:sz w:val="24"/>
          <w:u w:val="single"/>
        </w:rPr>
        <w:t>超过一定规模的危大工程对应的安全文明施工措施方案应当为危大工程专项施工方案中对应的超出部分的相关安全文明施工措施内容。</w:t>
      </w:r>
    </w:p>
    <w:p w14:paraId="3C4C4019">
      <w:pPr>
        <w:spacing w:line="360" w:lineRule="auto"/>
        <w:ind w:firstLine="480" w:firstLineChars="200"/>
        <w:rPr>
          <w:sz w:val="24"/>
          <w:u w:val="single"/>
        </w:rPr>
      </w:pPr>
      <w:r>
        <w:rPr>
          <w:sz w:val="24"/>
          <w:u w:val="single"/>
        </w:rPr>
        <w:t>(3）供应商编制的安全文明施工方案应当包括施工总承包范围内的总承包人自行施工的工程的安全文明施工措施及公用的安全文明施工措施。</w:t>
      </w:r>
    </w:p>
    <w:p w14:paraId="11308A2C">
      <w:pPr>
        <w:spacing w:line="360" w:lineRule="auto"/>
        <w:ind w:firstLine="480" w:firstLineChars="200"/>
        <w:rPr>
          <w:sz w:val="24"/>
          <w:u w:val="single"/>
        </w:rPr>
      </w:pPr>
      <w:r>
        <w:rPr>
          <w:sz w:val="24"/>
          <w:u w:val="single"/>
        </w:rPr>
        <w:t>其他依据《北京市住房和城乡建设委员会关于实施〈北京市建设工程安全文明施工费费用标准（2020版）〉的通知》京建发〔2020〕316号文执行。</w:t>
      </w:r>
    </w:p>
    <w:p w14:paraId="7C972495">
      <w:pPr>
        <w:spacing w:line="360" w:lineRule="auto"/>
        <w:ind w:firstLine="480" w:firstLineChars="200"/>
        <w:rPr>
          <w:sz w:val="24"/>
        </w:rPr>
      </w:pPr>
      <w:r>
        <w:rPr>
          <w:sz w:val="24"/>
        </w:rPr>
        <w:t>2．施工组织设计除采用文字表述外可附下列图表，图表及格式要求附后。</w:t>
      </w:r>
    </w:p>
    <w:p w14:paraId="07C5CE5E">
      <w:pPr>
        <w:spacing w:line="360" w:lineRule="auto"/>
        <w:ind w:firstLine="480" w:firstLineChars="200"/>
        <w:rPr>
          <w:sz w:val="24"/>
        </w:rPr>
      </w:pPr>
      <w:r>
        <w:rPr>
          <w:sz w:val="24"/>
        </w:rPr>
        <w:t>附表一  拟投入本项目的主要施工设备表</w:t>
      </w:r>
    </w:p>
    <w:p w14:paraId="17E0E3F9">
      <w:pPr>
        <w:spacing w:line="360" w:lineRule="auto"/>
        <w:ind w:firstLine="480" w:firstLineChars="200"/>
        <w:rPr>
          <w:sz w:val="24"/>
        </w:rPr>
      </w:pPr>
      <w:r>
        <w:rPr>
          <w:sz w:val="24"/>
        </w:rPr>
        <w:t>附表二  拟配备的试验和检测仪器设备表</w:t>
      </w:r>
    </w:p>
    <w:p w14:paraId="66C42836">
      <w:pPr>
        <w:spacing w:line="360" w:lineRule="auto"/>
        <w:ind w:firstLine="480" w:firstLineChars="200"/>
        <w:rPr>
          <w:sz w:val="24"/>
        </w:rPr>
      </w:pPr>
      <w:r>
        <w:rPr>
          <w:sz w:val="24"/>
        </w:rPr>
        <w:t>附表三  劳动力计划表</w:t>
      </w:r>
    </w:p>
    <w:p w14:paraId="23369041">
      <w:pPr>
        <w:spacing w:line="360" w:lineRule="auto"/>
        <w:ind w:firstLine="480" w:firstLineChars="200"/>
        <w:rPr>
          <w:sz w:val="24"/>
        </w:rPr>
      </w:pPr>
      <w:r>
        <w:rPr>
          <w:sz w:val="24"/>
        </w:rPr>
        <w:t>附表四  计划开、竣工日期和施工进度网络图</w:t>
      </w:r>
    </w:p>
    <w:p w14:paraId="7F780574">
      <w:pPr>
        <w:rPr>
          <w:sz w:val="24"/>
        </w:rPr>
      </w:pPr>
      <w:r>
        <w:rPr>
          <w:sz w:val="24"/>
        </w:rPr>
        <w:t>……</w:t>
      </w:r>
    </w:p>
    <w:p w14:paraId="00738717">
      <w:pPr>
        <w:keepNext/>
        <w:keepLines/>
        <w:tabs>
          <w:tab w:val="left" w:pos="1429"/>
        </w:tabs>
        <w:spacing w:line="360" w:lineRule="auto"/>
        <w:jc w:val="left"/>
        <w:outlineLvl w:val="2"/>
        <w:rPr>
          <w:b/>
          <w:bCs/>
          <w:sz w:val="24"/>
          <w:szCs w:val="32"/>
        </w:rPr>
      </w:pPr>
      <w:r>
        <w:br w:type="page"/>
      </w:r>
      <w:r>
        <w:rPr>
          <w:b/>
          <w:bCs/>
          <w:sz w:val="24"/>
          <w:szCs w:val="32"/>
        </w:rPr>
        <w:t>附表一：拟投入本项目的主要施工设备表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85"/>
        <w:gridCol w:w="795"/>
        <w:gridCol w:w="816"/>
        <w:gridCol w:w="816"/>
        <w:gridCol w:w="1080"/>
        <w:gridCol w:w="1260"/>
        <w:gridCol w:w="973"/>
        <w:gridCol w:w="1080"/>
        <w:gridCol w:w="845"/>
      </w:tblGrid>
      <w:tr w14:paraId="0FA6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20" w:type="dxa"/>
            <w:tcBorders>
              <w:top w:val="single" w:color="auto" w:sz="4" w:space="0"/>
              <w:left w:val="single" w:color="auto" w:sz="4" w:space="0"/>
              <w:bottom w:val="single" w:color="auto" w:sz="4" w:space="0"/>
              <w:right w:val="single" w:color="auto" w:sz="4" w:space="0"/>
            </w:tcBorders>
            <w:vAlign w:val="center"/>
          </w:tcPr>
          <w:p w14:paraId="250B386A">
            <w:pPr>
              <w:jc w:val="center"/>
              <w:rPr>
                <w:sz w:val="24"/>
              </w:rPr>
            </w:pPr>
            <w:r>
              <w:rPr>
                <w:sz w:val="24"/>
                <w:lang w:bidi="ar"/>
              </w:rPr>
              <w:t>序号</w:t>
            </w:r>
          </w:p>
        </w:tc>
        <w:tc>
          <w:tcPr>
            <w:tcW w:w="1185" w:type="dxa"/>
            <w:tcBorders>
              <w:top w:val="single" w:color="auto" w:sz="4" w:space="0"/>
              <w:left w:val="single" w:color="auto" w:sz="4" w:space="0"/>
              <w:bottom w:val="single" w:color="auto" w:sz="4" w:space="0"/>
              <w:right w:val="single" w:color="auto" w:sz="4" w:space="0"/>
            </w:tcBorders>
            <w:vAlign w:val="center"/>
          </w:tcPr>
          <w:p w14:paraId="02ADCC03">
            <w:pPr>
              <w:jc w:val="center"/>
              <w:rPr>
                <w:sz w:val="24"/>
              </w:rPr>
            </w:pPr>
            <w:r>
              <w:rPr>
                <w:sz w:val="24"/>
                <w:lang w:bidi="ar"/>
              </w:rPr>
              <w:t>设备名称</w:t>
            </w:r>
          </w:p>
        </w:tc>
        <w:tc>
          <w:tcPr>
            <w:tcW w:w="795" w:type="dxa"/>
            <w:tcBorders>
              <w:top w:val="single" w:color="auto" w:sz="4" w:space="0"/>
              <w:left w:val="single" w:color="auto" w:sz="4" w:space="0"/>
              <w:bottom w:val="single" w:color="auto" w:sz="4" w:space="0"/>
              <w:right w:val="single" w:color="auto" w:sz="4" w:space="0"/>
            </w:tcBorders>
            <w:vAlign w:val="center"/>
          </w:tcPr>
          <w:p w14:paraId="29A07CF9">
            <w:pPr>
              <w:jc w:val="center"/>
              <w:rPr>
                <w:sz w:val="24"/>
              </w:rPr>
            </w:pPr>
            <w:r>
              <w:rPr>
                <w:sz w:val="24"/>
                <w:lang w:bidi="ar"/>
              </w:rPr>
              <w:t>型号</w:t>
            </w:r>
          </w:p>
          <w:p w14:paraId="0EB38FEB">
            <w:pPr>
              <w:jc w:val="center"/>
              <w:rPr>
                <w:sz w:val="24"/>
              </w:rPr>
            </w:pPr>
            <w:r>
              <w:rPr>
                <w:sz w:val="24"/>
                <w:lang w:bidi="ar"/>
              </w:rPr>
              <w:t>规格</w:t>
            </w:r>
          </w:p>
        </w:tc>
        <w:tc>
          <w:tcPr>
            <w:tcW w:w="816" w:type="dxa"/>
            <w:tcBorders>
              <w:top w:val="single" w:color="auto" w:sz="4" w:space="0"/>
              <w:left w:val="single" w:color="auto" w:sz="4" w:space="0"/>
              <w:bottom w:val="single" w:color="auto" w:sz="4" w:space="0"/>
              <w:right w:val="single" w:color="auto" w:sz="4" w:space="0"/>
            </w:tcBorders>
            <w:vAlign w:val="center"/>
          </w:tcPr>
          <w:p w14:paraId="7C91F1AF">
            <w:pPr>
              <w:jc w:val="center"/>
              <w:rPr>
                <w:sz w:val="24"/>
              </w:rPr>
            </w:pPr>
            <w:r>
              <w:rPr>
                <w:sz w:val="24"/>
                <w:lang w:bidi="ar"/>
              </w:rPr>
              <w:t>数量</w:t>
            </w:r>
          </w:p>
        </w:tc>
        <w:tc>
          <w:tcPr>
            <w:tcW w:w="816" w:type="dxa"/>
            <w:tcBorders>
              <w:top w:val="single" w:color="auto" w:sz="4" w:space="0"/>
              <w:left w:val="single" w:color="auto" w:sz="4" w:space="0"/>
              <w:bottom w:val="single" w:color="auto" w:sz="4" w:space="0"/>
              <w:right w:val="single" w:color="auto" w:sz="4" w:space="0"/>
            </w:tcBorders>
            <w:vAlign w:val="center"/>
          </w:tcPr>
          <w:p w14:paraId="687C5642">
            <w:pPr>
              <w:jc w:val="center"/>
              <w:rPr>
                <w:sz w:val="24"/>
              </w:rPr>
            </w:pPr>
            <w:r>
              <w:rPr>
                <w:sz w:val="24"/>
                <w:lang w:bidi="ar"/>
              </w:rPr>
              <w:t>国别</w:t>
            </w:r>
          </w:p>
          <w:p w14:paraId="5965046A">
            <w:pPr>
              <w:jc w:val="center"/>
              <w:rPr>
                <w:sz w:val="24"/>
              </w:rPr>
            </w:pPr>
            <w:r>
              <w:rPr>
                <w:sz w:val="24"/>
                <w:lang w:bidi="ar"/>
              </w:rPr>
              <w:t>产地</w:t>
            </w:r>
          </w:p>
        </w:tc>
        <w:tc>
          <w:tcPr>
            <w:tcW w:w="1080" w:type="dxa"/>
            <w:tcBorders>
              <w:top w:val="single" w:color="auto" w:sz="4" w:space="0"/>
              <w:left w:val="single" w:color="auto" w:sz="4" w:space="0"/>
              <w:bottom w:val="single" w:color="auto" w:sz="4" w:space="0"/>
              <w:right w:val="single" w:color="auto" w:sz="4" w:space="0"/>
            </w:tcBorders>
            <w:vAlign w:val="center"/>
          </w:tcPr>
          <w:p w14:paraId="16D2B2BC">
            <w:pPr>
              <w:jc w:val="center"/>
              <w:rPr>
                <w:sz w:val="24"/>
              </w:rPr>
            </w:pPr>
            <w:r>
              <w:rPr>
                <w:sz w:val="24"/>
                <w:lang w:bidi="ar"/>
              </w:rPr>
              <w:t>制造</w:t>
            </w:r>
          </w:p>
          <w:p w14:paraId="1DD7B065">
            <w:pPr>
              <w:jc w:val="center"/>
              <w:rPr>
                <w:sz w:val="24"/>
              </w:rPr>
            </w:pPr>
            <w:r>
              <w:rPr>
                <w:sz w:val="24"/>
                <w:lang w:bidi="ar"/>
              </w:rPr>
              <w:t>年份</w:t>
            </w:r>
          </w:p>
        </w:tc>
        <w:tc>
          <w:tcPr>
            <w:tcW w:w="1260" w:type="dxa"/>
            <w:tcBorders>
              <w:top w:val="single" w:color="auto" w:sz="4" w:space="0"/>
              <w:left w:val="single" w:color="auto" w:sz="4" w:space="0"/>
              <w:bottom w:val="single" w:color="auto" w:sz="4" w:space="0"/>
              <w:right w:val="single" w:color="auto" w:sz="4" w:space="0"/>
            </w:tcBorders>
            <w:vAlign w:val="center"/>
          </w:tcPr>
          <w:p w14:paraId="217D6A67">
            <w:pPr>
              <w:jc w:val="center"/>
              <w:rPr>
                <w:sz w:val="24"/>
              </w:rPr>
            </w:pPr>
            <w:r>
              <w:rPr>
                <w:sz w:val="24"/>
                <w:lang w:bidi="ar"/>
              </w:rPr>
              <w:t>额定功率</w:t>
            </w:r>
          </w:p>
          <w:p w14:paraId="7D29F4E3">
            <w:pPr>
              <w:jc w:val="center"/>
              <w:rPr>
                <w:sz w:val="24"/>
              </w:rPr>
            </w:pPr>
            <w:r>
              <w:rPr>
                <w:sz w:val="24"/>
                <w:lang w:bidi="ar"/>
              </w:rPr>
              <w:t>( KW )</w:t>
            </w:r>
          </w:p>
        </w:tc>
        <w:tc>
          <w:tcPr>
            <w:tcW w:w="973" w:type="dxa"/>
            <w:tcBorders>
              <w:top w:val="single" w:color="auto" w:sz="4" w:space="0"/>
              <w:left w:val="single" w:color="auto" w:sz="4" w:space="0"/>
              <w:bottom w:val="single" w:color="auto" w:sz="4" w:space="0"/>
              <w:right w:val="single" w:color="auto" w:sz="4" w:space="0"/>
            </w:tcBorders>
            <w:vAlign w:val="center"/>
          </w:tcPr>
          <w:p w14:paraId="7CEAC583">
            <w:pPr>
              <w:jc w:val="center"/>
              <w:rPr>
                <w:sz w:val="24"/>
              </w:rPr>
            </w:pPr>
            <w:r>
              <w:rPr>
                <w:sz w:val="24"/>
                <w:lang w:bidi="ar"/>
              </w:rPr>
              <w:t>生产</w:t>
            </w:r>
          </w:p>
          <w:p w14:paraId="6FC920F3">
            <w:pPr>
              <w:jc w:val="center"/>
              <w:rPr>
                <w:sz w:val="24"/>
              </w:rPr>
            </w:pPr>
            <w:r>
              <w:rPr>
                <w:sz w:val="24"/>
                <w:lang w:bidi="ar"/>
              </w:rPr>
              <w:t>能力</w:t>
            </w:r>
          </w:p>
        </w:tc>
        <w:tc>
          <w:tcPr>
            <w:tcW w:w="1080" w:type="dxa"/>
            <w:tcBorders>
              <w:top w:val="single" w:color="auto" w:sz="4" w:space="0"/>
              <w:left w:val="single" w:color="auto" w:sz="4" w:space="0"/>
              <w:bottom w:val="single" w:color="auto" w:sz="4" w:space="0"/>
              <w:right w:val="single" w:color="auto" w:sz="4" w:space="0"/>
            </w:tcBorders>
            <w:vAlign w:val="center"/>
          </w:tcPr>
          <w:p w14:paraId="1ECC3411">
            <w:pPr>
              <w:jc w:val="center"/>
              <w:rPr>
                <w:sz w:val="24"/>
              </w:rPr>
            </w:pPr>
            <w:r>
              <w:rPr>
                <w:sz w:val="24"/>
                <w:lang w:bidi="ar"/>
              </w:rPr>
              <w:t>用于施</w:t>
            </w:r>
          </w:p>
          <w:p w14:paraId="77BA7CD4">
            <w:pPr>
              <w:jc w:val="center"/>
              <w:rPr>
                <w:sz w:val="24"/>
              </w:rPr>
            </w:pPr>
            <w:r>
              <w:rPr>
                <w:sz w:val="24"/>
                <w:lang w:bidi="ar"/>
              </w:rPr>
              <w:t>工部位</w:t>
            </w:r>
          </w:p>
        </w:tc>
        <w:tc>
          <w:tcPr>
            <w:tcW w:w="845" w:type="dxa"/>
            <w:tcBorders>
              <w:top w:val="single" w:color="auto" w:sz="4" w:space="0"/>
              <w:left w:val="single" w:color="auto" w:sz="4" w:space="0"/>
              <w:bottom w:val="single" w:color="auto" w:sz="4" w:space="0"/>
              <w:right w:val="single" w:color="auto" w:sz="4" w:space="0"/>
            </w:tcBorders>
            <w:vAlign w:val="center"/>
          </w:tcPr>
          <w:p w14:paraId="67B158C9">
            <w:pPr>
              <w:jc w:val="center"/>
              <w:rPr>
                <w:sz w:val="24"/>
              </w:rPr>
            </w:pPr>
            <w:r>
              <w:rPr>
                <w:sz w:val="24"/>
                <w:lang w:bidi="ar"/>
              </w:rPr>
              <w:t>备注</w:t>
            </w:r>
          </w:p>
        </w:tc>
      </w:tr>
      <w:tr w14:paraId="2CE06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2540A9C6">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20DE51DB">
            <w:pPr>
              <w:spacing w:line="360" w:lineRule="auto"/>
              <w:ind w:firstLine="420" w:firstLineChars="200"/>
              <w:rPr>
                <w:szCs w:val="21"/>
              </w:rPr>
            </w:pPr>
          </w:p>
        </w:tc>
        <w:tc>
          <w:tcPr>
            <w:tcW w:w="795" w:type="dxa"/>
            <w:tcBorders>
              <w:top w:val="single" w:color="auto" w:sz="4" w:space="0"/>
              <w:left w:val="single" w:color="auto" w:sz="4" w:space="0"/>
              <w:bottom w:val="single" w:color="auto" w:sz="4" w:space="0"/>
              <w:right w:val="single" w:color="auto" w:sz="4" w:space="0"/>
            </w:tcBorders>
          </w:tcPr>
          <w:p w14:paraId="3986163F">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11CC6417">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BFCFCC3">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104AE89F">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4A86195B">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2F1EBAFE">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39477ACC">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62FD7383">
            <w:pPr>
              <w:spacing w:line="360" w:lineRule="auto"/>
              <w:rPr>
                <w:szCs w:val="21"/>
              </w:rPr>
            </w:pPr>
          </w:p>
        </w:tc>
      </w:tr>
      <w:tr w14:paraId="4153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2AE2ACE3">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13A785C5">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6C257E3C">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93DCD92">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029B229A">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55D5CA9D">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57AA63FD">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0C923D45">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1C50631B">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1A1EFE09">
            <w:pPr>
              <w:spacing w:line="360" w:lineRule="auto"/>
              <w:rPr>
                <w:szCs w:val="21"/>
              </w:rPr>
            </w:pPr>
          </w:p>
        </w:tc>
      </w:tr>
      <w:tr w14:paraId="1836B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52750A96">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1D5D7CF3">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6BB4EC6E">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3D8EAAF7">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3CF62482">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36634D00">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5774CC7C">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6DDBC638">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5E1FE9CB">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0607EA26">
            <w:pPr>
              <w:spacing w:line="360" w:lineRule="auto"/>
              <w:rPr>
                <w:szCs w:val="21"/>
              </w:rPr>
            </w:pPr>
          </w:p>
        </w:tc>
      </w:tr>
      <w:tr w14:paraId="4B21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20" w:type="dxa"/>
            <w:tcBorders>
              <w:top w:val="single" w:color="auto" w:sz="4" w:space="0"/>
              <w:left w:val="single" w:color="auto" w:sz="4" w:space="0"/>
              <w:bottom w:val="single" w:color="auto" w:sz="4" w:space="0"/>
              <w:right w:val="single" w:color="auto" w:sz="4" w:space="0"/>
            </w:tcBorders>
          </w:tcPr>
          <w:p w14:paraId="391A651C">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130A4A44">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55FDE9E1">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5290F99">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35280682">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34AD96AA">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5AD94541">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5AF05956">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3E2C377A">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450882BC">
            <w:pPr>
              <w:spacing w:line="360" w:lineRule="auto"/>
              <w:rPr>
                <w:szCs w:val="21"/>
              </w:rPr>
            </w:pPr>
          </w:p>
        </w:tc>
      </w:tr>
      <w:tr w14:paraId="1801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2FDF8FDA">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2583605A">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1EF5D53A">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43DBB45">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5A767813">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5BFDCDED">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7BECD1CE">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70CDD6FB">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0634EE50">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0BCBC44F">
            <w:pPr>
              <w:spacing w:line="360" w:lineRule="auto"/>
              <w:rPr>
                <w:szCs w:val="21"/>
              </w:rPr>
            </w:pPr>
          </w:p>
        </w:tc>
      </w:tr>
      <w:tr w14:paraId="3CA2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500CB5CC">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15E323E7">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40CD2419">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0710F10C">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17FE111C">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1DABC808">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37DB7785">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2850517A">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489C0533">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328569BD">
            <w:pPr>
              <w:spacing w:line="360" w:lineRule="auto"/>
              <w:rPr>
                <w:szCs w:val="21"/>
              </w:rPr>
            </w:pPr>
          </w:p>
        </w:tc>
      </w:tr>
      <w:tr w14:paraId="1F3C9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7FA1A884">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32C6C193">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55215EC1">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4F88DA9E">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00DC8B46">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7F4EA367">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4C6FD629">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734A7134">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58BF75B0">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3FB4B87C">
            <w:pPr>
              <w:spacing w:line="360" w:lineRule="auto"/>
              <w:rPr>
                <w:szCs w:val="21"/>
              </w:rPr>
            </w:pPr>
          </w:p>
        </w:tc>
      </w:tr>
      <w:tr w14:paraId="5372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20" w:type="dxa"/>
            <w:tcBorders>
              <w:top w:val="single" w:color="auto" w:sz="4" w:space="0"/>
              <w:left w:val="single" w:color="auto" w:sz="4" w:space="0"/>
              <w:bottom w:val="single" w:color="auto" w:sz="4" w:space="0"/>
              <w:right w:val="single" w:color="auto" w:sz="4" w:space="0"/>
            </w:tcBorders>
          </w:tcPr>
          <w:p w14:paraId="3D6CE246">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58E1D8A7">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2A340B34">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7427EB1F">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DF96131">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4A5B3B27">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406F2280">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5EB549B1">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49969039">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3F77167A">
            <w:pPr>
              <w:spacing w:line="360" w:lineRule="auto"/>
              <w:rPr>
                <w:szCs w:val="21"/>
              </w:rPr>
            </w:pPr>
          </w:p>
        </w:tc>
      </w:tr>
      <w:tr w14:paraId="0D75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5EF5A8A5">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5069D767">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2849E0B3">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28E359AD">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4AB91C55">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25202947">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17EAD0A0">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245D7625">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119D10EB">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5F1FF34B">
            <w:pPr>
              <w:spacing w:line="360" w:lineRule="auto"/>
              <w:rPr>
                <w:szCs w:val="21"/>
              </w:rPr>
            </w:pPr>
          </w:p>
        </w:tc>
      </w:tr>
      <w:tr w14:paraId="15D9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1D0967AB">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28099E2B">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224B6377">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18F8FA2F">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4588F64">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09E0F46B">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2BA76D99">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51235FB9">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3212FD24">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3061A35E">
            <w:pPr>
              <w:spacing w:line="360" w:lineRule="auto"/>
              <w:rPr>
                <w:szCs w:val="21"/>
              </w:rPr>
            </w:pPr>
          </w:p>
        </w:tc>
      </w:tr>
      <w:tr w14:paraId="4CF9A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5FF57CD1">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1C035119">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2FD742BB">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1B66866B">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09B1F597">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11FE51A2">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3D6303DD">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04C9EDA0">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7B8F9A48">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5B044659">
            <w:pPr>
              <w:spacing w:line="360" w:lineRule="auto"/>
              <w:rPr>
                <w:szCs w:val="21"/>
              </w:rPr>
            </w:pPr>
          </w:p>
        </w:tc>
      </w:tr>
      <w:tr w14:paraId="47B8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20" w:type="dxa"/>
            <w:tcBorders>
              <w:top w:val="single" w:color="auto" w:sz="4" w:space="0"/>
              <w:left w:val="single" w:color="auto" w:sz="4" w:space="0"/>
              <w:bottom w:val="single" w:color="auto" w:sz="4" w:space="0"/>
              <w:right w:val="single" w:color="auto" w:sz="4" w:space="0"/>
            </w:tcBorders>
          </w:tcPr>
          <w:p w14:paraId="39D67324">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05523FD2">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765C2493">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1F1B7C1">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63EEEC9E">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26EFA2AF">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1286F094">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7631C751">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2251BB31">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6D2312D1">
            <w:pPr>
              <w:spacing w:line="360" w:lineRule="auto"/>
              <w:rPr>
                <w:szCs w:val="21"/>
              </w:rPr>
            </w:pPr>
          </w:p>
        </w:tc>
      </w:tr>
      <w:tr w14:paraId="13535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3219C042">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582A5195">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79EB3677">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4D35BB58">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183E880A">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412B6E38">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38C9162E">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38063C79">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71BE61BA">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309E0A78">
            <w:pPr>
              <w:spacing w:line="360" w:lineRule="auto"/>
              <w:rPr>
                <w:szCs w:val="21"/>
              </w:rPr>
            </w:pPr>
          </w:p>
        </w:tc>
      </w:tr>
      <w:tr w14:paraId="1F47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20" w:type="dxa"/>
            <w:tcBorders>
              <w:top w:val="single" w:color="auto" w:sz="4" w:space="0"/>
              <w:left w:val="single" w:color="auto" w:sz="4" w:space="0"/>
              <w:bottom w:val="single" w:color="auto" w:sz="4" w:space="0"/>
              <w:right w:val="single" w:color="auto" w:sz="4" w:space="0"/>
            </w:tcBorders>
          </w:tcPr>
          <w:p w14:paraId="493CC709">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62EDE54F">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12ADCA53">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1D158612">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403F7C49">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50E77B53">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1D927711">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41D56160">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208EB983">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238954A5">
            <w:pPr>
              <w:spacing w:line="360" w:lineRule="auto"/>
              <w:rPr>
                <w:szCs w:val="21"/>
              </w:rPr>
            </w:pPr>
          </w:p>
        </w:tc>
      </w:tr>
      <w:tr w14:paraId="2648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20" w:type="dxa"/>
            <w:tcBorders>
              <w:top w:val="single" w:color="auto" w:sz="4" w:space="0"/>
              <w:left w:val="single" w:color="auto" w:sz="4" w:space="0"/>
              <w:bottom w:val="single" w:color="auto" w:sz="4" w:space="0"/>
              <w:right w:val="single" w:color="auto" w:sz="4" w:space="0"/>
            </w:tcBorders>
          </w:tcPr>
          <w:p w14:paraId="3AC0E7F9">
            <w:pPr>
              <w:spacing w:line="360" w:lineRule="auto"/>
              <w:rPr>
                <w:szCs w:val="21"/>
              </w:rPr>
            </w:pPr>
          </w:p>
        </w:tc>
        <w:tc>
          <w:tcPr>
            <w:tcW w:w="1185" w:type="dxa"/>
            <w:tcBorders>
              <w:top w:val="single" w:color="auto" w:sz="4" w:space="0"/>
              <w:left w:val="single" w:color="auto" w:sz="4" w:space="0"/>
              <w:bottom w:val="single" w:color="auto" w:sz="4" w:space="0"/>
              <w:right w:val="single" w:color="auto" w:sz="4" w:space="0"/>
            </w:tcBorders>
          </w:tcPr>
          <w:p w14:paraId="207003C3">
            <w:pPr>
              <w:spacing w:line="360" w:lineRule="auto"/>
              <w:rPr>
                <w:szCs w:val="21"/>
              </w:rPr>
            </w:pPr>
          </w:p>
        </w:tc>
        <w:tc>
          <w:tcPr>
            <w:tcW w:w="795" w:type="dxa"/>
            <w:tcBorders>
              <w:top w:val="single" w:color="auto" w:sz="4" w:space="0"/>
              <w:left w:val="single" w:color="auto" w:sz="4" w:space="0"/>
              <w:bottom w:val="single" w:color="auto" w:sz="4" w:space="0"/>
              <w:right w:val="single" w:color="auto" w:sz="4" w:space="0"/>
            </w:tcBorders>
          </w:tcPr>
          <w:p w14:paraId="7AED5DAE">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55A8DB4D">
            <w:pPr>
              <w:spacing w:line="360" w:lineRule="auto"/>
              <w:rPr>
                <w:szCs w:val="21"/>
              </w:rPr>
            </w:pPr>
          </w:p>
        </w:tc>
        <w:tc>
          <w:tcPr>
            <w:tcW w:w="816" w:type="dxa"/>
            <w:tcBorders>
              <w:top w:val="single" w:color="auto" w:sz="4" w:space="0"/>
              <w:left w:val="single" w:color="auto" w:sz="4" w:space="0"/>
              <w:bottom w:val="single" w:color="auto" w:sz="4" w:space="0"/>
              <w:right w:val="single" w:color="auto" w:sz="4" w:space="0"/>
            </w:tcBorders>
          </w:tcPr>
          <w:p w14:paraId="38413871">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267AAC17">
            <w:pPr>
              <w:spacing w:line="360" w:lineRule="auto"/>
              <w:rPr>
                <w:szCs w:val="21"/>
              </w:rPr>
            </w:pPr>
          </w:p>
        </w:tc>
        <w:tc>
          <w:tcPr>
            <w:tcW w:w="1260" w:type="dxa"/>
            <w:tcBorders>
              <w:top w:val="single" w:color="auto" w:sz="4" w:space="0"/>
              <w:left w:val="single" w:color="auto" w:sz="4" w:space="0"/>
              <w:bottom w:val="single" w:color="auto" w:sz="4" w:space="0"/>
              <w:right w:val="single" w:color="auto" w:sz="4" w:space="0"/>
            </w:tcBorders>
          </w:tcPr>
          <w:p w14:paraId="28307085">
            <w:pPr>
              <w:spacing w:line="360" w:lineRule="auto"/>
              <w:rPr>
                <w:szCs w:val="21"/>
              </w:rPr>
            </w:pPr>
          </w:p>
        </w:tc>
        <w:tc>
          <w:tcPr>
            <w:tcW w:w="973" w:type="dxa"/>
            <w:tcBorders>
              <w:top w:val="single" w:color="auto" w:sz="4" w:space="0"/>
              <w:left w:val="single" w:color="auto" w:sz="4" w:space="0"/>
              <w:bottom w:val="single" w:color="auto" w:sz="4" w:space="0"/>
              <w:right w:val="single" w:color="auto" w:sz="4" w:space="0"/>
            </w:tcBorders>
          </w:tcPr>
          <w:p w14:paraId="2695C083">
            <w:pPr>
              <w:spacing w:line="360" w:lineRule="auto"/>
              <w:rPr>
                <w:szCs w:val="21"/>
              </w:rPr>
            </w:pPr>
          </w:p>
        </w:tc>
        <w:tc>
          <w:tcPr>
            <w:tcW w:w="1080" w:type="dxa"/>
            <w:tcBorders>
              <w:top w:val="single" w:color="auto" w:sz="4" w:space="0"/>
              <w:left w:val="single" w:color="auto" w:sz="4" w:space="0"/>
              <w:bottom w:val="single" w:color="auto" w:sz="4" w:space="0"/>
              <w:right w:val="single" w:color="auto" w:sz="4" w:space="0"/>
            </w:tcBorders>
          </w:tcPr>
          <w:p w14:paraId="4FF32AD3">
            <w:pPr>
              <w:spacing w:line="360" w:lineRule="auto"/>
              <w:rPr>
                <w:szCs w:val="21"/>
              </w:rPr>
            </w:pPr>
          </w:p>
        </w:tc>
        <w:tc>
          <w:tcPr>
            <w:tcW w:w="845" w:type="dxa"/>
            <w:tcBorders>
              <w:top w:val="single" w:color="auto" w:sz="4" w:space="0"/>
              <w:left w:val="single" w:color="auto" w:sz="4" w:space="0"/>
              <w:bottom w:val="single" w:color="auto" w:sz="4" w:space="0"/>
              <w:right w:val="single" w:color="auto" w:sz="4" w:space="0"/>
            </w:tcBorders>
          </w:tcPr>
          <w:p w14:paraId="7737DBF3">
            <w:pPr>
              <w:spacing w:line="360" w:lineRule="auto"/>
              <w:rPr>
                <w:szCs w:val="21"/>
              </w:rPr>
            </w:pPr>
          </w:p>
        </w:tc>
      </w:tr>
    </w:tbl>
    <w:p w14:paraId="0DB77372">
      <w:pPr>
        <w:spacing w:line="360" w:lineRule="auto"/>
        <w:rPr>
          <w:szCs w:val="21"/>
        </w:rPr>
      </w:pPr>
    </w:p>
    <w:p w14:paraId="78C998E4">
      <w:pPr>
        <w:rPr>
          <w:sz w:val="24"/>
        </w:rPr>
      </w:pPr>
    </w:p>
    <w:p w14:paraId="3AAAB90F">
      <w:pPr>
        <w:keepNext/>
        <w:keepLines/>
        <w:tabs>
          <w:tab w:val="left" w:pos="1429"/>
        </w:tabs>
        <w:spacing w:line="360" w:lineRule="auto"/>
        <w:jc w:val="left"/>
        <w:outlineLvl w:val="2"/>
        <w:rPr>
          <w:b/>
          <w:bCs/>
          <w:sz w:val="24"/>
          <w:szCs w:val="32"/>
        </w:rPr>
      </w:pPr>
      <w:bookmarkStart w:id="1022" w:name="_Toc36229082"/>
      <w:r>
        <w:rPr>
          <w:b/>
          <w:bCs/>
          <w:sz w:val="24"/>
          <w:szCs w:val="32"/>
        </w:rPr>
        <w:br w:type="page"/>
      </w:r>
      <w:r>
        <w:rPr>
          <w:b/>
          <w:bCs/>
          <w:sz w:val="24"/>
          <w:szCs w:val="32"/>
        </w:rPr>
        <w:t>附表二：拟配备的试验和检测仪器设备表</w:t>
      </w:r>
      <w:bookmarkEnd w:id="1022"/>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476"/>
        <w:gridCol w:w="1056"/>
        <w:gridCol w:w="636"/>
        <w:gridCol w:w="1056"/>
        <w:gridCol w:w="1056"/>
        <w:gridCol w:w="1656"/>
        <w:gridCol w:w="816"/>
        <w:gridCol w:w="720"/>
      </w:tblGrid>
      <w:tr w14:paraId="11FB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36" w:type="dxa"/>
            <w:tcBorders>
              <w:top w:val="outset" w:color="auto" w:sz="6" w:space="0"/>
              <w:left w:val="outset" w:color="auto" w:sz="6" w:space="0"/>
              <w:bottom w:val="outset" w:color="auto" w:sz="6" w:space="0"/>
              <w:right w:val="outset" w:color="auto" w:sz="6" w:space="0"/>
            </w:tcBorders>
            <w:vAlign w:val="center"/>
          </w:tcPr>
          <w:p w14:paraId="7BF8A6AE">
            <w:r>
              <w:rPr>
                <w:lang w:bidi="ar"/>
              </w:rPr>
              <w:t>序号</w:t>
            </w:r>
          </w:p>
        </w:tc>
        <w:tc>
          <w:tcPr>
            <w:tcW w:w="1476" w:type="dxa"/>
            <w:tcBorders>
              <w:top w:val="outset" w:color="auto" w:sz="6" w:space="0"/>
              <w:left w:val="outset" w:color="auto" w:sz="6" w:space="0"/>
              <w:bottom w:val="outset" w:color="auto" w:sz="6" w:space="0"/>
              <w:right w:val="outset" w:color="auto" w:sz="6" w:space="0"/>
            </w:tcBorders>
            <w:vAlign w:val="center"/>
          </w:tcPr>
          <w:p w14:paraId="356E9808">
            <w:r>
              <w:rPr>
                <w:lang w:bidi="ar"/>
              </w:rPr>
              <w:t>仪器设备名称</w:t>
            </w:r>
          </w:p>
        </w:tc>
        <w:tc>
          <w:tcPr>
            <w:tcW w:w="1056" w:type="dxa"/>
            <w:tcBorders>
              <w:top w:val="outset" w:color="auto" w:sz="6" w:space="0"/>
              <w:left w:val="outset" w:color="auto" w:sz="6" w:space="0"/>
              <w:bottom w:val="outset" w:color="auto" w:sz="6" w:space="0"/>
              <w:right w:val="outset" w:color="auto" w:sz="6" w:space="0"/>
            </w:tcBorders>
            <w:vAlign w:val="center"/>
          </w:tcPr>
          <w:p w14:paraId="58413DE1">
            <w:r>
              <w:rPr>
                <w:lang w:bidi="ar"/>
              </w:rPr>
              <w:t>型号规格</w:t>
            </w:r>
          </w:p>
        </w:tc>
        <w:tc>
          <w:tcPr>
            <w:tcW w:w="636" w:type="dxa"/>
            <w:tcBorders>
              <w:top w:val="outset" w:color="auto" w:sz="6" w:space="0"/>
              <w:left w:val="outset" w:color="auto" w:sz="6" w:space="0"/>
              <w:bottom w:val="outset" w:color="auto" w:sz="6" w:space="0"/>
              <w:right w:val="outset" w:color="auto" w:sz="6" w:space="0"/>
            </w:tcBorders>
            <w:vAlign w:val="center"/>
          </w:tcPr>
          <w:p w14:paraId="561C7E2C">
            <w:r>
              <w:rPr>
                <w:lang w:bidi="ar"/>
              </w:rPr>
              <w:t>数量</w:t>
            </w:r>
          </w:p>
        </w:tc>
        <w:tc>
          <w:tcPr>
            <w:tcW w:w="1056" w:type="dxa"/>
            <w:tcBorders>
              <w:top w:val="outset" w:color="auto" w:sz="6" w:space="0"/>
              <w:left w:val="outset" w:color="auto" w:sz="6" w:space="0"/>
              <w:bottom w:val="outset" w:color="auto" w:sz="6" w:space="0"/>
              <w:right w:val="outset" w:color="auto" w:sz="6" w:space="0"/>
            </w:tcBorders>
            <w:vAlign w:val="center"/>
          </w:tcPr>
          <w:p w14:paraId="6C642935">
            <w:r>
              <w:rPr>
                <w:lang w:bidi="ar"/>
              </w:rPr>
              <w:t>国别产地</w:t>
            </w:r>
          </w:p>
        </w:tc>
        <w:tc>
          <w:tcPr>
            <w:tcW w:w="1056" w:type="dxa"/>
            <w:tcBorders>
              <w:top w:val="outset" w:color="auto" w:sz="6" w:space="0"/>
              <w:left w:val="outset" w:color="auto" w:sz="6" w:space="0"/>
              <w:bottom w:val="outset" w:color="auto" w:sz="6" w:space="0"/>
              <w:right w:val="outset" w:color="auto" w:sz="6" w:space="0"/>
            </w:tcBorders>
            <w:vAlign w:val="center"/>
          </w:tcPr>
          <w:p w14:paraId="51851AAA">
            <w:r>
              <w:rPr>
                <w:lang w:bidi="ar"/>
              </w:rPr>
              <w:t>制造年份</w:t>
            </w:r>
          </w:p>
        </w:tc>
        <w:tc>
          <w:tcPr>
            <w:tcW w:w="1656" w:type="dxa"/>
            <w:tcBorders>
              <w:top w:val="outset" w:color="auto" w:sz="6" w:space="0"/>
              <w:left w:val="outset" w:color="auto" w:sz="6" w:space="0"/>
              <w:bottom w:val="outset" w:color="auto" w:sz="6" w:space="0"/>
              <w:right w:val="outset" w:color="auto" w:sz="6" w:space="0"/>
            </w:tcBorders>
            <w:vAlign w:val="center"/>
          </w:tcPr>
          <w:p w14:paraId="7548C106">
            <w:r>
              <w:rPr>
                <w:lang w:bidi="ar"/>
              </w:rPr>
              <w:t>己使用台时数</w:t>
            </w:r>
          </w:p>
        </w:tc>
        <w:tc>
          <w:tcPr>
            <w:tcW w:w="816" w:type="dxa"/>
            <w:tcBorders>
              <w:top w:val="outset" w:color="auto" w:sz="6" w:space="0"/>
              <w:left w:val="outset" w:color="auto" w:sz="6" w:space="0"/>
              <w:bottom w:val="outset" w:color="auto" w:sz="6" w:space="0"/>
              <w:right w:val="outset" w:color="auto" w:sz="6" w:space="0"/>
            </w:tcBorders>
            <w:vAlign w:val="center"/>
          </w:tcPr>
          <w:p w14:paraId="731BDD86">
            <w:r>
              <w:rPr>
                <w:lang w:bidi="ar"/>
              </w:rPr>
              <w:t>用途</w:t>
            </w:r>
          </w:p>
        </w:tc>
        <w:tc>
          <w:tcPr>
            <w:tcW w:w="720" w:type="dxa"/>
            <w:tcBorders>
              <w:top w:val="outset" w:color="auto" w:sz="6" w:space="0"/>
              <w:left w:val="outset" w:color="auto" w:sz="6" w:space="0"/>
              <w:bottom w:val="outset" w:color="auto" w:sz="6" w:space="0"/>
              <w:right w:val="outset" w:color="auto" w:sz="6" w:space="0"/>
            </w:tcBorders>
            <w:vAlign w:val="center"/>
          </w:tcPr>
          <w:p w14:paraId="7551EBB5">
            <w:r>
              <w:rPr>
                <w:lang w:bidi="ar"/>
              </w:rPr>
              <w:t>备注</w:t>
            </w:r>
          </w:p>
        </w:tc>
      </w:tr>
      <w:tr w14:paraId="73EC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1FA7229B">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22CAEDA6">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9859EB1">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4AD514F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2D519B0">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391FD39">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44A78D01">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10174D67">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3A436221">
            <w:pPr>
              <w:spacing w:line="360" w:lineRule="auto"/>
              <w:ind w:firstLine="420" w:firstLineChars="200"/>
              <w:rPr>
                <w:szCs w:val="21"/>
              </w:rPr>
            </w:pPr>
          </w:p>
        </w:tc>
      </w:tr>
      <w:tr w14:paraId="4C021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5B98D5F1">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329F3D96">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767BDC4">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745504B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A42A8B7">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5DD7014">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10843877">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1F810F63">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2DAD998C">
            <w:pPr>
              <w:spacing w:line="360" w:lineRule="auto"/>
              <w:ind w:firstLine="420" w:firstLineChars="200"/>
              <w:rPr>
                <w:szCs w:val="21"/>
              </w:rPr>
            </w:pPr>
          </w:p>
        </w:tc>
      </w:tr>
      <w:tr w14:paraId="303E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276486CD">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1780281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E323AD6">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501F9858">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05A8442">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EC9F159">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7FE0AA4B">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2EE91A1F">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79EE37AD">
            <w:pPr>
              <w:spacing w:line="360" w:lineRule="auto"/>
              <w:ind w:firstLine="420" w:firstLineChars="200"/>
              <w:rPr>
                <w:szCs w:val="21"/>
              </w:rPr>
            </w:pPr>
          </w:p>
        </w:tc>
      </w:tr>
      <w:tr w14:paraId="2FF5C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1AC3D897">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0AB8E318">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504611B">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6AA27487">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5189516">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DEE57B7">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31134795">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41F47D67">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1FCC906F">
            <w:pPr>
              <w:spacing w:line="360" w:lineRule="auto"/>
              <w:ind w:firstLine="420" w:firstLineChars="200"/>
              <w:rPr>
                <w:szCs w:val="21"/>
              </w:rPr>
            </w:pPr>
          </w:p>
        </w:tc>
      </w:tr>
      <w:tr w14:paraId="7561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5FFBE165">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6D295CE8">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8DC031E">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71EFE875">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6BF8F70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8EDA14F">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62EB7129">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0901AD7C">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448C8571">
            <w:pPr>
              <w:spacing w:line="360" w:lineRule="auto"/>
              <w:ind w:firstLine="420" w:firstLineChars="200"/>
              <w:rPr>
                <w:szCs w:val="21"/>
              </w:rPr>
            </w:pPr>
          </w:p>
        </w:tc>
      </w:tr>
      <w:tr w14:paraId="3B02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1E9C9ACB">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6DE83907">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EF33D87">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0FA04DBA">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DEB8D3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36603B4">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5F9C8401">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10B76F4A">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2DCF0742">
            <w:pPr>
              <w:spacing w:line="360" w:lineRule="auto"/>
              <w:ind w:firstLine="420" w:firstLineChars="200"/>
              <w:rPr>
                <w:szCs w:val="21"/>
              </w:rPr>
            </w:pPr>
          </w:p>
        </w:tc>
      </w:tr>
      <w:tr w14:paraId="5E73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01002961">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7D13E75F">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D21DCD3">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6ABE3BC9">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C79625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DF55A94">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273744A5">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2F4EB4E8">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6B2F298B">
            <w:pPr>
              <w:spacing w:line="360" w:lineRule="auto"/>
              <w:ind w:firstLine="420" w:firstLineChars="200"/>
              <w:rPr>
                <w:szCs w:val="21"/>
              </w:rPr>
            </w:pPr>
          </w:p>
        </w:tc>
      </w:tr>
      <w:tr w14:paraId="49AE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72BC5039">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49A8B0D9">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0A021ED">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1B3B531C">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5DE5360">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619FACA9">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3B3FCDC9">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5A0679AB">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307E6176">
            <w:pPr>
              <w:spacing w:line="360" w:lineRule="auto"/>
              <w:ind w:firstLine="420" w:firstLineChars="200"/>
              <w:rPr>
                <w:szCs w:val="21"/>
              </w:rPr>
            </w:pPr>
          </w:p>
        </w:tc>
      </w:tr>
      <w:tr w14:paraId="74FE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2F7FC48F">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301BA945">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2ED1762">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09AA25DF">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E3F6797">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AB7C22E">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71082BFC">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3D231362">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727CF72C">
            <w:pPr>
              <w:spacing w:line="360" w:lineRule="auto"/>
              <w:ind w:firstLine="420" w:firstLineChars="200"/>
              <w:rPr>
                <w:szCs w:val="21"/>
              </w:rPr>
            </w:pPr>
          </w:p>
        </w:tc>
      </w:tr>
      <w:tr w14:paraId="2E55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4B9FC490">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4302B77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CE4CA8D">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774D591F">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D262D0F">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8993686">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5BD2A2CB">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7ECEFC77">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6359CD46">
            <w:pPr>
              <w:spacing w:line="360" w:lineRule="auto"/>
              <w:ind w:firstLine="420" w:firstLineChars="200"/>
              <w:rPr>
                <w:szCs w:val="21"/>
              </w:rPr>
            </w:pPr>
          </w:p>
        </w:tc>
      </w:tr>
      <w:tr w14:paraId="3594B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21E38EE1">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17F9B034">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6FAACBAF">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68E77007">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92B576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4271474">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6AF6491A">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7800C32E">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77058944">
            <w:pPr>
              <w:spacing w:line="360" w:lineRule="auto"/>
              <w:ind w:firstLine="420" w:firstLineChars="200"/>
              <w:rPr>
                <w:szCs w:val="21"/>
              </w:rPr>
            </w:pPr>
          </w:p>
        </w:tc>
      </w:tr>
      <w:tr w14:paraId="7EBF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20729590">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6A14BB72">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90FBD8F">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2886DD3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F79302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2E3964E">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04FE370F">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6BAD8026">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07B7D8BA">
            <w:pPr>
              <w:spacing w:line="360" w:lineRule="auto"/>
              <w:ind w:firstLine="420" w:firstLineChars="200"/>
              <w:rPr>
                <w:szCs w:val="21"/>
              </w:rPr>
            </w:pPr>
          </w:p>
        </w:tc>
      </w:tr>
      <w:tr w14:paraId="18B7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057ADC98">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688099F4">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26F9271">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502DBE56">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4248C38">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8EEF907">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5EA0E33C">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1DC9F8DF">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20ECFD05">
            <w:pPr>
              <w:spacing w:line="360" w:lineRule="auto"/>
              <w:ind w:firstLine="420" w:firstLineChars="200"/>
              <w:rPr>
                <w:szCs w:val="21"/>
              </w:rPr>
            </w:pPr>
          </w:p>
        </w:tc>
      </w:tr>
      <w:tr w14:paraId="48A71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353F5ADC">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3498402A">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29CA0BC">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0D7936C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871E4DB">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80B91E0">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2E8A88D1">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0CC2A5FB">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50C792AA">
            <w:pPr>
              <w:spacing w:line="360" w:lineRule="auto"/>
              <w:ind w:firstLine="420" w:firstLineChars="200"/>
              <w:rPr>
                <w:szCs w:val="21"/>
              </w:rPr>
            </w:pPr>
          </w:p>
        </w:tc>
      </w:tr>
      <w:tr w14:paraId="2DA1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577A334B">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4459DFF2">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BD2D4C7">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3592315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307C61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7458DF5">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27293152">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4B122FFB">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525F681C">
            <w:pPr>
              <w:spacing w:line="360" w:lineRule="auto"/>
              <w:ind w:firstLine="420" w:firstLineChars="200"/>
              <w:rPr>
                <w:szCs w:val="21"/>
              </w:rPr>
            </w:pPr>
          </w:p>
        </w:tc>
      </w:tr>
      <w:tr w14:paraId="4C8A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1D1F24BA">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1B0E6989">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1A61D433">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07D2944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B12244C">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057F133">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06E642CA">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6711637E">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2EBB7D76">
            <w:pPr>
              <w:spacing w:line="360" w:lineRule="auto"/>
              <w:ind w:firstLine="420" w:firstLineChars="200"/>
              <w:rPr>
                <w:szCs w:val="21"/>
              </w:rPr>
            </w:pPr>
          </w:p>
        </w:tc>
      </w:tr>
      <w:tr w14:paraId="3D89C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1C7DF060">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69DB97EB">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3B615BE">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79CA5815">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3BFA4D9">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43B01C6F">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68DC76FB">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2DACE65A">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675ED236">
            <w:pPr>
              <w:spacing w:line="360" w:lineRule="auto"/>
              <w:ind w:firstLine="420" w:firstLineChars="200"/>
              <w:rPr>
                <w:szCs w:val="21"/>
              </w:rPr>
            </w:pPr>
          </w:p>
        </w:tc>
      </w:tr>
      <w:tr w14:paraId="3554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1971EF22">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3010492D">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66485C6C">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35706B59">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71ECF4A">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6B5B9F46">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616833BB">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24D30227">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504B4CAB">
            <w:pPr>
              <w:spacing w:line="360" w:lineRule="auto"/>
              <w:ind w:firstLine="420" w:firstLineChars="200"/>
              <w:rPr>
                <w:szCs w:val="21"/>
              </w:rPr>
            </w:pPr>
          </w:p>
        </w:tc>
      </w:tr>
      <w:tr w14:paraId="668F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25CE6B0A">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19A91CAA">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2605CA89">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7ACB4A21">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2438963">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A7BF6A0">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191D9A12">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53CC24BB">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2E6775D6">
            <w:pPr>
              <w:spacing w:line="360" w:lineRule="auto"/>
              <w:ind w:firstLine="420" w:firstLineChars="200"/>
              <w:rPr>
                <w:szCs w:val="21"/>
              </w:rPr>
            </w:pPr>
          </w:p>
        </w:tc>
      </w:tr>
      <w:tr w14:paraId="53C3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0B54F57A">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3BFD4ED4">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7B843CAF">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104C4F47">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60094EF3">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943B287">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718A47E8">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22F545AE">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085E4BCE">
            <w:pPr>
              <w:spacing w:line="360" w:lineRule="auto"/>
              <w:ind w:firstLine="420" w:firstLineChars="200"/>
              <w:rPr>
                <w:szCs w:val="21"/>
              </w:rPr>
            </w:pPr>
          </w:p>
        </w:tc>
      </w:tr>
      <w:tr w14:paraId="7DFEA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dxa"/>
            <w:tcBorders>
              <w:top w:val="outset" w:color="auto" w:sz="6" w:space="0"/>
              <w:left w:val="outset" w:color="auto" w:sz="6" w:space="0"/>
              <w:bottom w:val="outset" w:color="auto" w:sz="6" w:space="0"/>
              <w:right w:val="outset" w:color="auto" w:sz="6" w:space="0"/>
            </w:tcBorders>
            <w:vAlign w:val="center"/>
          </w:tcPr>
          <w:p w14:paraId="6AFD48CE">
            <w:pPr>
              <w:spacing w:line="360" w:lineRule="auto"/>
              <w:ind w:firstLine="420" w:firstLineChars="200"/>
              <w:rPr>
                <w:szCs w:val="21"/>
              </w:rPr>
            </w:pPr>
          </w:p>
        </w:tc>
        <w:tc>
          <w:tcPr>
            <w:tcW w:w="1476" w:type="dxa"/>
            <w:tcBorders>
              <w:top w:val="outset" w:color="auto" w:sz="6" w:space="0"/>
              <w:left w:val="outset" w:color="auto" w:sz="6" w:space="0"/>
              <w:bottom w:val="outset" w:color="auto" w:sz="6" w:space="0"/>
              <w:right w:val="outset" w:color="auto" w:sz="6" w:space="0"/>
            </w:tcBorders>
            <w:vAlign w:val="center"/>
          </w:tcPr>
          <w:p w14:paraId="517929C4">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5C723C10">
            <w:pPr>
              <w:spacing w:line="360" w:lineRule="auto"/>
              <w:ind w:firstLine="420" w:firstLineChars="200"/>
              <w:rPr>
                <w:szCs w:val="21"/>
              </w:rPr>
            </w:pPr>
          </w:p>
        </w:tc>
        <w:tc>
          <w:tcPr>
            <w:tcW w:w="636" w:type="dxa"/>
            <w:tcBorders>
              <w:top w:val="outset" w:color="auto" w:sz="6" w:space="0"/>
              <w:left w:val="outset" w:color="auto" w:sz="6" w:space="0"/>
              <w:bottom w:val="outset" w:color="auto" w:sz="6" w:space="0"/>
              <w:right w:val="outset" w:color="auto" w:sz="6" w:space="0"/>
            </w:tcBorders>
            <w:vAlign w:val="center"/>
          </w:tcPr>
          <w:p w14:paraId="72684585">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327A9F04">
            <w:pPr>
              <w:spacing w:line="360" w:lineRule="auto"/>
              <w:ind w:firstLine="420" w:firstLineChars="200"/>
              <w:rPr>
                <w:szCs w:val="21"/>
              </w:rPr>
            </w:pPr>
          </w:p>
        </w:tc>
        <w:tc>
          <w:tcPr>
            <w:tcW w:w="1056" w:type="dxa"/>
            <w:tcBorders>
              <w:top w:val="outset" w:color="auto" w:sz="6" w:space="0"/>
              <w:left w:val="outset" w:color="auto" w:sz="6" w:space="0"/>
              <w:bottom w:val="outset" w:color="auto" w:sz="6" w:space="0"/>
              <w:right w:val="outset" w:color="auto" w:sz="6" w:space="0"/>
            </w:tcBorders>
            <w:vAlign w:val="center"/>
          </w:tcPr>
          <w:p w14:paraId="07FC0EAA">
            <w:pPr>
              <w:spacing w:line="360" w:lineRule="auto"/>
              <w:ind w:firstLine="420" w:firstLineChars="200"/>
              <w:rPr>
                <w:szCs w:val="21"/>
              </w:rPr>
            </w:pPr>
          </w:p>
        </w:tc>
        <w:tc>
          <w:tcPr>
            <w:tcW w:w="1656" w:type="dxa"/>
            <w:tcBorders>
              <w:top w:val="outset" w:color="auto" w:sz="6" w:space="0"/>
              <w:left w:val="outset" w:color="auto" w:sz="6" w:space="0"/>
              <w:bottom w:val="outset" w:color="auto" w:sz="6" w:space="0"/>
              <w:right w:val="outset" w:color="auto" w:sz="6" w:space="0"/>
            </w:tcBorders>
            <w:vAlign w:val="center"/>
          </w:tcPr>
          <w:p w14:paraId="08E626B7">
            <w:pPr>
              <w:spacing w:line="360" w:lineRule="auto"/>
              <w:ind w:firstLine="420" w:firstLineChars="200"/>
              <w:rPr>
                <w:szCs w:val="21"/>
              </w:rPr>
            </w:pPr>
          </w:p>
        </w:tc>
        <w:tc>
          <w:tcPr>
            <w:tcW w:w="816" w:type="dxa"/>
            <w:tcBorders>
              <w:top w:val="outset" w:color="auto" w:sz="6" w:space="0"/>
              <w:left w:val="outset" w:color="auto" w:sz="6" w:space="0"/>
              <w:bottom w:val="outset" w:color="auto" w:sz="6" w:space="0"/>
              <w:right w:val="outset" w:color="auto" w:sz="6" w:space="0"/>
            </w:tcBorders>
            <w:vAlign w:val="center"/>
          </w:tcPr>
          <w:p w14:paraId="0E664609">
            <w:pPr>
              <w:spacing w:line="360" w:lineRule="auto"/>
              <w:ind w:firstLine="420" w:firstLineChars="200"/>
              <w:rPr>
                <w:szCs w:val="21"/>
              </w:rPr>
            </w:pPr>
          </w:p>
        </w:tc>
        <w:tc>
          <w:tcPr>
            <w:tcW w:w="720" w:type="dxa"/>
            <w:tcBorders>
              <w:top w:val="outset" w:color="auto" w:sz="6" w:space="0"/>
              <w:left w:val="outset" w:color="auto" w:sz="6" w:space="0"/>
              <w:bottom w:val="outset" w:color="auto" w:sz="6" w:space="0"/>
              <w:right w:val="outset" w:color="auto" w:sz="6" w:space="0"/>
            </w:tcBorders>
            <w:vAlign w:val="center"/>
          </w:tcPr>
          <w:p w14:paraId="740FC482">
            <w:pPr>
              <w:spacing w:line="360" w:lineRule="auto"/>
              <w:ind w:firstLine="420" w:firstLineChars="200"/>
              <w:rPr>
                <w:szCs w:val="21"/>
              </w:rPr>
            </w:pPr>
          </w:p>
        </w:tc>
      </w:tr>
    </w:tbl>
    <w:p w14:paraId="39D74E19">
      <w:pPr>
        <w:rPr>
          <w:sz w:val="24"/>
        </w:rPr>
      </w:pPr>
    </w:p>
    <w:p w14:paraId="62CC9554">
      <w:pPr>
        <w:rPr>
          <w:sz w:val="24"/>
        </w:rPr>
      </w:pPr>
    </w:p>
    <w:p w14:paraId="3C1A6AB8">
      <w:pPr>
        <w:rPr>
          <w:sz w:val="24"/>
        </w:rPr>
      </w:pPr>
    </w:p>
    <w:p w14:paraId="59091631">
      <w:pPr>
        <w:rPr>
          <w:sz w:val="24"/>
        </w:rPr>
      </w:pPr>
    </w:p>
    <w:p w14:paraId="4A4FB6AD">
      <w:pPr>
        <w:rPr>
          <w:sz w:val="24"/>
        </w:rPr>
      </w:pPr>
    </w:p>
    <w:p w14:paraId="1A63E23D">
      <w:pPr>
        <w:rPr>
          <w:sz w:val="24"/>
        </w:rPr>
      </w:pPr>
    </w:p>
    <w:p w14:paraId="369AC651">
      <w:pPr>
        <w:rPr>
          <w:sz w:val="24"/>
        </w:rPr>
      </w:pPr>
    </w:p>
    <w:p w14:paraId="2F2218A3">
      <w:pPr>
        <w:rPr>
          <w:sz w:val="24"/>
        </w:rPr>
      </w:pPr>
    </w:p>
    <w:p w14:paraId="74BBD3AE">
      <w:pPr>
        <w:rPr>
          <w:sz w:val="24"/>
        </w:rPr>
      </w:pPr>
    </w:p>
    <w:p w14:paraId="5098D27F">
      <w:pPr>
        <w:rPr>
          <w:sz w:val="24"/>
        </w:rPr>
      </w:pPr>
    </w:p>
    <w:p w14:paraId="3702304B">
      <w:pPr>
        <w:rPr>
          <w:sz w:val="24"/>
        </w:rPr>
      </w:pPr>
    </w:p>
    <w:p w14:paraId="6E523092">
      <w:pPr>
        <w:keepNext/>
        <w:keepLines/>
        <w:tabs>
          <w:tab w:val="left" w:pos="1429"/>
        </w:tabs>
        <w:spacing w:line="360" w:lineRule="auto"/>
        <w:jc w:val="left"/>
        <w:outlineLvl w:val="2"/>
        <w:rPr>
          <w:b/>
          <w:bCs/>
          <w:sz w:val="24"/>
          <w:szCs w:val="32"/>
        </w:rPr>
      </w:pPr>
      <w:bookmarkStart w:id="1023" w:name="_Toc36229083"/>
      <w:r>
        <w:rPr>
          <w:b/>
          <w:bCs/>
          <w:sz w:val="24"/>
          <w:szCs w:val="32"/>
        </w:rPr>
        <w:br w:type="page"/>
      </w:r>
      <w:r>
        <w:rPr>
          <w:b/>
          <w:bCs/>
          <w:sz w:val="24"/>
          <w:szCs w:val="32"/>
        </w:rPr>
        <w:t>附表三：劳动力计划表</w:t>
      </w:r>
      <w:bookmarkEnd w:id="1023"/>
    </w:p>
    <w:p w14:paraId="3996ECA0">
      <w:pPr>
        <w:spacing w:line="360" w:lineRule="auto"/>
        <w:rPr>
          <w:sz w:val="24"/>
        </w:rPr>
      </w:pPr>
      <w:r>
        <w:rPr>
          <w:szCs w:val="21"/>
          <w:lang w:bidi="ar"/>
        </w:rPr>
        <w:t xml:space="preserve">   </w:t>
      </w:r>
      <w:r>
        <w:rPr>
          <w:sz w:val="24"/>
          <w:lang w:bidi="ar"/>
        </w:rPr>
        <w:t xml:space="preserve"> 单位：人</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105"/>
        <w:gridCol w:w="1105"/>
        <w:gridCol w:w="1105"/>
        <w:gridCol w:w="1105"/>
        <w:gridCol w:w="1105"/>
        <w:gridCol w:w="1105"/>
        <w:gridCol w:w="1105"/>
      </w:tblGrid>
      <w:tr w14:paraId="1BD4D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l2br w:val="single" w:color="auto" w:sz="4" w:space="0"/>
            </w:tcBorders>
            <w:vAlign w:val="center"/>
          </w:tcPr>
          <w:p w14:paraId="3BB6AC0D">
            <w:pPr>
              <w:spacing w:line="360" w:lineRule="auto"/>
              <w:rPr>
                <w:sz w:val="24"/>
              </w:rPr>
            </w:pPr>
            <w:r>
              <w:rPr>
                <w:sz w:val="22"/>
                <w:szCs w:val="22"/>
                <w:lang w:bidi="ar"/>
              </w:rPr>
              <w:t>阶段工种</w:t>
            </w:r>
          </w:p>
        </w:tc>
        <w:tc>
          <w:tcPr>
            <w:tcW w:w="7735" w:type="dxa"/>
            <w:gridSpan w:val="7"/>
            <w:tcBorders>
              <w:top w:val="outset" w:color="auto" w:sz="6" w:space="0"/>
              <w:left w:val="outset" w:color="auto" w:sz="6" w:space="0"/>
              <w:bottom w:val="outset" w:color="auto" w:sz="6" w:space="0"/>
              <w:right w:val="outset" w:color="auto" w:sz="6" w:space="0"/>
            </w:tcBorders>
            <w:vAlign w:val="center"/>
          </w:tcPr>
          <w:p w14:paraId="522C6992">
            <w:pPr>
              <w:spacing w:line="360" w:lineRule="auto"/>
              <w:ind w:firstLine="480" w:firstLineChars="200"/>
              <w:jc w:val="center"/>
              <w:rPr>
                <w:sz w:val="24"/>
              </w:rPr>
            </w:pPr>
            <w:r>
              <w:rPr>
                <w:sz w:val="24"/>
                <w:lang w:bidi="ar"/>
              </w:rPr>
              <w:t>按工程施工阶段投入劳动力情况</w:t>
            </w:r>
          </w:p>
        </w:tc>
      </w:tr>
      <w:tr w14:paraId="5155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6C5C2D7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4DFBCB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F5573C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E03A54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EA6E86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F0221C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18B601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2BAC640">
            <w:pPr>
              <w:spacing w:line="360" w:lineRule="auto"/>
              <w:ind w:firstLine="420" w:firstLineChars="200"/>
              <w:rPr>
                <w:szCs w:val="21"/>
              </w:rPr>
            </w:pPr>
          </w:p>
        </w:tc>
      </w:tr>
      <w:tr w14:paraId="03D89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11C680E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AD94AF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068B42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4F6878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EA2796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1DEA70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BE4ED6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B0BDF5E">
            <w:pPr>
              <w:spacing w:line="360" w:lineRule="auto"/>
              <w:ind w:firstLine="420" w:firstLineChars="200"/>
              <w:rPr>
                <w:szCs w:val="21"/>
              </w:rPr>
            </w:pPr>
          </w:p>
        </w:tc>
      </w:tr>
      <w:tr w14:paraId="489D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154E192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C90D1B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F7321A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390CCC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14AE7F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5577138">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04CC63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C6A0B11">
            <w:pPr>
              <w:spacing w:line="360" w:lineRule="auto"/>
              <w:ind w:firstLine="420" w:firstLineChars="200"/>
              <w:rPr>
                <w:szCs w:val="21"/>
              </w:rPr>
            </w:pPr>
          </w:p>
        </w:tc>
      </w:tr>
      <w:tr w14:paraId="283A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12FDC8E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F2552D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287806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A906DC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EDB9F7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7DD15F8">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C2CC47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183A33E">
            <w:pPr>
              <w:spacing w:line="360" w:lineRule="auto"/>
              <w:ind w:firstLine="420" w:firstLineChars="200"/>
              <w:rPr>
                <w:szCs w:val="21"/>
              </w:rPr>
            </w:pPr>
          </w:p>
        </w:tc>
      </w:tr>
      <w:tr w14:paraId="54183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37B5618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4EACD18">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1D30ED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620B86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A92609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E51DEB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494FF5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59A4616">
            <w:pPr>
              <w:spacing w:line="360" w:lineRule="auto"/>
              <w:ind w:firstLine="420" w:firstLineChars="200"/>
              <w:rPr>
                <w:szCs w:val="21"/>
              </w:rPr>
            </w:pPr>
          </w:p>
        </w:tc>
      </w:tr>
      <w:tr w14:paraId="1BFB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1C7511C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55817E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A495F1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A95BE5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5C1D36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61A07D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AB1F43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129F4FC">
            <w:pPr>
              <w:spacing w:line="360" w:lineRule="auto"/>
              <w:ind w:firstLine="420" w:firstLineChars="200"/>
              <w:rPr>
                <w:szCs w:val="21"/>
              </w:rPr>
            </w:pPr>
          </w:p>
        </w:tc>
      </w:tr>
      <w:tr w14:paraId="038E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20E3135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D3167F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B0D85B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2B6758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9CCABA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18D213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371C71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3589334">
            <w:pPr>
              <w:spacing w:line="360" w:lineRule="auto"/>
              <w:ind w:firstLine="420" w:firstLineChars="200"/>
              <w:rPr>
                <w:szCs w:val="21"/>
              </w:rPr>
            </w:pPr>
          </w:p>
        </w:tc>
      </w:tr>
      <w:tr w14:paraId="09DC0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730DA98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9448EC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AA9868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F2A10E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55912B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5C42BA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7DB618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450859D">
            <w:pPr>
              <w:spacing w:line="360" w:lineRule="auto"/>
              <w:ind w:firstLine="420" w:firstLineChars="200"/>
              <w:rPr>
                <w:szCs w:val="21"/>
              </w:rPr>
            </w:pPr>
          </w:p>
        </w:tc>
      </w:tr>
      <w:tr w14:paraId="0CEA2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24F365C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9CA11C5">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984ABE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4F1425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844F4E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3E9B08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355484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E22D08A">
            <w:pPr>
              <w:spacing w:line="360" w:lineRule="auto"/>
              <w:ind w:firstLine="420" w:firstLineChars="200"/>
              <w:rPr>
                <w:szCs w:val="21"/>
              </w:rPr>
            </w:pPr>
          </w:p>
        </w:tc>
      </w:tr>
      <w:tr w14:paraId="76E0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274E177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958DE6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5C2307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E94074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9A2A08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D35252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151E2F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E2206EB">
            <w:pPr>
              <w:spacing w:line="360" w:lineRule="auto"/>
              <w:ind w:firstLine="420" w:firstLineChars="200"/>
              <w:rPr>
                <w:szCs w:val="21"/>
              </w:rPr>
            </w:pPr>
          </w:p>
        </w:tc>
      </w:tr>
      <w:tr w14:paraId="299B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0CB6A865">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0598AE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079F0D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88DDDE8">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1AE478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C1ACCB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1AE2C8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269BA4A">
            <w:pPr>
              <w:spacing w:line="360" w:lineRule="auto"/>
              <w:ind w:firstLine="420" w:firstLineChars="200"/>
              <w:rPr>
                <w:szCs w:val="21"/>
              </w:rPr>
            </w:pPr>
          </w:p>
        </w:tc>
      </w:tr>
      <w:tr w14:paraId="31E25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0A0337B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356CEF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9424605">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8A89A8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0AADB1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910CA0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09A6F88">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D3C8016">
            <w:pPr>
              <w:spacing w:line="360" w:lineRule="auto"/>
              <w:ind w:firstLine="420" w:firstLineChars="200"/>
              <w:rPr>
                <w:szCs w:val="21"/>
              </w:rPr>
            </w:pPr>
          </w:p>
        </w:tc>
      </w:tr>
      <w:tr w14:paraId="3D662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74571F6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6EBE2B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9DC59C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B39F14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2D0925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CC6E5E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D07115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377E876">
            <w:pPr>
              <w:spacing w:line="360" w:lineRule="auto"/>
              <w:ind w:firstLine="420" w:firstLineChars="200"/>
              <w:rPr>
                <w:szCs w:val="21"/>
              </w:rPr>
            </w:pPr>
          </w:p>
        </w:tc>
      </w:tr>
      <w:tr w14:paraId="6D4F0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46EE089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DE6325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DF1A3F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BEE2A5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D165B6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C9E9FA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0931F4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9CD55DE">
            <w:pPr>
              <w:spacing w:line="360" w:lineRule="auto"/>
              <w:ind w:firstLine="420" w:firstLineChars="200"/>
              <w:rPr>
                <w:szCs w:val="21"/>
              </w:rPr>
            </w:pPr>
          </w:p>
        </w:tc>
      </w:tr>
      <w:tr w14:paraId="06032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4FEB447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33E9A5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603F4C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DEDB48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1875CF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B097A8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83FBB35">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25AE9EE">
            <w:pPr>
              <w:spacing w:line="360" w:lineRule="auto"/>
              <w:ind w:firstLine="420" w:firstLineChars="200"/>
              <w:rPr>
                <w:szCs w:val="21"/>
              </w:rPr>
            </w:pPr>
          </w:p>
        </w:tc>
      </w:tr>
      <w:tr w14:paraId="28CF3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04BC811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E9024C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C04AD7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169780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618D98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6BC711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20CED8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FF01215">
            <w:pPr>
              <w:spacing w:line="360" w:lineRule="auto"/>
              <w:ind w:firstLine="420" w:firstLineChars="200"/>
              <w:rPr>
                <w:szCs w:val="21"/>
              </w:rPr>
            </w:pPr>
          </w:p>
        </w:tc>
      </w:tr>
      <w:tr w14:paraId="5868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7F5BCA2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5AC3F2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9EE813A">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5795F8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C71587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AD968A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3B3312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6231B07">
            <w:pPr>
              <w:spacing w:line="360" w:lineRule="auto"/>
              <w:ind w:firstLine="420" w:firstLineChars="200"/>
              <w:rPr>
                <w:szCs w:val="21"/>
              </w:rPr>
            </w:pPr>
          </w:p>
        </w:tc>
      </w:tr>
      <w:tr w14:paraId="59FCB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4B9210A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EEFCC6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D5DB50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43F808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93A8DC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A185B01">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F97E98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479A87F">
            <w:pPr>
              <w:spacing w:line="360" w:lineRule="auto"/>
              <w:ind w:firstLine="420" w:firstLineChars="200"/>
              <w:rPr>
                <w:szCs w:val="21"/>
              </w:rPr>
            </w:pPr>
          </w:p>
        </w:tc>
      </w:tr>
      <w:tr w14:paraId="17B1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52A8758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6DD93E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C5ACAD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126891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0F0343C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755064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AF570D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1C9AEC4">
            <w:pPr>
              <w:spacing w:line="360" w:lineRule="auto"/>
              <w:ind w:firstLine="420" w:firstLineChars="200"/>
              <w:rPr>
                <w:szCs w:val="21"/>
              </w:rPr>
            </w:pPr>
          </w:p>
        </w:tc>
      </w:tr>
      <w:tr w14:paraId="44659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68B5CDA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06EC209">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A20C1D4">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762882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41A8124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6A01DD3">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DEED03D">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7E316C0E">
            <w:pPr>
              <w:spacing w:line="360" w:lineRule="auto"/>
              <w:ind w:firstLine="420" w:firstLineChars="200"/>
              <w:rPr>
                <w:szCs w:val="21"/>
              </w:rPr>
            </w:pPr>
          </w:p>
        </w:tc>
      </w:tr>
      <w:tr w14:paraId="0FF3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63F4D130">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F6631C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5747CD8">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FC6FEE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7C7301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CC7665E">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AD3BF9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4F500D0">
            <w:pPr>
              <w:spacing w:line="360" w:lineRule="auto"/>
              <w:ind w:firstLine="420" w:firstLineChars="200"/>
              <w:rPr>
                <w:szCs w:val="21"/>
              </w:rPr>
            </w:pPr>
          </w:p>
        </w:tc>
      </w:tr>
      <w:tr w14:paraId="3668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Borders>
              <w:top w:val="outset" w:color="auto" w:sz="6" w:space="0"/>
              <w:left w:val="outset" w:color="auto" w:sz="6" w:space="0"/>
              <w:bottom w:val="outset" w:color="auto" w:sz="6" w:space="0"/>
              <w:right w:val="outset" w:color="auto" w:sz="6" w:space="0"/>
            </w:tcBorders>
            <w:vAlign w:val="center"/>
          </w:tcPr>
          <w:p w14:paraId="5FC2082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17C8959C">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22C561B">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3DA1DFB6">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219232C7">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D3E7D52">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6E13EEAF">
            <w:pPr>
              <w:spacing w:line="360" w:lineRule="auto"/>
              <w:ind w:firstLine="420" w:firstLineChars="200"/>
              <w:rPr>
                <w:szCs w:val="21"/>
              </w:rPr>
            </w:pPr>
          </w:p>
        </w:tc>
        <w:tc>
          <w:tcPr>
            <w:tcW w:w="1105" w:type="dxa"/>
            <w:tcBorders>
              <w:top w:val="outset" w:color="auto" w:sz="6" w:space="0"/>
              <w:left w:val="outset" w:color="auto" w:sz="6" w:space="0"/>
              <w:bottom w:val="outset" w:color="auto" w:sz="6" w:space="0"/>
              <w:right w:val="outset" w:color="auto" w:sz="6" w:space="0"/>
            </w:tcBorders>
            <w:vAlign w:val="center"/>
          </w:tcPr>
          <w:p w14:paraId="5A549476">
            <w:pPr>
              <w:spacing w:line="360" w:lineRule="auto"/>
              <w:ind w:firstLine="420" w:firstLineChars="200"/>
              <w:rPr>
                <w:szCs w:val="21"/>
              </w:rPr>
            </w:pPr>
          </w:p>
        </w:tc>
      </w:tr>
    </w:tbl>
    <w:p w14:paraId="4365E2D5">
      <w:pPr>
        <w:rPr>
          <w:sz w:val="24"/>
        </w:rPr>
      </w:pPr>
    </w:p>
    <w:p w14:paraId="2D95EC70">
      <w:pPr>
        <w:rPr>
          <w:sz w:val="24"/>
        </w:rPr>
      </w:pPr>
    </w:p>
    <w:p w14:paraId="3E282F9F">
      <w:pPr>
        <w:rPr>
          <w:sz w:val="24"/>
        </w:rPr>
      </w:pPr>
    </w:p>
    <w:p w14:paraId="30762E48">
      <w:pPr>
        <w:rPr>
          <w:sz w:val="24"/>
        </w:rPr>
      </w:pPr>
    </w:p>
    <w:p w14:paraId="5BEAEC17">
      <w:pPr>
        <w:rPr>
          <w:sz w:val="24"/>
        </w:rPr>
      </w:pPr>
    </w:p>
    <w:p w14:paraId="14C850D9">
      <w:pPr>
        <w:rPr>
          <w:sz w:val="24"/>
        </w:rPr>
      </w:pPr>
    </w:p>
    <w:p w14:paraId="0C2F1B29">
      <w:pPr>
        <w:keepNext/>
        <w:keepLines/>
        <w:tabs>
          <w:tab w:val="left" w:pos="1429"/>
        </w:tabs>
        <w:spacing w:line="360" w:lineRule="auto"/>
        <w:jc w:val="left"/>
        <w:outlineLvl w:val="2"/>
        <w:rPr>
          <w:b/>
          <w:bCs/>
          <w:sz w:val="24"/>
          <w:szCs w:val="32"/>
        </w:rPr>
      </w:pPr>
      <w:bookmarkStart w:id="1024" w:name="_Toc36229084"/>
      <w:r>
        <w:rPr>
          <w:b/>
          <w:bCs/>
          <w:sz w:val="24"/>
          <w:szCs w:val="32"/>
        </w:rPr>
        <w:br w:type="page"/>
      </w:r>
      <w:r>
        <w:rPr>
          <w:b/>
          <w:bCs/>
          <w:sz w:val="24"/>
          <w:szCs w:val="32"/>
        </w:rPr>
        <w:t>附表四：计划开、竣工日期和施工进度网络图</w:t>
      </w:r>
      <w:bookmarkEnd w:id="1024"/>
    </w:p>
    <w:p w14:paraId="10994937">
      <w:pPr>
        <w:rPr>
          <w:sz w:val="24"/>
        </w:rPr>
      </w:pPr>
    </w:p>
    <w:p w14:paraId="56C5136F">
      <w:pPr>
        <w:spacing w:line="360" w:lineRule="auto"/>
        <w:rPr>
          <w:sz w:val="24"/>
        </w:rPr>
      </w:pPr>
      <w:r>
        <w:rPr>
          <w:sz w:val="24"/>
          <w:lang w:bidi="ar"/>
        </w:rPr>
        <w:t>1．供应商应递交施工进度网络图或施工进度表，说明按磋商文件要求的计划工期进行施工的各个关键日期。</w:t>
      </w:r>
    </w:p>
    <w:p w14:paraId="20BEE719">
      <w:pPr>
        <w:spacing w:line="360" w:lineRule="auto"/>
        <w:rPr>
          <w:sz w:val="24"/>
        </w:rPr>
      </w:pPr>
      <w:r>
        <w:rPr>
          <w:sz w:val="24"/>
          <w:lang w:bidi="ar"/>
        </w:rPr>
        <w:t>2．施工进度表可采用网络图（或横道图）表示。</w:t>
      </w:r>
    </w:p>
    <w:p w14:paraId="63C114E3">
      <w:pPr>
        <w:pStyle w:val="20"/>
        <w:spacing w:line="360" w:lineRule="auto"/>
        <w:outlineLvl w:val="2"/>
        <w:rPr>
          <w:rFonts w:ascii="Times New Roman" w:hAnsi="Times New Roman"/>
        </w:rPr>
      </w:pPr>
      <w:r>
        <w:rPr>
          <w:rFonts w:ascii="Times New Roman" w:hAnsi="Times New Roman"/>
        </w:rPr>
        <w:br w:type="page"/>
      </w:r>
      <w:r>
        <w:rPr>
          <w:rFonts w:hint="eastAsia" w:ascii="Times New Roman" w:hAnsi="Times New Roman"/>
          <w:b/>
          <w:bCs/>
          <w:lang w:val="en-US" w:eastAsia="zh-CN"/>
        </w:rPr>
        <w:t>11-</w:t>
      </w:r>
      <w:r>
        <w:rPr>
          <w:rFonts w:ascii="Times New Roman" w:hAnsi="Times New Roman"/>
          <w:b/>
          <w:bCs/>
        </w:rPr>
        <w:t>2项目管理机构</w:t>
      </w:r>
    </w:p>
    <w:p w14:paraId="69FA5E3A">
      <w:pPr>
        <w:keepNext/>
        <w:keepLines/>
        <w:tabs>
          <w:tab w:val="left" w:pos="1429"/>
        </w:tabs>
        <w:spacing w:line="360" w:lineRule="auto"/>
        <w:jc w:val="left"/>
        <w:outlineLvl w:val="2"/>
        <w:rPr>
          <w:b/>
          <w:bCs/>
          <w:sz w:val="24"/>
          <w:szCs w:val="32"/>
        </w:rPr>
      </w:pPr>
      <w:bookmarkStart w:id="1025" w:name="_Toc436911910"/>
      <w:bookmarkStart w:id="1026" w:name="_Toc421266113"/>
      <w:bookmarkStart w:id="1027" w:name="_Toc30347"/>
      <w:bookmarkStart w:id="1028" w:name="_Toc407278634"/>
      <w:bookmarkStart w:id="1029" w:name="_Toc36229088"/>
      <w:bookmarkStart w:id="1030" w:name="_Toc36228271"/>
      <w:r>
        <w:rPr>
          <w:b/>
          <w:bCs/>
          <w:sz w:val="24"/>
          <w:szCs w:val="32"/>
        </w:rPr>
        <w:t>（一）项目管理机构组成表</w:t>
      </w:r>
      <w:bookmarkEnd w:id="1025"/>
      <w:bookmarkEnd w:id="1026"/>
      <w:bookmarkEnd w:id="1027"/>
      <w:bookmarkEnd w:id="1028"/>
      <w:bookmarkEnd w:id="1029"/>
      <w:bookmarkEnd w:id="1030"/>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978"/>
        <w:gridCol w:w="978"/>
        <w:gridCol w:w="1364"/>
        <w:gridCol w:w="1365"/>
        <w:gridCol w:w="1364"/>
        <w:gridCol w:w="1495"/>
      </w:tblGrid>
      <w:tr w14:paraId="4A84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8" w:hRule="atLeast"/>
          <w:jc w:val="center"/>
        </w:trPr>
        <w:tc>
          <w:tcPr>
            <w:tcW w:w="978" w:type="dxa"/>
            <w:tcBorders>
              <w:top w:val="single" w:color="auto" w:sz="4" w:space="0"/>
              <w:left w:val="single" w:color="auto" w:sz="4" w:space="0"/>
              <w:bottom w:val="single" w:color="auto" w:sz="4" w:space="0"/>
              <w:right w:val="single" w:color="auto" w:sz="4" w:space="0"/>
            </w:tcBorders>
            <w:vAlign w:val="center"/>
          </w:tcPr>
          <w:p w14:paraId="45D4A132">
            <w:pPr>
              <w:spacing w:line="360" w:lineRule="auto"/>
              <w:jc w:val="center"/>
              <w:rPr>
                <w:sz w:val="24"/>
              </w:rPr>
            </w:pPr>
            <w:r>
              <w:rPr>
                <w:sz w:val="24"/>
                <w:lang w:bidi="ar"/>
              </w:rPr>
              <w:t>姓名</w:t>
            </w:r>
          </w:p>
        </w:tc>
        <w:tc>
          <w:tcPr>
            <w:tcW w:w="978" w:type="dxa"/>
            <w:tcBorders>
              <w:top w:val="single" w:color="auto" w:sz="4" w:space="0"/>
              <w:left w:val="single" w:color="auto" w:sz="4" w:space="0"/>
              <w:bottom w:val="single" w:color="auto" w:sz="4" w:space="0"/>
              <w:right w:val="single" w:color="auto" w:sz="4" w:space="0"/>
            </w:tcBorders>
            <w:vAlign w:val="center"/>
          </w:tcPr>
          <w:p w14:paraId="1D008501">
            <w:pPr>
              <w:spacing w:line="360" w:lineRule="auto"/>
              <w:jc w:val="center"/>
              <w:rPr>
                <w:sz w:val="24"/>
              </w:rPr>
            </w:pPr>
            <w:r>
              <w:rPr>
                <w:sz w:val="24"/>
                <w:lang w:bidi="ar"/>
              </w:rPr>
              <w:t>性别</w:t>
            </w:r>
          </w:p>
        </w:tc>
        <w:tc>
          <w:tcPr>
            <w:tcW w:w="978" w:type="dxa"/>
            <w:tcBorders>
              <w:top w:val="single" w:color="auto" w:sz="4" w:space="0"/>
              <w:left w:val="single" w:color="auto" w:sz="4" w:space="0"/>
              <w:bottom w:val="single" w:color="auto" w:sz="4" w:space="0"/>
              <w:right w:val="single" w:color="auto" w:sz="4" w:space="0"/>
            </w:tcBorders>
            <w:vAlign w:val="center"/>
          </w:tcPr>
          <w:p w14:paraId="6EBB87B5">
            <w:pPr>
              <w:spacing w:line="360" w:lineRule="auto"/>
              <w:jc w:val="center"/>
              <w:rPr>
                <w:sz w:val="24"/>
              </w:rPr>
            </w:pPr>
            <w:r>
              <w:rPr>
                <w:sz w:val="24"/>
                <w:lang w:bidi="ar"/>
              </w:rPr>
              <w:t>年龄</w:t>
            </w:r>
          </w:p>
        </w:tc>
        <w:tc>
          <w:tcPr>
            <w:tcW w:w="1364" w:type="dxa"/>
            <w:tcBorders>
              <w:top w:val="single" w:color="auto" w:sz="4" w:space="0"/>
              <w:left w:val="single" w:color="auto" w:sz="4" w:space="0"/>
              <w:right w:val="single" w:color="auto" w:sz="4" w:space="0"/>
            </w:tcBorders>
            <w:vAlign w:val="center"/>
          </w:tcPr>
          <w:p w14:paraId="4F33E2E6">
            <w:pPr>
              <w:spacing w:line="360" w:lineRule="auto"/>
              <w:jc w:val="center"/>
              <w:rPr>
                <w:sz w:val="24"/>
              </w:rPr>
            </w:pPr>
            <w:r>
              <w:rPr>
                <w:sz w:val="24"/>
                <w:lang w:bidi="ar"/>
              </w:rPr>
              <w:t>职称</w:t>
            </w:r>
          </w:p>
        </w:tc>
        <w:tc>
          <w:tcPr>
            <w:tcW w:w="1365" w:type="dxa"/>
            <w:tcBorders>
              <w:top w:val="single" w:color="auto" w:sz="4" w:space="0"/>
              <w:left w:val="single" w:color="auto" w:sz="4" w:space="0"/>
              <w:right w:val="single" w:color="auto" w:sz="4" w:space="0"/>
            </w:tcBorders>
            <w:vAlign w:val="center"/>
          </w:tcPr>
          <w:p w14:paraId="20369E03">
            <w:pPr>
              <w:spacing w:line="360" w:lineRule="auto"/>
              <w:jc w:val="center"/>
              <w:rPr>
                <w:sz w:val="24"/>
              </w:rPr>
            </w:pPr>
            <w:r>
              <w:rPr>
                <w:sz w:val="24"/>
              </w:rPr>
              <w:t>专业</w:t>
            </w:r>
          </w:p>
        </w:tc>
        <w:tc>
          <w:tcPr>
            <w:tcW w:w="1364" w:type="dxa"/>
            <w:tcBorders>
              <w:top w:val="single" w:color="auto" w:sz="4" w:space="0"/>
              <w:left w:val="single" w:color="auto" w:sz="4" w:space="0"/>
              <w:right w:val="single" w:color="auto" w:sz="4" w:space="0"/>
            </w:tcBorders>
            <w:vAlign w:val="center"/>
          </w:tcPr>
          <w:p w14:paraId="1D4168CD">
            <w:pPr>
              <w:spacing w:line="360" w:lineRule="auto"/>
              <w:jc w:val="center"/>
              <w:rPr>
                <w:sz w:val="24"/>
              </w:rPr>
            </w:pPr>
            <w:r>
              <w:rPr>
                <w:sz w:val="24"/>
              </w:rPr>
              <w:t>资格证书编号</w:t>
            </w:r>
          </w:p>
        </w:tc>
        <w:tc>
          <w:tcPr>
            <w:tcW w:w="1495" w:type="dxa"/>
            <w:tcBorders>
              <w:top w:val="single" w:color="auto" w:sz="4" w:space="0"/>
              <w:left w:val="single" w:color="auto" w:sz="4" w:space="0"/>
              <w:bottom w:val="single" w:color="auto" w:sz="4" w:space="0"/>
              <w:right w:val="single" w:color="auto" w:sz="4" w:space="0"/>
            </w:tcBorders>
            <w:vAlign w:val="center"/>
          </w:tcPr>
          <w:p w14:paraId="7C9F784B">
            <w:pPr>
              <w:spacing w:line="360" w:lineRule="auto"/>
              <w:jc w:val="center"/>
              <w:rPr>
                <w:sz w:val="24"/>
              </w:rPr>
            </w:pPr>
            <w:r>
              <w:rPr>
                <w:sz w:val="24"/>
                <w:lang w:bidi="ar"/>
              </w:rPr>
              <w:t>拟在本工程中担任的工作或岗位</w:t>
            </w:r>
          </w:p>
        </w:tc>
      </w:tr>
      <w:tr w14:paraId="3ED1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75D867EE">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4C57B6C3">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2AF3479E">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49F5776D">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19482B0F">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6301252A">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53D42A16">
            <w:pPr>
              <w:spacing w:line="360" w:lineRule="auto"/>
              <w:rPr>
                <w:szCs w:val="21"/>
              </w:rPr>
            </w:pPr>
          </w:p>
        </w:tc>
      </w:tr>
      <w:tr w14:paraId="058E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1016F70D">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6AC525FA">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0C83340E">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5C931FBB">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78554A84">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16224654">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101F472C">
            <w:pPr>
              <w:spacing w:line="360" w:lineRule="auto"/>
              <w:rPr>
                <w:szCs w:val="21"/>
              </w:rPr>
            </w:pPr>
          </w:p>
        </w:tc>
      </w:tr>
      <w:tr w14:paraId="28D9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09C72C6E">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280A4317">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3BC05225">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0FAA5D1C">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5C2AD6EF">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789AA4F6">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1655EFEA">
            <w:pPr>
              <w:spacing w:line="360" w:lineRule="auto"/>
              <w:rPr>
                <w:szCs w:val="21"/>
              </w:rPr>
            </w:pPr>
          </w:p>
        </w:tc>
      </w:tr>
      <w:tr w14:paraId="4480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1B265C94">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7F4742C8">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7109D011">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3F12185C">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5914AC0C">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2BB73A55">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4ECE2B69">
            <w:pPr>
              <w:spacing w:line="360" w:lineRule="auto"/>
              <w:rPr>
                <w:szCs w:val="21"/>
              </w:rPr>
            </w:pPr>
          </w:p>
        </w:tc>
      </w:tr>
      <w:tr w14:paraId="41ACB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23BAA263">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0BED9AFD">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2BCAC875">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48A4D4E2">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79F06335">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7E6C37F2">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3F4C2124">
            <w:pPr>
              <w:spacing w:line="360" w:lineRule="auto"/>
              <w:rPr>
                <w:szCs w:val="21"/>
              </w:rPr>
            </w:pPr>
          </w:p>
        </w:tc>
      </w:tr>
      <w:tr w14:paraId="5576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117404CA">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1FFD68F6">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1E124225">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365437F7">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312388B2">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2BAA8E12">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546BB275">
            <w:pPr>
              <w:spacing w:line="360" w:lineRule="auto"/>
              <w:rPr>
                <w:szCs w:val="21"/>
              </w:rPr>
            </w:pPr>
          </w:p>
        </w:tc>
      </w:tr>
      <w:tr w14:paraId="398F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669C65B5">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36F70E5B">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7AFBF2F9">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191B3914">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55C84E48">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6D12B33C">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7F47BA7A">
            <w:pPr>
              <w:spacing w:line="360" w:lineRule="auto"/>
              <w:rPr>
                <w:szCs w:val="21"/>
              </w:rPr>
            </w:pPr>
          </w:p>
        </w:tc>
      </w:tr>
      <w:tr w14:paraId="26AF2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6E79133D">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101B1299">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253954CA">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05669B31">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0C7F3DA3">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4766A7A1">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7AB61B6E">
            <w:pPr>
              <w:spacing w:line="360" w:lineRule="auto"/>
              <w:rPr>
                <w:szCs w:val="21"/>
              </w:rPr>
            </w:pPr>
          </w:p>
        </w:tc>
      </w:tr>
      <w:tr w14:paraId="252B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22FC0D3C">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086F2926">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65621A27">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42095410">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04FAC771">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0730F56C">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71B43D24">
            <w:pPr>
              <w:spacing w:line="360" w:lineRule="auto"/>
              <w:rPr>
                <w:szCs w:val="21"/>
              </w:rPr>
            </w:pPr>
          </w:p>
        </w:tc>
      </w:tr>
      <w:tr w14:paraId="176E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0FBBDE24">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5429896F">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510D0D16">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678C8111">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61E51260">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7FC29A99">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5A67F5EC">
            <w:pPr>
              <w:spacing w:line="360" w:lineRule="auto"/>
              <w:rPr>
                <w:szCs w:val="21"/>
              </w:rPr>
            </w:pPr>
          </w:p>
        </w:tc>
      </w:tr>
      <w:tr w14:paraId="152D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5604135E">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07BECA28">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6C70F871">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7EC48AE0">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54B16008">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43F27D5D">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0A2B2EFF">
            <w:pPr>
              <w:spacing w:line="360" w:lineRule="auto"/>
              <w:rPr>
                <w:szCs w:val="21"/>
              </w:rPr>
            </w:pPr>
          </w:p>
        </w:tc>
      </w:tr>
      <w:tr w14:paraId="7E6EB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37BD8AEE">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0E441048">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2886303E">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7D0CC46B">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53DB8373">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6F3D1161">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03EE93B4">
            <w:pPr>
              <w:spacing w:line="360" w:lineRule="auto"/>
              <w:rPr>
                <w:szCs w:val="21"/>
              </w:rPr>
            </w:pPr>
          </w:p>
        </w:tc>
      </w:tr>
      <w:tr w14:paraId="6513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78" w:type="dxa"/>
            <w:tcBorders>
              <w:top w:val="single" w:color="auto" w:sz="4" w:space="0"/>
              <w:left w:val="single" w:color="auto" w:sz="4" w:space="0"/>
              <w:bottom w:val="single" w:color="auto" w:sz="4" w:space="0"/>
              <w:right w:val="single" w:color="auto" w:sz="4" w:space="0"/>
            </w:tcBorders>
          </w:tcPr>
          <w:p w14:paraId="4A8E8546">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1DEBD23A">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1B0041BB">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43D4631B">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69F7DFDC">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7FA27650">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6AEC9317">
            <w:pPr>
              <w:spacing w:line="360" w:lineRule="auto"/>
              <w:rPr>
                <w:szCs w:val="21"/>
              </w:rPr>
            </w:pPr>
          </w:p>
        </w:tc>
      </w:tr>
      <w:tr w14:paraId="0EB8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78" w:type="dxa"/>
            <w:tcBorders>
              <w:top w:val="single" w:color="auto" w:sz="4" w:space="0"/>
              <w:left w:val="single" w:color="auto" w:sz="4" w:space="0"/>
              <w:bottom w:val="single" w:color="auto" w:sz="4" w:space="0"/>
              <w:right w:val="single" w:color="auto" w:sz="4" w:space="0"/>
            </w:tcBorders>
          </w:tcPr>
          <w:p w14:paraId="3EE03844">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29DC3F18">
            <w:pPr>
              <w:spacing w:line="360" w:lineRule="auto"/>
              <w:rPr>
                <w:szCs w:val="21"/>
              </w:rPr>
            </w:pPr>
          </w:p>
        </w:tc>
        <w:tc>
          <w:tcPr>
            <w:tcW w:w="978" w:type="dxa"/>
            <w:tcBorders>
              <w:top w:val="single" w:color="auto" w:sz="4" w:space="0"/>
              <w:left w:val="single" w:color="auto" w:sz="4" w:space="0"/>
              <w:bottom w:val="single" w:color="auto" w:sz="4" w:space="0"/>
              <w:right w:val="single" w:color="auto" w:sz="4" w:space="0"/>
            </w:tcBorders>
          </w:tcPr>
          <w:p w14:paraId="3CDEB4F4">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6CC546BC">
            <w:pPr>
              <w:spacing w:line="360" w:lineRule="auto"/>
              <w:rPr>
                <w:szCs w:val="21"/>
              </w:rPr>
            </w:pPr>
          </w:p>
        </w:tc>
        <w:tc>
          <w:tcPr>
            <w:tcW w:w="1365" w:type="dxa"/>
            <w:tcBorders>
              <w:top w:val="single" w:color="auto" w:sz="4" w:space="0"/>
              <w:left w:val="single" w:color="auto" w:sz="4" w:space="0"/>
              <w:bottom w:val="single" w:color="auto" w:sz="4" w:space="0"/>
              <w:right w:val="single" w:color="auto" w:sz="4" w:space="0"/>
            </w:tcBorders>
          </w:tcPr>
          <w:p w14:paraId="47A6BCCF">
            <w:pPr>
              <w:spacing w:line="360" w:lineRule="auto"/>
              <w:rPr>
                <w:szCs w:val="21"/>
              </w:rPr>
            </w:pPr>
          </w:p>
        </w:tc>
        <w:tc>
          <w:tcPr>
            <w:tcW w:w="1364" w:type="dxa"/>
            <w:tcBorders>
              <w:top w:val="single" w:color="auto" w:sz="4" w:space="0"/>
              <w:left w:val="single" w:color="auto" w:sz="4" w:space="0"/>
              <w:bottom w:val="single" w:color="auto" w:sz="4" w:space="0"/>
              <w:right w:val="single" w:color="auto" w:sz="4" w:space="0"/>
            </w:tcBorders>
          </w:tcPr>
          <w:p w14:paraId="07006CBC">
            <w:pPr>
              <w:spacing w:line="360" w:lineRule="auto"/>
              <w:rPr>
                <w:szCs w:val="21"/>
              </w:rPr>
            </w:pPr>
          </w:p>
        </w:tc>
        <w:tc>
          <w:tcPr>
            <w:tcW w:w="1495" w:type="dxa"/>
            <w:tcBorders>
              <w:top w:val="single" w:color="auto" w:sz="4" w:space="0"/>
              <w:left w:val="single" w:color="auto" w:sz="4" w:space="0"/>
              <w:bottom w:val="single" w:color="auto" w:sz="4" w:space="0"/>
              <w:right w:val="single" w:color="auto" w:sz="4" w:space="0"/>
            </w:tcBorders>
          </w:tcPr>
          <w:p w14:paraId="1FAF79D9">
            <w:pPr>
              <w:spacing w:line="360" w:lineRule="auto"/>
              <w:rPr>
                <w:szCs w:val="21"/>
              </w:rPr>
            </w:pPr>
          </w:p>
        </w:tc>
      </w:tr>
    </w:tbl>
    <w:p w14:paraId="62BE0EFD">
      <w:pPr>
        <w:spacing w:line="360" w:lineRule="auto"/>
        <w:rPr>
          <w:sz w:val="24"/>
        </w:rPr>
      </w:pPr>
    </w:p>
    <w:p w14:paraId="01CA3752">
      <w:pPr>
        <w:spacing w:line="360" w:lineRule="auto"/>
        <w:rPr>
          <w:sz w:val="24"/>
        </w:rPr>
      </w:pPr>
    </w:p>
    <w:p w14:paraId="59208ADE">
      <w:pPr>
        <w:spacing w:line="360" w:lineRule="auto"/>
        <w:rPr>
          <w:sz w:val="24"/>
        </w:rPr>
      </w:pPr>
    </w:p>
    <w:p w14:paraId="30231C83">
      <w:pPr>
        <w:spacing w:line="360" w:lineRule="auto"/>
        <w:rPr>
          <w:sz w:val="24"/>
        </w:rPr>
      </w:pPr>
    </w:p>
    <w:p w14:paraId="6E7A793A">
      <w:pPr>
        <w:spacing w:line="360" w:lineRule="auto"/>
        <w:rPr>
          <w:sz w:val="24"/>
        </w:rPr>
      </w:pPr>
    </w:p>
    <w:p w14:paraId="141A8043">
      <w:pPr>
        <w:keepNext/>
        <w:keepLines/>
        <w:tabs>
          <w:tab w:val="left" w:pos="1429"/>
        </w:tabs>
        <w:spacing w:line="360" w:lineRule="auto"/>
        <w:jc w:val="left"/>
        <w:outlineLvl w:val="2"/>
        <w:rPr>
          <w:b/>
          <w:bCs/>
          <w:sz w:val="24"/>
          <w:szCs w:val="32"/>
        </w:rPr>
      </w:pPr>
      <w:bookmarkStart w:id="1031" w:name="_Toc8019"/>
      <w:bookmarkStart w:id="1032" w:name="_Toc407278635"/>
      <w:bookmarkStart w:id="1033" w:name="_Toc436911911"/>
      <w:bookmarkStart w:id="1034" w:name="_Toc36228272"/>
      <w:bookmarkStart w:id="1035" w:name="_Toc36229089"/>
      <w:bookmarkStart w:id="1036" w:name="_Toc421266114"/>
      <w:r>
        <w:rPr>
          <w:b/>
          <w:bCs/>
          <w:sz w:val="24"/>
          <w:szCs w:val="32"/>
        </w:rPr>
        <w:t>（二）主要人员简历表</w:t>
      </w:r>
      <w:bookmarkEnd w:id="1031"/>
      <w:bookmarkEnd w:id="1032"/>
      <w:bookmarkEnd w:id="1033"/>
      <w:bookmarkEnd w:id="1034"/>
      <w:bookmarkEnd w:id="1035"/>
      <w:bookmarkEnd w:id="1036"/>
    </w:p>
    <w:p w14:paraId="19983CD7">
      <w:pPr>
        <w:spacing w:line="360" w:lineRule="auto"/>
        <w:rPr>
          <w:sz w:val="24"/>
        </w:rPr>
      </w:pPr>
      <w:r>
        <w:rPr>
          <w:sz w:val="24"/>
          <w:lang w:bidi="ar"/>
        </w:rPr>
        <w:t>附1：项目经理简历表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302"/>
        <w:gridCol w:w="1503"/>
        <w:gridCol w:w="895"/>
        <w:gridCol w:w="785"/>
        <w:gridCol w:w="475"/>
        <w:gridCol w:w="1113"/>
        <w:gridCol w:w="881"/>
        <w:gridCol w:w="1558"/>
      </w:tblGrid>
      <w:tr w14:paraId="1B59D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39E28BBB">
            <w:pPr>
              <w:spacing w:line="360" w:lineRule="auto"/>
              <w:jc w:val="center"/>
              <w:rPr>
                <w:sz w:val="24"/>
              </w:rPr>
            </w:pPr>
            <w:r>
              <w:rPr>
                <w:sz w:val="24"/>
                <w:lang w:bidi="ar"/>
              </w:rPr>
              <w:t>姓名</w:t>
            </w:r>
          </w:p>
        </w:tc>
        <w:tc>
          <w:tcPr>
            <w:tcW w:w="1503" w:type="dxa"/>
            <w:tcBorders>
              <w:top w:val="single" w:color="auto" w:sz="4" w:space="0"/>
              <w:left w:val="single" w:color="auto" w:sz="4" w:space="0"/>
              <w:bottom w:val="single" w:color="auto" w:sz="4" w:space="0"/>
              <w:right w:val="single" w:color="auto" w:sz="4" w:space="0"/>
            </w:tcBorders>
          </w:tcPr>
          <w:p w14:paraId="090B6C42">
            <w:pPr>
              <w:spacing w:line="360" w:lineRule="auto"/>
              <w:rPr>
                <w:sz w:val="24"/>
              </w:rPr>
            </w:pPr>
          </w:p>
        </w:tc>
        <w:tc>
          <w:tcPr>
            <w:tcW w:w="895" w:type="dxa"/>
            <w:tcBorders>
              <w:top w:val="single" w:color="auto" w:sz="4" w:space="0"/>
              <w:left w:val="single" w:color="auto" w:sz="4" w:space="0"/>
              <w:bottom w:val="single" w:color="auto" w:sz="4" w:space="0"/>
              <w:right w:val="single" w:color="auto" w:sz="4" w:space="0"/>
            </w:tcBorders>
            <w:vAlign w:val="center"/>
          </w:tcPr>
          <w:p w14:paraId="4C2229F4">
            <w:pPr>
              <w:spacing w:line="360" w:lineRule="auto"/>
              <w:jc w:val="center"/>
              <w:rPr>
                <w:sz w:val="24"/>
              </w:rPr>
            </w:pPr>
            <w:r>
              <w:rPr>
                <w:sz w:val="24"/>
                <w:lang w:bidi="ar"/>
              </w:rPr>
              <w:t>年龄</w:t>
            </w:r>
          </w:p>
        </w:tc>
        <w:tc>
          <w:tcPr>
            <w:tcW w:w="1260" w:type="dxa"/>
            <w:gridSpan w:val="2"/>
            <w:tcBorders>
              <w:top w:val="single" w:color="auto" w:sz="4" w:space="0"/>
              <w:left w:val="single" w:color="auto" w:sz="4" w:space="0"/>
              <w:bottom w:val="single" w:color="auto" w:sz="4" w:space="0"/>
              <w:right w:val="single" w:color="auto" w:sz="4" w:space="0"/>
            </w:tcBorders>
          </w:tcPr>
          <w:p w14:paraId="34948634">
            <w:pPr>
              <w:spacing w:line="360" w:lineRule="auto"/>
              <w:rPr>
                <w:sz w:val="24"/>
              </w:rPr>
            </w:pPr>
          </w:p>
        </w:tc>
        <w:tc>
          <w:tcPr>
            <w:tcW w:w="1994" w:type="dxa"/>
            <w:gridSpan w:val="2"/>
            <w:tcBorders>
              <w:top w:val="single" w:color="auto" w:sz="4" w:space="0"/>
              <w:left w:val="single" w:color="auto" w:sz="4" w:space="0"/>
              <w:bottom w:val="single" w:color="auto" w:sz="4" w:space="0"/>
              <w:right w:val="single" w:color="auto" w:sz="4" w:space="0"/>
            </w:tcBorders>
            <w:vAlign w:val="center"/>
          </w:tcPr>
          <w:p w14:paraId="33E8C28C">
            <w:pPr>
              <w:spacing w:line="360" w:lineRule="auto"/>
              <w:jc w:val="center"/>
              <w:rPr>
                <w:sz w:val="24"/>
              </w:rPr>
            </w:pPr>
            <w:r>
              <w:rPr>
                <w:sz w:val="24"/>
                <w:lang w:bidi="ar"/>
              </w:rPr>
              <w:t>身份证</w:t>
            </w:r>
          </w:p>
        </w:tc>
        <w:tc>
          <w:tcPr>
            <w:tcW w:w="1558" w:type="dxa"/>
            <w:tcBorders>
              <w:top w:val="single" w:color="auto" w:sz="4" w:space="0"/>
              <w:left w:val="single" w:color="auto" w:sz="4" w:space="0"/>
              <w:bottom w:val="single" w:color="auto" w:sz="4" w:space="0"/>
              <w:right w:val="single" w:color="auto" w:sz="4" w:space="0"/>
            </w:tcBorders>
          </w:tcPr>
          <w:p w14:paraId="5961DA4B">
            <w:pPr>
              <w:spacing w:line="360" w:lineRule="auto"/>
              <w:rPr>
                <w:sz w:val="24"/>
              </w:rPr>
            </w:pPr>
          </w:p>
        </w:tc>
      </w:tr>
      <w:tr w14:paraId="3518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756AF862">
            <w:pPr>
              <w:spacing w:line="360" w:lineRule="auto"/>
              <w:jc w:val="center"/>
              <w:rPr>
                <w:sz w:val="24"/>
              </w:rPr>
            </w:pPr>
            <w:r>
              <w:rPr>
                <w:sz w:val="24"/>
                <w:lang w:bidi="ar"/>
              </w:rPr>
              <w:t>学历</w:t>
            </w:r>
          </w:p>
        </w:tc>
        <w:tc>
          <w:tcPr>
            <w:tcW w:w="1503" w:type="dxa"/>
            <w:tcBorders>
              <w:top w:val="single" w:color="auto" w:sz="4" w:space="0"/>
              <w:left w:val="single" w:color="auto" w:sz="4" w:space="0"/>
              <w:bottom w:val="single" w:color="auto" w:sz="4" w:space="0"/>
              <w:right w:val="single" w:color="auto" w:sz="4" w:space="0"/>
            </w:tcBorders>
          </w:tcPr>
          <w:p w14:paraId="7F8455CA">
            <w:pPr>
              <w:spacing w:line="360" w:lineRule="auto"/>
              <w:rPr>
                <w:sz w:val="24"/>
              </w:rPr>
            </w:pPr>
          </w:p>
        </w:tc>
        <w:tc>
          <w:tcPr>
            <w:tcW w:w="895" w:type="dxa"/>
            <w:tcBorders>
              <w:top w:val="single" w:color="auto" w:sz="4" w:space="0"/>
              <w:left w:val="single" w:color="auto" w:sz="4" w:space="0"/>
              <w:bottom w:val="single" w:color="auto" w:sz="4" w:space="0"/>
              <w:right w:val="single" w:color="auto" w:sz="4" w:space="0"/>
            </w:tcBorders>
            <w:vAlign w:val="center"/>
          </w:tcPr>
          <w:p w14:paraId="0BF7C2F2">
            <w:pPr>
              <w:spacing w:line="360" w:lineRule="auto"/>
              <w:jc w:val="center"/>
              <w:rPr>
                <w:sz w:val="24"/>
              </w:rPr>
            </w:pPr>
            <w:r>
              <w:rPr>
                <w:sz w:val="24"/>
                <w:lang w:bidi="ar"/>
              </w:rPr>
              <w:t>职称</w:t>
            </w:r>
          </w:p>
        </w:tc>
        <w:tc>
          <w:tcPr>
            <w:tcW w:w="1260" w:type="dxa"/>
            <w:gridSpan w:val="2"/>
            <w:tcBorders>
              <w:top w:val="single" w:color="auto" w:sz="4" w:space="0"/>
              <w:left w:val="single" w:color="auto" w:sz="4" w:space="0"/>
              <w:bottom w:val="single" w:color="auto" w:sz="4" w:space="0"/>
              <w:right w:val="single" w:color="auto" w:sz="4" w:space="0"/>
            </w:tcBorders>
          </w:tcPr>
          <w:p w14:paraId="5C2DDBEE">
            <w:pPr>
              <w:spacing w:line="360" w:lineRule="auto"/>
              <w:rPr>
                <w:sz w:val="24"/>
              </w:rPr>
            </w:pPr>
          </w:p>
        </w:tc>
        <w:tc>
          <w:tcPr>
            <w:tcW w:w="1994" w:type="dxa"/>
            <w:gridSpan w:val="2"/>
            <w:tcBorders>
              <w:top w:val="single" w:color="auto" w:sz="4" w:space="0"/>
              <w:left w:val="single" w:color="auto" w:sz="4" w:space="0"/>
              <w:bottom w:val="single" w:color="auto" w:sz="4" w:space="0"/>
              <w:right w:val="single" w:color="auto" w:sz="4" w:space="0"/>
            </w:tcBorders>
            <w:vAlign w:val="center"/>
          </w:tcPr>
          <w:p w14:paraId="52DA9ED1">
            <w:pPr>
              <w:spacing w:line="360" w:lineRule="auto"/>
              <w:jc w:val="center"/>
              <w:rPr>
                <w:sz w:val="24"/>
              </w:rPr>
            </w:pPr>
            <w:r>
              <w:rPr>
                <w:sz w:val="24"/>
                <w:lang w:bidi="ar"/>
              </w:rPr>
              <w:t>职务</w:t>
            </w:r>
          </w:p>
        </w:tc>
        <w:tc>
          <w:tcPr>
            <w:tcW w:w="1558" w:type="dxa"/>
            <w:tcBorders>
              <w:top w:val="single" w:color="auto" w:sz="4" w:space="0"/>
              <w:left w:val="single" w:color="auto" w:sz="4" w:space="0"/>
              <w:bottom w:val="single" w:color="auto" w:sz="4" w:space="0"/>
              <w:right w:val="single" w:color="auto" w:sz="4" w:space="0"/>
            </w:tcBorders>
          </w:tcPr>
          <w:p w14:paraId="334A4893">
            <w:pPr>
              <w:spacing w:line="360" w:lineRule="auto"/>
              <w:rPr>
                <w:sz w:val="24"/>
              </w:rPr>
            </w:pPr>
          </w:p>
        </w:tc>
      </w:tr>
      <w:tr w14:paraId="5B4A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943" w:type="dxa"/>
            <w:gridSpan w:val="3"/>
            <w:tcBorders>
              <w:top w:val="single" w:color="auto" w:sz="4" w:space="0"/>
              <w:left w:val="single" w:color="auto" w:sz="4" w:space="0"/>
              <w:bottom w:val="single" w:color="auto" w:sz="4" w:space="0"/>
              <w:right w:val="single" w:color="auto" w:sz="4" w:space="0"/>
            </w:tcBorders>
            <w:vAlign w:val="center"/>
          </w:tcPr>
          <w:p w14:paraId="753050CD">
            <w:pPr>
              <w:spacing w:line="360" w:lineRule="auto"/>
              <w:rPr>
                <w:sz w:val="24"/>
              </w:rPr>
            </w:pPr>
            <w:r>
              <w:rPr>
                <w:sz w:val="24"/>
                <w:lang w:bidi="ar"/>
              </w:rPr>
              <w:t>注册建造师执业资格等级</w:t>
            </w:r>
          </w:p>
        </w:tc>
        <w:tc>
          <w:tcPr>
            <w:tcW w:w="2155" w:type="dxa"/>
            <w:gridSpan w:val="3"/>
            <w:tcBorders>
              <w:top w:val="single" w:color="auto" w:sz="4" w:space="0"/>
              <w:left w:val="single" w:color="auto" w:sz="4" w:space="0"/>
              <w:bottom w:val="single" w:color="auto" w:sz="4" w:space="0"/>
              <w:right w:val="single" w:color="auto" w:sz="4" w:space="0"/>
            </w:tcBorders>
            <w:vAlign w:val="center"/>
          </w:tcPr>
          <w:p w14:paraId="3167DE27">
            <w:pPr>
              <w:spacing w:line="360" w:lineRule="auto"/>
              <w:jc w:val="right"/>
              <w:rPr>
                <w:sz w:val="24"/>
              </w:rPr>
            </w:pPr>
            <w:r>
              <w:rPr>
                <w:sz w:val="24"/>
                <w:lang w:bidi="ar"/>
              </w:rPr>
              <w:t>级</w:t>
            </w:r>
          </w:p>
        </w:tc>
        <w:tc>
          <w:tcPr>
            <w:tcW w:w="1994" w:type="dxa"/>
            <w:gridSpan w:val="2"/>
            <w:tcBorders>
              <w:top w:val="single" w:color="auto" w:sz="4" w:space="0"/>
              <w:left w:val="single" w:color="auto" w:sz="4" w:space="0"/>
              <w:bottom w:val="single" w:color="auto" w:sz="4" w:space="0"/>
              <w:right w:val="single" w:color="auto" w:sz="4" w:space="0"/>
            </w:tcBorders>
            <w:vAlign w:val="center"/>
          </w:tcPr>
          <w:p w14:paraId="1C1A6CC5">
            <w:pPr>
              <w:spacing w:line="360" w:lineRule="auto"/>
              <w:jc w:val="center"/>
              <w:rPr>
                <w:sz w:val="24"/>
                <w:lang w:bidi="ar"/>
              </w:rPr>
            </w:pPr>
            <w:r>
              <w:rPr>
                <w:sz w:val="24"/>
              </w:rPr>
              <w:t>建造师专业</w:t>
            </w:r>
          </w:p>
        </w:tc>
        <w:tc>
          <w:tcPr>
            <w:tcW w:w="1558" w:type="dxa"/>
            <w:tcBorders>
              <w:top w:val="single" w:color="auto" w:sz="4" w:space="0"/>
              <w:left w:val="single" w:color="auto" w:sz="4" w:space="0"/>
              <w:bottom w:val="single" w:color="auto" w:sz="4" w:space="0"/>
              <w:right w:val="single" w:color="auto" w:sz="4" w:space="0"/>
            </w:tcBorders>
          </w:tcPr>
          <w:p w14:paraId="2D2DEEB7">
            <w:pPr>
              <w:spacing w:line="360" w:lineRule="auto"/>
              <w:rPr>
                <w:sz w:val="24"/>
              </w:rPr>
            </w:pPr>
          </w:p>
        </w:tc>
      </w:tr>
      <w:tr w14:paraId="5D10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943" w:type="dxa"/>
            <w:gridSpan w:val="3"/>
            <w:tcBorders>
              <w:top w:val="single" w:color="auto" w:sz="4" w:space="0"/>
              <w:left w:val="single" w:color="auto" w:sz="4" w:space="0"/>
              <w:bottom w:val="single" w:color="auto" w:sz="4" w:space="0"/>
              <w:right w:val="single" w:color="auto" w:sz="4" w:space="0"/>
            </w:tcBorders>
            <w:vAlign w:val="center"/>
          </w:tcPr>
          <w:p w14:paraId="573C2769">
            <w:pPr>
              <w:spacing w:line="360" w:lineRule="auto"/>
              <w:rPr>
                <w:sz w:val="24"/>
              </w:rPr>
            </w:pPr>
            <w:r>
              <w:rPr>
                <w:sz w:val="24"/>
                <w:lang w:bidi="ar"/>
              </w:rPr>
              <w:t>注册建造师证书名称</w:t>
            </w:r>
          </w:p>
        </w:tc>
        <w:tc>
          <w:tcPr>
            <w:tcW w:w="5707" w:type="dxa"/>
            <w:gridSpan w:val="6"/>
            <w:tcBorders>
              <w:top w:val="single" w:color="auto" w:sz="4" w:space="0"/>
              <w:left w:val="single" w:color="auto" w:sz="4" w:space="0"/>
              <w:bottom w:val="single" w:color="auto" w:sz="4" w:space="0"/>
              <w:right w:val="single" w:color="auto" w:sz="4" w:space="0"/>
            </w:tcBorders>
            <w:vAlign w:val="center"/>
          </w:tcPr>
          <w:p w14:paraId="1DF48DCA">
            <w:pPr>
              <w:spacing w:line="360" w:lineRule="auto"/>
              <w:rPr>
                <w:sz w:val="24"/>
              </w:rPr>
            </w:pPr>
          </w:p>
        </w:tc>
      </w:tr>
      <w:tr w14:paraId="472A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943" w:type="dxa"/>
            <w:gridSpan w:val="3"/>
            <w:tcBorders>
              <w:top w:val="single" w:color="auto" w:sz="4" w:space="0"/>
              <w:left w:val="single" w:color="auto" w:sz="4" w:space="0"/>
              <w:bottom w:val="single" w:color="auto" w:sz="4" w:space="0"/>
              <w:right w:val="single" w:color="auto" w:sz="4" w:space="0"/>
            </w:tcBorders>
            <w:vAlign w:val="center"/>
          </w:tcPr>
          <w:p w14:paraId="69E4EDBF">
            <w:pPr>
              <w:spacing w:line="360" w:lineRule="auto"/>
              <w:rPr>
                <w:sz w:val="24"/>
              </w:rPr>
            </w:pPr>
            <w:r>
              <w:rPr>
                <w:sz w:val="24"/>
                <w:lang w:bidi="ar"/>
              </w:rPr>
              <w:t>注册建造师证书编号</w:t>
            </w:r>
          </w:p>
        </w:tc>
        <w:tc>
          <w:tcPr>
            <w:tcW w:w="5707" w:type="dxa"/>
            <w:gridSpan w:val="6"/>
            <w:tcBorders>
              <w:top w:val="single" w:color="auto" w:sz="4" w:space="0"/>
              <w:left w:val="single" w:color="auto" w:sz="4" w:space="0"/>
              <w:bottom w:val="single" w:color="auto" w:sz="4" w:space="0"/>
              <w:right w:val="single" w:color="auto" w:sz="4" w:space="0"/>
            </w:tcBorders>
            <w:vAlign w:val="center"/>
          </w:tcPr>
          <w:p w14:paraId="796A5957">
            <w:pPr>
              <w:spacing w:line="360" w:lineRule="auto"/>
              <w:rPr>
                <w:sz w:val="24"/>
              </w:rPr>
            </w:pPr>
          </w:p>
        </w:tc>
      </w:tr>
      <w:tr w14:paraId="4B72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943" w:type="dxa"/>
            <w:gridSpan w:val="3"/>
            <w:tcBorders>
              <w:top w:val="single" w:color="auto" w:sz="4" w:space="0"/>
              <w:left w:val="single" w:color="auto" w:sz="4" w:space="0"/>
              <w:bottom w:val="single" w:color="auto" w:sz="4" w:space="0"/>
              <w:right w:val="single" w:color="auto" w:sz="4" w:space="0"/>
            </w:tcBorders>
            <w:vAlign w:val="center"/>
          </w:tcPr>
          <w:p w14:paraId="5AE25577">
            <w:pPr>
              <w:spacing w:line="360" w:lineRule="auto"/>
              <w:rPr>
                <w:sz w:val="24"/>
              </w:rPr>
            </w:pPr>
            <w:r>
              <w:rPr>
                <w:sz w:val="24"/>
                <w:lang w:bidi="ar"/>
              </w:rPr>
              <w:t>安全生产考核合格证书</w:t>
            </w:r>
          </w:p>
        </w:tc>
        <w:tc>
          <w:tcPr>
            <w:tcW w:w="5707" w:type="dxa"/>
            <w:gridSpan w:val="6"/>
            <w:tcBorders>
              <w:top w:val="single" w:color="auto" w:sz="4" w:space="0"/>
              <w:left w:val="single" w:color="auto" w:sz="4" w:space="0"/>
              <w:bottom w:val="single" w:color="auto" w:sz="4" w:space="0"/>
              <w:right w:val="single" w:color="auto" w:sz="4" w:space="0"/>
            </w:tcBorders>
            <w:vAlign w:val="center"/>
          </w:tcPr>
          <w:p w14:paraId="25A5C5DF">
            <w:pPr>
              <w:spacing w:line="360" w:lineRule="auto"/>
              <w:rPr>
                <w:sz w:val="24"/>
              </w:rPr>
            </w:pPr>
          </w:p>
        </w:tc>
      </w:tr>
      <w:tr w14:paraId="4596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40" w:type="dxa"/>
            <w:gridSpan w:val="2"/>
            <w:tcBorders>
              <w:top w:val="single" w:color="auto" w:sz="4" w:space="0"/>
              <w:left w:val="single" w:color="auto" w:sz="4" w:space="0"/>
              <w:bottom w:val="single" w:color="auto" w:sz="4" w:space="0"/>
              <w:right w:val="single" w:color="auto" w:sz="4" w:space="0"/>
            </w:tcBorders>
            <w:vAlign w:val="center"/>
          </w:tcPr>
          <w:p w14:paraId="5C2D28F8">
            <w:pPr>
              <w:spacing w:line="360" w:lineRule="auto"/>
              <w:jc w:val="center"/>
              <w:rPr>
                <w:sz w:val="24"/>
              </w:rPr>
            </w:pPr>
            <w:r>
              <w:rPr>
                <w:sz w:val="24"/>
                <w:lang w:bidi="ar"/>
              </w:rPr>
              <w:t>毕业学校</w:t>
            </w:r>
          </w:p>
        </w:tc>
        <w:tc>
          <w:tcPr>
            <w:tcW w:w="7210" w:type="dxa"/>
            <w:gridSpan w:val="7"/>
            <w:tcBorders>
              <w:top w:val="single" w:color="auto" w:sz="4" w:space="0"/>
              <w:left w:val="single" w:color="auto" w:sz="4" w:space="0"/>
              <w:bottom w:val="single" w:color="auto" w:sz="4" w:space="0"/>
              <w:right w:val="single" w:color="auto" w:sz="4" w:space="0"/>
            </w:tcBorders>
          </w:tcPr>
          <w:p w14:paraId="13CEF1F4">
            <w:pPr>
              <w:spacing w:line="360" w:lineRule="auto"/>
              <w:ind w:firstLine="600" w:firstLineChars="250"/>
              <w:rPr>
                <w:sz w:val="24"/>
              </w:rPr>
            </w:pPr>
            <w:r>
              <w:rPr>
                <w:sz w:val="24"/>
                <w:lang w:bidi="ar"/>
              </w:rPr>
              <w:t>年毕业于                 学校         专业</w:t>
            </w:r>
          </w:p>
        </w:tc>
      </w:tr>
      <w:tr w14:paraId="5CB1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650" w:type="dxa"/>
            <w:gridSpan w:val="9"/>
            <w:tcBorders>
              <w:top w:val="single" w:color="auto" w:sz="4" w:space="0"/>
              <w:left w:val="single" w:color="auto" w:sz="4" w:space="0"/>
              <w:bottom w:val="single" w:color="auto" w:sz="4" w:space="0"/>
              <w:right w:val="single" w:color="auto" w:sz="4" w:space="0"/>
            </w:tcBorders>
          </w:tcPr>
          <w:p w14:paraId="3B4B305B">
            <w:pPr>
              <w:spacing w:line="360" w:lineRule="auto"/>
              <w:jc w:val="center"/>
              <w:rPr>
                <w:sz w:val="24"/>
              </w:rPr>
            </w:pPr>
            <w:r>
              <w:rPr>
                <w:sz w:val="24"/>
                <w:lang w:bidi="ar"/>
              </w:rPr>
              <w:t>主要工作经历</w:t>
            </w:r>
          </w:p>
        </w:tc>
      </w:tr>
      <w:tr w14:paraId="385D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8" w:type="dxa"/>
            <w:tcBorders>
              <w:top w:val="single" w:color="auto" w:sz="4" w:space="0"/>
              <w:left w:val="single" w:color="auto" w:sz="4" w:space="0"/>
              <w:bottom w:val="single" w:color="auto" w:sz="4" w:space="0"/>
              <w:right w:val="single" w:color="auto" w:sz="4" w:space="0"/>
            </w:tcBorders>
            <w:vAlign w:val="center"/>
          </w:tcPr>
          <w:p w14:paraId="309A5CBD">
            <w:pPr>
              <w:spacing w:line="360" w:lineRule="auto"/>
              <w:jc w:val="center"/>
              <w:rPr>
                <w:sz w:val="24"/>
              </w:rPr>
            </w:pPr>
            <w:r>
              <w:rPr>
                <w:sz w:val="24"/>
                <w:lang w:bidi="ar"/>
              </w:rPr>
              <w:t>时间</w:t>
            </w:r>
          </w:p>
        </w:tc>
        <w:tc>
          <w:tcPr>
            <w:tcW w:w="3485" w:type="dxa"/>
            <w:gridSpan w:val="4"/>
            <w:tcBorders>
              <w:top w:val="single" w:color="auto" w:sz="4" w:space="0"/>
              <w:left w:val="single" w:color="auto" w:sz="4" w:space="0"/>
              <w:bottom w:val="single" w:color="auto" w:sz="4" w:space="0"/>
              <w:right w:val="single" w:color="auto" w:sz="4" w:space="0"/>
            </w:tcBorders>
            <w:vAlign w:val="center"/>
          </w:tcPr>
          <w:p w14:paraId="4D8C83ED">
            <w:pPr>
              <w:spacing w:line="360" w:lineRule="auto"/>
              <w:jc w:val="center"/>
              <w:rPr>
                <w:sz w:val="24"/>
              </w:rPr>
            </w:pPr>
            <w:r>
              <w:rPr>
                <w:sz w:val="24"/>
                <w:lang w:bidi="ar"/>
              </w:rPr>
              <w:t>参加过的类似项目</w:t>
            </w:r>
          </w:p>
        </w:tc>
        <w:tc>
          <w:tcPr>
            <w:tcW w:w="1588" w:type="dxa"/>
            <w:gridSpan w:val="2"/>
            <w:tcBorders>
              <w:top w:val="single" w:color="auto" w:sz="4" w:space="0"/>
              <w:left w:val="single" w:color="auto" w:sz="4" w:space="0"/>
              <w:bottom w:val="single" w:color="auto" w:sz="4" w:space="0"/>
              <w:right w:val="single" w:color="auto" w:sz="4" w:space="0"/>
            </w:tcBorders>
            <w:vAlign w:val="center"/>
          </w:tcPr>
          <w:p w14:paraId="242E41A6">
            <w:pPr>
              <w:spacing w:line="360" w:lineRule="auto"/>
              <w:jc w:val="center"/>
              <w:rPr>
                <w:sz w:val="24"/>
              </w:rPr>
            </w:pPr>
            <w:r>
              <w:rPr>
                <w:sz w:val="24"/>
                <w:lang w:bidi="ar"/>
              </w:rPr>
              <w:t>工程概况说明</w:t>
            </w:r>
          </w:p>
        </w:tc>
        <w:tc>
          <w:tcPr>
            <w:tcW w:w="2439" w:type="dxa"/>
            <w:gridSpan w:val="2"/>
            <w:tcBorders>
              <w:top w:val="single" w:color="auto" w:sz="4" w:space="0"/>
              <w:left w:val="single" w:color="auto" w:sz="4" w:space="0"/>
              <w:bottom w:val="single" w:color="auto" w:sz="4" w:space="0"/>
              <w:right w:val="single" w:color="auto" w:sz="4" w:space="0"/>
            </w:tcBorders>
            <w:vAlign w:val="center"/>
          </w:tcPr>
          <w:p w14:paraId="01C21889">
            <w:pPr>
              <w:spacing w:line="360" w:lineRule="auto"/>
              <w:jc w:val="center"/>
              <w:rPr>
                <w:sz w:val="24"/>
              </w:rPr>
            </w:pPr>
            <w:r>
              <w:rPr>
                <w:sz w:val="24"/>
                <w:lang w:bidi="ar"/>
              </w:rPr>
              <w:t>发包人及联系电话</w:t>
            </w:r>
          </w:p>
        </w:tc>
      </w:tr>
      <w:tr w14:paraId="22EB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51DF8C03">
            <w:pPr>
              <w:spacing w:line="360" w:lineRule="auto"/>
              <w:rPr>
                <w:sz w:val="24"/>
              </w:rPr>
            </w:pPr>
          </w:p>
        </w:tc>
        <w:tc>
          <w:tcPr>
            <w:tcW w:w="3485" w:type="dxa"/>
            <w:gridSpan w:val="4"/>
            <w:tcBorders>
              <w:top w:val="single" w:color="auto" w:sz="4" w:space="0"/>
              <w:left w:val="single" w:color="auto" w:sz="4" w:space="0"/>
              <w:bottom w:val="single" w:color="auto" w:sz="4" w:space="0"/>
              <w:right w:val="single" w:color="auto" w:sz="4" w:space="0"/>
            </w:tcBorders>
          </w:tcPr>
          <w:p w14:paraId="587D0C6B">
            <w:pPr>
              <w:spacing w:line="360" w:lineRule="auto"/>
              <w:rPr>
                <w:sz w:val="24"/>
              </w:rPr>
            </w:pPr>
          </w:p>
        </w:tc>
        <w:tc>
          <w:tcPr>
            <w:tcW w:w="1588" w:type="dxa"/>
            <w:gridSpan w:val="2"/>
            <w:tcBorders>
              <w:top w:val="single" w:color="auto" w:sz="4" w:space="0"/>
              <w:left w:val="single" w:color="auto" w:sz="4" w:space="0"/>
              <w:bottom w:val="single" w:color="auto" w:sz="4" w:space="0"/>
              <w:right w:val="single" w:color="auto" w:sz="4" w:space="0"/>
            </w:tcBorders>
          </w:tcPr>
          <w:p w14:paraId="2C011469">
            <w:pPr>
              <w:spacing w:line="360" w:lineRule="auto"/>
              <w:rPr>
                <w:sz w:val="24"/>
              </w:rPr>
            </w:pPr>
          </w:p>
        </w:tc>
        <w:tc>
          <w:tcPr>
            <w:tcW w:w="2439" w:type="dxa"/>
            <w:gridSpan w:val="2"/>
            <w:tcBorders>
              <w:top w:val="single" w:color="auto" w:sz="4" w:space="0"/>
              <w:left w:val="single" w:color="auto" w:sz="4" w:space="0"/>
              <w:bottom w:val="single" w:color="auto" w:sz="4" w:space="0"/>
              <w:right w:val="single" w:color="auto" w:sz="4" w:space="0"/>
            </w:tcBorders>
          </w:tcPr>
          <w:p w14:paraId="1181FF4E">
            <w:pPr>
              <w:spacing w:line="360" w:lineRule="auto"/>
              <w:rPr>
                <w:sz w:val="24"/>
              </w:rPr>
            </w:pPr>
          </w:p>
        </w:tc>
      </w:tr>
      <w:tr w14:paraId="4DAC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5F7BF0E6">
            <w:pPr>
              <w:spacing w:line="360" w:lineRule="auto"/>
              <w:rPr>
                <w:sz w:val="24"/>
              </w:rPr>
            </w:pPr>
          </w:p>
        </w:tc>
        <w:tc>
          <w:tcPr>
            <w:tcW w:w="3485" w:type="dxa"/>
            <w:gridSpan w:val="4"/>
            <w:tcBorders>
              <w:top w:val="single" w:color="auto" w:sz="4" w:space="0"/>
              <w:left w:val="single" w:color="auto" w:sz="4" w:space="0"/>
              <w:bottom w:val="single" w:color="auto" w:sz="4" w:space="0"/>
              <w:right w:val="single" w:color="auto" w:sz="4" w:space="0"/>
            </w:tcBorders>
          </w:tcPr>
          <w:p w14:paraId="320A5C31">
            <w:pPr>
              <w:spacing w:line="360" w:lineRule="auto"/>
              <w:rPr>
                <w:sz w:val="24"/>
              </w:rPr>
            </w:pPr>
          </w:p>
        </w:tc>
        <w:tc>
          <w:tcPr>
            <w:tcW w:w="1588" w:type="dxa"/>
            <w:gridSpan w:val="2"/>
            <w:tcBorders>
              <w:top w:val="single" w:color="auto" w:sz="4" w:space="0"/>
              <w:left w:val="single" w:color="auto" w:sz="4" w:space="0"/>
              <w:bottom w:val="single" w:color="auto" w:sz="4" w:space="0"/>
              <w:right w:val="single" w:color="auto" w:sz="4" w:space="0"/>
            </w:tcBorders>
          </w:tcPr>
          <w:p w14:paraId="07C02E31">
            <w:pPr>
              <w:spacing w:line="360" w:lineRule="auto"/>
              <w:rPr>
                <w:sz w:val="24"/>
              </w:rPr>
            </w:pPr>
          </w:p>
        </w:tc>
        <w:tc>
          <w:tcPr>
            <w:tcW w:w="2439" w:type="dxa"/>
            <w:gridSpan w:val="2"/>
            <w:tcBorders>
              <w:top w:val="single" w:color="auto" w:sz="4" w:space="0"/>
              <w:left w:val="single" w:color="auto" w:sz="4" w:space="0"/>
              <w:bottom w:val="single" w:color="auto" w:sz="4" w:space="0"/>
              <w:right w:val="single" w:color="auto" w:sz="4" w:space="0"/>
            </w:tcBorders>
          </w:tcPr>
          <w:p w14:paraId="5B55EB10">
            <w:pPr>
              <w:spacing w:line="360" w:lineRule="auto"/>
              <w:rPr>
                <w:sz w:val="24"/>
              </w:rPr>
            </w:pPr>
          </w:p>
        </w:tc>
      </w:tr>
      <w:tr w14:paraId="7BE3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20459911">
            <w:pPr>
              <w:spacing w:line="360" w:lineRule="auto"/>
              <w:rPr>
                <w:sz w:val="24"/>
              </w:rPr>
            </w:pPr>
          </w:p>
        </w:tc>
        <w:tc>
          <w:tcPr>
            <w:tcW w:w="3485" w:type="dxa"/>
            <w:gridSpan w:val="4"/>
            <w:tcBorders>
              <w:top w:val="single" w:color="auto" w:sz="4" w:space="0"/>
              <w:left w:val="single" w:color="auto" w:sz="4" w:space="0"/>
              <w:bottom w:val="single" w:color="auto" w:sz="4" w:space="0"/>
              <w:right w:val="single" w:color="auto" w:sz="4" w:space="0"/>
            </w:tcBorders>
          </w:tcPr>
          <w:p w14:paraId="12644E52">
            <w:pPr>
              <w:spacing w:line="360" w:lineRule="auto"/>
              <w:rPr>
                <w:sz w:val="24"/>
              </w:rPr>
            </w:pPr>
          </w:p>
        </w:tc>
        <w:tc>
          <w:tcPr>
            <w:tcW w:w="1588" w:type="dxa"/>
            <w:gridSpan w:val="2"/>
            <w:tcBorders>
              <w:top w:val="single" w:color="auto" w:sz="4" w:space="0"/>
              <w:left w:val="single" w:color="auto" w:sz="4" w:space="0"/>
              <w:bottom w:val="single" w:color="auto" w:sz="4" w:space="0"/>
              <w:right w:val="single" w:color="auto" w:sz="4" w:space="0"/>
            </w:tcBorders>
          </w:tcPr>
          <w:p w14:paraId="41DE1C26">
            <w:pPr>
              <w:spacing w:line="360" w:lineRule="auto"/>
              <w:rPr>
                <w:sz w:val="24"/>
              </w:rPr>
            </w:pPr>
          </w:p>
        </w:tc>
        <w:tc>
          <w:tcPr>
            <w:tcW w:w="2439" w:type="dxa"/>
            <w:gridSpan w:val="2"/>
            <w:tcBorders>
              <w:top w:val="single" w:color="auto" w:sz="4" w:space="0"/>
              <w:left w:val="single" w:color="auto" w:sz="4" w:space="0"/>
              <w:bottom w:val="single" w:color="auto" w:sz="4" w:space="0"/>
              <w:right w:val="single" w:color="auto" w:sz="4" w:space="0"/>
            </w:tcBorders>
          </w:tcPr>
          <w:p w14:paraId="1A2DC38F">
            <w:pPr>
              <w:spacing w:line="360" w:lineRule="auto"/>
              <w:rPr>
                <w:sz w:val="24"/>
              </w:rPr>
            </w:pPr>
          </w:p>
        </w:tc>
      </w:tr>
      <w:tr w14:paraId="386F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17DF932F">
            <w:pPr>
              <w:spacing w:line="360" w:lineRule="auto"/>
              <w:rPr>
                <w:sz w:val="24"/>
              </w:rPr>
            </w:pPr>
          </w:p>
        </w:tc>
        <w:tc>
          <w:tcPr>
            <w:tcW w:w="3485" w:type="dxa"/>
            <w:gridSpan w:val="4"/>
            <w:tcBorders>
              <w:top w:val="single" w:color="auto" w:sz="4" w:space="0"/>
              <w:left w:val="single" w:color="auto" w:sz="4" w:space="0"/>
              <w:bottom w:val="single" w:color="auto" w:sz="4" w:space="0"/>
              <w:right w:val="single" w:color="auto" w:sz="4" w:space="0"/>
            </w:tcBorders>
          </w:tcPr>
          <w:p w14:paraId="6D75B09C">
            <w:pPr>
              <w:spacing w:line="360" w:lineRule="auto"/>
              <w:rPr>
                <w:sz w:val="24"/>
              </w:rPr>
            </w:pPr>
          </w:p>
        </w:tc>
        <w:tc>
          <w:tcPr>
            <w:tcW w:w="1588" w:type="dxa"/>
            <w:gridSpan w:val="2"/>
            <w:tcBorders>
              <w:top w:val="single" w:color="auto" w:sz="4" w:space="0"/>
              <w:left w:val="single" w:color="auto" w:sz="4" w:space="0"/>
              <w:bottom w:val="single" w:color="auto" w:sz="4" w:space="0"/>
              <w:right w:val="single" w:color="auto" w:sz="4" w:space="0"/>
            </w:tcBorders>
          </w:tcPr>
          <w:p w14:paraId="068F5A5E">
            <w:pPr>
              <w:spacing w:line="360" w:lineRule="auto"/>
              <w:rPr>
                <w:sz w:val="24"/>
              </w:rPr>
            </w:pPr>
          </w:p>
        </w:tc>
        <w:tc>
          <w:tcPr>
            <w:tcW w:w="2439" w:type="dxa"/>
            <w:gridSpan w:val="2"/>
            <w:tcBorders>
              <w:top w:val="single" w:color="auto" w:sz="4" w:space="0"/>
              <w:left w:val="single" w:color="auto" w:sz="4" w:space="0"/>
              <w:bottom w:val="single" w:color="auto" w:sz="4" w:space="0"/>
              <w:right w:val="single" w:color="auto" w:sz="4" w:space="0"/>
            </w:tcBorders>
          </w:tcPr>
          <w:p w14:paraId="1DA8F035">
            <w:pPr>
              <w:spacing w:line="360" w:lineRule="auto"/>
              <w:rPr>
                <w:sz w:val="24"/>
              </w:rPr>
            </w:pPr>
          </w:p>
        </w:tc>
      </w:tr>
      <w:tr w14:paraId="55945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5C6F4847">
            <w:pPr>
              <w:spacing w:line="360" w:lineRule="auto"/>
              <w:rPr>
                <w:szCs w:val="21"/>
              </w:rPr>
            </w:pPr>
          </w:p>
        </w:tc>
        <w:tc>
          <w:tcPr>
            <w:tcW w:w="3485" w:type="dxa"/>
            <w:gridSpan w:val="4"/>
            <w:tcBorders>
              <w:top w:val="single" w:color="auto" w:sz="4" w:space="0"/>
              <w:left w:val="single" w:color="auto" w:sz="4" w:space="0"/>
              <w:bottom w:val="single" w:color="auto" w:sz="4" w:space="0"/>
              <w:right w:val="single" w:color="auto" w:sz="4" w:space="0"/>
            </w:tcBorders>
          </w:tcPr>
          <w:p w14:paraId="03DF74E5">
            <w:pPr>
              <w:spacing w:line="360" w:lineRule="auto"/>
              <w:rPr>
                <w:szCs w:val="21"/>
              </w:rPr>
            </w:pPr>
          </w:p>
        </w:tc>
        <w:tc>
          <w:tcPr>
            <w:tcW w:w="1588" w:type="dxa"/>
            <w:gridSpan w:val="2"/>
            <w:tcBorders>
              <w:top w:val="single" w:color="auto" w:sz="4" w:space="0"/>
              <w:left w:val="single" w:color="auto" w:sz="4" w:space="0"/>
              <w:bottom w:val="single" w:color="auto" w:sz="4" w:space="0"/>
              <w:right w:val="single" w:color="auto" w:sz="4" w:space="0"/>
            </w:tcBorders>
          </w:tcPr>
          <w:p w14:paraId="54F2F1F7">
            <w:pPr>
              <w:spacing w:line="360" w:lineRule="auto"/>
              <w:rPr>
                <w:szCs w:val="21"/>
              </w:rPr>
            </w:pPr>
          </w:p>
        </w:tc>
        <w:tc>
          <w:tcPr>
            <w:tcW w:w="2439" w:type="dxa"/>
            <w:gridSpan w:val="2"/>
            <w:tcBorders>
              <w:top w:val="single" w:color="auto" w:sz="4" w:space="0"/>
              <w:left w:val="single" w:color="auto" w:sz="4" w:space="0"/>
              <w:bottom w:val="single" w:color="auto" w:sz="4" w:space="0"/>
              <w:right w:val="single" w:color="auto" w:sz="4" w:space="0"/>
            </w:tcBorders>
          </w:tcPr>
          <w:p w14:paraId="4B425004">
            <w:pPr>
              <w:spacing w:line="360" w:lineRule="auto"/>
              <w:rPr>
                <w:szCs w:val="21"/>
              </w:rPr>
            </w:pPr>
          </w:p>
        </w:tc>
      </w:tr>
      <w:tr w14:paraId="395C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02DF01C9">
            <w:pPr>
              <w:spacing w:line="360" w:lineRule="auto"/>
              <w:rPr>
                <w:szCs w:val="21"/>
              </w:rPr>
            </w:pPr>
          </w:p>
        </w:tc>
        <w:tc>
          <w:tcPr>
            <w:tcW w:w="3485" w:type="dxa"/>
            <w:gridSpan w:val="4"/>
            <w:tcBorders>
              <w:top w:val="single" w:color="auto" w:sz="4" w:space="0"/>
              <w:left w:val="single" w:color="auto" w:sz="4" w:space="0"/>
              <w:bottom w:val="single" w:color="auto" w:sz="4" w:space="0"/>
              <w:right w:val="single" w:color="auto" w:sz="4" w:space="0"/>
            </w:tcBorders>
          </w:tcPr>
          <w:p w14:paraId="5E07AD87">
            <w:pPr>
              <w:spacing w:line="360" w:lineRule="auto"/>
              <w:rPr>
                <w:szCs w:val="21"/>
              </w:rPr>
            </w:pPr>
          </w:p>
        </w:tc>
        <w:tc>
          <w:tcPr>
            <w:tcW w:w="1588" w:type="dxa"/>
            <w:gridSpan w:val="2"/>
            <w:tcBorders>
              <w:top w:val="single" w:color="auto" w:sz="4" w:space="0"/>
              <w:left w:val="single" w:color="auto" w:sz="4" w:space="0"/>
              <w:bottom w:val="single" w:color="auto" w:sz="4" w:space="0"/>
              <w:right w:val="single" w:color="auto" w:sz="4" w:space="0"/>
            </w:tcBorders>
          </w:tcPr>
          <w:p w14:paraId="3672B636">
            <w:pPr>
              <w:spacing w:line="360" w:lineRule="auto"/>
              <w:rPr>
                <w:szCs w:val="21"/>
              </w:rPr>
            </w:pPr>
          </w:p>
        </w:tc>
        <w:tc>
          <w:tcPr>
            <w:tcW w:w="2439" w:type="dxa"/>
            <w:gridSpan w:val="2"/>
            <w:tcBorders>
              <w:top w:val="single" w:color="auto" w:sz="4" w:space="0"/>
              <w:left w:val="single" w:color="auto" w:sz="4" w:space="0"/>
              <w:bottom w:val="single" w:color="auto" w:sz="4" w:space="0"/>
              <w:right w:val="single" w:color="auto" w:sz="4" w:space="0"/>
            </w:tcBorders>
          </w:tcPr>
          <w:p w14:paraId="4783E70E">
            <w:pPr>
              <w:spacing w:line="360" w:lineRule="auto"/>
              <w:rPr>
                <w:szCs w:val="21"/>
              </w:rPr>
            </w:pPr>
          </w:p>
        </w:tc>
      </w:tr>
      <w:tr w14:paraId="2724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62F58D56">
            <w:pPr>
              <w:spacing w:line="360" w:lineRule="auto"/>
              <w:rPr>
                <w:szCs w:val="21"/>
              </w:rPr>
            </w:pPr>
          </w:p>
        </w:tc>
        <w:tc>
          <w:tcPr>
            <w:tcW w:w="3485" w:type="dxa"/>
            <w:gridSpan w:val="4"/>
            <w:tcBorders>
              <w:top w:val="single" w:color="auto" w:sz="4" w:space="0"/>
              <w:left w:val="single" w:color="auto" w:sz="4" w:space="0"/>
              <w:bottom w:val="single" w:color="auto" w:sz="4" w:space="0"/>
              <w:right w:val="single" w:color="auto" w:sz="4" w:space="0"/>
            </w:tcBorders>
          </w:tcPr>
          <w:p w14:paraId="10CCD1BC">
            <w:pPr>
              <w:spacing w:line="360" w:lineRule="auto"/>
              <w:rPr>
                <w:szCs w:val="21"/>
              </w:rPr>
            </w:pPr>
          </w:p>
        </w:tc>
        <w:tc>
          <w:tcPr>
            <w:tcW w:w="1588" w:type="dxa"/>
            <w:gridSpan w:val="2"/>
            <w:tcBorders>
              <w:top w:val="single" w:color="auto" w:sz="4" w:space="0"/>
              <w:left w:val="single" w:color="auto" w:sz="4" w:space="0"/>
              <w:bottom w:val="single" w:color="auto" w:sz="4" w:space="0"/>
              <w:right w:val="single" w:color="auto" w:sz="4" w:space="0"/>
            </w:tcBorders>
          </w:tcPr>
          <w:p w14:paraId="4157A879">
            <w:pPr>
              <w:spacing w:line="360" w:lineRule="auto"/>
              <w:rPr>
                <w:szCs w:val="21"/>
              </w:rPr>
            </w:pPr>
          </w:p>
        </w:tc>
        <w:tc>
          <w:tcPr>
            <w:tcW w:w="2439" w:type="dxa"/>
            <w:gridSpan w:val="2"/>
            <w:tcBorders>
              <w:top w:val="single" w:color="auto" w:sz="4" w:space="0"/>
              <w:left w:val="single" w:color="auto" w:sz="4" w:space="0"/>
              <w:bottom w:val="single" w:color="auto" w:sz="4" w:space="0"/>
              <w:right w:val="single" w:color="auto" w:sz="4" w:space="0"/>
            </w:tcBorders>
          </w:tcPr>
          <w:p w14:paraId="538477BA">
            <w:pPr>
              <w:spacing w:line="360" w:lineRule="auto"/>
              <w:rPr>
                <w:szCs w:val="21"/>
              </w:rPr>
            </w:pPr>
          </w:p>
        </w:tc>
      </w:tr>
      <w:tr w14:paraId="6B8F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8" w:type="dxa"/>
            <w:tcBorders>
              <w:top w:val="single" w:color="auto" w:sz="4" w:space="0"/>
              <w:left w:val="single" w:color="auto" w:sz="4" w:space="0"/>
              <w:bottom w:val="single" w:color="auto" w:sz="4" w:space="0"/>
              <w:right w:val="single" w:color="auto" w:sz="4" w:space="0"/>
            </w:tcBorders>
          </w:tcPr>
          <w:p w14:paraId="21267912">
            <w:pPr>
              <w:spacing w:line="360" w:lineRule="auto"/>
              <w:rPr>
                <w:szCs w:val="21"/>
              </w:rPr>
            </w:pPr>
          </w:p>
        </w:tc>
        <w:tc>
          <w:tcPr>
            <w:tcW w:w="3485" w:type="dxa"/>
            <w:gridSpan w:val="4"/>
            <w:tcBorders>
              <w:top w:val="single" w:color="auto" w:sz="4" w:space="0"/>
              <w:left w:val="single" w:color="auto" w:sz="4" w:space="0"/>
              <w:bottom w:val="single" w:color="auto" w:sz="4" w:space="0"/>
              <w:right w:val="single" w:color="auto" w:sz="4" w:space="0"/>
            </w:tcBorders>
          </w:tcPr>
          <w:p w14:paraId="2304A73D">
            <w:pPr>
              <w:spacing w:line="360" w:lineRule="auto"/>
              <w:rPr>
                <w:szCs w:val="21"/>
              </w:rPr>
            </w:pPr>
          </w:p>
        </w:tc>
        <w:tc>
          <w:tcPr>
            <w:tcW w:w="1588" w:type="dxa"/>
            <w:gridSpan w:val="2"/>
            <w:tcBorders>
              <w:top w:val="single" w:color="auto" w:sz="4" w:space="0"/>
              <w:left w:val="single" w:color="auto" w:sz="4" w:space="0"/>
              <w:bottom w:val="single" w:color="auto" w:sz="4" w:space="0"/>
              <w:right w:val="single" w:color="auto" w:sz="4" w:space="0"/>
            </w:tcBorders>
          </w:tcPr>
          <w:p w14:paraId="3ED265B4">
            <w:pPr>
              <w:spacing w:line="360" w:lineRule="auto"/>
              <w:rPr>
                <w:szCs w:val="21"/>
              </w:rPr>
            </w:pPr>
          </w:p>
        </w:tc>
        <w:tc>
          <w:tcPr>
            <w:tcW w:w="2439" w:type="dxa"/>
            <w:gridSpan w:val="2"/>
            <w:tcBorders>
              <w:top w:val="single" w:color="auto" w:sz="4" w:space="0"/>
              <w:left w:val="single" w:color="auto" w:sz="4" w:space="0"/>
              <w:bottom w:val="single" w:color="auto" w:sz="4" w:space="0"/>
              <w:right w:val="single" w:color="auto" w:sz="4" w:space="0"/>
            </w:tcBorders>
          </w:tcPr>
          <w:p w14:paraId="1C03D8AA">
            <w:pPr>
              <w:spacing w:line="360" w:lineRule="auto"/>
              <w:rPr>
                <w:szCs w:val="21"/>
              </w:rPr>
            </w:pPr>
          </w:p>
        </w:tc>
      </w:tr>
    </w:tbl>
    <w:p w14:paraId="4C7AF523">
      <w:pPr>
        <w:spacing w:line="360" w:lineRule="auto"/>
        <w:rPr>
          <w:sz w:val="24"/>
        </w:rPr>
      </w:pPr>
      <w:r>
        <w:rPr>
          <w:sz w:val="24"/>
        </w:rPr>
        <w:t>备注：项目经理应附建造师执业资格证书、注册证书、安全生产考核合格证书（B本）、身份证扫描件，管理过的工程业绩须附中标通知书或合同协议书、竣工验收备案登记表或单位工程质量竣工验收记录扫描件。类似工程限于以项目经理身份参与的工程。</w:t>
      </w:r>
    </w:p>
    <w:p w14:paraId="02839730">
      <w:pPr>
        <w:widowControl/>
        <w:shd w:val="clear" w:color="auto" w:fill="FFFFFF"/>
        <w:snapToGrid w:val="0"/>
        <w:spacing w:line="400" w:lineRule="atLeast"/>
        <w:rPr>
          <w:kern w:val="0"/>
          <w:sz w:val="24"/>
        </w:rPr>
      </w:pPr>
    </w:p>
    <w:p w14:paraId="6CD0BD62">
      <w:pPr>
        <w:widowControl/>
        <w:shd w:val="clear" w:color="auto" w:fill="FFFFFF"/>
        <w:snapToGrid w:val="0"/>
        <w:spacing w:line="400" w:lineRule="atLeast"/>
        <w:rPr>
          <w:kern w:val="0"/>
          <w:sz w:val="24"/>
        </w:rPr>
      </w:pPr>
    </w:p>
    <w:p w14:paraId="2A6294B2">
      <w:pPr>
        <w:pStyle w:val="20"/>
        <w:rPr>
          <w:rFonts w:ascii="Times New Roman" w:hAnsi="Times New Roman"/>
        </w:rPr>
      </w:pPr>
    </w:p>
    <w:p w14:paraId="591B4D42">
      <w:pPr>
        <w:widowControl/>
        <w:shd w:val="clear" w:color="auto" w:fill="FFFFFF"/>
        <w:snapToGrid w:val="0"/>
        <w:spacing w:line="400" w:lineRule="atLeast"/>
        <w:rPr>
          <w:kern w:val="0"/>
          <w:sz w:val="24"/>
        </w:rPr>
      </w:pPr>
    </w:p>
    <w:p w14:paraId="660B838A">
      <w:pPr>
        <w:widowControl/>
        <w:shd w:val="clear" w:color="auto" w:fill="FFFFFF"/>
        <w:snapToGrid w:val="0"/>
        <w:spacing w:line="400" w:lineRule="atLeast"/>
        <w:rPr>
          <w:kern w:val="0"/>
          <w:sz w:val="24"/>
        </w:rPr>
      </w:pPr>
      <w:r>
        <w:rPr>
          <w:kern w:val="0"/>
          <w:sz w:val="24"/>
        </w:rPr>
        <w:br w:type="page"/>
      </w:r>
      <w:r>
        <w:rPr>
          <w:kern w:val="0"/>
          <w:sz w:val="24"/>
        </w:rPr>
        <w:t>附2：主要项目管理人员简历表</w:t>
      </w:r>
    </w:p>
    <w:tbl>
      <w:tblPr>
        <w:tblStyle w:val="43"/>
        <w:tblW w:w="0" w:type="auto"/>
        <w:jc w:val="center"/>
        <w:tblLayout w:type="fixed"/>
        <w:tblCellMar>
          <w:top w:w="0" w:type="dxa"/>
          <w:left w:w="0" w:type="dxa"/>
          <w:bottom w:w="0" w:type="dxa"/>
          <w:right w:w="0" w:type="dxa"/>
        </w:tblCellMar>
      </w:tblPr>
      <w:tblGrid>
        <w:gridCol w:w="2181"/>
        <w:gridCol w:w="2214"/>
        <w:gridCol w:w="1851"/>
        <w:gridCol w:w="2083"/>
      </w:tblGrid>
      <w:tr w14:paraId="6659AA64">
        <w:tblPrEx>
          <w:tblCellMar>
            <w:top w:w="0" w:type="dxa"/>
            <w:left w:w="0" w:type="dxa"/>
            <w:bottom w:w="0" w:type="dxa"/>
            <w:right w:w="0" w:type="dxa"/>
          </w:tblCellMar>
        </w:tblPrEx>
        <w:trPr>
          <w:trHeight w:val="680" w:hRule="atLeast"/>
          <w:jc w:val="center"/>
        </w:trPr>
        <w:tc>
          <w:tcPr>
            <w:tcW w:w="218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A6E9321">
            <w:pPr>
              <w:widowControl/>
              <w:jc w:val="center"/>
              <w:rPr>
                <w:kern w:val="0"/>
                <w:sz w:val="24"/>
              </w:rPr>
            </w:pPr>
            <w:r>
              <w:rPr>
                <w:kern w:val="0"/>
                <w:sz w:val="24"/>
              </w:rPr>
              <w:t>工作岗位名称</w:t>
            </w:r>
          </w:p>
        </w:tc>
        <w:tc>
          <w:tcPr>
            <w:tcW w:w="6148" w:type="dxa"/>
            <w:gridSpan w:val="3"/>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7C628B76">
            <w:pPr>
              <w:widowControl/>
              <w:rPr>
                <w:kern w:val="0"/>
                <w:sz w:val="24"/>
              </w:rPr>
            </w:pPr>
            <w:r>
              <w:rPr>
                <w:kern w:val="0"/>
                <w:sz w:val="24"/>
              </w:rPr>
              <w:t> </w:t>
            </w:r>
          </w:p>
        </w:tc>
      </w:tr>
      <w:tr w14:paraId="4C404A16">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0B9FF39">
            <w:pPr>
              <w:widowControl/>
              <w:jc w:val="center"/>
              <w:rPr>
                <w:kern w:val="0"/>
                <w:sz w:val="24"/>
              </w:rPr>
            </w:pPr>
            <w:r>
              <w:rPr>
                <w:kern w:val="0"/>
                <w:sz w:val="24"/>
              </w:rPr>
              <w:t>姓名</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2288B1A2">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21DD22FA">
            <w:pPr>
              <w:widowControl/>
              <w:jc w:val="center"/>
              <w:rPr>
                <w:kern w:val="0"/>
                <w:sz w:val="24"/>
              </w:rPr>
            </w:pPr>
            <w:r>
              <w:rPr>
                <w:kern w:val="0"/>
                <w:sz w:val="24"/>
              </w:rPr>
              <w:t>年龄</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246B601A">
            <w:pPr>
              <w:widowControl/>
              <w:jc w:val="center"/>
              <w:rPr>
                <w:kern w:val="0"/>
                <w:sz w:val="24"/>
              </w:rPr>
            </w:pPr>
            <w:r>
              <w:rPr>
                <w:kern w:val="0"/>
                <w:sz w:val="24"/>
              </w:rPr>
              <w:t> </w:t>
            </w:r>
          </w:p>
        </w:tc>
      </w:tr>
      <w:tr w14:paraId="18C47687">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C4F9807">
            <w:pPr>
              <w:widowControl/>
              <w:jc w:val="center"/>
              <w:rPr>
                <w:kern w:val="0"/>
                <w:sz w:val="24"/>
              </w:rPr>
            </w:pPr>
            <w:r>
              <w:rPr>
                <w:kern w:val="0"/>
                <w:sz w:val="24"/>
              </w:rPr>
              <w:t>性别</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13BBAC78">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62C2117F">
            <w:pPr>
              <w:widowControl/>
              <w:jc w:val="center"/>
              <w:rPr>
                <w:kern w:val="0"/>
                <w:sz w:val="24"/>
              </w:rPr>
            </w:pPr>
            <w:r>
              <w:rPr>
                <w:kern w:val="0"/>
                <w:sz w:val="24"/>
              </w:rPr>
              <w:t>毕业学校</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5A2BC724">
            <w:pPr>
              <w:widowControl/>
              <w:jc w:val="center"/>
              <w:rPr>
                <w:kern w:val="0"/>
                <w:sz w:val="24"/>
              </w:rPr>
            </w:pPr>
            <w:r>
              <w:rPr>
                <w:kern w:val="0"/>
                <w:sz w:val="24"/>
              </w:rPr>
              <w:t> </w:t>
            </w:r>
          </w:p>
        </w:tc>
      </w:tr>
      <w:tr w14:paraId="672652D8">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C5BB408">
            <w:pPr>
              <w:widowControl/>
              <w:jc w:val="center"/>
              <w:rPr>
                <w:kern w:val="0"/>
                <w:sz w:val="24"/>
              </w:rPr>
            </w:pPr>
            <w:r>
              <w:rPr>
                <w:kern w:val="0"/>
                <w:sz w:val="24"/>
              </w:rPr>
              <w:t>学历和专业</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622A54A0">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6E6A10F6">
            <w:pPr>
              <w:widowControl/>
              <w:jc w:val="center"/>
              <w:rPr>
                <w:kern w:val="0"/>
                <w:sz w:val="24"/>
              </w:rPr>
            </w:pPr>
            <w:r>
              <w:rPr>
                <w:kern w:val="0"/>
                <w:sz w:val="24"/>
              </w:rPr>
              <w:t>毕业时间</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5C51AFAE">
            <w:pPr>
              <w:widowControl/>
              <w:jc w:val="center"/>
              <w:rPr>
                <w:kern w:val="0"/>
                <w:sz w:val="24"/>
              </w:rPr>
            </w:pPr>
            <w:r>
              <w:rPr>
                <w:kern w:val="0"/>
                <w:sz w:val="24"/>
              </w:rPr>
              <w:t> </w:t>
            </w:r>
          </w:p>
        </w:tc>
      </w:tr>
      <w:tr w14:paraId="4552F9EF">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EFFAD24">
            <w:pPr>
              <w:widowControl/>
              <w:jc w:val="center"/>
              <w:rPr>
                <w:kern w:val="0"/>
                <w:sz w:val="24"/>
              </w:rPr>
            </w:pPr>
            <w:r>
              <w:rPr>
                <w:kern w:val="0"/>
                <w:sz w:val="24"/>
              </w:rPr>
              <w:t>执业资格</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29A240FB">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0380F153">
            <w:pPr>
              <w:widowControl/>
              <w:jc w:val="center"/>
              <w:rPr>
                <w:kern w:val="0"/>
                <w:sz w:val="24"/>
              </w:rPr>
            </w:pPr>
            <w:r>
              <w:rPr>
                <w:kern w:val="0"/>
                <w:sz w:val="24"/>
              </w:rPr>
              <w:t>专业职称</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33B0806E">
            <w:pPr>
              <w:widowControl/>
              <w:jc w:val="center"/>
              <w:rPr>
                <w:kern w:val="0"/>
                <w:sz w:val="24"/>
              </w:rPr>
            </w:pPr>
            <w:r>
              <w:rPr>
                <w:kern w:val="0"/>
                <w:sz w:val="24"/>
              </w:rPr>
              <w:t> </w:t>
            </w:r>
          </w:p>
        </w:tc>
      </w:tr>
      <w:tr w14:paraId="2D189D8D">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D1182B0">
            <w:pPr>
              <w:widowControl/>
              <w:jc w:val="center"/>
              <w:rPr>
                <w:kern w:val="0"/>
                <w:sz w:val="24"/>
              </w:rPr>
            </w:pPr>
            <w:r>
              <w:rPr>
                <w:kern w:val="0"/>
                <w:sz w:val="24"/>
              </w:rPr>
              <w:t>执业资格证书编号</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4C005925">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1ACAE013">
            <w:pPr>
              <w:widowControl/>
              <w:jc w:val="center"/>
              <w:rPr>
                <w:kern w:val="0"/>
                <w:sz w:val="24"/>
              </w:rPr>
            </w:pPr>
            <w:r>
              <w:rPr>
                <w:kern w:val="0"/>
                <w:sz w:val="24"/>
              </w:rPr>
              <w:t>工作年限</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5328DBAE">
            <w:pPr>
              <w:widowControl/>
              <w:jc w:val="center"/>
              <w:rPr>
                <w:kern w:val="0"/>
                <w:sz w:val="24"/>
              </w:rPr>
            </w:pPr>
            <w:r>
              <w:rPr>
                <w:kern w:val="0"/>
                <w:sz w:val="24"/>
              </w:rPr>
              <w:t> </w:t>
            </w:r>
          </w:p>
        </w:tc>
      </w:tr>
      <w:tr w14:paraId="71DCBAF5">
        <w:tblPrEx>
          <w:tblCellMar>
            <w:top w:w="0" w:type="dxa"/>
            <w:left w:w="0" w:type="dxa"/>
            <w:bottom w:w="0" w:type="dxa"/>
            <w:right w:w="0" w:type="dxa"/>
          </w:tblCellMar>
        </w:tblPrEx>
        <w:trPr>
          <w:trHeight w:val="680" w:hRule="atLeast"/>
          <w:jc w:val="center"/>
        </w:trPr>
        <w:tc>
          <w:tcPr>
            <w:tcW w:w="8329" w:type="dxa"/>
            <w:gridSpan w:val="4"/>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E5D7E44">
            <w:pPr>
              <w:widowControl/>
              <w:jc w:val="center"/>
              <w:rPr>
                <w:kern w:val="0"/>
                <w:sz w:val="24"/>
              </w:rPr>
            </w:pPr>
            <w:r>
              <w:rPr>
                <w:kern w:val="0"/>
                <w:sz w:val="24"/>
              </w:rPr>
              <w:t>主要工作业绩</w:t>
            </w:r>
          </w:p>
        </w:tc>
      </w:tr>
      <w:tr w14:paraId="0EF8489D">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380276D">
            <w:pPr>
              <w:widowControl/>
              <w:jc w:val="center"/>
              <w:rPr>
                <w:kern w:val="0"/>
                <w:sz w:val="24"/>
              </w:rPr>
            </w:pPr>
            <w:r>
              <w:rPr>
                <w:kern w:val="0"/>
                <w:sz w:val="24"/>
              </w:rPr>
              <w:t>时间</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4991020B">
            <w:pPr>
              <w:widowControl/>
              <w:jc w:val="center"/>
              <w:rPr>
                <w:kern w:val="0"/>
                <w:sz w:val="24"/>
              </w:rPr>
            </w:pPr>
            <w:r>
              <w:rPr>
                <w:kern w:val="0"/>
                <w:sz w:val="24"/>
              </w:rPr>
              <w:t>参加过的类似工程名称</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1058D189">
            <w:pPr>
              <w:widowControl/>
              <w:jc w:val="center"/>
              <w:rPr>
                <w:kern w:val="0"/>
                <w:sz w:val="24"/>
              </w:rPr>
            </w:pPr>
            <w:r>
              <w:rPr>
                <w:kern w:val="0"/>
                <w:sz w:val="24"/>
              </w:rPr>
              <w:t>工程概况说明</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2552FD11">
            <w:pPr>
              <w:widowControl/>
              <w:jc w:val="center"/>
              <w:rPr>
                <w:kern w:val="0"/>
                <w:sz w:val="24"/>
              </w:rPr>
            </w:pPr>
            <w:r>
              <w:rPr>
                <w:kern w:val="0"/>
                <w:sz w:val="24"/>
              </w:rPr>
              <w:t>发包人及联系电话</w:t>
            </w:r>
          </w:p>
        </w:tc>
      </w:tr>
      <w:tr w14:paraId="1691957D">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426B688">
            <w:pPr>
              <w:widowControl/>
              <w:jc w:val="center"/>
              <w:rPr>
                <w:kern w:val="0"/>
                <w:sz w:val="24"/>
              </w:rPr>
            </w:pPr>
            <w:r>
              <w:rPr>
                <w:kern w:val="0"/>
                <w:sz w:val="24"/>
              </w:rPr>
              <w:t> </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110C45D2">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25CAB955">
            <w:pPr>
              <w:widowControl/>
              <w:jc w:val="center"/>
              <w:rPr>
                <w:kern w:val="0"/>
                <w:sz w:val="24"/>
              </w:rPr>
            </w:pPr>
            <w:r>
              <w:rPr>
                <w:kern w:val="0"/>
                <w:sz w:val="24"/>
              </w:rPr>
              <w:t> </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6D6DBF29">
            <w:pPr>
              <w:widowControl/>
              <w:jc w:val="center"/>
              <w:rPr>
                <w:kern w:val="0"/>
                <w:sz w:val="24"/>
              </w:rPr>
            </w:pPr>
            <w:r>
              <w:rPr>
                <w:kern w:val="0"/>
                <w:sz w:val="24"/>
              </w:rPr>
              <w:t> </w:t>
            </w:r>
          </w:p>
        </w:tc>
      </w:tr>
      <w:tr w14:paraId="20CD100D">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51019572">
            <w:pPr>
              <w:widowControl/>
              <w:jc w:val="center"/>
              <w:rPr>
                <w:kern w:val="0"/>
                <w:sz w:val="24"/>
              </w:rPr>
            </w:pPr>
            <w:r>
              <w:rPr>
                <w:kern w:val="0"/>
                <w:sz w:val="24"/>
              </w:rPr>
              <w:t> </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6ABA3525">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173C9324">
            <w:pPr>
              <w:widowControl/>
              <w:jc w:val="center"/>
              <w:rPr>
                <w:kern w:val="0"/>
                <w:sz w:val="24"/>
              </w:rPr>
            </w:pPr>
            <w:r>
              <w:rPr>
                <w:kern w:val="0"/>
                <w:sz w:val="24"/>
              </w:rPr>
              <w:t> </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0A49B669">
            <w:pPr>
              <w:widowControl/>
              <w:jc w:val="center"/>
              <w:rPr>
                <w:kern w:val="0"/>
                <w:sz w:val="24"/>
              </w:rPr>
            </w:pPr>
            <w:r>
              <w:rPr>
                <w:kern w:val="0"/>
                <w:sz w:val="24"/>
              </w:rPr>
              <w:t> </w:t>
            </w:r>
          </w:p>
        </w:tc>
      </w:tr>
      <w:tr w14:paraId="662CAC39">
        <w:tblPrEx>
          <w:tblCellMar>
            <w:top w:w="0" w:type="dxa"/>
            <w:left w:w="0" w:type="dxa"/>
            <w:bottom w:w="0" w:type="dxa"/>
            <w:right w:w="0" w:type="dxa"/>
          </w:tblCellMar>
        </w:tblPrEx>
        <w:trPr>
          <w:trHeight w:val="680" w:hRule="atLeast"/>
          <w:jc w:val="center"/>
        </w:trPr>
        <w:tc>
          <w:tcPr>
            <w:tcW w:w="2181"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66AFEE20">
            <w:pPr>
              <w:widowControl/>
              <w:jc w:val="center"/>
              <w:rPr>
                <w:kern w:val="0"/>
                <w:sz w:val="24"/>
              </w:rPr>
            </w:pPr>
            <w:r>
              <w:rPr>
                <w:kern w:val="0"/>
                <w:sz w:val="24"/>
              </w:rPr>
              <w:t> </w:t>
            </w:r>
          </w:p>
        </w:tc>
        <w:tc>
          <w:tcPr>
            <w:tcW w:w="2214" w:type="dxa"/>
            <w:tcBorders>
              <w:top w:val="nil"/>
              <w:left w:val="nil"/>
              <w:bottom w:val="single" w:color="auto" w:sz="8" w:space="0"/>
              <w:right w:val="single" w:color="auto" w:sz="8" w:space="0"/>
            </w:tcBorders>
            <w:tcMar>
              <w:top w:w="0" w:type="dxa"/>
              <w:left w:w="108" w:type="dxa"/>
              <w:bottom w:w="0" w:type="dxa"/>
              <w:right w:w="108" w:type="dxa"/>
            </w:tcMar>
            <w:vAlign w:val="center"/>
          </w:tcPr>
          <w:p w14:paraId="7FEBAFEE">
            <w:pPr>
              <w:widowControl/>
              <w:jc w:val="center"/>
              <w:rPr>
                <w:kern w:val="0"/>
                <w:sz w:val="24"/>
              </w:rPr>
            </w:pPr>
            <w:r>
              <w:rPr>
                <w:kern w:val="0"/>
                <w:sz w:val="24"/>
              </w:rPr>
              <w:t> </w:t>
            </w:r>
          </w:p>
        </w:tc>
        <w:tc>
          <w:tcPr>
            <w:tcW w:w="1851" w:type="dxa"/>
            <w:tcBorders>
              <w:top w:val="nil"/>
              <w:left w:val="nil"/>
              <w:bottom w:val="single" w:color="auto" w:sz="8" w:space="0"/>
              <w:right w:val="single" w:color="auto" w:sz="8" w:space="0"/>
            </w:tcBorders>
            <w:tcMar>
              <w:top w:w="0" w:type="dxa"/>
              <w:left w:w="108" w:type="dxa"/>
              <w:bottom w:w="0" w:type="dxa"/>
              <w:right w:w="108" w:type="dxa"/>
            </w:tcMar>
            <w:vAlign w:val="center"/>
          </w:tcPr>
          <w:p w14:paraId="5230F0AD">
            <w:pPr>
              <w:widowControl/>
              <w:jc w:val="center"/>
              <w:rPr>
                <w:kern w:val="0"/>
                <w:sz w:val="24"/>
              </w:rPr>
            </w:pPr>
            <w:r>
              <w:rPr>
                <w:kern w:val="0"/>
                <w:sz w:val="24"/>
              </w:rPr>
              <w:t> </w:t>
            </w:r>
          </w:p>
        </w:tc>
        <w:tc>
          <w:tcPr>
            <w:tcW w:w="2083" w:type="dxa"/>
            <w:tcBorders>
              <w:top w:val="nil"/>
              <w:left w:val="nil"/>
              <w:bottom w:val="single" w:color="auto" w:sz="8" w:space="0"/>
              <w:right w:val="single" w:color="auto" w:sz="8" w:space="0"/>
            </w:tcBorders>
            <w:tcMar>
              <w:top w:w="0" w:type="dxa"/>
              <w:left w:w="108" w:type="dxa"/>
              <w:bottom w:w="0" w:type="dxa"/>
              <w:right w:w="108" w:type="dxa"/>
            </w:tcMar>
            <w:vAlign w:val="center"/>
          </w:tcPr>
          <w:p w14:paraId="18C05C77">
            <w:pPr>
              <w:widowControl/>
              <w:jc w:val="center"/>
              <w:rPr>
                <w:kern w:val="0"/>
                <w:sz w:val="24"/>
              </w:rPr>
            </w:pPr>
            <w:r>
              <w:rPr>
                <w:kern w:val="0"/>
                <w:sz w:val="24"/>
              </w:rPr>
              <w:t> </w:t>
            </w:r>
          </w:p>
        </w:tc>
      </w:tr>
    </w:tbl>
    <w:p w14:paraId="42C7162C">
      <w:pPr>
        <w:widowControl/>
        <w:shd w:val="clear" w:color="auto" w:fill="FFFFFF"/>
        <w:snapToGrid w:val="0"/>
        <w:spacing w:line="440" w:lineRule="atLeast"/>
        <w:rPr>
          <w:kern w:val="0"/>
          <w:sz w:val="24"/>
        </w:rPr>
      </w:pPr>
      <w:r>
        <w:rPr>
          <w:kern w:val="0"/>
          <w:sz w:val="24"/>
        </w:rPr>
        <w:t>备注：主要项目管理人员指项目副经理、技术负责人、合同商务负责人、专职安全生产管理人员等岗位人员。应附注册资格证书、身份证扫描件，专职安全生产管理人员应附安全生产考核合格证书，主要业绩须附合同协议书。</w:t>
      </w:r>
    </w:p>
    <w:p w14:paraId="403B80FB">
      <w:pPr>
        <w:widowControl/>
        <w:jc w:val="left"/>
      </w:pPr>
    </w:p>
    <w:p w14:paraId="1D0BE5C5">
      <w:pPr>
        <w:pStyle w:val="20"/>
        <w:spacing w:line="360" w:lineRule="auto"/>
        <w:outlineLvl w:val="2"/>
        <w:rPr>
          <w:rFonts w:ascii="Times New Roman" w:hAnsi="Times New Roman"/>
        </w:rPr>
      </w:pPr>
      <w:r>
        <w:rPr>
          <w:rFonts w:ascii="Times New Roman" w:hAnsi="Times New Roman"/>
        </w:rPr>
        <w:br w:type="page"/>
      </w:r>
      <w:r>
        <w:rPr>
          <w:rFonts w:ascii="Times New Roman" w:hAnsi="Times New Roman"/>
          <w:b/>
          <w:bCs/>
        </w:rPr>
        <w:t>1</w:t>
      </w:r>
      <w:r>
        <w:rPr>
          <w:rFonts w:hint="eastAsia" w:ascii="Times New Roman" w:hAnsi="Times New Roman"/>
          <w:b/>
          <w:bCs/>
          <w:lang w:val="en-US" w:eastAsia="zh-CN"/>
        </w:rPr>
        <w:t>1-</w:t>
      </w:r>
      <w:r>
        <w:rPr>
          <w:rFonts w:ascii="Times New Roman" w:hAnsi="Times New Roman"/>
          <w:b/>
          <w:bCs/>
        </w:rPr>
        <w:t>3</w:t>
      </w:r>
      <w:r>
        <w:rPr>
          <w:rFonts w:ascii="Times New Roman" w:hAnsi="Times New Roman"/>
        </w:rPr>
        <w:t>近年完成的类似项目情况表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582"/>
      </w:tblGrid>
      <w:tr w14:paraId="3B415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6F3ACC15">
            <w:pPr>
              <w:spacing w:line="360" w:lineRule="auto"/>
              <w:jc w:val="left"/>
              <w:rPr>
                <w:sz w:val="24"/>
              </w:rPr>
            </w:pPr>
            <w:r>
              <w:rPr>
                <w:sz w:val="24"/>
                <w:lang w:bidi="ar"/>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14:paraId="7F8ED2EE">
            <w:pPr>
              <w:spacing w:line="360" w:lineRule="auto"/>
              <w:ind w:firstLine="480" w:firstLineChars="200"/>
              <w:rPr>
                <w:sz w:val="24"/>
              </w:rPr>
            </w:pPr>
          </w:p>
        </w:tc>
      </w:tr>
      <w:tr w14:paraId="7E28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49D0ACD7">
            <w:pPr>
              <w:spacing w:line="360" w:lineRule="auto"/>
              <w:jc w:val="left"/>
              <w:rPr>
                <w:sz w:val="24"/>
              </w:rPr>
            </w:pPr>
            <w:r>
              <w:rPr>
                <w:sz w:val="24"/>
                <w:lang w:bidi="ar"/>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14:paraId="1E7FF935">
            <w:pPr>
              <w:spacing w:line="360" w:lineRule="auto"/>
              <w:ind w:firstLine="480" w:firstLineChars="200"/>
              <w:rPr>
                <w:sz w:val="24"/>
              </w:rPr>
            </w:pPr>
          </w:p>
        </w:tc>
      </w:tr>
      <w:tr w14:paraId="51BF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7C40E69F">
            <w:pPr>
              <w:spacing w:line="360" w:lineRule="auto"/>
              <w:jc w:val="left"/>
              <w:rPr>
                <w:sz w:val="24"/>
              </w:rPr>
            </w:pPr>
            <w:r>
              <w:rPr>
                <w:sz w:val="24"/>
                <w:lang w:bidi="ar"/>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14:paraId="6EBA278B">
            <w:pPr>
              <w:spacing w:line="360" w:lineRule="auto"/>
              <w:ind w:firstLine="480" w:firstLineChars="200"/>
              <w:rPr>
                <w:sz w:val="24"/>
              </w:rPr>
            </w:pPr>
          </w:p>
        </w:tc>
      </w:tr>
      <w:tr w14:paraId="1B81E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6E543039">
            <w:pPr>
              <w:spacing w:line="360" w:lineRule="auto"/>
              <w:jc w:val="left"/>
              <w:rPr>
                <w:sz w:val="24"/>
              </w:rPr>
            </w:pPr>
            <w:r>
              <w:rPr>
                <w:sz w:val="24"/>
                <w:lang w:bidi="ar"/>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14:paraId="52A18FFE">
            <w:pPr>
              <w:spacing w:line="360" w:lineRule="auto"/>
              <w:ind w:firstLine="480" w:firstLineChars="200"/>
              <w:rPr>
                <w:sz w:val="24"/>
              </w:rPr>
            </w:pPr>
          </w:p>
        </w:tc>
      </w:tr>
      <w:tr w14:paraId="431C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4879A1A8">
            <w:pPr>
              <w:spacing w:line="360" w:lineRule="auto"/>
              <w:jc w:val="left"/>
              <w:rPr>
                <w:sz w:val="24"/>
              </w:rPr>
            </w:pPr>
            <w:r>
              <w:rPr>
                <w:sz w:val="24"/>
                <w:lang w:bidi="ar"/>
              </w:rPr>
              <w:t>发包人联系人及电话</w:t>
            </w:r>
          </w:p>
        </w:tc>
        <w:tc>
          <w:tcPr>
            <w:tcW w:w="6582" w:type="dxa"/>
            <w:tcBorders>
              <w:top w:val="outset" w:color="auto" w:sz="6" w:space="0"/>
              <w:left w:val="outset" w:color="auto" w:sz="6" w:space="0"/>
              <w:bottom w:val="outset" w:color="auto" w:sz="6" w:space="0"/>
              <w:right w:val="outset" w:color="auto" w:sz="6" w:space="0"/>
            </w:tcBorders>
            <w:vAlign w:val="center"/>
          </w:tcPr>
          <w:p w14:paraId="2EB211A4">
            <w:pPr>
              <w:spacing w:line="360" w:lineRule="auto"/>
              <w:ind w:firstLine="480" w:firstLineChars="200"/>
              <w:rPr>
                <w:sz w:val="24"/>
              </w:rPr>
            </w:pPr>
          </w:p>
        </w:tc>
      </w:tr>
      <w:tr w14:paraId="4495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189E33C8">
            <w:pPr>
              <w:spacing w:line="360" w:lineRule="auto"/>
              <w:jc w:val="left"/>
              <w:rPr>
                <w:sz w:val="24"/>
              </w:rPr>
            </w:pPr>
            <w:r>
              <w:rPr>
                <w:sz w:val="24"/>
                <w:lang w:bidi="ar"/>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14:paraId="389FD4DA">
            <w:pPr>
              <w:spacing w:line="360" w:lineRule="auto"/>
              <w:ind w:firstLine="480" w:firstLineChars="200"/>
              <w:rPr>
                <w:sz w:val="24"/>
              </w:rPr>
            </w:pPr>
          </w:p>
        </w:tc>
      </w:tr>
      <w:tr w14:paraId="12DAA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7CC83E7B">
            <w:pPr>
              <w:spacing w:line="360" w:lineRule="auto"/>
              <w:jc w:val="left"/>
              <w:rPr>
                <w:sz w:val="24"/>
              </w:rPr>
            </w:pPr>
            <w:r>
              <w:rPr>
                <w:sz w:val="24"/>
                <w:lang w:bidi="ar"/>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14:paraId="2F7C4931">
            <w:pPr>
              <w:spacing w:line="360" w:lineRule="auto"/>
              <w:ind w:firstLine="480" w:firstLineChars="200"/>
              <w:rPr>
                <w:sz w:val="24"/>
              </w:rPr>
            </w:pPr>
          </w:p>
        </w:tc>
      </w:tr>
      <w:tr w14:paraId="1ED9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709061D4">
            <w:pPr>
              <w:spacing w:line="360" w:lineRule="auto"/>
              <w:jc w:val="left"/>
              <w:rPr>
                <w:sz w:val="24"/>
              </w:rPr>
            </w:pPr>
            <w:r>
              <w:rPr>
                <w:sz w:val="24"/>
                <w:lang w:bidi="ar"/>
              </w:rPr>
              <w:t>竣（完）工日期</w:t>
            </w:r>
          </w:p>
        </w:tc>
        <w:tc>
          <w:tcPr>
            <w:tcW w:w="6582" w:type="dxa"/>
            <w:tcBorders>
              <w:top w:val="outset" w:color="auto" w:sz="6" w:space="0"/>
              <w:left w:val="outset" w:color="auto" w:sz="6" w:space="0"/>
              <w:bottom w:val="outset" w:color="auto" w:sz="6" w:space="0"/>
              <w:right w:val="outset" w:color="auto" w:sz="6" w:space="0"/>
            </w:tcBorders>
            <w:vAlign w:val="center"/>
          </w:tcPr>
          <w:p w14:paraId="64577759">
            <w:pPr>
              <w:spacing w:line="360" w:lineRule="auto"/>
              <w:ind w:firstLine="480" w:firstLineChars="200"/>
              <w:rPr>
                <w:sz w:val="24"/>
              </w:rPr>
            </w:pPr>
          </w:p>
        </w:tc>
      </w:tr>
      <w:tr w14:paraId="14EF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0D9BE2DA">
            <w:pPr>
              <w:spacing w:line="360" w:lineRule="auto"/>
              <w:jc w:val="left"/>
              <w:rPr>
                <w:sz w:val="24"/>
              </w:rPr>
            </w:pPr>
            <w:r>
              <w:rPr>
                <w:sz w:val="24"/>
                <w:lang w:bidi="ar"/>
              </w:rPr>
              <w:t>承包范围</w:t>
            </w:r>
          </w:p>
        </w:tc>
        <w:tc>
          <w:tcPr>
            <w:tcW w:w="6582" w:type="dxa"/>
            <w:tcBorders>
              <w:top w:val="outset" w:color="auto" w:sz="6" w:space="0"/>
              <w:left w:val="outset" w:color="auto" w:sz="6" w:space="0"/>
              <w:bottom w:val="outset" w:color="auto" w:sz="6" w:space="0"/>
              <w:right w:val="outset" w:color="auto" w:sz="6" w:space="0"/>
            </w:tcBorders>
            <w:vAlign w:val="center"/>
          </w:tcPr>
          <w:p w14:paraId="0882DB77">
            <w:pPr>
              <w:spacing w:line="360" w:lineRule="auto"/>
              <w:ind w:firstLine="480" w:firstLineChars="200"/>
              <w:rPr>
                <w:sz w:val="24"/>
              </w:rPr>
            </w:pPr>
          </w:p>
        </w:tc>
      </w:tr>
      <w:tr w14:paraId="2055A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587EA385">
            <w:pPr>
              <w:spacing w:line="360" w:lineRule="auto"/>
              <w:jc w:val="left"/>
              <w:rPr>
                <w:sz w:val="24"/>
              </w:rPr>
            </w:pPr>
            <w:r>
              <w:rPr>
                <w:sz w:val="24"/>
                <w:lang w:bidi="ar"/>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14:paraId="024F7B8C">
            <w:pPr>
              <w:spacing w:line="360" w:lineRule="auto"/>
              <w:ind w:firstLine="480" w:firstLineChars="200"/>
              <w:rPr>
                <w:sz w:val="24"/>
              </w:rPr>
            </w:pPr>
          </w:p>
        </w:tc>
      </w:tr>
      <w:tr w14:paraId="2D69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22F766CD">
            <w:pPr>
              <w:spacing w:line="360" w:lineRule="auto"/>
              <w:jc w:val="left"/>
              <w:rPr>
                <w:sz w:val="24"/>
              </w:rPr>
            </w:pPr>
            <w:r>
              <w:rPr>
                <w:sz w:val="24"/>
                <w:lang w:bidi="ar"/>
              </w:rPr>
              <w:t>项目经理</w:t>
            </w:r>
          </w:p>
        </w:tc>
        <w:tc>
          <w:tcPr>
            <w:tcW w:w="6582" w:type="dxa"/>
            <w:tcBorders>
              <w:top w:val="outset" w:color="auto" w:sz="6" w:space="0"/>
              <w:left w:val="outset" w:color="auto" w:sz="6" w:space="0"/>
              <w:bottom w:val="outset" w:color="auto" w:sz="6" w:space="0"/>
              <w:right w:val="outset" w:color="auto" w:sz="6" w:space="0"/>
            </w:tcBorders>
            <w:vAlign w:val="center"/>
          </w:tcPr>
          <w:p w14:paraId="6CB7EE66">
            <w:pPr>
              <w:spacing w:line="360" w:lineRule="auto"/>
              <w:ind w:firstLine="480" w:firstLineChars="200"/>
              <w:rPr>
                <w:sz w:val="24"/>
              </w:rPr>
            </w:pPr>
          </w:p>
        </w:tc>
      </w:tr>
      <w:tr w14:paraId="252F1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0C241E8E">
            <w:pPr>
              <w:spacing w:line="360" w:lineRule="auto"/>
              <w:jc w:val="left"/>
              <w:rPr>
                <w:sz w:val="24"/>
              </w:rPr>
            </w:pPr>
            <w:r>
              <w:rPr>
                <w:sz w:val="24"/>
                <w:lang w:bidi="ar"/>
              </w:rPr>
              <w:t>技术负责人</w:t>
            </w:r>
          </w:p>
        </w:tc>
        <w:tc>
          <w:tcPr>
            <w:tcW w:w="6582" w:type="dxa"/>
            <w:tcBorders>
              <w:top w:val="outset" w:color="auto" w:sz="6" w:space="0"/>
              <w:left w:val="outset" w:color="auto" w:sz="6" w:space="0"/>
              <w:bottom w:val="outset" w:color="auto" w:sz="6" w:space="0"/>
              <w:right w:val="outset" w:color="auto" w:sz="6" w:space="0"/>
            </w:tcBorders>
            <w:vAlign w:val="center"/>
          </w:tcPr>
          <w:p w14:paraId="6B34E985">
            <w:pPr>
              <w:spacing w:line="360" w:lineRule="auto"/>
              <w:ind w:firstLine="480" w:firstLineChars="200"/>
              <w:rPr>
                <w:sz w:val="24"/>
              </w:rPr>
            </w:pPr>
          </w:p>
        </w:tc>
      </w:tr>
      <w:tr w14:paraId="48DA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tcBorders>
              <w:top w:val="outset" w:color="auto" w:sz="6" w:space="0"/>
              <w:left w:val="outset" w:color="auto" w:sz="6" w:space="0"/>
              <w:bottom w:val="outset" w:color="auto" w:sz="6" w:space="0"/>
              <w:right w:val="outset" w:color="auto" w:sz="6" w:space="0"/>
            </w:tcBorders>
            <w:vAlign w:val="center"/>
          </w:tcPr>
          <w:p w14:paraId="06E4DEBD">
            <w:pPr>
              <w:spacing w:line="360" w:lineRule="auto"/>
              <w:jc w:val="left"/>
              <w:rPr>
                <w:sz w:val="24"/>
              </w:rPr>
            </w:pPr>
            <w:r>
              <w:rPr>
                <w:sz w:val="24"/>
                <w:lang w:bidi="ar"/>
              </w:rPr>
              <w:t>总监理工程师及电话</w:t>
            </w:r>
          </w:p>
        </w:tc>
        <w:tc>
          <w:tcPr>
            <w:tcW w:w="6582" w:type="dxa"/>
            <w:tcBorders>
              <w:top w:val="outset" w:color="auto" w:sz="6" w:space="0"/>
              <w:left w:val="outset" w:color="auto" w:sz="6" w:space="0"/>
              <w:bottom w:val="outset" w:color="auto" w:sz="6" w:space="0"/>
              <w:right w:val="outset" w:color="auto" w:sz="6" w:space="0"/>
            </w:tcBorders>
            <w:vAlign w:val="center"/>
          </w:tcPr>
          <w:p w14:paraId="74F78761">
            <w:pPr>
              <w:spacing w:line="360" w:lineRule="auto"/>
              <w:ind w:firstLine="480" w:firstLineChars="200"/>
              <w:rPr>
                <w:sz w:val="24"/>
              </w:rPr>
            </w:pPr>
          </w:p>
        </w:tc>
      </w:tr>
      <w:tr w14:paraId="4869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2376" w:type="dxa"/>
            <w:tcBorders>
              <w:top w:val="outset" w:color="auto" w:sz="6" w:space="0"/>
              <w:left w:val="outset" w:color="auto" w:sz="6" w:space="0"/>
              <w:bottom w:val="outset" w:color="auto" w:sz="6" w:space="0"/>
              <w:right w:val="outset" w:color="auto" w:sz="6" w:space="0"/>
            </w:tcBorders>
            <w:vAlign w:val="center"/>
          </w:tcPr>
          <w:p w14:paraId="594C4DA5">
            <w:pPr>
              <w:spacing w:line="360" w:lineRule="auto"/>
              <w:jc w:val="left"/>
              <w:rPr>
                <w:sz w:val="24"/>
              </w:rPr>
            </w:pPr>
            <w:r>
              <w:rPr>
                <w:sz w:val="24"/>
                <w:lang w:bidi="ar"/>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14:paraId="41877F9E">
            <w:pPr>
              <w:spacing w:line="360" w:lineRule="auto"/>
              <w:ind w:firstLine="480" w:firstLineChars="200"/>
              <w:rPr>
                <w:sz w:val="24"/>
              </w:rPr>
            </w:pPr>
          </w:p>
        </w:tc>
      </w:tr>
      <w:tr w14:paraId="75A1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2376" w:type="dxa"/>
            <w:tcBorders>
              <w:top w:val="outset" w:color="auto" w:sz="6" w:space="0"/>
              <w:left w:val="outset" w:color="auto" w:sz="6" w:space="0"/>
              <w:bottom w:val="outset" w:color="auto" w:sz="6" w:space="0"/>
              <w:right w:val="outset" w:color="auto" w:sz="6" w:space="0"/>
            </w:tcBorders>
            <w:vAlign w:val="center"/>
          </w:tcPr>
          <w:p w14:paraId="70BEB543">
            <w:pPr>
              <w:spacing w:line="360" w:lineRule="auto"/>
              <w:jc w:val="left"/>
              <w:rPr>
                <w:sz w:val="24"/>
              </w:rPr>
            </w:pPr>
            <w:r>
              <w:rPr>
                <w:sz w:val="24"/>
                <w:lang w:bidi="ar"/>
              </w:rPr>
              <w:t>备注</w:t>
            </w:r>
          </w:p>
        </w:tc>
        <w:tc>
          <w:tcPr>
            <w:tcW w:w="6582" w:type="dxa"/>
            <w:tcBorders>
              <w:top w:val="outset" w:color="auto" w:sz="6" w:space="0"/>
              <w:left w:val="outset" w:color="auto" w:sz="6" w:space="0"/>
              <w:bottom w:val="outset" w:color="auto" w:sz="6" w:space="0"/>
              <w:right w:val="outset" w:color="auto" w:sz="6" w:space="0"/>
            </w:tcBorders>
            <w:vAlign w:val="center"/>
          </w:tcPr>
          <w:p w14:paraId="09B575B3">
            <w:pPr>
              <w:spacing w:line="360" w:lineRule="auto"/>
              <w:ind w:firstLine="480" w:firstLineChars="200"/>
              <w:rPr>
                <w:sz w:val="24"/>
              </w:rPr>
            </w:pPr>
          </w:p>
        </w:tc>
      </w:tr>
    </w:tbl>
    <w:p w14:paraId="65DEA41B">
      <w:pPr>
        <w:pStyle w:val="20"/>
        <w:rPr>
          <w:rFonts w:ascii="Times New Roman" w:hAnsi="Times New Roman"/>
        </w:rPr>
      </w:pPr>
      <w:r>
        <w:rPr>
          <w:rFonts w:ascii="Times New Roman" w:hAnsi="Times New Roman"/>
        </w:rPr>
        <w:t>注：需</w:t>
      </w:r>
      <w:r>
        <w:rPr>
          <w:rFonts w:ascii="Times New Roman" w:hAnsi="Times New Roman"/>
          <w:kern w:val="0"/>
        </w:rPr>
        <w:t>附</w:t>
      </w:r>
      <w:r>
        <w:rPr>
          <w:rFonts w:ascii="Times New Roman" w:hAnsi="Times New Roman"/>
        </w:rPr>
        <w:t>合同</w:t>
      </w:r>
      <w:r>
        <w:rPr>
          <w:rFonts w:ascii="Times New Roman" w:hAnsi="Times New Roman"/>
          <w:szCs w:val="21"/>
        </w:rPr>
        <w:t>关键页或其他相关证明材料</w:t>
      </w:r>
      <w:r>
        <w:rPr>
          <w:rFonts w:ascii="Times New Roman" w:hAnsi="Times New Roman"/>
        </w:rPr>
        <w:t>等资料复印件</w:t>
      </w:r>
      <w:r>
        <w:rPr>
          <w:rFonts w:ascii="Times New Roman" w:hAnsi="Times New Roman"/>
          <w:kern w:val="0"/>
        </w:rPr>
        <w:t>。近年的要求详见评审标准要求。</w:t>
      </w:r>
    </w:p>
    <w:p w14:paraId="5AC6861C">
      <w:pPr>
        <w:widowControl/>
        <w:jc w:val="left"/>
        <w:rPr>
          <w:sz w:val="24"/>
        </w:rPr>
      </w:pPr>
      <w:r>
        <w:br w:type="page"/>
      </w:r>
    </w:p>
    <w:p w14:paraId="7A20F028">
      <w:pPr>
        <w:rPr>
          <w:rFonts w:hint="eastAsia"/>
          <w:color w:val="000000"/>
          <w:sz w:val="24"/>
          <w:szCs w:val="20"/>
          <w:lang w:val="en-US" w:eastAsia="zh-CN"/>
        </w:rPr>
      </w:pPr>
    </w:p>
    <w:p w14:paraId="7559FEE4">
      <w:pPr>
        <w:widowControl/>
        <w:ind w:firstLine="482" w:firstLineChars="200"/>
        <w:jc w:val="left"/>
        <w:rPr>
          <w:color w:val="000000"/>
          <w:sz w:val="24"/>
          <w:szCs w:val="20"/>
        </w:rPr>
      </w:pPr>
      <w:r>
        <w:rPr>
          <w:rFonts w:hint="eastAsia"/>
          <w:b/>
          <w:bCs/>
          <w:color w:val="000000"/>
          <w:sz w:val="24"/>
          <w:szCs w:val="20"/>
          <w:lang w:val="en-US" w:eastAsia="zh-CN"/>
        </w:rPr>
        <w:t>11-4</w:t>
      </w:r>
      <w:r>
        <w:rPr>
          <w:rFonts w:hint="eastAsia"/>
          <w:color w:val="000000"/>
          <w:sz w:val="24"/>
          <w:szCs w:val="20"/>
        </w:rPr>
        <w:t>供应商信息采集表</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23F84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shd w:val="clear" w:color="auto" w:fill="auto"/>
            <w:noWrap w:val="0"/>
            <w:vAlign w:val="top"/>
          </w:tcPr>
          <w:p w14:paraId="6A3E2A58">
            <w:pPr>
              <w:rPr>
                <w:sz w:val="24"/>
              </w:rPr>
            </w:pPr>
            <w:r>
              <w:rPr>
                <w:rFonts w:hint="eastAsia"/>
                <w:sz w:val="24"/>
              </w:rPr>
              <w:t>供应商名称</w:t>
            </w:r>
          </w:p>
        </w:tc>
        <w:tc>
          <w:tcPr>
            <w:tcW w:w="3021" w:type="dxa"/>
            <w:shd w:val="clear" w:color="auto" w:fill="auto"/>
            <w:noWrap w:val="0"/>
            <w:vAlign w:val="top"/>
          </w:tcPr>
          <w:p w14:paraId="14F75981">
            <w:pPr>
              <w:rPr>
                <w:sz w:val="24"/>
              </w:rPr>
            </w:pPr>
            <w:r>
              <w:rPr>
                <w:rFonts w:hint="eastAsia"/>
                <w:sz w:val="24"/>
              </w:rPr>
              <w:t>供应商所属性别</w:t>
            </w:r>
          </w:p>
        </w:tc>
        <w:tc>
          <w:tcPr>
            <w:tcW w:w="3019" w:type="dxa"/>
            <w:shd w:val="clear" w:color="auto" w:fill="auto"/>
            <w:noWrap w:val="0"/>
            <w:vAlign w:val="top"/>
          </w:tcPr>
          <w:p w14:paraId="3008487C">
            <w:pPr>
              <w:rPr>
                <w:sz w:val="24"/>
              </w:rPr>
            </w:pPr>
            <w:r>
              <w:rPr>
                <w:rFonts w:hint="eastAsia"/>
                <w:sz w:val="24"/>
              </w:rPr>
              <w:t>外商投资类型</w:t>
            </w:r>
          </w:p>
        </w:tc>
      </w:tr>
      <w:tr w14:paraId="2E684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shd w:val="clear" w:color="auto" w:fill="auto"/>
            <w:noWrap w:val="0"/>
            <w:vAlign w:val="top"/>
          </w:tcPr>
          <w:p w14:paraId="70677CE6">
            <w:pPr>
              <w:rPr>
                <w:sz w:val="24"/>
              </w:rPr>
            </w:pPr>
          </w:p>
        </w:tc>
        <w:tc>
          <w:tcPr>
            <w:tcW w:w="3021" w:type="dxa"/>
            <w:shd w:val="clear" w:color="auto" w:fill="auto"/>
            <w:noWrap w:val="0"/>
            <w:vAlign w:val="top"/>
          </w:tcPr>
          <w:p w14:paraId="39EA0623">
            <w:pPr>
              <w:rPr>
                <w:sz w:val="24"/>
              </w:rPr>
            </w:pPr>
          </w:p>
        </w:tc>
        <w:tc>
          <w:tcPr>
            <w:tcW w:w="3019" w:type="dxa"/>
            <w:shd w:val="clear" w:color="auto" w:fill="auto"/>
            <w:noWrap w:val="0"/>
            <w:vAlign w:val="top"/>
          </w:tcPr>
          <w:p w14:paraId="3FBE3F0F">
            <w:pPr>
              <w:rPr>
                <w:sz w:val="24"/>
              </w:rPr>
            </w:pPr>
          </w:p>
        </w:tc>
      </w:tr>
      <w:tr w14:paraId="7598C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shd w:val="clear" w:color="auto" w:fill="auto"/>
            <w:noWrap w:val="0"/>
            <w:vAlign w:val="top"/>
          </w:tcPr>
          <w:p w14:paraId="20231822"/>
        </w:tc>
        <w:tc>
          <w:tcPr>
            <w:tcW w:w="3021" w:type="dxa"/>
            <w:shd w:val="clear" w:color="auto" w:fill="auto"/>
            <w:noWrap w:val="0"/>
            <w:vAlign w:val="top"/>
          </w:tcPr>
          <w:p w14:paraId="6A595DA1"/>
        </w:tc>
        <w:tc>
          <w:tcPr>
            <w:tcW w:w="3019" w:type="dxa"/>
            <w:shd w:val="clear" w:color="auto" w:fill="auto"/>
            <w:noWrap w:val="0"/>
            <w:vAlign w:val="top"/>
          </w:tcPr>
          <w:p w14:paraId="68447154"/>
        </w:tc>
      </w:tr>
      <w:tr w14:paraId="1AF5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shd w:val="clear" w:color="auto" w:fill="auto"/>
            <w:noWrap w:val="0"/>
            <w:vAlign w:val="top"/>
          </w:tcPr>
          <w:p w14:paraId="38ADEC93"/>
        </w:tc>
        <w:tc>
          <w:tcPr>
            <w:tcW w:w="3021" w:type="dxa"/>
            <w:shd w:val="clear" w:color="auto" w:fill="auto"/>
            <w:noWrap w:val="0"/>
            <w:vAlign w:val="top"/>
          </w:tcPr>
          <w:p w14:paraId="2B6D1B65"/>
        </w:tc>
        <w:tc>
          <w:tcPr>
            <w:tcW w:w="3019" w:type="dxa"/>
            <w:shd w:val="clear" w:color="auto" w:fill="auto"/>
            <w:noWrap w:val="0"/>
            <w:vAlign w:val="top"/>
          </w:tcPr>
          <w:p w14:paraId="31BA822E"/>
        </w:tc>
      </w:tr>
      <w:tr w14:paraId="09F52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shd w:val="clear" w:color="auto" w:fill="auto"/>
            <w:noWrap w:val="0"/>
            <w:vAlign w:val="top"/>
          </w:tcPr>
          <w:p w14:paraId="03FB6855"/>
        </w:tc>
        <w:tc>
          <w:tcPr>
            <w:tcW w:w="3021" w:type="dxa"/>
            <w:shd w:val="clear" w:color="auto" w:fill="auto"/>
            <w:noWrap w:val="0"/>
            <w:vAlign w:val="top"/>
          </w:tcPr>
          <w:p w14:paraId="4662A323"/>
        </w:tc>
        <w:tc>
          <w:tcPr>
            <w:tcW w:w="3019" w:type="dxa"/>
            <w:shd w:val="clear" w:color="auto" w:fill="auto"/>
            <w:noWrap w:val="0"/>
            <w:vAlign w:val="top"/>
          </w:tcPr>
          <w:p w14:paraId="5DB9209A"/>
        </w:tc>
      </w:tr>
    </w:tbl>
    <w:p w14:paraId="4C6C5F89">
      <w:pPr>
        <w:tabs>
          <w:tab w:val="left" w:pos="1800"/>
          <w:tab w:val="left" w:pos="5580"/>
        </w:tabs>
        <w:jc w:val="left"/>
        <w:rPr>
          <w:color w:val="000000"/>
          <w:sz w:val="24"/>
        </w:rPr>
      </w:pPr>
      <w:r>
        <w:rPr>
          <w:rFonts w:hint="eastAsia"/>
          <w:color w:val="000000"/>
          <w:sz w:val="24"/>
        </w:rPr>
        <w:t>注：1.供应商如为联合体，则应填写联合体各成员信息。</w:t>
      </w:r>
    </w:p>
    <w:p w14:paraId="0C68DABF">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5415FD44">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p w14:paraId="61CADCF0">
      <w:pPr>
        <w:rPr>
          <w:rFonts w:ascii="宋体" w:hAnsi="宋体"/>
          <w:sz w:val="24"/>
        </w:rPr>
      </w:pPr>
      <w:r>
        <w:rPr>
          <w:rFonts w:ascii="宋体" w:hAnsi="宋体"/>
          <w:sz w:val="24"/>
        </w:rPr>
        <w:br w:type="page"/>
      </w:r>
    </w:p>
    <w:p w14:paraId="7F6626FE">
      <w:pPr>
        <w:tabs>
          <w:tab w:val="left" w:pos="360"/>
        </w:tabs>
        <w:snapToGrid w:val="0"/>
        <w:spacing w:line="360" w:lineRule="auto"/>
        <w:outlineLvl w:val="1"/>
        <w:rPr>
          <w:rFonts w:eastAsiaTheme="minorEastAsia"/>
          <w:sz w:val="24"/>
        </w:rPr>
      </w:pPr>
      <w:r>
        <w:rPr>
          <w:rFonts w:hint="eastAsia" w:eastAsiaTheme="minorEastAsia"/>
          <w:sz w:val="24"/>
          <w:lang w:val="en-US" w:eastAsia="zh-CN"/>
        </w:rPr>
        <w:t>12</w:t>
      </w:r>
      <w:r>
        <w:rPr>
          <w:rFonts w:eastAsiaTheme="minorEastAsia"/>
          <w:sz w:val="24"/>
        </w:rPr>
        <w:t xml:space="preserve">  最后报价一览表（实质性格式，磋商后提交）</w:t>
      </w:r>
    </w:p>
    <w:p w14:paraId="396B6AEB">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03D84CD0">
      <w:pPr>
        <w:tabs>
          <w:tab w:val="left" w:pos="1800"/>
          <w:tab w:val="left" w:pos="5580"/>
        </w:tabs>
        <w:spacing w:line="360" w:lineRule="auto"/>
        <w:jc w:val="left"/>
        <w:rPr>
          <w:rFonts w:eastAsiaTheme="minorEastAsia"/>
          <w:color w:val="000000"/>
          <w:sz w:val="24"/>
        </w:rPr>
      </w:pPr>
    </w:p>
    <w:p w14:paraId="118F4539">
      <w:pPr>
        <w:tabs>
          <w:tab w:val="left" w:pos="1800"/>
          <w:tab w:val="left" w:pos="5580"/>
        </w:tabs>
        <w:spacing w:line="360" w:lineRule="auto"/>
        <w:ind w:firstLine="360" w:firstLineChars="150"/>
        <w:jc w:val="left"/>
        <w:rPr>
          <w:sz w:val="24"/>
        </w:rPr>
      </w:pPr>
      <w:r>
        <w:rPr>
          <w:rFonts w:eastAsiaTheme="minorEastAsia"/>
          <w:color w:val="000000"/>
          <w:sz w:val="24"/>
          <w:lang w:val="zh-CN"/>
        </w:rPr>
        <w:t xml:space="preserve">    </w:t>
      </w:r>
      <w:r>
        <w:rPr>
          <w:sz w:val="24"/>
        </w:rPr>
        <w:t>项目编号：_______________     项目名称：_______________</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922"/>
        <w:gridCol w:w="1245"/>
        <w:gridCol w:w="3461"/>
        <w:gridCol w:w="1432"/>
      </w:tblGrid>
      <w:tr w14:paraId="4425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1612" w:type="pct"/>
            <w:tcBorders>
              <w:top w:val="single" w:color="auto" w:sz="4" w:space="0"/>
              <w:left w:val="single" w:color="auto" w:sz="4" w:space="0"/>
              <w:bottom w:val="single" w:color="auto" w:sz="4" w:space="0"/>
              <w:right w:val="single" w:color="auto" w:sz="4" w:space="0"/>
            </w:tcBorders>
            <w:vAlign w:val="center"/>
          </w:tcPr>
          <w:p w14:paraId="32EB9BA7">
            <w:pPr>
              <w:tabs>
                <w:tab w:val="left" w:pos="5580"/>
              </w:tabs>
              <w:jc w:val="center"/>
              <w:rPr>
                <w:b/>
                <w:sz w:val="24"/>
              </w:rPr>
            </w:pPr>
            <w:r>
              <w:rPr>
                <w:b/>
                <w:sz w:val="24"/>
              </w:rPr>
              <w:t>供应商名称</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36131663">
            <w:pPr>
              <w:tabs>
                <w:tab w:val="left" w:pos="5580"/>
              </w:tabs>
              <w:jc w:val="center"/>
              <w:rPr>
                <w:b/>
                <w:sz w:val="24"/>
              </w:rPr>
            </w:pPr>
            <w:r>
              <w:rPr>
                <w:b/>
                <w:sz w:val="24"/>
              </w:rPr>
              <w:t>报价</w:t>
            </w:r>
          </w:p>
        </w:tc>
        <w:tc>
          <w:tcPr>
            <w:tcW w:w="790" w:type="pct"/>
            <w:tcBorders>
              <w:top w:val="single" w:color="auto" w:sz="4" w:space="0"/>
              <w:left w:val="single" w:color="auto" w:sz="4" w:space="0"/>
              <w:right w:val="single" w:color="auto" w:sz="4" w:space="0"/>
            </w:tcBorders>
            <w:vAlign w:val="center"/>
          </w:tcPr>
          <w:p w14:paraId="2FA4DE4D">
            <w:pPr>
              <w:tabs>
                <w:tab w:val="left" w:pos="5580"/>
              </w:tabs>
              <w:jc w:val="center"/>
              <w:rPr>
                <w:b/>
                <w:sz w:val="24"/>
              </w:rPr>
            </w:pPr>
            <w:r>
              <w:rPr>
                <w:b/>
                <w:sz w:val="24"/>
              </w:rPr>
              <w:t>工期</w:t>
            </w:r>
          </w:p>
        </w:tc>
      </w:tr>
      <w:tr w14:paraId="4159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6" w:hRule="atLeast"/>
          <w:jc w:val="center"/>
        </w:trPr>
        <w:tc>
          <w:tcPr>
            <w:tcW w:w="1612" w:type="pct"/>
            <w:vMerge w:val="restart"/>
            <w:tcBorders>
              <w:top w:val="single" w:color="auto" w:sz="4" w:space="0"/>
              <w:left w:val="single" w:color="auto" w:sz="4" w:space="0"/>
              <w:right w:val="single" w:color="auto" w:sz="4" w:space="0"/>
            </w:tcBorders>
            <w:vAlign w:val="center"/>
          </w:tcPr>
          <w:p w14:paraId="24A2ECC3">
            <w:pPr>
              <w:tabs>
                <w:tab w:val="left" w:pos="5580"/>
              </w:tabs>
              <w:jc w:val="center"/>
              <w:rPr>
                <w:sz w:val="24"/>
              </w:rPr>
            </w:pPr>
          </w:p>
        </w:tc>
        <w:tc>
          <w:tcPr>
            <w:tcW w:w="687" w:type="pct"/>
            <w:tcBorders>
              <w:top w:val="single" w:color="auto" w:sz="4" w:space="0"/>
              <w:left w:val="single" w:color="auto" w:sz="4" w:space="0"/>
              <w:bottom w:val="single" w:color="auto" w:sz="4" w:space="0"/>
              <w:right w:val="single" w:color="auto" w:sz="4" w:space="0"/>
            </w:tcBorders>
            <w:vAlign w:val="center"/>
          </w:tcPr>
          <w:p w14:paraId="49A6E249">
            <w:pPr>
              <w:tabs>
                <w:tab w:val="left" w:pos="5580"/>
              </w:tabs>
              <w:jc w:val="center"/>
              <w:rPr>
                <w:sz w:val="24"/>
              </w:rPr>
            </w:pPr>
            <w:r>
              <w:rPr>
                <w:sz w:val="24"/>
              </w:rPr>
              <w:t>大写</w:t>
            </w:r>
          </w:p>
        </w:tc>
        <w:tc>
          <w:tcPr>
            <w:tcW w:w="1909" w:type="pct"/>
            <w:tcBorders>
              <w:top w:val="single" w:color="auto" w:sz="4" w:space="0"/>
              <w:left w:val="single" w:color="auto" w:sz="4" w:space="0"/>
              <w:bottom w:val="single" w:color="auto" w:sz="4" w:space="0"/>
              <w:right w:val="single" w:color="auto" w:sz="4" w:space="0"/>
            </w:tcBorders>
            <w:vAlign w:val="center"/>
          </w:tcPr>
          <w:p w14:paraId="2AEBC552">
            <w:pPr>
              <w:tabs>
                <w:tab w:val="left" w:pos="5580"/>
              </w:tabs>
              <w:jc w:val="center"/>
              <w:rPr>
                <w:sz w:val="24"/>
              </w:rPr>
            </w:pPr>
          </w:p>
        </w:tc>
        <w:tc>
          <w:tcPr>
            <w:tcW w:w="790" w:type="pct"/>
            <w:vMerge w:val="restart"/>
            <w:tcBorders>
              <w:top w:val="single" w:color="auto" w:sz="4" w:space="0"/>
              <w:left w:val="single" w:color="auto" w:sz="4" w:space="0"/>
              <w:right w:val="single" w:color="auto" w:sz="4" w:space="0"/>
            </w:tcBorders>
            <w:vAlign w:val="center"/>
          </w:tcPr>
          <w:p w14:paraId="670572A5">
            <w:pPr>
              <w:tabs>
                <w:tab w:val="left" w:pos="5580"/>
              </w:tabs>
              <w:jc w:val="center"/>
              <w:rPr>
                <w:sz w:val="24"/>
              </w:rPr>
            </w:pPr>
          </w:p>
        </w:tc>
      </w:tr>
      <w:tr w14:paraId="4F07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1612" w:type="pct"/>
            <w:vMerge w:val="continue"/>
            <w:tcBorders>
              <w:left w:val="single" w:color="auto" w:sz="4" w:space="0"/>
              <w:right w:val="single" w:color="auto" w:sz="4" w:space="0"/>
            </w:tcBorders>
            <w:vAlign w:val="center"/>
          </w:tcPr>
          <w:p w14:paraId="569C8C31">
            <w:pPr>
              <w:tabs>
                <w:tab w:val="left" w:pos="5580"/>
              </w:tabs>
              <w:jc w:val="center"/>
              <w:rPr>
                <w:sz w:val="24"/>
              </w:rPr>
            </w:pPr>
          </w:p>
        </w:tc>
        <w:tc>
          <w:tcPr>
            <w:tcW w:w="687" w:type="pct"/>
            <w:tcBorders>
              <w:top w:val="single" w:color="auto" w:sz="4" w:space="0"/>
              <w:left w:val="single" w:color="auto" w:sz="4" w:space="0"/>
              <w:bottom w:val="single" w:color="auto" w:sz="4" w:space="0"/>
              <w:right w:val="single" w:color="auto" w:sz="4" w:space="0"/>
            </w:tcBorders>
            <w:vAlign w:val="center"/>
          </w:tcPr>
          <w:p w14:paraId="46D2EBCD">
            <w:pPr>
              <w:tabs>
                <w:tab w:val="left" w:pos="5580"/>
              </w:tabs>
              <w:jc w:val="center"/>
              <w:rPr>
                <w:sz w:val="24"/>
              </w:rPr>
            </w:pPr>
            <w:r>
              <w:rPr>
                <w:sz w:val="24"/>
              </w:rPr>
              <w:t>小写</w:t>
            </w:r>
          </w:p>
        </w:tc>
        <w:tc>
          <w:tcPr>
            <w:tcW w:w="1909" w:type="pct"/>
            <w:tcBorders>
              <w:top w:val="single" w:color="auto" w:sz="4" w:space="0"/>
              <w:left w:val="single" w:color="auto" w:sz="4" w:space="0"/>
              <w:bottom w:val="single" w:color="auto" w:sz="4" w:space="0"/>
              <w:right w:val="single" w:color="auto" w:sz="4" w:space="0"/>
            </w:tcBorders>
            <w:vAlign w:val="center"/>
          </w:tcPr>
          <w:p w14:paraId="0C9C4DBE">
            <w:pPr>
              <w:tabs>
                <w:tab w:val="left" w:pos="5580"/>
              </w:tabs>
              <w:jc w:val="center"/>
              <w:rPr>
                <w:sz w:val="24"/>
              </w:rPr>
            </w:pPr>
          </w:p>
        </w:tc>
        <w:tc>
          <w:tcPr>
            <w:tcW w:w="790" w:type="pct"/>
            <w:vMerge w:val="continue"/>
            <w:tcBorders>
              <w:left w:val="single" w:color="auto" w:sz="4" w:space="0"/>
              <w:right w:val="single" w:color="auto" w:sz="4" w:space="0"/>
            </w:tcBorders>
            <w:vAlign w:val="center"/>
          </w:tcPr>
          <w:p w14:paraId="540585F6">
            <w:pPr>
              <w:tabs>
                <w:tab w:val="left" w:pos="5580"/>
              </w:tabs>
              <w:jc w:val="center"/>
              <w:rPr>
                <w:sz w:val="24"/>
              </w:rPr>
            </w:pPr>
          </w:p>
        </w:tc>
      </w:tr>
    </w:tbl>
    <w:p w14:paraId="166A31E5">
      <w:pPr>
        <w:autoSpaceDE w:val="0"/>
        <w:autoSpaceDN w:val="0"/>
        <w:adjustRightInd w:val="0"/>
        <w:jc w:val="left"/>
        <w:rPr>
          <w:kern w:val="0"/>
          <w:sz w:val="24"/>
        </w:rPr>
      </w:pPr>
    </w:p>
    <w:p w14:paraId="654D9377">
      <w:pPr>
        <w:autoSpaceDE w:val="0"/>
        <w:autoSpaceDN w:val="0"/>
        <w:adjustRightInd w:val="0"/>
        <w:jc w:val="left"/>
        <w:rPr>
          <w:kern w:val="0"/>
          <w:sz w:val="24"/>
        </w:rPr>
      </w:pPr>
    </w:p>
    <w:p w14:paraId="5294941A">
      <w:pPr>
        <w:autoSpaceDE w:val="0"/>
        <w:autoSpaceDN w:val="0"/>
        <w:adjustRightInd w:val="0"/>
        <w:jc w:val="left"/>
        <w:rPr>
          <w:kern w:val="0"/>
          <w:sz w:val="24"/>
        </w:rPr>
      </w:pPr>
    </w:p>
    <w:p w14:paraId="556D152E">
      <w:pPr>
        <w:autoSpaceDE w:val="0"/>
        <w:autoSpaceDN w:val="0"/>
        <w:adjustRightInd w:val="0"/>
        <w:jc w:val="left"/>
        <w:rPr>
          <w:kern w:val="0"/>
          <w:sz w:val="24"/>
        </w:rPr>
      </w:pPr>
    </w:p>
    <w:p w14:paraId="7B17F92A">
      <w:pPr>
        <w:autoSpaceDE w:val="0"/>
        <w:autoSpaceDN w:val="0"/>
        <w:adjustRightInd w:val="0"/>
        <w:jc w:val="left"/>
        <w:rPr>
          <w:sz w:val="24"/>
          <w:szCs w:val="20"/>
        </w:rPr>
      </w:pPr>
      <w:r>
        <w:rPr>
          <w:kern w:val="0"/>
          <w:sz w:val="24"/>
        </w:rPr>
        <w:t>注：1</w:t>
      </w:r>
      <w:r>
        <w:rPr>
          <w:sz w:val="24"/>
          <w:szCs w:val="20"/>
        </w:rPr>
        <w:t>.此表中，每包的最后报价应和《最后分项报价表》中的总价相一致。</w:t>
      </w:r>
    </w:p>
    <w:p w14:paraId="7CFB59EC">
      <w:pPr>
        <w:tabs>
          <w:tab w:val="left" w:pos="5580"/>
        </w:tabs>
        <w:ind w:firstLine="480" w:firstLineChars="200"/>
        <w:rPr>
          <w:sz w:val="24"/>
          <w:szCs w:val="20"/>
        </w:rPr>
      </w:pPr>
      <w:r>
        <w:rPr>
          <w:sz w:val="24"/>
          <w:szCs w:val="20"/>
        </w:rPr>
        <w:t>2.本表必须按包分别填写。</w:t>
      </w:r>
    </w:p>
    <w:p w14:paraId="0803B0D0">
      <w:pPr>
        <w:pStyle w:val="178"/>
        <w:ind w:left="642" w:leftChars="227" w:hanging="165" w:hangingChars="69"/>
        <w:rPr>
          <w:rFonts w:ascii="Times New Roman" w:hAnsi="Times New Roman"/>
          <w:color w:val="auto"/>
          <w:sz w:val="24"/>
          <w:szCs w:val="24"/>
        </w:rPr>
      </w:pPr>
      <w:r>
        <w:rPr>
          <w:rFonts w:ascii="Times New Roman" w:hAnsi="Times New Roman"/>
          <w:color w:val="auto"/>
          <w:sz w:val="24"/>
          <w:szCs w:val="24"/>
        </w:rPr>
        <w:t>3.</w:t>
      </w:r>
      <w:bookmarkStart w:id="1037" w:name="_Hlk137145809"/>
      <w:r>
        <w:rPr>
          <w:rFonts w:ascii="Times New Roman" w:hAnsi="Times New Roman"/>
          <w:color w:val="auto"/>
          <w:sz w:val="24"/>
          <w:szCs w:val="24"/>
        </w:rPr>
        <w:t>此表无需在响应文件中提交，磋商后供应商按磋商小组要求提交。</w:t>
      </w:r>
      <w:bookmarkEnd w:id="1037"/>
    </w:p>
    <w:p w14:paraId="254775DE">
      <w:pPr>
        <w:tabs>
          <w:tab w:val="left" w:pos="5580"/>
        </w:tabs>
        <w:ind w:firstLine="480" w:firstLineChars="200"/>
        <w:rPr>
          <w:sz w:val="24"/>
          <w:szCs w:val="20"/>
        </w:rPr>
      </w:pPr>
    </w:p>
    <w:p w14:paraId="237383AE">
      <w:pPr>
        <w:autoSpaceDE w:val="0"/>
        <w:autoSpaceDN w:val="0"/>
        <w:adjustRightInd w:val="0"/>
        <w:snapToGrid w:val="0"/>
        <w:spacing w:before="25" w:after="25" w:line="360" w:lineRule="auto"/>
        <w:rPr>
          <w:sz w:val="24"/>
          <w:lang w:val="zh-CN"/>
        </w:rPr>
      </w:pPr>
    </w:p>
    <w:p w14:paraId="1F8608FE">
      <w:pPr>
        <w:autoSpaceDE w:val="0"/>
        <w:autoSpaceDN w:val="0"/>
        <w:adjustRightInd w:val="0"/>
        <w:snapToGrid w:val="0"/>
        <w:spacing w:before="25" w:after="25" w:line="360" w:lineRule="auto"/>
        <w:rPr>
          <w:sz w:val="24"/>
          <w:lang w:val="zh-CN"/>
        </w:rPr>
      </w:pPr>
      <w:r>
        <w:rPr>
          <w:sz w:val="24"/>
          <w:lang w:val="zh-CN"/>
        </w:rPr>
        <w:t xml:space="preserve">      </w:t>
      </w:r>
    </w:p>
    <w:p w14:paraId="7DB7FDEB">
      <w:pPr>
        <w:autoSpaceDE w:val="0"/>
        <w:autoSpaceDN w:val="0"/>
        <w:adjustRightInd w:val="0"/>
        <w:snapToGrid w:val="0"/>
        <w:spacing w:before="25" w:after="25" w:line="360" w:lineRule="auto"/>
        <w:rPr>
          <w:sz w:val="24"/>
          <w:lang w:val="zh-CN"/>
        </w:rPr>
      </w:pPr>
      <w:r>
        <w:rPr>
          <w:sz w:val="24"/>
        </w:rPr>
        <w:t>供应商授权代表签字（或加盖供应商公章）</w:t>
      </w:r>
      <w:r>
        <w:rPr>
          <w:sz w:val="24"/>
          <w:lang w:val="zh-CN"/>
        </w:rPr>
        <w:t xml:space="preserve">：___________ </w:t>
      </w:r>
    </w:p>
    <w:p w14:paraId="6677FAED">
      <w:pPr>
        <w:widowControl/>
        <w:jc w:val="left"/>
        <w:rPr>
          <w:sz w:val="24"/>
          <w:szCs w:val="20"/>
        </w:rPr>
      </w:pPr>
      <w:r>
        <w:rPr>
          <w:sz w:val="24"/>
          <w:szCs w:val="20"/>
        </w:rPr>
        <w:t xml:space="preserve">日期：____年____月____日   </w:t>
      </w:r>
    </w:p>
    <w:p w14:paraId="73EF1A02">
      <w:pPr>
        <w:widowControl/>
        <w:jc w:val="left"/>
        <w:rPr>
          <w:sz w:val="24"/>
          <w:szCs w:val="20"/>
        </w:rPr>
      </w:pPr>
    </w:p>
    <w:p w14:paraId="4A1F568B">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14:paraId="607A6DC5">
      <w:pPr>
        <w:tabs>
          <w:tab w:val="left" w:pos="360"/>
        </w:tabs>
        <w:snapToGrid w:val="0"/>
        <w:spacing w:line="360" w:lineRule="auto"/>
        <w:outlineLvl w:val="1"/>
        <w:rPr>
          <w:sz w:val="24"/>
        </w:rPr>
      </w:pPr>
      <w:r>
        <w:rPr>
          <w:rFonts w:hint="eastAsia"/>
          <w:b w:val="0"/>
          <w:color w:val="000000"/>
          <w:sz w:val="24"/>
          <w:szCs w:val="24"/>
          <w:lang w:val="en-US" w:eastAsia="zh-CN"/>
        </w:rPr>
        <w:t xml:space="preserve">13 </w:t>
      </w:r>
      <w:r>
        <w:rPr>
          <w:rFonts w:hint="eastAsia"/>
          <w:sz w:val="24"/>
        </w:rPr>
        <w:t>最后已标价工程量清单或</w:t>
      </w:r>
      <w:r>
        <w:rPr>
          <w:sz w:val="24"/>
        </w:rPr>
        <w:t>最后分项报价表（磋商后提交）</w:t>
      </w:r>
    </w:p>
    <w:p w14:paraId="3F846B8E">
      <w:pPr>
        <w:tabs>
          <w:tab w:val="left" w:pos="1800"/>
          <w:tab w:val="left" w:pos="5580"/>
        </w:tabs>
        <w:spacing w:line="360" w:lineRule="auto"/>
        <w:jc w:val="left"/>
        <w:rPr>
          <w:sz w:val="36"/>
          <w:szCs w:val="36"/>
        </w:rPr>
      </w:pPr>
      <w:r>
        <w:rPr>
          <w:rFonts w:hint="eastAsia" w:ascii="宋体" w:hAnsi="宋体" w:cs="宋体"/>
          <w:sz w:val="24"/>
          <w:lang w:val="en-US" w:eastAsia="zh-CN"/>
        </w:rPr>
        <w:t xml:space="preserve"> </w:t>
      </w:r>
      <w:r>
        <w:rPr>
          <w:rFonts w:hint="eastAsia"/>
          <w:b/>
          <w:bCs/>
          <w:sz w:val="24"/>
        </w:rPr>
        <w:t>说明：1.若最后报价与第一次报价一致时，“</w:t>
      </w:r>
      <w:r>
        <w:rPr>
          <w:b/>
          <w:bCs/>
          <w:sz w:val="24"/>
        </w:rPr>
        <w:t>最</w:t>
      </w:r>
      <w:r>
        <w:rPr>
          <w:rFonts w:hint="eastAsia"/>
          <w:b/>
          <w:bCs/>
          <w:sz w:val="24"/>
        </w:rPr>
        <w:t>后</w:t>
      </w:r>
      <w:r>
        <w:rPr>
          <w:b/>
          <w:bCs/>
          <w:sz w:val="24"/>
        </w:rPr>
        <w:t>已标价工程量清单</w:t>
      </w:r>
      <w:r>
        <w:rPr>
          <w:rFonts w:hint="eastAsia"/>
          <w:b/>
          <w:bCs/>
          <w:sz w:val="24"/>
        </w:rPr>
        <w:t>（或最后分项报价表）”无需重复提供；若最后报价与第一次报价不一致时，在最后报价时需提供“</w:t>
      </w:r>
      <w:r>
        <w:rPr>
          <w:b/>
          <w:bCs/>
          <w:sz w:val="24"/>
        </w:rPr>
        <w:t>最</w:t>
      </w:r>
      <w:r>
        <w:rPr>
          <w:rFonts w:hint="eastAsia"/>
          <w:b/>
          <w:bCs/>
          <w:sz w:val="24"/>
        </w:rPr>
        <w:t>后</w:t>
      </w:r>
      <w:r>
        <w:rPr>
          <w:b/>
          <w:bCs/>
          <w:sz w:val="24"/>
        </w:rPr>
        <w:t>已标价工程量清单</w:t>
      </w:r>
      <w:r>
        <w:rPr>
          <w:rFonts w:hint="eastAsia"/>
          <w:b/>
          <w:bCs/>
          <w:sz w:val="24"/>
        </w:rPr>
        <w:t>（或最后分项报价表）”，否则</w:t>
      </w:r>
      <w:r>
        <w:rPr>
          <w:b/>
          <w:bCs/>
          <w:sz w:val="24"/>
        </w:rPr>
        <w:t>将</w:t>
      </w:r>
      <w:r>
        <w:rPr>
          <w:rFonts w:hint="eastAsia"/>
          <w:b/>
          <w:bCs/>
          <w:sz w:val="24"/>
        </w:rPr>
        <w:t>以第一次报价金额为最后报价。拒不认可的视为响应无效。2.</w:t>
      </w:r>
      <w:r>
        <w:rPr>
          <w:b/>
          <w:bCs/>
          <w:sz w:val="24"/>
        </w:rPr>
        <w:t>适用于工程类项目，且现场难以重新按工程量清单提供报价的</w:t>
      </w:r>
      <w:r>
        <w:rPr>
          <w:rFonts w:hint="eastAsia"/>
          <w:b/>
          <w:bCs/>
          <w:sz w:val="24"/>
        </w:rPr>
        <w:t>，提供《最后分项报价表》。</w:t>
      </w:r>
    </w:p>
    <w:p w14:paraId="001D9422">
      <w:pPr>
        <w:spacing w:line="360" w:lineRule="exact"/>
        <w:jc w:val="center"/>
        <w:rPr>
          <w:sz w:val="28"/>
          <w:szCs w:val="28"/>
        </w:rPr>
      </w:pPr>
      <w:r>
        <w:rPr>
          <w:rFonts w:hint="eastAsia"/>
          <w:sz w:val="28"/>
          <w:szCs w:val="28"/>
        </w:rPr>
        <w:t>1</w:t>
      </w:r>
      <w:r>
        <w:rPr>
          <w:rFonts w:hint="eastAsia"/>
          <w:sz w:val="28"/>
          <w:szCs w:val="28"/>
          <w:lang w:val="en-US" w:eastAsia="zh-CN"/>
        </w:rPr>
        <w:t>3</w:t>
      </w:r>
      <w:r>
        <w:rPr>
          <w:rFonts w:hint="eastAsia"/>
          <w:sz w:val="28"/>
          <w:szCs w:val="28"/>
        </w:rPr>
        <w:t>-1</w:t>
      </w:r>
      <w:r>
        <w:rPr>
          <w:sz w:val="28"/>
          <w:szCs w:val="28"/>
        </w:rPr>
        <w:t>最</w:t>
      </w:r>
      <w:r>
        <w:rPr>
          <w:rFonts w:hint="eastAsia"/>
          <w:sz w:val="28"/>
          <w:szCs w:val="28"/>
        </w:rPr>
        <w:t>后</w:t>
      </w:r>
      <w:r>
        <w:rPr>
          <w:sz w:val="28"/>
          <w:szCs w:val="28"/>
        </w:rPr>
        <w:t>已标价工程量清单</w:t>
      </w:r>
    </w:p>
    <w:p w14:paraId="2A44353E">
      <w:pPr>
        <w:tabs>
          <w:tab w:val="left" w:pos="1800"/>
          <w:tab w:val="left" w:pos="5580"/>
        </w:tabs>
        <w:jc w:val="left"/>
        <w:rPr>
          <w:sz w:val="24"/>
        </w:rPr>
      </w:pPr>
    </w:p>
    <w:p w14:paraId="11857146">
      <w:pPr>
        <w:tabs>
          <w:tab w:val="left" w:pos="1800"/>
          <w:tab w:val="left" w:pos="5580"/>
        </w:tabs>
        <w:spacing w:line="360" w:lineRule="auto"/>
        <w:jc w:val="left"/>
        <w:rPr>
          <w:sz w:val="24"/>
        </w:rPr>
      </w:pPr>
      <w:r>
        <w:rPr>
          <w:sz w:val="24"/>
        </w:rPr>
        <w:t>注：</w:t>
      </w:r>
    </w:p>
    <w:p w14:paraId="569CDDCE">
      <w:pPr>
        <w:tabs>
          <w:tab w:val="left" w:pos="1800"/>
          <w:tab w:val="left" w:pos="5580"/>
        </w:tabs>
        <w:spacing w:line="360" w:lineRule="auto"/>
        <w:jc w:val="left"/>
        <w:rPr>
          <w:sz w:val="24"/>
        </w:rPr>
      </w:pPr>
      <w:r>
        <w:rPr>
          <w:sz w:val="24"/>
        </w:rPr>
        <w:t>1.已标价工程量清单按第四章采购需求中的“工程量清单”中的相关清单表格式填写。</w:t>
      </w:r>
    </w:p>
    <w:p w14:paraId="68681D5F">
      <w:pPr>
        <w:spacing w:line="360" w:lineRule="exact"/>
        <w:jc w:val="center"/>
        <w:rPr>
          <w:sz w:val="36"/>
          <w:szCs w:val="36"/>
        </w:rPr>
      </w:pPr>
      <w:r>
        <w:rPr>
          <w:rFonts w:hint="eastAsia" w:ascii="Times New Roman" w:hAnsi="Times New Roman" w:eastAsia="宋体" w:cs="Times New Roman"/>
          <w:sz w:val="28"/>
          <w:szCs w:val="28"/>
          <w:lang w:val="en-US" w:eastAsia="zh-CN"/>
        </w:rPr>
        <w:t>1</w:t>
      </w:r>
      <w:r>
        <w:rPr>
          <w:rFonts w:hint="eastAsia" w:cs="Times New Roman"/>
          <w:sz w:val="28"/>
          <w:szCs w:val="28"/>
          <w:lang w:val="en-US" w:eastAsia="zh-CN"/>
        </w:rPr>
        <w:t>3</w:t>
      </w:r>
      <w:r>
        <w:rPr>
          <w:rFonts w:hint="eastAsia" w:ascii="Times New Roman" w:hAnsi="Times New Roman" w:eastAsia="宋体" w:cs="Times New Roman"/>
          <w:sz w:val="28"/>
          <w:szCs w:val="28"/>
        </w:rPr>
        <w:t>-1最后分项报价表</w:t>
      </w:r>
    </w:p>
    <w:p w14:paraId="1963CF38">
      <w:pPr>
        <w:spacing w:line="260" w:lineRule="exact"/>
        <w:jc w:val="center"/>
        <w:rPr>
          <w:sz w:val="36"/>
          <w:szCs w:val="36"/>
        </w:rPr>
      </w:pPr>
    </w:p>
    <w:p w14:paraId="589703A2">
      <w:pPr>
        <w:tabs>
          <w:tab w:val="left" w:pos="1800"/>
          <w:tab w:val="left" w:pos="5580"/>
        </w:tabs>
        <w:jc w:val="left"/>
        <w:rPr>
          <w:sz w:val="24"/>
        </w:rPr>
      </w:pPr>
      <w:r>
        <w:rPr>
          <w:sz w:val="24"/>
        </w:rPr>
        <w:t>项目编号：_________ 项目名称：_________报价单位：人民币元</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36"/>
        <w:gridCol w:w="1418"/>
        <w:gridCol w:w="1559"/>
      </w:tblGrid>
      <w:tr w14:paraId="7274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vAlign w:val="center"/>
          </w:tcPr>
          <w:p w14:paraId="1F66A700">
            <w:pPr>
              <w:adjustRightInd w:val="0"/>
              <w:jc w:val="center"/>
              <w:textAlignment w:val="baseline"/>
              <w:rPr>
                <w:kern w:val="0"/>
                <w:sz w:val="24"/>
                <w:szCs w:val="20"/>
              </w:rPr>
            </w:pPr>
            <w:r>
              <w:rPr>
                <w:kern w:val="0"/>
                <w:sz w:val="24"/>
                <w:szCs w:val="20"/>
              </w:rPr>
              <w:t>序号</w:t>
            </w:r>
          </w:p>
        </w:tc>
        <w:tc>
          <w:tcPr>
            <w:tcW w:w="4536" w:type="dxa"/>
            <w:vAlign w:val="center"/>
          </w:tcPr>
          <w:p w14:paraId="37CD921F">
            <w:pPr>
              <w:adjustRightInd w:val="0"/>
              <w:jc w:val="center"/>
              <w:textAlignment w:val="baseline"/>
              <w:rPr>
                <w:kern w:val="0"/>
                <w:sz w:val="24"/>
                <w:szCs w:val="20"/>
              </w:rPr>
            </w:pPr>
            <w:r>
              <w:rPr>
                <w:kern w:val="0"/>
                <w:sz w:val="24"/>
                <w:szCs w:val="20"/>
              </w:rPr>
              <w:t>最后报价计算过程或说明（</w:t>
            </w:r>
            <w:r>
              <w:rPr>
                <w:sz w:val="24"/>
              </w:rPr>
              <w:t>可以填写按第一次报价下浮/上浮比例，也可以填写相对第一次报价某部分价格变化情况</w:t>
            </w:r>
            <w:r>
              <w:rPr>
                <w:kern w:val="0"/>
                <w:sz w:val="24"/>
                <w:szCs w:val="20"/>
              </w:rPr>
              <w:t>）</w:t>
            </w:r>
          </w:p>
        </w:tc>
        <w:tc>
          <w:tcPr>
            <w:tcW w:w="1418" w:type="dxa"/>
            <w:vAlign w:val="center"/>
          </w:tcPr>
          <w:p w14:paraId="55732CDD">
            <w:pPr>
              <w:adjustRightInd w:val="0"/>
              <w:jc w:val="center"/>
              <w:textAlignment w:val="baseline"/>
              <w:rPr>
                <w:kern w:val="0"/>
                <w:sz w:val="24"/>
                <w:szCs w:val="20"/>
              </w:rPr>
            </w:pPr>
            <w:r>
              <w:rPr>
                <w:kern w:val="0"/>
                <w:sz w:val="24"/>
                <w:szCs w:val="20"/>
              </w:rPr>
              <w:t>总价（元）</w:t>
            </w:r>
          </w:p>
        </w:tc>
        <w:tc>
          <w:tcPr>
            <w:tcW w:w="1559" w:type="dxa"/>
            <w:vAlign w:val="center"/>
          </w:tcPr>
          <w:p w14:paraId="2A578AEF">
            <w:pPr>
              <w:adjustRightInd w:val="0"/>
              <w:jc w:val="center"/>
              <w:textAlignment w:val="baseline"/>
              <w:rPr>
                <w:kern w:val="0"/>
                <w:sz w:val="24"/>
                <w:szCs w:val="20"/>
              </w:rPr>
            </w:pPr>
            <w:r>
              <w:rPr>
                <w:kern w:val="0"/>
                <w:sz w:val="24"/>
                <w:szCs w:val="20"/>
              </w:rPr>
              <w:t>备注</w:t>
            </w:r>
          </w:p>
        </w:tc>
      </w:tr>
      <w:tr w14:paraId="0D2F5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900" w:type="dxa"/>
            <w:vAlign w:val="center"/>
          </w:tcPr>
          <w:p w14:paraId="39512E0A">
            <w:pPr>
              <w:adjustRightInd w:val="0"/>
              <w:jc w:val="center"/>
              <w:textAlignment w:val="baseline"/>
              <w:rPr>
                <w:kern w:val="0"/>
                <w:sz w:val="24"/>
                <w:szCs w:val="20"/>
              </w:rPr>
            </w:pPr>
            <w:r>
              <w:rPr>
                <w:kern w:val="0"/>
                <w:sz w:val="24"/>
                <w:szCs w:val="20"/>
              </w:rPr>
              <w:t>1</w:t>
            </w:r>
          </w:p>
        </w:tc>
        <w:tc>
          <w:tcPr>
            <w:tcW w:w="4536" w:type="dxa"/>
            <w:vAlign w:val="center"/>
          </w:tcPr>
          <w:p w14:paraId="68A1AC18">
            <w:pPr>
              <w:adjustRightInd w:val="0"/>
              <w:jc w:val="center"/>
              <w:textAlignment w:val="baseline"/>
              <w:rPr>
                <w:kern w:val="0"/>
                <w:sz w:val="24"/>
                <w:szCs w:val="20"/>
              </w:rPr>
            </w:pPr>
          </w:p>
        </w:tc>
        <w:tc>
          <w:tcPr>
            <w:tcW w:w="1418" w:type="dxa"/>
            <w:vAlign w:val="center"/>
          </w:tcPr>
          <w:p w14:paraId="4FB39771">
            <w:pPr>
              <w:adjustRightInd w:val="0"/>
              <w:jc w:val="center"/>
              <w:textAlignment w:val="baseline"/>
              <w:rPr>
                <w:kern w:val="0"/>
                <w:sz w:val="24"/>
                <w:szCs w:val="20"/>
              </w:rPr>
            </w:pPr>
          </w:p>
        </w:tc>
        <w:tc>
          <w:tcPr>
            <w:tcW w:w="1559" w:type="dxa"/>
            <w:vAlign w:val="center"/>
          </w:tcPr>
          <w:p w14:paraId="660B5F27">
            <w:pPr>
              <w:adjustRightInd w:val="0"/>
              <w:jc w:val="center"/>
              <w:textAlignment w:val="baseline"/>
              <w:rPr>
                <w:kern w:val="0"/>
                <w:sz w:val="24"/>
                <w:szCs w:val="20"/>
              </w:rPr>
            </w:pPr>
          </w:p>
        </w:tc>
      </w:tr>
      <w:tr w14:paraId="0832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436" w:type="dxa"/>
            <w:gridSpan w:val="2"/>
            <w:vAlign w:val="center"/>
          </w:tcPr>
          <w:p w14:paraId="5D8A2047">
            <w:pPr>
              <w:adjustRightInd w:val="0"/>
              <w:jc w:val="center"/>
              <w:textAlignment w:val="baseline"/>
              <w:rPr>
                <w:kern w:val="0"/>
                <w:sz w:val="24"/>
                <w:szCs w:val="20"/>
              </w:rPr>
            </w:pPr>
            <w:r>
              <w:rPr>
                <w:kern w:val="0"/>
                <w:sz w:val="24"/>
                <w:szCs w:val="20"/>
              </w:rPr>
              <w:t>合计（元）</w:t>
            </w:r>
          </w:p>
        </w:tc>
        <w:tc>
          <w:tcPr>
            <w:tcW w:w="1418" w:type="dxa"/>
            <w:vAlign w:val="center"/>
          </w:tcPr>
          <w:p w14:paraId="45F6F09F">
            <w:pPr>
              <w:adjustRightInd w:val="0"/>
              <w:jc w:val="center"/>
              <w:textAlignment w:val="baseline"/>
              <w:rPr>
                <w:kern w:val="0"/>
                <w:sz w:val="24"/>
                <w:szCs w:val="20"/>
              </w:rPr>
            </w:pPr>
          </w:p>
        </w:tc>
        <w:tc>
          <w:tcPr>
            <w:tcW w:w="1559" w:type="dxa"/>
            <w:vAlign w:val="center"/>
          </w:tcPr>
          <w:p w14:paraId="491DA8B1">
            <w:pPr>
              <w:adjustRightInd w:val="0"/>
              <w:jc w:val="center"/>
              <w:textAlignment w:val="baseline"/>
              <w:rPr>
                <w:kern w:val="0"/>
                <w:sz w:val="24"/>
                <w:szCs w:val="20"/>
              </w:rPr>
            </w:pPr>
          </w:p>
        </w:tc>
      </w:tr>
    </w:tbl>
    <w:p w14:paraId="598271F1">
      <w:pPr>
        <w:tabs>
          <w:tab w:val="left" w:pos="1800"/>
          <w:tab w:val="left" w:pos="5580"/>
        </w:tabs>
        <w:jc w:val="left"/>
        <w:rPr>
          <w:sz w:val="24"/>
        </w:rPr>
      </w:pPr>
    </w:p>
    <w:p w14:paraId="0B6A072A">
      <w:pPr>
        <w:tabs>
          <w:tab w:val="left" w:pos="1800"/>
          <w:tab w:val="left" w:pos="5580"/>
        </w:tabs>
        <w:jc w:val="left"/>
        <w:rPr>
          <w:sz w:val="24"/>
        </w:rPr>
      </w:pPr>
    </w:p>
    <w:p w14:paraId="5B79DA5E">
      <w:pPr>
        <w:tabs>
          <w:tab w:val="left" w:pos="1800"/>
          <w:tab w:val="left" w:pos="5580"/>
        </w:tabs>
        <w:jc w:val="left"/>
        <w:rPr>
          <w:sz w:val="24"/>
        </w:rPr>
      </w:pPr>
    </w:p>
    <w:p w14:paraId="43F017C5">
      <w:pPr>
        <w:tabs>
          <w:tab w:val="left" w:pos="1800"/>
          <w:tab w:val="left" w:pos="5580"/>
        </w:tabs>
        <w:jc w:val="left"/>
        <w:rPr>
          <w:sz w:val="24"/>
        </w:rPr>
      </w:pPr>
      <w:r>
        <w:rPr>
          <w:sz w:val="24"/>
        </w:rPr>
        <w:t>注：1.本表应按包分别填写。</w:t>
      </w:r>
    </w:p>
    <w:p w14:paraId="1C20FE83">
      <w:pPr>
        <w:tabs>
          <w:tab w:val="left" w:pos="1800"/>
          <w:tab w:val="left" w:pos="5580"/>
        </w:tabs>
        <w:ind w:firstLine="480" w:firstLineChars="200"/>
        <w:jc w:val="left"/>
        <w:rPr>
          <w:sz w:val="24"/>
        </w:rPr>
      </w:pPr>
      <w:r>
        <w:rPr>
          <w:sz w:val="24"/>
        </w:rPr>
        <w:t>2.上述各项的详细规格（如有），可另页描述。</w:t>
      </w:r>
    </w:p>
    <w:p w14:paraId="3DA6698E">
      <w:pPr>
        <w:tabs>
          <w:tab w:val="left" w:pos="1800"/>
          <w:tab w:val="left" w:pos="5580"/>
        </w:tabs>
        <w:ind w:firstLine="480" w:firstLineChars="200"/>
        <w:jc w:val="left"/>
        <w:rPr>
          <w:sz w:val="24"/>
        </w:rPr>
      </w:pPr>
      <w:r>
        <w:rPr>
          <w:sz w:val="24"/>
        </w:rPr>
        <w:t>3.此表无需在响应文件中提交，磋商后供应商按磋商小组要求提交。</w:t>
      </w:r>
    </w:p>
    <w:p w14:paraId="08A1FE64">
      <w:pPr>
        <w:autoSpaceDE w:val="0"/>
        <w:autoSpaceDN w:val="0"/>
        <w:adjustRightInd w:val="0"/>
        <w:snapToGrid w:val="0"/>
        <w:spacing w:before="25" w:after="25" w:line="360" w:lineRule="auto"/>
        <w:rPr>
          <w:sz w:val="24"/>
          <w:lang w:val="zh-CN"/>
        </w:rPr>
      </w:pPr>
    </w:p>
    <w:p w14:paraId="3E4E6241">
      <w:pPr>
        <w:autoSpaceDE w:val="0"/>
        <w:autoSpaceDN w:val="0"/>
        <w:adjustRightInd w:val="0"/>
        <w:snapToGrid w:val="0"/>
        <w:spacing w:before="25" w:after="25" w:line="360" w:lineRule="auto"/>
        <w:rPr>
          <w:sz w:val="24"/>
          <w:lang w:val="zh-CN"/>
        </w:rPr>
      </w:pPr>
      <w:r>
        <w:rPr>
          <w:kern w:val="0"/>
          <w:sz w:val="24"/>
        </w:rPr>
        <w:t>供应商授权代表签字（或加盖供应商公章）</w:t>
      </w:r>
      <w:r>
        <w:rPr>
          <w:sz w:val="24"/>
          <w:lang w:val="zh-CN"/>
        </w:rPr>
        <w:t xml:space="preserve">：____________ </w:t>
      </w:r>
    </w:p>
    <w:p w14:paraId="7B861C0D">
      <w:pPr>
        <w:autoSpaceDE w:val="0"/>
        <w:autoSpaceDN w:val="0"/>
        <w:adjustRightInd w:val="0"/>
        <w:snapToGrid w:val="0"/>
        <w:spacing w:before="25" w:after="25" w:line="360" w:lineRule="auto"/>
        <w:rPr>
          <w:rFonts w:hint="default"/>
          <w:sz w:val="24"/>
          <w:lang w:val="en-US" w:eastAsia="zh-CN"/>
        </w:rPr>
      </w:pPr>
      <w:r>
        <w:rPr>
          <w:sz w:val="24"/>
          <w:szCs w:val="20"/>
        </w:rPr>
        <w:t xml:space="preserve">日期：____年____月____日   </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FAA02">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CFBFB">
    <w:pPr>
      <w:pStyle w:val="30"/>
      <w:framePr w:wrap="around" w:vAnchor="text" w:hAnchor="margin" w:xAlign="center" w:y="1"/>
      <w:rPr>
        <w:rStyle w:val="48"/>
      </w:rPr>
    </w:pPr>
    <w:r>
      <w:fldChar w:fldCharType="begin"/>
    </w:r>
    <w:r>
      <w:rPr>
        <w:rStyle w:val="48"/>
      </w:rPr>
      <w:instrText xml:space="preserve">PAGE  </w:instrText>
    </w:r>
    <w:r>
      <w:fldChar w:fldCharType="separate"/>
    </w:r>
    <w:r>
      <w:fldChar w:fldCharType="end"/>
    </w:r>
  </w:p>
  <w:p w14:paraId="3CB2DAD5">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D2C95">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72AF6AFD">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0C797F08">
        <w:pPr>
          <w:pStyle w:val="30"/>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5076819"/>
    </w:sdtPr>
    <w:sdtEndPr>
      <w:rPr>
        <w:lang w:val="zh-CN"/>
      </w:rPr>
    </w:sdtEndPr>
    <w:sdtContent>
      <w:p w14:paraId="3428B996">
        <w:pPr>
          <w:pStyle w:val="30"/>
          <w:jc w:val="center"/>
        </w:pPr>
        <w:r>
          <w:fldChar w:fldCharType="begin"/>
        </w:r>
        <w:r>
          <w:instrText xml:space="preserve"> PAGE   \* MERGEFORMAT </w:instrText>
        </w:r>
        <w:r>
          <w:fldChar w:fldCharType="separate"/>
        </w:r>
        <w:r>
          <w:rPr>
            <w:lang w:val="zh-CN"/>
          </w:rPr>
          <w:t>6</w:t>
        </w:r>
        <w:r>
          <w:rPr>
            <w:lang w:val="zh-CN"/>
          </w:rPr>
          <w:fldChar w:fldCharType="end"/>
        </w:r>
      </w:p>
    </w:sdtContent>
  </w:sdt>
  <w:p w14:paraId="3A06183C">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D8C4D">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53C5CD47">
    <w:pPr>
      <w:pStyle w:val="30"/>
      <w:ind w:right="360"/>
    </w:pPr>
  </w:p>
  <w:p w14:paraId="399554FA"/>
  <w:p w14:paraId="1501E0B7"/>
  <w:p w14:paraId="5D7E606E"/>
  <w:p w14:paraId="10072F22"/>
  <w:p w14:paraId="6FF63795"/>
  <w:p w14:paraId="01B53A9A"/>
  <w:p w14:paraId="20A5DDF6"/>
  <w:p w14:paraId="4AC926A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04162">
    <w:pPr>
      <w:pStyle w:val="30"/>
    </w:pPr>
  </w:p>
  <w:p w14:paraId="54F70899"/>
  <w:p w14:paraId="69AF3B42"/>
  <w:p w14:paraId="66415926"/>
  <w:p w14:paraId="37A8C7BF"/>
  <w:p w14:paraId="6BDD061F"/>
  <w:p w14:paraId="65467F55"/>
  <w:p w14:paraId="365BE505"/>
  <w:p w14:paraId="7CEBC89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AAEE1">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533FAA2C">
    <w:pPr>
      <w:pStyle w:val="30"/>
      <w:ind w:right="360"/>
    </w:pPr>
  </w:p>
  <w:p w14:paraId="3FE19D56"/>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FF5F8">
    <w:pPr>
      <w:pStyle w:val="3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83F1B">
    <w:pPr>
      <w:pStyle w:val="30"/>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14:paraId="5EBD86E7">
    <w:pPr>
      <w:pStyle w:val="30"/>
      <w:ind w:right="360"/>
    </w:pPr>
  </w:p>
  <w:p w14:paraId="7E4EA145"/>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BF5A8">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78E90">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5E43D">
    <w:pPr>
      <w:pStyle w:val="31"/>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16B0E">
    <w:pPr>
      <w:pStyle w:val="31"/>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38AD">
    <w:pPr>
      <w:pStyle w:val="3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A2E21">
    <w:pPr>
      <w:pStyle w:val="31"/>
    </w:pPr>
  </w:p>
  <w:p w14:paraId="56E4E3B2"/>
  <w:p w14:paraId="15E07FB5"/>
  <w:p w14:paraId="6EE02194"/>
  <w:p w14:paraId="1AE57896"/>
  <w:p w14:paraId="2D28B0FD"/>
  <w:p w14:paraId="7351793D"/>
  <w:p w14:paraId="26E438FA"/>
  <w:p w14:paraId="3FB85B5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81945">
    <w:pPr>
      <w:pStyle w:val="31"/>
    </w:pPr>
  </w:p>
  <w:p w14:paraId="28907035"/>
  <w:p w14:paraId="31022759"/>
  <w:p w14:paraId="303E2E16"/>
  <w:p w14:paraId="397E7C25"/>
  <w:p w14:paraId="13A5D3AC"/>
  <w:p w14:paraId="78259244"/>
  <w:p w14:paraId="7D496578"/>
  <w:p w14:paraId="2CFADEF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69859">
    <w:pPr>
      <w:pStyle w:val="31"/>
    </w:pPr>
  </w:p>
  <w:p w14:paraId="77DF023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E5C59">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B1713">
    <w:pPr>
      <w:pStyle w:val="31"/>
    </w:pPr>
  </w:p>
  <w:p w14:paraId="3F1C6955"/>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D488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03504D"/>
    <w:multiLevelType w:val="singleLevel"/>
    <w:tmpl w:val="8803504D"/>
    <w:lvl w:ilvl="0" w:tentative="0">
      <w:start w:val="7"/>
      <w:numFmt w:val="decimal"/>
      <w:suff w:val="nothing"/>
      <w:lvlText w:val="%1、"/>
      <w:lvlJc w:val="left"/>
    </w:lvl>
  </w:abstractNum>
  <w:abstractNum w:abstractNumId="1">
    <w:nsid w:val="C0952D3B"/>
    <w:multiLevelType w:val="singleLevel"/>
    <w:tmpl w:val="C0952D3B"/>
    <w:lvl w:ilvl="0" w:tentative="0">
      <w:start w:val="1"/>
      <w:numFmt w:val="bullet"/>
      <w:pStyle w:val="19"/>
      <w:lvlText w:val=""/>
      <w:lvlJc w:val="left"/>
      <w:pPr>
        <w:tabs>
          <w:tab w:val="left" w:pos="1200"/>
        </w:tabs>
        <w:ind w:left="1200" w:hanging="360"/>
      </w:pPr>
      <w:rPr>
        <w:rFonts w:hint="default" w:ascii="Wingdings" w:hAnsi="Wingdings"/>
      </w:rPr>
    </w:lvl>
  </w:abstractNum>
  <w:abstractNum w:abstractNumId="2">
    <w:nsid w:val="F1F37A8F"/>
    <w:multiLevelType w:val="singleLevel"/>
    <w:tmpl w:val="F1F37A8F"/>
    <w:lvl w:ilvl="0" w:tentative="0">
      <w:start w:val="1"/>
      <w:numFmt w:val="decimal"/>
      <w:suff w:val="nothing"/>
      <w:lvlText w:val="（%1）"/>
      <w:lvlJc w:val="left"/>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default"/>
        <w:b w:val="0"/>
        <w:bCs w:val="0"/>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0E906484"/>
    <w:multiLevelType w:val="multilevel"/>
    <w:tmpl w:val="0E906484"/>
    <w:lvl w:ilvl="0" w:tentative="0">
      <w:start w:val="1"/>
      <w:numFmt w:val="decimal"/>
      <w:pStyle w:val="264"/>
      <w:lvlText w:val="%1)"/>
      <w:lvlJc w:val="left"/>
      <w:rPr>
        <w:rFonts w:ascii="宋体" w:hAnsi="宋体" w:eastAsia="宋体" w:cs="宋体"/>
        <w:b/>
        <w:bCs/>
        <w:i w:val="0"/>
        <w:iCs w:val="0"/>
        <w:smallCaps w:val="0"/>
        <w:strike w:val="0"/>
        <w:color w:val="000000"/>
        <w:spacing w:val="0"/>
        <w:w w:val="100"/>
        <w:position w:val="0"/>
        <w:sz w:val="20"/>
        <w:szCs w:val="20"/>
        <w:u w:val="none"/>
        <w:shd w:val="clear" w:color="auto" w:fill="auto"/>
        <w:lang w:val="zh-CN" w:eastAsia="zh-CN" w:bidi="zh-CN"/>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2BA63035"/>
    <w:multiLevelType w:val="singleLevel"/>
    <w:tmpl w:val="2BA63035"/>
    <w:lvl w:ilvl="0" w:tentative="0">
      <w:start w:val="2"/>
      <w:numFmt w:val="decimal"/>
      <w:lvlText w:val="(%1)"/>
      <w:lvlJc w:val="left"/>
      <w:pPr>
        <w:tabs>
          <w:tab w:val="left" w:pos="312"/>
        </w:tabs>
      </w:p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70B778F0"/>
    <w:multiLevelType w:val="multilevel"/>
    <w:tmpl w:val="70B778F0"/>
    <w:lvl w:ilvl="0" w:tentative="0">
      <w:start w:val="1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7"/>
  </w:num>
  <w:num w:numId="3">
    <w:abstractNumId w:val="10"/>
  </w:num>
  <w:num w:numId="4">
    <w:abstractNumId w:val="4"/>
  </w:num>
  <w:num w:numId="5">
    <w:abstractNumId w:val="8"/>
  </w:num>
  <w:num w:numId="6">
    <w:abstractNumId w:val="6"/>
  </w:num>
  <w:num w:numId="7">
    <w:abstractNumId w:val="5"/>
  </w:num>
  <w:num w:numId="8">
    <w:abstractNumId w:val="11"/>
  </w:num>
  <w:num w:numId="9">
    <w:abstractNumId w:val="12"/>
  </w:num>
  <w:num w:numId="10">
    <w:abstractNumId w:val="9"/>
  </w:num>
  <w:num w:numId="11">
    <w:abstractNumId w:val="3"/>
  </w:num>
  <w:num w:numId="12">
    <w:abstractNumId w:val="17"/>
  </w:num>
  <w:num w:numId="13">
    <w:abstractNumId w:val="13"/>
  </w:num>
  <w:num w:numId="14">
    <w:abstractNumId w:val="2"/>
  </w:num>
  <w:num w:numId="15">
    <w:abstractNumId w:val="14"/>
  </w:num>
  <w:num w:numId="16">
    <w:abstractNumId w:val="15"/>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WJiMDQ1ZDU4NjlhZGUzZTBlYWUyYjM4NzgzN2NlZDgifQ=="/>
    <w:docVar w:name="KSO_WPS_MARK_KEY" w:val="f70c1a83-ef6c-4eff-a8ed-3010ba766cdb"/>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232"/>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73E"/>
    <w:rsid w:val="00023CAF"/>
    <w:rsid w:val="00023D59"/>
    <w:rsid w:val="0002417D"/>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27EDA"/>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4A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B9C"/>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08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8F"/>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64"/>
    <w:rsid w:val="00096BFF"/>
    <w:rsid w:val="00096C99"/>
    <w:rsid w:val="00096CA2"/>
    <w:rsid w:val="00096CBB"/>
    <w:rsid w:val="00096CE7"/>
    <w:rsid w:val="00096F57"/>
    <w:rsid w:val="000974EB"/>
    <w:rsid w:val="0009757F"/>
    <w:rsid w:val="000975B5"/>
    <w:rsid w:val="000975C7"/>
    <w:rsid w:val="000976D2"/>
    <w:rsid w:val="000979E2"/>
    <w:rsid w:val="00097C23"/>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5C56"/>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6FF"/>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7D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5B"/>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4BA"/>
    <w:rsid w:val="001378D1"/>
    <w:rsid w:val="001379B7"/>
    <w:rsid w:val="00137A98"/>
    <w:rsid w:val="00137DD9"/>
    <w:rsid w:val="00137F03"/>
    <w:rsid w:val="00137FC9"/>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7BC"/>
    <w:rsid w:val="00196AA1"/>
    <w:rsid w:val="00196C49"/>
    <w:rsid w:val="00196D2C"/>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AE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48F"/>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927"/>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E0C"/>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A07"/>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2FC7"/>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1B7"/>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5F0"/>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9EC"/>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DC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B8A"/>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3F5"/>
    <w:rsid w:val="0038560D"/>
    <w:rsid w:val="003856E2"/>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0D4"/>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9F"/>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1AE"/>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8C"/>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CC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9D8"/>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319"/>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839"/>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35C"/>
    <w:rsid w:val="004A1636"/>
    <w:rsid w:val="004A1C93"/>
    <w:rsid w:val="004A1F90"/>
    <w:rsid w:val="004A24C2"/>
    <w:rsid w:val="004A2583"/>
    <w:rsid w:val="004A273A"/>
    <w:rsid w:val="004A27FC"/>
    <w:rsid w:val="004A2810"/>
    <w:rsid w:val="004A2945"/>
    <w:rsid w:val="004A2C49"/>
    <w:rsid w:val="004A30E8"/>
    <w:rsid w:val="004A35D1"/>
    <w:rsid w:val="004A35F2"/>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46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2C8"/>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EAD"/>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BE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5C6B"/>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0A"/>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1F4"/>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2F"/>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4C4"/>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690"/>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71"/>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0C"/>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B0"/>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ACC"/>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BC1"/>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6EB"/>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0F3"/>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BB7"/>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E90"/>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6F"/>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62D"/>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5BC"/>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067"/>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16"/>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6FD"/>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648"/>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5C"/>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A4B"/>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0F6"/>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8B"/>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A2"/>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76"/>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4E1"/>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6DF"/>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5F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3BC"/>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E4D"/>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1FA"/>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3EA"/>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384"/>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8FC"/>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D"/>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CD0"/>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533"/>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433"/>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189"/>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0F57"/>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47"/>
    <w:rsid w:val="00BD1389"/>
    <w:rsid w:val="00BD1500"/>
    <w:rsid w:val="00BD1589"/>
    <w:rsid w:val="00BD1792"/>
    <w:rsid w:val="00BD1A29"/>
    <w:rsid w:val="00BD1ABB"/>
    <w:rsid w:val="00BD1AC4"/>
    <w:rsid w:val="00BD1B2D"/>
    <w:rsid w:val="00BD1C3D"/>
    <w:rsid w:val="00BD26D7"/>
    <w:rsid w:val="00BD2742"/>
    <w:rsid w:val="00BD2766"/>
    <w:rsid w:val="00BD278E"/>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06"/>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37"/>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3B"/>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3EA"/>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1F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95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CA2"/>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175"/>
    <w:rsid w:val="00D23286"/>
    <w:rsid w:val="00D23416"/>
    <w:rsid w:val="00D236C2"/>
    <w:rsid w:val="00D238CB"/>
    <w:rsid w:val="00D238D9"/>
    <w:rsid w:val="00D238FA"/>
    <w:rsid w:val="00D2391D"/>
    <w:rsid w:val="00D23C54"/>
    <w:rsid w:val="00D23CF1"/>
    <w:rsid w:val="00D23F9C"/>
    <w:rsid w:val="00D24196"/>
    <w:rsid w:val="00D241E2"/>
    <w:rsid w:val="00D246E8"/>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573"/>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3F62"/>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79E"/>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32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D7D"/>
    <w:rsid w:val="00DA5E8D"/>
    <w:rsid w:val="00DA6059"/>
    <w:rsid w:val="00DA609E"/>
    <w:rsid w:val="00DA651E"/>
    <w:rsid w:val="00DA68E1"/>
    <w:rsid w:val="00DA6CBE"/>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4FD"/>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36E"/>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8D0"/>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0F04"/>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994"/>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2D3"/>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09"/>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622"/>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48"/>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FB9"/>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581"/>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03"/>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66"/>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D2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CC9"/>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1E33"/>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5B1"/>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3E"/>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62EEC"/>
    <w:rsid w:val="012D4559"/>
    <w:rsid w:val="013E2686"/>
    <w:rsid w:val="019422A6"/>
    <w:rsid w:val="01F41D56"/>
    <w:rsid w:val="020D6BC9"/>
    <w:rsid w:val="02284068"/>
    <w:rsid w:val="02605B54"/>
    <w:rsid w:val="02781A47"/>
    <w:rsid w:val="0279722C"/>
    <w:rsid w:val="029E1829"/>
    <w:rsid w:val="02A50666"/>
    <w:rsid w:val="02CC3C0E"/>
    <w:rsid w:val="02EE3C38"/>
    <w:rsid w:val="03724869"/>
    <w:rsid w:val="045C1240"/>
    <w:rsid w:val="046643CE"/>
    <w:rsid w:val="0485475A"/>
    <w:rsid w:val="048D674A"/>
    <w:rsid w:val="04932B72"/>
    <w:rsid w:val="04B26F75"/>
    <w:rsid w:val="04E25CF3"/>
    <w:rsid w:val="04FD4DF7"/>
    <w:rsid w:val="05452235"/>
    <w:rsid w:val="055E32F7"/>
    <w:rsid w:val="05B549EF"/>
    <w:rsid w:val="05B9052D"/>
    <w:rsid w:val="05E57574"/>
    <w:rsid w:val="068C3A5A"/>
    <w:rsid w:val="06A125A3"/>
    <w:rsid w:val="06C74ECC"/>
    <w:rsid w:val="06DF5D71"/>
    <w:rsid w:val="06F21BDC"/>
    <w:rsid w:val="070D6D82"/>
    <w:rsid w:val="075D7CDE"/>
    <w:rsid w:val="07650F54"/>
    <w:rsid w:val="0768220B"/>
    <w:rsid w:val="081C4DA3"/>
    <w:rsid w:val="0869623A"/>
    <w:rsid w:val="0897252E"/>
    <w:rsid w:val="089D230B"/>
    <w:rsid w:val="094620D8"/>
    <w:rsid w:val="09652EA6"/>
    <w:rsid w:val="09AB63DF"/>
    <w:rsid w:val="09F636DA"/>
    <w:rsid w:val="0A396DF2"/>
    <w:rsid w:val="0AB13EC9"/>
    <w:rsid w:val="0ABC2D71"/>
    <w:rsid w:val="0AEF417D"/>
    <w:rsid w:val="0B0230B5"/>
    <w:rsid w:val="0B36617C"/>
    <w:rsid w:val="0B660C1A"/>
    <w:rsid w:val="0B9F6417"/>
    <w:rsid w:val="0BD25EA5"/>
    <w:rsid w:val="0BEF4CA9"/>
    <w:rsid w:val="0C4A63F4"/>
    <w:rsid w:val="0C710D7A"/>
    <w:rsid w:val="0CF87086"/>
    <w:rsid w:val="0D270472"/>
    <w:rsid w:val="0D592D91"/>
    <w:rsid w:val="0D614217"/>
    <w:rsid w:val="0DA16476"/>
    <w:rsid w:val="0DB0512D"/>
    <w:rsid w:val="0DCE55AD"/>
    <w:rsid w:val="0DE16873"/>
    <w:rsid w:val="0DF1155A"/>
    <w:rsid w:val="0E525ADF"/>
    <w:rsid w:val="0EB15267"/>
    <w:rsid w:val="0ECF2B6F"/>
    <w:rsid w:val="0EE92BE4"/>
    <w:rsid w:val="0EF80318"/>
    <w:rsid w:val="0EF906F3"/>
    <w:rsid w:val="0F7A5ED6"/>
    <w:rsid w:val="0FB56209"/>
    <w:rsid w:val="0FD84892"/>
    <w:rsid w:val="10C72A82"/>
    <w:rsid w:val="115B2DE0"/>
    <w:rsid w:val="116021A5"/>
    <w:rsid w:val="11DD0F99"/>
    <w:rsid w:val="11E758E9"/>
    <w:rsid w:val="120D07A8"/>
    <w:rsid w:val="12103BCB"/>
    <w:rsid w:val="12454595"/>
    <w:rsid w:val="129B16E6"/>
    <w:rsid w:val="129E376F"/>
    <w:rsid w:val="12C52876"/>
    <w:rsid w:val="12CF3776"/>
    <w:rsid w:val="12FB2185"/>
    <w:rsid w:val="13345697"/>
    <w:rsid w:val="13441D7E"/>
    <w:rsid w:val="13561AB1"/>
    <w:rsid w:val="13655850"/>
    <w:rsid w:val="136A6610"/>
    <w:rsid w:val="13BE323D"/>
    <w:rsid w:val="13C165DC"/>
    <w:rsid w:val="13D9526C"/>
    <w:rsid w:val="14156290"/>
    <w:rsid w:val="14445DAD"/>
    <w:rsid w:val="145C0B81"/>
    <w:rsid w:val="145C6C53"/>
    <w:rsid w:val="14861F22"/>
    <w:rsid w:val="14922675"/>
    <w:rsid w:val="14BA7E1E"/>
    <w:rsid w:val="14CC79E4"/>
    <w:rsid w:val="14CE54F8"/>
    <w:rsid w:val="14E06314"/>
    <w:rsid w:val="14E135FC"/>
    <w:rsid w:val="151412DC"/>
    <w:rsid w:val="153408AB"/>
    <w:rsid w:val="15595889"/>
    <w:rsid w:val="155C2C83"/>
    <w:rsid w:val="156E2C46"/>
    <w:rsid w:val="159A3ED7"/>
    <w:rsid w:val="15D21402"/>
    <w:rsid w:val="15D66ED9"/>
    <w:rsid w:val="160D64E6"/>
    <w:rsid w:val="17546308"/>
    <w:rsid w:val="17EC6540"/>
    <w:rsid w:val="17EF7DDE"/>
    <w:rsid w:val="17F93E0B"/>
    <w:rsid w:val="1811244B"/>
    <w:rsid w:val="18502F73"/>
    <w:rsid w:val="18555B18"/>
    <w:rsid w:val="185A07A3"/>
    <w:rsid w:val="1881137E"/>
    <w:rsid w:val="188E3A9B"/>
    <w:rsid w:val="18D40E27"/>
    <w:rsid w:val="18E335C7"/>
    <w:rsid w:val="18FC527E"/>
    <w:rsid w:val="19045CBE"/>
    <w:rsid w:val="191D23BA"/>
    <w:rsid w:val="191E4E1F"/>
    <w:rsid w:val="19375EE1"/>
    <w:rsid w:val="195F0129"/>
    <w:rsid w:val="1B4072CF"/>
    <w:rsid w:val="1B740D26"/>
    <w:rsid w:val="1BAE10FA"/>
    <w:rsid w:val="1BC03E62"/>
    <w:rsid w:val="1BC4794E"/>
    <w:rsid w:val="1BE07FF1"/>
    <w:rsid w:val="1C003892"/>
    <w:rsid w:val="1C455CA5"/>
    <w:rsid w:val="1C493D5F"/>
    <w:rsid w:val="1C763338"/>
    <w:rsid w:val="1C766D20"/>
    <w:rsid w:val="1C856F63"/>
    <w:rsid w:val="1CC01D49"/>
    <w:rsid w:val="1CD04682"/>
    <w:rsid w:val="1D2036A9"/>
    <w:rsid w:val="1D2C69D2"/>
    <w:rsid w:val="1D440BCC"/>
    <w:rsid w:val="1D8817BA"/>
    <w:rsid w:val="1D977656"/>
    <w:rsid w:val="1D9779A5"/>
    <w:rsid w:val="1DA07278"/>
    <w:rsid w:val="1DC13C01"/>
    <w:rsid w:val="1DFB74DD"/>
    <w:rsid w:val="1E0F4D36"/>
    <w:rsid w:val="1E1B560E"/>
    <w:rsid w:val="1E3173A3"/>
    <w:rsid w:val="1E3D7AF5"/>
    <w:rsid w:val="1E430EE7"/>
    <w:rsid w:val="1EC51899"/>
    <w:rsid w:val="1EE91A2B"/>
    <w:rsid w:val="1F0625DD"/>
    <w:rsid w:val="1F4629DA"/>
    <w:rsid w:val="1F52137F"/>
    <w:rsid w:val="1F9E1039"/>
    <w:rsid w:val="1FC658C9"/>
    <w:rsid w:val="1FDA1374"/>
    <w:rsid w:val="20670E5A"/>
    <w:rsid w:val="209634ED"/>
    <w:rsid w:val="20AA51EA"/>
    <w:rsid w:val="20EF00BC"/>
    <w:rsid w:val="20FF5536"/>
    <w:rsid w:val="21021143"/>
    <w:rsid w:val="2157569F"/>
    <w:rsid w:val="216929AF"/>
    <w:rsid w:val="217D645B"/>
    <w:rsid w:val="21DF5B9E"/>
    <w:rsid w:val="21E47D66"/>
    <w:rsid w:val="22016618"/>
    <w:rsid w:val="224A4047"/>
    <w:rsid w:val="22791318"/>
    <w:rsid w:val="229C389D"/>
    <w:rsid w:val="22A948AF"/>
    <w:rsid w:val="22F62969"/>
    <w:rsid w:val="231E5EB2"/>
    <w:rsid w:val="23253C2C"/>
    <w:rsid w:val="2355768F"/>
    <w:rsid w:val="239E00B4"/>
    <w:rsid w:val="23A76437"/>
    <w:rsid w:val="23AB6EC7"/>
    <w:rsid w:val="2454455A"/>
    <w:rsid w:val="251E74A4"/>
    <w:rsid w:val="255816B9"/>
    <w:rsid w:val="2572277A"/>
    <w:rsid w:val="25B12642"/>
    <w:rsid w:val="25E60A73"/>
    <w:rsid w:val="262B1C72"/>
    <w:rsid w:val="262B2929"/>
    <w:rsid w:val="26586B90"/>
    <w:rsid w:val="26CF7E49"/>
    <w:rsid w:val="26EB3E67"/>
    <w:rsid w:val="26EF7DFB"/>
    <w:rsid w:val="27017AE1"/>
    <w:rsid w:val="272870CA"/>
    <w:rsid w:val="272D10FC"/>
    <w:rsid w:val="272E26D1"/>
    <w:rsid w:val="272F7BDC"/>
    <w:rsid w:val="276C31F9"/>
    <w:rsid w:val="27843CE5"/>
    <w:rsid w:val="28355CE1"/>
    <w:rsid w:val="286640ED"/>
    <w:rsid w:val="289572B4"/>
    <w:rsid w:val="289970D8"/>
    <w:rsid w:val="28F60FCD"/>
    <w:rsid w:val="28FA1322"/>
    <w:rsid w:val="29607761"/>
    <w:rsid w:val="297D4D0F"/>
    <w:rsid w:val="29912F65"/>
    <w:rsid w:val="299635F8"/>
    <w:rsid w:val="29C94E35"/>
    <w:rsid w:val="2A5516A2"/>
    <w:rsid w:val="2A571F3F"/>
    <w:rsid w:val="2A7523C5"/>
    <w:rsid w:val="2AB919CF"/>
    <w:rsid w:val="2ACF5F79"/>
    <w:rsid w:val="2B1A20D8"/>
    <w:rsid w:val="2B512E32"/>
    <w:rsid w:val="2B514BE0"/>
    <w:rsid w:val="2B8C7CDE"/>
    <w:rsid w:val="2BB54DB7"/>
    <w:rsid w:val="2BE912BD"/>
    <w:rsid w:val="2BEF655A"/>
    <w:rsid w:val="2C1F4CDE"/>
    <w:rsid w:val="2C885AA0"/>
    <w:rsid w:val="2CAF6480"/>
    <w:rsid w:val="2CD077AF"/>
    <w:rsid w:val="2CE51A84"/>
    <w:rsid w:val="2D427CA4"/>
    <w:rsid w:val="2D79041E"/>
    <w:rsid w:val="2D9127D3"/>
    <w:rsid w:val="2DB57D07"/>
    <w:rsid w:val="2DFD2DFD"/>
    <w:rsid w:val="2E235265"/>
    <w:rsid w:val="2E371929"/>
    <w:rsid w:val="2E6A6490"/>
    <w:rsid w:val="2E6B5FB9"/>
    <w:rsid w:val="2ED51684"/>
    <w:rsid w:val="2EDC0C65"/>
    <w:rsid w:val="2F1321AD"/>
    <w:rsid w:val="2F58738B"/>
    <w:rsid w:val="2F780232"/>
    <w:rsid w:val="2F963509"/>
    <w:rsid w:val="2FB24857"/>
    <w:rsid w:val="30355762"/>
    <w:rsid w:val="30896BCA"/>
    <w:rsid w:val="30BC0D4E"/>
    <w:rsid w:val="31095A22"/>
    <w:rsid w:val="311F308B"/>
    <w:rsid w:val="317C228B"/>
    <w:rsid w:val="319557D6"/>
    <w:rsid w:val="31B23EFF"/>
    <w:rsid w:val="31EF5153"/>
    <w:rsid w:val="322F044B"/>
    <w:rsid w:val="32562ADC"/>
    <w:rsid w:val="328249B4"/>
    <w:rsid w:val="32917B3E"/>
    <w:rsid w:val="32AC6BA0"/>
    <w:rsid w:val="32AF17E8"/>
    <w:rsid w:val="32E439BE"/>
    <w:rsid w:val="32EB653A"/>
    <w:rsid w:val="33296EBE"/>
    <w:rsid w:val="332E3A59"/>
    <w:rsid w:val="337E2268"/>
    <w:rsid w:val="33CD3272"/>
    <w:rsid w:val="33FE167D"/>
    <w:rsid w:val="341D7D55"/>
    <w:rsid w:val="345715FF"/>
    <w:rsid w:val="348E1C4C"/>
    <w:rsid w:val="34A953C2"/>
    <w:rsid w:val="34D941C9"/>
    <w:rsid w:val="351D05C7"/>
    <w:rsid w:val="35690D78"/>
    <w:rsid w:val="359C73A0"/>
    <w:rsid w:val="35C10BB4"/>
    <w:rsid w:val="368044CF"/>
    <w:rsid w:val="36F90197"/>
    <w:rsid w:val="373A6E70"/>
    <w:rsid w:val="3769794D"/>
    <w:rsid w:val="37797999"/>
    <w:rsid w:val="37C000B5"/>
    <w:rsid w:val="3828316D"/>
    <w:rsid w:val="38591578"/>
    <w:rsid w:val="3862042D"/>
    <w:rsid w:val="38983E4E"/>
    <w:rsid w:val="389A64F5"/>
    <w:rsid w:val="389E156B"/>
    <w:rsid w:val="38F60B75"/>
    <w:rsid w:val="39691347"/>
    <w:rsid w:val="397F6DBC"/>
    <w:rsid w:val="39BD1693"/>
    <w:rsid w:val="39CB4426"/>
    <w:rsid w:val="39D96D24"/>
    <w:rsid w:val="3A263A70"/>
    <w:rsid w:val="3ADE7751"/>
    <w:rsid w:val="3AEA6A92"/>
    <w:rsid w:val="3B224106"/>
    <w:rsid w:val="3B245E6D"/>
    <w:rsid w:val="3B7C5F6A"/>
    <w:rsid w:val="3B8E778B"/>
    <w:rsid w:val="3BAA1905"/>
    <w:rsid w:val="3BCB6780"/>
    <w:rsid w:val="3C0B4937"/>
    <w:rsid w:val="3C1F6635"/>
    <w:rsid w:val="3C4E0CC8"/>
    <w:rsid w:val="3C7636AF"/>
    <w:rsid w:val="3CAD1E92"/>
    <w:rsid w:val="3CED6733"/>
    <w:rsid w:val="3CFF2D9A"/>
    <w:rsid w:val="3D3D4FC4"/>
    <w:rsid w:val="3D4F6AA6"/>
    <w:rsid w:val="3D4F7B02"/>
    <w:rsid w:val="3DA86737"/>
    <w:rsid w:val="3DFC4E7F"/>
    <w:rsid w:val="3E2148E6"/>
    <w:rsid w:val="3E2B7513"/>
    <w:rsid w:val="3E6719E5"/>
    <w:rsid w:val="3E7C7B37"/>
    <w:rsid w:val="3EBE0387"/>
    <w:rsid w:val="3F035F48"/>
    <w:rsid w:val="3F2647B5"/>
    <w:rsid w:val="3F446ADE"/>
    <w:rsid w:val="3F744EE9"/>
    <w:rsid w:val="405C0654"/>
    <w:rsid w:val="40787435"/>
    <w:rsid w:val="40A37834"/>
    <w:rsid w:val="40D0614F"/>
    <w:rsid w:val="40E20051"/>
    <w:rsid w:val="416F5968"/>
    <w:rsid w:val="417D0085"/>
    <w:rsid w:val="41923405"/>
    <w:rsid w:val="41C23FB6"/>
    <w:rsid w:val="42010CB6"/>
    <w:rsid w:val="42093594"/>
    <w:rsid w:val="4234249A"/>
    <w:rsid w:val="42415557"/>
    <w:rsid w:val="42CD0A98"/>
    <w:rsid w:val="42CD7C7C"/>
    <w:rsid w:val="431041E2"/>
    <w:rsid w:val="431A0C09"/>
    <w:rsid w:val="433B1FA6"/>
    <w:rsid w:val="437E1E93"/>
    <w:rsid w:val="43E443EC"/>
    <w:rsid w:val="43F41369"/>
    <w:rsid w:val="44E22B66"/>
    <w:rsid w:val="45505AB1"/>
    <w:rsid w:val="4553087B"/>
    <w:rsid w:val="456F742F"/>
    <w:rsid w:val="458827BE"/>
    <w:rsid w:val="45A32154"/>
    <w:rsid w:val="4609638B"/>
    <w:rsid w:val="463B1919"/>
    <w:rsid w:val="46A01D4B"/>
    <w:rsid w:val="47096A9B"/>
    <w:rsid w:val="47542A45"/>
    <w:rsid w:val="47956D23"/>
    <w:rsid w:val="47CA7D9C"/>
    <w:rsid w:val="47F86F05"/>
    <w:rsid w:val="480E2158"/>
    <w:rsid w:val="481903DC"/>
    <w:rsid w:val="4857556E"/>
    <w:rsid w:val="48C34165"/>
    <w:rsid w:val="490A486C"/>
    <w:rsid w:val="491C2124"/>
    <w:rsid w:val="492F5D76"/>
    <w:rsid w:val="49751310"/>
    <w:rsid w:val="499C7517"/>
    <w:rsid w:val="4A3F33A1"/>
    <w:rsid w:val="4A857FAB"/>
    <w:rsid w:val="4AFF1B0B"/>
    <w:rsid w:val="4B307F16"/>
    <w:rsid w:val="4B4340EE"/>
    <w:rsid w:val="4B65373A"/>
    <w:rsid w:val="4B683B54"/>
    <w:rsid w:val="4BB40B47"/>
    <w:rsid w:val="4BB46D99"/>
    <w:rsid w:val="4BC45849"/>
    <w:rsid w:val="4BD42F98"/>
    <w:rsid w:val="4C121D12"/>
    <w:rsid w:val="4C147838"/>
    <w:rsid w:val="4C59349D"/>
    <w:rsid w:val="4C8A5D4C"/>
    <w:rsid w:val="4C8F3363"/>
    <w:rsid w:val="4CA02E7A"/>
    <w:rsid w:val="4CC71EE8"/>
    <w:rsid w:val="4CD82614"/>
    <w:rsid w:val="4CF03E01"/>
    <w:rsid w:val="4D00163A"/>
    <w:rsid w:val="4D0F7FFF"/>
    <w:rsid w:val="4D125AF8"/>
    <w:rsid w:val="4D51189A"/>
    <w:rsid w:val="4D5325E2"/>
    <w:rsid w:val="4D6D3ED9"/>
    <w:rsid w:val="4D7D140D"/>
    <w:rsid w:val="4D834C75"/>
    <w:rsid w:val="4DAD1CF2"/>
    <w:rsid w:val="4DDA23BB"/>
    <w:rsid w:val="4E0F6509"/>
    <w:rsid w:val="4E3917D8"/>
    <w:rsid w:val="4EAC7C68"/>
    <w:rsid w:val="4ED96BFA"/>
    <w:rsid w:val="4EFF657E"/>
    <w:rsid w:val="4F0F5BE3"/>
    <w:rsid w:val="4F5E18E5"/>
    <w:rsid w:val="4FE645C2"/>
    <w:rsid w:val="5003209D"/>
    <w:rsid w:val="503E6C32"/>
    <w:rsid w:val="50504BB7"/>
    <w:rsid w:val="506E647F"/>
    <w:rsid w:val="50FC089B"/>
    <w:rsid w:val="51053BF3"/>
    <w:rsid w:val="513E151E"/>
    <w:rsid w:val="5141548E"/>
    <w:rsid w:val="51493AE0"/>
    <w:rsid w:val="514A4BF0"/>
    <w:rsid w:val="516721B8"/>
    <w:rsid w:val="518A79B5"/>
    <w:rsid w:val="518C60C3"/>
    <w:rsid w:val="51A60F32"/>
    <w:rsid w:val="51DA6E2E"/>
    <w:rsid w:val="51DC3617"/>
    <w:rsid w:val="52293911"/>
    <w:rsid w:val="52321DE7"/>
    <w:rsid w:val="52422029"/>
    <w:rsid w:val="524765D8"/>
    <w:rsid w:val="52743530"/>
    <w:rsid w:val="52CB6777"/>
    <w:rsid w:val="53206AC2"/>
    <w:rsid w:val="5332721C"/>
    <w:rsid w:val="5385213F"/>
    <w:rsid w:val="54151E38"/>
    <w:rsid w:val="541C1980"/>
    <w:rsid w:val="544C5144"/>
    <w:rsid w:val="54CB0CB0"/>
    <w:rsid w:val="55040901"/>
    <w:rsid w:val="558666E5"/>
    <w:rsid w:val="559E1234"/>
    <w:rsid w:val="55CE0A58"/>
    <w:rsid w:val="5600653D"/>
    <w:rsid w:val="566E223B"/>
    <w:rsid w:val="569002C5"/>
    <w:rsid w:val="56925F29"/>
    <w:rsid w:val="56B07BC5"/>
    <w:rsid w:val="56DF05DE"/>
    <w:rsid w:val="56E636C2"/>
    <w:rsid w:val="56FF2E93"/>
    <w:rsid w:val="571921A6"/>
    <w:rsid w:val="57835872"/>
    <w:rsid w:val="57AD28EF"/>
    <w:rsid w:val="57D807B7"/>
    <w:rsid w:val="57EA58F1"/>
    <w:rsid w:val="57FC6189"/>
    <w:rsid w:val="5842572D"/>
    <w:rsid w:val="58580AAD"/>
    <w:rsid w:val="585F1E3B"/>
    <w:rsid w:val="58B57CAD"/>
    <w:rsid w:val="58BE1257"/>
    <w:rsid w:val="58C3472F"/>
    <w:rsid w:val="591E1CF6"/>
    <w:rsid w:val="59463348"/>
    <w:rsid w:val="599E3A69"/>
    <w:rsid w:val="59AE4EEC"/>
    <w:rsid w:val="5A025174"/>
    <w:rsid w:val="5A094754"/>
    <w:rsid w:val="5A0C7DA1"/>
    <w:rsid w:val="5A1E1882"/>
    <w:rsid w:val="5A3410A5"/>
    <w:rsid w:val="5A543847"/>
    <w:rsid w:val="5AD36B10"/>
    <w:rsid w:val="5B032EB3"/>
    <w:rsid w:val="5B405F8C"/>
    <w:rsid w:val="5B4517BC"/>
    <w:rsid w:val="5BB46942"/>
    <w:rsid w:val="5C0F3B78"/>
    <w:rsid w:val="5C367357"/>
    <w:rsid w:val="5C381321"/>
    <w:rsid w:val="5C8D3640"/>
    <w:rsid w:val="5CA75310"/>
    <w:rsid w:val="5D2C42B6"/>
    <w:rsid w:val="5D896959"/>
    <w:rsid w:val="5E0019CA"/>
    <w:rsid w:val="5E5F4DEB"/>
    <w:rsid w:val="5E6957C1"/>
    <w:rsid w:val="5ED47A3F"/>
    <w:rsid w:val="5EDE720D"/>
    <w:rsid w:val="5EE96902"/>
    <w:rsid w:val="5EF8729C"/>
    <w:rsid w:val="5EFD23AE"/>
    <w:rsid w:val="5F053764"/>
    <w:rsid w:val="5F073306"/>
    <w:rsid w:val="5F4D6E91"/>
    <w:rsid w:val="5F5F73B9"/>
    <w:rsid w:val="5F71001B"/>
    <w:rsid w:val="5F775583"/>
    <w:rsid w:val="5F7F1015"/>
    <w:rsid w:val="5F7F3E15"/>
    <w:rsid w:val="5FA95542"/>
    <w:rsid w:val="600A4D82"/>
    <w:rsid w:val="606D5311"/>
    <w:rsid w:val="609D4491"/>
    <w:rsid w:val="60FD6695"/>
    <w:rsid w:val="610B23D7"/>
    <w:rsid w:val="612105D5"/>
    <w:rsid w:val="6131633F"/>
    <w:rsid w:val="61662636"/>
    <w:rsid w:val="617701F5"/>
    <w:rsid w:val="61AD00BB"/>
    <w:rsid w:val="61E0324D"/>
    <w:rsid w:val="6241232C"/>
    <w:rsid w:val="62DC0146"/>
    <w:rsid w:val="62E573E1"/>
    <w:rsid w:val="633A3BD0"/>
    <w:rsid w:val="64540CC2"/>
    <w:rsid w:val="64963088"/>
    <w:rsid w:val="65261C89"/>
    <w:rsid w:val="65437313"/>
    <w:rsid w:val="65706AE2"/>
    <w:rsid w:val="65AD68DC"/>
    <w:rsid w:val="65F20792"/>
    <w:rsid w:val="66026B45"/>
    <w:rsid w:val="661A492E"/>
    <w:rsid w:val="661A55F3"/>
    <w:rsid w:val="6630542A"/>
    <w:rsid w:val="66560B94"/>
    <w:rsid w:val="665A4034"/>
    <w:rsid w:val="665A40F3"/>
    <w:rsid w:val="665B6338"/>
    <w:rsid w:val="669730E8"/>
    <w:rsid w:val="66C2204A"/>
    <w:rsid w:val="670A1B0C"/>
    <w:rsid w:val="68060525"/>
    <w:rsid w:val="6838144E"/>
    <w:rsid w:val="68AA7398"/>
    <w:rsid w:val="69094CB9"/>
    <w:rsid w:val="696C5DC5"/>
    <w:rsid w:val="697B284D"/>
    <w:rsid w:val="69C8165E"/>
    <w:rsid w:val="69EE7ADA"/>
    <w:rsid w:val="6A2E3D63"/>
    <w:rsid w:val="6A596E03"/>
    <w:rsid w:val="6A7C687C"/>
    <w:rsid w:val="6A845731"/>
    <w:rsid w:val="6AAB7162"/>
    <w:rsid w:val="6AB97AD1"/>
    <w:rsid w:val="6B4C4AE6"/>
    <w:rsid w:val="6B6A309D"/>
    <w:rsid w:val="6B851761"/>
    <w:rsid w:val="6B8C2AEF"/>
    <w:rsid w:val="6B983006"/>
    <w:rsid w:val="6BF3491C"/>
    <w:rsid w:val="6C316827"/>
    <w:rsid w:val="6C3C2767"/>
    <w:rsid w:val="6C494E84"/>
    <w:rsid w:val="6C6D5697"/>
    <w:rsid w:val="6C7643B3"/>
    <w:rsid w:val="6CA87DFD"/>
    <w:rsid w:val="6CF6226E"/>
    <w:rsid w:val="6D4B0788"/>
    <w:rsid w:val="6D4D2752"/>
    <w:rsid w:val="6D7400D9"/>
    <w:rsid w:val="6DB21F71"/>
    <w:rsid w:val="6DDB7D5E"/>
    <w:rsid w:val="6DDF7670"/>
    <w:rsid w:val="6E00355C"/>
    <w:rsid w:val="6E602435"/>
    <w:rsid w:val="6E906D9A"/>
    <w:rsid w:val="6E9F0D8B"/>
    <w:rsid w:val="6EA87425"/>
    <w:rsid w:val="6EFF4F25"/>
    <w:rsid w:val="6F023FAF"/>
    <w:rsid w:val="6F030E26"/>
    <w:rsid w:val="6F285225"/>
    <w:rsid w:val="6F651FD5"/>
    <w:rsid w:val="6F834209"/>
    <w:rsid w:val="6F926B42"/>
    <w:rsid w:val="6FBE16E5"/>
    <w:rsid w:val="6FC76A91"/>
    <w:rsid w:val="6FD43845"/>
    <w:rsid w:val="70013F8F"/>
    <w:rsid w:val="70230B72"/>
    <w:rsid w:val="70422316"/>
    <w:rsid w:val="70741DA4"/>
    <w:rsid w:val="70980188"/>
    <w:rsid w:val="70BC0902"/>
    <w:rsid w:val="70DA46A6"/>
    <w:rsid w:val="70E64A50"/>
    <w:rsid w:val="70F84783"/>
    <w:rsid w:val="71125845"/>
    <w:rsid w:val="714E7E00"/>
    <w:rsid w:val="717B6263"/>
    <w:rsid w:val="71B27028"/>
    <w:rsid w:val="71C75896"/>
    <w:rsid w:val="71E06FD9"/>
    <w:rsid w:val="72233A82"/>
    <w:rsid w:val="725620A9"/>
    <w:rsid w:val="728A3646"/>
    <w:rsid w:val="729D1A86"/>
    <w:rsid w:val="72AE3C93"/>
    <w:rsid w:val="73171838"/>
    <w:rsid w:val="731B056E"/>
    <w:rsid w:val="732E6B82"/>
    <w:rsid w:val="73DA4614"/>
    <w:rsid w:val="741260BA"/>
    <w:rsid w:val="74150C6E"/>
    <w:rsid w:val="742C597A"/>
    <w:rsid w:val="74F55BA9"/>
    <w:rsid w:val="750B33B4"/>
    <w:rsid w:val="750F2C75"/>
    <w:rsid w:val="751C1388"/>
    <w:rsid w:val="754F4340"/>
    <w:rsid w:val="756705F2"/>
    <w:rsid w:val="75A66EA3"/>
    <w:rsid w:val="76685F07"/>
    <w:rsid w:val="768F520A"/>
    <w:rsid w:val="77163BB5"/>
    <w:rsid w:val="779F3BAA"/>
    <w:rsid w:val="77C81353"/>
    <w:rsid w:val="77DE0B76"/>
    <w:rsid w:val="77F35CA4"/>
    <w:rsid w:val="78251700"/>
    <w:rsid w:val="78276536"/>
    <w:rsid w:val="782C7B34"/>
    <w:rsid w:val="786C6182"/>
    <w:rsid w:val="78C642A1"/>
    <w:rsid w:val="78EF1A00"/>
    <w:rsid w:val="79DA536E"/>
    <w:rsid w:val="7A2B7744"/>
    <w:rsid w:val="7A60279B"/>
    <w:rsid w:val="7A8C2B0C"/>
    <w:rsid w:val="7AB34D80"/>
    <w:rsid w:val="7ACC2337"/>
    <w:rsid w:val="7AFD57B8"/>
    <w:rsid w:val="7B3B1E3C"/>
    <w:rsid w:val="7B9A1258"/>
    <w:rsid w:val="7BB0776A"/>
    <w:rsid w:val="7BC1389C"/>
    <w:rsid w:val="7BDE7397"/>
    <w:rsid w:val="7BF34F66"/>
    <w:rsid w:val="7C0B3858"/>
    <w:rsid w:val="7C40661A"/>
    <w:rsid w:val="7C492552"/>
    <w:rsid w:val="7C4F2043"/>
    <w:rsid w:val="7C51532B"/>
    <w:rsid w:val="7CA57EB5"/>
    <w:rsid w:val="7CD51E1C"/>
    <w:rsid w:val="7D22215B"/>
    <w:rsid w:val="7D496A92"/>
    <w:rsid w:val="7D6701F5"/>
    <w:rsid w:val="7DB10D5A"/>
    <w:rsid w:val="7DF77C9F"/>
    <w:rsid w:val="7E176E68"/>
    <w:rsid w:val="7E6D54B9"/>
    <w:rsid w:val="7E8B7001"/>
    <w:rsid w:val="7EA53A8B"/>
    <w:rsid w:val="7EE74617"/>
    <w:rsid w:val="7EF611E9"/>
    <w:rsid w:val="7F1418D8"/>
    <w:rsid w:val="7F411CAE"/>
    <w:rsid w:val="7F765B38"/>
    <w:rsid w:val="7F7B314F"/>
    <w:rsid w:val="7F8A15E4"/>
    <w:rsid w:val="7F8E2E82"/>
    <w:rsid w:val="7F963D22"/>
    <w:rsid w:val="7F977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5"/>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45"/>
    <w:qFormat/>
    <w:uiPriority w:val="0"/>
    <w:pPr>
      <w:spacing w:after="120" w:line="480" w:lineRule="exact"/>
      <w:ind w:left="420" w:leftChars="200" w:firstLine="420" w:firstLineChars="200"/>
    </w:pPr>
    <w:rPr>
      <w:szCs w:val="20"/>
    </w:rPr>
  </w:style>
  <w:style w:type="paragraph" w:styleId="3">
    <w:name w:val="Body Text Indent"/>
    <w:basedOn w:val="1"/>
    <w:next w:val="1"/>
    <w:link w:val="67"/>
    <w:qFormat/>
    <w:uiPriority w:val="0"/>
    <w:pPr>
      <w:spacing w:line="360" w:lineRule="auto"/>
      <w:ind w:firstLine="570"/>
    </w:pPr>
    <w:rPr>
      <w:sz w:val="24"/>
    </w:rPr>
  </w:style>
  <w:style w:type="paragraph" w:styleId="7">
    <w:name w:val="Normal Indent"/>
    <w:basedOn w:val="1"/>
    <w:link w:val="62"/>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6"/>
    <w:qFormat/>
    <w:uiPriority w:val="0"/>
    <w:pPr>
      <w:shd w:val="clear" w:color="auto" w:fill="000080"/>
    </w:pPr>
  </w:style>
  <w:style w:type="paragraph" w:styleId="17">
    <w:name w:val="annotation text"/>
    <w:basedOn w:val="1"/>
    <w:link w:val="182"/>
    <w:qFormat/>
    <w:uiPriority w:val="99"/>
    <w:pPr>
      <w:jc w:val="left"/>
    </w:pPr>
  </w:style>
  <w:style w:type="paragraph" w:styleId="18">
    <w:name w:val="Body Text 3"/>
    <w:basedOn w:val="1"/>
    <w:link w:val="237"/>
    <w:qFormat/>
    <w:uiPriority w:val="0"/>
    <w:pPr>
      <w:spacing w:after="120"/>
    </w:pPr>
    <w:rPr>
      <w:sz w:val="16"/>
      <w:szCs w:val="16"/>
    </w:rPr>
  </w:style>
  <w:style w:type="paragraph" w:styleId="19">
    <w:name w:val="List Bullet 3"/>
    <w:basedOn w:val="1"/>
    <w:qFormat/>
    <w:uiPriority w:val="0"/>
    <w:pPr>
      <w:numPr>
        <w:ilvl w:val="0"/>
        <w:numId w:val="1"/>
      </w:numPr>
    </w:pPr>
  </w:style>
  <w:style w:type="paragraph" w:styleId="20">
    <w:name w:val="Body Text"/>
    <w:basedOn w:val="1"/>
    <w:link w:val="238"/>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2"/>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39"/>
    <w:qFormat/>
    <w:uiPriority w:val="0"/>
    <w:pPr>
      <w:ind w:left="100" w:leftChars="2500"/>
    </w:pPr>
    <w:rPr>
      <w:rFonts w:ascii="仿宋_GB2312" w:hAnsi="宋体" w:eastAsia="仿宋_GB2312"/>
      <w:color w:val="000000"/>
      <w:sz w:val="24"/>
    </w:rPr>
  </w:style>
  <w:style w:type="paragraph" w:styleId="28">
    <w:name w:val="Body Text Indent 2"/>
    <w:basedOn w:val="1"/>
    <w:link w:val="240"/>
    <w:qFormat/>
    <w:uiPriority w:val="0"/>
    <w:pPr>
      <w:ind w:firstLine="480" w:firstLineChars="200"/>
    </w:pPr>
    <w:rPr>
      <w:rFonts w:ascii="仿宋_GB2312" w:eastAsia="仿宋_GB2312"/>
      <w:sz w:val="24"/>
    </w:rPr>
  </w:style>
  <w:style w:type="paragraph" w:styleId="29">
    <w:name w:val="Balloon Text"/>
    <w:basedOn w:val="1"/>
    <w:link w:val="241"/>
    <w:qFormat/>
    <w:uiPriority w:val="0"/>
    <w:rPr>
      <w:sz w:val="18"/>
      <w:szCs w:val="18"/>
    </w:rPr>
  </w:style>
  <w:style w:type="paragraph" w:styleId="30">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8"/>
    <w:qFormat/>
    <w:uiPriority w:val="0"/>
    <w:pPr>
      <w:jc w:val="center"/>
      <w:outlineLvl w:val="0"/>
    </w:pPr>
    <w:rPr>
      <w:b/>
      <w:sz w:val="32"/>
      <w:szCs w:val="20"/>
    </w:rPr>
  </w:style>
  <w:style w:type="paragraph" w:styleId="42">
    <w:name w:val="annotation subject"/>
    <w:basedOn w:val="17"/>
    <w:next w:val="17"/>
    <w:link w:val="244"/>
    <w:qFormat/>
    <w:uiPriority w:val="0"/>
    <w:rPr>
      <w:b/>
      <w:bCs/>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5"/>
    <w:qFormat/>
    <w:uiPriority w:val="0"/>
    <w:rPr>
      <w:rFonts w:ascii="Arial" w:hAnsi="Arial" w:eastAsia="黑体"/>
      <w:b/>
      <w:sz w:val="30"/>
      <w:lang w:val="en-US" w:eastAsia="zh-CN" w:bidi="ar-SA"/>
    </w:rPr>
  </w:style>
  <w:style w:type="character" w:customStyle="1" w:styleId="55">
    <w:name w:val="标题 3 字符"/>
    <w:link w:val="6"/>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7"/>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3"/>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31"/>
    <w:qFormat/>
    <w:uiPriority w:val="99"/>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3"/>
      </w:numPr>
    </w:pPr>
  </w:style>
  <w:style w:type="paragraph" w:customStyle="1" w:styleId="88">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6"/>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2"/>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5"/>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6"/>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40"/>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7"/>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30"/>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7"/>
    <w:qFormat/>
    <w:uiPriority w:val="99"/>
    <w:rPr>
      <w:kern w:val="2"/>
      <w:sz w:val="21"/>
      <w:szCs w:val="24"/>
    </w:rPr>
  </w:style>
  <w:style w:type="paragraph" w:customStyle="1" w:styleId="183">
    <w:name w:val="标题1-附件"/>
    <w:basedOn w:val="4"/>
    <w:qFormat/>
    <w:uiPriority w:val="0"/>
    <w:pPr>
      <w:jc w:val="left"/>
    </w:pPr>
    <w:rPr>
      <w:sz w:val="24"/>
      <w:szCs w:val="24"/>
    </w:rPr>
  </w:style>
  <w:style w:type="paragraph" w:customStyle="1" w:styleId="184">
    <w:name w:val="正文小标题"/>
    <w:basedOn w:val="1"/>
    <w:next w:val="7"/>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7"/>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link w:val="41"/>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6"/>
    <w:link w:val="25"/>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link w:val="4"/>
    <w:qFormat/>
    <w:uiPriority w:val="0"/>
    <w:rPr>
      <w:rFonts w:ascii="宋体"/>
      <w:b/>
      <w:kern w:val="44"/>
      <w:sz w:val="32"/>
    </w:rPr>
  </w:style>
  <w:style w:type="character" w:customStyle="1" w:styleId="230">
    <w:name w:val="标题 4 字符"/>
    <w:basedOn w:val="46"/>
    <w:link w:val="8"/>
    <w:qFormat/>
    <w:uiPriority w:val="0"/>
    <w:rPr>
      <w:rFonts w:ascii="Arial" w:hAnsi="Arial" w:eastAsia="黑体"/>
      <w:b/>
      <w:sz w:val="28"/>
    </w:rPr>
  </w:style>
  <w:style w:type="character" w:customStyle="1" w:styleId="231">
    <w:name w:val="标题 5 字符"/>
    <w:basedOn w:val="46"/>
    <w:link w:val="9"/>
    <w:qFormat/>
    <w:uiPriority w:val="0"/>
    <w:rPr>
      <w:b/>
      <w:sz w:val="28"/>
    </w:rPr>
  </w:style>
  <w:style w:type="character" w:customStyle="1" w:styleId="232">
    <w:name w:val="标题 6 字符"/>
    <w:basedOn w:val="46"/>
    <w:link w:val="10"/>
    <w:qFormat/>
    <w:uiPriority w:val="0"/>
    <w:rPr>
      <w:rFonts w:ascii="Arial" w:hAnsi="Arial" w:eastAsia="黑体"/>
      <w:b/>
      <w:sz w:val="24"/>
    </w:rPr>
  </w:style>
  <w:style w:type="character" w:customStyle="1" w:styleId="233">
    <w:name w:val="标题 7 字符"/>
    <w:basedOn w:val="46"/>
    <w:link w:val="11"/>
    <w:qFormat/>
    <w:uiPriority w:val="0"/>
    <w:rPr>
      <w:b/>
      <w:sz w:val="24"/>
    </w:rPr>
  </w:style>
  <w:style w:type="character" w:customStyle="1" w:styleId="234">
    <w:name w:val="标题 8 字符"/>
    <w:basedOn w:val="46"/>
    <w:link w:val="12"/>
    <w:qFormat/>
    <w:uiPriority w:val="0"/>
    <w:rPr>
      <w:rFonts w:ascii="Arial" w:hAnsi="Arial" w:eastAsia="黑体"/>
      <w:sz w:val="24"/>
    </w:rPr>
  </w:style>
  <w:style w:type="character" w:customStyle="1" w:styleId="235">
    <w:name w:val="标题 9 字符"/>
    <w:basedOn w:val="46"/>
    <w:link w:val="13"/>
    <w:qFormat/>
    <w:uiPriority w:val="0"/>
    <w:rPr>
      <w:rFonts w:ascii="Arial" w:hAnsi="Arial" w:eastAsia="黑体"/>
      <w:sz w:val="21"/>
    </w:rPr>
  </w:style>
  <w:style w:type="character" w:customStyle="1" w:styleId="236">
    <w:name w:val="文档结构图 字符"/>
    <w:basedOn w:val="46"/>
    <w:link w:val="16"/>
    <w:qFormat/>
    <w:uiPriority w:val="0"/>
    <w:rPr>
      <w:kern w:val="2"/>
      <w:sz w:val="21"/>
      <w:szCs w:val="24"/>
      <w:shd w:val="clear" w:color="auto" w:fill="000080"/>
    </w:rPr>
  </w:style>
  <w:style w:type="character" w:customStyle="1" w:styleId="237">
    <w:name w:val="正文文本 3 字符"/>
    <w:basedOn w:val="46"/>
    <w:link w:val="18"/>
    <w:qFormat/>
    <w:uiPriority w:val="0"/>
    <w:rPr>
      <w:kern w:val="2"/>
      <w:sz w:val="16"/>
      <w:szCs w:val="16"/>
    </w:rPr>
  </w:style>
  <w:style w:type="character" w:customStyle="1" w:styleId="238">
    <w:name w:val="正文文本 字符"/>
    <w:basedOn w:val="46"/>
    <w:link w:val="20"/>
    <w:qFormat/>
    <w:uiPriority w:val="0"/>
    <w:rPr>
      <w:rFonts w:ascii="宋体" w:hAnsi="宋体"/>
      <w:kern w:val="2"/>
      <w:sz w:val="24"/>
      <w:szCs w:val="24"/>
    </w:rPr>
  </w:style>
  <w:style w:type="character" w:customStyle="1" w:styleId="239">
    <w:name w:val="日期 字符"/>
    <w:basedOn w:val="46"/>
    <w:link w:val="27"/>
    <w:qFormat/>
    <w:uiPriority w:val="0"/>
    <w:rPr>
      <w:rFonts w:ascii="仿宋_GB2312" w:hAnsi="宋体" w:eastAsia="仿宋_GB2312"/>
      <w:color w:val="000000"/>
      <w:kern w:val="2"/>
      <w:sz w:val="24"/>
      <w:szCs w:val="24"/>
    </w:rPr>
  </w:style>
  <w:style w:type="character" w:customStyle="1" w:styleId="240">
    <w:name w:val="正文文本缩进 2 字符"/>
    <w:basedOn w:val="46"/>
    <w:link w:val="28"/>
    <w:qFormat/>
    <w:uiPriority w:val="0"/>
    <w:rPr>
      <w:rFonts w:ascii="仿宋_GB2312" w:eastAsia="仿宋_GB2312"/>
      <w:kern w:val="2"/>
      <w:sz w:val="24"/>
      <w:szCs w:val="24"/>
    </w:rPr>
  </w:style>
  <w:style w:type="character" w:customStyle="1" w:styleId="241">
    <w:name w:val="批注框文本 字符"/>
    <w:basedOn w:val="46"/>
    <w:link w:val="29"/>
    <w:qFormat/>
    <w:uiPriority w:val="0"/>
    <w:rPr>
      <w:kern w:val="2"/>
      <w:sz w:val="18"/>
      <w:szCs w:val="18"/>
    </w:rPr>
  </w:style>
  <w:style w:type="character" w:customStyle="1" w:styleId="242">
    <w:name w:val="正文文本缩进 3 字符"/>
    <w:basedOn w:val="46"/>
    <w:link w:val="35"/>
    <w:qFormat/>
    <w:uiPriority w:val="0"/>
    <w:rPr>
      <w:rFonts w:ascii="宋体"/>
      <w:sz w:val="24"/>
    </w:rPr>
  </w:style>
  <w:style w:type="character" w:customStyle="1" w:styleId="243">
    <w:name w:val="HTML 预设格式 字符"/>
    <w:basedOn w:val="46"/>
    <w:link w:val="38"/>
    <w:qFormat/>
    <w:uiPriority w:val="0"/>
    <w:rPr>
      <w:rFonts w:ascii="宋体" w:hAnsi="宋体" w:cs="宋体"/>
      <w:sz w:val="24"/>
      <w:szCs w:val="24"/>
    </w:rPr>
  </w:style>
  <w:style w:type="character" w:customStyle="1" w:styleId="244">
    <w:name w:val="批注主题 字符"/>
    <w:basedOn w:val="194"/>
    <w:link w:val="42"/>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_0"/>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Revision"/>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网格型1"/>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1">
    <w:name w:val="网格型2"/>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
    <w:name w:val="网格型11"/>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
    <w:name w:val="网格型3"/>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
    <w:name w:val="网格型4"/>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5">
    <w:name w:val="Unresolved Mention"/>
    <w:basedOn w:val="46"/>
    <w:semiHidden/>
    <w:unhideWhenUsed/>
    <w:qFormat/>
    <w:uiPriority w:val="99"/>
    <w:rPr>
      <w:color w:val="605E5C"/>
      <w:shd w:val="clear" w:color="auto" w:fill="E1DFDD"/>
    </w:rPr>
  </w:style>
  <w:style w:type="paragraph" w:customStyle="1" w:styleId="256">
    <w:name w:val="样式 标题 3 + (中文) 黑体 小四 非加粗 段前: 7.8 磅 段后: 0 磅 行距: 固定值 20 磅"/>
    <w:basedOn w:val="6"/>
    <w:qFormat/>
    <w:uiPriority w:val="0"/>
    <w:pPr>
      <w:autoSpaceDE/>
      <w:autoSpaceDN/>
      <w:adjustRightInd/>
      <w:spacing w:before="260" w:beforeLines="50" w:after="260" w:afterLines="50" w:line="360" w:lineRule="auto"/>
      <w:jc w:val="both"/>
    </w:pPr>
    <w:rPr>
      <w:b w:val="0"/>
      <w:u w:val="none"/>
    </w:rPr>
  </w:style>
  <w:style w:type="paragraph" w:customStyle="1" w:styleId="257">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258">
    <w:name w:val="无"/>
    <w:qFormat/>
    <w:uiPriority w:val="0"/>
  </w:style>
  <w:style w:type="paragraph" w:customStyle="1" w:styleId="259">
    <w:name w:val="样式1"/>
    <w:basedOn w:val="1"/>
    <w:qFormat/>
    <w:uiPriority w:val="0"/>
    <w:pPr>
      <w:jc w:val="left"/>
    </w:pPr>
    <w:rPr>
      <w:rFonts w:eastAsia="华文中宋"/>
      <w:kern w:val="0"/>
      <w:sz w:val="20"/>
      <w:szCs w:val="20"/>
    </w:rPr>
  </w:style>
  <w:style w:type="paragraph" w:customStyle="1" w:styleId="260">
    <w:name w:val="Table Text"/>
    <w:basedOn w:val="1"/>
    <w:semiHidden/>
    <w:qFormat/>
    <w:uiPriority w:val="0"/>
    <w:rPr>
      <w:rFonts w:ascii="宋体" w:hAnsi="宋体" w:eastAsia="宋体" w:cs="宋体"/>
      <w:sz w:val="24"/>
      <w:szCs w:val="24"/>
      <w:lang w:val="en-US" w:eastAsia="en-US" w:bidi="ar-SA"/>
    </w:rPr>
  </w:style>
  <w:style w:type="table" w:customStyle="1" w:styleId="261">
    <w:name w:val="Table Normal"/>
    <w:semiHidden/>
    <w:unhideWhenUsed/>
    <w:qFormat/>
    <w:uiPriority w:val="0"/>
    <w:tblPr>
      <w:tblCellMar>
        <w:top w:w="0" w:type="dxa"/>
        <w:left w:w="0" w:type="dxa"/>
        <w:bottom w:w="0" w:type="dxa"/>
        <w:right w:w="0" w:type="dxa"/>
      </w:tblCellMar>
    </w:tblPr>
  </w:style>
  <w:style w:type="paragraph" w:styleId="262">
    <w:name w:val="Intense Quote"/>
    <w:next w:val="1"/>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paragraph" w:customStyle="1" w:styleId="263">
    <w:name w:val="无间隔1"/>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64">
    <w:name w:val="协议书标题2"/>
    <w:basedOn w:val="5"/>
    <w:next w:val="1"/>
    <w:qFormat/>
    <w:uiPriority w:val="0"/>
    <w:pPr>
      <w:keepNext w:val="0"/>
      <w:keepLines w:val="0"/>
      <w:numPr>
        <w:ilvl w:val="0"/>
        <w:numId w:val="9"/>
      </w:numPr>
      <w:tabs>
        <w:tab w:val="left" w:pos="567"/>
      </w:tabs>
      <w:spacing w:line="360" w:lineRule="auto"/>
      <w:ind w:firstLine="0" w:firstLineChars="0"/>
      <w:jc w:val="left"/>
    </w:pPr>
    <w:rPr>
      <w:rFonts w:ascii="宋体" w:hAnsi="宋体" w:eastAsia="宋体"/>
      <w:sz w:val="24"/>
    </w:rPr>
  </w:style>
  <w:style w:type="paragraph" w:customStyle="1" w:styleId="265">
    <w:name w:val="Body text|1"/>
    <w:basedOn w:val="1"/>
    <w:qFormat/>
    <w:uiPriority w:val="0"/>
    <w:pPr>
      <w:widowControl/>
      <w:spacing w:line="480" w:lineRule="auto"/>
      <w:ind w:firstLine="380"/>
      <w:jc w:val="left"/>
    </w:pPr>
    <w:rPr>
      <w:rFonts w:ascii="宋体" w:hAnsi="宋体" w:cs="宋体"/>
      <w:kern w:val="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wmf"/><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CFC125-CB4D-469E-B613-909613273AF8}">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165</Pages>
  <Words>159</Words>
  <Characters>201</Characters>
  <Lines>371</Lines>
  <Paragraphs>104</Paragraphs>
  <TotalTime>8</TotalTime>
  <ScaleCrop>false</ScaleCrop>
  <LinksUpToDate>false</LinksUpToDate>
  <CharactersWithSpaces>233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2024-05-20T06:50:00Z</dcterms:created>
  <dc:creator>Yin Hao</dc:creator>
  <cp:lastModifiedBy>顾怜.</cp:lastModifiedBy>
  <cp:lastPrinted>2025-01-02T03:16:00Z</cp:lastPrinted>
  <dcterms:modified xsi:type="dcterms:W3CDTF">2026-07-15T01:16:31Z</dcterms:modified>
  <dc:title>政府采购示范文本（2023）</dc:title>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929188C56CEA4859BFCC60A01BF93D15_13</vt:lpwstr>
  </property>
  <property fmtid="{D5CDD505-2E9C-101B-9397-08002B2CF9AE}" pid="3" name="KSOProductBuildVer">
    <vt:lpwstr>2052-12.1.0.26895</vt:lpwstr>
  </property>
  <property fmtid="{D5CDD505-2E9C-101B-9397-08002B2CF9AE}" pid="4" name="KSOTemplateDocerSaveRecord">
    <vt:lpwstr>eyJoZGlkIjoiM2IyZmVlZmM4ZTczODVhNzBmYTIyNDE0YmU2YjdlNzYiLCJ1c2VySWQiOiI1MTA1MTAwMTAifQ==</vt:lpwstr>
  </property>
</Properties>
</file>