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4"/>
        <w:rPr>
          <w:rFonts w:hint="eastAsia" w:ascii="宋体" w:hAnsi="宋体" w:cs="宋体"/>
          <w:b/>
          <w:bCs/>
          <w:sz w:val="60"/>
          <w:szCs w:val="60"/>
        </w:rPr>
      </w:pPr>
    </w:p>
    <w:p>
      <w:pPr>
        <w:pStyle w:val="2"/>
        <w:rPr>
          <w:rFonts w:hint="eastAsia"/>
        </w:rPr>
      </w:pPr>
    </w:p>
    <w:p>
      <w:pPr>
        <w:pStyle w:val="2"/>
        <w:rPr>
          <w:rFonts w:hint="eastAsia"/>
        </w:rPr>
      </w:pPr>
    </w:p>
    <w:p>
      <w:pPr>
        <w:spacing w:line="360" w:lineRule="auto"/>
        <w:jc w:val="center"/>
        <w:rPr>
          <w:rFonts w:hint="eastAsia" w:ascii="宋体" w:hAnsi="宋体" w:cs="宋体"/>
          <w:b/>
          <w:bCs/>
          <w:sz w:val="60"/>
          <w:szCs w:val="60"/>
        </w:rPr>
      </w:pPr>
      <w:r>
        <w:rPr>
          <w:rFonts w:hint="eastAsia" w:ascii="宋体" w:hAnsi="宋体" w:cs="宋体"/>
          <w:b/>
          <w:bCs/>
          <w:color w:val="auto"/>
          <w:sz w:val="60"/>
          <w:szCs w:val="60"/>
        </w:rPr>
        <w:t>存储处理设备更新采购项目</w:t>
      </w:r>
      <w:r>
        <w:rPr>
          <w:rFonts w:hint="eastAsia" w:ascii="宋体" w:hAnsi="宋体" w:cs="宋体"/>
          <w:b/>
          <w:bCs/>
          <w:sz w:val="60"/>
          <w:szCs w:val="60"/>
        </w:rPr>
        <w:t>公开招标文件</w:t>
      </w:r>
    </w:p>
    <w:p>
      <w:pPr>
        <w:spacing w:line="360" w:lineRule="auto"/>
        <w:jc w:val="center"/>
        <w:rPr>
          <w:rFonts w:hint="eastAsia" w:ascii="宋体" w:hAnsi="宋体" w:cs="宋体"/>
          <w:b/>
          <w:bCs/>
          <w:sz w:val="60"/>
          <w:szCs w:val="60"/>
        </w:rPr>
      </w:pPr>
    </w:p>
    <w:p>
      <w:pPr>
        <w:pStyle w:val="33"/>
        <w:ind w:left="0" w:leftChars="0" w:firstLine="0" w:firstLineChars="0"/>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w:t>
      </w:r>
      <w:r>
        <w:rPr>
          <w:rFonts w:hint="eastAsia" w:ascii="宋体" w:hAnsi="宋体" w:cs="宋体"/>
          <w:bCs/>
          <w:color w:val="auto"/>
          <w:sz w:val="32"/>
          <w:szCs w:val="32"/>
        </w:rPr>
        <w:t>存储处理设备更新采购项目</w:t>
      </w:r>
      <w:bookmarkStart w:id="228" w:name="_GoBack"/>
      <w:bookmarkEnd w:id="228"/>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sz w:val="32"/>
          <w:szCs w:val="32"/>
        </w:rPr>
        <w:t>项目编号</w:t>
      </w:r>
      <w:r>
        <w:rPr>
          <w:rFonts w:hint="eastAsia" w:ascii="宋体" w:hAnsi="宋体" w:cs="宋体"/>
          <w:bCs/>
          <w:sz w:val="32"/>
          <w:szCs w:val="32"/>
          <w:lang w:val="en-US" w:eastAsia="zh-CN"/>
        </w:rPr>
        <w:t>/包号</w:t>
      </w:r>
      <w:r>
        <w:rPr>
          <w:rFonts w:hint="eastAsia" w:ascii="宋体" w:hAnsi="宋体" w:cs="宋体"/>
          <w:bCs/>
          <w:sz w:val="32"/>
          <w:szCs w:val="32"/>
        </w:rPr>
        <w:t>：</w:t>
      </w:r>
      <w:bookmarkStart w:id="0" w:name="OLE_LINK1"/>
      <w:r>
        <w:rPr>
          <w:rFonts w:hint="eastAsia" w:ascii="宋体" w:hAnsi="宋体" w:cs="宋体"/>
          <w:bCs/>
          <w:color w:val="auto"/>
          <w:sz w:val="32"/>
          <w:szCs w:val="32"/>
        </w:rPr>
        <w:t>11010726210200019380-XM001</w:t>
      </w:r>
      <w:bookmarkEnd w:id="0"/>
      <w:r>
        <w:rPr>
          <w:rFonts w:hint="eastAsia" w:ascii="宋体" w:hAnsi="宋体" w:cs="宋体"/>
          <w:bCs/>
          <w:color w:val="auto"/>
          <w:sz w:val="32"/>
          <w:szCs w:val="32"/>
          <w:lang w:val="en-US" w:eastAsia="zh-CN"/>
        </w:rPr>
        <w:t>/01</w:t>
      </w:r>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sz w:val="32"/>
          <w:szCs w:val="32"/>
        </w:rPr>
        <w:t>采 购 人：</w:t>
      </w:r>
      <w:r>
        <w:rPr>
          <w:rFonts w:hint="eastAsia" w:ascii="宋体" w:hAnsi="宋体" w:cs="宋体"/>
          <w:bCs/>
          <w:color w:val="auto"/>
          <w:sz w:val="32"/>
          <w:szCs w:val="32"/>
        </w:rPr>
        <w:t>北京市公安局石景山分局</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1" w:name="_Toc11889"/>
      <w:bookmarkStart w:id="2" w:name="_Toc99301418"/>
      <w:r>
        <w:rPr>
          <w:rFonts w:hint="eastAsia" w:ascii="宋体" w:hAnsi="宋体" w:cs="宋体"/>
          <w:b/>
          <w:color w:val="auto"/>
          <w:sz w:val="36"/>
          <w:szCs w:val="36"/>
        </w:rPr>
        <w:t>目     录</w:t>
      </w:r>
      <w:bookmarkEnd w:id="1"/>
      <w:bookmarkEnd w:id="2"/>
    </w:p>
    <w:p>
      <w:pPr>
        <w:rPr>
          <w:rFonts w:hint="eastAsia" w:ascii="宋体" w:hAnsi="宋体" w:cs="宋体"/>
        </w:rPr>
      </w:pPr>
    </w:p>
    <w:p>
      <w:pPr>
        <w:rPr>
          <w:rFonts w:hint="eastAsia" w:ascii="宋体" w:hAnsi="宋体" w:cs="宋体"/>
        </w:rPr>
      </w:pPr>
    </w:p>
    <w:p>
      <w:pPr>
        <w:rPr>
          <w:rFonts w:hint="eastAsia" w:ascii="宋体" w:hAnsi="宋体" w:cs="宋体"/>
        </w:rPr>
      </w:pPr>
    </w:p>
    <w:p>
      <w:pPr>
        <w:pStyle w:val="35"/>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rPr>
          <w:rFonts w:hint="eastAsia"/>
          <w:lang w:val="en-US" w:eastAsia="zh-CN"/>
        </w:rPr>
        <w:t>2</w:t>
      </w:r>
      <w:r>
        <w:fldChar w:fldCharType="end"/>
      </w:r>
      <w:r>
        <w:rPr>
          <w:rFonts w:hint="eastAsia"/>
          <w:lang w:val="en-US" w:eastAsia="zh-CN"/>
        </w:rPr>
        <w:t>2</w:t>
      </w:r>
    </w:p>
    <w:p>
      <w:pPr>
        <w:pStyle w:val="35"/>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rPr>
          <w:rFonts w:hint="eastAsia"/>
          <w:lang w:val="en-US" w:eastAsia="zh-CN"/>
        </w:rPr>
        <w:t>2</w:t>
      </w:r>
      <w:r>
        <w:fldChar w:fldCharType="end"/>
      </w:r>
      <w:r>
        <w:rPr>
          <w:rFonts w:hint="eastAsia"/>
          <w:lang w:val="en-US" w:eastAsia="zh-CN"/>
        </w:rPr>
        <w:t>4</w:t>
      </w:r>
    </w:p>
    <w:p>
      <w:pPr>
        <w:pStyle w:val="35"/>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4</w:t>
      </w:r>
    </w:p>
    <w:p>
      <w:pPr>
        <w:pStyle w:val="35"/>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4</w:t>
      </w:r>
      <w:r>
        <w:fldChar w:fldCharType="end"/>
      </w:r>
      <w:r>
        <w:rPr>
          <w:rFonts w:hint="eastAsia"/>
          <w:lang w:val="en-US" w:eastAsia="zh-CN"/>
        </w:rPr>
        <w:t>1</w:t>
      </w:r>
    </w:p>
    <w:p>
      <w:pPr>
        <w:pStyle w:val="35"/>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4</w:t>
      </w:r>
      <w:r>
        <w:fldChar w:fldCharType="end"/>
      </w:r>
      <w:r>
        <w:rPr>
          <w:rFonts w:hint="eastAsia"/>
          <w:lang w:val="en-US" w:eastAsia="zh-CN"/>
        </w:rPr>
        <w:t>8</w:t>
      </w:r>
    </w:p>
    <w:p>
      <w:pPr>
        <w:pStyle w:val="35"/>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3" w:name="_Toc10929"/>
      <w:r>
        <w:rPr>
          <w:rFonts w:hint="eastAsia" w:ascii="宋体" w:hAnsi="宋体" w:cs="宋体"/>
          <w:b/>
          <w:sz w:val="36"/>
          <w:szCs w:val="36"/>
        </w:rPr>
        <w:t>第一章   投标邀请</w:t>
      </w:r>
      <w:bookmarkEnd w:id="3"/>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color w:val="auto"/>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color w:val="auto"/>
          <w:sz w:val="24"/>
          <w:u w:val="single"/>
        </w:rPr>
        <w:t>11010726210200019380-XM001</w:t>
      </w:r>
    </w:p>
    <w:p>
      <w:pPr>
        <w:numPr>
          <w:ilvl w:val="0"/>
          <w:numId w:val="9"/>
        </w:num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存储处理设备更新采购项目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color w:val="auto"/>
          <w:sz w:val="24"/>
          <w:u w:val="single"/>
          <w:lang w:val="en-US" w:eastAsia="zh-CN"/>
        </w:rPr>
        <w:t>146.65</w:t>
      </w:r>
      <w:r>
        <w:rPr>
          <w:rFonts w:hint="eastAsia" w:ascii="宋体" w:hAnsi="宋体" w:cs="宋体"/>
          <w:color w:val="auto"/>
          <w:sz w:val="24"/>
        </w:rPr>
        <w:t>万元、项目最高限价：</w:t>
      </w:r>
      <w:r>
        <w:rPr>
          <w:rFonts w:hint="eastAsia" w:ascii="宋体" w:hAnsi="宋体" w:cs="宋体"/>
          <w:color w:val="auto"/>
          <w:sz w:val="24"/>
          <w:u w:val="single"/>
          <w:lang w:val="en-US" w:eastAsia="zh-CN"/>
        </w:rPr>
        <w:t>146.65</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8"/>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01</w:t>
            </w:r>
          </w:p>
        </w:tc>
        <w:tc>
          <w:tcPr>
            <w:tcW w:w="1673"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eastAsia="zh-CN"/>
              </w:rPr>
              <w:t>磁盘阵列及服务器</w:t>
            </w:r>
          </w:p>
        </w:tc>
        <w:tc>
          <w:tcPr>
            <w:tcW w:w="1507" w:type="dxa"/>
            <w:vAlign w:val="center"/>
          </w:tcPr>
          <w:p>
            <w:pPr>
              <w:spacing w:line="360" w:lineRule="auto"/>
              <w:jc w:val="center"/>
              <w:rPr>
                <w:rFonts w:hint="eastAsia" w:ascii="宋体" w:hAnsi="宋体" w:cs="宋体"/>
                <w:bCs/>
                <w:color w:val="auto"/>
                <w:sz w:val="24"/>
              </w:rPr>
            </w:pPr>
            <w:r>
              <w:rPr>
                <w:rFonts w:hint="eastAsia" w:ascii="宋体" w:hAnsi="宋体" w:cs="宋体"/>
                <w:color w:val="auto"/>
                <w:kern w:val="0"/>
                <w:sz w:val="24"/>
                <w:lang w:val="en-US" w:eastAsia="zh-CN" w:bidi="ar"/>
              </w:rPr>
              <w:t>146.65</w:t>
            </w:r>
            <w:r>
              <w:rPr>
                <w:rFonts w:hint="eastAsia" w:ascii="宋体" w:hAnsi="宋体" w:cs="宋体"/>
                <w:color w:val="auto"/>
                <w:kern w:val="0"/>
                <w:sz w:val="24"/>
                <w:lang w:bidi="ar"/>
              </w:rPr>
              <w:t>万元</w:t>
            </w:r>
          </w:p>
        </w:tc>
        <w:tc>
          <w:tcPr>
            <w:tcW w:w="973" w:type="dxa"/>
            <w:vAlign w:val="center"/>
          </w:tcPr>
          <w:p>
            <w:pPr>
              <w:spacing w:line="360" w:lineRule="auto"/>
              <w:jc w:val="center"/>
              <w:rPr>
                <w:rFonts w:hint="eastAsia" w:ascii="宋体" w:hAnsi="宋体" w:eastAsia="宋体" w:cs="宋体"/>
                <w:bCs/>
                <w:color w:val="FF0000"/>
                <w:sz w:val="24"/>
                <w:lang w:val="en-US" w:eastAsia="zh-CN"/>
              </w:rPr>
            </w:pPr>
            <w:r>
              <w:rPr>
                <w:rFonts w:hint="eastAsia" w:ascii="宋体" w:hAnsi="宋体" w:cs="宋体"/>
                <w:bCs/>
                <w:color w:val="auto"/>
                <w:sz w:val="24"/>
                <w:lang w:val="en-US" w:eastAsia="zh-CN"/>
              </w:rPr>
              <w:t>1批</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0"/>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color w:val="auto"/>
          <w:sz w:val="24"/>
        </w:rPr>
        <w:t>自合同签订之日起30个日历日内完成全部部署</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4"/>
        <w:spacing w:before="0" w:line="360" w:lineRule="auto"/>
        <w:jc w:val="left"/>
        <w:rPr>
          <w:rFonts w:hint="eastAsia" w:ascii="宋体" w:hAnsi="宋体" w:eastAsia="宋体" w:cs="宋体"/>
          <w:sz w:val="24"/>
          <w:szCs w:val="24"/>
        </w:rPr>
      </w:pPr>
      <w:bookmarkStart w:id="4" w:name="_Toc28359080"/>
      <w:bookmarkStart w:id="5" w:name="_Toc35393791"/>
      <w:bookmarkStart w:id="6" w:name="_Toc28359003"/>
      <w:bookmarkStart w:id="7" w:name="_Toc35393622"/>
      <w:r>
        <w:rPr>
          <w:rFonts w:hint="eastAsia" w:ascii="宋体" w:hAnsi="宋体" w:eastAsia="宋体" w:cs="宋体"/>
          <w:sz w:val="24"/>
          <w:szCs w:val="24"/>
        </w:rPr>
        <w:t>二、申请人的资格要求（须同时满足）</w:t>
      </w:r>
      <w:bookmarkEnd w:id="4"/>
      <w:bookmarkEnd w:id="5"/>
      <w:bookmarkEnd w:id="6"/>
      <w:bookmarkEnd w:id="7"/>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8" w:name="_Toc35393792"/>
      <w:bookmarkStart w:id="9" w:name="_Toc35393623"/>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FF0000"/>
          <w:sz w:val="24"/>
        </w:rPr>
      </w:pP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lang w:val="en-US" w:eastAsia="zh-CN"/>
        </w:rPr>
        <w:t xml:space="preserve"> </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：提供的货物全部由符合政策要求的中小/小微企业制造、服务全部由符合政策要求的</w:t>
      </w:r>
      <w:r>
        <w:rPr>
          <w:rFonts w:hint="eastAsia" w:ascii="宋体" w:hAnsi="宋体" w:cs="宋体"/>
          <w:color w:val="auto"/>
          <w:sz w:val="24"/>
        </w:rPr>
        <w:t>中小/小微企业承接。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8"/>
      <w:bookmarkEnd w:id="9"/>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6</w:t>
      </w:r>
      <w:r>
        <w:rPr>
          <w:rFonts w:hint="eastAsia" w:ascii="宋体" w:hAnsi="宋体" w:cs="宋体"/>
          <w:color w:val="auto"/>
          <w:sz w:val="24"/>
          <w:u w:val="single"/>
        </w:rPr>
        <w:t>月</w:t>
      </w:r>
      <w:r>
        <w:rPr>
          <w:rFonts w:hint="eastAsia" w:ascii="宋体" w:hAnsi="宋体" w:cs="宋体"/>
          <w:color w:val="auto"/>
          <w:sz w:val="24"/>
          <w:u w:val="single"/>
          <w:lang w:val="en-US" w:eastAsia="zh-CN"/>
        </w:rPr>
        <w:t>6</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6</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12</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10" w:name="_Toc28359082"/>
      <w:bookmarkStart w:id="11" w:name="_Toc28359005"/>
      <w:bookmarkStart w:id="12" w:name="_Toc35393624"/>
      <w:bookmarkStart w:id="13" w:name="_Toc35393793"/>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4"/>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10"/>
      <w:bookmarkEnd w:id="11"/>
      <w:r>
        <w:rPr>
          <w:rFonts w:hint="eastAsia" w:ascii="宋体" w:hAnsi="宋体" w:eastAsia="宋体" w:cs="宋体"/>
          <w:sz w:val="24"/>
          <w:szCs w:val="24"/>
        </w:rPr>
        <w:t>截止时间、开标时间和地点</w:t>
      </w:r>
      <w:bookmarkEnd w:id="12"/>
      <w:bookmarkEnd w:id="13"/>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6</w:t>
      </w:r>
      <w:r>
        <w:rPr>
          <w:rFonts w:hint="eastAsia" w:ascii="宋体" w:hAnsi="宋体" w:cs="宋体"/>
          <w:color w:val="auto"/>
          <w:sz w:val="24"/>
          <w:u w:val="single"/>
        </w:rPr>
        <w:t>月</w:t>
      </w:r>
      <w:r>
        <w:rPr>
          <w:rFonts w:hint="eastAsia" w:ascii="宋体" w:hAnsi="宋体" w:cs="宋体"/>
          <w:color w:val="auto"/>
          <w:sz w:val="24"/>
          <w:u w:val="single"/>
          <w:lang w:val="en-US" w:eastAsia="zh-CN"/>
        </w:rPr>
        <w:t>26</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4"/>
        <w:spacing w:before="0" w:line="360" w:lineRule="auto"/>
        <w:jc w:val="left"/>
        <w:rPr>
          <w:rFonts w:hint="eastAsia" w:ascii="宋体" w:hAnsi="宋体" w:eastAsia="宋体" w:cs="宋体"/>
          <w:sz w:val="24"/>
          <w:szCs w:val="24"/>
        </w:rPr>
      </w:pPr>
      <w:bookmarkStart w:id="14" w:name="_Toc35393625"/>
      <w:bookmarkStart w:id="15" w:name="_Toc35393794"/>
      <w:bookmarkStart w:id="16" w:name="_Toc28359007"/>
      <w:bookmarkStart w:id="17" w:name="_Toc28359084"/>
      <w:r>
        <w:rPr>
          <w:rFonts w:hint="eastAsia" w:ascii="宋体" w:hAnsi="宋体" w:eastAsia="宋体" w:cs="宋体"/>
          <w:sz w:val="24"/>
          <w:szCs w:val="24"/>
        </w:rPr>
        <w:t>五、公告期限</w:t>
      </w:r>
      <w:bookmarkEnd w:id="14"/>
      <w:bookmarkEnd w:id="15"/>
      <w:bookmarkEnd w:id="16"/>
      <w:bookmarkEnd w:id="17"/>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4"/>
        <w:spacing w:before="0" w:line="360" w:lineRule="auto"/>
        <w:jc w:val="left"/>
        <w:rPr>
          <w:rFonts w:hint="eastAsia" w:ascii="宋体" w:hAnsi="宋体" w:eastAsia="宋体" w:cs="宋体"/>
          <w:sz w:val="24"/>
          <w:szCs w:val="24"/>
        </w:rPr>
      </w:pPr>
      <w:bookmarkStart w:id="18" w:name="_Toc35393626"/>
      <w:bookmarkStart w:id="19" w:name="_Toc35393795"/>
      <w:r>
        <w:rPr>
          <w:rFonts w:hint="eastAsia" w:ascii="宋体" w:hAnsi="宋体" w:eastAsia="宋体" w:cs="宋体"/>
          <w:sz w:val="24"/>
          <w:szCs w:val="24"/>
        </w:rPr>
        <w:t>六、其他补充事宜</w:t>
      </w:r>
      <w:bookmarkEnd w:id="18"/>
      <w:bookmarkEnd w:id="19"/>
    </w:p>
    <w:p>
      <w:pPr>
        <w:widowControl/>
        <w:adjustRightInd w:val="0"/>
        <w:snapToGrid w:val="0"/>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asciiTheme="minorEastAsia" w:hAnsiTheme="minorEastAsia" w:eastAsiaTheme="minorEastAsia"/>
          <w:color w:val="auto"/>
          <w:sz w:val="24"/>
        </w:rPr>
        <w:t>《中华人民共和国政府采购法》、《中华人民共和国政府采购法实施条例》、</w:t>
      </w:r>
      <w:r>
        <w:rPr>
          <w:rFonts w:hint="eastAsia" w:ascii="宋体" w:hAnsi="宋体" w:eastAsia="宋体" w:cs="宋体"/>
          <w:i w:val="0"/>
          <w:caps w:val="0"/>
          <w:color w:val="000000"/>
          <w:spacing w:val="0"/>
          <w:sz w:val="24"/>
          <w:szCs w:val="24"/>
          <w:shd w:val="clear" w:fill="FFFFFF"/>
        </w:rPr>
        <w:t>中华人民共和国财政部令第</w:t>
      </w:r>
      <w:r>
        <w:rPr>
          <w:rFonts w:hint="eastAsia" w:ascii="宋体" w:hAnsi="宋体" w:cs="宋体"/>
          <w:i w:val="0"/>
          <w:caps w:val="0"/>
          <w:color w:val="000000"/>
          <w:spacing w:val="0"/>
          <w:sz w:val="24"/>
          <w:szCs w:val="24"/>
          <w:shd w:val="clear" w:fill="FFFFFF"/>
          <w:lang w:val="en-US" w:eastAsia="zh-CN"/>
        </w:rPr>
        <w:t>87</w:t>
      </w:r>
      <w:r>
        <w:rPr>
          <w:rFonts w:hint="eastAsia" w:ascii="宋体" w:hAnsi="宋体" w:eastAsia="宋体" w:cs="宋体"/>
          <w:i w:val="0"/>
          <w:caps w:val="0"/>
          <w:color w:val="000000"/>
          <w:spacing w:val="0"/>
          <w:sz w:val="24"/>
          <w:szCs w:val="24"/>
          <w:shd w:val="clear" w:fill="FFFFFF"/>
        </w:rPr>
        <w:t>号</w:t>
      </w:r>
      <w:r>
        <w:rPr>
          <w:rFonts w:hint="eastAsia" w:asciiTheme="minorEastAsia" w:hAnsiTheme="minorEastAsia" w:eastAsiaTheme="minorEastAsia"/>
          <w:color w:val="auto"/>
          <w:sz w:val="24"/>
        </w:rPr>
        <w:t>《政府采购货物和服务招标投标管理办法》</w:t>
      </w:r>
      <w:r>
        <w:rPr>
          <w:rFonts w:hint="eastAsia" w:asciiTheme="minorEastAsia" w:hAnsiTheme="minorEastAsia" w:eastAsiaTheme="minorEastAsia"/>
          <w:color w:val="auto"/>
          <w:sz w:val="24"/>
          <w:lang w:eastAsia="zh-CN"/>
        </w:rPr>
        <w:t>、</w:t>
      </w:r>
      <w:r>
        <w:rPr>
          <w:rFonts w:hint="eastAsia" w:ascii="宋体" w:hAnsi="宋体" w:eastAsia="宋体" w:cs="宋体"/>
          <w:i w:val="0"/>
          <w:caps w:val="0"/>
          <w:color w:val="000000"/>
          <w:spacing w:val="0"/>
          <w:sz w:val="24"/>
          <w:szCs w:val="24"/>
          <w:shd w:val="clear" w:fill="FFFFFF"/>
        </w:rPr>
        <w:t>中华人民共和国财政部令第94号《政府采购质疑和投诉办法》</w:t>
      </w:r>
      <w:r>
        <w:rPr>
          <w:rFonts w:hint="eastAsia" w:ascii="宋体" w:hAnsi="宋体" w:eastAsia="宋体" w:cs="宋体"/>
          <w:i w:val="0"/>
          <w:caps w:val="0"/>
          <w:color w:val="000000"/>
          <w:spacing w:val="0"/>
          <w:sz w:val="24"/>
          <w:szCs w:val="24"/>
          <w:shd w:val="clear" w:fill="FFFFFF"/>
          <w:lang w:eastAsia="zh-CN"/>
        </w:rPr>
        <w:t>、中华人民共和国财政部令第101号《政府采购信息发布管理办法》、</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中华人民共和国财政部令第102号《政府购买服务管理办法》</w:t>
      </w:r>
      <w:r>
        <w:rPr>
          <w:rFonts w:hint="eastAsia" w:asciiTheme="minorEastAsia" w:hAnsiTheme="minorEastAsia" w:eastAsiaTheme="minorEastAsia"/>
          <w:color w:val="auto"/>
          <w:sz w:val="24"/>
          <w:lang w:eastAsia="zh-CN"/>
        </w:rPr>
        <w:t>、</w:t>
      </w:r>
      <w:r>
        <w:rPr>
          <w:rFonts w:asciiTheme="minorEastAsia" w:hAnsiTheme="minorEastAsia" w:eastAsiaTheme="minorEastAsia"/>
          <w:color w:val="auto"/>
          <w:sz w:val="24"/>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w:t>
      </w:r>
      <w:r>
        <w:rPr>
          <w:rFonts w:hint="eastAsia" w:asciiTheme="minorEastAsia" w:hAnsiTheme="minorEastAsia" w:eastAsiaTheme="minorEastAsia"/>
          <w:color w:val="auto"/>
          <w:sz w:val="24"/>
        </w:rPr>
        <w:t>、</w:t>
      </w:r>
      <w:r>
        <w:rPr>
          <w:rFonts w:ascii="宋体" w:hAnsi="宋体"/>
          <w:color w:val="auto"/>
          <w:sz w:val="24"/>
        </w:rPr>
        <w:t>《政府采购促进中小企业发展管理办法》（财库[2020]46号）</w:t>
      </w:r>
      <w:r>
        <w:rPr>
          <w:rFonts w:hint="eastAsia" w:ascii="宋体" w:hAnsi="宋体"/>
          <w:color w:val="auto"/>
          <w:sz w:val="24"/>
        </w:rPr>
        <w:t>、</w:t>
      </w:r>
      <w:r>
        <w:rPr>
          <w:rFonts w:hint="eastAsia" w:asciiTheme="minorEastAsia" w:hAnsiTheme="minorEastAsia" w:eastAsiaTheme="minorEastAsia"/>
          <w:color w:val="auto"/>
          <w:sz w:val="24"/>
        </w:rPr>
        <w:t>北京市石景山区财政局《转发北京市财政局 中国人民银行营业管理部关于推进政府采购合同线上融资有关工作的通知》</w:t>
      </w:r>
      <w:r>
        <w:rPr>
          <w:rFonts w:hint="eastAsia" w:asciiTheme="minorEastAsia" w:hAnsiTheme="minorEastAsia" w:eastAsiaTheme="minorEastAsia"/>
          <w:color w:val="auto"/>
          <w:sz w:val="24"/>
          <w:lang w:eastAsia="zh-CN"/>
        </w:rPr>
        <w:t>、</w:t>
      </w:r>
      <w:r>
        <w:rPr>
          <w:rFonts w:hint="eastAsia" w:ascii="宋体" w:hAnsi="宋体"/>
          <w:color w:val="auto"/>
          <w:sz w:val="24"/>
        </w:rPr>
        <w:t>《财政部关于推动解决政府采购异常低价问题的通知》（财办库〔2026〕2号）</w:t>
      </w:r>
      <w:r>
        <w:rPr>
          <w:rFonts w:hint="eastAsia" w:ascii="宋体" w:hAnsi="宋体"/>
          <w:color w:val="auto"/>
          <w:sz w:val="24"/>
          <w:lang w:eastAsia="zh-CN"/>
        </w:rPr>
        <w:t>、《国务院办公厅关于在政府采购中实施本国产品标准及相关政策的通知》（国办发〔2025〕34号）、《关于贯彻落实&lt;国务院办公厅关于在政府采购中实施本国产品标准及相关政策的通知&gt;的意见》（财库〔2025〕30号）、</w:t>
      </w:r>
      <w:r>
        <w:rPr>
          <w:rFonts w:hint="eastAsia" w:asciiTheme="minorEastAsia" w:hAnsiTheme="minorEastAsia" w:eastAsiaTheme="minorEastAsia"/>
          <w:color w:val="auto"/>
          <w:sz w:val="24"/>
          <w:lang w:eastAsia="zh-CN"/>
        </w:rPr>
        <w:t>北京市财政局《关于转发财政部在政府采购中实施本国产品标准和解决异常低价问题有关事项的通知》（京财采购〔2026〕211号）</w:t>
      </w:r>
      <w:r>
        <w:rPr>
          <w:rFonts w:hint="eastAsia" w:asciiTheme="minorEastAsia" w:hAnsiTheme="minorEastAsia" w:eastAsiaTheme="minorEastAsia"/>
          <w:color w:val="auto"/>
          <w:sz w:val="24"/>
        </w:rPr>
        <w:t>及其它相关法律法规。</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6"/>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6"/>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6"/>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6"/>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6"/>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6"/>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6"/>
        <w:spacing w:before="15" w:line="360" w:lineRule="auto"/>
        <w:ind w:left="498"/>
        <w:rPr>
          <w:rFonts w:hint="eastAsia" w:cs="宋体"/>
        </w:rPr>
      </w:pPr>
      <w:r>
        <w:rPr>
          <w:rFonts w:hint="eastAsia" w:cs="宋体"/>
          <w:spacing w:val="3"/>
        </w:rPr>
        <w:t>3.2 注册</w:t>
      </w:r>
    </w:p>
    <w:p>
      <w:pPr>
        <w:pStyle w:val="16"/>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6"/>
        <w:spacing w:before="9" w:line="360" w:lineRule="auto"/>
        <w:ind w:left="498"/>
        <w:rPr>
          <w:rFonts w:hint="eastAsia" w:cs="宋体"/>
        </w:rPr>
      </w:pPr>
      <w:r>
        <w:rPr>
          <w:rFonts w:hint="eastAsia" w:cs="宋体"/>
          <w:spacing w:val="1"/>
        </w:rPr>
        <w:t>3.3 驱动、客户端下载</w:t>
      </w:r>
    </w:p>
    <w:p>
      <w:pPr>
        <w:pStyle w:val="16"/>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6"/>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6"/>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6"/>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6"/>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6"/>
        <w:spacing w:before="11" w:line="360" w:lineRule="auto"/>
        <w:ind w:left="498"/>
        <w:rPr>
          <w:rFonts w:hint="eastAsia" w:cs="宋体"/>
        </w:rPr>
      </w:pPr>
      <w:r>
        <w:rPr>
          <w:rFonts w:hint="eastAsia" w:cs="宋体"/>
          <w:spacing w:val="1"/>
        </w:rPr>
        <w:t>3.5 编制电子投标文件</w:t>
      </w:r>
    </w:p>
    <w:p>
      <w:pPr>
        <w:pStyle w:val="16"/>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6"/>
        <w:spacing w:before="15" w:line="360" w:lineRule="auto"/>
        <w:ind w:left="498"/>
        <w:rPr>
          <w:rFonts w:hint="eastAsia" w:cs="宋体"/>
        </w:rPr>
      </w:pPr>
      <w:r>
        <w:rPr>
          <w:rFonts w:hint="eastAsia" w:cs="宋体"/>
          <w:spacing w:val="1"/>
        </w:rPr>
        <w:t>3.6 提交电子投标文件</w:t>
      </w:r>
    </w:p>
    <w:p>
      <w:pPr>
        <w:pStyle w:val="16"/>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6"/>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6"/>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20" w:name="_Toc35393796"/>
      <w:bookmarkStart w:id="21" w:name="_Toc28359008"/>
      <w:bookmarkStart w:id="22" w:name="_Toc35393627"/>
      <w:bookmarkStart w:id="23" w:name="_Toc28359085"/>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0"/>
      <w:bookmarkEnd w:id="21"/>
      <w:bookmarkEnd w:id="22"/>
      <w:bookmarkEnd w:id="23"/>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4" w:name="_Toc28359086"/>
      <w:bookmarkStart w:id="25" w:name="_Toc28359009"/>
    </w:p>
    <w:p>
      <w:pPr>
        <w:widowControl/>
        <w:spacing w:line="360" w:lineRule="auto"/>
        <w:ind w:firstLine="480" w:firstLineChars="200"/>
        <w:jc w:val="left"/>
        <w:rPr>
          <w:rFonts w:hint="eastAsia" w:ascii="宋体" w:hAnsi="宋体" w:cs="宋体"/>
          <w:color w:val="FF0000"/>
          <w:sz w:val="24"/>
        </w:rPr>
      </w:pPr>
      <w:r>
        <w:rPr>
          <w:rFonts w:hint="eastAsia" w:ascii="宋体" w:hAnsi="宋体" w:cs="宋体"/>
          <w:color w:val="auto"/>
          <w:sz w:val="24"/>
        </w:rPr>
        <w:t>名    称：</w:t>
      </w:r>
      <w:r>
        <w:rPr>
          <w:rFonts w:hint="eastAsia" w:ascii="宋体" w:hAnsi="宋体" w:cs="宋体"/>
          <w:bCs/>
          <w:color w:val="auto"/>
          <w:sz w:val="24"/>
          <w:u w:val="single"/>
        </w:rPr>
        <w:t>北京市公安局石景山分局</w:t>
      </w:r>
      <w:r>
        <w:rPr>
          <w:rFonts w:hint="eastAsia" w:ascii="宋体" w:hAnsi="宋体" w:cs="宋体"/>
          <w:color w:val="FF0000"/>
          <w:sz w:val="24"/>
        </w:rPr>
        <w:t xml:space="preserve"> </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北京市石景山区古城南里甲1号</w:t>
      </w:r>
    </w:p>
    <w:p>
      <w:pPr>
        <w:spacing w:line="360" w:lineRule="auto"/>
        <w:ind w:firstLine="480" w:firstLineChars="200"/>
        <w:jc w:val="left"/>
        <w:rPr>
          <w:rFonts w:hint="eastAsia" w:ascii="宋体" w:hAnsi="宋体" w:cs="宋体"/>
          <w:color w:val="FF0000"/>
          <w:sz w:val="24"/>
          <w:u w:val="single"/>
        </w:rPr>
      </w:pPr>
      <w:r>
        <w:rPr>
          <w:rFonts w:hint="eastAsia" w:ascii="宋体" w:hAnsi="宋体" w:cs="宋体"/>
          <w:color w:val="auto"/>
          <w:sz w:val="24"/>
        </w:rPr>
        <w:t>联系方式：</w:t>
      </w:r>
      <w:r>
        <w:rPr>
          <w:rFonts w:hint="eastAsia" w:ascii="宋体" w:hAnsi="宋体" w:eastAsia="宋体" w:cs="宋体"/>
          <w:color w:val="auto"/>
          <w:sz w:val="24"/>
          <w:szCs w:val="24"/>
          <w:u w:val="single"/>
          <w:lang w:eastAsia="zh-CN"/>
        </w:rPr>
        <w:t>胡唯</w:t>
      </w:r>
      <w:r>
        <w:rPr>
          <w:rFonts w:hint="eastAsia" w:ascii="宋体" w:hAnsi="宋体" w:eastAsia="宋体" w:cs="宋体"/>
          <w:color w:val="auto"/>
          <w:sz w:val="24"/>
          <w:szCs w:val="24"/>
          <w:u w:val="single"/>
          <w:lang w:val="en-US" w:eastAsia="zh-CN"/>
        </w:rPr>
        <w:t>010-</w:t>
      </w:r>
      <w:r>
        <w:rPr>
          <w:rFonts w:hint="eastAsia" w:ascii="宋体" w:hAnsi="宋体" w:eastAsia="宋体" w:cs="宋体"/>
          <w:i w:val="0"/>
          <w:caps w:val="0"/>
          <w:color w:val="auto"/>
          <w:spacing w:val="0"/>
          <w:sz w:val="24"/>
          <w:szCs w:val="24"/>
          <w:u w:val="single"/>
          <w:shd w:val="clear" w:fill="FFFFFF"/>
        </w:rPr>
        <w:t>8</w:t>
      </w:r>
      <w:r>
        <w:rPr>
          <w:rFonts w:hint="eastAsia" w:ascii="宋体" w:hAnsi="宋体" w:eastAsia="宋体" w:cs="宋体"/>
          <w:i w:val="0"/>
          <w:caps w:val="0"/>
          <w:spacing w:val="0"/>
          <w:sz w:val="24"/>
          <w:szCs w:val="24"/>
          <w:u w:val="single"/>
          <w:shd w:val="clear" w:fill="FFFFFF"/>
        </w:rPr>
        <w:t>8788205</w:t>
      </w:r>
    </w:p>
    <w:p>
      <w:pP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2.采购代理机构信息</w:t>
      </w:r>
      <w:bookmarkEnd w:id="24"/>
      <w:bookmarkEnd w:id="25"/>
    </w:p>
    <w:p>
      <w:pPr>
        <w:spacing w:line="360" w:lineRule="auto"/>
        <w:ind w:firstLine="480" w:firstLineChars="200"/>
        <w:jc w:val="left"/>
        <w:rPr>
          <w:rFonts w:hint="eastAsia" w:ascii="宋体" w:hAnsi="宋体" w:cs="宋体"/>
          <w:color w:val="auto"/>
          <w:sz w:val="24"/>
        </w:rPr>
      </w:pPr>
      <w:bookmarkStart w:id="26" w:name="_Toc28359087"/>
      <w:bookmarkStart w:id="27" w:name="_Toc28359010"/>
      <w:r>
        <w:rPr>
          <w:rFonts w:hint="eastAsia" w:ascii="宋体" w:hAnsi="宋体" w:cs="宋体"/>
          <w:color w:val="auto"/>
          <w:sz w:val="24"/>
        </w:rPr>
        <w:t>名    称：</w:t>
      </w:r>
      <w:r>
        <w:rPr>
          <w:rFonts w:hint="eastAsia" w:ascii="宋体" w:hAnsi="宋体" w:cs="宋体"/>
          <w:bCs/>
          <w:color w:val="auto"/>
          <w:sz w:val="24"/>
          <w:u w:val="single"/>
        </w:rPr>
        <w:t>北京市石景山区政府采购中心</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bCs/>
          <w:color w:val="auto"/>
          <w:sz w:val="24"/>
          <w:u w:val="single"/>
        </w:rPr>
        <w:t>北京市石景山区京原西街6号院3号楼7层</w:t>
      </w:r>
    </w:p>
    <w:p>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val="en-US" w:eastAsia="zh-CN"/>
        </w:rPr>
        <w:t>010-</w:t>
      </w:r>
      <w:r>
        <w:rPr>
          <w:rFonts w:hint="eastAsia" w:ascii="宋体" w:hAnsi="宋体" w:cs="宋体"/>
          <w:bCs/>
          <w:color w:val="auto"/>
          <w:sz w:val="24"/>
          <w:u w:val="single"/>
        </w:rPr>
        <w:t>81927379</w:t>
      </w:r>
    </w:p>
    <w:p>
      <w:pPr>
        <w:spacing w:line="360" w:lineRule="auto"/>
        <w:ind w:firstLine="482" w:firstLineChars="200"/>
        <w:rPr>
          <w:rFonts w:hint="eastAsia" w:ascii="宋体" w:hAnsi="宋体" w:cs="宋体"/>
          <w:b/>
          <w:color w:val="auto"/>
          <w:sz w:val="24"/>
          <w:u w:val="single"/>
        </w:rPr>
      </w:pPr>
      <w:r>
        <w:rPr>
          <w:rFonts w:hint="eastAsia" w:ascii="宋体" w:hAnsi="宋体" w:cs="宋体"/>
          <w:b/>
          <w:color w:val="auto"/>
          <w:sz w:val="24"/>
        </w:rPr>
        <w:t>3.项目联系方式</w:t>
      </w:r>
      <w:bookmarkEnd w:id="26"/>
      <w:bookmarkEnd w:id="27"/>
    </w:p>
    <w:p>
      <w:pPr>
        <w:pStyle w:val="27"/>
        <w:spacing w:line="360" w:lineRule="auto"/>
        <w:ind w:firstLine="480" w:firstLineChars="200"/>
        <w:rPr>
          <w:rFonts w:hAnsi="宋体" w:cs="宋体"/>
          <w:color w:val="auto"/>
          <w:sz w:val="24"/>
          <w:szCs w:val="24"/>
          <w:u w:val="single"/>
          <w:lang w:bidi="ar"/>
        </w:rPr>
      </w:pPr>
      <w:r>
        <w:rPr>
          <w:rFonts w:hAnsi="宋体" w:cs="宋体"/>
          <w:color w:val="auto"/>
          <w:sz w:val="24"/>
          <w:szCs w:val="24"/>
        </w:rPr>
        <w:t>项目联系人：</w:t>
      </w:r>
      <w:r>
        <w:rPr>
          <w:rFonts w:hint="eastAsia" w:ascii="宋体" w:hAnsi="宋体" w:cs="宋体"/>
          <w:color w:val="auto"/>
          <w:sz w:val="24"/>
          <w:u w:val="single"/>
          <w:lang w:eastAsia="zh-CN"/>
        </w:rPr>
        <w:t>朱彦超</w:t>
      </w:r>
    </w:p>
    <w:p>
      <w:pPr>
        <w:pStyle w:val="27"/>
        <w:spacing w:line="360" w:lineRule="auto"/>
        <w:ind w:firstLine="480" w:firstLineChars="200"/>
        <w:rPr>
          <w:rFonts w:hint="eastAsia" w:hAnsi="宋体" w:cs="宋体"/>
          <w:bCs/>
          <w:color w:val="auto"/>
          <w:sz w:val="24"/>
          <w:szCs w:val="24"/>
          <w:u w:val="single"/>
          <w:lang w:val="en-US" w:eastAsia="zh-CN"/>
        </w:rPr>
      </w:pPr>
      <w:r>
        <w:rPr>
          <w:rFonts w:hAnsi="宋体" w:cs="宋体"/>
          <w:color w:val="auto"/>
          <w:sz w:val="24"/>
          <w:szCs w:val="24"/>
        </w:rPr>
        <w:t>电      话：</w:t>
      </w:r>
      <w:r>
        <w:rPr>
          <w:rFonts w:hint="eastAsia" w:hAnsi="宋体" w:cs="宋体"/>
          <w:color w:val="auto"/>
          <w:sz w:val="24"/>
          <w:szCs w:val="24"/>
          <w:u w:val="single"/>
          <w:lang w:val="en-US" w:eastAsia="zh-CN"/>
        </w:rPr>
        <w:t>010-</w:t>
      </w:r>
      <w:r>
        <w:rPr>
          <w:rFonts w:hint="eastAsia" w:hAnsi="宋体" w:cs="宋体"/>
          <w:bCs/>
          <w:color w:val="auto"/>
          <w:sz w:val="24"/>
          <w:szCs w:val="24"/>
          <w:u w:val="single"/>
          <w:lang w:val="en-US" w:eastAsia="zh-CN"/>
        </w:rPr>
        <w:t>81927379</w:t>
      </w:r>
    </w:p>
    <w:p>
      <w:pPr>
        <w:pStyle w:val="27"/>
        <w:spacing w:line="360" w:lineRule="auto"/>
        <w:ind w:firstLine="480" w:firstLineChars="200"/>
        <w:rPr>
          <w:rFonts w:hint="eastAsia" w:hAnsi="宋体" w:cs="宋体"/>
          <w:bCs/>
          <w:color w:val="000000"/>
          <w:sz w:val="24"/>
          <w:szCs w:val="24"/>
          <w:u w:val="single"/>
          <w:lang w:val="en-US" w:eastAsia="zh-CN"/>
        </w:rPr>
      </w:pPr>
    </w:p>
    <w:p>
      <w:pPr>
        <w:spacing w:before="76" w:line="360" w:lineRule="auto"/>
        <w:ind w:right="58"/>
        <w:jc w:val="center"/>
        <w:rPr>
          <w:rFonts w:hint="eastAsia" w:ascii="宋体" w:hAnsi="宋体" w:cs="宋体"/>
          <w:spacing w:val="-12"/>
          <w:sz w:val="24"/>
        </w:rPr>
      </w:pPr>
    </w:p>
    <w:p>
      <w:pPr>
        <w:pStyle w:val="4"/>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8" w:name="_Toc150774783"/>
      <w:bookmarkStart w:id="29" w:name="_Toc353873938"/>
      <w:bookmarkStart w:id="30" w:name="_Toc265228423"/>
      <w:bookmarkStart w:id="31" w:name="_Toc353825548"/>
      <w:bookmarkStart w:id="32" w:name="_Toc512937850"/>
      <w:bookmarkStart w:id="33" w:name="_Toc195842950"/>
      <w:bookmarkStart w:id="34" w:name="_Toc226965856"/>
      <w:bookmarkStart w:id="35" w:name="_Toc127151777"/>
      <w:bookmarkStart w:id="36" w:name="_Toc127161488"/>
      <w:bookmarkStart w:id="37" w:name="_Toc264969275"/>
      <w:bookmarkStart w:id="38" w:name="_Toc305158854"/>
      <w:bookmarkStart w:id="39" w:name="_Toc305158928"/>
      <w:bookmarkStart w:id="40" w:name="_Toc15240"/>
      <w:r>
        <w:rPr>
          <w:rFonts w:hint="eastAsia" w:ascii="宋体" w:hAnsi="宋体" w:cs="宋体"/>
          <w:b/>
          <w:sz w:val="36"/>
          <w:szCs w:val="36"/>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center" w:pos="4592"/>
          <w:tab w:val="left" w:pos="7860"/>
        </w:tabs>
        <w:spacing w:before="0" w:line="360" w:lineRule="auto"/>
        <w:rPr>
          <w:rFonts w:hint="eastAsia" w:ascii="宋体" w:hAnsi="宋体" w:eastAsia="宋体" w:cs="宋体"/>
          <w:sz w:val="28"/>
        </w:rPr>
      </w:pPr>
      <w:bookmarkStart w:id="41" w:name="_Toc142311021"/>
      <w:bookmarkStart w:id="42" w:name="_Toc150509270"/>
      <w:bookmarkStart w:id="43" w:name="_Toc151190146"/>
      <w:bookmarkStart w:id="44" w:name="_Toc164229360"/>
      <w:bookmarkStart w:id="45" w:name="_Toc151193761"/>
      <w:bookmarkStart w:id="46" w:name="_Toc164229214"/>
      <w:bookmarkStart w:id="47" w:name="_Toc149720812"/>
      <w:bookmarkStart w:id="48" w:name="_Toc127161433"/>
      <w:bookmarkStart w:id="49" w:name="_Toc127151519"/>
      <w:bookmarkStart w:id="50" w:name="_Toc164608633"/>
      <w:bookmarkStart w:id="51" w:name="_Toc151193617"/>
      <w:bookmarkStart w:id="52" w:name="_Toc520356144"/>
      <w:bookmarkStart w:id="53" w:name="_Toc164351613"/>
      <w:bookmarkStart w:id="54" w:name="_Toc151193907"/>
      <w:bookmarkStart w:id="55" w:name="_Toc226337215"/>
      <w:bookmarkStart w:id="56" w:name="_Toc226965792"/>
      <w:bookmarkStart w:id="57" w:name="_Toc127151720"/>
      <w:bookmarkStart w:id="58" w:name="_Toc226965709"/>
      <w:bookmarkStart w:id="59" w:name="_Toc164608788"/>
      <w:bookmarkStart w:id="60" w:name="_Toc150774724"/>
      <w:bookmarkStart w:id="61" w:name="_Toc150480757"/>
      <w:bookmarkStart w:id="62" w:name="_Toc226309763"/>
      <w:bookmarkStart w:id="63" w:name="_Toc150774619"/>
      <w:bookmarkStart w:id="64" w:name="_Toc151193833"/>
      <w:bookmarkStart w:id="65" w:name="_Toc151193689"/>
      <w:bookmarkStart w:id="66" w:name="_Toc195842884"/>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7"/>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项目属性：</w:t>
            </w:r>
          </w:p>
          <w:p>
            <w:pPr>
              <w:jc w:val="left"/>
              <w:rPr>
                <w:rFonts w:hint="eastAsia" w:ascii="宋体" w:hAnsi="宋体" w:cs="宋体"/>
                <w:color w:val="auto"/>
                <w:sz w:val="24"/>
              </w:rPr>
            </w:pPr>
            <w:r>
              <w:rPr>
                <w:rFonts w:hAnsi="宋体" w:cs="宋体"/>
                <w:color w:val="auto"/>
                <w:sz w:val="24"/>
                <w:szCs w:val="24"/>
              </w:rPr>
              <w:t>□</w:t>
            </w:r>
            <w:r>
              <w:rPr>
                <w:rFonts w:hint="eastAsia" w:ascii="宋体" w:hAnsi="宋体" w:cs="宋体"/>
                <w:color w:val="auto"/>
                <w:sz w:val="24"/>
              </w:rPr>
              <w:t>服务</w:t>
            </w:r>
          </w:p>
          <w:p>
            <w:pPr>
              <w:jc w:val="left"/>
            </w:pPr>
            <w:r>
              <w:rPr>
                <w:rFonts w:hint="eastAsia" w:ascii="宋体" w:hAnsi="宋体" w:cs="宋体"/>
                <w:color w:val="auto"/>
                <w:szCs w:val="21"/>
              </w:rPr>
              <w:t>■</w:t>
            </w:r>
            <w:r>
              <w:rPr>
                <w:rFonts w:hint="eastAsia" w:ascii="宋体" w:hAnsi="宋体" w:cs="宋体"/>
                <w:color w:val="auto"/>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7"/>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7"/>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7"/>
              <w:adjustRightInd w:val="0"/>
              <w:snapToGrid w:val="0"/>
              <w:rPr>
                <w:rFonts w:hAnsi="宋体" w:cs="宋体"/>
                <w:sz w:val="24"/>
                <w:szCs w:val="24"/>
              </w:rPr>
            </w:pPr>
            <w:r>
              <w:rPr>
                <w:rFonts w:hAnsi="宋体" w:cs="宋体"/>
                <w:sz w:val="24"/>
                <w:szCs w:val="24"/>
              </w:rPr>
              <w:t>□关于核心产品本项目不适用。</w:t>
            </w:r>
          </w:p>
          <w:p>
            <w:pPr>
              <w:pStyle w:val="27"/>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int="eastAsia" w:hAnsi="宋体" w:cs="宋体"/>
                <w:color w:val="auto"/>
                <w:sz w:val="24"/>
                <w:u w:val="single"/>
                <w:lang w:val="en-US" w:eastAsia="zh-CN"/>
              </w:rPr>
              <w:t xml:space="preserve">  </w:t>
            </w:r>
            <w:r>
              <w:rPr>
                <w:rFonts w:hAnsi="宋体" w:cs="宋体"/>
                <w:color w:val="auto"/>
                <w:sz w:val="24"/>
                <w:szCs w:val="24"/>
              </w:rPr>
              <w:t>包</w:t>
            </w:r>
            <w:r>
              <w:rPr>
                <w:rFonts w:hAnsi="宋体" w:cs="宋体"/>
                <w:sz w:val="24"/>
                <w:szCs w:val="24"/>
              </w:rPr>
              <w:t>为单一产品采购项目。</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本项目</w:t>
            </w:r>
            <w:r>
              <w:rPr>
                <w:rFonts w:hint="eastAsia" w:ascii="宋体" w:hAnsi="宋体" w:cs="宋体"/>
                <w:sz w:val="24"/>
                <w:u w:val="single"/>
                <w:lang w:val="en-US" w:eastAsia="zh-CN"/>
              </w:rPr>
              <w:t>01</w:t>
            </w:r>
            <w:r>
              <w:rPr>
                <w:rFonts w:hint="eastAsia" w:ascii="宋体" w:hAnsi="宋体" w:cs="宋体"/>
                <w:sz w:val="24"/>
              </w:rPr>
              <w:t>包为非单一产品采购项目，</w:t>
            </w:r>
            <w:r>
              <w:rPr>
                <w:rFonts w:hint="eastAsia" w:ascii="宋体" w:hAnsi="宋体" w:cs="宋体"/>
                <w:color w:val="auto"/>
                <w:sz w:val="24"/>
              </w:rPr>
              <w:t>核心产品为：</w:t>
            </w:r>
            <w:r>
              <w:rPr>
                <w:rFonts w:hint="eastAsia" w:ascii="宋体" w:hAnsi="宋体" w:cs="宋体"/>
                <w:sz w:val="24"/>
                <w:u w:val="single"/>
                <w:lang w:eastAsia="zh-CN"/>
              </w:rPr>
              <w:t>磁盘阵列</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7"/>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不组织</w:t>
            </w:r>
          </w:p>
          <w:p>
            <w:pPr>
              <w:jc w:val="left"/>
              <w:rPr>
                <w:rFonts w:hint="eastAsia" w:ascii="宋体" w:hAnsi="宋体" w:cs="宋体"/>
                <w:bCs/>
                <w:sz w:val="24"/>
              </w:rPr>
            </w:pPr>
            <w:r>
              <w:rPr>
                <w:rFonts w:hint="eastAsia" w:ascii="宋体" w:hAnsi="宋体" w:cs="宋体"/>
                <w:sz w:val="24"/>
              </w:rPr>
              <w:t>□组织，考察时间：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日</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分</w:t>
            </w:r>
          </w:p>
          <w:p>
            <w:pPr>
              <w:pStyle w:val="27"/>
              <w:adjustRightInd w:val="0"/>
              <w:snapToGrid w:val="0"/>
              <w:rPr>
                <w:rFonts w:hAnsi="宋体" w:cs="宋体"/>
                <w:sz w:val="24"/>
                <w:szCs w:val="24"/>
              </w:rPr>
            </w:pPr>
            <w:r>
              <w:rPr>
                <w:rFonts w:hAnsi="宋体" w:cs="宋体"/>
                <w:sz w:val="24"/>
              </w:rPr>
              <w:t>考察地点：</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u w:val="single"/>
              </w:rPr>
              <w:t xml:space="preserve">    </w:t>
            </w:r>
            <w:r>
              <w:rPr>
                <w:rFonts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7"/>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sz w:val="24"/>
              </w:rPr>
            </w:pPr>
            <w:r>
              <w:rPr>
                <w:rFonts w:hint="eastAsia" w:ascii="宋体" w:hAnsi="宋体" w:cs="宋体"/>
                <w:sz w:val="24"/>
              </w:rPr>
              <w:t>□不召开</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召开，召开时间：</w:t>
            </w:r>
            <w:r>
              <w:rPr>
                <w:rFonts w:hint="eastAsia" w:ascii="宋体" w:hAnsi="宋体" w:cs="宋体"/>
                <w:color w:val="auto"/>
                <w:sz w:val="24"/>
                <w:u w:val="single"/>
                <w:lang w:val="en-US" w:eastAsia="zh-CN"/>
              </w:rPr>
              <w:t>2026</w:t>
            </w:r>
            <w:r>
              <w:rPr>
                <w:rFonts w:hint="eastAsia" w:ascii="宋体" w:hAnsi="宋体" w:cs="宋体"/>
                <w:color w:val="auto"/>
                <w:sz w:val="24"/>
                <w:lang w:bidi="ar"/>
              </w:rPr>
              <w:t>年</w:t>
            </w:r>
            <w:r>
              <w:rPr>
                <w:rFonts w:hint="eastAsia" w:ascii="宋体" w:hAnsi="宋体" w:cs="宋体"/>
                <w:color w:val="auto"/>
                <w:sz w:val="24"/>
                <w:u w:val="single"/>
                <w:lang w:val="en-US" w:eastAsia="zh-CN"/>
              </w:rPr>
              <w:t>6</w:t>
            </w:r>
            <w:r>
              <w:rPr>
                <w:rFonts w:hint="eastAsia" w:ascii="宋体" w:hAnsi="宋体" w:cs="宋体"/>
                <w:color w:val="auto"/>
                <w:sz w:val="24"/>
                <w:lang w:bidi="ar"/>
              </w:rPr>
              <w:t>月</w:t>
            </w:r>
            <w:r>
              <w:rPr>
                <w:rFonts w:hint="eastAsia" w:ascii="宋体" w:hAnsi="宋体" w:cs="宋体"/>
                <w:color w:val="auto"/>
                <w:sz w:val="24"/>
                <w:u w:val="single"/>
                <w:lang w:val="en-US" w:eastAsia="zh-CN"/>
              </w:rPr>
              <w:t>15</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sz w:val="24"/>
              </w:rPr>
            </w:pPr>
            <w:r>
              <w:rPr>
                <w:rFonts w:hint="eastAsia" w:ascii="宋体" w:hAnsi="宋体" w:cs="宋体"/>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7"/>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7"/>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469"/>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bCs/>
                      <w:sz w:val="24"/>
                      <w:lang w:eastAsia="zh-CN"/>
                    </w:rPr>
                    <w:t>包号</w:t>
                  </w:r>
                </w:p>
              </w:tc>
              <w:tc>
                <w:tcPr>
                  <w:tcW w:w="24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lang w:val="en-US" w:eastAsia="zh-CN"/>
                    </w:rPr>
                  </w:pPr>
                  <w:r>
                    <w:rPr>
                      <w:rFonts w:hint="eastAsia" w:ascii="宋体" w:hAnsi="宋体" w:cs="宋体"/>
                      <w:bCs/>
                      <w:color w:val="auto"/>
                      <w:sz w:val="24"/>
                      <w:lang w:val="en-US" w:eastAsia="zh-CN"/>
                    </w:rPr>
                    <w:t>01</w:t>
                  </w:r>
                </w:p>
              </w:tc>
              <w:tc>
                <w:tcPr>
                  <w:tcW w:w="24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u w:val="single"/>
                      <w:lang w:eastAsia="zh-CN"/>
                    </w:rPr>
                  </w:pPr>
                  <w:r>
                    <w:rPr>
                      <w:rFonts w:hint="eastAsia" w:ascii="宋体" w:hAnsi="宋体" w:cs="宋体"/>
                      <w:color w:val="auto"/>
                      <w:sz w:val="24"/>
                      <w:u w:val="single"/>
                      <w:lang w:eastAsia="zh-CN"/>
                    </w:rPr>
                    <w:t>磁盘阵列及服务器</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工业</w:t>
                  </w:r>
                </w:p>
              </w:tc>
            </w:tr>
          </w:tbl>
          <w:p>
            <w:pPr>
              <w:pStyle w:val="20"/>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7"/>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7"/>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6"/>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7"/>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7"/>
              <w:adjustRightInd w:val="0"/>
              <w:snapToGrid w:val="0"/>
              <w:rPr>
                <w:rFonts w:hAnsi="宋体" w:cs="宋体"/>
                <w:sz w:val="24"/>
              </w:rPr>
            </w:pPr>
            <w:r>
              <w:rPr>
                <w:rFonts w:hAnsi="宋体" w:cs="宋体"/>
                <w:sz w:val="24"/>
              </w:rPr>
              <w:t>中标候选人并列的，采购人是否委托评标委员会确定中标人：</w:t>
            </w:r>
          </w:p>
          <w:p>
            <w:pPr>
              <w:pStyle w:val="27"/>
              <w:adjustRightInd w:val="0"/>
              <w:snapToGrid w:val="0"/>
              <w:rPr>
                <w:rFonts w:hAnsi="宋体" w:cs="宋体"/>
                <w:sz w:val="24"/>
              </w:rPr>
            </w:pPr>
            <w:r>
              <w:rPr>
                <w:rFonts w:hAnsi="宋体" w:cs="宋体"/>
                <w:szCs w:val="21"/>
              </w:rPr>
              <w:t>■</w:t>
            </w:r>
            <w:r>
              <w:rPr>
                <w:rFonts w:hAnsi="宋体" w:cs="宋体"/>
                <w:sz w:val="24"/>
              </w:rPr>
              <w:t>否</w:t>
            </w:r>
          </w:p>
          <w:p>
            <w:pPr>
              <w:pStyle w:val="27"/>
              <w:adjustRightInd w:val="0"/>
              <w:snapToGrid w:val="0"/>
              <w:rPr>
                <w:rFonts w:hAnsi="宋体" w:cs="宋体"/>
                <w:sz w:val="24"/>
              </w:rPr>
            </w:pPr>
            <w:r>
              <w:rPr>
                <w:rFonts w:hAnsi="宋体" w:cs="宋体"/>
                <w:sz w:val="24"/>
              </w:rPr>
              <w:t>□是</w:t>
            </w:r>
          </w:p>
          <w:p>
            <w:pPr>
              <w:pStyle w:val="27"/>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7"/>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6"/>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6"/>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6"/>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6"/>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6"/>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6"/>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7"/>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7"/>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7"/>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240" w:beforeLines="100" w:after="240" w:afterLines="100"/>
        <w:jc w:val="center"/>
        <w:rPr>
          <w:b/>
          <w:sz w:val="28"/>
          <w:szCs w:val="28"/>
        </w:rPr>
      </w:pPr>
      <w:bookmarkStart w:id="67" w:name="_Toc226337213"/>
      <w:bookmarkStart w:id="68" w:name="_Toc195842882"/>
      <w:bookmarkStart w:id="69" w:name="_Toc265228355"/>
      <w:bookmarkStart w:id="70" w:name="_Toc305158785"/>
      <w:bookmarkStart w:id="71" w:name="_Toc264969207"/>
      <w:bookmarkStart w:id="72" w:name="_Toc127151517"/>
      <w:bookmarkStart w:id="73" w:name="_Toc142311019"/>
      <w:bookmarkStart w:id="74" w:name="_Toc353873662"/>
      <w:bookmarkStart w:id="75" w:name="_Toc150774722"/>
      <w:bookmarkStart w:id="76" w:name="_Toc353825542"/>
      <w:bookmarkStart w:id="77" w:name="_Toc150480755"/>
      <w:bookmarkStart w:id="78" w:name="_Toc353873932"/>
      <w:bookmarkStart w:id="79" w:name="_Toc226965790"/>
      <w:bookmarkStart w:id="80" w:name="_Toc305158859"/>
      <w:r>
        <w:rPr>
          <w:b/>
          <w:sz w:val="28"/>
          <w:szCs w:val="28"/>
        </w:rPr>
        <w:t>投标人须知</w:t>
      </w:r>
    </w:p>
    <w:p>
      <w:pPr>
        <w:pStyle w:val="4"/>
        <w:tabs>
          <w:tab w:val="center" w:pos="4592"/>
          <w:tab w:val="left" w:pos="7860"/>
        </w:tabs>
        <w:spacing w:before="0" w:line="360" w:lineRule="auto"/>
        <w:jc w:val="left"/>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一   说  明</w:t>
      </w:r>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r>
        <w:rPr>
          <w:sz w:val="24"/>
        </w:rPr>
        <w:t>采购人、采购代理机构、投标人、联合体</w:t>
      </w:r>
    </w:p>
    <w:p>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sz w:val="24"/>
        </w:rPr>
      </w:pPr>
      <w:r>
        <w:rPr>
          <w:sz w:val="24"/>
        </w:rPr>
        <w:t>资金来源、项目属性、科研仪器设备采购、核心产品</w:t>
      </w:r>
    </w:p>
    <w:p>
      <w:pPr>
        <w:numPr>
          <w:ilvl w:val="1"/>
          <w:numId w:val="10"/>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p>
    <w:p>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1080" w:hanging="720"/>
        <w:rPr>
          <w:sz w:val="24"/>
        </w:rPr>
      </w:pPr>
      <w:r>
        <w:rPr>
          <w:sz w:val="24"/>
        </w:rPr>
        <w:t>采购本国货物、工程和服务</w:t>
      </w:r>
    </w:p>
    <w:p>
      <w:pPr>
        <w:numPr>
          <w:ilvl w:val="2"/>
          <w:numId w:val="10"/>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10"/>
        </w:numPr>
        <w:tabs>
          <w:tab w:val="left" w:pos="2014"/>
        </w:tabs>
        <w:snapToGrid w:val="0"/>
        <w:spacing w:line="360" w:lineRule="auto"/>
        <w:rPr>
          <w:sz w:val="24"/>
        </w:rPr>
      </w:pPr>
      <w:r>
        <w:rPr>
          <w:sz w:val="24"/>
        </w:rPr>
        <w:t>本项目如接受非本国货物、工程、服务参与投标，则具体要求见第五章《采购需求》。</w:t>
      </w:r>
    </w:p>
    <w:p>
      <w:pPr>
        <w:numPr>
          <w:ilvl w:val="2"/>
          <w:numId w:val="10"/>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10"/>
        </w:numPr>
        <w:tabs>
          <w:tab w:val="left" w:pos="1080"/>
          <w:tab w:val="left" w:pos="2014"/>
        </w:tabs>
        <w:snapToGrid w:val="0"/>
        <w:spacing w:line="360" w:lineRule="auto"/>
        <w:ind w:left="1080" w:hanging="720"/>
        <w:rPr>
          <w:sz w:val="24"/>
        </w:rPr>
      </w:pPr>
      <w:r>
        <w:rPr>
          <w:rFonts w:hint="eastAsia"/>
          <w:sz w:val="24"/>
        </w:rPr>
        <w:t>本国产品</w:t>
      </w:r>
    </w:p>
    <w:p>
      <w:pPr>
        <w:tabs>
          <w:tab w:val="left" w:pos="900"/>
          <w:tab w:val="left" w:pos="1080"/>
          <w:tab w:val="left" w:pos="1589"/>
        </w:tabs>
        <w:snapToGrid w:val="0"/>
        <w:spacing w:line="360" w:lineRule="auto"/>
        <w:ind w:left="1080"/>
        <w:rPr>
          <w:sz w:val="24"/>
        </w:rPr>
      </w:pPr>
      <w:bookmarkStart w:id="81"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81"/>
      <w:r>
        <w:rPr>
          <w:rFonts w:hint="eastAsia"/>
          <w:sz w:val="24"/>
        </w:rPr>
        <w:t>，落实本国产品</w:t>
      </w:r>
      <w:r>
        <w:rPr>
          <w:rFonts w:hint="eastAsia"/>
          <w:sz w:val="24"/>
          <w:lang w:eastAsia="zh-CN"/>
        </w:rPr>
        <w:t>标准</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小微企业价格评审优惠的政策调整：见第四章《评标程序、评标方法和评标标准》。</w:t>
      </w:r>
    </w:p>
    <w:p>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10"/>
        </w:numPr>
        <w:tabs>
          <w:tab w:val="left" w:pos="1080"/>
          <w:tab w:val="left" w:pos="2014"/>
        </w:tabs>
        <w:snapToGrid w:val="0"/>
        <w:spacing w:line="360" w:lineRule="auto"/>
        <w:ind w:left="1080" w:hanging="720"/>
        <w:rPr>
          <w:sz w:val="24"/>
        </w:rPr>
      </w:pPr>
      <w:r>
        <w:rPr>
          <w:sz w:val="24"/>
        </w:rPr>
        <w:t>正版软件</w:t>
      </w:r>
    </w:p>
    <w:p>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0"/>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sz w:val="24"/>
        </w:rPr>
      </w:pPr>
      <w:r>
        <w:rPr>
          <w:sz w:val="24"/>
        </w:rPr>
        <w:t>采购需求标准</w:t>
      </w:r>
    </w:p>
    <w:p>
      <w:pPr>
        <w:numPr>
          <w:ilvl w:val="2"/>
          <w:numId w:val="10"/>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10"/>
        </w:numPr>
        <w:tabs>
          <w:tab w:val="left" w:pos="2014"/>
        </w:tabs>
        <w:snapToGrid w:val="0"/>
        <w:spacing w:line="360" w:lineRule="auto"/>
        <w:rPr>
          <w:sz w:val="24"/>
        </w:rPr>
      </w:pPr>
      <w:bookmarkStart w:id="82" w:name="_Hlk164953935"/>
      <w:r>
        <w:rPr>
          <w:sz w:val="24"/>
        </w:rPr>
        <w:t xml:space="preserve">其他政府采购需求标准 </w:t>
      </w:r>
    </w:p>
    <w:bookmarkEnd w:id="82"/>
    <w:p>
      <w:pPr>
        <w:tabs>
          <w:tab w:val="left" w:pos="900"/>
          <w:tab w:val="left" w:pos="1980"/>
        </w:tabs>
        <w:snapToGrid w:val="0"/>
        <w:spacing w:line="360" w:lineRule="auto"/>
        <w:ind w:left="1980"/>
        <w:rPr>
          <w:sz w:val="24"/>
        </w:rPr>
      </w:pPr>
      <w:bookmarkStart w:id="83" w:name="_Hlk164955325"/>
      <w:r>
        <w:rPr>
          <w:sz w:val="24"/>
        </w:rPr>
        <w:t>为贯彻落实《深化政府采购制度改革方案》有关要求，推动政府采购需求标准建设</w:t>
      </w:r>
      <w:bookmarkEnd w:id="83"/>
      <w:r>
        <w:rPr>
          <w:sz w:val="24"/>
        </w:rPr>
        <w:t>，财政部门会同有关部门制定发布的其他政府采购需求标准，本项目如涉及，则具体要求见第五章《采购需求》。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p>
    <w:p>
      <w:pPr>
        <w:pStyle w:val="4"/>
        <w:spacing w:before="0" w:line="360" w:lineRule="auto"/>
        <w:rPr>
          <w:rFonts w:ascii="Times New Roman" w:hAnsi="Times New Roman" w:eastAsia="宋体"/>
          <w:sz w:val="28"/>
        </w:rPr>
      </w:pPr>
      <w:r>
        <w:rPr>
          <w:rFonts w:ascii="Times New Roman" w:hAnsi="Times New Roman" w:eastAsia="宋体"/>
          <w:sz w:val="28"/>
        </w:rPr>
        <w:t>二   招标文件</w:t>
      </w:r>
    </w:p>
    <w:p>
      <w:pPr>
        <w:numPr>
          <w:ilvl w:val="0"/>
          <w:numId w:val="10"/>
        </w:numPr>
        <w:tabs>
          <w:tab w:val="left" w:pos="360"/>
        </w:tabs>
        <w:snapToGrid w:val="0"/>
        <w:spacing w:line="360" w:lineRule="auto"/>
        <w:ind w:left="357" w:hanging="357"/>
        <w:outlineLvl w:val="1"/>
        <w:rPr>
          <w:sz w:val="24"/>
        </w:rPr>
      </w:pPr>
      <w:r>
        <w:rPr>
          <w:sz w:val="24"/>
        </w:rPr>
        <w:t>招标文件构成</w:t>
      </w:r>
    </w:p>
    <w:p>
      <w:pPr>
        <w:numPr>
          <w:ilvl w:val="1"/>
          <w:numId w:val="10"/>
        </w:numPr>
        <w:tabs>
          <w:tab w:val="left" w:pos="1080"/>
          <w:tab w:val="left" w:pos="2014"/>
        </w:tabs>
        <w:snapToGrid w:val="0"/>
        <w:spacing w:line="360" w:lineRule="auto"/>
        <w:ind w:left="1080" w:hanging="720"/>
        <w:rPr>
          <w:sz w:val="24"/>
        </w:rPr>
      </w:pPr>
      <w:r>
        <w:rPr>
          <w:sz w:val="24"/>
        </w:rPr>
        <w:t>招标文件包括以下部分：</w:t>
      </w:r>
    </w:p>
    <w:p>
      <w:pPr>
        <w:numPr>
          <w:ilvl w:val="0"/>
          <w:numId w:val="8"/>
        </w:numPr>
        <w:tabs>
          <w:tab w:val="left" w:pos="1980"/>
          <w:tab w:val="left" w:pos="2520"/>
        </w:tabs>
        <w:snapToGrid w:val="0"/>
        <w:spacing w:line="360" w:lineRule="auto"/>
        <w:ind w:left="1440" w:firstLine="5"/>
        <w:rPr>
          <w:sz w:val="24"/>
        </w:rPr>
      </w:pPr>
      <w:r>
        <w:rPr>
          <w:sz w:val="24"/>
        </w:rPr>
        <w:t>投标邀请</w:t>
      </w:r>
    </w:p>
    <w:p>
      <w:pPr>
        <w:numPr>
          <w:ilvl w:val="0"/>
          <w:numId w:val="8"/>
        </w:numPr>
        <w:tabs>
          <w:tab w:val="left" w:pos="1980"/>
          <w:tab w:val="left" w:pos="2520"/>
        </w:tabs>
        <w:snapToGrid w:val="0"/>
        <w:spacing w:line="360" w:lineRule="auto"/>
        <w:ind w:left="1440" w:firstLine="5"/>
        <w:rPr>
          <w:sz w:val="24"/>
        </w:rPr>
      </w:pPr>
      <w:r>
        <w:rPr>
          <w:sz w:val="24"/>
        </w:rPr>
        <w:t>投标人须知</w:t>
      </w:r>
    </w:p>
    <w:p>
      <w:pPr>
        <w:numPr>
          <w:ilvl w:val="0"/>
          <w:numId w:val="8"/>
        </w:numPr>
        <w:tabs>
          <w:tab w:val="left" w:pos="1980"/>
          <w:tab w:val="left" w:pos="2520"/>
        </w:tabs>
        <w:snapToGrid w:val="0"/>
        <w:spacing w:line="360" w:lineRule="auto"/>
        <w:ind w:left="1440" w:firstLine="5"/>
        <w:rPr>
          <w:sz w:val="24"/>
        </w:rPr>
      </w:pPr>
      <w:r>
        <w:rPr>
          <w:sz w:val="24"/>
        </w:rPr>
        <w:t>资格审查</w:t>
      </w:r>
    </w:p>
    <w:p>
      <w:pPr>
        <w:numPr>
          <w:ilvl w:val="0"/>
          <w:numId w:val="8"/>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8"/>
        </w:numPr>
        <w:tabs>
          <w:tab w:val="left" w:pos="1980"/>
          <w:tab w:val="left" w:pos="2520"/>
        </w:tabs>
        <w:snapToGrid w:val="0"/>
        <w:spacing w:line="360" w:lineRule="auto"/>
        <w:ind w:left="1440" w:firstLine="5"/>
        <w:rPr>
          <w:sz w:val="24"/>
        </w:rPr>
      </w:pPr>
      <w:r>
        <w:rPr>
          <w:sz w:val="24"/>
        </w:rPr>
        <w:t>采购需求</w:t>
      </w:r>
    </w:p>
    <w:p>
      <w:pPr>
        <w:numPr>
          <w:ilvl w:val="0"/>
          <w:numId w:val="8"/>
        </w:numPr>
        <w:tabs>
          <w:tab w:val="left" w:pos="1980"/>
          <w:tab w:val="left" w:pos="2520"/>
        </w:tabs>
        <w:snapToGrid w:val="0"/>
        <w:spacing w:line="360" w:lineRule="auto"/>
        <w:ind w:left="1440" w:firstLine="5"/>
        <w:rPr>
          <w:sz w:val="24"/>
        </w:rPr>
      </w:pPr>
      <w:r>
        <w:rPr>
          <w:sz w:val="24"/>
        </w:rPr>
        <w:t>拟签订的合同文本</w:t>
      </w:r>
    </w:p>
    <w:p>
      <w:pPr>
        <w:numPr>
          <w:ilvl w:val="0"/>
          <w:numId w:val="8"/>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p>
    <w:p>
      <w:pPr>
        <w:pStyle w:val="4"/>
        <w:spacing w:before="0" w:line="360" w:lineRule="auto"/>
        <w:rPr>
          <w:rFonts w:ascii="Times New Roman" w:hAnsi="Times New Roman" w:eastAsia="宋体"/>
          <w:sz w:val="28"/>
        </w:rPr>
      </w:pPr>
      <w:r>
        <w:rPr>
          <w:rFonts w:ascii="Times New Roman" w:hAnsi="Times New Roman" w:eastAsia="宋体"/>
          <w:sz w:val="28"/>
        </w:rPr>
        <w:t>三   投标文件的编制</w:t>
      </w:r>
    </w:p>
    <w:p>
      <w:pPr>
        <w:numPr>
          <w:ilvl w:val="0"/>
          <w:numId w:val="10"/>
        </w:numPr>
        <w:tabs>
          <w:tab w:val="left" w:pos="360"/>
        </w:tabs>
        <w:snapToGrid w:val="0"/>
        <w:spacing w:line="360" w:lineRule="auto"/>
        <w:ind w:left="357" w:hanging="357"/>
        <w:outlineLvl w:val="1"/>
        <w:rPr>
          <w:sz w:val="24"/>
        </w:rPr>
      </w:pPr>
      <w:r>
        <w:rPr>
          <w:sz w:val="24"/>
        </w:rPr>
        <w:t>投标范围、投标文件中计量单位的使用及投标语言</w:t>
      </w:r>
    </w:p>
    <w:p>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r>
        <w:rPr>
          <w:sz w:val="24"/>
        </w:rPr>
        <w:t>投标文件构成</w:t>
      </w:r>
    </w:p>
    <w:p>
      <w:pPr>
        <w:numPr>
          <w:ilvl w:val="1"/>
          <w:numId w:val="10"/>
        </w:numPr>
        <w:tabs>
          <w:tab w:val="left" w:pos="1080"/>
          <w:tab w:val="left" w:pos="2014"/>
        </w:tabs>
        <w:snapToGrid w:val="0"/>
        <w:spacing w:line="360" w:lineRule="auto"/>
        <w:ind w:left="1077" w:hanging="720"/>
        <w:rPr>
          <w:sz w:val="24"/>
        </w:rPr>
      </w:pPr>
      <w:r>
        <w:rPr>
          <w:sz w:val="24"/>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sz w:val="24"/>
        </w:rPr>
      </w:pPr>
      <w:r>
        <w:rPr>
          <w:sz w:val="24"/>
        </w:rPr>
        <w:t>投标人认为应附的其他材料。</w:t>
      </w:r>
    </w:p>
    <w:p>
      <w:pPr>
        <w:numPr>
          <w:ilvl w:val="0"/>
          <w:numId w:val="10"/>
        </w:numPr>
        <w:tabs>
          <w:tab w:val="left" w:pos="360"/>
        </w:tabs>
        <w:snapToGrid w:val="0"/>
        <w:spacing w:line="360" w:lineRule="auto"/>
        <w:ind w:left="357" w:hanging="357"/>
        <w:outlineLvl w:val="1"/>
        <w:rPr>
          <w:sz w:val="24"/>
        </w:rPr>
      </w:pPr>
      <w:r>
        <w:rPr>
          <w:sz w:val="24"/>
        </w:rPr>
        <w:t>投标报价</w:t>
      </w:r>
    </w:p>
    <w:p>
      <w:pPr>
        <w:numPr>
          <w:ilvl w:val="1"/>
          <w:numId w:val="10"/>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10"/>
        </w:numPr>
        <w:snapToGrid w:val="0"/>
        <w:spacing w:line="360" w:lineRule="auto"/>
        <w:rPr>
          <w:sz w:val="24"/>
        </w:rPr>
      </w:pPr>
      <w:r>
        <w:rPr>
          <w:sz w:val="24"/>
        </w:rPr>
        <w:t xml:space="preserve">按照招标文件要求完成本项目的全部相关费用。 </w:t>
      </w:r>
    </w:p>
    <w:p>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r>
        <w:rPr>
          <w:sz w:val="24"/>
        </w:rPr>
        <w:t>投标保证金</w:t>
      </w:r>
      <w:r>
        <w:rPr>
          <w:rFonts w:hint="eastAsia"/>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sz w:val="24"/>
        </w:rPr>
      </w:pPr>
      <w:r>
        <w:rPr>
          <w:sz w:val="24"/>
        </w:rPr>
        <w:t>投标有效期</w:t>
      </w:r>
    </w:p>
    <w:p>
      <w:pPr>
        <w:numPr>
          <w:ilvl w:val="1"/>
          <w:numId w:val="10"/>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84" w:name="_Toc226965806"/>
      <w:bookmarkStart w:id="85" w:name="_Toc151193775"/>
      <w:bookmarkStart w:id="86" w:name="_Toc127161447"/>
      <w:bookmarkStart w:id="87" w:name="_Toc151190160"/>
      <w:bookmarkStart w:id="88" w:name="_Toc164608647"/>
      <w:bookmarkStart w:id="89" w:name="_Toc265228371"/>
      <w:bookmarkStart w:id="90" w:name="_Toc127151734"/>
      <w:bookmarkStart w:id="91" w:name="_Toc305158801"/>
      <w:bookmarkStart w:id="92" w:name="_Toc127151533"/>
      <w:bookmarkStart w:id="93" w:name="_Toc164608802"/>
      <w:bookmarkStart w:id="94" w:name="_Toc305158875"/>
      <w:bookmarkStart w:id="95" w:name="_Toc226309777"/>
      <w:bookmarkStart w:id="96" w:name="_Toc151193703"/>
      <w:bookmarkStart w:id="97" w:name="_Toc150774738"/>
      <w:bookmarkStart w:id="98" w:name="_Toc264969223"/>
      <w:bookmarkStart w:id="99" w:name="_Toc151193631"/>
      <w:bookmarkStart w:id="100" w:name="_Toc226337229"/>
      <w:bookmarkStart w:id="101" w:name="_Toc164229228"/>
      <w:bookmarkStart w:id="102" w:name="_Toc151193847"/>
      <w:bookmarkStart w:id="103" w:name="_Toc150774633"/>
      <w:bookmarkStart w:id="104" w:name="_Toc150480771"/>
      <w:bookmarkStart w:id="105" w:name="_Toc150509284"/>
      <w:bookmarkStart w:id="106" w:name="_Toc151193921"/>
      <w:bookmarkStart w:id="107" w:name="_Toc226965723"/>
      <w:bookmarkStart w:id="108" w:name="_Toc164229374"/>
      <w:bookmarkStart w:id="109" w:name="_Toc195842898"/>
      <w:bookmarkStart w:id="110" w:name="_Toc520356158"/>
      <w:bookmarkStart w:id="111" w:name="_Toc164351627"/>
      <w:bookmarkStart w:id="112" w:name="_Toc149720826"/>
      <w:bookmarkStart w:id="113" w:name="_Toc142311035"/>
      <w:r>
        <w:rPr>
          <w:sz w:val="24"/>
        </w:rPr>
        <w:t>投标文件的签署</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sz w:val="24"/>
        </w:rPr>
        <w:t>、盖章</w:t>
      </w:r>
    </w:p>
    <w:p>
      <w:pPr>
        <w:numPr>
          <w:ilvl w:val="1"/>
          <w:numId w:val="10"/>
        </w:numPr>
        <w:tabs>
          <w:tab w:val="left" w:pos="1080"/>
          <w:tab w:val="left" w:pos="2014"/>
        </w:tabs>
        <w:snapToGrid w:val="0"/>
        <w:spacing w:line="360" w:lineRule="auto"/>
        <w:ind w:left="1077" w:hanging="720"/>
        <w:rPr>
          <w:sz w:val="24"/>
        </w:rPr>
      </w:pPr>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p>
    <w:p>
      <w:pPr>
        <w:numPr>
          <w:ilvl w:val="0"/>
          <w:numId w:val="10"/>
        </w:numPr>
        <w:tabs>
          <w:tab w:val="left" w:pos="360"/>
        </w:tabs>
        <w:snapToGrid w:val="0"/>
        <w:spacing w:line="360" w:lineRule="auto"/>
        <w:ind w:left="357" w:hanging="357"/>
        <w:outlineLvl w:val="1"/>
        <w:rPr>
          <w:sz w:val="24"/>
        </w:rPr>
      </w:pPr>
      <w:r>
        <w:rPr>
          <w:sz w:val="24"/>
        </w:rPr>
        <w:t>投标文件的提交</w:t>
      </w:r>
    </w:p>
    <w:p>
      <w:pPr>
        <w:numPr>
          <w:ilvl w:val="1"/>
          <w:numId w:val="10"/>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sz w:val="24"/>
        </w:rPr>
      </w:pPr>
      <w:r>
        <w:rPr>
          <w:sz w:val="24"/>
        </w:rPr>
        <w:t>投标截止时间</w:t>
      </w:r>
    </w:p>
    <w:p>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r>
        <w:rPr>
          <w:sz w:val="24"/>
        </w:rPr>
        <w:t>投标文件的修改与撤回</w:t>
      </w:r>
    </w:p>
    <w:p>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r>
        <w:rPr>
          <w:rFonts w:ascii="Times New Roman" w:hAnsi="Times New Roman" w:eastAsia="宋体"/>
          <w:sz w:val="28"/>
        </w:rPr>
        <w:t>五   开标、资格审查及评标</w:t>
      </w:r>
    </w:p>
    <w:p>
      <w:pPr>
        <w:numPr>
          <w:ilvl w:val="0"/>
          <w:numId w:val="10"/>
        </w:numPr>
        <w:tabs>
          <w:tab w:val="left" w:pos="360"/>
        </w:tabs>
        <w:snapToGrid w:val="0"/>
        <w:spacing w:line="360" w:lineRule="auto"/>
        <w:ind w:left="357" w:hanging="357"/>
        <w:outlineLvl w:val="1"/>
        <w:rPr>
          <w:sz w:val="24"/>
        </w:rPr>
      </w:pPr>
      <w:r>
        <w:rPr>
          <w:sz w:val="24"/>
        </w:rPr>
        <w:t>开标</w:t>
      </w:r>
    </w:p>
    <w:p>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114" w:name="_Hlk167284562"/>
      <w:r>
        <w:rPr>
          <w:sz w:val="24"/>
        </w:rPr>
        <w:t>《投标人须知资料表》</w:t>
      </w:r>
      <w:bookmarkEnd w:id="114"/>
      <w:r>
        <w:rPr>
          <w:sz w:val="24"/>
        </w:rPr>
        <w:t>规定的时间内对投标文件进行解密，因非系统原因导致的解密失败，视为</w:t>
      </w:r>
      <w:r>
        <w:rPr>
          <w:b/>
          <w:sz w:val="24"/>
        </w:rPr>
        <w:t>投标无效</w:t>
      </w:r>
      <w:r>
        <w:rPr>
          <w:sz w:val="24"/>
        </w:rPr>
        <w:t>。</w:t>
      </w:r>
    </w:p>
    <w:p>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115" w:name="_Hlk143533942"/>
      <w:r>
        <w:rPr>
          <w:sz w:val="24"/>
        </w:rPr>
        <w:t>投标人未在规定时间内提出疑义或确认一览表的，视同认可开标结果。</w:t>
      </w:r>
      <w:bookmarkEnd w:id="115"/>
    </w:p>
    <w:p>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10"/>
        </w:numPr>
        <w:tabs>
          <w:tab w:val="left" w:pos="1080"/>
          <w:tab w:val="left" w:pos="2014"/>
        </w:tabs>
        <w:snapToGrid w:val="0"/>
        <w:spacing w:line="360" w:lineRule="auto"/>
        <w:ind w:left="1077" w:hanging="720"/>
        <w:rPr>
          <w:sz w:val="24"/>
        </w:rPr>
      </w:pPr>
      <w:r>
        <w:rPr>
          <w:sz w:val="24"/>
        </w:rPr>
        <w:t>投标人不足3家的，不予开标。</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1077" w:hanging="720"/>
        <w:rPr>
          <w:sz w:val="24"/>
        </w:rPr>
      </w:pPr>
      <w:r>
        <w:rPr>
          <w:sz w:val="24"/>
        </w:rPr>
        <w:t>见第三章《资格审查》。</w:t>
      </w:r>
    </w:p>
    <w:p>
      <w:pPr>
        <w:numPr>
          <w:ilvl w:val="0"/>
          <w:numId w:val="10"/>
        </w:numPr>
        <w:tabs>
          <w:tab w:val="left" w:pos="360"/>
        </w:tabs>
        <w:snapToGrid w:val="0"/>
        <w:spacing w:line="360" w:lineRule="auto"/>
        <w:ind w:left="357" w:hanging="357"/>
        <w:outlineLvl w:val="1"/>
        <w:rPr>
          <w:sz w:val="24"/>
        </w:rPr>
      </w:pPr>
      <w:r>
        <w:rPr>
          <w:sz w:val="24"/>
        </w:rPr>
        <w:t>评标委员会</w:t>
      </w:r>
    </w:p>
    <w:p>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p>
    <w:p>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r>
        <w:rPr>
          <w:rFonts w:ascii="Times New Roman" w:hAnsi="Times New Roman" w:eastAsia="宋体"/>
          <w:sz w:val="28"/>
        </w:rPr>
        <w:t>六   确定中标</w:t>
      </w:r>
    </w:p>
    <w:p>
      <w:pPr>
        <w:numPr>
          <w:ilvl w:val="0"/>
          <w:numId w:val="10"/>
        </w:numPr>
        <w:tabs>
          <w:tab w:val="left" w:pos="360"/>
        </w:tabs>
        <w:snapToGrid w:val="0"/>
        <w:spacing w:line="360" w:lineRule="auto"/>
        <w:ind w:left="357" w:hanging="357"/>
        <w:outlineLvl w:val="1"/>
        <w:rPr>
          <w:sz w:val="24"/>
        </w:rPr>
      </w:pPr>
      <w:r>
        <w:rPr>
          <w:sz w:val="24"/>
        </w:rPr>
        <w:t>确定中标人</w:t>
      </w:r>
    </w:p>
    <w:p>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sz w:val="24"/>
        </w:rPr>
      </w:pPr>
      <w:r>
        <w:rPr>
          <w:sz w:val="24"/>
        </w:rPr>
        <w:t>中标公告与中标通知书</w:t>
      </w:r>
    </w:p>
    <w:p>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符合专业条件的供应商或者对招标文件作实质响应的供应商不足三家的；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1077" w:hanging="720"/>
        <w:rPr>
          <w:sz w:val="24"/>
        </w:rPr>
      </w:pPr>
      <w:r>
        <w:rPr>
          <w:sz w:val="24"/>
        </w:rPr>
        <w:t>废标后，采购人将废标理由书面通知所有投标人。</w:t>
      </w:r>
    </w:p>
    <w:p>
      <w:pPr>
        <w:numPr>
          <w:ilvl w:val="0"/>
          <w:numId w:val="10"/>
        </w:numPr>
        <w:tabs>
          <w:tab w:val="left" w:pos="360"/>
        </w:tabs>
        <w:snapToGrid w:val="0"/>
        <w:spacing w:line="360" w:lineRule="auto"/>
        <w:ind w:left="357" w:hanging="357"/>
        <w:outlineLvl w:val="1"/>
        <w:rPr>
          <w:sz w:val="24"/>
        </w:rPr>
      </w:pPr>
      <w:r>
        <w:rPr>
          <w:sz w:val="24"/>
        </w:rPr>
        <w:t>签订合同</w:t>
      </w:r>
    </w:p>
    <w:p>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10"/>
        </w:numPr>
        <w:tabs>
          <w:tab w:val="left" w:pos="1080"/>
          <w:tab w:val="left" w:pos="2014"/>
        </w:tabs>
        <w:snapToGrid w:val="0"/>
        <w:spacing w:line="360" w:lineRule="auto"/>
        <w:ind w:left="1077" w:hanging="720"/>
        <w:rPr>
          <w:sz w:val="24"/>
        </w:rPr>
      </w:pPr>
      <w:r>
        <w:rPr>
          <w:sz w:val="24"/>
        </w:rPr>
        <w:t>政府采购合同不能转包。</w:t>
      </w:r>
    </w:p>
    <w:p>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pPr>
        <w:numPr>
          <w:ilvl w:val="1"/>
          <w:numId w:val="10"/>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1077" w:hanging="720"/>
        <w:rPr>
          <w:sz w:val="24"/>
        </w:rPr>
      </w:pPr>
      <w:r>
        <w:rPr>
          <w:sz w:val="24"/>
        </w:rPr>
        <w:t>询问</w:t>
      </w:r>
    </w:p>
    <w:p>
      <w:pPr>
        <w:numPr>
          <w:ilvl w:val="2"/>
          <w:numId w:val="10"/>
        </w:numPr>
        <w:snapToGrid w:val="0"/>
        <w:spacing w:line="360" w:lineRule="auto"/>
        <w:rPr>
          <w:sz w:val="24"/>
        </w:rPr>
      </w:pPr>
      <w:bookmarkStart w:id="116"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116"/>
    </w:p>
    <w:p>
      <w:pPr>
        <w:numPr>
          <w:ilvl w:val="2"/>
          <w:numId w:val="10"/>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10"/>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sz w:val="24"/>
        </w:rPr>
      </w:pPr>
      <w:r>
        <w:rPr>
          <w:sz w:val="24"/>
        </w:rPr>
        <w:t>代理费</w:t>
      </w:r>
    </w:p>
    <w:p>
      <w:pPr>
        <w:numPr>
          <w:ilvl w:val="1"/>
          <w:numId w:val="10"/>
        </w:numPr>
        <w:tabs>
          <w:tab w:val="left" w:pos="1080"/>
          <w:tab w:val="left" w:pos="2014"/>
        </w:tabs>
        <w:snapToGrid w:val="0"/>
        <w:spacing w:line="360" w:lineRule="auto"/>
        <w:ind w:left="1077" w:hanging="720"/>
        <w:rPr>
          <w:sz w:val="24"/>
        </w:rPr>
      </w:pPr>
      <w:r>
        <w:rPr>
          <w:rFonts w:hint="eastAsia"/>
          <w:sz w:val="24"/>
          <w:lang w:eastAsia="zh-CN"/>
        </w:rPr>
        <w:t>不收取代理费</w:t>
      </w:r>
      <w:r>
        <w:rPr>
          <w:sz w:val="24"/>
        </w:rPr>
        <w:t>。</w:t>
      </w:r>
    </w:p>
    <w:bookmarkEnd w:id="67"/>
    <w:bookmarkEnd w:id="68"/>
    <w:bookmarkEnd w:id="69"/>
    <w:bookmarkEnd w:id="70"/>
    <w:bookmarkEnd w:id="71"/>
    <w:bookmarkEnd w:id="72"/>
    <w:bookmarkEnd w:id="73"/>
    <w:bookmarkEnd w:id="74"/>
    <w:bookmarkEnd w:id="75"/>
    <w:bookmarkEnd w:id="76"/>
    <w:bookmarkEnd w:id="77"/>
    <w:bookmarkEnd w:id="78"/>
    <w:bookmarkEnd w:id="79"/>
    <w:bookmarkEnd w:id="80"/>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sz w:val="36"/>
          <w:szCs w:val="36"/>
        </w:rPr>
      </w:pPr>
      <w:bookmarkStart w:id="117" w:name="_Toc150774759"/>
      <w:bookmarkStart w:id="118" w:name="_Toc265228392"/>
      <w:bookmarkStart w:id="119" w:name="_Toc142311056"/>
      <w:bookmarkStart w:id="120" w:name="_Toc226965827"/>
      <w:bookmarkStart w:id="121" w:name="_Toc353825544"/>
      <w:bookmarkStart w:id="122" w:name="_Toc127151554"/>
      <w:bookmarkStart w:id="123" w:name="_Toc353873934"/>
      <w:bookmarkStart w:id="124" w:name="_Toc150480792"/>
      <w:bookmarkStart w:id="125" w:name="_Toc353873664"/>
      <w:bookmarkStart w:id="126" w:name="_Toc305158822"/>
      <w:bookmarkStart w:id="127" w:name="_Toc305158896"/>
      <w:bookmarkStart w:id="128" w:name="_Toc226337250"/>
      <w:bookmarkStart w:id="129" w:name="_Toc264969244"/>
      <w:bookmarkStart w:id="130" w:name="_Toc26602"/>
      <w:r>
        <w:rPr>
          <w:rFonts w:hint="eastAsia" w:ascii="宋体" w:hAnsi="宋体" w:cs="宋体"/>
          <w:b/>
          <w:sz w:val="36"/>
          <w:szCs w:val="36"/>
        </w:rPr>
        <w:t xml:space="preserve">第三章   </w:t>
      </w:r>
      <w:bookmarkEnd w:id="117"/>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cs="宋体"/>
          <w:b/>
          <w:sz w:val="36"/>
          <w:szCs w:val="36"/>
        </w:rPr>
        <w:t>资格审查</w:t>
      </w:r>
      <w:bookmarkEnd w:id="130"/>
      <w:bookmarkStart w:id="131" w:name="_Toc487900382"/>
    </w:p>
    <w:p>
      <w:pPr>
        <w:tabs>
          <w:tab w:val="left" w:pos="360"/>
          <w:tab w:val="left" w:pos="900"/>
        </w:tabs>
        <w:snapToGrid w:val="0"/>
        <w:spacing w:line="360" w:lineRule="auto"/>
        <w:jc w:val="center"/>
        <w:outlineLvl w:val="1"/>
        <w:rPr>
          <w:rFonts w:hint="eastAsia" w:ascii="宋体" w:hAnsi="宋体" w:cs="宋体"/>
          <w:b/>
          <w:sz w:val="24"/>
        </w:rPr>
      </w:pPr>
      <w:bookmarkStart w:id="132" w:name="_Toc99301422"/>
      <w:r>
        <w:rPr>
          <w:rFonts w:hint="eastAsia" w:ascii="宋体" w:hAnsi="宋体" w:cs="宋体"/>
          <w:b/>
          <w:sz w:val="24"/>
        </w:rPr>
        <w:t>一、资格审查程序</w:t>
      </w:r>
      <w:bookmarkEnd w:id="132"/>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numPr>
          <w:ilvl w:val="0"/>
          <w:numId w:val="13"/>
        </w:num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资格审查要求</w:t>
      </w:r>
    </w:p>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pStyle w:val="2"/>
        <w:numPr>
          <w:ilvl w:val="0"/>
          <w:numId w:val="0"/>
        </w:numPr>
        <w:rPr>
          <w:rFonts w:hint="eastAsia"/>
        </w:rPr>
      </w:pP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131"/>
    <w:p>
      <w:pPr>
        <w:rPr>
          <w:rFonts w:ascii="Arial"/>
        </w:rPr>
      </w:pPr>
      <w:bookmarkStart w:id="133" w:name="_Hlt487972895"/>
      <w:bookmarkEnd w:id="133"/>
      <w:bookmarkStart w:id="134" w:name="_Toc353873940"/>
      <w:bookmarkStart w:id="135" w:name="_Toc226965858"/>
      <w:bookmarkStart w:id="136" w:name="_Toc127151779"/>
      <w:bookmarkStart w:id="137" w:name="_Toc353825550"/>
      <w:bookmarkStart w:id="138" w:name="_Toc127161490"/>
    </w:p>
    <w:p>
      <w:pPr>
        <w:pStyle w:val="33"/>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139" w:name="_Toc5513"/>
      <w:r>
        <w:rPr>
          <w:rFonts w:hint="eastAsia" w:ascii="宋体" w:hAnsi="宋体" w:cs="宋体"/>
          <w:b/>
          <w:sz w:val="36"/>
          <w:szCs w:val="36"/>
        </w:rPr>
        <w:t xml:space="preserve">第四章   </w:t>
      </w:r>
      <w:bookmarkEnd w:id="134"/>
      <w:bookmarkEnd w:id="135"/>
      <w:bookmarkEnd w:id="136"/>
      <w:bookmarkEnd w:id="137"/>
      <w:bookmarkEnd w:id="138"/>
      <w:bookmarkStart w:id="140" w:name="_Hlt164229061"/>
      <w:bookmarkEnd w:id="140"/>
      <w:r>
        <w:rPr>
          <w:rFonts w:hint="eastAsia" w:ascii="宋体" w:hAnsi="宋体" w:cs="宋体"/>
          <w:b/>
          <w:sz w:val="36"/>
          <w:szCs w:val="36"/>
        </w:rPr>
        <w:t>评标程序、评标方法和评标标准</w:t>
      </w:r>
      <w:bookmarkEnd w:id="139"/>
    </w:p>
    <w:p>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pPr>
        <w:numPr>
          <w:ilvl w:val="0"/>
          <w:numId w:val="14"/>
        </w:numPr>
        <w:tabs>
          <w:tab w:val="left" w:pos="360"/>
        </w:tabs>
        <w:snapToGrid w:val="0"/>
        <w:spacing w:line="360" w:lineRule="auto"/>
        <w:outlineLvl w:val="1"/>
        <w:rPr>
          <w:sz w:val="24"/>
        </w:rPr>
      </w:pPr>
      <w:r>
        <w:rPr>
          <w:sz w:val="24"/>
        </w:rPr>
        <w:t>投标文件的符合性审查</w:t>
      </w:r>
    </w:p>
    <w:p>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p>
    <w:p>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5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9" w:type="dxa"/>
            <w:shd w:val="clear" w:color="auto" w:fill="auto"/>
            <w:vAlign w:val="center"/>
          </w:tcPr>
          <w:p>
            <w:pPr>
              <w:widowControl/>
              <w:jc w:val="center"/>
              <w:rPr>
                <w:b/>
                <w:color w:val="000000"/>
                <w:kern w:val="0"/>
                <w:sz w:val="24"/>
              </w:rPr>
            </w:pPr>
            <w:r>
              <w:rPr>
                <w:b/>
                <w:color w:val="000000"/>
                <w:kern w:val="0"/>
                <w:sz w:val="24"/>
              </w:rPr>
              <w:t>序号</w:t>
            </w:r>
          </w:p>
        </w:tc>
        <w:tc>
          <w:tcPr>
            <w:tcW w:w="1812" w:type="dxa"/>
            <w:shd w:val="clear" w:color="auto" w:fill="auto"/>
            <w:vAlign w:val="center"/>
          </w:tcPr>
          <w:p>
            <w:pPr>
              <w:widowControl/>
              <w:jc w:val="center"/>
              <w:rPr>
                <w:b/>
                <w:color w:val="000000"/>
                <w:kern w:val="0"/>
                <w:sz w:val="24"/>
              </w:rPr>
            </w:pPr>
            <w:r>
              <w:rPr>
                <w:b/>
                <w:color w:val="000000"/>
                <w:kern w:val="0"/>
                <w:sz w:val="24"/>
              </w:rPr>
              <w:t>审查因素</w:t>
            </w:r>
          </w:p>
        </w:tc>
        <w:tc>
          <w:tcPr>
            <w:tcW w:w="6727" w:type="dxa"/>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1</w:t>
            </w:r>
          </w:p>
        </w:tc>
        <w:tc>
          <w:tcPr>
            <w:tcW w:w="1812" w:type="dxa"/>
            <w:shd w:val="clear" w:color="auto" w:fill="auto"/>
            <w:vAlign w:val="center"/>
          </w:tcPr>
          <w:p>
            <w:pPr>
              <w:widowControl/>
              <w:jc w:val="left"/>
              <w:rPr>
                <w:color w:val="000000"/>
                <w:kern w:val="0"/>
                <w:sz w:val="24"/>
              </w:rPr>
            </w:pPr>
            <w:r>
              <w:rPr>
                <w:color w:val="000000"/>
                <w:kern w:val="0"/>
                <w:sz w:val="24"/>
              </w:rPr>
              <w:t>授权委托书</w:t>
            </w:r>
          </w:p>
        </w:tc>
        <w:tc>
          <w:tcPr>
            <w:tcW w:w="6727" w:type="dxa"/>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2</w:t>
            </w:r>
          </w:p>
        </w:tc>
        <w:tc>
          <w:tcPr>
            <w:tcW w:w="1812" w:type="dxa"/>
            <w:shd w:val="clear" w:color="auto" w:fill="auto"/>
            <w:vAlign w:val="center"/>
          </w:tcPr>
          <w:p>
            <w:pPr>
              <w:widowControl/>
              <w:jc w:val="left"/>
              <w:rPr>
                <w:color w:val="000000"/>
                <w:kern w:val="0"/>
                <w:sz w:val="24"/>
              </w:rPr>
            </w:pPr>
            <w:r>
              <w:rPr>
                <w:color w:val="000000"/>
                <w:kern w:val="0"/>
                <w:sz w:val="24"/>
              </w:rPr>
              <w:t>投标完整性</w:t>
            </w:r>
          </w:p>
        </w:tc>
        <w:tc>
          <w:tcPr>
            <w:tcW w:w="6727" w:type="dxa"/>
            <w:shd w:val="clear" w:color="auto" w:fill="auto"/>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3</w:t>
            </w:r>
          </w:p>
        </w:tc>
        <w:tc>
          <w:tcPr>
            <w:tcW w:w="1812" w:type="dxa"/>
            <w:shd w:val="clear" w:color="auto" w:fill="auto"/>
            <w:vAlign w:val="center"/>
          </w:tcPr>
          <w:p>
            <w:pPr>
              <w:widowControl/>
              <w:jc w:val="left"/>
              <w:rPr>
                <w:color w:val="000000"/>
                <w:kern w:val="0"/>
                <w:sz w:val="24"/>
              </w:rPr>
            </w:pPr>
            <w:r>
              <w:rPr>
                <w:color w:val="000000"/>
                <w:kern w:val="0"/>
                <w:sz w:val="24"/>
              </w:rPr>
              <w:t>投标报价</w:t>
            </w:r>
          </w:p>
        </w:tc>
        <w:tc>
          <w:tcPr>
            <w:tcW w:w="6727" w:type="dxa"/>
            <w:shd w:val="clear" w:color="auto" w:fill="auto"/>
            <w:vAlign w:val="center"/>
          </w:tcPr>
          <w:p>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4</w:t>
            </w:r>
          </w:p>
        </w:tc>
        <w:tc>
          <w:tcPr>
            <w:tcW w:w="1812" w:type="dxa"/>
            <w:shd w:val="clear" w:color="auto" w:fill="auto"/>
            <w:vAlign w:val="center"/>
          </w:tcPr>
          <w:p>
            <w:pPr>
              <w:widowControl/>
              <w:jc w:val="left"/>
              <w:rPr>
                <w:color w:val="000000"/>
                <w:kern w:val="0"/>
                <w:sz w:val="24"/>
              </w:rPr>
            </w:pPr>
            <w:r>
              <w:rPr>
                <w:color w:val="000000"/>
                <w:kern w:val="0"/>
                <w:sz w:val="24"/>
              </w:rPr>
              <w:t>报价唯一性</w:t>
            </w:r>
          </w:p>
        </w:tc>
        <w:tc>
          <w:tcPr>
            <w:tcW w:w="6727" w:type="dxa"/>
            <w:shd w:val="clear" w:color="auto" w:fill="auto"/>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5</w:t>
            </w:r>
          </w:p>
        </w:tc>
        <w:tc>
          <w:tcPr>
            <w:tcW w:w="1812" w:type="dxa"/>
            <w:shd w:val="clear" w:color="auto" w:fill="auto"/>
            <w:vAlign w:val="center"/>
          </w:tcPr>
          <w:p>
            <w:pPr>
              <w:widowControl/>
              <w:jc w:val="left"/>
              <w:rPr>
                <w:color w:val="000000"/>
                <w:kern w:val="0"/>
                <w:sz w:val="24"/>
              </w:rPr>
            </w:pPr>
            <w:r>
              <w:rPr>
                <w:color w:val="000000"/>
                <w:kern w:val="0"/>
                <w:sz w:val="24"/>
              </w:rPr>
              <w:t>投标有效期</w:t>
            </w:r>
          </w:p>
        </w:tc>
        <w:tc>
          <w:tcPr>
            <w:tcW w:w="6727" w:type="dxa"/>
            <w:shd w:val="clear" w:color="auto" w:fill="auto"/>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6</w:t>
            </w:r>
          </w:p>
        </w:tc>
        <w:tc>
          <w:tcPr>
            <w:tcW w:w="1812" w:type="dxa"/>
            <w:shd w:val="clear" w:color="auto" w:fill="auto"/>
            <w:vAlign w:val="center"/>
          </w:tcPr>
          <w:p>
            <w:pPr>
              <w:widowControl/>
              <w:jc w:val="left"/>
              <w:rPr>
                <w:color w:val="000000"/>
                <w:kern w:val="0"/>
                <w:sz w:val="24"/>
              </w:rPr>
            </w:pPr>
            <w:r>
              <w:rPr>
                <w:color w:val="000000"/>
                <w:kern w:val="0"/>
                <w:sz w:val="24"/>
              </w:rPr>
              <w:t>实质性格式</w:t>
            </w:r>
          </w:p>
        </w:tc>
        <w:tc>
          <w:tcPr>
            <w:tcW w:w="6727" w:type="dxa"/>
            <w:shd w:val="clear" w:color="auto" w:fill="auto"/>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7</w:t>
            </w:r>
          </w:p>
        </w:tc>
        <w:tc>
          <w:tcPr>
            <w:tcW w:w="1812" w:type="dxa"/>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7" w:type="dxa"/>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rFonts w:hint="eastAsia"/>
                <w:color w:val="000000"/>
                <w:kern w:val="0"/>
                <w:sz w:val="24"/>
                <w:lang w:val="en-US" w:eastAsia="zh-CN"/>
              </w:rPr>
              <w:t>8</w:t>
            </w:r>
          </w:p>
        </w:tc>
        <w:tc>
          <w:tcPr>
            <w:tcW w:w="1812" w:type="dxa"/>
            <w:shd w:val="clear" w:color="auto" w:fill="auto"/>
            <w:vAlign w:val="center"/>
          </w:tcPr>
          <w:p>
            <w:pPr>
              <w:widowControl/>
              <w:jc w:val="left"/>
              <w:rPr>
                <w:color w:val="000000"/>
                <w:kern w:val="0"/>
                <w:sz w:val="24"/>
              </w:rPr>
            </w:pPr>
            <w:r>
              <w:rPr>
                <w:color w:val="000000"/>
                <w:kern w:val="0"/>
                <w:sz w:val="24"/>
              </w:rPr>
              <w:t>报价的修正（如有）</w:t>
            </w:r>
          </w:p>
        </w:tc>
        <w:tc>
          <w:tcPr>
            <w:tcW w:w="6727" w:type="dxa"/>
            <w:shd w:val="clear" w:color="auto" w:fill="auto"/>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jc w:val="center"/>
        </w:trPr>
        <w:tc>
          <w:tcPr>
            <w:tcW w:w="749" w:type="dxa"/>
            <w:shd w:val="clear" w:color="auto" w:fill="auto"/>
            <w:vAlign w:val="center"/>
          </w:tcPr>
          <w:p>
            <w:pPr>
              <w:pStyle w:val="266"/>
              <w:spacing w:before="69" w:line="360" w:lineRule="auto"/>
              <w:jc w:val="center"/>
              <w:rPr>
                <w:color w:val="auto"/>
                <w:kern w:val="0"/>
                <w:sz w:val="24"/>
              </w:rPr>
            </w:pPr>
            <w:r>
              <w:rPr>
                <w:rFonts w:hint="eastAsia" w:ascii="宋体" w:hAnsi="宋体" w:eastAsia="宋体" w:cs="宋体"/>
                <w:color w:val="auto"/>
                <w:spacing w:val="5"/>
                <w:sz w:val="24"/>
                <w:szCs w:val="24"/>
                <w:lang w:val="en-US" w:eastAsia="zh-CN"/>
              </w:rPr>
              <w:t>9</w:t>
            </w:r>
          </w:p>
        </w:tc>
        <w:tc>
          <w:tcPr>
            <w:tcW w:w="1812" w:type="dxa"/>
            <w:shd w:val="clear" w:color="auto" w:fill="auto"/>
            <w:vAlign w:val="top"/>
          </w:tcPr>
          <w:p>
            <w:pPr>
              <w:keepNext w:val="0"/>
              <w:keepLines w:val="0"/>
              <w:pageBreakBefore w:val="0"/>
              <w:widowControl w:val="0"/>
              <w:kinsoku/>
              <w:wordWrap/>
              <w:overflowPunct/>
              <w:topLinePunct w:val="0"/>
              <w:autoSpaceDE/>
              <w:autoSpaceDN/>
              <w:bidi w:val="0"/>
              <w:adjustRightInd/>
              <w:snapToGrid/>
              <w:spacing w:before="103" w:line="240" w:lineRule="auto"/>
              <w:ind w:right="0" w:rightChars="0"/>
              <w:jc w:val="both"/>
              <w:textAlignment w:val="auto"/>
              <w:outlineLvl w:val="9"/>
              <w:rPr>
                <w:color w:val="auto"/>
                <w:kern w:val="0"/>
                <w:sz w:val="24"/>
              </w:rPr>
            </w:pPr>
            <w:r>
              <w:rPr>
                <w:rFonts w:hint="eastAsia" w:ascii="宋体" w:hAnsi="宋体" w:cs="宋体"/>
                <w:color w:val="auto"/>
                <w:sz w:val="24"/>
                <w:lang w:eastAsia="zh-CN"/>
              </w:rPr>
              <w:t>核心产品</w:t>
            </w:r>
          </w:p>
        </w:tc>
        <w:tc>
          <w:tcPr>
            <w:tcW w:w="6727" w:type="dxa"/>
            <w:shd w:val="clear" w:color="auto" w:fill="auto"/>
            <w:vAlign w:val="top"/>
          </w:tcPr>
          <w:p>
            <w:pPr>
              <w:spacing w:before="37" w:line="360" w:lineRule="auto"/>
              <w:rPr>
                <w:color w:val="auto"/>
                <w:kern w:val="0"/>
                <w:sz w:val="24"/>
              </w:rPr>
            </w:pPr>
            <w:r>
              <w:rPr>
                <w:rFonts w:hint="eastAsia" w:ascii="宋体" w:hAnsi="宋体" w:cs="宋体"/>
                <w:color w:val="auto"/>
                <w:sz w:val="24"/>
                <w:lang w:eastAsia="zh-CN"/>
              </w:rPr>
              <w:t>核心产品需满足不少于三个品牌产品参加投标；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auto"/>
                <w:kern w:val="0"/>
                <w:sz w:val="24"/>
              </w:rPr>
            </w:pPr>
            <w:r>
              <w:rPr>
                <w:color w:val="auto"/>
                <w:kern w:val="0"/>
                <w:sz w:val="24"/>
              </w:rPr>
              <w:t>1</w:t>
            </w:r>
            <w:r>
              <w:rPr>
                <w:rFonts w:hint="eastAsia"/>
                <w:color w:val="auto"/>
                <w:kern w:val="0"/>
                <w:sz w:val="24"/>
                <w:lang w:val="en-US" w:eastAsia="zh-CN"/>
              </w:rPr>
              <w:t>0</w:t>
            </w:r>
          </w:p>
        </w:tc>
        <w:tc>
          <w:tcPr>
            <w:tcW w:w="1812" w:type="dxa"/>
            <w:shd w:val="clear" w:color="auto" w:fill="auto"/>
            <w:vAlign w:val="center"/>
          </w:tcPr>
          <w:p>
            <w:pPr>
              <w:widowControl/>
              <w:jc w:val="left"/>
              <w:rPr>
                <w:color w:val="auto"/>
                <w:kern w:val="0"/>
                <w:sz w:val="24"/>
              </w:rPr>
            </w:pPr>
            <w:r>
              <w:rPr>
                <w:color w:val="auto"/>
                <w:kern w:val="0"/>
                <w:sz w:val="24"/>
              </w:rPr>
              <w:t>进口产品</w:t>
            </w:r>
          </w:p>
        </w:tc>
        <w:tc>
          <w:tcPr>
            <w:tcW w:w="6727" w:type="dxa"/>
            <w:shd w:val="clear" w:color="auto" w:fill="auto"/>
            <w:vAlign w:val="center"/>
          </w:tcPr>
          <w:p>
            <w:pPr>
              <w:widowControl/>
              <w:jc w:val="left"/>
              <w:rPr>
                <w:color w:val="auto"/>
                <w:kern w:val="0"/>
                <w:sz w:val="24"/>
              </w:rPr>
            </w:pPr>
            <w:r>
              <w:rPr>
                <w:rFonts w:hint="eastAsia"/>
                <w:color w:val="auto"/>
                <w:sz w:val="24"/>
                <w:lang w:eastAsia="zh-CN"/>
              </w:rPr>
              <w:t>本项目</w:t>
            </w:r>
            <w:r>
              <w:rPr>
                <w:color w:val="auto"/>
                <w:sz w:val="24"/>
              </w:rPr>
              <w:t>不接受进口产品投标；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auto"/>
                <w:kern w:val="0"/>
                <w:sz w:val="24"/>
                <w:lang w:eastAsia="zh-CN"/>
              </w:rPr>
            </w:pPr>
            <w:r>
              <w:rPr>
                <w:rFonts w:hint="eastAsia"/>
                <w:color w:val="auto"/>
                <w:kern w:val="0"/>
                <w:sz w:val="24"/>
                <w:lang w:val="en-US" w:eastAsia="zh-CN"/>
              </w:rPr>
              <w:t>11</w:t>
            </w:r>
          </w:p>
        </w:tc>
        <w:tc>
          <w:tcPr>
            <w:tcW w:w="1812" w:type="dxa"/>
            <w:shd w:val="clear" w:color="auto" w:fill="auto"/>
            <w:vAlign w:val="center"/>
          </w:tcPr>
          <w:p>
            <w:pPr>
              <w:widowControl/>
              <w:jc w:val="left"/>
              <w:rPr>
                <w:color w:val="auto"/>
                <w:kern w:val="0"/>
                <w:sz w:val="24"/>
              </w:rPr>
            </w:pPr>
            <w:r>
              <w:rPr>
                <w:color w:val="auto"/>
                <w:kern w:val="0"/>
                <w:sz w:val="24"/>
              </w:rPr>
              <w:t>国家有关部门对投标人的投标产品有强制性规定或要求的</w:t>
            </w:r>
          </w:p>
        </w:tc>
        <w:tc>
          <w:tcPr>
            <w:tcW w:w="6727" w:type="dxa"/>
            <w:shd w:val="clear" w:color="auto" w:fill="auto"/>
            <w:vAlign w:val="center"/>
          </w:tcPr>
          <w:p>
            <w:pPr>
              <w:widowControl/>
              <w:jc w:val="left"/>
              <w:rPr>
                <w:color w:val="auto"/>
                <w:kern w:val="0"/>
                <w:sz w:val="24"/>
              </w:rPr>
            </w:pPr>
            <w:r>
              <w:rPr>
                <w:color w:val="auto"/>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auto"/>
                <w:kern w:val="0"/>
                <w:sz w:val="24"/>
              </w:rPr>
            </w:pPr>
            <w:r>
              <w:rPr>
                <w:color w:val="auto"/>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color w:val="auto"/>
                <w:sz w:val="24"/>
              </w:rPr>
            </w:pPr>
            <w:r>
              <w:rPr>
                <w:color w:val="auto"/>
                <w:kern w:val="0"/>
                <w:sz w:val="24"/>
              </w:rPr>
              <w:t>2）</w:t>
            </w:r>
            <w:r>
              <w:rPr>
                <w:color w:val="auto"/>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rPr>
              <w:t>公安部颁发的计算机信息系统安全专用产品销售许可证</w:t>
            </w:r>
            <w:r>
              <w:rPr>
                <w:color w:val="auto"/>
                <w:sz w:val="24"/>
              </w:rPr>
              <w:t>，且在有效期内，亦视为符合要求）</w:t>
            </w:r>
          </w:p>
          <w:p>
            <w:pPr>
              <w:widowControl/>
              <w:jc w:val="left"/>
              <w:rPr>
                <w:color w:val="auto"/>
                <w:kern w:val="0"/>
                <w:sz w:val="24"/>
              </w:rPr>
            </w:pPr>
            <w:r>
              <w:rPr>
                <w:color w:val="auto"/>
                <w:sz w:val="24"/>
              </w:rPr>
              <w:t>3）项目中涉及涂料、胶黏剂、油墨、清洗剂等挥发性有机物产品，且属于强制性标准的，供应商应执行符合本市和国家的VOCs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1</w:t>
            </w:r>
            <w:r>
              <w:rPr>
                <w:rFonts w:hint="eastAsia"/>
                <w:color w:val="000000"/>
                <w:kern w:val="0"/>
                <w:sz w:val="24"/>
                <w:lang w:val="en-US" w:eastAsia="zh-CN"/>
              </w:rPr>
              <w:t>2</w:t>
            </w:r>
          </w:p>
        </w:tc>
        <w:tc>
          <w:tcPr>
            <w:tcW w:w="1812" w:type="dxa"/>
            <w:shd w:val="clear" w:color="auto" w:fill="auto"/>
            <w:vAlign w:val="center"/>
          </w:tcPr>
          <w:p>
            <w:pPr>
              <w:widowControl/>
              <w:jc w:val="left"/>
              <w:rPr>
                <w:color w:val="000000"/>
                <w:kern w:val="0"/>
                <w:sz w:val="24"/>
              </w:rPr>
            </w:pPr>
            <w:r>
              <w:rPr>
                <w:color w:val="000000"/>
                <w:kern w:val="0"/>
                <w:sz w:val="24"/>
              </w:rPr>
              <w:t>公平竞争</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1</w:t>
            </w:r>
            <w:r>
              <w:rPr>
                <w:rFonts w:hint="eastAsia"/>
                <w:color w:val="000000"/>
                <w:kern w:val="0"/>
                <w:sz w:val="24"/>
                <w:lang w:val="en-US" w:eastAsia="zh-CN"/>
              </w:rPr>
              <w:t>3</w:t>
            </w:r>
          </w:p>
        </w:tc>
        <w:tc>
          <w:tcPr>
            <w:tcW w:w="1812" w:type="dxa"/>
            <w:shd w:val="clear" w:color="auto" w:fill="auto"/>
            <w:vAlign w:val="center"/>
          </w:tcPr>
          <w:p>
            <w:pPr>
              <w:widowControl/>
              <w:jc w:val="left"/>
              <w:rPr>
                <w:color w:val="000000"/>
                <w:kern w:val="0"/>
                <w:sz w:val="24"/>
              </w:rPr>
            </w:pPr>
            <w:r>
              <w:rPr>
                <w:color w:val="000000"/>
                <w:kern w:val="0"/>
                <w:sz w:val="24"/>
              </w:rPr>
              <w:t>串通投标</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4</w:t>
            </w:r>
          </w:p>
        </w:tc>
        <w:tc>
          <w:tcPr>
            <w:tcW w:w="1812" w:type="dxa"/>
            <w:shd w:val="clear" w:color="auto" w:fill="auto"/>
            <w:vAlign w:val="center"/>
          </w:tcPr>
          <w:p>
            <w:pPr>
              <w:widowControl/>
              <w:jc w:val="left"/>
              <w:rPr>
                <w:color w:val="000000"/>
                <w:kern w:val="0"/>
                <w:sz w:val="24"/>
              </w:rPr>
            </w:pPr>
            <w:r>
              <w:rPr>
                <w:color w:val="000000"/>
                <w:kern w:val="0"/>
                <w:sz w:val="24"/>
              </w:rPr>
              <w:t>附加条件</w:t>
            </w:r>
          </w:p>
        </w:tc>
        <w:tc>
          <w:tcPr>
            <w:tcW w:w="6727" w:type="dxa"/>
            <w:shd w:val="clear" w:color="auto" w:fill="auto"/>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1812" w:type="dxa"/>
            <w:shd w:val="clear" w:color="auto" w:fill="auto"/>
            <w:vAlign w:val="center"/>
          </w:tcPr>
          <w:p>
            <w:pPr>
              <w:widowControl/>
              <w:jc w:val="left"/>
              <w:rPr>
                <w:color w:val="000000"/>
                <w:kern w:val="0"/>
                <w:sz w:val="24"/>
              </w:rPr>
            </w:pPr>
            <w:r>
              <w:rPr>
                <w:color w:val="000000"/>
                <w:kern w:val="0"/>
                <w:sz w:val="24"/>
              </w:rPr>
              <w:t>其他无效情形</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pPr>
        <w:numPr>
          <w:ilvl w:val="0"/>
          <w:numId w:val="15"/>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4"/>
        </w:numPr>
        <w:tabs>
          <w:tab w:val="left" w:pos="360"/>
        </w:tabs>
        <w:snapToGrid w:val="0"/>
        <w:spacing w:line="360" w:lineRule="auto"/>
        <w:outlineLvl w:val="1"/>
        <w:rPr>
          <w:sz w:val="24"/>
        </w:rPr>
      </w:pPr>
      <w:r>
        <w:rPr>
          <w:sz w:val="24"/>
        </w:rPr>
        <w:t>投标文件有关事项的澄清或者说明</w:t>
      </w:r>
    </w:p>
    <w:p>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141" w:name="_Hlk144225607"/>
      <w:r>
        <w:rPr>
          <w:color w:val="000000"/>
          <w:sz w:val="24"/>
          <w:szCs w:val="20"/>
        </w:rPr>
        <w:t>若投标人为事业单位或其他组织或分支机构，可为单位负责人</w:t>
      </w:r>
      <w:bookmarkEnd w:id="141"/>
      <w:r>
        <w:rPr>
          <w:sz w:val="24"/>
        </w:rPr>
        <w:t>）或其授权的代表签字。投标人的澄清、说明或者补正不得超出投标文件的范围或者改变投标文件的实质性内容。澄清文件将作为投标文件内容的一部分。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sz w:val="24"/>
        </w:rPr>
      </w:pPr>
      <w:bookmarkStart w:id="142" w:name="_Hlk220085436"/>
      <w:r>
        <w:rPr>
          <w:rFonts w:hint="eastAsia"/>
          <w:sz w:val="24"/>
        </w:rPr>
        <w:t>异常低价处理</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lang w:val="en-US" w:eastAsia="zh-CN"/>
        </w:rPr>
        <w:t>50</w:t>
      </w:r>
      <w:r>
        <w:rPr>
          <w:rFonts w:hint="eastAsia"/>
          <w:sz w:val="24"/>
        </w:rPr>
        <w:t>%的，即投标（响应）报价&lt;全部通过符合性审查供应商投标（响应）报价平均值×</w:t>
      </w:r>
      <w:r>
        <w:rPr>
          <w:rFonts w:hint="eastAsia"/>
          <w:sz w:val="24"/>
          <w:lang w:val="en-US" w:eastAsia="zh-CN"/>
        </w:rPr>
        <w:t>50</w:t>
      </w:r>
      <w:r>
        <w:rPr>
          <w:rFonts w:hint="eastAsia"/>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lang w:val="en-US" w:eastAsia="zh-CN"/>
        </w:rPr>
        <w:t>50</w:t>
      </w:r>
      <w:r>
        <w:rPr>
          <w:rFonts w:hint="eastAsia"/>
          <w:sz w:val="24"/>
        </w:rPr>
        <w:t>%的，即投标（响应）报价&lt;通过符合性审查的次低报价供应商投标（响应）报价×</w:t>
      </w:r>
      <w:r>
        <w:rPr>
          <w:rFonts w:hint="eastAsia"/>
          <w:sz w:val="24"/>
          <w:lang w:val="en-US" w:eastAsia="zh-CN"/>
        </w:rPr>
        <w:t>50</w:t>
      </w:r>
      <w:r>
        <w:rPr>
          <w:rFonts w:hint="eastAsia"/>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bookmarkStart w:id="143" w:name="_Hlk190337965"/>
      <w:r>
        <w:rPr>
          <w:rFonts w:hint="eastAsia"/>
          <w:color w:val="000000"/>
          <w:sz w:val="24"/>
        </w:rPr>
        <w:t xml:space="preserve"> </w:t>
      </w:r>
      <w:r>
        <w:rPr>
          <w:rFonts w:hint="eastAsia"/>
          <w:sz w:val="24"/>
        </w:rPr>
        <w:t>上述投标（响应）报价指按照本章2.4修正后的报价</w:t>
      </w:r>
      <w:bookmarkEnd w:id="143"/>
      <w:r>
        <w:rPr>
          <w:rFonts w:hint="eastAsia"/>
          <w:sz w:val="24"/>
        </w:rPr>
        <w:t>。</w:t>
      </w:r>
    </w:p>
    <w:bookmarkEnd w:id="142"/>
    <w:p>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sz w:val="24"/>
          <w:szCs w:val="24"/>
        </w:rPr>
        <w:t>■</w:t>
      </w:r>
      <w:r>
        <w:rPr>
          <w:sz w:val="24"/>
        </w:rPr>
        <w:t>无，按下述2.4.2-2.4.7项规定修正。</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10</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lang w:val="en-US" w:eastAsia="zh-CN"/>
        </w:rPr>
        <w:t>5</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4"/>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1"/>
          <w:numId w:val="14"/>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pPr>
        <w:numPr>
          <w:ilvl w:val="0"/>
          <w:numId w:val="14"/>
        </w:numPr>
        <w:tabs>
          <w:tab w:val="left" w:pos="360"/>
        </w:tabs>
        <w:snapToGrid w:val="0"/>
        <w:spacing w:line="360" w:lineRule="auto"/>
        <w:outlineLvl w:val="1"/>
        <w:rPr>
          <w:sz w:val="24"/>
        </w:rPr>
      </w:pPr>
      <w:r>
        <w:rPr>
          <w:sz w:val="24"/>
        </w:rPr>
        <w:t>投标文件的比较和评价</w:t>
      </w:r>
    </w:p>
    <w:p>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sz w:val="24"/>
        </w:rPr>
      </w:pPr>
      <w:r>
        <w:rPr>
          <w:sz w:val="24"/>
        </w:rPr>
        <w:t>评标方法和评标标准</w:t>
      </w:r>
    </w:p>
    <w:p>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sz w:val="24"/>
          <w:szCs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0"/>
          <w:numId w:val="14"/>
        </w:numPr>
        <w:tabs>
          <w:tab w:val="left" w:pos="360"/>
        </w:tabs>
        <w:snapToGrid w:val="0"/>
        <w:spacing w:line="360" w:lineRule="auto"/>
        <w:outlineLvl w:val="1"/>
        <w:rPr>
          <w:sz w:val="24"/>
        </w:rPr>
      </w:pPr>
      <w:r>
        <w:rPr>
          <w:sz w:val="24"/>
        </w:rPr>
        <w:t>确定中标候选人名单</w:t>
      </w:r>
    </w:p>
    <w:p>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7"/>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7"/>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lang w:val="en-US" w:eastAsia="zh-CN"/>
        </w:rPr>
        <w:t>1</w:t>
      </w:r>
      <w:r>
        <w:rPr>
          <w:sz w:val="24"/>
        </w:rPr>
        <w:t>名中标候选人。</w:t>
      </w:r>
    </w:p>
    <w:p>
      <w:pPr>
        <w:numPr>
          <w:ilvl w:val="0"/>
          <w:numId w:val="14"/>
        </w:numPr>
        <w:tabs>
          <w:tab w:val="left" w:pos="360"/>
        </w:tabs>
        <w:snapToGrid w:val="0"/>
        <w:spacing w:line="360" w:lineRule="auto"/>
        <w:outlineLvl w:val="1"/>
        <w:rPr>
          <w:sz w:val="24"/>
        </w:rPr>
      </w:pPr>
      <w:r>
        <w:rPr>
          <w:sz w:val="24"/>
        </w:rPr>
        <w:t>报告违法行为</w:t>
      </w:r>
    </w:p>
    <w:p>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pPr>
        <w:widowControl/>
        <w:spacing w:line="360" w:lineRule="auto"/>
        <w:jc w:val="left"/>
        <w:rPr>
          <w:rFonts w:hint="eastAsia" w:ascii="宋体" w:hAnsi="宋体" w:cs="宋体"/>
          <w:b/>
          <w:sz w:val="24"/>
        </w:rPr>
      </w:pPr>
      <w:bookmarkStart w:id="144" w:name="_Toc150774760"/>
      <w:bookmarkStart w:id="145" w:name="_Toc353873935"/>
      <w:bookmarkStart w:id="146" w:name="_Toc226337251"/>
      <w:bookmarkStart w:id="147" w:name="_Toc195842920"/>
      <w:bookmarkStart w:id="148" w:name="_Toc353825545"/>
      <w:bookmarkStart w:id="149" w:name="_Toc264969245"/>
      <w:bookmarkStart w:id="150" w:name="_Toc353873665"/>
      <w:bookmarkStart w:id="151" w:name="_Toc127151555"/>
      <w:bookmarkStart w:id="152" w:name="_Toc142311057"/>
      <w:bookmarkStart w:id="153" w:name="_Toc150480793"/>
      <w:bookmarkStart w:id="154" w:name="_Toc305158897"/>
      <w:bookmarkStart w:id="155" w:name="_Toc265228393"/>
      <w:bookmarkStart w:id="156" w:name="_Toc305158823"/>
      <w:bookmarkStart w:id="157" w:name="_Toc226965828"/>
    </w:p>
    <w:p>
      <w:pPr>
        <w:widowControl/>
        <w:numPr>
          <w:ilvl w:val="0"/>
          <w:numId w:val="16"/>
        </w:numPr>
        <w:spacing w:line="360" w:lineRule="auto"/>
        <w:jc w:val="left"/>
        <w:rPr>
          <w:rFonts w:hint="eastAsia" w:ascii="宋体" w:hAnsi="宋体" w:cs="宋体"/>
          <w:b/>
          <w:sz w:val="24"/>
        </w:rPr>
      </w:pPr>
      <w:r>
        <w:rPr>
          <w:rFonts w:hint="eastAsia" w:ascii="宋体" w:hAnsi="宋体" w:cs="宋体"/>
          <w:b/>
          <w:sz w:val="24"/>
        </w:rPr>
        <w:t>评标标准</w:t>
      </w:r>
    </w:p>
    <w:tbl>
      <w:tblPr>
        <w:tblStyle w:val="58"/>
        <w:tblW w:w="9067" w:type="dxa"/>
        <w:tblInd w:w="0" w:type="dxa"/>
        <w:tblLayout w:type="fixed"/>
        <w:tblCellMar>
          <w:top w:w="0" w:type="dxa"/>
          <w:left w:w="108" w:type="dxa"/>
          <w:bottom w:w="0" w:type="dxa"/>
          <w:right w:w="108" w:type="dxa"/>
        </w:tblCellMar>
      </w:tblPr>
      <w:tblGrid>
        <w:gridCol w:w="704"/>
        <w:gridCol w:w="1136"/>
        <w:gridCol w:w="980"/>
        <w:gridCol w:w="861"/>
        <w:gridCol w:w="5386"/>
      </w:tblGrid>
      <w:tr>
        <w:tblPrEx>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136" w:type="dxa"/>
            <w:tcBorders>
              <w:top w:val="single" w:color="000000" w:sz="4" w:space="0"/>
              <w:left w:val="single" w:color="auto" w:sz="4" w:space="0"/>
              <w:bottom w:val="nil"/>
              <w:right w:val="single" w:color="000000" w:sz="4" w:space="0"/>
            </w:tcBorders>
            <w:shd w:val="clear" w:color="000000" w:fill="FFFFFF"/>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评分因素</w:t>
            </w:r>
          </w:p>
        </w:tc>
        <w:tc>
          <w:tcPr>
            <w:tcW w:w="980" w:type="dxa"/>
            <w:tcBorders>
              <w:top w:val="single" w:color="000000" w:sz="4" w:space="0"/>
              <w:left w:val="nil"/>
              <w:bottom w:val="nil"/>
              <w:right w:val="single" w:color="000000" w:sz="4" w:space="0"/>
            </w:tcBorders>
            <w:shd w:val="clear" w:color="000000" w:fill="FFFFFF"/>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861" w:type="dxa"/>
            <w:tcBorders>
              <w:top w:val="single" w:color="000000" w:sz="4" w:space="0"/>
              <w:left w:val="nil"/>
              <w:bottom w:val="nil"/>
              <w:right w:val="single" w:color="000000" w:sz="4" w:space="0"/>
            </w:tcBorders>
            <w:shd w:val="clear" w:color="000000" w:fill="FFFFFF"/>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w:t>
            </w:r>
          </w:p>
        </w:tc>
        <w:tc>
          <w:tcPr>
            <w:tcW w:w="5386" w:type="dxa"/>
            <w:tcBorders>
              <w:top w:val="single" w:color="000000" w:sz="4" w:space="0"/>
              <w:left w:val="nil"/>
              <w:bottom w:val="nil"/>
              <w:right w:val="single" w:color="000000" w:sz="4" w:space="0"/>
            </w:tcBorders>
            <w:shd w:val="clear" w:color="000000" w:fill="FFFFFF"/>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tblPrEx>
          <w:tblLayout w:type="fixed"/>
          <w:tblCellMar>
            <w:top w:w="0" w:type="dxa"/>
            <w:left w:w="108" w:type="dxa"/>
            <w:bottom w:w="0" w:type="dxa"/>
            <w:right w:w="108" w:type="dxa"/>
          </w:tblCellMar>
        </w:tblPrEx>
        <w:trPr>
          <w:trHeight w:val="915" w:hRule="atLeast"/>
        </w:trPr>
        <w:tc>
          <w:tcPr>
            <w:tcW w:w="704"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3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报价部分</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86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投标报价</w:t>
            </w:r>
          </w:p>
        </w:tc>
        <w:tc>
          <w:tcPr>
            <w:tcW w:w="5386" w:type="dxa"/>
            <w:tcBorders>
              <w:top w:val="single" w:color="auto" w:sz="4" w:space="0"/>
              <w:left w:val="nil"/>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满足招标文件要求且投标价格最低的投标报价为评标基准价，其价格分为满分。其他投标人的价格分统一按照下列公式计算：</w:t>
            </w:r>
          </w:p>
          <w:p>
            <w:pPr>
              <w:rPr>
                <w:rFonts w:hint="eastAsia" w:ascii="宋体" w:hAnsi="宋体" w:eastAsia="宋体" w:cs="宋体"/>
                <w:color w:val="auto"/>
                <w:sz w:val="24"/>
                <w:szCs w:val="24"/>
                <w:highlight w:val="none"/>
                <w:lang w:eastAsia="zh-CN"/>
              </w:rPr>
            </w:pPr>
            <w:r>
              <w:rPr>
                <w:rFonts w:hint="eastAsia" w:ascii="宋体" w:hAnsi="宋体" w:eastAsia="宋体" w:cs="宋体"/>
                <w:sz w:val="24"/>
                <w:szCs w:val="24"/>
              </w:rPr>
              <w:t>投标报价得分＝（评标基准价/投标报价）×分值。此处投标报价指经过报价修正，及因落实政府采购政策进行价格调整后的报价，详见第四章《评标程序、评标方法和评标标准》2.4、2.5及2.6。</w:t>
            </w:r>
          </w:p>
        </w:tc>
      </w:tr>
      <w:tr>
        <w:tblPrEx>
          <w:tblLayout w:type="fixed"/>
          <w:tblCellMar>
            <w:top w:w="0" w:type="dxa"/>
            <w:left w:w="108" w:type="dxa"/>
            <w:bottom w:w="0" w:type="dxa"/>
            <w:right w:w="108" w:type="dxa"/>
          </w:tblCellMar>
        </w:tblPrEx>
        <w:trPr>
          <w:trHeight w:val="1515" w:hRule="atLeast"/>
        </w:trPr>
        <w:tc>
          <w:tcPr>
            <w:tcW w:w="704" w:type="dxa"/>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36"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980" w:type="dxa"/>
            <w:tcBorders>
              <w:top w:val="single" w:color="auto" w:sz="4" w:space="0"/>
              <w:left w:val="nil"/>
              <w:bottom w:val="single" w:color="auto" w:sz="4" w:space="0"/>
              <w:right w:val="single" w:color="auto" w:sz="4" w:space="0"/>
            </w:tcBorders>
            <w:shd w:val="clear" w:color="000000" w:fill="FFFFFF"/>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861"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投标人业绩</w:t>
            </w:r>
          </w:p>
        </w:tc>
        <w:tc>
          <w:tcPr>
            <w:tcW w:w="5386" w:type="dxa"/>
            <w:tcBorders>
              <w:top w:val="single" w:color="auto" w:sz="4" w:space="0"/>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投标人近三年内（202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月1日</w:t>
            </w:r>
            <w:r>
              <w:rPr>
                <w:rFonts w:hint="eastAsia" w:ascii="宋体" w:hAnsi="宋体" w:eastAsia="宋体" w:cs="宋体"/>
                <w:color w:val="auto"/>
                <w:sz w:val="24"/>
                <w:szCs w:val="24"/>
                <w:highlight w:val="none"/>
                <w:lang w:eastAsia="zh-CN"/>
              </w:rPr>
              <w:t>至今）相关项目业绩，每有一项得1分，最高</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分。需提供合同首页、合同金额关键页、合同盖章页、合同清单页并加盖投标人公章。</w:t>
            </w:r>
          </w:p>
        </w:tc>
      </w:tr>
      <w:tr>
        <w:tblPrEx>
          <w:tblLayout w:type="fixed"/>
          <w:tblCellMar>
            <w:top w:w="0" w:type="dxa"/>
            <w:left w:w="108" w:type="dxa"/>
            <w:bottom w:w="0" w:type="dxa"/>
            <w:right w:w="108" w:type="dxa"/>
          </w:tblCellMar>
        </w:tblPrEx>
        <w:trPr>
          <w:trHeight w:val="600" w:hRule="atLeast"/>
        </w:trPr>
        <w:tc>
          <w:tcPr>
            <w:tcW w:w="704" w:type="dxa"/>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36" w:type="dxa"/>
            <w:vMerge w:val="restart"/>
            <w:tcBorders>
              <w:left w:val="nil"/>
              <w:right w:val="single" w:color="auto" w:sz="4" w:space="0"/>
            </w:tcBorders>
            <w:shd w:val="clear" w:color="auto" w:fill="auto"/>
            <w:vAlign w:val="center"/>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技术部分</w:t>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36分</w:t>
            </w:r>
            <w:r>
              <w:rPr>
                <w:rFonts w:hint="eastAsia" w:ascii="宋体" w:hAnsi="宋体" w:cs="宋体"/>
                <w:color w:val="auto"/>
                <w:sz w:val="24"/>
                <w:szCs w:val="24"/>
                <w:highlight w:val="none"/>
                <w:lang w:eastAsia="zh-CN"/>
              </w:rPr>
              <w:t>）</w:t>
            </w:r>
          </w:p>
        </w:tc>
        <w:tc>
          <w:tcPr>
            <w:tcW w:w="980"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61"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产品符合性</w:t>
            </w:r>
          </w:p>
        </w:tc>
        <w:tc>
          <w:tcPr>
            <w:tcW w:w="5386" w:type="dxa"/>
            <w:tcBorders>
              <w:top w:val="nil"/>
              <w:left w:val="nil"/>
              <w:bottom w:val="single" w:color="auto" w:sz="4" w:space="0"/>
              <w:right w:val="single" w:color="auto" w:sz="4" w:space="0"/>
            </w:tcBorders>
            <w:shd w:val="clear" w:color="000000" w:fill="FFFFFF"/>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1.基础分25分：</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投标人所投产品完全响应招标文件规定的全部技术指标，且对应提供的证明材料均完整、有效，可得基础分25分。</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2.扣分项：</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（1）标注“#”项指标不满足招标文件要求每有一条扣5分，非“#”项指标不满足招标文件要求每有一条扣3分，扣完为止。</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（2）漏报技术条款：漏报的技术条款视为不满足，若漏报“#”项指标，每漏报一条扣5分；若漏报非“#”项指标，每漏报一条扣3分，扣完为止。</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3.加分项：</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（1）“#”项指标优于采购需求：每有一条“#”项指标优于采购需求，加2分，加分上限为6分。优于采购需求的判定标准为：产品技术指标值(C</w:t>
            </w:r>
            <w:r>
              <w:rPr>
                <w:rFonts w:hint="eastAsia" w:ascii="宋体" w:hAnsi="宋体" w:cs="宋体"/>
                <w:color w:val="auto"/>
                <w:sz w:val="24"/>
                <w:szCs w:val="24"/>
                <w:highlight w:val="none"/>
                <w:lang w:val="en-US" w:eastAsia="zh-CN"/>
              </w:rPr>
              <w:t>PU</w:t>
            </w:r>
            <w:r>
              <w:rPr>
                <w:rFonts w:hint="eastAsia" w:ascii="宋体" w:hAnsi="宋体" w:eastAsia="宋体" w:cs="宋体"/>
                <w:color w:val="auto"/>
                <w:sz w:val="24"/>
                <w:szCs w:val="24"/>
                <w:highlight w:val="none"/>
                <w:lang w:val="en-US" w:eastAsia="zh-CN"/>
              </w:rPr>
              <w:t>主频）超出采购需求基础值≥10%，或通过更高等级的认证、测试等。</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非“#”项指标优于采购需求：每有一条非“#”项指标优于采购需求，加1分，加分上限为4分。优于采购需求的判定标准为：产品技术指标值（内存或数据盘容量）超出采购需求基础值≥5%，或在功能、性能等方面有明显提升。</w:t>
            </w:r>
          </w:p>
        </w:tc>
      </w:tr>
      <w:tr>
        <w:tblPrEx>
          <w:tblLayout w:type="fixed"/>
          <w:tblCellMar>
            <w:top w:w="0" w:type="dxa"/>
            <w:left w:w="108" w:type="dxa"/>
            <w:bottom w:w="0" w:type="dxa"/>
            <w:right w:w="108" w:type="dxa"/>
          </w:tblCellMar>
        </w:tblPrEx>
        <w:trPr>
          <w:trHeight w:val="600" w:hRule="atLeast"/>
        </w:trPr>
        <w:tc>
          <w:tcPr>
            <w:tcW w:w="704" w:type="dxa"/>
            <w:tcBorders>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bottom w:val="single" w:color="auto"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lang w:eastAsia="zh-CN"/>
              </w:rPr>
            </w:pPr>
          </w:p>
        </w:tc>
        <w:tc>
          <w:tcPr>
            <w:tcW w:w="980" w:type="dxa"/>
            <w:tcBorders>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环保</w:t>
            </w:r>
          </w:p>
        </w:tc>
        <w:tc>
          <w:tcPr>
            <w:tcW w:w="5386" w:type="dxa"/>
            <w:tcBorders>
              <w:top w:val="nil"/>
              <w:left w:val="nil"/>
              <w:bottom w:val="single" w:color="auto" w:sz="4" w:space="0"/>
              <w:right w:val="single" w:color="auto" w:sz="4" w:space="0"/>
            </w:tcBorders>
            <w:shd w:val="clear" w:color="000000" w:fill="FFFFFF"/>
            <w:vAlign w:val="center"/>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根据财政部、发展改革委、生态环境部、市场监管总局《关于调整优化节能产品、环境标志产品政府采购执行机制的通知》（财库[</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"bookmark8"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]9 号）财政部、生态环境部《关于印发环境标志产品政府采购品目清单的通知》（财库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"bookmark9"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]18 号）市场监管总局《关于发布参与实施政府采购节能、环境标志产品认证机构名录的公告》(2019 年第 16 号)等文件要求，如投标人所投产品属于上述品目清单范围的，须提供所投产品由国家确定的认证机构出具的、处于有效期之内的环境标志产品认证证书复印件。每提供1个得1分，最多得1分</w:t>
            </w:r>
            <w:r>
              <w:rPr>
                <w:rFonts w:hint="eastAsia" w:ascii="宋体" w:hAnsi="宋体" w:eastAsia="宋体" w:cs="宋体"/>
                <w:color w:val="auto"/>
                <w:sz w:val="24"/>
                <w:szCs w:val="24"/>
                <w:highlight w:val="none"/>
                <w:lang w:eastAsia="zh-CN"/>
              </w:rPr>
              <w:t>。</w:t>
            </w:r>
          </w:p>
        </w:tc>
      </w:tr>
      <w:tr>
        <w:tblPrEx>
          <w:tblLayout w:type="fixed"/>
          <w:tblCellMar>
            <w:top w:w="0" w:type="dxa"/>
            <w:left w:w="108" w:type="dxa"/>
            <w:bottom w:w="0" w:type="dxa"/>
            <w:right w:w="108" w:type="dxa"/>
          </w:tblCellMar>
        </w:tblPrEx>
        <w:trPr>
          <w:trHeight w:val="2416" w:hRule="atLeast"/>
        </w:trPr>
        <w:tc>
          <w:tcPr>
            <w:tcW w:w="704" w:type="dxa"/>
            <w:vMerge w:val="restart"/>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36" w:type="dxa"/>
            <w:vMerge w:val="restart"/>
            <w:tcBorders>
              <w:top w:val="single" w:color="auto" w:sz="4" w:space="0"/>
              <w:left w:val="nil"/>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服务部分</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分）</w:t>
            </w:r>
          </w:p>
        </w:tc>
        <w:tc>
          <w:tcPr>
            <w:tcW w:w="9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w:t>
            </w:r>
          </w:p>
        </w:tc>
        <w:tc>
          <w:tcPr>
            <w:tcW w:w="861"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w:t>
            </w:r>
          </w:p>
        </w:tc>
        <w:tc>
          <w:tcPr>
            <w:tcW w:w="5386"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同时满足以下全部条件</w:t>
            </w:r>
            <w:r>
              <w:rPr>
                <w:rFonts w:hint="eastAsia" w:ascii="宋体" w:hAnsi="宋体" w:eastAsia="宋体" w:cs="宋体"/>
                <w:color w:val="auto"/>
                <w:sz w:val="24"/>
                <w:szCs w:val="24"/>
                <w:highlight w:val="none"/>
                <w:lang w:val="en-US" w:eastAsia="zh-CN"/>
              </w:rPr>
              <w:t>，得10分：</w:t>
            </w:r>
            <w:r>
              <w:rPr>
                <w:rFonts w:hint="eastAsia" w:ascii="宋体" w:hAnsi="宋体" w:eastAsia="宋体" w:cs="宋体"/>
                <w:color w:val="auto"/>
                <w:sz w:val="24"/>
                <w:szCs w:val="24"/>
                <w:highlight w:val="none"/>
                <w:lang w:val="en-US" w:eastAsia="en-US"/>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方案全面性：售后服务方案包含质保服务、响应服务、维修服务、备件服务</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类核心内容，且每类内容均明确服务流程、责任主体、时限要求；</w:t>
            </w:r>
            <w:r>
              <w:rPr>
                <w:rFonts w:hint="eastAsia" w:ascii="宋体" w:hAnsi="宋体" w:eastAsia="宋体" w:cs="宋体"/>
                <w:color w:val="auto"/>
                <w:sz w:val="24"/>
                <w:szCs w:val="24"/>
                <w:highlight w:val="none"/>
                <w:lang w:val="en-US" w:eastAsia="en-US"/>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质保期限：免费质保期≥3年，且提供延保服务选项（延保1年费用不超过合同额的5%）；</w:t>
            </w:r>
            <w:r>
              <w:rPr>
                <w:rFonts w:hint="eastAsia" w:ascii="宋体" w:hAnsi="宋体" w:eastAsia="宋体" w:cs="宋体"/>
                <w:color w:val="auto"/>
                <w:sz w:val="24"/>
                <w:szCs w:val="24"/>
                <w:highlight w:val="none"/>
                <w:lang w:val="en-US" w:eastAsia="en-US"/>
              </w:rPr>
              <w:br w:type="textWrapping"/>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响应能力：7×24小时全天候响应，紧急故障1小时内到达现场，一般故障4小时内到达现场；</w:t>
            </w:r>
            <w:r>
              <w:rPr>
                <w:rFonts w:hint="eastAsia" w:ascii="宋体" w:hAnsi="宋体" w:eastAsia="宋体" w:cs="宋体"/>
                <w:color w:val="auto"/>
                <w:sz w:val="24"/>
                <w:szCs w:val="24"/>
                <w:highlight w:val="none"/>
                <w:lang w:val="en-US" w:eastAsia="en-US"/>
              </w:rPr>
              <w:br w:type="textWrapping"/>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备件保障：在项目所在地建立备件库，常用备件储备率≥90%，备件响应时间≤24小时。</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2.满足以下条件，得6分：</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（1）方案全面性：售后服务方案包含质保服务、响应服务、维修服务3类及以上核心内容，关键环节明确服务要求；</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（2）质保期限：1年≤免费质保期＜3年；</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（3）响应能力：工作日8小时响应，紧急故障4小时内到达现场，一般故障8小时内到达现场；</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（4）备件保障：在省级区域内建立备件库，常用备件储备率≥70%，备件响应时间≤48小时</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3.满足以下条件，得2分：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（1）方案全面性：售后服务方案包含质保服务、响应服务2类核心内容，基本明确服务流程；</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（2）质保期限：免费质保期不得低于1年；</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（3）响应能力：工作日12小时响应，紧急故障8小时内到达现场，一般故障24小时内到达现场；</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（4）备件保障：在全国范围内统筹调配备件，常用备件储备率≥50%，备件响应时间≤72小时。</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4.存在以下任一情况，不得分：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（1）未提供售后服务方案；</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（2）质保期限＜1年；</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（3）响应时间、备件保障等关键指标未达到合格级标准。</w:t>
            </w:r>
          </w:p>
        </w:tc>
      </w:tr>
      <w:tr>
        <w:tblPrEx>
          <w:tblLayout w:type="fixed"/>
          <w:tblCellMar>
            <w:top w:w="0" w:type="dxa"/>
            <w:left w:w="108" w:type="dxa"/>
            <w:bottom w:w="0" w:type="dxa"/>
            <w:right w:w="108" w:type="dxa"/>
          </w:tblCellMar>
        </w:tblPrEx>
        <w:trPr>
          <w:trHeight w:val="600" w:hRule="atLeast"/>
        </w:trPr>
        <w:tc>
          <w:tcPr>
            <w:tcW w:w="704" w:type="dxa"/>
            <w:vMerge w:val="continue"/>
            <w:tcBorders>
              <w:left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980"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861"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售后服务</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团队</w:t>
            </w:r>
          </w:p>
        </w:tc>
        <w:tc>
          <w:tcPr>
            <w:tcW w:w="5386"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项目工程师（</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配备不少于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名工程师，且所配备人员具备有效的信息系统项目管理师证书，满足得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分，否则不得分。（注：需提供团队人员名单、人员身份证复印件、证书复印件，近六个月任一个月社保缴纳证明并加盖投标人公章，否则不予认可。）</w:t>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技术负责人（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分），配备不少于2 名项目技术负责人员，且所配备人员：</w:t>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（1）从业8 年（含）以上的，得1 分，不满足得0 分；</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（2）熟悉项目相关设备部署、兼容对接、安装调试等工作，提供人员从业经验证明材料（</w:t>
            </w:r>
            <w:r>
              <w:rPr>
                <w:rFonts w:hint="eastAsia" w:ascii="宋体" w:hAnsi="宋体" w:eastAsia="宋体" w:cs="宋体"/>
                <w:color w:val="auto"/>
                <w:sz w:val="24"/>
                <w:szCs w:val="24"/>
                <w:highlight w:val="none"/>
                <w:lang w:eastAsia="zh-CN"/>
              </w:rPr>
              <w:t>简历），</w:t>
            </w:r>
            <w:r>
              <w:rPr>
                <w:rFonts w:hint="eastAsia" w:ascii="宋体" w:hAnsi="宋体" w:eastAsia="宋体" w:cs="宋体"/>
                <w:color w:val="auto"/>
                <w:sz w:val="24"/>
                <w:szCs w:val="24"/>
                <w:highlight w:val="none"/>
                <w:lang w:val="en-US" w:eastAsia="zh-CN"/>
              </w:rPr>
              <w:t>得1分，未提供得0分。</w:t>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（注：需提供团队人员名单、人员身份证复印件、证书复印件，近六个月任一个月社保缴纳证明并加盖投标人公章，否则不予认可。）</w:t>
            </w:r>
          </w:p>
        </w:tc>
      </w:tr>
      <w:tr>
        <w:tblPrEx>
          <w:tblLayout w:type="fixed"/>
          <w:tblCellMar>
            <w:top w:w="0" w:type="dxa"/>
            <w:left w:w="108" w:type="dxa"/>
            <w:bottom w:w="0" w:type="dxa"/>
            <w:right w:w="108" w:type="dxa"/>
          </w:tblCellMar>
        </w:tblPrEx>
        <w:trPr>
          <w:trHeight w:val="2818" w:hRule="atLeast"/>
        </w:trPr>
        <w:tc>
          <w:tcPr>
            <w:tcW w:w="704" w:type="dxa"/>
            <w:vMerge w:val="continue"/>
            <w:tcBorders>
              <w:left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980"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61"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实施方案</w:t>
            </w:r>
          </w:p>
        </w:tc>
        <w:tc>
          <w:tcPr>
            <w:tcW w:w="5386" w:type="dxa"/>
            <w:tcBorders>
              <w:top w:val="nil"/>
              <w:left w:val="nil"/>
              <w:bottom w:val="single" w:color="auto" w:sz="4" w:space="0"/>
              <w:right w:val="single" w:color="auto" w:sz="4" w:space="0"/>
            </w:tcBorders>
            <w:vAlign w:val="center"/>
          </w:tcPr>
          <w:p>
            <w:pPr>
              <w:pStyle w:val="43"/>
              <w:keepNext w:val="0"/>
              <w:keepLines w:val="0"/>
              <w:widowControl/>
              <w:numPr>
                <w:ilvl w:val="0"/>
                <w:numId w:val="17"/>
              </w:numPr>
              <w:suppressLineNumbers w:val="0"/>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制定详细的设备供货计划与现有业务系统接入配合方案（计划及方案内容完整，并需明确接入步骤、数据交互规则及责任人），得5分；</w:t>
            </w:r>
            <w:r>
              <w:rPr>
                <w:rFonts w:hint="eastAsia" w:ascii="宋体" w:hAnsi="宋体" w:eastAsia="宋体" w:cs="宋体"/>
                <w:snapToGrid w:val="0"/>
                <w:color w:val="auto"/>
                <w:kern w:val="0"/>
                <w:sz w:val="24"/>
                <w:szCs w:val="24"/>
                <w:highlight w:val="none"/>
                <w:lang w:val="en-US" w:eastAsia="zh-CN" w:bidi="ar-SA"/>
              </w:rPr>
              <w:br w:type="textWrapping"/>
            </w:r>
            <w:r>
              <w:rPr>
                <w:rFonts w:hint="eastAsia" w:ascii="宋体" w:hAnsi="宋体" w:eastAsia="宋体" w:cs="宋体"/>
                <w:snapToGrid w:val="0"/>
                <w:color w:val="auto"/>
                <w:kern w:val="0"/>
                <w:sz w:val="24"/>
                <w:szCs w:val="24"/>
                <w:highlight w:val="none"/>
                <w:lang w:val="en-US" w:eastAsia="zh-CN" w:bidi="ar-SA"/>
              </w:rPr>
              <w:t>2. 制定基础的设备供货计划与现有业务系统接入配合方案(至少包括上架部署、联调测试方案,方案内容需明确测试内容方法、用例及缺陷修复流程)，得3分；</w:t>
            </w:r>
            <w:r>
              <w:rPr>
                <w:rFonts w:hint="eastAsia" w:ascii="宋体" w:hAnsi="宋体" w:eastAsia="宋体" w:cs="宋体"/>
                <w:snapToGrid w:val="0"/>
                <w:color w:val="auto"/>
                <w:kern w:val="0"/>
                <w:sz w:val="24"/>
                <w:szCs w:val="24"/>
                <w:highlight w:val="none"/>
                <w:lang w:val="en-US" w:eastAsia="zh-CN" w:bidi="ar-SA"/>
              </w:rPr>
              <w:br w:type="textWrapping"/>
            </w:r>
            <w:r>
              <w:rPr>
                <w:rFonts w:hint="eastAsia" w:ascii="宋体" w:hAnsi="宋体" w:eastAsia="宋体" w:cs="宋体"/>
                <w:snapToGrid w:val="0"/>
                <w:color w:val="auto"/>
                <w:kern w:val="0"/>
                <w:sz w:val="24"/>
                <w:szCs w:val="24"/>
                <w:highlight w:val="none"/>
                <w:lang w:val="en-US" w:eastAsia="zh-CN" w:bidi="ar-SA"/>
              </w:rPr>
              <w:t>3. 供货计划、接入配合方案或联调测试方案内容不完整或未针对本项目编制，不得分。</w:t>
            </w:r>
          </w:p>
        </w:tc>
      </w:tr>
      <w:tr>
        <w:tblPrEx>
          <w:tblLayout w:type="fixed"/>
          <w:tblCellMar>
            <w:top w:w="0" w:type="dxa"/>
            <w:left w:w="108" w:type="dxa"/>
            <w:bottom w:w="0" w:type="dxa"/>
            <w:right w:w="108" w:type="dxa"/>
          </w:tblCellMar>
        </w:tblPrEx>
        <w:trPr>
          <w:trHeight w:val="600" w:hRule="atLeast"/>
        </w:trPr>
        <w:tc>
          <w:tcPr>
            <w:tcW w:w="704" w:type="dxa"/>
            <w:vMerge w:val="continue"/>
            <w:tcBorders>
              <w:left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980"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861"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w:t>
            </w:r>
          </w:p>
        </w:tc>
        <w:tc>
          <w:tcPr>
            <w:tcW w:w="5386" w:type="dxa"/>
            <w:tcBorders>
              <w:top w:val="nil"/>
              <w:left w:val="nil"/>
              <w:bottom w:val="single" w:color="auto" w:sz="4" w:space="0"/>
              <w:right w:val="single" w:color="auto" w:sz="4" w:space="0"/>
            </w:tcBorders>
            <w:vAlign w:val="center"/>
          </w:tcPr>
          <w:p>
            <w:pP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根据招标要求和投标技术响应情况，对投标人提供的培训方案的完整性、合理性进行评价，其中：</w:t>
            </w:r>
          </w:p>
          <w:p>
            <w:pPr>
              <w:numPr>
                <w:ilvl w:val="0"/>
                <w:numId w:val="18"/>
              </w:numP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培训时间明确在系统上线前10-15天启动培训，承诺培训人次不少于25人次，每批次培训时长不少于4小时，且设置3天集中答疑期，确保与系统上线无缝衔接；承诺提供的用户使用手册不少于50页（含新增功能操作流程图，图文占比不低于40%），维护手册不少于30页（含系统架构图、数据安全规范、月度维护清单），培训PPT不少于15页，得4分。</w:t>
            </w:r>
            <w:r>
              <w:rPr>
                <w:rFonts w:hint="eastAsia" w:ascii="宋体" w:hAnsi="宋体" w:eastAsia="宋体" w:cs="宋体"/>
                <w:snapToGrid w:val="0"/>
                <w:color w:val="auto"/>
                <w:kern w:val="0"/>
                <w:sz w:val="24"/>
                <w:szCs w:val="24"/>
                <w:highlight w:val="none"/>
                <w:lang w:val="en-US" w:eastAsia="zh-CN" w:bidi="ar-SA"/>
              </w:rPr>
              <w:br w:type="textWrapping"/>
            </w:r>
            <w:r>
              <w:rPr>
                <w:rFonts w:hint="eastAsia" w:ascii="宋体" w:hAnsi="宋体" w:eastAsia="宋体" w:cs="宋体"/>
                <w:snapToGrid w:val="0"/>
                <w:color w:val="auto"/>
                <w:kern w:val="0"/>
                <w:sz w:val="24"/>
                <w:szCs w:val="24"/>
                <w:highlight w:val="none"/>
                <w:lang w:val="en-US" w:eastAsia="zh-CN" w:bidi="ar-SA"/>
              </w:rPr>
              <w:t>2. 培训时间明确在系统上线前开展培训，承诺培训人次不少于20人次，培训时长不少于3小时，设置1天答疑期；培训资料：承诺提供用户使用手册、维护手册及培训PPT，资料内容覆盖系统扩容后的核心操作，但未明确页数等细节，得2分。</w:t>
            </w:r>
          </w:p>
          <w:p>
            <w:pPr>
              <w:numPr>
                <w:ilvl w:val="0"/>
                <w:numId w:val="0"/>
              </w:numPr>
              <w:rPr>
                <w:rFonts w:hint="eastAsia" w:ascii="宋体" w:hAnsi="宋体" w:eastAsia="宋体" w:cs="宋体"/>
                <w:color w:val="auto"/>
                <w:sz w:val="24"/>
                <w:szCs w:val="24"/>
                <w:highlight w:val="none"/>
                <w:lang w:eastAsia="zh-CN"/>
              </w:rPr>
            </w:pPr>
            <w:r>
              <w:rPr>
                <w:rFonts w:hint="eastAsia" w:ascii="宋体" w:hAnsi="宋体" w:eastAsia="宋体" w:cs="宋体"/>
                <w:snapToGrid w:val="0"/>
                <w:color w:val="auto"/>
                <w:kern w:val="0"/>
                <w:sz w:val="24"/>
                <w:szCs w:val="24"/>
                <w:highlight w:val="none"/>
                <w:lang w:val="en-US" w:eastAsia="zh-CN" w:bidi="ar-SA"/>
              </w:rPr>
              <w:t>3.仅模糊承诺在系统上线前培训，未明确时长、答疑期等关键信息；承诺培训人次仅达到20人次最低要求；仅承诺提供部分培训资料，或资料内容未覆盖系统扩容后的核心操作，得0.5分。</w:t>
            </w:r>
          </w:p>
        </w:tc>
      </w:tr>
      <w:tr>
        <w:tblPrEx>
          <w:tblLayout w:type="fixed"/>
          <w:tblCellMar>
            <w:top w:w="0" w:type="dxa"/>
            <w:left w:w="108" w:type="dxa"/>
            <w:bottom w:w="0" w:type="dxa"/>
            <w:right w:w="108" w:type="dxa"/>
          </w:tblCellMar>
        </w:tblPrEx>
        <w:trPr>
          <w:trHeight w:val="929" w:hRule="atLeast"/>
        </w:trPr>
        <w:tc>
          <w:tcPr>
            <w:tcW w:w="704" w:type="dxa"/>
            <w:vMerge w:val="continue"/>
            <w:tcBorders>
              <w:left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980"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861"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售后服务承诺</w:t>
            </w:r>
          </w:p>
        </w:tc>
        <w:tc>
          <w:tcPr>
            <w:tcW w:w="5386" w:type="dxa"/>
            <w:tcBorders>
              <w:top w:val="nil"/>
              <w:left w:val="nil"/>
              <w:bottom w:val="single" w:color="auto" w:sz="4" w:space="0"/>
              <w:right w:val="single" w:color="auto" w:sz="4" w:space="0"/>
            </w:tcBorders>
            <w:vAlign w:val="center"/>
          </w:tcPr>
          <w:p>
            <w:pPr>
              <w:contextualSpacing/>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1.磁盘阵列整机服务承诺（2分）：投标人须提供制造厂家针对本项目出具的磁盘阵列整机售后服务承诺函，承诺内容需满足招标文件运维服务全部要求，并加盖制造厂家公章，提供得2分，未提供不得分。</w:t>
            </w:r>
          </w:p>
          <w:p>
            <w:pPr>
              <w:contextualSpacing/>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服务器类设备服务承诺（3分）：投标人须分别提供转码服务器、配套存储服务器、应用服务器的售后服务承诺函，每类设备承诺内容均须满足招标文件运维服务全部要求，并加盖投标人公章。每提供一项承诺函得1分，最多得3分。</w:t>
            </w:r>
          </w:p>
        </w:tc>
      </w:tr>
      <w:tr>
        <w:tblPrEx>
          <w:tblLayout w:type="fixed"/>
          <w:tblCellMar>
            <w:top w:w="0" w:type="dxa"/>
            <w:left w:w="108" w:type="dxa"/>
            <w:bottom w:w="0" w:type="dxa"/>
            <w:right w:w="108" w:type="dxa"/>
          </w:tblCellMar>
        </w:tblPrEx>
        <w:trPr>
          <w:trHeight w:val="603" w:hRule="atLeast"/>
        </w:trPr>
        <w:tc>
          <w:tcPr>
            <w:tcW w:w="704" w:type="dxa"/>
            <w:vMerge w:val="continue"/>
            <w:tcBorders>
              <w:left w:val="single" w:color="auto" w:sz="4" w:space="0"/>
              <w:bottom w:val="single" w:color="000000"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1136" w:type="dxa"/>
            <w:vMerge w:val="continue"/>
            <w:tcBorders>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p>
        </w:tc>
        <w:tc>
          <w:tcPr>
            <w:tcW w:w="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61"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增值服务</w:t>
            </w:r>
          </w:p>
        </w:tc>
        <w:tc>
          <w:tcPr>
            <w:tcW w:w="5386" w:type="dxa"/>
            <w:tcBorders>
              <w:top w:val="nil"/>
              <w:left w:val="nil"/>
              <w:bottom w:val="single" w:color="auto" w:sz="4" w:space="0"/>
              <w:right w:val="single" w:color="auto" w:sz="4" w:space="0"/>
            </w:tcBorders>
            <w:vAlign w:val="center"/>
          </w:tcPr>
          <w:p>
            <w:pPr>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在维保时间内，承诺提供</w:t>
            </w:r>
            <w:r>
              <w:rPr>
                <w:rFonts w:hint="eastAsia" w:ascii="宋体" w:hAnsi="宋体" w:eastAsia="宋体" w:cs="宋体"/>
                <w:color w:val="auto"/>
                <w:sz w:val="24"/>
                <w:szCs w:val="24"/>
                <w:highlight w:val="none"/>
                <w:lang w:val="en-US" w:eastAsia="zh-CN"/>
              </w:rPr>
              <w:t>1次上门</w:t>
            </w:r>
            <w:r>
              <w:rPr>
                <w:rFonts w:hint="eastAsia" w:ascii="宋体" w:hAnsi="宋体" w:eastAsia="宋体" w:cs="宋体"/>
                <w:color w:val="auto"/>
                <w:sz w:val="24"/>
                <w:szCs w:val="24"/>
                <w:highlight w:val="none"/>
                <w:lang w:eastAsia="zh-CN"/>
              </w:rPr>
              <w:t>尝试性故障硬盘数据拯救服务（</w:t>
            </w:r>
            <w:r>
              <w:rPr>
                <w:rFonts w:hint="eastAsia" w:ascii="宋体" w:hAnsi="宋体" w:eastAsia="宋体" w:cs="宋体"/>
                <w:color w:val="auto"/>
                <w:sz w:val="24"/>
                <w:szCs w:val="24"/>
                <w:highlight w:val="none"/>
                <w:lang w:val="en-US" w:eastAsia="zh-CN"/>
              </w:rPr>
              <w:t>如硬盘损坏中标人不得回收硬盘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提供得1分，</w:t>
            </w:r>
            <w:r>
              <w:rPr>
                <w:rFonts w:hint="eastAsia" w:ascii="宋体" w:hAnsi="宋体" w:eastAsia="宋体" w:cs="宋体"/>
                <w:color w:val="auto"/>
                <w:sz w:val="24"/>
                <w:szCs w:val="24"/>
                <w:highlight w:val="none"/>
                <w:lang w:eastAsia="zh-CN"/>
              </w:rPr>
              <w:t>不提供不得分。</w:t>
            </w:r>
          </w:p>
        </w:tc>
      </w:tr>
      <w:tr>
        <w:tblPrEx>
          <w:tblLayout w:type="fixed"/>
          <w:tblCellMar>
            <w:top w:w="0" w:type="dxa"/>
            <w:left w:w="108" w:type="dxa"/>
            <w:bottom w:w="0" w:type="dxa"/>
            <w:right w:w="108" w:type="dxa"/>
          </w:tblCellMar>
        </w:tblPrEx>
        <w:trPr>
          <w:trHeight w:val="600" w:hRule="atLeast"/>
        </w:trPr>
        <w:tc>
          <w:tcPr>
            <w:tcW w:w="704" w:type="dxa"/>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tc>
        <w:tc>
          <w:tcPr>
            <w:tcW w:w="1136" w:type="dxa"/>
            <w:tcBorders>
              <w:top w:val="nil"/>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9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861"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5386"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pPr>
        <w:pStyle w:val="33"/>
        <w:numPr>
          <w:ilvl w:val="0"/>
          <w:numId w:val="0"/>
        </w:numPr>
        <w:rPr>
          <w:rFonts w:hint="eastAsia"/>
        </w:rPr>
      </w:pPr>
    </w:p>
    <w:p>
      <w:pPr>
        <w:rPr>
          <w:rFonts w:hint="eastAsia" w:ascii="宋体" w:hAnsi="宋体" w:cs="宋体"/>
          <w:b/>
          <w:sz w:val="36"/>
          <w:szCs w:val="36"/>
        </w:rPr>
      </w:pPr>
      <w:r>
        <w:rPr>
          <w:rFonts w:ascii="宋体" w:hAnsi="宋体" w:cs="宋体"/>
          <w:b/>
          <w:sz w:val="36"/>
          <w:szCs w:val="36"/>
        </w:rPr>
        <w:br w:type="page"/>
      </w:r>
    </w:p>
    <w:p>
      <w:pPr>
        <w:numPr>
          <w:ilvl w:val="0"/>
          <w:numId w:val="19"/>
        </w:numPr>
        <w:spacing w:line="360" w:lineRule="auto"/>
        <w:jc w:val="center"/>
        <w:outlineLvl w:val="0"/>
        <w:rPr>
          <w:rFonts w:hint="eastAsia" w:ascii="宋体" w:hAnsi="宋体" w:cs="宋体"/>
          <w:b/>
          <w:sz w:val="36"/>
          <w:szCs w:val="36"/>
        </w:rPr>
      </w:pPr>
      <w:bookmarkStart w:id="158" w:name="_Toc2998"/>
      <w:r>
        <w:rPr>
          <w:rFonts w:hint="eastAsia" w:ascii="宋体" w:hAnsi="宋体" w:cs="宋体"/>
          <w:b/>
          <w:sz w:val="36"/>
          <w:szCs w:val="36"/>
        </w:rPr>
        <w:t xml:space="preserve">  采购需求</w:t>
      </w:r>
      <w:bookmarkEnd w:id="158"/>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为保障石景山分局执法数据服务中心系统稳定运行，切实提升执法办案业务连续性与核心数据安全性，现就该系统运行现状及扩容升级需求作如下说明。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当前，执法数据服务中心系统部分设备长期处于高负荷运行状态，已相继出现系统运行卡顿、存储空间不足等突出问题，为切实解决系统现存运行痛点，保障执法工作有序高效开展，拟在现有系统基础上，开展扩容升级建设工作。现有磁盘阵列设备为执法数据服务中心系统核心存储设备，型号规格为浪潮AS2200G2，主要承载执法视音频等核心数据的存储业务，是支撑上层业务系统稳定运行的关键基础硬件。系统现存核心问题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是存储资源不足。系统投用至今已累计存储执法视音频数据约390TB，为基层执法民警开展执法音视频采集、上传、调阅等工作提供了坚实的硬件支撑。但随着执法规范化建设持续深化，执法视音频数据量呈持续增长态势，现有存储资源已无法满足执法数据3年在线存储的周期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二是转码能力缺失。石景山分局视频源类型复杂，涵盖监控直传、手机拍摄、执法记录仪上传等多种业务场景，对应的视频编码格式以H.265为主；而市局平台需通过浏览器访问，浏览器可直接播放的视频编码格式为H.264，二者编码格式不兼容，因此所有回传至市局的视频，必须先执行H.264格式转码处理，方可确保上传后能在市局平台正常播放。分局现有服务器的转码性能已无法满足业务需求，无法高效完成大批量的转码任务，影响上下级业务衔接与工作推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三是存储架构不合理。分局现有服务器兼管任务过多，导致存储设备长期处于超负荷运行状态，增加了故障风险，需分流存储设备的运行压力，实现读写业务物理分离。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四是设备性能不足。执法数据服务中心系统核心服务器卡顿严重，视频上传速度慢，导致基层各单位视音频文件上传业务全面受阻，直接影响基层执法工作的正常开展，造成执法证据归档不及时、业务流转滞后等问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因此，本项目不仅涉及国产设备采购及部署，还需与执法数据服务中心系统适配对接，实现执法视音频数据转码、传输、运行、备份、存储全流程业务需求，确保石景山分局执法业务连续稳定开展，切实保障执法全过程记录制度严格落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二、项目目标</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1.存储资源扩容：配置大容量存储设备，并与原有存储设备协同运行，满足执法数据3年在线存储的周期要求，解决存储空间不足的痛点。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2.转码能力提升：高效完成大批量执法视音频格式转换，且转码上传后的视音频能在市局平台正常播放。</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3.优化存储架构：实现读写业务物理分离，分流存储设备运行压力，降低故障风险。</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4.设备性能提升：解决服务器兼管任务过多导致的卡顿、视频上传速度慢等问题，保障视音频文件上传业务顺畅，避免执法证据归档不及时、业务流转滞后等情况。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三、技术目标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1、设备部署后实现业务不中断、数据零丢失。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2、在不改动现有视频数据结构与索引逻辑的基础上，提升视频批量处理能力，支持执法视音频格式转码及浏览器无插件播放，满足视音频批量转码、压缩、处理等核心需求。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3、完成与现有存储系统无缝对接，实现存储设备协同运行。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4、确保执法数据服务中心系统数据完整、安全、可追溯，同时保障扩容实施全程业务连续稳定运行。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strike w:val="0"/>
          <w:dstrike w:val="0"/>
          <w:color w:val="auto"/>
          <w:sz w:val="24"/>
          <w:szCs w:val="24"/>
          <w:highlight w:val="none"/>
          <w:lang w:val="en-US" w:eastAsia="zh-CN"/>
        </w:rPr>
        <w:t>技术参数</w:t>
      </w:r>
    </w:p>
    <w:tbl>
      <w:tblPr>
        <w:tblStyle w:val="58"/>
        <w:tblpPr w:leftFromText="180" w:rightFromText="180" w:vertAnchor="text" w:tblpXSpec="center" w:tblpY="1"/>
        <w:tblOverlap w:val="never"/>
        <w:tblW w:w="10329" w:type="dxa"/>
        <w:tblInd w:w="-3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9"/>
        <w:gridCol w:w="1067"/>
        <w:gridCol w:w="7560"/>
        <w:gridCol w:w="500"/>
        <w:gridCol w:w="7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产品名称</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主要性能指标</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转码服务器</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1、处理器（CPU）：符合信创标准的CPU型号，单颗 CPU核心数≥16核，数量≥2颗，主频≥2.2 GHz。</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2、内存：DDR4 ECC Registered 内存，单条容量≥32 GB，配置≥4条，总内存容量≥128 GB，频率≥3200 MHz。</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3、系统与缓存盘（SSD）：</w:t>
            </w:r>
            <w:r>
              <w:rPr>
                <w:rFonts w:hint="eastAsia" w:ascii="宋体" w:hAnsi="宋体" w:cs="宋体"/>
                <w:color w:val="auto"/>
                <w:sz w:val="24"/>
                <w:szCs w:val="24"/>
                <w:highlight w:val="none"/>
                <w:lang w:val="en-US" w:eastAsia="zh-CN"/>
              </w:rPr>
              <w:t>支持</w:t>
            </w:r>
            <w:r>
              <w:rPr>
                <w:rFonts w:hint="eastAsia" w:ascii="宋体" w:hAnsi="宋体" w:eastAsia="宋体" w:cs="宋体"/>
                <w:color w:val="auto"/>
                <w:sz w:val="24"/>
                <w:szCs w:val="24"/>
                <w:highlight w:val="none"/>
                <w:lang w:val="en-US" w:eastAsia="zh-CN"/>
              </w:rPr>
              <w:t>企业级SATA或NVMe固态硬盘，单块容量≥960 GB，数量≥2块。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4、数据盘（HDD）：企业级SATA机械硬盘，转速≥7200 RPM，单块容量≥4 TB，配置≥3块。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5、存储控制器（RAID卡）：独立≥2 GB缓存RAID卡，支持 RAID 0/1/5/6/10/50 等级别，标配超级电容模块，提供缓存数据掉电保护功能，防止数据丢失。</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6、网络接口：配置</w:t>
            </w:r>
            <w:r>
              <w:rPr>
                <w:rFonts w:hint="eastAsia" w:ascii="宋体" w:hAnsi="宋体" w:cs="宋体"/>
                <w:color w:val="auto"/>
                <w:sz w:val="24"/>
                <w:szCs w:val="24"/>
                <w:highlight w:val="none"/>
                <w:lang w:val="en-US" w:eastAsia="zh-CN"/>
              </w:rPr>
              <w:t>不少于</w:t>
            </w:r>
            <w:r>
              <w:rPr>
                <w:rFonts w:hint="eastAsia" w:ascii="宋体" w:hAnsi="宋体" w:eastAsia="宋体" w:cs="宋体"/>
                <w:color w:val="auto"/>
                <w:sz w:val="24"/>
                <w:szCs w:val="24"/>
                <w:highlight w:val="none"/>
                <w:lang w:val="en-US" w:eastAsia="zh-CN"/>
              </w:rPr>
              <w:t>2个千兆以太网电口。</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7、显卡：核心数量≥4096个，核心频率≥1.9 GHz，显存带宽≥44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xml:space="preserve"> GB/s，配置数量≥1个。</w:t>
            </w:r>
          </w:p>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8、操作系统：</w:t>
            </w:r>
            <w:r>
              <w:rPr>
                <w:rFonts w:hint="eastAsia" w:ascii="宋体" w:hAnsi="宋体" w:cs="宋体"/>
                <w:color w:val="auto"/>
                <w:sz w:val="24"/>
                <w:szCs w:val="24"/>
                <w:highlight w:val="none"/>
                <w:lang w:val="en-US" w:eastAsia="zh-CN"/>
              </w:rPr>
              <w:t>需提供</w:t>
            </w:r>
            <w:r>
              <w:rPr>
                <w:rFonts w:hint="eastAsia" w:ascii="宋体" w:hAnsi="宋体" w:cs="宋体"/>
                <w:color w:val="auto"/>
                <w:sz w:val="24"/>
                <w:szCs w:val="24"/>
                <w:highlight w:val="none"/>
                <w:u w:val="none"/>
                <w:lang w:val="en-US" w:eastAsia="zh-CN"/>
              </w:rPr>
              <w:t>不低于</w:t>
            </w:r>
            <w:r>
              <w:rPr>
                <w:rFonts w:hint="eastAsia" w:ascii="宋体" w:hAnsi="宋体" w:eastAsia="宋体" w:cs="宋体"/>
                <w:color w:val="auto"/>
                <w:sz w:val="24"/>
                <w:szCs w:val="24"/>
                <w:highlight w:val="none"/>
                <w:u w:val="none"/>
                <w:lang w:val="en-US" w:eastAsia="zh-CN"/>
              </w:rPr>
              <w:t>正版银河麒麟高级服务器操作系统V10的国产操作系统</w:t>
            </w:r>
            <w:r>
              <w:rPr>
                <w:rFonts w:hint="eastAsia"/>
                <w:color w:val="auto"/>
                <w:sz w:val="24"/>
                <w:highlight w:val="none"/>
                <w:lang w:eastAsia="zh-CN"/>
              </w:rPr>
              <w:t>，</w:t>
            </w:r>
            <w:r>
              <w:rPr>
                <w:rFonts w:hint="eastAsia"/>
                <w:color w:val="auto"/>
                <w:sz w:val="24"/>
                <w:highlight w:val="none"/>
                <w:lang w:val="en-US" w:eastAsia="zh-CN"/>
              </w:rPr>
              <w:t>并提供永久授权</w:t>
            </w:r>
            <w:r>
              <w:rPr>
                <w:rFonts w:hint="eastAsia"/>
                <w:color w:val="auto"/>
                <w:sz w:val="24"/>
                <w:szCs w:val="24"/>
                <w:highlight w:val="none"/>
                <w:lang w:val="en-US" w:eastAsia="zh-CN"/>
              </w:rPr>
              <w:t>，保证兼容现有</w:t>
            </w:r>
            <w:r>
              <w:rPr>
                <w:rFonts w:hint="eastAsia" w:ascii="宋体" w:hAnsi="宋体" w:cs="宋体"/>
                <w:color w:val="auto"/>
                <w:sz w:val="24"/>
                <w:szCs w:val="24"/>
                <w:highlight w:val="none"/>
                <w:lang w:val="en-US" w:eastAsia="zh-CN"/>
              </w:rPr>
              <w:t>转码应用程序及</w:t>
            </w:r>
            <w:r>
              <w:rPr>
                <w:rFonts w:hint="eastAsia"/>
                <w:color w:val="auto"/>
                <w:sz w:val="24"/>
                <w:szCs w:val="24"/>
                <w:highlight w:val="none"/>
                <w:lang w:val="en-US" w:eastAsia="zh-CN"/>
              </w:rPr>
              <w:t>视频下载程序</w:t>
            </w:r>
            <w:r>
              <w:rPr>
                <w:rFonts w:hint="eastAsia" w:ascii="宋体" w:hAnsi="宋体" w:cs="宋体"/>
                <w:color w:val="auto"/>
                <w:sz w:val="24"/>
                <w:szCs w:val="24"/>
                <w:highlight w:val="none"/>
                <w:lang w:val="en-US" w:eastAsia="zh-CN"/>
              </w:rPr>
              <w:t>。</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9、服务要求：提供设备上架、安装、调试服务。</w:t>
            </w:r>
          </w:p>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10、配备双电源模块。</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配套存储服务器</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1、处理器（CPU）：符合信创标准的CPU型号，单颗 CPU核心数≥24核，数量≥2颗，主频≥2.2 GHz，支持PCIe 4.0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通道数≥128，三级缓存≥64 MB。</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2、内存：DDR4 ECC Registered 内存，单条容量≥32 GB，配置≥4条，总内存容量≥128 GB，频率≥3200 MHz。</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3、系统与缓存盘（SSD）：</w:t>
            </w:r>
            <w:r>
              <w:rPr>
                <w:rFonts w:hint="eastAsia" w:ascii="宋体" w:hAnsi="宋体" w:cs="宋体"/>
                <w:color w:val="auto"/>
                <w:sz w:val="24"/>
                <w:szCs w:val="24"/>
                <w:highlight w:val="none"/>
                <w:lang w:val="en-US" w:eastAsia="zh-CN"/>
              </w:rPr>
              <w:t>支持</w:t>
            </w:r>
            <w:r>
              <w:rPr>
                <w:rFonts w:hint="eastAsia" w:ascii="宋体" w:hAnsi="宋体" w:eastAsia="宋体" w:cs="宋体"/>
                <w:color w:val="auto"/>
                <w:sz w:val="24"/>
                <w:szCs w:val="24"/>
                <w:highlight w:val="none"/>
                <w:lang w:val="en-US" w:eastAsia="zh-CN"/>
              </w:rPr>
              <w:t>企业级SATA或NVMe固态硬盘，单块容量≥1.92 TB，配置≥2块，用于操作系统或高速缓存。</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4、数据盘（HDD）：企业级SATA机械硬盘，转速≥7200 RPM；单块容量≥4 TB，数量≥4块。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5、存储控制器（RAID卡）：独立≥2 GB缓存RAID卡，支持 RAID 0/1/5/6/10/50 等级别，标配超级电容模块，提供缓存数据掉电保护功能，防止数据丢失。</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6、网络接口：配置≥4个千兆以太网电口，配置≥1</w:t>
            </w:r>
            <w:r>
              <w:rPr>
                <w:rFonts w:hint="eastAsia" w:ascii="宋体" w:hAnsi="宋体" w:cs="宋体"/>
                <w:color w:val="auto"/>
                <w:sz w:val="24"/>
                <w:szCs w:val="24"/>
                <w:highlight w:val="none"/>
                <w:lang w:val="en-US" w:eastAsia="zh-CN"/>
              </w:rPr>
              <w:t>块</w:t>
            </w:r>
            <w:r>
              <w:rPr>
                <w:rFonts w:hint="eastAsia" w:ascii="宋体" w:hAnsi="宋体" w:eastAsia="宋体" w:cs="宋体"/>
                <w:color w:val="auto"/>
                <w:sz w:val="24"/>
                <w:szCs w:val="24"/>
                <w:highlight w:val="none"/>
                <w:lang w:val="en-US" w:eastAsia="zh-CN"/>
              </w:rPr>
              <w:t>双端口10Gb光纤网卡，要求含配套的SFP+光模块。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7、操作系统：</w:t>
            </w:r>
            <w:r>
              <w:rPr>
                <w:rFonts w:hint="eastAsia" w:ascii="宋体" w:hAnsi="宋体" w:cs="宋体"/>
                <w:color w:val="auto"/>
                <w:sz w:val="24"/>
                <w:szCs w:val="24"/>
                <w:highlight w:val="none"/>
                <w:lang w:val="en-US" w:eastAsia="zh-CN"/>
              </w:rPr>
              <w:t>需提供</w:t>
            </w:r>
            <w:r>
              <w:rPr>
                <w:rFonts w:hint="eastAsia" w:ascii="宋体" w:hAnsi="宋体" w:cs="宋体"/>
                <w:color w:val="auto"/>
                <w:sz w:val="24"/>
                <w:szCs w:val="24"/>
                <w:highlight w:val="none"/>
                <w:u w:val="none"/>
                <w:lang w:val="en-US" w:eastAsia="zh-CN"/>
              </w:rPr>
              <w:t>不低于</w:t>
            </w:r>
            <w:r>
              <w:rPr>
                <w:rFonts w:hint="eastAsia" w:ascii="宋体" w:hAnsi="宋体" w:eastAsia="宋体" w:cs="宋体"/>
                <w:color w:val="auto"/>
                <w:sz w:val="24"/>
                <w:szCs w:val="24"/>
                <w:highlight w:val="none"/>
                <w:u w:val="none"/>
                <w:lang w:val="en-US" w:eastAsia="zh-CN"/>
              </w:rPr>
              <w:t>正版银河麒麟高级服务器操作系统V10的国产操作系统</w:t>
            </w:r>
            <w:r>
              <w:rPr>
                <w:rFonts w:hint="eastAsia"/>
                <w:color w:val="auto"/>
                <w:sz w:val="24"/>
                <w:szCs w:val="24"/>
                <w:lang w:eastAsia="zh-CN"/>
              </w:rPr>
              <w:t>，</w:t>
            </w:r>
            <w:r>
              <w:rPr>
                <w:rFonts w:hint="eastAsia"/>
                <w:color w:val="auto"/>
                <w:sz w:val="24"/>
                <w:szCs w:val="24"/>
                <w:lang w:val="en-US" w:eastAsia="zh-CN"/>
              </w:rPr>
              <w:t>并提供永久授权，</w:t>
            </w:r>
            <w:r>
              <w:rPr>
                <w:rFonts w:hint="eastAsia"/>
                <w:color w:val="auto"/>
                <w:sz w:val="24"/>
                <w:szCs w:val="24"/>
                <w:highlight w:val="none"/>
                <w:lang w:val="en-US" w:eastAsia="zh-CN"/>
              </w:rPr>
              <w:t>保证</w:t>
            </w:r>
            <w:r>
              <w:rPr>
                <w:rFonts w:hint="eastAsia"/>
                <w:color w:val="auto"/>
                <w:sz w:val="24"/>
                <w:szCs w:val="24"/>
                <w:lang w:val="en-US" w:eastAsia="zh-CN"/>
              </w:rPr>
              <w:t>兼容现有</w:t>
            </w:r>
            <w:r>
              <w:rPr>
                <w:rFonts w:hint="eastAsia" w:ascii="宋体" w:hAnsi="宋体" w:cs="宋体"/>
                <w:color w:val="auto"/>
                <w:sz w:val="24"/>
                <w:szCs w:val="24"/>
                <w:highlight w:val="none"/>
                <w:lang w:val="en-US" w:eastAsia="zh-CN"/>
              </w:rPr>
              <w:t>转码应用程序及</w:t>
            </w:r>
            <w:r>
              <w:rPr>
                <w:rFonts w:hint="eastAsia"/>
                <w:color w:val="auto"/>
                <w:sz w:val="24"/>
                <w:szCs w:val="24"/>
                <w:lang w:val="en-US" w:eastAsia="zh-CN"/>
              </w:rPr>
              <w:t>视频下载程序</w:t>
            </w:r>
            <w:r>
              <w:rPr>
                <w:rFonts w:hint="eastAsia" w:ascii="宋体" w:hAnsi="宋体" w:eastAsia="宋体" w:cs="宋体"/>
                <w:color w:val="auto"/>
                <w:sz w:val="24"/>
                <w:szCs w:val="24"/>
                <w:highlight w:val="none"/>
                <w:lang w:val="en-US" w:eastAsia="zh-CN"/>
              </w:rPr>
              <w:t>。</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8、服务要求：提供设备上架、安装、调试服务。</w:t>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9、配备双电源模块。</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应用服务器</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1、处理器（CPU）：符合信创标准的CPU型号，单颗CPU核心数≥24核，配置≥2颗，主频≥2.2 GHz，支持PCIe 4.0且通道数不低于128，三级缓存≥64 MB，典型功耗≤180 W。</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2、内存：DDR4 ECC Registered内存，单条容量≥ 32 GB，配置≥8条，总内存容量≥ 256 GB，频率≥3200 MHz。</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3、系统与缓存盘（SSD）：企业级SATA或NVMe固态硬盘，单块容量≥1.92 TB，配置≥2块，用于操作系统或高速缓存。</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4、数据盘（HDD）：企业级SATA机械硬盘，转速≥7200 RPM；单块容量≥8 TB；配置≥4块。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5、存储控制器（RAID卡）：独立≥ 2 GB缓存RAID卡，支持 RAID 0/1/5/6/10/50 等级别，标配超级电容模块，提供缓存数据掉电保护功能，防止数据丢失。</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6、网络接口：配置≥4个千兆以太网电口，配置≥1</w:t>
            </w:r>
            <w:r>
              <w:rPr>
                <w:rFonts w:hint="eastAsia" w:ascii="宋体" w:hAnsi="宋体" w:cs="宋体"/>
                <w:color w:val="auto"/>
                <w:sz w:val="24"/>
                <w:szCs w:val="24"/>
                <w:highlight w:val="none"/>
                <w:lang w:val="en-US" w:eastAsia="zh-CN"/>
              </w:rPr>
              <w:t>块</w:t>
            </w:r>
            <w:r>
              <w:rPr>
                <w:rFonts w:hint="eastAsia" w:ascii="宋体" w:hAnsi="宋体" w:eastAsia="宋体" w:cs="宋体"/>
                <w:color w:val="auto"/>
                <w:sz w:val="24"/>
                <w:szCs w:val="24"/>
                <w:highlight w:val="none"/>
                <w:lang w:val="en-US" w:eastAsia="zh-CN"/>
              </w:rPr>
              <w:t>双端口10 Gb光纤网卡，要求含配套的SFP+光模块。</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7、操作系统：</w:t>
            </w:r>
            <w:r>
              <w:rPr>
                <w:rFonts w:hint="eastAsia" w:ascii="宋体" w:hAnsi="宋体" w:cs="宋体"/>
                <w:color w:val="auto"/>
                <w:sz w:val="24"/>
                <w:szCs w:val="24"/>
                <w:highlight w:val="none"/>
                <w:lang w:val="en-US" w:eastAsia="zh-CN"/>
              </w:rPr>
              <w:t>需提供</w:t>
            </w:r>
            <w:r>
              <w:rPr>
                <w:rFonts w:hint="eastAsia" w:ascii="宋体" w:hAnsi="宋体" w:cs="宋体"/>
                <w:color w:val="auto"/>
                <w:sz w:val="24"/>
                <w:szCs w:val="24"/>
                <w:highlight w:val="none"/>
                <w:u w:val="none"/>
                <w:lang w:val="en-US" w:eastAsia="zh-CN"/>
              </w:rPr>
              <w:t>不低于</w:t>
            </w:r>
            <w:r>
              <w:rPr>
                <w:rFonts w:hint="eastAsia" w:ascii="宋体" w:hAnsi="宋体" w:eastAsia="宋体" w:cs="宋体"/>
                <w:color w:val="auto"/>
                <w:sz w:val="24"/>
                <w:szCs w:val="24"/>
                <w:highlight w:val="none"/>
                <w:u w:val="none"/>
                <w:lang w:val="en-US" w:eastAsia="zh-CN"/>
              </w:rPr>
              <w:t>正版银河麒麟高级服务器操作系统V10的国产操作系统</w:t>
            </w:r>
            <w:r>
              <w:rPr>
                <w:rFonts w:hint="eastAsia"/>
                <w:color w:val="auto"/>
                <w:sz w:val="24"/>
                <w:szCs w:val="24"/>
                <w:lang w:eastAsia="zh-CN"/>
              </w:rPr>
              <w:t>，</w:t>
            </w:r>
            <w:r>
              <w:rPr>
                <w:rFonts w:hint="eastAsia"/>
                <w:color w:val="auto"/>
                <w:sz w:val="24"/>
                <w:szCs w:val="24"/>
                <w:lang w:val="en-US" w:eastAsia="zh-CN"/>
              </w:rPr>
              <w:t>并提供永久授权，</w:t>
            </w:r>
            <w:r>
              <w:rPr>
                <w:rFonts w:hint="eastAsia"/>
                <w:color w:val="auto"/>
                <w:sz w:val="24"/>
                <w:szCs w:val="24"/>
                <w:highlight w:val="none"/>
                <w:lang w:val="en-US" w:eastAsia="zh-CN"/>
              </w:rPr>
              <w:t>保证</w:t>
            </w:r>
            <w:r>
              <w:rPr>
                <w:rFonts w:hint="eastAsia"/>
                <w:color w:val="auto"/>
                <w:sz w:val="24"/>
                <w:szCs w:val="24"/>
                <w:lang w:val="en-US" w:eastAsia="zh-CN"/>
              </w:rPr>
              <w:t>兼容现有</w:t>
            </w:r>
            <w:r>
              <w:rPr>
                <w:rFonts w:hint="eastAsia" w:ascii="宋体" w:hAnsi="宋体" w:cs="宋体"/>
                <w:color w:val="auto"/>
                <w:sz w:val="24"/>
                <w:szCs w:val="24"/>
                <w:highlight w:val="none"/>
                <w:lang w:val="en-US" w:eastAsia="zh-CN"/>
              </w:rPr>
              <w:t>转码应用程序及</w:t>
            </w:r>
            <w:r>
              <w:rPr>
                <w:rFonts w:hint="eastAsia"/>
                <w:color w:val="auto"/>
                <w:sz w:val="24"/>
                <w:szCs w:val="24"/>
                <w:lang w:val="en-US" w:eastAsia="zh-CN"/>
              </w:rPr>
              <w:t>视频下载程序</w:t>
            </w:r>
            <w:r>
              <w:rPr>
                <w:rFonts w:hint="eastAsia" w:ascii="宋体" w:hAnsi="宋体" w:eastAsia="宋体" w:cs="宋体"/>
                <w:color w:val="auto"/>
                <w:sz w:val="24"/>
                <w:szCs w:val="24"/>
                <w:highlight w:val="none"/>
                <w:lang w:val="en-US" w:eastAsia="zh-CN"/>
              </w:rPr>
              <w:t>。</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8、服务要求：提供设备上架、安装、调试服务。</w:t>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9、配备双电源模块。</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4</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磁盘阵列</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此设备为核心产品。</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#1、操作系统：基于国产操作系统开发的统一存储系统，提供相关证明材料并加盖制造厂家公章。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#2、关键芯片：存储的关键芯片（系统BMC管理芯片、接口卡处理芯片、SSD 控制芯片）均为国产品牌，提供相关证明材料并加盖制造厂家公章。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#3、统一存储架构：SAN和NAS一体化，不需额外配置NAS网关。提供相关证明材料并加盖制造厂家公章。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支持</w:t>
            </w:r>
            <w:r>
              <w:rPr>
                <w:rFonts w:hint="eastAsia" w:ascii="宋体" w:hAnsi="宋体" w:eastAsia="宋体" w:cs="宋体"/>
                <w:color w:val="auto"/>
                <w:sz w:val="24"/>
                <w:szCs w:val="24"/>
                <w:highlight w:val="none"/>
                <w:lang w:val="en-US" w:eastAsia="zh-CN"/>
              </w:rPr>
              <w:t>一体化双活：需与现有磁盘阵列设备实现双活联动，实现数据实时同步、业务无缝切换，确保双活系统稳定性与兼容性，任何一套设备宕机均不影响上层业务系统运行。提供官网证明或者第三方证明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5、系统升级：存储系统支持无中断系统软件在线升级和回退。提供相关证明并加盖制造厂家公章。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6、CPU：配置≥2个控制器，控制器采用多核处理器，整套存储设备提供≥40个处理器核心，主频≥2.1GHz。提供相关证明并加盖制造厂家公章。</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7、缓存：系统内总一级缓存容量配置≥128GB，且任意控制器一级缓存容量≥64GB（不含任何性能加速模块、FlashCache、PAM卡，SSD Cache、SCM等）。</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8、前端主机接口：配置≥4个10 Gbps Ethernet接口，须满配多模光模块，配置≥8个1 Gbps Ethernet接口。</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9、数据盘：HDD硬盘总容量≥700TB。</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支持企业级容灾</w:t>
            </w:r>
            <w:r>
              <w:rPr>
                <w:rFonts w:hint="eastAsia" w:ascii="宋体" w:hAnsi="宋体" w:eastAsia="宋体" w:cs="宋体"/>
                <w:color w:val="auto"/>
                <w:sz w:val="24"/>
                <w:szCs w:val="24"/>
                <w:highlight w:val="none"/>
                <w:lang w:val="en-US" w:eastAsia="zh-CN"/>
              </w:rPr>
              <w:t>，具有变更卷的异步复制模式。提供官网证明或者第三方证明。</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11、软件配置：配置软件包括不限于快照、QoS、</w:t>
            </w:r>
            <w:r>
              <w:rPr>
                <w:rFonts w:hint="eastAsia" w:ascii="宋体" w:hAnsi="宋体" w:cs="宋体"/>
                <w:color w:val="auto"/>
                <w:sz w:val="24"/>
                <w:szCs w:val="24"/>
                <w:highlight w:val="none"/>
                <w:lang w:val="en-US" w:eastAsia="zh-CN"/>
              </w:rPr>
              <w:t>多路径</w:t>
            </w:r>
            <w:r>
              <w:rPr>
                <w:rFonts w:hint="eastAsia" w:ascii="宋体" w:hAnsi="宋体" w:eastAsia="宋体" w:cs="宋体"/>
                <w:color w:val="auto"/>
                <w:sz w:val="24"/>
                <w:szCs w:val="24"/>
                <w:highlight w:val="none"/>
                <w:lang w:val="en-US" w:eastAsia="zh-CN"/>
              </w:rPr>
              <w:t>等。</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lang w:val="en-US" w:eastAsia="zh-CN"/>
              </w:rPr>
              <w:t>多路径软件：存储系统</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lang w:val="en-US" w:eastAsia="zh-CN"/>
              </w:rPr>
              <w:t>多路径软件，</w:t>
            </w:r>
            <w:r>
              <w:rPr>
                <w:rFonts w:hint="eastAsia" w:ascii="宋体" w:hAnsi="宋体" w:cs="宋体"/>
                <w:color w:val="auto"/>
                <w:sz w:val="24"/>
                <w:szCs w:val="24"/>
                <w:highlight w:val="none"/>
                <w:lang w:val="en-US" w:eastAsia="zh-CN"/>
              </w:rPr>
              <w:t>且需与应用服务器系统兼容，</w:t>
            </w:r>
            <w:r>
              <w:rPr>
                <w:rFonts w:hint="eastAsia" w:ascii="宋体" w:hAnsi="宋体" w:eastAsia="宋体" w:cs="宋体"/>
                <w:color w:val="auto"/>
                <w:sz w:val="24"/>
                <w:szCs w:val="24"/>
                <w:highlight w:val="none"/>
                <w:lang w:val="en-US" w:eastAsia="zh-CN"/>
              </w:rPr>
              <w:t>支持链路的负载均衡，支持路径故障自动切换与回切，支持链路检测和隔离，支持主机链路告警在存储界面统一管理，支持主流国产操作系统，提供多路径软件著作权证书或其他证明材料</w:t>
            </w:r>
            <w:r>
              <w:rPr>
                <w:rFonts w:hint="eastAsia" w:ascii="宋体" w:hAnsi="宋体" w:cs="宋体"/>
                <w:color w:val="auto"/>
                <w:sz w:val="24"/>
                <w:szCs w:val="24"/>
                <w:highlight w:val="none"/>
                <w:lang w:val="en-US" w:eastAsia="zh-CN"/>
              </w:rPr>
              <w:t>。</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蓝光光盘</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1、归档级蓝光光盘，单张光盘容量≥100GB。</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2、支持长期档案级存储，存储时间不少于20年。</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43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0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光盘柜及光盘盒</w:t>
            </w:r>
          </w:p>
        </w:tc>
        <w:tc>
          <w:tcPr>
            <w:tcW w:w="756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1、容量要求：整柜可存放不少于1800张标准光盘。</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2、结构形式：具备良好的承重能力和稳定性。</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3、存储结构：内部设置多层分隔结构，支持光盘盒有序分类摆放，便于编号管理与快速查找。</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4、外观要求：结构稳固、表面防锈防腐处理，适用于办公及档案环境长期使用。</w:t>
            </w:r>
          </w:p>
        </w:tc>
        <w:tc>
          <w:tcPr>
            <w:tcW w:w="50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w:t>
            </w:r>
          </w:p>
        </w:tc>
        <w:tc>
          <w:tcPr>
            <w:tcW w:w="76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bl>
    <w:p>
      <w:pPr>
        <w:rPr>
          <w:rFonts w:hint="eastAsia" w:ascii="宋体" w:hAnsi="宋体" w:eastAsia="宋体" w:cs="宋体"/>
          <w:color w:val="auto"/>
          <w:sz w:val="24"/>
          <w:szCs w:val="24"/>
          <w:highlight w:val="none"/>
          <w:lang w:val="en-US" w:eastAsia="zh-CN"/>
        </w:rPr>
      </w:pPr>
    </w:p>
    <w:p>
      <w:pPr>
        <w:pStyle w:val="4"/>
        <w:keepNext/>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五、技术要求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（一）总体要求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本项目不重构系统架构，仅在原架构基础上扩展资源，所有设备及软件须与现行</w:t>
      </w:r>
      <w:r>
        <w:rPr>
          <w:rFonts w:hint="eastAsia" w:ascii="宋体" w:hAnsi="宋体" w:eastAsia="宋体" w:cs="宋体"/>
          <w:i w:val="0"/>
          <w:iCs w:val="0"/>
          <w:color w:val="auto"/>
          <w:kern w:val="0"/>
          <w:sz w:val="24"/>
          <w:szCs w:val="24"/>
          <w:highlight w:val="none"/>
          <w:u w:val="none"/>
          <w:lang w:val="en-US" w:eastAsia="zh-CN" w:bidi="ar"/>
        </w:rPr>
        <w:t>执法数据服务中心系统</w:t>
      </w:r>
      <w:r>
        <w:rPr>
          <w:rFonts w:hint="eastAsia" w:ascii="宋体" w:hAnsi="宋体" w:eastAsia="宋体" w:cs="宋体"/>
          <w:color w:val="auto"/>
          <w:kern w:val="0"/>
          <w:sz w:val="24"/>
          <w:szCs w:val="24"/>
          <w:highlight w:val="none"/>
          <w:lang w:val="en-US" w:eastAsia="zh-CN" w:bidi="ar"/>
        </w:rPr>
        <w:t>兼容</w:t>
      </w:r>
      <w:r>
        <w:rPr>
          <w:rFonts w:hint="eastAsia" w:ascii="宋体" w:hAnsi="宋体" w:cs="宋体"/>
          <w:color w:val="auto"/>
          <w:kern w:val="0"/>
          <w:sz w:val="24"/>
          <w:szCs w:val="24"/>
          <w:highlight w:val="none"/>
          <w:lang w:val="en-US" w:eastAsia="zh-CN" w:bidi="ar"/>
        </w:rPr>
        <w:t>(现行系统基于windows系统和麒麟系统开发）</w:t>
      </w:r>
      <w:r>
        <w:rPr>
          <w:rFonts w:hint="eastAsia" w:ascii="宋体" w:hAnsi="宋体" w:eastAsia="宋体" w:cs="宋体"/>
          <w:color w:val="auto"/>
          <w:kern w:val="0"/>
          <w:sz w:val="24"/>
          <w:szCs w:val="24"/>
          <w:highlight w:val="none"/>
          <w:lang w:val="en-US" w:eastAsia="zh-CN" w:bidi="ar"/>
        </w:rPr>
        <w:t>，不得影响业务正常运行。项目所有硬件设备需满足信创要求，支持符合国家相关标准的国产操作系统。扩容设备须接入现有存储体系，与现有视频压缩模块、视频索引模块保持一致接口规范。项目所涉软件产品须具备合法知识产权及有效授权。</w:t>
      </w:r>
    </w:p>
    <w:p>
      <w:pPr>
        <w:pStyle w:val="2"/>
        <w:rPr>
          <w:rFonts w:hint="eastAsia" w:ascii="宋体" w:hAnsi="宋体" w:eastAsia="宋体" w:cs="宋体"/>
          <w:snapToGrid w:val="0"/>
          <w:color w:val="auto"/>
          <w:kern w:val="0"/>
          <w:sz w:val="24"/>
          <w:szCs w:val="24"/>
          <w:highlight w:val="none"/>
          <w:lang w:val="en-US" w:eastAsia="zh-CN" w:bidi="ar"/>
        </w:rPr>
      </w:pPr>
    </w:p>
    <w:p>
      <w:pPr>
        <w:pStyle w:val="2"/>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针对上述要求，投标人需提供承诺函并加盖投标人公章，内容如下：（</w:t>
      </w:r>
      <w:r>
        <w:rPr>
          <w:rFonts w:hint="eastAsia" w:hAnsi="宋体" w:cs="宋体"/>
          <w:snapToGrid w:val="0"/>
          <w:color w:val="auto"/>
          <w:kern w:val="0"/>
          <w:sz w:val="24"/>
          <w:szCs w:val="24"/>
          <w:highlight w:val="none"/>
          <w:lang w:val="en-US" w:eastAsia="zh-CN" w:bidi="ar"/>
        </w:rPr>
        <w:t>建议</w:t>
      </w:r>
      <w:r>
        <w:rPr>
          <w:rFonts w:hint="eastAsia" w:ascii="宋体" w:hAnsi="宋体" w:eastAsia="宋体" w:cs="宋体"/>
          <w:snapToGrid w:val="0"/>
          <w:color w:val="auto"/>
          <w:kern w:val="0"/>
          <w:sz w:val="24"/>
          <w:szCs w:val="24"/>
          <w:highlight w:val="none"/>
          <w:lang w:val="en-US" w:eastAsia="zh-CN" w:bidi="ar"/>
        </w:rPr>
        <w:t>放在投标文件</w:t>
      </w:r>
      <w:r>
        <w:rPr>
          <w:rFonts w:hint="eastAsia" w:hAnsi="宋体" w:cs="宋体"/>
          <w:snapToGrid w:val="0"/>
          <w:color w:val="auto"/>
          <w:kern w:val="0"/>
          <w:sz w:val="24"/>
          <w:szCs w:val="24"/>
          <w:highlight w:val="none"/>
          <w:lang w:val="en-US" w:eastAsia="zh-CN" w:bidi="ar"/>
        </w:rPr>
        <w:t>章节组成</w:t>
      </w:r>
      <w:r>
        <w:rPr>
          <w:rFonts w:hint="eastAsia" w:ascii="宋体" w:hAnsi="宋体" w:eastAsia="宋体" w:cs="宋体"/>
          <w:snapToGrid w:val="0"/>
          <w:color w:val="auto"/>
          <w:kern w:val="0"/>
          <w:sz w:val="24"/>
          <w:szCs w:val="24"/>
          <w:highlight w:val="none"/>
          <w:lang w:val="en-US" w:eastAsia="zh-CN" w:bidi="ar"/>
        </w:rPr>
        <w:t>2-18部分）</w:t>
      </w:r>
    </w:p>
    <w:p>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1" w:after="0" w:afterAutospacing="0" w:line="420" w:lineRule="atLeast"/>
        <w:ind w:left="0" w:right="0" w:firstLine="0"/>
        <w:jc w:val="center"/>
        <w:rPr>
          <w:rFonts w:hint="default" w:ascii="宋体" w:hAnsi="宋体" w:eastAsia="宋体" w:cs="宋体"/>
          <w:snapToGrid w:val="0"/>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b/>
          <w:bCs/>
          <w:snapToGrid w:val="0"/>
          <w:color w:val="auto"/>
          <w:kern w:val="0"/>
          <w:sz w:val="24"/>
          <w:szCs w:val="24"/>
          <w:highlight w:val="none"/>
          <w:lang w:val="en-US" w:eastAsia="zh-CN" w:bidi="ar"/>
        </w:rPr>
        <w:t>承诺函</w:t>
      </w:r>
    </w:p>
    <w:p>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1" w:after="0" w:afterAutospacing="0" w:line="420" w:lineRule="atLeast"/>
        <w:ind w:left="0" w:right="0" w:firstLine="0"/>
        <w:jc w:val="left"/>
        <w:rPr>
          <w:rFonts w:hint="eastAsia"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致</w:t>
      </w:r>
      <w:r>
        <w:rPr>
          <w:rFonts w:hint="eastAsia" w:ascii="宋体" w:hAnsi="宋体" w:eastAsia="宋体" w:cs="宋体"/>
          <w:snapToGrid w:val="0"/>
          <w:color w:val="auto"/>
          <w:kern w:val="0"/>
          <w:sz w:val="24"/>
          <w:szCs w:val="24"/>
          <w:highlight w:val="none"/>
          <w:lang w:val="en-US" w:eastAsia="zh-CN" w:bidi="ar"/>
        </w:rPr>
        <w:t>北京市公安局石景山分局：</w:t>
      </w:r>
    </w:p>
    <w:p>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1" w:after="0" w:afterAutospacing="0" w:line="420" w:lineRule="atLeast"/>
        <w:ind w:left="0" w:right="0" w:firstLine="480" w:firstLineChars="200"/>
        <w:jc w:val="left"/>
        <w:rPr>
          <w:rFonts w:hint="default"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我方作为本项目</w:t>
      </w:r>
      <w:r>
        <w:rPr>
          <w:rFonts w:hint="eastAsia" w:ascii="宋体" w:hAnsi="宋体" w:eastAsia="宋体" w:cs="宋体"/>
          <w:snapToGrid w:val="0"/>
          <w:color w:val="auto"/>
          <w:kern w:val="0"/>
          <w:sz w:val="24"/>
          <w:szCs w:val="24"/>
          <w:highlight w:val="none"/>
          <w:lang w:val="en-US" w:eastAsia="zh-CN" w:bidi="ar"/>
        </w:rPr>
        <w:t>投标人</w:t>
      </w:r>
      <w:r>
        <w:rPr>
          <w:rFonts w:hint="default" w:ascii="宋体" w:hAnsi="宋体" w:eastAsia="宋体" w:cs="宋体"/>
          <w:snapToGrid w:val="0"/>
          <w:color w:val="auto"/>
          <w:kern w:val="0"/>
          <w:sz w:val="24"/>
          <w:szCs w:val="24"/>
          <w:highlight w:val="none"/>
          <w:lang w:val="en-US" w:eastAsia="zh-CN" w:bidi="ar"/>
        </w:rPr>
        <w:t>，为确保项目合规实施、保障现有系统稳定，特作出如下承诺：</w:t>
      </w:r>
    </w:p>
    <w:p>
      <w:pPr>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pacing w:before="100" w:beforeAutospacing="1" w:after="0" w:afterAutospacing="0" w:line="420" w:lineRule="atLeast"/>
        <w:ind w:left="0" w:right="0" w:hanging="360"/>
        <w:jc w:val="left"/>
        <w:rPr>
          <w:rFonts w:hint="eastAsia"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‌架构与兼容性承诺‌：绝不重构现有系统架构，仅在原架构基础上扩展资源。所有新增设备及软件均与现行执法数据服务中心系统全面兼容，适配Windows和麒麟系统环境，确保不影响现有业务正常运行。</w:t>
      </w:r>
    </w:p>
    <w:p>
      <w:pPr>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pacing w:before="100" w:beforeAutospacing="1" w:after="0" w:afterAutospacing="0" w:line="420" w:lineRule="atLeast"/>
        <w:ind w:left="0" w:right="0" w:hanging="360"/>
        <w:jc w:val="left"/>
        <w:rPr>
          <w:rFonts w:hint="eastAsia"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‌硬件信创与接入承诺‌：所有硬件设备满足信创要求，支持符合国家相关标准的国产操作系统。扩容设备将无缝接入现有存储体系，与现有视频压缩、索引模块保持一致接口规范。</w:t>
      </w:r>
    </w:p>
    <w:p>
      <w:pPr>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pacing w:before="100" w:beforeAutospacing="1" w:after="0" w:afterAutospacing="0" w:line="420" w:lineRule="atLeast"/>
        <w:ind w:left="0" w:right="0" w:hanging="360"/>
        <w:jc w:val="left"/>
        <w:rPr>
          <w:rFonts w:hint="eastAsia"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‌软件知识产权承诺‌：项目涉及的所有软件产品均具备合法知识产权及有效授权，无任何侵权风险。</w:t>
      </w:r>
    </w:p>
    <w:p>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1" w:after="0" w:afterAutospacing="0" w:line="420" w:lineRule="atLeast"/>
        <w:ind w:left="0" w:right="0" w:firstLine="0"/>
        <w:jc w:val="left"/>
        <w:rPr>
          <w:rFonts w:hint="default"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我方将严格履行上述承诺，如有违反，愿承担相应责任。</w:t>
      </w:r>
    </w:p>
    <w:p>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1" w:after="0" w:afterAutospacing="0" w:line="420" w:lineRule="atLeast"/>
        <w:ind w:left="0" w:right="0" w:firstLine="0"/>
        <w:jc w:val="left"/>
        <w:rPr>
          <w:rFonts w:hint="default" w:ascii="宋体" w:hAnsi="宋体" w:eastAsia="宋体" w:cs="宋体"/>
          <w:snapToGrid w:val="0"/>
          <w:color w:val="auto"/>
          <w:kern w:val="0"/>
          <w:sz w:val="24"/>
          <w:szCs w:val="24"/>
          <w:highlight w:val="none"/>
          <w:lang w:val="en-US" w:eastAsia="zh-CN" w:bidi="ar"/>
        </w:rPr>
      </w:pPr>
      <w:r>
        <w:rPr>
          <w:rFonts w:hint="default" w:ascii="宋体" w:hAnsi="宋体" w:eastAsia="宋体" w:cs="宋体"/>
          <w:snapToGrid w:val="0"/>
          <w:color w:val="auto"/>
          <w:kern w:val="0"/>
          <w:sz w:val="24"/>
          <w:szCs w:val="24"/>
          <w:highlight w:val="none"/>
          <w:lang w:val="en-US" w:eastAsia="zh-CN" w:bidi="ar"/>
        </w:rPr>
        <w:t>承诺单位（盖章）：__________</w:t>
      </w:r>
      <w:r>
        <w:rPr>
          <w:rFonts w:hint="default" w:ascii="宋体" w:hAnsi="宋体" w:eastAsia="宋体" w:cs="宋体"/>
          <w:snapToGrid w:val="0"/>
          <w:color w:val="auto"/>
          <w:kern w:val="0"/>
          <w:sz w:val="24"/>
          <w:szCs w:val="24"/>
          <w:highlight w:val="none"/>
          <w:lang w:val="en-US" w:eastAsia="zh-CN" w:bidi="ar"/>
        </w:rPr>
        <w:br w:type="textWrapping"/>
      </w:r>
      <w:r>
        <w:rPr>
          <w:rFonts w:hint="default" w:ascii="宋体" w:hAnsi="宋体" w:eastAsia="宋体" w:cs="宋体"/>
          <w:snapToGrid w:val="0"/>
          <w:color w:val="auto"/>
          <w:kern w:val="0"/>
          <w:sz w:val="24"/>
          <w:szCs w:val="24"/>
          <w:highlight w:val="none"/>
          <w:lang w:val="en-US" w:eastAsia="zh-CN" w:bidi="ar"/>
        </w:rPr>
        <w:t>法定代表人（签字）：__________</w:t>
      </w:r>
      <w:r>
        <w:rPr>
          <w:rFonts w:hint="default" w:ascii="宋体" w:hAnsi="宋体" w:eastAsia="宋体" w:cs="宋体"/>
          <w:snapToGrid w:val="0"/>
          <w:color w:val="auto"/>
          <w:kern w:val="0"/>
          <w:sz w:val="24"/>
          <w:szCs w:val="24"/>
          <w:highlight w:val="none"/>
          <w:lang w:val="en-US" w:eastAsia="zh-CN" w:bidi="ar"/>
        </w:rPr>
        <w:br w:type="textWrapping"/>
      </w:r>
      <w:r>
        <w:rPr>
          <w:rFonts w:hint="default" w:ascii="宋体" w:hAnsi="宋体" w:eastAsia="宋体" w:cs="宋体"/>
          <w:snapToGrid w:val="0"/>
          <w:color w:val="auto"/>
          <w:kern w:val="0"/>
          <w:sz w:val="24"/>
          <w:szCs w:val="24"/>
          <w:highlight w:val="none"/>
          <w:lang w:val="en-US" w:eastAsia="zh-CN" w:bidi="ar"/>
        </w:rPr>
        <w:t>日期：______年______月______日</w:t>
      </w:r>
    </w:p>
    <w:p>
      <w:pPr>
        <w:pStyle w:val="2"/>
        <w:rPr>
          <w:rFonts w:hint="eastAsia"/>
          <w:color w:val="FF0000"/>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二</w:t>
      </w:r>
      <w:r>
        <w:rPr>
          <w:rFonts w:hint="eastAsia" w:ascii="宋体" w:hAnsi="宋体" w:eastAsia="宋体" w:cs="宋体"/>
          <w:b/>
          <w:bCs/>
          <w:color w:val="auto"/>
          <w:kern w:val="0"/>
          <w:sz w:val="24"/>
          <w:szCs w:val="24"/>
          <w:highlight w:val="none"/>
          <w:lang w:val="en-US" w:eastAsia="zh-CN" w:bidi="ar"/>
        </w:rPr>
        <w:t>）存储设备技术要求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313" w:rightChars="-149"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1.支持 7×24 小时连续稳定运行，支持视频压缩存储与原始视频长期归档。</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2.可以对视频数据文件进行压缩，视频压缩后仍保持取证级清晰度。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三</w:t>
      </w:r>
      <w:r>
        <w:rPr>
          <w:rFonts w:hint="eastAsia" w:ascii="宋体" w:hAnsi="宋体" w:eastAsia="宋体" w:cs="宋体"/>
          <w:b/>
          <w:bCs/>
          <w:color w:val="auto"/>
          <w:kern w:val="0"/>
          <w:sz w:val="24"/>
          <w:szCs w:val="24"/>
          <w:highlight w:val="none"/>
          <w:lang w:val="en-US" w:eastAsia="zh-CN" w:bidi="ar"/>
        </w:rPr>
        <w:t>）系统功能要求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设备和软件部署后，</w:t>
      </w:r>
      <w:r>
        <w:rPr>
          <w:rFonts w:hint="eastAsia" w:ascii="宋体" w:hAnsi="宋体" w:eastAsia="宋体" w:cs="宋体"/>
          <w:i w:val="0"/>
          <w:iCs w:val="0"/>
          <w:color w:val="auto"/>
          <w:kern w:val="0"/>
          <w:sz w:val="24"/>
          <w:szCs w:val="24"/>
          <w:highlight w:val="none"/>
          <w:u w:val="none"/>
          <w:lang w:val="en-US" w:eastAsia="zh-CN" w:bidi="ar"/>
        </w:rPr>
        <w:t>执法数据服务中心系统所有</w:t>
      </w:r>
      <w:r>
        <w:rPr>
          <w:rFonts w:hint="eastAsia" w:ascii="宋体" w:hAnsi="宋体" w:eastAsia="宋体" w:cs="宋体"/>
          <w:color w:val="auto"/>
          <w:kern w:val="0"/>
          <w:sz w:val="24"/>
          <w:szCs w:val="24"/>
          <w:highlight w:val="none"/>
          <w:lang w:val="en-US" w:eastAsia="zh-CN" w:bidi="ar"/>
        </w:rPr>
        <w:t>功能保持正常运行。系统功能包括：视音频自动关联、时间轴、视频压缩及分级存储、视频审查及操作留痕、视频播放水印、与办案平台数据关联、与随身财物系统数据关联。不得因设备扩容升级导致系统功能下降或数据丢失。</w:t>
      </w:r>
    </w:p>
    <w:p>
      <w:pPr>
        <w:pStyle w:val="4"/>
        <w:keepNext/>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六、项目建设服务要求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（一）实施要求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1.工期要求：自合同签订之日起30个日历日内完成全部部署。</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2.交付地点:采购人指定地点。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3.实施人员要求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（1）投标人须为本项目组建专职项目团队，建立完善的项目管理制度、实施流程与质量保障体系，确保项目高效、规范、按期落地。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（2）项目实施期间，项目经理及技术负责人必须经采购单位的同意才能变更，不得擅自变更。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4.运行网络要求：本项目所有设备、软件及系统部署仅限公安网使用，不得接入或关联其他任何网络。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投标人须结合本项目采购内容、现有系统运行环境及设备扩容升级要求，提供供货、安装、调试及系统接入实施方案。方案包括但不限于设备供货组织、到货安装、上架部署、系统环境适配、现有业务系统接入配合、数据安全保障、业务连续性保障、联调测试、验收配合、风险控制及应急回退措施等内容，确保新增设备投入后不影响现有执法数据服务中心系统正常运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6.中标人负责项目实施工作，须积极与招标人指定的运维方配合，完成项目相关各项工作，确保双方协作权责清晰。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业务连贯要求：项目实施期间，业务系统中断时间不得超过4小时，且实施过程中不得改变现有数据库结构、视频索引结构及案件关联逻辑。实施应用服务器集群化部署前，须完成历史数据处理，确保新旧服务器数据一致后再启动集群，投标人须提供完整的数据处理方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（二）培训要求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1.中标人在系统上线前对法制支队相关人员进行系统扩容后的操作培训。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2.培训次数不少于20人次。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3.培训时应提供完整的培训资料，包括但不限于用户使用手册及维护手册、培训PPT。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（三）运维服务要求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1.投标人应提供不少于3年的免费质保服务。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2.投标人具备适合公安的随需而动服务能力，并提供随需而动服务承诺。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3.运维人员：设立专门运维团队，至少配备1名运维经理和1名运维人员，</w:t>
      </w:r>
      <w:r>
        <w:rPr>
          <w:rFonts w:ascii="宋体" w:hAnsi="宋体" w:eastAsia="宋体" w:cs="宋体"/>
          <w:color w:val="auto"/>
          <w:sz w:val="24"/>
          <w:szCs w:val="24"/>
        </w:rPr>
        <w:t>须建立备品备件库，保障</w:t>
      </w:r>
      <w:r>
        <w:rPr>
          <w:rFonts w:hint="eastAsia" w:ascii="宋体" w:hAnsi="宋体" w:eastAsia="宋体" w:cs="宋体"/>
          <w:color w:val="auto"/>
          <w:sz w:val="24"/>
          <w:szCs w:val="24"/>
          <w:lang w:val="en-US" w:eastAsia="zh-CN"/>
        </w:rPr>
        <w:t>常用</w:t>
      </w:r>
      <w:r>
        <w:rPr>
          <w:rFonts w:ascii="宋体" w:hAnsi="宋体" w:eastAsia="宋体" w:cs="宋体"/>
          <w:color w:val="auto"/>
          <w:sz w:val="24"/>
          <w:szCs w:val="24"/>
        </w:rPr>
        <w:t>设备备件充足</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highlight w:val="none"/>
          <w:lang w:val="en-US" w:eastAsia="zh-CN" w:bidi="ar"/>
        </w:rPr>
        <w:t>质保期内提供上门技术支持服务，并提供承诺函。设备发生故障、异常、重大活动保障、专项任务保障或采购人提出现场支持需求时，投标人应及时安排技术人员到场处理，并提供现场服务记录。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4.故障响应：按故障分级响应（I级为紧急问题，指系统崩溃、数据丢失导致业务中断：12小时修复、II级</w:t>
      </w:r>
      <w:r>
        <w:rPr>
          <w:rFonts w:ascii="宋体" w:hAnsi="宋体" w:eastAsia="宋体" w:cs="宋体"/>
          <w:color w:val="auto"/>
          <w:sz w:val="24"/>
          <w:szCs w:val="24"/>
        </w:rPr>
        <w:t>为严重问题，指部件失效、性能下降但业务正常</w:t>
      </w:r>
      <w:r>
        <w:rPr>
          <w:rFonts w:hint="eastAsia" w:ascii="宋体" w:hAnsi="宋体" w:eastAsia="宋体" w:cs="宋体"/>
          <w:color w:val="auto"/>
          <w:kern w:val="0"/>
          <w:sz w:val="24"/>
          <w:szCs w:val="24"/>
          <w:highlight w:val="none"/>
          <w:lang w:val="en-US" w:eastAsia="zh-CN" w:bidi="ar"/>
        </w:rPr>
        <w:t>：24小时修复、III级</w:t>
      </w:r>
      <w:r>
        <w:rPr>
          <w:rFonts w:ascii="宋体" w:hAnsi="宋体" w:eastAsia="宋体" w:cs="宋体"/>
          <w:color w:val="auto"/>
          <w:sz w:val="24"/>
          <w:szCs w:val="24"/>
        </w:rPr>
        <w:t>为较严重问题，指系统报错或警告、业务运行正常</w:t>
      </w:r>
      <w:r>
        <w:rPr>
          <w:rFonts w:hint="eastAsia" w:ascii="宋体" w:hAnsi="宋体" w:eastAsia="宋体" w:cs="宋体"/>
          <w:color w:val="auto"/>
          <w:kern w:val="0"/>
          <w:sz w:val="24"/>
          <w:szCs w:val="24"/>
          <w:highlight w:val="none"/>
          <w:lang w:val="en-US" w:eastAsia="zh-CN" w:bidi="ar"/>
        </w:rPr>
        <w:t>：48小时修复、IV级</w:t>
      </w:r>
      <w:r>
        <w:rPr>
          <w:rFonts w:ascii="宋体" w:hAnsi="宋体" w:eastAsia="宋体" w:cs="宋体"/>
          <w:color w:val="auto"/>
          <w:sz w:val="24"/>
          <w:szCs w:val="24"/>
        </w:rPr>
        <w:t>为普通问题，指技术咨询、预约服务等不影响业务事项</w:t>
      </w:r>
      <w:r>
        <w:rPr>
          <w:rFonts w:hint="eastAsia" w:ascii="宋体" w:hAnsi="宋体" w:eastAsia="宋体" w:cs="宋体"/>
          <w:color w:val="auto"/>
          <w:kern w:val="0"/>
          <w:sz w:val="24"/>
          <w:szCs w:val="24"/>
          <w:highlight w:val="none"/>
          <w:lang w:val="en-US" w:eastAsia="zh-CN" w:bidi="ar"/>
        </w:rPr>
        <w:t>：5个工作日内解决）。</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5.服务分工原则：日常运维服务由中标人负责，保障系统正常运行；当本项目核心产品出现故障时，由设备原厂商负责故障维修工作，中标人需做好协调配合，确保故障及时处理、维保服务达标。</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6.运行报告要求：质保期内，投标人须定期提交巡检报告及年度运行报告。其中巡检报告每季度出具1次，于次月15日前提交；年度运行报告每年出具1次，于次年2月前提交。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（四）交付文档要求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交付文档应包含且不限于:项目需求规格说明书、技术方案、用户使用手册及维护手册、交付清单。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（五）验收流程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1.验收条件：本项目所有设备安装完成，且执法数据服务中心系统联调测试合格后，由采购人组织启动验收程序，中标人需配合提供验收所需的相关资料，确保验收工作顺利推进。</w:t>
      </w:r>
    </w:p>
    <w:p>
      <w:pPr>
        <w:pStyle w:val="30"/>
        <w:rPr>
          <w:rFonts w:hint="eastAsia"/>
        </w:rPr>
      </w:pPr>
      <w:r>
        <w:rPr>
          <w:rFonts w:hint="eastAsia" w:ascii="宋体" w:hAnsi="宋体" w:eastAsia="宋体" w:cs="宋体"/>
          <w:color w:val="auto"/>
          <w:kern w:val="0"/>
          <w:sz w:val="24"/>
          <w:szCs w:val="24"/>
          <w:highlight w:val="none"/>
          <w:lang w:val="en-US" w:eastAsia="zh-CN" w:bidi="ar"/>
        </w:rPr>
        <w:t>2.维保起算：验收通过之日起，正式作为本项目维保期的起始日，维保期期限按本项目运维服务要求执行。</w:t>
      </w:r>
    </w:p>
    <w:p>
      <w:pPr>
        <w:pStyle w:val="271"/>
        <w:ind w:left="420" w:leftChars="200" w:firstLine="0" w:firstLineChars="0"/>
        <w:rPr>
          <w:rFonts w:hint="eastAsia" w:ascii="宋体" w:hAnsi="宋体" w:cs="宋体"/>
          <w:b/>
          <w:bCs/>
          <w:color w:val="000000"/>
        </w:rPr>
      </w:pPr>
      <w:bookmarkStart w:id="159" w:name="_Toc26892"/>
    </w:p>
    <w:p>
      <w:pPr>
        <w:pStyle w:val="271"/>
        <w:ind w:left="420" w:leftChars="200" w:firstLine="0" w:firstLineChars="0"/>
        <w:rPr>
          <w:rFonts w:hint="eastAsia" w:ascii="宋体" w:hAnsi="宋体" w:cs="宋体"/>
          <w:b/>
          <w:bCs/>
          <w:color w:val="000000"/>
        </w:rPr>
      </w:pPr>
      <w:r>
        <w:rPr>
          <w:rFonts w:hint="eastAsia" w:ascii="宋体" w:hAnsi="宋体" w:cs="宋体"/>
          <w:b/>
          <w:bCs/>
          <w:color w:val="000000"/>
        </w:rPr>
        <w:t>六、</w:t>
      </w:r>
      <w:r>
        <w:rPr>
          <w:rFonts w:hint="eastAsia" w:ascii="宋体" w:hAnsi="宋体" w:cs="宋体"/>
          <w:b/>
          <w:bCs/>
          <w:color w:val="000000"/>
          <w:lang w:eastAsia="zh-CN"/>
        </w:rPr>
        <w:t>其他</w:t>
      </w:r>
      <w:r>
        <w:rPr>
          <w:rFonts w:hint="eastAsia" w:ascii="宋体" w:hAnsi="宋体" w:cs="宋体"/>
          <w:b/>
          <w:bCs/>
          <w:color w:val="000000"/>
        </w:rPr>
        <w:t>要求</w:t>
      </w:r>
    </w:p>
    <w:p>
      <w:pPr>
        <w:pStyle w:val="271"/>
        <w:keepNext w:val="0"/>
        <w:keepLines w:val="0"/>
        <w:pageBreakBefore w:val="0"/>
        <w:kinsoku/>
        <w:wordWrap/>
        <w:overflowPunct/>
        <w:topLinePunct w:val="0"/>
        <w:autoSpaceDE/>
        <w:autoSpaceDN/>
        <w:bidi w:val="0"/>
        <w:adjustRightInd/>
        <w:snapToGrid/>
        <w:spacing w:line="360" w:lineRule="auto"/>
        <w:ind w:left="420" w:leftChars="200" w:right="0" w:rightChars="0" w:firstLine="0" w:firstLineChars="0"/>
        <w:textAlignment w:val="auto"/>
        <w:outlineLvl w:val="9"/>
        <w:rPr>
          <w:rFonts w:hint="eastAsia" w:ascii="宋体" w:hAnsi="宋体" w:eastAsia="宋体" w:cs="宋体"/>
          <w:color w:val="000000"/>
        </w:rPr>
      </w:pPr>
      <w:r>
        <w:rPr>
          <w:rFonts w:hint="eastAsia" w:ascii="宋体" w:hAnsi="宋体" w:eastAsia="宋体" w:cs="宋体"/>
          <w:color w:val="000000"/>
        </w:rPr>
        <w:t>1.投标人所投产品应为满足、相当于或者高于本招标文件要求的货物。</w:t>
      </w:r>
    </w:p>
    <w:p>
      <w:pPr>
        <w:pStyle w:val="30"/>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000000"/>
        </w:rPr>
      </w:pPr>
      <w:r>
        <w:rPr>
          <w:rFonts w:hint="eastAsia" w:ascii="宋体" w:hAnsi="宋体" w:eastAsia="宋体" w:cs="宋体"/>
          <w:color w:val="000000"/>
        </w:rPr>
        <w:t>2.软硬件设备需具备可靠性、安全性，符合国家和相关行业标准。</w:t>
      </w:r>
    </w:p>
    <w:p>
      <w:pPr>
        <w:pStyle w:val="30"/>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本项目不接受进口产品的投标。</w:t>
      </w:r>
    </w:p>
    <w:p>
      <w:pPr>
        <w:numPr>
          <w:ilvl w:val="0"/>
          <w:numId w:val="0"/>
        </w:num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4.本项目核心产品详见</w:t>
      </w:r>
      <w:r>
        <w:rPr>
          <w:rFonts w:hint="eastAsia" w:ascii="宋体" w:hAnsi="宋体" w:eastAsia="宋体" w:cs="宋体"/>
          <w:sz w:val="24"/>
          <w:szCs w:val="24"/>
        </w:rPr>
        <w:t>投标人须知资料表</w:t>
      </w:r>
      <w:r>
        <w:rPr>
          <w:rFonts w:hint="eastAsia" w:ascii="宋体" w:hAnsi="宋体" w:eastAsia="宋体" w:cs="宋体"/>
          <w:sz w:val="24"/>
          <w:szCs w:val="24"/>
          <w:lang w:eastAsia="zh-CN"/>
        </w:rPr>
        <w:t>或需求清单。</w:t>
      </w:r>
    </w:p>
    <w:p>
      <w:pPr>
        <w:numPr>
          <w:ilvl w:val="0"/>
          <w:numId w:val="0"/>
        </w:numPr>
        <w:spacing w:line="360" w:lineRule="auto"/>
        <w:ind w:firstLine="480" w:firstLineChars="200"/>
        <w:jc w:val="left"/>
        <w:rPr>
          <w:rFonts w:hint="eastAsia" w:ascii="宋体" w:hAnsi="宋体" w:cs="宋体"/>
          <w:b/>
          <w:sz w:val="36"/>
          <w:szCs w:val="36"/>
        </w:rPr>
      </w:pPr>
      <w:r>
        <w:rPr>
          <w:rFonts w:hint="eastAsia" w:ascii="宋体" w:hAnsi="宋体" w:cs="宋体"/>
          <w:sz w:val="24"/>
          <w:szCs w:val="24"/>
          <w:lang w:val="en-US" w:eastAsia="zh-CN"/>
        </w:rPr>
        <w:t>5.</w:t>
      </w:r>
      <w:r>
        <w:rPr>
          <w:rFonts w:hint="eastAsia" w:asciiTheme="minorEastAsia" w:hAnsiTheme="minorEastAsia" w:eastAsiaTheme="minorEastAsia" w:cstheme="minorEastAsia"/>
          <w:b w:val="0"/>
          <w:bCs w:val="0"/>
          <w:color w:val="auto"/>
          <w:sz w:val="24"/>
          <w:szCs w:val="24"/>
        </w:rPr>
        <w:t>★投标人须提供承诺函并加盖投标人公章</w:t>
      </w:r>
      <w:r>
        <w:rPr>
          <w:rFonts w:hint="eastAsia" w:asciiTheme="minorEastAsia" w:hAnsiTheme="minorEastAsia" w:eastAsiaTheme="minorEastAsia" w:cstheme="minorEastAsia"/>
          <w:b w:val="0"/>
          <w:bCs w:val="0"/>
          <w:color w:val="auto"/>
          <w:sz w:val="24"/>
          <w:szCs w:val="24"/>
          <w:lang w:eastAsia="zh-CN"/>
        </w:rPr>
        <w:t>（建议放在</w:t>
      </w:r>
      <w:r>
        <w:rPr>
          <w:rFonts w:hint="eastAsia" w:asciiTheme="minorEastAsia" w:hAnsiTheme="minorEastAsia" w:eastAsiaTheme="minorEastAsia" w:cstheme="minorEastAsia"/>
          <w:b w:val="0"/>
          <w:bCs w:val="0"/>
          <w:color w:val="auto"/>
          <w:sz w:val="24"/>
          <w:szCs w:val="24"/>
        </w:rPr>
        <w:t>投标文件</w:t>
      </w:r>
      <w:r>
        <w:rPr>
          <w:rFonts w:hint="eastAsia" w:asciiTheme="minorEastAsia" w:hAnsiTheme="minorEastAsia" w:eastAsiaTheme="minorEastAsia" w:cstheme="minorEastAsia"/>
          <w:b w:val="0"/>
          <w:bCs w:val="0"/>
          <w:color w:val="auto"/>
          <w:sz w:val="24"/>
          <w:szCs w:val="24"/>
          <w:lang w:eastAsia="zh-CN"/>
        </w:rPr>
        <w:t>章节组成</w:t>
      </w:r>
      <w:r>
        <w:rPr>
          <w:rFonts w:hint="eastAsia" w:asciiTheme="minorEastAsia" w:hAnsiTheme="minorEastAsia" w:eastAsiaTheme="minorEastAsia" w:cstheme="minorEastAsia"/>
          <w:b w:val="0"/>
          <w:bCs w:val="0"/>
          <w:color w:val="auto"/>
          <w:sz w:val="24"/>
          <w:szCs w:val="24"/>
          <w:lang w:val="en-US" w:eastAsia="zh-CN"/>
        </w:rPr>
        <w:t>2-18</w:t>
      </w:r>
      <w:r>
        <w:rPr>
          <w:rFonts w:hint="eastAsia" w:asciiTheme="minorEastAsia" w:hAnsiTheme="minorEastAsia" w:eastAsiaTheme="minorEastAsia" w:cstheme="minorEastAsia"/>
          <w:b w:val="0"/>
          <w:bCs w:val="0"/>
          <w:color w:val="auto"/>
          <w:sz w:val="24"/>
          <w:szCs w:val="24"/>
          <w:lang w:eastAsia="zh-CN"/>
        </w:rPr>
        <w:t>部分）</w:t>
      </w:r>
      <w:r>
        <w:rPr>
          <w:rFonts w:hint="eastAsia" w:asciiTheme="minorEastAsia" w:hAnsiTheme="minorEastAsia" w:eastAsiaTheme="minorEastAsia" w:cstheme="minorEastAsia"/>
          <w:b w:val="0"/>
          <w:bCs w:val="0"/>
          <w:color w:val="auto"/>
          <w:sz w:val="24"/>
          <w:szCs w:val="24"/>
        </w:rPr>
        <w:t>，承诺函内容:</w:t>
      </w:r>
      <w:r>
        <w:rPr>
          <w:rFonts w:hint="eastAsia" w:asciiTheme="minorEastAsia" w:hAnsiTheme="minorEastAsia" w:eastAsiaTheme="minorEastAsia" w:cstheme="minorEastAsia"/>
          <w:b w:val="0"/>
          <w:bCs w:val="0"/>
          <w:color w:val="auto"/>
          <w:sz w:val="24"/>
          <w:szCs w:val="24"/>
          <w:lang w:eastAsia="zh-CN"/>
        </w:rPr>
        <w:t>本公司（单位）郑重承诺</w:t>
      </w:r>
      <w:r>
        <w:rPr>
          <w:rFonts w:hint="eastAsia" w:asciiTheme="minorEastAsia" w:hAnsiTheme="minorEastAsia" w:eastAsiaTheme="minorEastAsia" w:cstheme="minorEastAsia"/>
          <w:b w:val="0"/>
          <w:bCs w:val="0"/>
          <w:color w:val="auto"/>
          <w:sz w:val="24"/>
          <w:szCs w:val="24"/>
        </w:rPr>
        <w:t>所投</w:t>
      </w:r>
      <w:r>
        <w:rPr>
          <w:rFonts w:hint="eastAsia" w:asciiTheme="minorEastAsia" w:hAnsiTheme="minorEastAsia" w:eastAsiaTheme="minorEastAsia" w:cstheme="minorEastAsia"/>
          <w:b w:val="0"/>
          <w:bCs w:val="0"/>
          <w:color w:val="auto"/>
          <w:sz w:val="24"/>
          <w:szCs w:val="24"/>
          <w:lang w:eastAsia="zh-CN"/>
        </w:rPr>
        <w:t>服务器及操作系统</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（填写</w:t>
      </w:r>
      <w:r>
        <w:rPr>
          <w:rFonts w:hint="eastAsia" w:asciiTheme="minorEastAsia" w:hAnsiTheme="minorEastAsia" w:eastAsiaTheme="minorEastAsia" w:cstheme="minorEastAsia"/>
          <w:b w:val="0"/>
          <w:bCs w:val="0"/>
          <w:color w:val="auto"/>
          <w:sz w:val="24"/>
          <w:szCs w:val="24"/>
        </w:rPr>
        <w:t>满足或优于</w:t>
      </w:r>
      <w:r>
        <w:rPr>
          <w:rFonts w:hint="eastAsia" w:asciiTheme="minorEastAsia" w:hAnsiTheme="minorEastAsia" w:eastAsia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rPr>
        <w:t>财政部、工业和信息化部印发的“《</w:t>
      </w:r>
      <w:r>
        <w:rPr>
          <w:rFonts w:hint="eastAsia" w:asciiTheme="minorEastAsia" w:hAnsiTheme="minorEastAsia" w:eastAsiaTheme="minorEastAsia" w:cstheme="minorEastAsia"/>
          <w:b w:val="0"/>
          <w:bCs w:val="0"/>
          <w:color w:val="auto"/>
          <w:sz w:val="24"/>
          <w:szCs w:val="24"/>
          <w:lang w:eastAsia="zh-CN"/>
        </w:rPr>
        <w:t>通用服务器</w:t>
      </w:r>
      <w:r>
        <w:rPr>
          <w:rFonts w:hint="eastAsia" w:asciiTheme="minorEastAsia" w:hAnsiTheme="minorEastAsia" w:eastAsiaTheme="minorEastAsia" w:cstheme="minorEastAsia"/>
          <w:b w:val="0"/>
          <w:bCs w:val="0"/>
          <w:color w:val="auto"/>
          <w:sz w:val="24"/>
          <w:szCs w:val="24"/>
        </w:rPr>
        <w:t>政府采购需求标准（2023年版）》财库〔2023〕</w:t>
      </w:r>
      <w:r>
        <w:rPr>
          <w:rFonts w:hint="eastAsia" w:asciiTheme="minorEastAsia" w:hAnsiTheme="minorEastAsia" w:eastAsiaTheme="minorEastAsia" w:cstheme="minorEastAsia"/>
          <w:b w:val="0"/>
          <w:bCs w:val="0"/>
          <w:color w:val="auto"/>
          <w:sz w:val="24"/>
          <w:szCs w:val="24"/>
          <w:lang w:val="en-US" w:eastAsia="zh-CN"/>
        </w:rPr>
        <w:t>33</w:t>
      </w:r>
      <w:r>
        <w:rPr>
          <w:rFonts w:hint="eastAsia" w:asciiTheme="minorEastAsia" w:hAnsiTheme="minorEastAsia" w:eastAsiaTheme="minorEastAsia" w:cstheme="minorEastAsia"/>
          <w:b w:val="0"/>
          <w:bCs w:val="0"/>
          <w:color w:val="auto"/>
          <w:sz w:val="24"/>
          <w:szCs w:val="24"/>
        </w:rPr>
        <w:t>号”</w:t>
      </w:r>
      <w:r>
        <w:rPr>
          <w:rFonts w:hint="eastAsia" w:asciiTheme="minorEastAsia" w:hAnsiTheme="minorEastAsia" w:eastAsia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rPr>
        <w:t>“《操作系统政府采购需求标准（2023年版）》财库〔2023〕34号”中标注“*”项指标参数的最低要求</w:t>
      </w:r>
      <w:r>
        <w:rPr>
          <w:rFonts w:hint="eastAsia" w:asciiTheme="minorEastAsia" w:hAnsiTheme="minorEastAsia" w:eastAsiaTheme="minorEastAsia" w:cstheme="minorEastAsia"/>
          <w:b w:val="0"/>
          <w:bCs w:val="0"/>
          <w:color w:val="auto"/>
          <w:sz w:val="24"/>
          <w:szCs w:val="24"/>
          <w:lang w:eastAsia="zh-CN"/>
        </w:rPr>
        <w:t>。格式自拟。</w:t>
      </w:r>
      <w:r>
        <w:rPr>
          <w:rFonts w:hint="eastAsia" w:ascii="宋体" w:hAnsi="宋体" w:cs="宋体"/>
          <w:b/>
          <w:sz w:val="24"/>
        </w:rPr>
        <w:br w:type="page"/>
      </w:r>
      <w:r>
        <w:rPr>
          <w:rFonts w:hint="eastAsia" w:ascii="宋体" w:hAnsi="宋体" w:cs="宋体"/>
          <w:b/>
          <w:sz w:val="36"/>
          <w:szCs w:val="36"/>
        </w:rPr>
        <w:t>第六章   拟签订的合同文本</w:t>
      </w:r>
      <w:bookmarkEnd w:id="159"/>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ind w:firstLine="720" w:firstLineChars="300"/>
        <w:rPr>
          <w:rFonts w:hint="eastAsia" w:ascii="宋体" w:hAnsi="宋体" w:cs="宋体"/>
          <w:color w:val="000000"/>
          <w:sz w:val="24"/>
        </w:rPr>
      </w:pPr>
    </w:p>
    <w:p>
      <w:pPr>
        <w:ind w:firstLine="570"/>
        <w:jc w:val="center"/>
        <w:rPr>
          <w:rFonts w:hint="eastAsia" w:ascii="宋体" w:hAnsi="宋体"/>
          <w:b/>
          <w:color w:val="auto"/>
          <w:sz w:val="52"/>
          <w:szCs w:val="52"/>
        </w:rPr>
      </w:pPr>
      <w:bookmarkStart w:id="160" w:name="_Toc27509"/>
      <w:r>
        <w:rPr>
          <w:rFonts w:hint="eastAsia" w:ascii="宋体"/>
          <w:color w:val="000000" w:themeColor="text1"/>
          <w:sz w:val="28"/>
          <w14:textFill>
            <w14:solidFill>
              <w14:schemeClr w14:val="tx1"/>
            </w14:solidFill>
          </w14:textFill>
        </w:rPr>
        <w:t xml:space="preserve">                      </w:t>
      </w:r>
    </w:p>
    <w:p>
      <w:pPr>
        <w:ind w:left="570" w:firstLine="705"/>
        <w:rPr>
          <w:rFonts w:ascii="宋体" w:hAnsi="宋体"/>
          <w:b/>
          <w:bCs/>
          <w:color w:val="auto"/>
          <w:sz w:val="44"/>
          <w:highlight w:val="none"/>
          <w:lang w:eastAsia="zh-CN"/>
        </w:rPr>
      </w:pPr>
      <w:r>
        <w:rPr>
          <w:rFonts w:hint="eastAsia" w:ascii="宋体" w:hAnsi="宋体"/>
          <w:b/>
          <w:bCs/>
          <w:color w:val="auto"/>
          <w:sz w:val="44"/>
          <w:highlight w:val="none"/>
          <w:lang w:eastAsia="zh-CN"/>
        </w:rPr>
        <w:t>政府采购合同（货物类）</w:t>
      </w:r>
    </w:p>
    <w:p>
      <w:pPr>
        <w:ind w:left="570" w:firstLine="705"/>
        <w:rPr>
          <w:rFonts w:ascii="宋体" w:hAnsi="宋体"/>
          <w:color w:val="auto"/>
          <w:highlight w:val="none"/>
          <w:lang w:eastAsia="zh-CN"/>
        </w:rPr>
      </w:pPr>
    </w:p>
    <w:p>
      <w:pPr>
        <w:ind w:left="570" w:firstLine="705"/>
        <w:rPr>
          <w:rFonts w:ascii="宋体" w:hAnsi="宋体"/>
          <w:color w:val="auto"/>
          <w:highlight w:val="none"/>
          <w:lang w:eastAsia="zh-CN"/>
        </w:rPr>
      </w:pPr>
      <w:r>
        <w:rPr>
          <w:rFonts w:hint="eastAsia" w:ascii="宋体" w:hAnsi="宋体"/>
          <w:color w:val="auto"/>
          <w:highlight w:val="none"/>
          <w:lang w:eastAsia="zh-CN"/>
        </w:rPr>
        <w:t xml:space="preserve">                                             </w:t>
      </w:r>
    </w:p>
    <w:p>
      <w:pPr>
        <w:wordWrap w:val="0"/>
        <w:ind w:left="5938" w:leftChars="-200" w:hanging="6358" w:hangingChars="3028"/>
        <w:jc w:val="right"/>
        <w:rPr>
          <w:rFonts w:ascii="宋体" w:hAnsi="宋体"/>
          <w:color w:val="auto"/>
          <w:sz w:val="28"/>
          <w:szCs w:val="28"/>
          <w:highlight w:val="none"/>
          <w:lang w:val="en-US" w:eastAsia="zh-CN"/>
        </w:rPr>
      </w:pPr>
      <w:r>
        <w:rPr>
          <w:rFonts w:hint="eastAsia" w:ascii="宋体" w:hAnsi="宋体"/>
          <w:color w:val="auto"/>
          <w:highlight w:val="none"/>
          <w:lang w:eastAsia="zh-CN"/>
        </w:rPr>
        <w:t xml:space="preserve">                                                            </w:t>
      </w:r>
      <w:r>
        <w:rPr>
          <w:rFonts w:hint="eastAsia" w:ascii="宋体" w:hAnsi="宋体"/>
          <w:color w:val="auto"/>
          <w:sz w:val="28"/>
          <w:szCs w:val="28"/>
          <w:highlight w:val="none"/>
          <w:lang w:val="en-US" w:eastAsia="zh-CN"/>
        </w:rPr>
        <w:t xml:space="preserve">       </w:t>
      </w:r>
    </w:p>
    <w:p>
      <w:pPr>
        <w:rPr>
          <w:rFonts w:ascii="宋体" w:hAnsi="宋体"/>
          <w:color w:val="auto"/>
          <w:highlight w:val="none"/>
          <w:lang w:eastAsia="zh-CN"/>
        </w:rPr>
      </w:pPr>
    </w:p>
    <w:p>
      <w:pPr>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szCs w:val="30"/>
          <w:highlight w:val="none"/>
          <w:lang w:val="en-US" w:eastAsia="zh-CN"/>
        </w:rPr>
      </w:pPr>
      <w:r>
        <w:rPr>
          <w:rFonts w:hint="eastAsia" w:ascii="宋体" w:hAnsi="宋体"/>
          <w:color w:val="auto"/>
          <w:sz w:val="30"/>
          <w:highlight w:val="none"/>
          <w:lang w:eastAsia="zh-CN"/>
        </w:rPr>
        <w:t>项目编号</w:t>
      </w:r>
      <w:r>
        <w:rPr>
          <w:rFonts w:hint="eastAsia" w:ascii="宋体" w:hAnsi="宋体"/>
          <w:color w:val="auto"/>
          <w:sz w:val="30"/>
          <w:szCs w:val="30"/>
          <w:highlight w:val="none"/>
          <w:lang w:eastAsia="zh-CN"/>
        </w:rPr>
        <w:t>：</w:t>
      </w:r>
      <w:r>
        <w:rPr>
          <w:rFonts w:hint="eastAsia" w:ascii="宋体" w:hAnsi="宋体"/>
          <w:color w:val="auto"/>
          <w:sz w:val="30"/>
          <w:szCs w:val="30"/>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s="宋体"/>
          <w:bCs/>
          <w:color w:val="auto"/>
          <w:sz w:val="30"/>
          <w:szCs w:val="30"/>
          <w:highlight w:val="none"/>
          <w:lang w:eastAsia="zh-CN"/>
        </w:rPr>
      </w:pPr>
      <w:r>
        <w:rPr>
          <w:rFonts w:hint="eastAsia" w:ascii="宋体" w:hAnsi="宋体"/>
          <w:color w:val="auto"/>
          <w:sz w:val="30"/>
          <w:szCs w:val="30"/>
          <w:highlight w:val="none"/>
          <w:lang w:eastAsia="zh-CN"/>
        </w:rPr>
        <w:t>合同编号：</w:t>
      </w:r>
      <w:r>
        <w:rPr>
          <w:rFonts w:hint="eastAsia" w:ascii="宋体" w:hAnsi="宋体"/>
          <w:color w:val="auto"/>
          <w:sz w:val="30"/>
          <w:szCs w:val="30"/>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1500" w:hanging="1500" w:hangingChars="500"/>
        <w:textAlignment w:val="auto"/>
        <w:outlineLvl w:val="9"/>
        <w:rPr>
          <w:rFonts w:ascii="宋体" w:hAnsi="宋体"/>
          <w:color w:val="auto"/>
          <w:sz w:val="30"/>
          <w:szCs w:val="30"/>
          <w:highlight w:val="none"/>
          <w:lang w:val="en-US" w:eastAsia="zh-CN"/>
        </w:rPr>
      </w:pPr>
      <w:r>
        <w:rPr>
          <w:rFonts w:hint="eastAsia" w:ascii="宋体" w:hAnsi="宋体"/>
          <w:color w:val="auto"/>
          <w:sz w:val="30"/>
          <w:highlight w:val="none"/>
          <w:lang w:eastAsia="zh-CN"/>
        </w:rPr>
        <w:t>项目名称：</w:t>
      </w:r>
      <w:r>
        <w:rPr>
          <w:rFonts w:hint="eastAsia" w:ascii="宋体" w:hAnsi="宋体"/>
          <w:color w:val="auto"/>
          <w:sz w:val="30"/>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1500" w:right="-334" w:rightChars="-159" w:hanging="1500" w:hangingChars="500"/>
        <w:textAlignment w:val="auto"/>
        <w:outlineLvl w:val="9"/>
        <w:rPr>
          <w:rFonts w:ascii="宋体" w:hAnsi="宋体"/>
          <w:color w:val="auto"/>
          <w:sz w:val="30"/>
          <w:szCs w:val="30"/>
          <w:highlight w:val="none"/>
          <w:lang w:val="en-US" w:eastAsia="zh-CN"/>
        </w:rPr>
      </w:pPr>
      <w:r>
        <w:rPr>
          <w:rFonts w:hint="eastAsia" w:ascii="宋体" w:hAnsi="宋体"/>
          <w:color w:val="auto"/>
          <w:sz w:val="30"/>
          <w:highlight w:val="none"/>
          <w:lang w:eastAsia="zh-CN"/>
        </w:rPr>
        <w:t>货物名称</w:t>
      </w:r>
      <w:r>
        <w:rPr>
          <w:rFonts w:hint="eastAsia" w:ascii="宋体" w:hAnsi="宋体"/>
          <w:b/>
          <w:bCs/>
          <w:color w:val="auto"/>
          <w:sz w:val="30"/>
          <w:szCs w:val="30"/>
          <w:highlight w:val="none"/>
          <w:lang w:eastAsia="zh-CN"/>
        </w:rPr>
        <w:t>：</w:t>
      </w:r>
      <w:r>
        <w:rPr>
          <w:rFonts w:hint="eastAsia" w:ascii="宋体" w:hAnsi="宋体"/>
          <w:b w:val="0"/>
          <w:bCs w:val="0"/>
          <w:color w:val="auto"/>
          <w:sz w:val="30"/>
          <w:szCs w:val="30"/>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szCs w:val="30"/>
          <w:highlight w:val="none"/>
          <w:lang w:eastAsia="zh-CN"/>
        </w:rPr>
      </w:pPr>
      <w:r>
        <w:rPr>
          <w:rFonts w:hint="eastAsia" w:ascii="宋体" w:hAnsi="宋体"/>
          <w:color w:val="auto"/>
          <w:sz w:val="30"/>
          <w:highlight w:val="none"/>
          <w:lang w:eastAsia="zh-CN"/>
        </w:rPr>
        <w:t>甲    方：</w:t>
      </w:r>
      <w:r>
        <w:rPr>
          <w:rFonts w:hint="eastAsia" w:ascii="宋体" w:hAnsi="宋体"/>
          <w:color w:val="auto"/>
          <w:sz w:val="30"/>
          <w:highlight w:val="none"/>
          <w:u w:val="single"/>
          <w:lang w:eastAsia="zh-CN"/>
        </w:rPr>
        <w:t>北京市公安局石景山分局</w:t>
      </w:r>
      <w:r>
        <w:rPr>
          <w:rFonts w:hint="eastAsia" w:ascii="宋体" w:hAnsi="宋体"/>
          <w:color w:val="auto"/>
          <w:sz w:val="30"/>
          <w:highlight w:val="none"/>
          <w:lang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u w:val="singl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szCs w:val="30"/>
          <w:highlight w:val="none"/>
          <w:lang w:val="en-US" w:eastAsia="zh-CN"/>
        </w:rPr>
      </w:pPr>
      <w:r>
        <w:rPr>
          <w:rFonts w:hint="eastAsia" w:ascii="宋体" w:hAnsi="宋体"/>
          <w:color w:val="auto"/>
          <w:sz w:val="30"/>
          <w:highlight w:val="none"/>
          <w:lang w:eastAsia="zh-CN"/>
        </w:rPr>
        <w:t>乙</w:t>
      </w:r>
      <w:r>
        <w:rPr>
          <w:rFonts w:hint="eastAsia" w:ascii="宋体" w:hAnsi="宋体"/>
          <w:color w:val="auto"/>
          <w:sz w:val="30"/>
          <w:highlight w:val="none"/>
          <w:lang w:eastAsia="zh-CN"/>
        </w:rPr>
        <w:tab/>
      </w:r>
      <w:r>
        <w:rPr>
          <w:rFonts w:hint="eastAsia" w:ascii="宋体" w:hAnsi="宋体"/>
          <w:color w:val="auto"/>
          <w:sz w:val="30"/>
          <w:highlight w:val="none"/>
          <w:lang w:eastAsia="zh-CN"/>
        </w:rPr>
        <w:t xml:space="preserve">   方</w:t>
      </w:r>
      <w:r>
        <w:rPr>
          <w:rFonts w:hint="eastAsia" w:ascii="宋体" w:hAnsi="宋体"/>
          <w:color w:val="auto"/>
          <w:sz w:val="30"/>
          <w:szCs w:val="30"/>
          <w:highlight w:val="none"/>
          <w:lang w:eastAsia="zh-CN"/>
        </w:rPr>
        <w:t>：</w:t>
      </w:r>
      <w:r>
        <w:rPr>
          <w:rFonts w:hint="eastAsia" w:ascii="宋体" w:hAnsi="宋体"/>
          <w:color w:val="auto"/>
          <w:sz w:val="30"/>
          <w:szCs w:val="30"/>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ascii="宋体" w:hAnsi="宋体"/>
          <w:color w:val="auto"/>
          <w:sz w:val="30"/>
          <w:highlight w:val="none"/>
          <w:lang w:eastAsia="zh-CN"/>
        </w:rPr>
      </w:pPr>
      <w:r>
        <w:rPr>
          <w:rFonts w:hint="eastAsia" w:ascii="宋体" w:hAnsi="宋体"/>
          <w:color w:val="auto"/>
          <w:sz w:val="30"/>
          <w:highlight w:val="none"/>
          <w:lang w:eastAsia="zh-CN"/>
        </w:rPr>
        <w:t>签署日期：</w:t>
      </w:r>
      <w:r>
        <w:rPr>
          <w:rFonts w:hint="eastAsia" w:ascii="宋体" w:hAnsi="宋体"/>
          <w:color w:val="auto"/>
          <w:sz w:val="30"/>
          <w:highlight w:val="none"/>
          <w:lang w:val="en-US" w:eastAsia="zh-CN"/>
        </w:rPr>
        <w:t xml:space="preserve">      </w:t>
      </w:r>
      <w:r>
        <w:rPr>
          <w:rFonts w:hint="eastAsia" w:ascii="宋体" w:hAnsi="宋体"/>
          <w:color w:val="auto"/>
          <w:sz w:val="30"/>
          <w:highlight w:val="none"/>
          <w:lang w:eastAsia="zh-CN"/>
        </w:rPr>
        <w:t>年</w:t>
      </w:r>
      <w:r>
        <w:rPr>
          <w:rFonts w:hint="eastAsia" w:ascii="宋体" w:hAnsi="宋体"/>
          <w:color w:val="auto"/>
          <w:sz w:val="30"/>
          <w:highlight w:val="none"/>
          <w:lang w:val="en-US" w:eastAsia="zh-CN"/>
        </w:rPr>
        <w:t xml:space="preserve">    </w:t>
      </w:r>
      <w:r>
        <w:rPr>
          <w:rFonts w:hint="eastAsia" w:ascii="宋体" w:hAnsi="宋体"/>
          <w:color w:val="auto"/>
          <w:sz w:val="30"/>
          <w:highlight w:val="none"/>
          <w:lang w:eastAsia="zh-CN"/>
        </w:rPr>
        <w:t>月</w:t>
      </w:r>
      <w:r>
        <w:rPr>
          <w:rFonts w:hint="eastAsia" w:ascii="宋体" w:hAnsi="宋体"/>
          <w:color w:val="auto"/>
          <w:sz w:val="30"/>
          <w:highlight w:val="none"/>
          <w:lang w:val="en-US" w:eastAsia="zh-CN"/>
        </w:rPr>
        <w:t xml:space="preserve">    </w:t>
      </w:r>
      <w:r>
        <w:rPr>
          <w:rFonts w:hint="eastAsia" w:ascii="宋体" w:hAnsi="宋体"/>
          <w:color w:val="auto"/>
          <w:sz w:val="30"/>
          <w:highlight w:val="none"/>
          <w:lang w:eastAsia="zh-CN"/>
        </w:rPr>
        <w:t>日</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9"/>
        <w:rPr>
          <w:rFonts w:ascii="宋体" w:hAnsi="宋体" w:cs="宋体"/>
          <w:b/>
          <w:bCs/>
          <w:color w:val="auto"/>
          <w:sz w:val="24"/>
          <w:szCs w:val="24"/>
          <w:highlight w:val="none"/>
          <w:lang w:eastAsia="zh-CN"/>
        </w:rPr>
      </w:pPr>
      <w:r>
        <w:rPr>
          <w:rFonts w:hint="eastAsia" w:ascii="宋体" w:hAnsi="宋体" w:cs="宋体"/>
          <w:b/>
          <w:bCs/>
          <w:color w:val="auto"/>
          <w:szCs w:val="24"/>
          <w:highlight w:val="none"/>
          <w:lang w:val="en-US" w:eastAsia="zh-CN"/>
        </w:rPr>
        <w:t xml:space="preserve">  </w:t>
      </w:r>
      <w:r>
        <w:rPr>
          <w:rFonts w:hint="eastAsia" w:ascii="宋体" w:hAnsi="宋体" w:cs="宋体"/>
          <w:b/>
          <w:bCs/>
          <w:color w:val="auto"/>
          <w:sz w:val="24"/>
          <w:szCs w:val="24"/>
          <w:highlight w:val="none"/>
          <w:lang w:eastAsia="zh-CN"/>
        </w:rPr>
        <w:t>合   同  书</w:t>
      </w:r>
    </w:p>
    <w:p>
      <w:pPr>
        <w:spacing w:line="360" w:lineRule="auto"/>
        <w:ind w:left="498" w:leftChars="237" w:firstLine="338" w:firstLineChars="141"/>
        <w:jc w:val="left"/>
        <w:rPr>
          <w:rFonts w:ascii="宋体" w:hAnsi="宋体" w:cs="宋体"/>
          <w:color w:val="auto"/>
          <w:sz w:val="24"/>
          <w:szCs w:val="24"/>
          <w:highlight w:val="none"/>
          <w:lang w:eastAsia="zh-CN"/>
        </w:rPr>
      </w:pPr>
      <w:r>
        <w:rPr>
          <w:rFonts w:hint="eastAsia" w:ascii="宋体" w:hAnsi="宋体" w:cs="宋体"/>
          <w:bCs/>
          <w:color w:val="auto"/>
          <w:sz w:val="24"/>
          <w:szCs w:val="24"/>
          <w:highlight w:val="none"/>
          <w:u w:val="single"/>
          <w:lang w:eastAsia="zh-CN"/>
        </w:rPr>
        <w:t>北京市公安局石景山分局</w:t>
      </w:r>
      <w:r>
        <w:rPr>
          <w:rFonts w:hint="eastAsia" w:ascii="宋体" w:hAnsi="宋体" w:cs="宋体"/>
          <w:color w:val="auto"/>
          <w:sz w:val="24"/>
          <w:szCs w:val="24"/>
          <w:highlight w:val="none"/>
          <w:lang w:eastAsia="zh-CN"/>
        </w:rPr>
        <w:t>在</w:t>
      </w:r>
      <w:r>
        <w:rPr>
          <w:rFonts w:hint="eastAsia" w:ascii="宋体" w:hAnsi="宋体" w:cs="宋体"/>
          <w:bCs/>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中所需</w:t>
      </w:r>
      <w:r>
        <w:rPr>
          <w:rFonts w:hint="eastAsia" w:ascii="宋体" w:hAnsi="宋体" w:cs="宋体"/>
          <w:bCs/>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经北京市石景山区政府采购中心以</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号</w:t>
      </w:r>
      <w:r>
        <w:rPr>
          <w:rFonts w:hint="eastAsia" w:ascii="宋体" w:hAnsi="宋体" w:cs="宋体"/>
          <w:color w:val="auto"/>
          <w:sz w:val="24"/>
          <w:szCs w:val="24"/>
          <w:highlight w:val="none"/>
          <w:lang w:eastAsia="zh-CN"/>
        </w:rPr>
        <w:t>招标文件在国内公开招标。经评标委员会评定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为中标人。甲、乙双方同意按照下面的条款和条件，签署本合同。</w:t>
      </w:r>
    </w:p>
    <w:p>
      <w:pPr>
        <w:spacing w:line="360" w:lineRule="auto"/>
        <w:ind w:left="359" w:leftChars="171" w:firstLine="480" w:firstLineChars="200"/>
        <w:rPr>
          <w:rFonts w:ascii="宋体" w:hAnsi="宋体" w:cs="宋体"/>
          <w:color w:val="auto"/>
          <w:sz w:val="24"/>
          <w:szCs w:val="24"/>
          <w:highlight w:val="none"/>
          <w:lang w:eastAsia="zh-CN"/>
        </w:rPr>
      </w:pPr>
    </w:p>
    <w:p>
      <w:pPr>
        <w:numPr>
          <w:ilvl w:val="0"/>
          <w:numId w:val="21"/>
        </w:num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合同文件：下列文件构成本合同的组成部分，应该认为是一个整体，彼此相互解释，相互补充。为便于解释，组成合同的多个文件的优先支配地位的次序如下：</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1、本合同书</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2、中标通知书</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3、补充协议</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4、投标文件       （含澄清文件）</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5、招标文件       （含招标文件补充通知）</w:t>
      </w:r>
    </w:p>
    <w:p>
      <w:pPr>
        <w:spacing w:line="360" w:lineRule="auto"/>
        <w:ind w:firstLine="480" w:firstLineChars="20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6、货物清单       （附合同后）</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二、定义：本合同中的下列术语应解释为：</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1、“合同”系指甲乙双方签署的,合同格式中载明双方所达成的协议,包括构成合同的所有的附件、附录和构成合同的所有文件。</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2、“合同价”系指根据合同规定,在乙方正确、完全履行合同义务后，甲方应付的价格。</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3、“货物”系指乙方根据合同规定须向甲方提供的所有硬件设备、安装调试、技术资料及其它材料。</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4、“服务”系指根据合同规定乙方承担与供货有关的辅助服务,如送货、安装、调试、维修、提供技术援助、培训和其它类似的义务。</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三、采购货物及数量</w:t>
      </w:r>
    </w:p>
    <w:p>
      <w:pPr>
        <w:spacing w:line="360" w:lineRule="auto"/>
        <w:ind w:right="99" w:rightChars="47" w:firstLine="477" w:firstLineChars="199"/>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    货物名称：</w:t>
      </w:r>
      <w:r>
        <w:rPr>
          <w:rFonts w:hint="eastAsia" w:ascii="宋体" w:hAnsi="宋体" w:cs="宋体"/>
          <w:color w:val="auto"/>
          <w:sz w:val="24"/>
          <w:szCs w:val="24"/>
          <w:highlight w:val="none"/>
          <w:u w:val="single"/>
          <w:lang w:val="en-US" w:eastAsia="zh-CN"/>
        </w:rPr>
        <w:t xml:space="preserve">              </w:t>
      </w:r>
    </w:p>
    <w:p>
      <w:pPr>
        <w:spacing w:line="360" w:lineRule="auto"/>
        <w:ind w:right="99" w:rightChars="47" w:firstLine="477" w:firstLineChars="199"/>
        <w:rPr>
          <w:rFonts w:ascii="宋体" w:hAnsi="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    采购数量：</w:t>
      </w:r>
      <w:r>
        <w:rPr>
          <w:rFonts w:hint="eastAsia" w:ascii="宋体" w:hAnsi="宋体" w:cs="宋体"/>
          <w:color w:val="auto"/>
          <w:sz w:val="24"/>
          <w:szCs w:val="24"/>
          <w:highlight w:val="none"/>
          <w:u w:val="single"/>
          <w:lang w:val="en-US" w:eastAsia="zh-CN"/>
        </w:rPr>
        <w:t xml:space="preserve">              </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价格：</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（人民币大写：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四、技术规格</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1、乙方提供的货物的技术规格、功能结构等应与其投标文件中的相关内容及技术资料等相关内容一致。</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2、当所供货物、价格、服务等与投标文件不一致时,乙方应提出书面申请。</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3、乙方承诺投标文件中有关技术资料的正偏离参数具有向下指标的兼容性。</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五、权利保证</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应保证对其提供的货物拥有合法的所有权。若乙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2、乙方保证在货物上不存在其他任何第三人的担保物权。</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3、乙方保证货物不侵犯任何第三人的姓名权、名称权、肖像权、荣誉权等人身权。</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4、如上所述的诉讼或其他法律程序禁止甲方使用货物，乙方应赔偿甲方因此而受到的损失。对于甲方购买的货物，乙方应当：</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1）自付费用向销售人取得使用货物的许可。</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2）自负风险及费用将货物运回并退回甲方已支付的货款。</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六、供货时间及包装要求</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1、供货时间自合同签订之日起</w:t>
      </w:r>
      <w:r>
        <w:rPr>
          <w:rFonts w:hint="eastAsia" w:ascii="宋体" w:hAnsi="宋体" w:cs="宋体"/>
          <w:color w:val="auto"/>
          <w:sz w:val="24"/>
          <w:szCs w:val="24"/>
          <w:highlight w:val="none"/>
          <w:lang w:val="en-US" w:eastAsia="zh-CN"/>
        </w:rPr>
        <w:t>由甲方提出具体需求，乙方在20日内按甲方指定需求及供货地点提供货物</w:t>
      </w:r>
      <w:r>
        <w:rPr>
          <w:rFonts w:hint="eastAsia" w:ascii="宋体" w:hAnsi="宋体" w:cs="宋体"/>
          <w:color w:val="auto"/>
          <w:sz w:val="24"/>
          <w:szCs w:val="24"/>
          <w:highlight w:val="none"/>
          <w:lang w:eastAsia="zh-CN"/>
        </w:rPr>
        <w:t>。供货商应将货物运抵甲方指定的使用单位并完成安装调试投入使用。</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2、乙方提供的全部货物均应采用标准保护措施进行包装，确保货物安全无损运抵现场。由于包装、运输、安装、调试等不善所引起的货物损坏和损失均由乙方承担。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3、每件包装箱内应附一份详细装箱单、使用说明书、质量合格证等相关资料。</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七、装运条件</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1、乙方负责安排运输工具,运输过程中涉及的全部费用均由乙方承担。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2、乙方将全部货物运抵使用单位指定地点并完成安装调试工作后，乙方完成交付。</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八、货款支付：</w:t>
      </w:r>
    </w:p>
    <w:p>
      <w:pPr>
        <w:spacing w:line="360" w:lineRule="auto"/>
        <w:ind w:right="99" w:rightChars="47" w:firstLine="477" w:firstLineChars="199"/>
        <w:rPr>
          <w:rFonts w:hint="eastAsia" w:ascii="宋体" w:hAnsi="宋体" w:cs="宋体"/>
          <w:color w:val="FF0000"/>
          <w:sz w:val="24"/>
          <w:szCs w:val="24"/>
          <w:highlight w:val="none"/>
          <w:lang w:eastAsia="zh-CN"/>
        </w:rPr>
      </w:pPr>
      <w:r>
        <w:rPr>
          <w:rFonts w:hint="eastAsia" w:ascii="宋体" w:hAnsi="宋体" w:cs="宋体"/>
          <w:color w:val="auto"/>
          <w:sz w:val="24"/>
          <w:szCs w:val="24"/>
          <w:highlight w:val="none"/>
          <w:lang w:eastAsia="zh-CN"/>
        </w:rPr>
        <w:t>本合同的付款方式为：货物送达并经甲方验收合格后，甲方在收到</w:t>
      </w:r>
      <w:r>
        <w:rPr>
          <w:rFonts w:hint="eastAsia" w:ascii="宋体" w:hAnsi="宋体" w:cs="宋体"/>
          <w:color w:val="auto"/>
          <w:sz w:val="24"/>
          <w:szCs w:val="24"/>
          <w:highlight w:val="none"/>
          <w:u w:val="none"/>
          <w:lang w:eastAsia="zh-CN"/>
        </w:rPr>
        <w:t>增值税专用发票、《验收合格证明》、送货清单及签收记录</w:t>
      </w:r>
      <w:r>
        <w:rPr>
          <w:rFonts w:hint="eastAsia" w:ascii="宋体" w:hAnsi="宋体" w:cs="宋体"/>
          <w:color w:val="auto"/>
          <w:sz w:val="24"/>
          <w:szCs w:val="24"/>
          <w:highlight w:val="none"/>
          <w:lang w:eastAsia="zh-CN"/>
        </w:rPr>
        <w:t>后‌15个工作日内‌，按货物对应金额‌支付款项‌。</w:t>
      </w:r>
      <w:r>
        <w:rPr>
          <w:rFonts w:hint="eastAsia" w:ascii="宋体" w:hAnsi="宋体" w:cs="宋体"/>
          <w:color w:val="FF0000"/>
          <w:sz w:val="24"/>
          <w:szCs w:val="24"/>
          <w:highlight w:val="none"/>
          <w:lang w:eastAsia="zh-CN"/>
        </w:rPr>
        <w:t>‌</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九、技术资料</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2、甲方因使用、维修需要，有翻译成其它文字和复印的权利。</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十、质量保证</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2、本合同涉及货物的质量保证以招标文件为准。</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3、本合同涉及货物的质量保证期以投标书中“保修和售后服务承诺书”为准。</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4、若乙方违反上述担保，货物被禁止使用，乙方应自负风险和费用将货物收回，退还甲方已支付的货款。</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十一、保修和售后服务</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1、乙方负责设备的免费送货。</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2、质量保证期内设备（包括易损件）出现故障，乙方应在投标文件中承诺响应时间内免费上门服务并免费更换损坏的部件。</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3、质量保证期后，维修调试、更换配件等只收取成本费。</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4、如果乙方在收到报修通知后在投标文件承诺的时间内没有维修或弥补缺陷,甲方可采取必要的补救措施,但风险和费用将由乙方承担。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5、设备售出后乙方应用多种方式定期进行回访。</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6、乙方应兑现投标文件中“质量保证和售后服务承诺书”中承诺的其它各项售后服务。</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十二、检验和安装</w:t>
      </w:r>
    </w:p>
    <w:p>
      <w:pPr>
        <w:spacing w:line="360" w:lineRule="auto"/>
        <w:ind w:right="-130" w:rightChars="-62"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1、在交货前乙方应对货物的质量、规格、性能、数量等进行详细而全面的检验。</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2、严格按照甲方和产品安装要求进行安装；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3、货物运抵甲方指定的使用单位并经乙方安装调试后,由甲乙双方验收。</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十三、索赔</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1、若验收不合格，延误工期，甲方以书面形式通知乙方，提出索赔。</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2、在质量保证期内，如果货物存在规格、性能等方面与合同不符，或证实货物是有缺陷的，包括潜在的缺陷或使用不符合要求的部件等，甲方以书面形式通知乙方，提出索赔。</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3、当甲方与乙方对货物的质量性能和技术指标等存在的问题认知不一致时,可向当地的商检局或产品检验所申请对货物的质量、技术规格等进行检验，并出具检验证书。检验费用由责任方负担。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4、如果乙方对甲方提出的索赔负有责任，乙方应按照甲方同意的下列一种方式解决索赔事宜：</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（1）若设备检验不合格，甲方要求退货，乙方承担由此发生的一切损失和费用。</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（2）如验收不合格，延误工期，乙方应承担甲方所遭受的一切经济损失。</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用符合规格、质量和性能要求的新零件、部件或货物来更换有缺陷的部分，乙方应承担一切费用和风险并负担甲方所遭受的损失。同时，乙方应按合同条款第十条规定，相应延长修补或更换部分的质量保证期。</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如果在甲方发出索赔通知后十天内,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十四、争议解决方式</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1、甲乙双方通过友好协商，解决在执行合同中所发生的或与本合同有关的一切争端，如从协商开始十日内仍得不到解决，甲乙方双方将争端提交石景山区政府采购管理科进行调解。</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2、如调解不成，双方可以到合同签署地人民法院提请诉讼。</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3、诉讼的费用应由败诉方负担。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4、在诉讼期间，除正在进行诉讼的部分外，本合同其它部分应继续执行。</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十五、不可抗力</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1、由于自然灾害、社会因素、政府行为及其他经双方同意的原因，导致本合同不能全部或部分履行，甲乙双方互不承担违约责任，善后事宜由双方协商。</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2、受事故影响的一方应在事故发生后叁日内以书面形式通知另一方，并将有关部门出具的证明文件提交给另一方。</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十六、税费</w:t>
      </w:r>
    </w:p>
    <w:p>
      <w:pPr>
        <w:spacing w:line="360" w:lineRule="auto"/>
        <w:ind w:right="-130" w:rightChars="-62"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1、中国政府根据现行税法对甲方征收的与本合同有关的一切税费均由甲方负担。</w:t>
      </w:r>
    </w:p>
    <w:p>
      <w:pPr>
        <w:spacing w:line="360" w:lineRule="auto"/>
        <w:ind w:right="-130" w:rightChars="-62"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2、中国政府根据现行税法对乙方征收的与本合同有关的一切税费均由乙方负担。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十七、合同解除和终止</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1、合同解除：在甲方对乙方违约而采取的任何补救措施不受影响的情况下，出现下列情况，甲方可向乙方发出书面通知，提出解除合同，并要求退货、返款。</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（1）乙方未能在规定的期限或甲方同意延长的期限内交货。</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（2）乙方使用假冒、伪劣产品，或达不到合同规定的质量、性能。</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（3）乙方其它严重违反合同规定的行为。</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2、提前终止合同：如果乙方在合同履行期间破产，甲方可在任何时候以书面形式通知乙方即时终止合同，不予退还质量保证金，并保留甲方已经采取或将要采取的补救措施的权利。</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十八、违约责任</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因乙方原因（包括乙方提供的货物未达到验收标准）使货物未按规定运抵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2、乙方所提供的货物质量不符合本合同约定标准时，乙方应负责及时更换、维修，甲方有权拒绝付款，并追究乙方违约责任。</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3、因产品缺陷而产生的退换货或赔偿损失的直接费用，如检验费、退换货往返运费、保险费、仓储费及装卸费等，均由乙方承担。</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4、因产品质量缺陷造成第三方损害而要求甲方赔偿的，甲方有权随时向乙方追索费用。</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5、如乙方出现严重违反合同条款并给甲方带来损失时，甲方可视情况采取以下一种或多种方式：</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（1）在质量保证金中扣除直接损失和间接损失。</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（2）解除合同。</w:t>
      </w:r>
    </w:p>
    <w:p>
      <w:pPr>
        <w:tabs>
          <w:tab w:val="left" w:pos="1050"/>
          <w:tab w:val="left" w:pos="1260"/>
        </w:tabs>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（3）将违约行为上报政府采购办公室，由政府采购办公室对违反合同行为做出处理，在政府采购网上公布。</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十九、转让：未经甲方事先书面同意，乙方不得部分转让或全部转让其应履行的合同义务。</w:t>
      </w:r>
    </w:p>
    <w:p>
      <w:pPr>
        <w:spacing w:line="360" w:lineRule="auto"/>
        <w:ind w:right="99" w:rightChars="47" w:firstLine="477" w:firstLineChars="199"/>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二十、适用法律 ：本合同应按照中华人民共和国的相关法律进行解释。</w:t>
      </w:r>
    </w:p>
    <w:p>
      <w:pPr>
        <w:spacing w:line="360" w:lineRule="auto"/>
        <w:ind w:right="99" w:rightChars="47" w:firstLine="477" w:firstLineChars="19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二十一、合同生效及其它：合同在甲乙双方签字</w:t>
      </w:r>
      <w:r>
        <w:rPr>
          <w:rFonts w:hint="eastAsia" w:ascii="宋体" w:hAnsi="宋体" w:cs="宋体"/>
          <w:color w:val="auto"/>
          <w:sz w:val="24"/>
          <w:szCs w:val="24"/>
          <w:highlight w:val="none"/>
          <w:lang w:val="en-US" w:eastAsia="zh-CN"/>
        </w:rPr>
        <w:t>并加</w:t>
      </w:r>
      <w:r>
        <w:rPr>
          <w:rFonts w:hint="eastAsia" w:ascii="宋体" w:hAnsi="宋体" w:cs="宋体"/>
          <w:color w:val="auto"/>
          <w:sz w:val="24"/>
          <w:szCs w:val="24"/>
          <w:highlight w:val="none"/>
          <w:lang w:eastAsia="zh-CN"/>
        </w:rPr>
        <w:t>盖</w:t>
      </w:r>
      <w:r>
        <w:rPr>
          <w:rFonts w:hint="eastAsia" w:ascii="宋体" w:hAnsi="宋体" w:cs="宋体"/>
          <w:color w:val="auto"/>
          <w:sz w:val="24"/>
          <w:szCs w:val="24"/>
          <w:highlight w:val="none"/>
          <w:lang w:val="en-US" w:eastAsia="zh-CN"/>
        </w:rPr>
        <w:t>公</w:t>
      </w:r>
      <w:r>
        <w:rPr>
          <w:rFonts w:hint="eastAsia" w:ascii="宋体" w:hAnsi="宋体" w:cs="宋体"/>
          <w:color w:val="auto"/>
          <w:sz w:val="24"/>
          <w:szCs w:val="24"/>
          <w:highlight w:val="none"/>
          <w:lang w:eastAsia="zh-CN"/>
        </w:rPr>
        <w:t>章后开始生效。本合同一式三份，甲乙双方各执一份，石景山区政府采购中心备案一份。如需修改或补充合同内容，经协商，双方应签署书面修改或补充协议，该协议作为本合同的一个组成部分。</w:t>
      </w:r>
    </w:p>
    <w:p>
      <w:pPr>
        <w:pStyle w:val="2"/>
        <w:rPr>
          <w:lang w:eastAsia="zh-CN"/>
        </w:rPr>
      </w:pPr>
    </w:p>
    <w:p>
      <w:pPr>
        <w:ind w:left="5313" w:leftChars="187" w:right="-733" w:rightChars="-349" w:hanging="4920" w:hangingChars="2050"/>
        <w:rPr>
          <w:rFonts w:hint="eastAsia" w:ascii="宋体" w:hAnsi="宋体"/>
          <w:color w:val="auto"/>
          <w:sz w:val="24"/>
          <w:szCs w:val="24"/>
          <w:highlight w:val="none"/>
          <w:lang w:eastAsia="zh-CN"/>
        </w:rPr>
      </w:pPr>
    </w:p>
    <w:p>
      <w:pPr>
        <w:ind w:left="5313" w:leftChars="187" w:right="-733" w:rightChars="-349" w:hanging="4920" w:hangingChars="2050"/>
        <w:rPr>
          <w:rFonts w:hint="eastAsia" w:ascii="宋体" w:hAnsi="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ind w:left="5313" w:leftChars="187" w:right="-733" w:rightChars="-349" w:hanging="4920" w:hangingChars="2050"/>
        <w:textAlignment w:val="auto"/>
        <w:rPr>
          <w:rFonts w:hint="eastAsia" w:ascii="宋体" w:hAnsi="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ind w:left="5313" w:leftChars="187" w:right="-733" w:rightChars="-349" w:hanging="4920" w:hangingChars="205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甲方：北京市公安局石景山分局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乙方：</w:t>
      </w:r>
    </w:p>
    <w:p>
      <w:pPr>
        <w:pStyle w:val="2"/>
        <w:keepNext w:val="0"/>
        <w:keepLines w:val="0"/>
        <w:pageBreakBefore w:val="0"/>
        <w:widowControl w:val="0"/>
        <w:kinsoku/>
        <w:wordWrap/>
        <w:overflowPunct/>
        <w:topLinePunct w:val="0"/>
        <w:bidi w:val="0"/>
        <w:snapToGrid/>
        <w:spacing w:line="360" w:lineRule="auto"/>
        <w:ind w:firstLine="0"/>
        <w:textAlignment w:val="auto"/>
        <w:rPr>
          <w:rFonts w:hint="eastAsia" w:ascii="宋体" w:hAnsi="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ind w:left="5607" w:leftChars="86" w:hanging="5426" w:hangingChars="2261"/>
        <w:textAlignment w:val="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     名称：（</w:t>
      </w:r>
      <w:r>
        <w:rPr>
          <w:rFonts w:hint="eastAsia" w:ascii="宋体" w:hAnsi="宋体"/>
          <w:color w:val="auto"/>
          <w:sz w:val="24"/>
          <w:szCs w:val="24"/>
          <w:highlight w:val="none"/>
          <w:lang w:val="en-US" w:eastAsia="zh-CN"/>
        </w:rPr>
        <w:t>盖</w:t>
      </w:r>
      <w:r>
        <w:rPr>
          <w:rFonts w:hint="eastAsia" w:ascii="宋体" w:hAnsi="宋体"/>
          <w:color w:val="auto"/>
          <w:sz w:val="24"/>
          <w:szCs w:val="24"/>
          <w:highlight w:val="none"/>
          <w:lang w:eastAsia="zh-CN"/>
        </w:rPr>
        <w:t>章）                        名称：（</w:t>
      </w:r>
      <w:r>
        <w:rPr>
          <w:rFonts w:hint="eastAsia" w:ascii="宋体" w:hAnsi="宋体"/>
          <w:color w:val="auto"/>
          <w:sz w:val="24"/>
          <w:szCs w:val="24"/>
          <w:highlight w:val="none"/>
          <w:lang w:val="en-US" w:eastAsia="zh-CN"/>
        </w:rPr>
        <w:t>盖</w:t>
      </w:r>
      <w:r>
        <w:rPr>
          <w:rFonts w:hint="eastAsia" w:ascii="宋体" w:hAnsi="宋体"/>
          <w:color w:val="auto"/>
          <w:sz w:val="24"/>
          <w:szCs w:val="24"/>
          <w:highlight w:val="none"/>
          <w:lang w:eastAsia="zh-CN"/>
        </w:rPr>
        <w:t>章）</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          </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rPr>
      </w:pP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lang w:val="en-US" w:eastAsia="zh-CN"/>
        </w:rPr>
        <w:t>2026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                       </w:t>
      </w:r>
      <w:r>
        <w:rPr>
          <w:rFonts w:hint="eastAsia" w:ascii="宋体" w:hAnsi="宋体"/>
          <w:color w:val="auto"/>
          <w:sz w:val="24"/>
          <w:szCs w:val="24"/>
          <w:highlight w:val="none"/>
          <w:lang w:val="en-US" w:eastAsia="zh-CN"/>
        </w:rPr>
        <w:t>2026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p>
    <w:p>
      <w:pPr>
        <w:keepNext w:val="0"/>
        <w:keepLines w:val="0"/>
        <w:pageBreakBefore w:val="0"/>
        <w:widowControl w:val="0"/>
        <w:kinsoku/>
        <w:wordWrap/>
        <w:overflowPunct/>
        <w:topLinePunct w:val="0"/>
        <w:bidi w:val="0"/>
        <w:snapToGrid/>
        <w:spacing w:before="240" w:beforeLines="100" w:line="360" w:lineRule="auto"/>
        <w:ind w:firstLine="573"/>
        <w:textAlignment w:val="auto"/>
        <w:rPr>
          <w:rFonts w:ascii="宋体" w:hAnsi="宋体"/>
          <w:color w:val="auto"/>
          <w:sz w:val="24"/>
          <w:szCs w:val="24"/>
          <w:highlight w:val="none"/>
          <w:u w:val="single"/>
        </w:rPr>
      </w:pPr>
      <w:r>
        <w:rPr>
          <w:rFonts w:hint="eastAsia" w:ascii="宋体" w:hAnsi="宋体"/>
          <w:color w:val="auto"/>
          <w:sz w:val="24"/>
          <w:szCs w:val="24"/>
          <w:highlight w:val="none"/>
        </w:rPr>
        <w:t>法定代表人或                          法定代表人或</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授权代</w:t>
      </w:r>
      <w:r>
        <w:rPr>
          <w:rFonts w:hint="eastAsia" w:ascii="宋体" w:hAnsi="宋体"/>
          <w:color w:val="auto"/>
          <w:sz w:val="24"/>
          <w:szCs w:val="24"/>
          <w:highlight w:val="none"/>
          <w:lang w:val="en-US" w:eastAsia="zh-CN"/>
        </w:rPr>
        <w:t>表</w:t>
      </w:r>
      <w:r>
        <w:rPr>
          <w:rFonts w:hint="eastAsia" w:ascii="宋体" w:hAnsi="宋体"/>
          <w:color w:val="auto"/>
          <w:sz w:val="24"/>
          <w:szCs w:val="24"/>
          <w:highlight w:val="none"/>
          <w:lang w:eastAsia="zh-CN"/>
        </w:rPr>
        <w:t>（签字）：</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lang w:eastAsia="zh-CN"/>
        </w:rPr>
        <w:t xml:space="preserve">       授权代</w:t>
      </w:r>
      <w:r>
        <w:rPr>
          <w:rFonts w:hint="eastAsia" w:ascii="宋体" w:hAnsi="宋体"/>
          <w:color w:val="auto"/>
          <w:sz w:val="24"/>
          <w:szCs w:val="24"/>
          <w:highlight w:val="none"/>
          <w:lang w:val="en-US" w:eastAsia="zh-CN"/>
        </w:rPr>
        <w:t>表</w:t>
      </w:r>
      <w:r>
        <w:rPr>
          <w:rFonts w:hint="eastAsia" w:ascii="宋体" w:hAnsi="宋体"/>
          <w:color w:val="auto"/>
          <w:sz w:val="24"/>
          <w:szCs w:val="24"/>
          <w:highlight w:val="none"/>
          <w:lang w:eastAsia="zh-CN"/>
        </w:rPr>
        <w:t>（签字）：</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     </w:t>
      </w:r>
    </w:p>
    <w:p>
      <w:pPr>
        <w:keepNext w:val="0"/>
        <w:keepLines w:val="0"/>
        <w:pageBreakBefore w:val="0"/>
        <w:widowControl w:val="0"/>
        <w:kinsoku/>
        <w:wordWrap/>
        <w:overflowPunct/>
        <w:topLinePunct w:val="0"/>
        <w:bidi w:val="0"/>
        <w:snapToGrid/>
        <w:spacing w:line="360" w:lineRule="auto"/>
        <w:ind w:left="5727" w:leftChars="270" w:hanging="5160" w:hangingChars="2150"/>
        <w:textAlignment w:val="auto"/>
        <w:rPr>
          <w:rFonts w:hint="eastAsia" w:ascii="宋体" w:hAnsi="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ind w:left="5727" w:leftChars="270" w:hanging="5160" w:hangingChars="215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地    址：                            地    址：</w:t>
      </w:r>
    </w:p>
    <w:p>
      <w:pPr>
        <w:keepNext w:val="0"/>
        <w:keepLines w:val="0"/>
        <w:pageBreakBefore w:val="0"/>
        <w:widowControl w:val="0"/>
        <w:kinsoku/>
        <w:wordWrap/>
        <w:overflowPunct/>
        <w:topLinePunct w:val="0"/>
        <w:bidi w:val="0"/>
        <w:snapToGrid/>
        <w:spacing w:line="360" w:lineRule="auto"/>
        <w:ind w:left="5727" w:leftChars="270" w:hanging="5160" w:hangingChars="2150"/>
        <w:textAlignment w:val="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                                      </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邮政编码：                            邮政编码： </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 </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电    话：                            电     话：  </w:t>
      </w:r>
    </w:p>
    <w:p>
      <w:pPr>
        <w:keepNext w:val="0"/>
        <w:keepLines w:val="0"/>
        <w:pageBreakBefore w:val="0"/>
        <w:widowControl w:val="0"/>
        <w:kinsoku/>
        <w:wordWrap/>
        <w:overflowPunct/>
        <w:topLinePunct w:val="0"/>
        <w:bidi w:val="0"/>
        <w:snapToGrid/>
        <w:spacing w:line="360" w:lineRule="auto"/>
        <w:ind w:firstLine="570"/>
        <w:textAlignment w:val="auto"/>
        <w:rPr>
          <w:rFonts w:ascii="宋体" w:hAnsi="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ind w:left="420" w:leftChars="200" w:firstLine="88" w:firstLineChars="37"/>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开户银行：                            开户银行：</w:t>
      </w:r>
    </w:p>
    <w:p>
      <w:pPr>
        <w:pStyle w:val="2"/>
        <w:keepNext w:val="0"/>
        <w:keepLines w:val="0"/>
        <w:pageBreakBefore w:val="0"/>
        <w:widowControl w:val="0"/>
        <w:kinsoku/>
        <w:wordWrap/>
        <w:overflowPunct/>
        <w:topLinePunct w:val="0"/>
        <w:bidi w:val="0"/>
        <w:snapToGrid/>
        <w:spacing w:line="360" w:lineRule="auto"/>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olor w:val="auto"/>
          <w:kern w:val="44"/>
          <w:sz w:val="24"/>
          <w:szCs w:val="24"/>
          <w:highlight w:val="none"/>
        </w:rPr>
      </w:pPr>
      <w:r>
        <w:rPr>
          <w:rFonts w:hint="eastAsia" w:ascii="宋体" w:hAnsi="宋体"/>
          <w:b w:val="0"/>
          <w:bCs/>
          <w:color w:val="auto"/>
          <w:sz w:val="24"/>
          <w:szCs w:val="24"/>
          <w:highlight w:val="none"/>
        </w:rPr>
        <w:t xml:space="preserve">帐    号：                       </w:t>
      </w:r>
      <w:r>
        <w:rPr>
          <w:rFonts w:hint="eastAsia" w:ascii="宋体" w:hAnsi="宋体"/>
          <w:b w:val="0"/>
          <w:bCs/>
          <w:color w:val="auto"/>
          <w:sz w:val="24"/>
          <w:szCs w:val="24"/>
          <w:highlight w:val="none"/>
          <w:lang w:val="en-US" w:eastAsia="zh-CN"/>
        </w:rPr>
        <w:t xml:space="preserve">    </w:t>
      </w:r>
      <w:r>
        <w:rPr>
          <w:rFonts w:hint="eastAsia" w:ascii="宋体" w:hAnsi="宋体"/>
          <w:b w:val="0"/>
          <w:bCs/>
          <w:color w:val="auto"/>
          <w:sz w:val="24"/>
          <w:szCs w:val="24"/>
          <w:highlight w:val="none"/>
        </w:rPr>
        <w:t xml:space="preserve"> 帐     号：</w:t>
      </w:r>
      <w:r>
        <w:rPr>
          <w:rFonts w:hint="eastAsia" w:ascii="宋体" w:hAnsi="宋体"/>
          <w:color w:val="auto"/>
          <w:kern w:val="44"/>
          <w:sz w:val="24"/>
          <w:szCs w:val="24"/>
          <w:highlight w:val="none"/>
        </w:rPr>
        <w:t xml:space="preserve"> </w:t>
      </w:r>
    </w:p>
    <w:p>
      <w:pPr>
        <w:pStyle w:val="2"/>
        <w:keepNext w:val="0"/>
        <w:keepLines w:val="0"/>
        <w:pageBreakBefore w:val="0"/>
        <w:widowControl w:val="0"/>
        <w:kinsoku/>
        <w:wordWrap/>
        <w:overflowPunct/>
        <w:topLinePunct w:val="0"/>
        <w:bidi w:val="0"/>
        <w:snapToGrid/>
        <w:spacing w:line="360" w:lineRule="auto"/>
        <w:textAlignment w:val="auto"/>
        <w:rPr>
          <w:rFonts w:hint="eastAsia"/>
        </w:rPr>
      </w:pPr>
    </w:p>
    <w:p>
      <w:pPr>
        <w:pStyle w:val="2"/>
        <w:keepNext w:val="0"/>
        <w:keepLines w:val="0"/>
        <w:pageBreakBefore w:val="0"/>
        <w:widowControl w:val="0"/>
        <w:kinsoku/>
        <w:wordWrap/>
        <w:overflowPunct/>
        <w:topLinePunct w:val="0"/>
        <w:bidi w:val="0"/>
        <w:snapToGrid/>
        <w:spacing w:line="360" w:lineRule="auto"/>
        <w:textAlignment w:val="auto"/>
        <w:rPr>
          <w:rFonts w:hint="default" w:eastAsia="宋体"/>
          <w:lang w:val="en-US" w:eastAsia="zh-CN"/>
        </w:rPr>
      </w:pPr>
      <w:r>
        <w:rPr>
          <w:rFonts w:hint="eastAsia" w:hAnsi="宋体"/>
          <w:color w:val="auto"/>
          <w:kern w:val="44"/>
          <w:sz w:val="24"/>
          <w:szCs w:val="24"/>
          <w:highlight w:val="none"/>
          <w:lang w:val="en-US" w:eastAsia="zh-CN"/>
        </w:rPr>
        <w:t>合同签约和履约地点：北京市石景山区</w:t>
      </w:r>
    </w:p>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160"/>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16"/>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6"/>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r>
        <w:rPr>
          <w:rFonts w:hint="eastAsia"/>
          <w:b/>
          <w:bCs/>
          <w:spacing w:val="-6"/>
        </w:rPr>
        <w:t>（资格证明文件）</w:t>
      </w:r>
      <w:r>
        <w:rPr>
          <w:b/>
          <w:bCs/>
          <w:spacing w:val="-6"/>
        </w:rPr>
        <w:t>封面（非实质性格式）</w:t>
      </w:r>
    </w:p>
    <w:p>
      <w:pPr>
        <w:pStyle w:val="16"/>
        <w:spacing w:before="352" w:line="196" w:lineRule="auto"/>
        <w:ind w:left="1819"/>
        <w:rPr>
          <w:rFonts w:hint="eastAsia"/>
          <w:b/>
          <w:bCs/>
          <w:spacing w:val="-8"/>
          <w:sz w:val="83"/>
          <w:szCs w:val="83"/>
        </w:rPr>
      </w:pPr>
    </w:p>
    <w:p>
      <w:pPr>
        <w:pStyle w:val="16"/>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6"/>
        <w:spacing w:before="134" w:line="205" w:lineRule="auto"/>
        <w:ind w:left="546"/>
        <w:rPr>
          <w:rFonts w:hint="eastAsia"/>
          <w:b/>
          <w:bCs/>
          <w:spacing w:val="-11"/>
        </w:rPr>
      </w:pPr>
    </w:p>
    <w:p>
      <w:pPr>
        <w:pStyle w:val="16"/>
        <w:spacing w:before="134" w:line="205" w:lineRule="auto"/>
        <w:ind w:left="546"/>
        <w:jc w:val="center"/>
        <w:rPr>
          <w:rFonts w:hint="eastAsia"/>
          <w:b/>
          <w:bCs/>
          <w:spacing w:val="-11"/>
        </w:rPr>
      </w:pPr>
      <w:r>
        <w:rPr>
          <w:rFonts w:hint="eastAsia"/>
          <w:b/>
          <w:bCs/>
          <w:spacing w:val="-6"/>
          <w:sz w:val="56"/>
          <w:szCs w:val="56"/>
        </w:rPr>
        <w:t>（资格证明文件）</w:t>
      </w:r>
    </w:p>
    <w:p>
      <w:pPr>
        <w:pStyle w:val="16"/>
        <w:spacing w:before="134" w:line="205" w:lineRule="auto"/>
        <w:ind w:left="546"/>
        <w:rPr>
          <w:rFonts w:hint="eastAsia"/>
          <w:b/>
          <w:bCs/>
          <w:spacing w:val="-11"/>
        </w:rPr>
      </w:pPr>
    </w:p>
    <w:p>
      <w:pPr>
        <w:pStyle w:val="16"/>
        <w:spacing w:before="134" w:line="205" w:lineRule="auto"/>
        <w:ind w:left="546"/>
        <w:rPr>
          <w:rFonts w:hint="eastAsia"/>
          <w:b/>
          <w:bCs/>
          <w:spacing w:val="-11"/>
        </w:rPr>
      </w:pPr>
    </w:p>
    <w:p>
      <w:pPr>
        <w:pStyle w:val="16"/>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6"/>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6"/>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6"/>
        <w:spacing w:before="134" w:line="205" w:lineRule="auto"/>
        <w:ind w:left="1447"/>
        <w:rPr>
          <w:b/>
          <w:bCs/>
          <w:spacing w:val="34"/>
        </w:rPr>
      </w:pPr>
      <w:r>
        <w:rPr>
          <w:rFonts w:hint="eastAsia"/>
          <w:b/>
          <w:bCs/>
          <w:spacing w:val="34"/>
        </w:rPr>
        <w:t>通讯地址：</w:t>
      </w:r>
    </w:p>
    <w:p>
      <w:pPr>
        <w:spacing w:line="205" w:lineRule="auto"/>
        <w:sectPr>
          <w:headerReference r:id="rId14" w:type="default"/>
          <w:footerReference r:id="rId15" w:type="default"/>
          <w:pgSz w:w="11907" w:h="16840"/>
          <w:pgMar w:top="1149" w:right="1133" w:bottom="1060" w:left="1701" w:header="875" w:footer="886" w:gutter="0"/>
          <w:cols w:space="720" w:num="1"/>
        </w:sectPr>
      </w:pPr>
    </w:p>
    <w:p>
      <w:pPr>
        <w:spacing w:line="360" w:lineRule="auto"/>
        <w:outlineLvl w:val="2"/>
        <w:rPr>
          <w:b/>
          <w:bCs/>
          <w:color w:val="000000"/>
          <w:sz w:val="24"/>
          <w:szCs w:val="20"/>
        </w:rPr>
      </w:pPr>
      <w:bookmarkStart w:id="161" w:name="_Hlt520273711"/>
      <w:bookmarkEnd w:id="161"/>
      <w:bookmarkStart w:id="162" w:name="_Hlt520343000"/>
      <w:bookmarkEnd w:id="162"/>
      <w:bookmarkStart w:id="163" w:name="_Hlt520343392"/>
      <w:bookmarkEnd w:id="163"/>
      <w:bookmarkStart w:id="164" w:name="_Hlt520355504"/>
      <w:bookmarkEnd w:id="164"/>
      <w:bookmarkStart w:id="165" w:name="_Hlt520271212"/>
      <w:bookmarkEnd w:id="165"/>
      <w:bookmarkStart w:id="166" w:name="_Hlt520350918"/>
      <w:bookmarkEnd w:id="166"/>
      <w:bookmarkStart w:id="167" w:name="_Hlt520274393"/>
      <w:bookmarkEnd w:id="167"/>
      <w:bookmarkStart w:id="168" w:name="_Hlt520274065"/>
      <w:bookmarkEnd w:id="168"/>
      <w:bookmarkStart w:id="169" w:name="_Hlt520274121"/>
      <w:bookmarkEnd w:id="169"/>
      <w:bookmarkStart w:id="170" w:name="_Hlt520274407"/>
      <w:bookmarkEnd w:id="170"/>
      <w:bookmarkStart w:id="171" w:name="_Toc480942349"/>
      <w:bookmarkStart w:id="172" w:name="_Ref467988698"/>
      <w:bookmarkStart w:id="173" w:name="_Toc226309800"/>
      <w:bookmarkStart w:id="174" w:name="_Toc127151556"/>
      <w:bookmarkStart w:id="175" w:name="_Toc150774761"/>
      <w:bookmarkStart w:id="176" w:name="_Toc226965829"/>
      <w:bookmarkStart w:id="177" w:name="_Toc226337252"/>
      <w:bookmarkStart w:id="178" w:name="_Toc520356217"/>
      <w:bookmarkStart w:id="179" w:name="_Toc142311058"/>
      <w:bookmarkStart w:id="180" w:name="_Toc150480794"/>
      <w:bookmarkStart w:id="181" w:name="_Toc226965746"/>
      <w:bookmarkStart w:id="182" w:name="_Toc195842921"/>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5"/>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2"/>
        </w:numPr>
        <w:spacing w:line="360" w:lineRule="auto"/>
        <w:ind w:left="1134"/>
        <w:rPr>
          <w:sz w:val="24"/>
          <w:szCs w:val="22"/>
        </w:rPr>
      </w:pPr>
      <w:r>
        <w:rPr>
          <w:sz w:val="24"/>
          <w:szCs w:val="22"/>
        </w:rPr>
        <w:t>具有良好的商业信誉和健全的财务会计制度；</w:t>
      </w:r>
    </w:p>
    <w:p>
      <w:pPr>
        <w:numPr>
          <w:ilvl w:val="0"/>
          <w:numId w:val="22"/>
        </w:numPr>
        <w:spacing w:line="360" w:lineRule="auto"/>
        <w:ind w:left="1134"/>
        <w:rPr>
          <w:sz w:val="24"/>
          <w:szCs w:val="22"/>
        </w:rPr>
      </w:pPr>
      <w:r>
        <w:rPr>
          <w:sz w:val="24"/>
          <w:szCs w:val="22"/>
        </w:rPr>
        <w:t>具有履行合同所必需的设备和专业技术能力；</w:t>
      </w:r>
    </w:p>
    <w:p>
      <w:pPr>
        <w:numPr>
          <w:ilvl w:val="0"/>
          <w:numId w:val="22"/>
        </w:numPr>
        <w:spacing w:line="360" w:lineRule="auto"/>
        <w:ind w:left="1134"/>
        <w:rPr>
          <w:sz w:val="24"/>
          <w:szCs w:val="22"/>
        </w:rPr>
      </w:pPr>
      <w:r>
        <w:rPr>
          <w:sz w:val="24"/>
          <w:szCs w:val="22"/>
        </w:rPr>
        <w:t>有依法缴纳税收和社会保障资金的良好记录；</w:t>
      </w:r>
    </w:p>
    <w:p>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jc w:val="left"/>
        <w:rPr>
          <w:rFonts w:hint="eastAsia" w:ascii="宋体" w:hAnsi="宋体" w:cs="宋体"/>
          <w:spacing w:val="1"/>
          <w:sz w:val="24"/>
          <w:szCs w:val="24"/>
          <w:lang w:val="en-US" w:eastAsia="zh-CN"/>
        </w:rPr>
      </w:pPr>
    </w:p>
    <w:p>
      <w:pPr>
        <w:pStyle w:val="16"/>
        <w:spacing w:before="308" w:line="201" w:lineRule="auto"/>
        <w:ind w:left="6"/>
        <w:outlineLvl w:val="1"/>
        <w:rPr>
          <w:rFonts w:hint="eastAsia" w:ascii="宋体" w:hAnsi="宋体" w:eastAsia="宋体" w:cs="宋体"/>
          <w:sz w:val="24"/>
          <w:szCs w:val="24"/>
        </w:rPr>
      </w:pPr>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6"/>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6"/>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6"/>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6"/>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6"/>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6"/>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6"/>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360" w:lineRule="auto"/>
        <w:outlineLvl w:val="2"/>
        <w:rPr>
          <w:rFonts w:hint="eastAsia"/>
          <w:b/>
          <w:bCs/>
          <w:color w:val="000000"/>
          <w:sz w:val="24"/>
          <w:lang w:val="en-US" w:eastAsia="zh-CN"/>
        </w:rPr>
      </w:pPr>
    </w:p>
    <w:p>
      <w:pPr>
        <w:spacing w:line="360" w:lineRule="auto"/>
        <w:outlineLvl w:val="2"/>
        <w:rPr>
          <w:rFonts w:hint="eastAsia"/>
          <w:b/>
          <w:bCs/>
          <w:color w:val="000000"/>
          <w:sz w:val="24"/>
          <w:lang w:val="en-US" w:eastAsia="zh-CN"/>
        </w:r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171"/>
      <w:bookmarkEnd w:id="172"/>
      <w:r>
        <w:rPr>
          <w:b/>
          <w:bCs/>
          <w:color w:val="000000"/>
          <w:sz w:val="24"/>
        </w:rPr>
        <w:t>书</w:t>
      </w:r>
      <w:bookmarkEnd w:id="173"/>
      <w:bookmarkEnd w:id="174"/>
      <w:bookmarkEnd w:id="175"/>
      <w:bookmarkEnd w:id="176"/>
      <w:bookmarkEnd w:id="177"/>
      <w:bookmarkEnd w:id="178"/>
      <w:bookmarkEnd w:id="179"/>
      <w:bookmarkEnd w:id="180"/>
      <w:bookmarkEnd w:id="181"/>
      <w:bookmarkEnd w:id="182"/>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183" w:name="_Hlt520355938"/>
      <w:bookmarkEnd w:id="183"/>
      <w:bookmarkStart w:id="184" w:name="_Hlt520356243"/>
      <w:bookmarkEnd w:id="184"/>
      <w:bookmarkStart w:id="185" w:name="_Toc195842922"/>
      <w:bookmarkStart w:id="186" w:name="_Toc226337253"/>
      <w:bookmarkStart w:id="187" w:name="_Toc305158899"/>
      <w:bookmarkStart w:id="188" w:name="_Ref467988705"/>
      <w:bookmarkStart w:id="189" w:name="_Toc264969247"/>
      <w:bookmarkStart w:id="190" w:name="_Toc305158825"/>
      <w:bookmarkStart w:id="191" w:name="_Toc480942350"/>
      <w:bookmarkStart w:id="192" w:name="_Toc226965830"/>
      <w:bookmarkStart w:id="193" w:name="_Toc150480795"/>
      <w:bookmarkStart w:id="194" w:name="_Toc150774762"/>
      <w:bookmarkStart w:id="195" w:name="_Toc265228395"/>
      <w:bookmarkStart w:id="196" w:name="_Toc520356218"/>
      <w:bookmarkStart w:id="197" w:name="_Toc142311059"/>
      <w:bookmarkStart w:id="198" w:name="_Toc226965747"/>
      <w:bookmarkStart w:id="199" w:name="_Toc226309801"/>
      <w:bookmarkStart w:id="200" w:name="_Toc127151557"/>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6"/>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6"/>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6"/>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6"/>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6"/>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6"/>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6"/>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6"/>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6"/>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6"/>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6"/>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6"/>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6"/>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6"/>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6"/>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6"/>
        <w:spacing w:before="177" w:line="196" w:lineRule="auto"/>
        <w:jc w:val="left"/>
        <w:rPr>
          <w:rFonts w:hint="eastAsia" w:ascii="宋体" w:hAnsi="宋体" w:eastAsia="宋体" w:cs="宋体"/>
          <w:spacing w:val="-3"/>
          <w:sz w:val="24"/>
          <w:szCs w:val="24"/>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p>
    <w:p>
      <w:pPr>
        <w:rPr>
          <w:rFonts w:hint="eastAsia"/>
        </w:rPr>
      </w:pPr>
    </w:p>
    <w:p>
      <w:pPr>
        <w:pStyle w:val="16"/>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6"/>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6"/>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6"/>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6"/>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6"/>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6"/>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6"/>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6"/>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16"/>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6"/>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6"/>
        <w:spacing w:before="339" w:line="190" w:lineRule="auto"/>
        <w:rPr>
          <w:rFonts w:hint="eastAsia" w:ascii="宋体" w:hAnsi="宋体" w:eastAsia="宋体" w:cs="宋体"/>
          <w:sz w:val="25"/>
          <w:szCs w:val="25"/>
        </w:rPr>
      </w:pPr>
    </w:p>
    <w:p>
      <w:pPr>
        <w:pStyle w:val="16"/>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6"/>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rPr>
            </w:pPr>
          </w:p>
        </w:tc>
        <w:tc>
          <w:tcPr>
            <w:tcW w:w="3707" w:type="dxa"/>
            <w:vMerge w:val="continue"/>
            <w:tcBorders>
              <w:top w:val="nil"/>
            </w:tcBorders>
            <w:vAlign w:val="top"/>
          </w:tcPr>
          <w:p>
            <w:pPr>
              <w:pStyle w:val="266"/>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rPr>
            </w:pPr>
          </w:p>
        </w:tc>
        <w:tc>
          <w:tcPr>
            <w:tcW w:w="3707" w:type="dxa"/>
            <w:vAlign w:val="top"/>
          </w:tcPr>
          <w:p>
            <w:pPr>
              <w:pStyle w:val="266"/>
              <w:autoSpaceDE w:val="0"/>
              <w:autoSpaceDN w:val="0"/>
              <w:rPr>
                <w:rFonts w:hint="eastAsia" w:ascii="宋体" w:hAnsi="宋体" w:eastAsia="宋体" w:cs="宋体"/>
              </w:rPr>
            </w:pPr>
          </w:p>
        </w:tc>
        <w:tc>
          <w:tcPr>
            <w:tcW w:w="1988" w:type="dxa"/>
            <w:vAlign w:val="top"/>
          </w:tcPr>
          <w:p>
            <w:pPr>
              <w:pStyle w:val="266"/>
              <w:autoSpaceDE w:val="0"/>
              <w:autoSpaceDN w:val="0"/>
              <w:rPr>
                <w:rFonts w:hint="eastAsia" w:ascii="宋体" w:hAnsi="宋体" w:eastAsia="宋体" w:cs="宋体"/>
              </w:rPr>
            </w:pPr>
          </w:p>
        </w:tc>
        <w:tc>
          <w:tcPr>
            <w:tcW w:w="1987" w:type="dxa"/>
            <w:vAlign w:val="top"/>
          </w:tcPr>
          <w:p>
            <w:pPr>
              <w:pStyle w:val="266"/>
              <w:autoSpaceDE w:val="0"/>
              <w:autoSpaceDN w:val="0"/>
              <w:rPr>
                <w:rFonts w:hint="eastAsia" w:ascii="宋体" w:hAnsi="宋体" w:eastAsia="宋体" w:cs="宋体"/>
              </w:rPr>
            </w:pPr>
          </w:p>
        </w:tc>
      </w:tr>
    </w:tbl>
    <w:p>
      <w:pPr>
        <w:pStyle w:val="16"/>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6"/>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6"/>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6"/>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Pr>
        <w:pStyle w:val="16"/>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6"/>
        <w:spacing w:before="150" w:line="205" w:lineRule="auto"/>
        <w:ind w:left="5859"/>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6"/>
        <w:spacing w:before="107" w:line="190" w:lineRule="auto"/>
        <w:ind w:left="80"/>
        <w:rPr>
          <w:rFonts w:hint="eastAsia" w:ascii="宋体" w:hAnsi="宋体" w:eastAsia="宋体" w:cs="宋体"/>
          <w:sz w:val="25"/>
          <w:szCs w:val="25"/>
        </w:rPr>
      </w:pPr>
    </w:p>
    <w:p>
      <w:pPr>
        <w:pStyle w:val="16"/>
        <w:spacing w:before="248" w:line="179"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color="auto"/>
        </w:rPr>
        <w:t xml:space="preserve">                 </w:t>
      </w:r>
      <w:r>
        <w:rPr>
          <w:rFonts w:hint="eastAsia" w:ascii="宋体" w:hAnsi="宋体" w:eastAsia="宋体" w:cs="宋体"/>
          <w:spacing w:val="-57"/>
          <w:sz w:val="24"/>
          <w:szCs w:val="24"/>
        </w:rPr>
        <w:t xml:space="preserve"> </w:t>
      </w:r>
      <w:r>
        <w:rPr>
          <w:rFonts w:hint="eastAsia" w:ascii="宋体" w:hAnsi="宋体" w:eastAsia="宋体" w:cs="宋体"/>
          <w:sz w:val="24"/>
          <w:szCs w:val="24"/>
        </w:rPr>
        <w:t>报价单位：人民币元</w:t>
      </w:r>
    </w:p>
    <w:tbl>
      <w:tblPr>
        <w:tblStyle w:val="255"/>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52" w:hRule="atLeast"/>
        </w:trPr>
        <w:tc>
          <w:tcPr>
            <w:tcW w:w="503" w:type="dxa"/>
            <w:textDirection w:val="tbRlV"/>
            <w:vAlign w:val="top"/>
          </w:tcPr>
          <w:p>
            <w:pPr>
              <w:autoSpaceDE w:val="0"/>
              <w:autoSpaceDN w:val="0"/>
              <w:spacing w:before="149" w:line="179" w:lineRule="auto"/>
              <w:ind w:left="218"/>
              <w:rPr>
                <w:rFonts w:hint="eastAsia" w:ascii="宋体" w:hAnsi="宋体" w:eastAsia="宋体" w:cs="宋体"/>
                <w:sz w:val="24"/>
                <w:szCs w:val="24"/>
              </w:rPr>
            </w:pPr>
            <w:r>
              <w:rPr>
                <w:rFonts w:hint="eastAsia" w:ascii="宋体" w:hAnsi="宋体" w:eastAsia="宋体" w:cs="宋体"/>
                <w:b/>
                <w:bCs/>
                <w:spacing w:val="20"/>
                <w:sz w:val="24"/>
                <w:szCs w:val="24"/>
              </w:rPr>
              <w:t>序 号</w:t>
            </w:r>
          </w:p>
        </w:tc>
        <w:tc>
          <w:tcPr>
            <w:tcW w:w="1052" w:type="dxa"/>
            <w:vAlign w:val="top"/>
          </w:tcPr>
          <w:p>
            <w:pPr>
              <w:autoSpaceDE w:val="0"/>
              <w:autoSpaceDN w:val="0"/>
              <w:spacing w:before="218" w:line="202" w:lineRule="auto"/>
              <w:ind w:left="106" w:right="222"/>
              <w:rPr>
                <w:rFonts w:hint="eastAsia" w:ascii="宋体" w:hAnsi="宋体" w:eastAsia="宋体" w:cs="宋体"/>
                <w:sz w:val="24"/>
                <w:szCs w:val="24"/>
              </w:rPr>
            </w:pPr>
            <w:r>
              <w:rPr>
                <w:rFonts w:hint="eastAsia" w:ascii="宋体" w:hAnsi="宋体" w:eastAsia="宋体" w:cs="宋体"/>
                <w:b/>
                <w:bCs/>
                <w:spacing w:val="-2"/>
                <w:sz w:val="24"/>
                <w:szCs w:val="24"/>
              </w:rPr>
              <w:t>分项名</w:t>
            </w:r>
            <w:r>
              <w:rPr>
                <w:rFonts w:hint="eastAsia" w:ascii="宋体" w:hAnsi="宋体" w:eastAsia="宋体" w:cs="宋体"/>
                <w:b/>
                <w:bCs/>
                <w:spacing w:val="1"/>
                <w:sz w:val="24"/>
                <w:szCs w:val="24"/>
              </w:rPr>
              <w:t xml:space="preserve"> </w:t>
            </w:r>
            <w:r>
              <w:rPr>
                <w:rFonts w:hint="eastAsia" w:ascii="宋体" w:hAnsi="宋体" w:eastAsia="宋体" w:cs="宋体"/>
                <w:b/>
                <w:bCs/>
                <w:sz w:val="24"/>
                <w:szCs w:val="24"/>
              </w:rPr>
              <w:t>称</w:t>
            </w:r>
          </w:p>
        </w:tc>
        <w:tc>
          <w:tcPr>
            <w:tcW w:w="1324" w:type="dxa"/>
            <w:vAlign w:val="top"/>
          </w:tcPr>
          <w:p>
            <w:pPr>
              <w:pStyle w:val="266"/>
              <w:autoSpaceDE w:val="0"/>
              <w:autoSpaceDN w:val="0"/>
              <w:spacing w:line="287" w:lineRule="auto"/>
              <w:rPr>
                <w:rFonts w:hint="eastAsia" w:ascii="宋体" w:hAnsi="宋体" w:eastAsia="宋体" w:cs="宋体"/>
              </w:rPr>
            </w:pPr>
          </w:p>
          <w:p>
            <w:pPr>
              <w:autoSpaceDE w:val="0"/>
              <w:autoSpaceDN w:val="0"/>
              <w:spacing w:before="103" w:line="201" w:lineRule="auto"/>
              <w:ind w:left="109"/>
              <w:rPr>
                <w:rFonts w:hint="eastAsia" w:ascii="宋体" w:hAnsi="宋体" w:eastAsia="宋体" w:cs="宋体"/>
                <w:sz w:val="24"/>
                <w:szCs w:val="24"/>
              </w:rPr>
            </w:pPr>
            <w:r>
              <w:rPr>
                <w:rFonts w:hint="eastAsia" w:ascii="宋体" w:hAnsi="宋体" w:eastAsia="宋体" w:cs="宋体"/>
                <w:b/>
                <w:bCs/>
                <w:spacing w:val="-2"/>
                <w:sz w:val="24"/>
                <w:szCs w:val="24"/>
              </w:rPr>
              <w:t>制造商</w:t>
            </w:r>
          </w:p>
        </w:tc>
        <w:tc>
          <w:tcPr>
            <w:tcW w:w="944" w:type="dxa"/>
            <w:vAlign w:val="top"/>
          </w:tcPr>
          <w:p>
            <w:pPr>
              <w:pStyle w:val="266"/>
              <w:autoSpaceDE w:val="0"/>
              <w:autoSpaceDN w:val="0"/>
              <w:spacing w:before="219" w:line="201" w:lineRule="auto"/>
              <w:ind w:left="132" w:right="266" w:hanging="23"/>
              <w:rPr>
                <w:rFonts w:hint="eastAsia" w:ascii="宋体" w:hAnsi="宋体" w:eastAsia="宋体" w:cs="宋体"/>
                <w:sz w:val="24"/>
                <w:szCs w:val="24"/>
              </w:rPr>
            </w:pPr>
            <w:r>
              <w:rPr>
                <w:rFonts w:hint="eastAsia" w:ascii="宋体" w:hAnsi="宋体" w:eastAsia="宋体" w:cs="宋体"/>
                <w:b/>
                <w:bCs/>
                <w:spacing w:val="5"/>
                <w:sz w:val="24"/>
                <w:szCs w:val="24"/>
              </w:rPr>
              <w:t>产地/</w:t>
            </w:r>
            <w:r>
              <w:rPr>
                <w:rFonts w:hint="eastAsia" w:ascii="宋体" w:hAnsi="宋体" w:eastAsia="宋体" w:cs="宋体"/>
                <w:b/>
                <w:bCs/>
                <w:sz w:val="24"/>
                <w:szCs w:val="24"/>
              </w:rPr>
              <w:t xml:space="preserve"> </w:t>
            </w:r>
            <w:r>
              <w:rPr>
                <w:rFonts w:hint="eastAsia" w:ascii="宋体" w:hAnsi="宋体" w:eastAsia="宋体" w:cs="宋体"/>
                <w:b/>
                <w:bCs/>
                <w:spacing w:val="-15"/>
                <w:sz w:val="24"/>
                <w:szCs w:val="24"/>
              </w:rPr>
              <w:t>国别</w:t>
            </w:r>
          </w:p>
        </w:tc>
        <w:tc>
          <w:tcPr>
            <w:tcW w:w="1253" w:type="dxa"/>
            <w:vAlign w:val="top"/>
          </w:tcPr>
          <w:p>
            <w:pPr>
              <w:autoSpaceDE w:val="0"/>
              <w:autoSpaceDN w:val="0"/>
              <w:spacing w:before="48" w:line="193" w:lineRule="auto"/>
              <w:ind w:left="146" w:right="143" w:firstLine="120"/>
              <w:jc w:val="both"/>
              <w:rPr>
                <w:rFonts w:hint="eastAsia" w:ascii="宋体" w:hAnsi="宋体" w:eastAsia="宋体" w:cs="宋体"/>
                <w:sz w:val="24"/>
                <w:szCs w:val="24"/>
              </w:rPr>
            </w:pPr>
            <w:r>
              <w:rPr>
                <w:rFonts w:hint="eastAsia" w:ascii="宋体" w:hAnsi="宋体" w:eastAsia="宋体" w:cs="宋体"/>
                <w:b/>
                <w:bCs/>
                <w:spacing w:val="-2"/>
                <w:sz w:val="24"/>
                <w:szCs w:val="24"/>
              </w:rPr>
              <w:t>制造商</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统一社会</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信用代码</w:t>
            </w:r>
          </w:p>
        </w:tc>
        <w:tc>
          <w:tcPr>
            <w:tcW w:w="1253" w:type="dxa"/>
            <w:vAlign w:val="top"/>
          </w:tcPr>
          <w:p>
            <w:pPr>
              <w:autoSpaceDE w:val="0"/>
              <w:autoSpaceDN w:val="0"/>
              <w:spacing w:before="218" w:line="201" w:lineRule="auto"/>
              <w:ind w:left="389" w:right="261" w:hanging="120"/>
              <w:rPr>
                <w:rFonts w:hint="eastAsia" w:ascii="宋体" w:hAnsi="宋体" w:eastAsia="宋体" w:cs="宋体"/>
                <w:sz w:val="24"/>
                <w:szCs w:val="24"/>
              </w:rPr>
            </w:pPr>
            <w:r>
              <w:rPr>
                <w:rFonts w:hint="eastAsia" w:ascii="宋体" w:hAnsi="宋体" w:eastAsia="宋体" w:cs="宋体"/>
                <w:b/>
                <w:bCs/>
                <w:spacing w:val="-2"/>
                <w:sz w:val="24"/>
                <w:szCs w:val="24"/>
              </w:rPr>
              <w:t>制造商</w:t>
            </w:r>
            <w:r>
              <w:rPr>
                <w:rFonts w:hint="eastAsia" w:ascii="宋体" w:hAnsi="宋体" w:eastAsia="宋体" w:cs="宋体"/>
                <w:b/>
                <w:bCs/>
                <w:spacing w:val="1"/>
                <w:sz w:val="24"/>
                <w:szCs w:val="24"/>
              </w:rPr>
              <w:t xml:space="preserve"> </w:t>
            </w:r>
            <w:r>
              <w:rPr>
                <w:rFonts w:hint="eastAsia" w:ascii="宋体" w:hAnsi="宋体" w:eastAsia="宋体" w:cs="宋体"/>
                <w:b/>
                <w:bCs/>
                <w:spacing w:val="-3"/>
                <w:sz w:val="24"/>
                <w:szCs w:val="24"/>
              </w:rPr>
              <w:t>规模</w:t>
            </w:r>
          </w:p>
        </w:tc>
        <w:tc>
          <w:tcPr>
            <w:tcW w:w="1253" w:type="dxa"/>
            <w:vAlign w:val="top"/>
          </w:tcPr>
          <w:p>
            <w:pPr>
              <w:autoSpaceDE w:val="0"/>
              <w:autoSpaceDN w:val="0"/>
              <w:spacing w:before="45" w:line="201" w:lineRule="auto"/>
              <w:ind w:left="269" w:right="141" w:hanging="120"/>
              <w:rPr>
                <w:rFonts w:hint="eastAsia" w:ascii="宋体" w:hAnsi="宋体" w:eastAsia="宋体" w:cs="宋体"/>
                <w:sz w:val="24"/>
                <w:szCs w:val="24"/>
              </w:rPr>
            </w:pPr>
            <w:r>
              <w:rPr>
                <w:rFonts w:hint="eastAsia" w:ascii="宋体" w:hAnsi="宋体" w:eastAsia="宋体" w:cs="宋体"/>
                <w:b/>
                <w:bCs/>
                <w:spacing w:val="-1"/>
                <w:sz w:val="24"/>
                <w:szCs w:val="24"/>
              </w:rPr>
              <w:t>制造商所</w:t>
            </w:r>
            <w:r>
              <w:rPr>
                <w:rFonts w:hint="eastAsia" w:ascii="宋体" w:hAnsi="宋体" w:eastAsia="宋体" w:cs="宋体"/>
                <w:b/>
                <w:bCs/>
                <w:sz w:val="24"/>
                <w:szCs w:val="24"/>
              </w:rPr>
              <w:t xml:space="preserve"> </w:t>
            </w:r>
            <w:r>
              <w:rPr>
                <w:rFonts w:hint="eastAsia" w:ascii="宋体" w:hAnsi="宋体" w:eastAsia="宋体" w:cs="宋体"/>
                <w:b/>
                <w:bCs/>
                <w:spacing w:val="-2"/>
                <w:sz w:val="24"/>
                <w:szCs w:val="24"/>
              </w:rPr>
              <w:t>属性别</w:t>
            </w:r>
          </w:p>
        </w:tc>
        <w:tc>
          <w:tcPr>
            <w:tcW w:w="1254" w:type="dxa"/>
            <w:vAlign w:val="top"/>
          </w:tcPr>
          <w:p>
            <w:pPr>
              <w:autoSpaceDE w:val="0"/>
              <w:autoSpaceDN w:val="0"/>
              <w:spacing w:before="45" w:line="201" w:lineRule="auto"/>
              <w:ind w:left="389" w:right="140" w:hanging="239"/>
              <w:rPr>
                <w:rFonts w:hint="eastAsia" w:ascii="宋体" w:hAnsi="宋体" w:eastAsia="宋体" w:cs="宋体"/>
                <w:sz w:val="24"/>
                <w:szCs w:val="24"/>
              </w:rPr>
            </w:pPr>
            <w:r>
              <w:rPr>
                <w:rFonts w:hint="eastAsia" w:ascii="宋体" w:hAnsi="宋体" w:eastAsia="宋体" w:cs="宋体"/>
                <w:b/>
                <w:bCs/>
                <w:spacing w:val="-1"/>
                <w:sz w:val="24"/>
                <w:szCs w:val="24"/>
              </w:rPr>
              <w:t>外商投资</w:t>
            </w:r>
            <w:r>
              <w:rPr>
                <w:rFonts w:hint="eastAsia" w:ascii="宋体" w:hAnsi="宋体" w:eastAsia="宋体" w:cs="宋体"/>
                <w:b/>
                <w:bCs/>
                <w:spacing w:val="1"/>
                <w:sz w:val="24"/>
                <w:szCs w:val="24"/>
              </w:rPr>
              <w:t xml:space="preserve"> </w:t>
            </w:r>
            <w:r>
              <w:rPr>
                <w:rFonts w:hint="eastAsia" w:ascii="宋体" w:hAnsi="宋体" w:eastAsia="宋体" w:cs="宋体"/>
                <w:b/>
                <w:bCs/>
                <w:spacing w:val="-2"/>
                <w:sz w:val="24"/>
                <w:szCs w:val="24"/>
              </w:rPr>
              <w:t>类型</w:t>
            </w:r>
          </w:p>
        </w:tc>
        <w:tc>
          <w:tcPr>
            <w:tcW w:w="1254" w:type="dxa"/>
            <w:vAlign w:val="top"/>
          </w:tcPr>
          <w:p>
            <w:pPr>
              <w:pStyle w:val="266"/>
              <w:autoSpaceDE w:val="0"/>
              <w:autoSpaceDN w:val="0"/>
              <w:spacing w:line="286" w:lineRule="auto"/>
              <w:rPr>
                <w:rFonts w:hint="eastAsia" w:ascii="宋体" w:hAnsi="宋体" w:eastAsia="宋体" w:cs="宋体"/>
              </w:rPr>
            </w:pPr>
          </w:p>
          <w:p>
            <w:pPr>
              <w:autoSpaceDE w:val="0"/>
              <w:autoSpaceDN w:val="0"/>
              <w:spacing w:before="103" w:line="201" w:lineRule="auto"/>
              <w:ind w:left="407"/>
              <w:rPr>
                <w:rFonts w:hint="eastAsia" w:ascii="宋体" w:hAnsi="宋体" w:eastAsia="宋体" w:cs="宋体"/>
                <w:sz w:val="24"/>
                <w:szCs w:val="24"/>
              </w:rPr>
            </w:pPr>
            <w:r>
              <w:rPr>
                <w:rFonts w:hint="eastAsia" w:ascii="宋体" w:hAnsi="宋体" w:eastAsia="宋体" w:cs="宋体"/>
                <w:b/>
                <w:bCs/>
                <w:spacing w:val="-12"/>
                <w:sz w:val="24"/>
                <w:szCs w:val="24"/>
              </w:rPr>
              <w:t>品牌</w:t>
            </w:r>
          </w:p>
        </w:tc>
        <w:tc>
          <w:tcPr>
            <w:tcW w:w="1253" w:type="dxa"/>
            <w:vAlign w:val="top"/>
          </w:tcPr>
          <w:p>
            <w:pPr>
              <w:autoSpaceDE w:val="0"/>
              <w:autoSpaceDN w:val="0"/>
              <w:spacing w:before="219" w:line="202" w:lineRule="auto"/>
              <w:ind w:left="113" w:right="177"/>
              <w:rPr>
                <w:rFonts w:hint="eastAsia" w:ascii="宋体" w:hAnsi="宋体" w:eastAsia="宋体" w:cs="宋体"/>
                <w:sz w:val="24"/>
                <w:szCs w:val="24"/>
              </w:rPr>
            </w:pPr>
            <w:r>
              <w:rPr>
                <w:rFonts w:hint="eastAsia" w:ascii="宋体" w:hAnsi="宋体" w:eastAsia="宋体" w:cs="宋体"/>
                <w:b/>
                <w:bCs/>
                <w:spacing w:val="-1"/>
                <w:sz w:val="24"/>
                <w:szCs w:val="24"/>
              </w:rPr>
              <w:t>规格、型</w:t>
            </w:r>
            <w:r>
              <w:rPr>
                <w:rFonts w:hint="eastAsia" w:ascii="宋体" w:hAnsi="宋体" w:eastAsia="宋体" w:cs="宋体"/>
                <w:b/>
                <w:bCs/>
                <w:sz w:val="24"/>
                <w:szCs w:val="24"/>
              </w:rPr>
              <w:t xml:space="preserve"> 号</w:t>
            </w:r>
          </w:p>
        </w:tc>
        <w:tc>
          <w:tcPr>
            <w:tcW w:w="1024" w:type="dxa"/>
            <w:vAlign w:val="top"/>
          </w:tcPr>
          <w:p>
            <w:pPr>
              <w:autoSpaceDE w:val="0"/>
              <w:autoSpaceDN w:val="0"/>
              <w:spacing w:before="217" w:line="199" w:lineRule="auto"/>
              <w:ind w:left="102" w:right="183" w:firstLine="9"/>
              <w:rPr>
                <w:rFonts w:hint="eastAsia" w:ascii="宋体" w:hAnsi="宋体" w:eastAsia="宋体" w:cs="宋体"/>
                <w:sz w:val="24"/>
                <w:szCs w:val="24"/>
              </w:rPr>
            </w:pPr>
            <w:r>
              <w:rPr>
                <w:rFonts w:hint="eastAsia" w:ascii="宋体" w:hAnsi="宋体" w:eastAsia="宋体" w:cs="宋体"/>
                <w:b/>
                <w:bCs/>
                <w:spacing w:val="-2"/>
                <w:sz w:val="24"/>
                <w:szCs w:val="24"/>
              </w:rPr>
              <w:t>单价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c>
          <w:tcPr>
            <w:tcW w:w="831" w:type="dxa"/>
            <w:vAlign w:val="top"/>
          </w:tcPr>
          <w:p>
            <w:pPr>
              <w:pStyle w:val="266"/>
              <w:autoSpaceDE w:val="0"/>
              <w:autoSpaceDN w:val="0"/>
              <w:spacing w:line="286" w:lineRule="auto"/>
              <w:rPr>
                <w:rFonts w:hint="eastAsia" w:ascii="宋体" w:hAnsi="宋体" w:eastAsia="宋体" w:cs="宋体"/>
              </w:rPr>
            </w:pPr>
          </w:p>
          <w:p>
            <w:pPr>
              <w:autoSpaceDE w:val="0"/>
              <w:autoSpaceDN w:val="0"/>
              <w:spacing w:before="103" w:line="201" w:lineRule="auto"/>
              <w:ind w:left="113"/>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026" w:type="dxa"/>
            <w:vAlign w:val="top"/>
          </w:tcPr>
          <w:p>
            <w:pPr>
              <w:autoSpaceDE w:val="0"/>
              <w:autoSpaceDN w:val="0"/>
              <w:spacing w:before="217" w:line="199" w:lineRule="auto"/>
              <w:ind w:left="102" w:right="185" w:firstLine="9"/>
              <w:rPr>
                <w:rFonts w:hint="eastAsia" w:ascii="宋体" w:hAnsi="宋体" w:eastAsia="宋体" w:cs="宋体"/>
                <w:sz w:val="24"/>
                <w:szCs w:val="24"/>
              </w:rPr>
            </w:pPr>
            <w:r>
              <w:rPr>
                <w:rFonts w:hint="eastAsia" w:ascii="宋体" w:hAnsi="宋体" w:eastAsia="宋体" w:cs="宋体"/>
                <w:b/>
                <w:bCs/>
                <w:spacing w:val="-2"/>
                <w:sz w:val="24"/>
                <w:szCs w:val="24"/>
              </w:rPr>
              <w:t>合价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4" w:line="199" w:lineRule="auto"/>
              <w:ind w:left="134"/>
              <w:rPr>
                <w:rFonts w:hint="eastAsia" w:ascii="宋体" w:hAnsi="宋体" w:eastAsia="宋体" w:cs="宋体"/>
                <w:sz w:val="24"/>
                <w:szCs w:val="24"/>
              </w:rPr>
            </w:pPr>
            <w:r>
              <w:rPr>
                <w:rFonts w:hint="eastAsia" w:ascii="宋体" w:hAnsi="宋体" w:eastAsia="宋体" w:cs="宋体"/>
                <w:sz w:val="24"/>
                <w:szCs w:val="24"/>
              </w:rPr>
              <w:t>1</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5"/>
              <w:rPr>
                <w:rFonts w:hint="eastAsia" w:ascii="宋体" w:hAnsi="宋体" w:eastAsia="宋体" w:cs="宋体"/>
                <w:sz w:val="24"/>
                <w:szCs w:val="24"/>
              </w:rPr>
            </w:pPr>
            <w:r>
              <w:rPr>
                <w:rFonts w:hint="eastAsia" w:ascii="宋体" w:hAnsi="宋体" w:eastAsia="宋体" w:cs="宋体"/>
                <w:spacing w:val="1"/>
                <w:sz w:val="24"/>
                <w:szCs w:val="24"/>
              </w:rPr>
              <w:t>2</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6"/>
              <w:rPr>
                <w:rFonts w:hint="eastAsia" w:ascii="宋体" w:hAnsi="宋体" w:eastAsia="宋体" w:cs="宋体"/>
                <w:sz w:val="24"/>
                <w:szCs w:val="24"/>
              </w:rPr>
            </w:pPr>
            <w:r>
              <w:rPr>
                <w:rFonts w:hint="eastAsia" w:ascii="宋体" w:hAnsi="宋体" w:eastAsia="宋体" w:cs="宋体"/>
                <w:sz w:val="24"/>
                <w:szCs w:val="24"/>
              </w:rPr>
              <w:t>3</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3" w:hRule="atLeast"/>
        </w:trPr>
        <w:tc>
          <w:tcPr>
            <w:tcW w:w="503" w:type="dxa"/>
            <w:vAlign w:val="top"/>
          </w:tcPr>
          <w:p>
            <w:pPr>
              <w:pStyle w:val="266"/>
              <w:autoSpaceDE w:val="0"/>
              <w:autoSpaceDN w:val="0"/>
              <w:spacing w:before="46" w:line="197" w:lineRule="auto"/>
              <w:ind w:left="119"/>
              <w:rPr>
                <w:rFonts w:hint="eastAsia" w:ascii="宋体" w:hAnsi="宋体" w:eastAsia="宋体" w:cs="宋体"/>
                <w:sz w:val="24"/>
                <w:szCs w:val="24"/>
              </w:rPr>
            </w:pPr>
            <w:r>
              <w:rPr>
                <w:rFonts w:hint="eastAsia" w:ascii="宋体" w:hAnsi="宋体" w:eastAsia="宋体" w:cs="宋体"/>
                <w:spacing w:val="7"/>
                <w:sz w:val="24"/>
                <w:szCs w:val="24"/>
              </w:rPr>
              <w:t>4</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196" w:line="77" w:lineRule="exact"/>
              <w:ind w:left="135"/>
              <w:rPr>
                <w:rFonts w:hint="eastAsia" w:ascii="宋体" w:hAnsi="宋体" w:eastAsia="宋体" w:cs="宋体"/>
                <w:sz w:val="24"/>
                <w:szCs w:val="24"/>
              </w:rPr>
            </w:pPr>
            <w:r>
              <w:rPr>
                <w:rFonts w:hint="eastAsia" w:ascii="宋体" w:hAnsi="宋体" w:eastAsia="宋体" w:cs="宋体"/>
                <w:position w:val="1"/>
                <w:sz w:val="24"/>
                <w:szCs w:val="24"/>
              </w:rPr>
              <w:t>…</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56" w:hRule="atLeast"/>
        </w:trPr>
        <w:tc>
          <w:tcPr>
            <w:tcW w:w="13198" w:type="dxa"/>
            <w:gridSpan w:val="12"/>
            <w:vAlign w:val="top"/>
          </w:tcPr>
          <w:p>
            <w:pPr>
              <w:autoSpaceDE w:val="0"/>
              <w:autoSpaceDN w:val="0"/>
              <w:spacing w:before="44" w:line="176" w:lineRule="auto"/>
              <w:ind w:left="11903"/>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026" w:type="dxa"/>
            <w:vAlign w:val="top"/>
          </w:tcPr>
          <w:p>
            <w:pPr>
              <w:pStyle w:val="266"/>
              <w:autoSpaceDE w:val="0"/>
              <w:autoSpaceDN w:val="0"/>
              <w:rPr>
                <w:rFonts w:hint="eastAsia" w:ascii="宋体" w:hAnsi="宋体" w:eastAsia="宋体" w:cs="宋体"/>
              </w:rPr>
            </w:pPr>
          </w:p>
        </w:tc>
      </w:tr>
    </w:tbl>
    <w:p>
      <w:pPr>
        <w:pStyle w:val="16"/>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6"/>
        <w:numPr>
          <w:ilvl w:val="0"/>
          <w:numId w:val="23"/>
        </w:numPr>
        <w:spacing w:before="5" w:line="199" w:lineRule="auto"/>
        <w:ind w:left="610" w:right="2708"/>
        <w:rPr>
          <w:rFonts w:hint="eastAsia" w:ascii="宋体" w:hAnsi="宋体" w:eastAsia="宋体" w:cs="宋体"/>
          <w:spacing w:val="3"/>
          <w:sz w:val="24"/>
          <w:szCs w:val="24"/>
        </w:rPr>
      </w:pPr>
      <w:r>
        <w:rPr>
          <w:rFonts w:hint="eastAsia" w:ascii="宋体" w:hAnsi="宋体" w:eastAsia="宋体" w:cs="宋体"/>
          <w:spacing w:val="-1"/>
          <w:sz w:val="24"/>
          <w:szCs w:val="24"/>
        </w:rPr>
        <w:t>如果不提供分项报价将视为没有实质性响应招标文件。</w:t>
      </w:r>
      <w:r>
        <w:rPr>
          <w:rFonts w:hint="eastAsia" w:ascii="宋体" w:hAnsi="宋体" w:eastAsia="宋体" w:cs="宋体"/>
          <w:spacing w:val="3"/>
          <w:sz w:val="24"/>
          <w:szCs w:val="24"/>
        </w:rPr>
        <w:t xml:space="preserve"> </w:t>
      </w:r>
    </w:p>
    <w:p>
      <w:pPr>
        <w:pStyle w:val="16"/>
        <w:numPr>
          <w:ilvl w:val="0"/>
          <w:numId w:val="23"/>
        </w:numPr>
        <w:spacing w:before="5" w:line="199" w:lineRule="auto"/>
        <w:ind w:left="610" w:right="2708"/>
        <w:rPr>
          <w:rFonts w:hint="eastAsia" w:ascii="宋体" w:hAnsi="宋体" w:eastAsia="宋体" w:cs="宋体"/>
          <w:sz w:val="25"/>
          <w:szCs w:val="25"/>
        </w:rPr>
      </w:pPr>
      <w:r>
        <w:rPr>
          <w:rFonts w:hint="eastAsia" w:ascii="宋体" w:hAnsi="宋体" w:eastAsia="宋体" w:cs="宋体"/>
          <w:sz w:val="24"/>
          <w:szCs w:val="24"/>
        </w:rPr>
        <w:t>上述各项的详细规格（如有</w:t>
      </w:r>
      <w:r>
        <w:rPr>
          <w:rFonts w:hint="eastAsia" w:ascii="宋体" w:hAnsi="宋体" w:eastAsia="宋体" w:cs="宋体"/>
          <w:spacing w:val="-56"/>
          <w:sz w:val="24"/>
          <w:szCs w:val="24"/>
        </w:rPr>
        <w:t>），</w:t>
      </w:r>
      <w:r>
        <w:rPr>
          <w:rFonts w:hint="eastAsia" w:ascii="宋体" w:hAnsi="宋体" w:eastAsia="宋体" w:cs="宋体"/>
          <w:sz w:val="24"/>
          <w:szCs w:val="24"/>
        </w:rPr>
        <w:t>可另页描述。</w:t>
      </w:r>
    </w:p>
    <w:p>
      <w:pPr>
        <w:pStyle w:val="16"/>
        <w:numPr>
          <w:ilvl w:val="0"/>
          <w:numId w:val="23"/>
        </w:numPr>
        <w:spacing w:before="5" w:line="199" w:lineRule="auto"/>
        <w:ind w:left="610" w:right="2708"/>
        <w:rPr>
          <w:rFonts w:hint="eastAsia" w:ascii="宋体" w:hAnsi="宋体" w:eastAsia="宋体" w:cs="宋体"/>
          <w:sz w:val="25"/>
          <w:szCs w:val="25"/>
        </w:rPr>
      </w:pPr>
      <w:r>
        <w:rPr>
          <w:rFonts w:hint="eastAsia" w:ascii="宋体" w:hAnsi="宋体" w:eastAsia="宋体" w:cs="宋体"/>
          <w:spacing w:val="-2"/>
          <w:sz w:val="24"/>
          <w:szCs w:val="24"/>
        </w:rPr>
        <w:t>制造商规模列应填写“大型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中型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”、“小型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”、“微型</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“其他</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”，且不应与《中小企业声明函》或《拟分包情况说明》中内容矛</w:t>
      </w:r>
      <w:r>
        <w:rPr>
          <w:rFonts w:hint="eastAsia" w:ascii="宋体" w:hAnsi="宋体" w:eastAsia="宋体" w:cs="宋体"/>
          <w:spacing w:val="-4"/>
          <w:sz w:val="24"/>
          <w:szCs w:val="24"/>
        </w:rPr>
        <w:t>盾。制造商所属性别请填写</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“男</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“女</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w:t>
      </w:r>
      <w:r>
        <w:rPr>
          <w:rFonts w:hint="eastAsia" w:ascii="宋体" w:hAnsi="宋体" w:eastAsia="宋体" w:cs="宋体"/>
          <w:sz w:val="24"/>
          <w:szCs w:val="24"/>
        </w:rPr>
        <w:t>指拥有制造商 51%以上绝对所有权的性别</w:t>
      </w:r>
      <w:r>
        <w:rPr>
          <w:rFonts w:hint="eastAsia" w:ascii="宋体" w:hAnsi="宋体" w:eastAsia="宋体" w:cs="宋体"/>
          <w:spacing w:val="-30"/>
          <w:sz w:val="24"/>
          <w:szCs w:val="24"/>
        </w:rPr>
        <w:t xml:space="preserve"> </w:t>
      </w:r>
      <w:r>
        <w:rPr>
          <w:rFonts w:hint="eastAsia" w:ascii="宋体" w:hAnsi="宋体" w:eastAsia="宋体" w:cs="宋体"/>
          <w:sz w:val="24"/>
          <w:szCs w:val="24"/>
        </w:rPr>
        <w:t>；绝对所有权拥有者可以是一</w:t>
      </w:r>
      <w:r>
        <w:rPr>
          <w:rFonts w:hint="eastAsia" w:ascii="宋体" w:hAnsi="宋体" w:eastAsia="宋体" w:cs="宋体"/>
          <w:spacing w:val="-1"/>
          <w:sz w:val="24"/>
          <w:szCs w:val="24"/>
        </w:rPr>
        <w:t>个人，也可以</w:t>
      </w:r>
      <w:r>
        <w:rPr>
          <w:rFonts w:hint="eastAsia" w:ascii="宋体" w:hAnsi="宋体" w:eastAsia="宋体" w:cs="宋体"/>
          <w:spacing w:val="3"/>
          <w:sz w:val="24"/>
          <w:szCs w:val="24"/>
        </w:rPr>
        <w:t>是多人合计计算。外商投资类型请填写</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“外商单</w:t>
      </w:r>
      <w:r>
        <w:rPr>
          <w:rFonts w:hint="eastAsia" w:ascii="宋体" w:hAnsi="宋体" w:eastAsia="宋体" w:cs="宋体"/>
          <w:spacing w:val="2"/>
          <w:sz w:val="24"/>
          <w:szCs w:val="24"/>
        </w:rPr>
        <w:t>独投资</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、“外商部分投资</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内资</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p>
    <w:p>
      <w:pPr>
        <w:widowControl/>
        <w:jc w:val="left"/>
        <w:rPr>
          <w:color w:val="000000"/>
          <w:sz w:val="24"/>
          <w:szCs w:val="20"/>
        </w:rPr>
        <w:sectPr>
          <w:headerReference r:id="rId18" w:type="default"/>
          <w:footerReference r:id="rId19" w:type="default"/>
          <w:pgSz w:w="16840" w:h="11907" w:orient="landscape"/>
          <w:pgMar w:top="1701" w:right="1418" w:bottom="1134" w:left="1418" w:header="851" w:footer="851" w:gutter="0"/>
          <w:pgNumType w:fmt="decimal"/>
          <w:cols w:space="720" w:num="1"/>
          <w:docGrid w:linePitch="462" w:charSpace="0"/>
        </w:sectPr>
      </w:pPr>
    </w:p>
    <w:p>
      <w:pPr>
        <w:pStyle w:val="16"/>
        <w:spacing w:before="307" w:line="196" w:lineRule="auto"/>
        <w:ind w:left="131"/>
        <w:rPr>
          <w:rFonts w:hint="eastAsia" w:ascii="宋体" w:hAnsi="宋体" w:eastAsia="宋体" w:cs="宋体"/>
          <w:sz w:val="24"/>
          <w:szCs w:val="24"/>
        </w:rPr>
      </w:pPr>
      <w:bookmarkStart w:id="201" w:name="_Toc150774765"/>
      <w:bookmarkStart w:id="202" w:name="_Toc142311062"/>
      <w:bookmarkStart w:id="203" w:name="_Toc226965835"/>
      <w:bookmarkStart w:id="204" w:name="_Toc264969252"/>
      <w:bookmarkStart w:id="205" w:name="_Toc226309806"/>
      <w:bookmarkStart w:id="206" w:name="_Toc127151562"/>
      <w:bookmarkStart w:id="207" w:name="_Toc305158830"/>
      <w:bookmarkStart w:id="208" w:name="_Toc226965752"/>
      <w:bookmarkStart w:id="209" w:name="_Toc150480798"/>
      <w:bookmarkStart w:id="210" w:name="_Toc195842927"/>
      <w:bookmarkStart w:id="211" w:name="_Toc265228400"/>
      <w:bookmarkStart w:id="212" w:name="_Toc226337258"/>
      <w:bookmarkStart w:id="213" w:name="_Toc305158904"/>
      <w:r>
        <w:rPr>
          <w:rFonts w:hint="eastAsia"/>
          <w:b/>
          <w:bCs w:val="0"/>
          <w:i w:val="0"/>
          <w:iCs/>
          <w:color w:val="auto"/>
          <w:sz w:val="24"/>
          <w:lang w:val="en-US" w:eastAsia="zh-CN"/>
        </w:rPr>
        <w:t>2-</w:t>
      </w:r>
      <w:r>
        <w:rPr>
          <w:rFonts w:hint="eastAsia"/>
          <w:b/>
          <w:bCs w:val="0"/>
          <w:color w:val="000000"/>
          <w:sz w:val="24"/>
          <w:szCs w:val="20"/>
          <w:lang w:val="en-US" w:eastAsia="zh-CN"/>
        </w:rPr>
        <w:t>5</w:t>
      </w:r>
      <w:r>
        <w:rPr>
          <w:b/>
          <w:bCs w:val="0"/>
          <w:color w:val="000000"/>
          <w:sz w:val="24"/>
          <w:szCs w:val="20"/>
        </w:rPr>
        <w:t xml:space="preserve">  </w:t>
      </w:r>
      <w:bookmarkEnd w:id="201"/>
      <w:bookmarkEnd w:id="202"/>
      <w:bookmarkEnd w:id="203"/>
      <w:bookmarkEnd w:id="204"/>
      <w:bookmarkEnd w:id="205"/>
      <w:bookmarkEnd w:id="206"/>
      <w:bookmarkEnd w:id="207"/>
      <w:bookmarkEnd w:id="208"/>
      <w:bookmarkEnd w:id="209"/>
      <w:bookmarkEnd w:id="210"/>
      <w:bookmarkEnd w:id="211"/>
      <w:bookmarkEnd w:id="212"/>
      <w:bookmarkEnd w:id="213"/>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6"/>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6"/>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6"/>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6"/>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bl>
    <w:p>
      <w:pPr>
        <w:pStyle w:val="16"/>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6"/>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6"/>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16"/>
        <w:spacing w:before="212" w:line="200" w:lineRule="auto"/>
        <w:ind w:left="169"/>
        <w:outlineLvl w:val="1"/>
        <w:rPr>
          <w:rFonts w:hint="eastAsia" w:ascii="宋体" w:hAnsi="宋体" w:eastAsia="宋体" w:cs="宋体"/>
          <w:b/>
          <w:bCs/>
          <w:sz w:val="24"/>
          <w:szCs w:val="24"/>
        </w:rPr>
      </w:pPr>
      <w:r>
        <w:rPr>
          <w:b/>
          <w:i/>
          <w:color w:val="FF0000"/>
          <w:sz w:val="24"/>
        </w:rPr>
        <w:br w:type="page"/>
      </w:r>
      <w:bookmarkStart w:id="214" w:name="_Toc264969251"/>
      <w:bookmarkStart w:id="215" w:name="_Toc127151561"/>
      <w:bookmarkStart w:id="216" w:name="_Toc226965751"/>
      <w:bookmarkStart w:id="217" w:name="_Toc226337257"/>
      <w:bookmarkStart w:id="218" w:name="_Toc226309805"/>
      <w:bookmarkStart w:id="219" w:name="_Toc305158903"/>
      <w:bookmarkStart w:id="220" w:name="_Toc226965834"/>
      <w:bookmarkStart w:id="221" w:name="_Toc142311061"/>
      <w:bookmarkStart w:id="222" w:name="_Toc195842926"/>
      <w:bookmarkStart w:id="223" w:name="_Toc265228399"/>
      <w:bookmarkStart w:id="224" w:name="_Toc150480797"/>
      <w:bookmarkStart w:id="225" w:name="_Toc150774764"/>
      <w:bookmarkStart w:id="226" w:name="_Toc305158829"/>
      <w:r>
        <w:rPr>
          <w:rFonts w:hint="eastAsia"/>
          <w:b/>
          <w:bCs/>
          <w:color w:val="000000"/>
          <w:sz w:val="24"/>
          <w:szCs w:val="20"/>
          <w:lang w:val="en-US" w:eastAsia="zh-CN"/>
        </w:rPr>
        <w:t>2-6</w:t>
      </w:r>
      <w:r>
        <w:rPr>
          <w:b/>
          <w:bCs/>
          <w:color w:val="000000"/>
          <w:sz w:val="24"/>
          <w:szCs w:val="20"/>
        </w:rPr>
        <w:t xml:space="preserve">  </w:t>
      </w:r>
      <w:bookmarkEnd w:id="214"/>
      <w:bookmarkEnd w:id="215"/>
      <w:bookmarkEnd w:id="216"/>
      <w:bookmarkEnd w:id="217"/>
      <w:bookmarkEnd w:id="218"/>
      <w:bookmarkEnd w:id="219"/>
      <w:bookmarkEnd w:id="220"/>
      <w:bookmarkEnd w:id="221"/>
      <w:bookmarkEnd w:id="222"/>
      <w:bookmarkEnd w:id="223"/>
      <w:bookmarkEnd w:id="224"/>
      <w:bookmarkEnd w:id="225"/>
      <w:bookmarkEnd w:id="226"/>
      <w:r>
        <w:rPr>
          <w:rFonts w:hint="eastAsia" w:ascii="宋体" w:hAnsi="宋体" w:eastAsia="宋体" w:cs="宋体"/>
          <w:b/>
          <w:bCs/>
          <w:sz w:val="24"/>
          <w:szCs w:val="24"/>
        </w:rPr>
        <w:t>采购需求偏离表（实质性格式）</w:t>
      </w:r>
    </w:p>
    <w:p>
      <w:pPr>
        <w:pStyle w:val="16"/>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6"/>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6"/>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6"/>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6"/>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6"/>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6"/>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0" w:type="default"/>
          <w:footerReference r:id="rId21" w:type="default"/>
          <w:pgSz w:w="11907" w:h="16840"/>
          <w:pgMar w:top="1149" w:right="1133" w:bottom="1060" w:left="1701" w:header="875" w:footer="886" w:gutter="0"/>
          <w:pgNumType w:fmt="decimal"/>
          <w:cols w:space="720" w:num="1"/>
        </w:sectPr>
      </w:pPr>
    </w:p>
    <w:p>
      <w:pPr>
        <w:numPr>
          <w:ilvl w:val="0"/>
          <w:numId w:val="0"/>
        </w:numPr>
        <w:tabs>
          <w:tab w:val="left" w:pos="360"/>
        </w:tabs>
        <w:snapToGrid w:val="0"/>
        <w:spacing w:line="360" w:lineRule="auto"/>
        <w:ind w:leftChars="0"/>
        <w:outlineLvl w:val="1"/>
        <w:rPr>
          <w:b/>
          <w:bCs/>
          <w:color w:val="FF0000"/>
          <w:sz w:val="24"/>
          <w:szCs w:val="20"/>
        </w:rPr>
      </w:pPr>
      <w:r>
        <w:rPr>
          <w:rFonts w:hint="eastAsia"/>
          <w:b/>
          <w:bCs/>
          <w:color w:val="000000"/>
          <w:sz w:val="24"/>
          <w:szCs w:val="20"/>
          <w:lang w:val="en-US" w:eastAsia="zh-CN"/>
        </w:rPr>
        <w:t xml:space="preserve">2-7 </w:t>
      </w:r>
      <w:r>
        <w:rPr>
          <w:rFonts w:hint="eastAsia"/>
          <w:b/>
          <w:bCs/>
          <w:color w:val="000000"/>
          <w:sz w:val="24"/>
          <w:szCs w:val="20"/>
        </w:rPr>
        <w:t>本国产品标准证明文件</w:t>
      </w:r>
      <w:r>
        <w:rPr>
          <w:rFonts w:hint="eastAsia"/>
          <w:b/>
          <w:bCs/>
          <w:color w:val="auto"/>
          <w:sz w:val="24"/>
          <w:szCs w:val="20"/>
        </w:rPr>
        <w:t>（本国产品标准适用于货物，包括政府采购货物项目和服务项目中涉及的货物</w:t>
      </w:r>
      <w:r>
        <w:rPr>
          <w:rFonts w:hint="eastAsia"/>
          <w:b/>
          <w:bCs/>
          <w:color w:val="auto"/>
          <w:sz w:val="24"/>
          <w:szCs w:val="20"/>
          <w:lang w:eastAsia="zh-CN"/>
        </w:rPr>
        <w:t>，如不涉及可不填写</w:t>
      </w:r>
      <w:r>
        <w:rPr>
          <w:rFonts w:hint="eastAsia"/>
          <w:b/>
          <w:bCs/>
          <w:color w:val="auto"/>
          <w:sz w:val="24"/>
          <w:szCs w:val="20"/>
        </w:rPr>
        <w:t>）</w:t>
      </w:r>
    </w:p>
    <w:p>
      <w:pPr>
        <w:pStyle w:val="43"/>
        <w:shd w:val="clear" w:color="auto" w:fill="FFFFFF"/>
        <w:spacing w:before="30" w:beforeAutospacing="0" w:after="30" w:afterAutospacing="0"/>
        <w:jc w:val="center"/>
        <w:rPr>
          <w:rStyle w:val="47"/>
          <w:rFonts w:hint="eastAsia"/>
          <w:color w:val="333333"/>
          <w:sz w:val="36"/>
          <w:szCs w:val="36"/>
          <w:shd w:val="clear" w:color="auto" w:fill="FFFFFF"/>
        </w:rPr>
      </w:pPr>
    </w:p>
    <w:p>
      <w:pPr>
        <w:pStyle w:val="43"/>
        <w:shd w:val="clear" w:color="auto" w:fill="FFFFFF"/>
        <w:spacing w:before="30" w:beforeAutospacing="0" w:after="30" w:afterAutospacing="0"/>
        <w:jc w:val="center"/>
        <w:rPr>
          <w:color w:val="333333"/>
          <w:sz w:val="36"/>
          <w:szCs w:val="36"/>
        </w:rPr>
      </w:pPr>
      <w:r>
        <w:rPr>
          <w:rStyle w:val="47"/>
          <w:rFonts w:hint="eastAsia"/>
          <w:color w:val="333333"/>
          <w:sz w:val="36"/>
          <w:szCs w:val="36"/>
          <w:shd w:val="clear" w:color="auto" w:fill="FFFFFF"/>
        </w:rPr>
        <w:t>关于符合本国产品标准的声明函</w:t>
      </w:r>
    </w:p>
    <w:p>
      <w:pPr>
        <w:pStyle w:val="43"/>
        <w:shd w:val="clear" w:color="auto" w:fill="FFFFFF"/>
        <w:spacing w:before="30" w:beforeAutospacing="0" w:after="30" w:afterAutospacing="0"/>
        <w:ind w:firstLine="420"/>
        <w:rPr>
          <w:color w:val="333333"/>
        </w:rPr>
      </w:pP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pPr>
        <w:pStyle w:val="43"/>
        <w:shd w:val="clear" w:color="auto" w:fill="FFFFFF"/>
        <w:spacing w:before="0" w:beforeAutospacing="0" w:after="0" w:afterAutospacing="0" w:line="360" w:lineRule="auto"/>
        <w:rPr>
          <w:color w:val="333333"/>
        </w:rPr>
      </w:pPr>
    </w:p>
    <w:p>
      <w:pPr>
        <w:pStyle w:val="43"/>
        <w:shd w:val="clear" w:color="auto" w:fill="FFFFFF"/>
        <w:spacing w:before="0" w:beforeAutospacing="0" w:after="0" w:afterAutospacing="0" w:line="360" w:lineRule="auto"/>
        <w:jc w:val="right"/>
        <w:rPr>
          <w:color w:val="333333"/>
          <w:shd w:val="clear" w:color="auto" w:fill="FFFFFF"/>
        </w:rPr>
      </w:pP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pPr>
        <w:pStyle w:val="43"/>
        <w:shd w:val="clear" w:color="auto" w:fill="FFFFFF"/>
        <w:spacing w:before="0" w:beforeAutospacing="0" w:after="0" w:afterAutospacing="0" w:line="360" w:lineRule="auto"/>
        <w:rPr>
          <w:color w:val="333333"/>
          <w:shd w:val="clear" w:color="auto" w:fill="FFFFFF"/>
        </w:rPr>
      </w:pPr>
    </w:p>
    <w:p>
      <w:pPr>
        <w:pStyle w:val="43"/>
        <w:shd w:val="clear" w:color="auto" w:fill="FFFFFF"/>
        <w:spacing w:before="0" w:beforeAutospacing="0" w:after="0" w:afterAutospacing="0" w:line="360" w:lineRule="auto"/>
        <w:rPr>
          <w:color w:val="333333"/>
          <w:shd w:val="clear" w:color="auto" w:fill="FFFFFF"/>
        </w:rPr>
      </w:pPr>
    </w:p>
    <w:p>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pPr>
        <w:widowControl/>
        <w:jc w:val="left"/>
        <w:rPr>
          <w:color w:val="333333"/>
          <w:szCs w:val="21"/>
          <w:shd w:val="clear" w:color="auto" w:fill="FFFFFF"/>
        </w:rPr>
      </w:pPr>
      <w:r>
        <w:rPr>
          <w:color w:val="333333"/>
          <w:szCs w:val="21"/>
          <w:shd w:val="clear" w:color="auto" w:fill="FFFFFF"/>
        </w:rPr>
        <w:br w:type="page"/>
      </w:r>
    </w:p>
    <w:p>
      <w:pPr>
        <w:pStyle w:val="43"/>
        <w:shd w:val="clear" w:color="auto" w:fill="FFFFFF"/>
        <w:spacing w:before="30" w:beforeAutospacing="0" w:after="30" w:afterAutospacing="0"/>
        <w:jc w:val="center"/>
        <w:rPr>
          <w:rStyle w:val="47"/>
          <w:sz w:val="36"/>
          <w:szCs w:val="36"/>
        </w:rPr>
      </w:pPr>
      <w:r>
        <w:rPr>
          <w:rStyle w:val="47"/>
          <w:rFonts w:hint="eastAsia"/>
          <w:sz w:val="36"/>
          <w:szCs w:val="36"/>
        </w:rPr>
        <w:t>产品成本占比承诺函</w:t>
      </w:r>
    </w:p>
    <w:p>
      <w:pPr>
        <w:pStyle w:val="43"/>
        <w:shd w:val="clear" w:color="auto" w:fill="FFFFFF"/>
        <w:spacing w:before="30" w:beforeAutospacing="0" w:after="30" w:afterAutospacing="0"/>
        <w:rPr>
          <w:rStyle w:val="47"/>
          <w:sz w:val="36"/>
          <w:szCs w:val="36"/>
        </w:rPr>
      </w:pPr>
    </w:p>
    <w:p>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pPr>
        <w:widowControl/>
        <w:spacing w:line="360" w:lineRule="auto"/>
        <w:ind w:firstLine="480" w:firstLineChars="200"/>
        <w:jc w:val="left"/>
        <w:rPr>
          <w:color w:val="000000"/>
          <w:sz w:val="24"/>
        </w:rPr>
      </w:pP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pPr>
        <w:widowControl/>
        <w:spacing w:line="360" w:lineRule="auto"/>
        <w:jc w:val="left"/>
        <w:rPr>
          <w:color w:val="000000"/>
          <w:sz w:val="24"/>
        </w:rPr>
      </w:pPr>
    </w:p>
    <w:p>
      <w:pPr>
        <w:widowControl/>
        <w:spacing w:line="360" w:lineRule="auto"/>
        <w:jc w:val="left"/>
        <w:rPr>
          <w:color w:val="000000"/>
          <w:sz w:val="24"/>
        </w:rPr>
      </w:pPr>
    </w:p>
    <w:p>
      <w:pPr>
        <w:spacing w:line="360" w:lineRule="auto"/>
        <w:rPr>
          <w:color w:val="000000"/>
          <w:sz w:val="22"/>
          <w:szCs w:val="22"/>
        </w:rPr>
      </w:pPr>
      <w:r>
        <w:rPr>
          <w:rFonts w:hint="eastAsia"/>
          <w:color w:val="000000"/>
          <w:sz w:val="22"/>
          <w:szCs w:val="22"/>
        </w:rPr>
        <w:t>注：</w:t>
      </w:r>
    </w:p>
    <w:p>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pPr>
        <w:pStyle w:val="16"/>
        <w:spacing w:before="308" w:line="360" w:lineRule="auto"/>
        <w:ind w:left="128" w:right="854" w:rightChars="0"/>
        <w:rPr>
          <w:rFonts w:hint="eastAsia" w:cs="宋体"/>
          <w:spacing w:val="10"/>
        </w:rPr>
      </w:pPr>
      <w:r>
        <w:rPr>
          <w:rFonts w:hint="eastAsia" w:cs="宋体"/>
          <w:b/>
          <w:bCs/>
          <w:lang w:val="en-US" w:eastAsia="zh-CN"/>
        </w:rPr>
        <w:t>2-8</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6"/>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bl>
    <w:p>
      <w:pPr>
        <w:pStyle w:val="16"/>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6"/>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6"/>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6"/>
        <w:spacing w:before="4" w:line="360" w:lineRule="auto"/>
        <w:rPr>
          <w:rFonts w:hint="eastAsia" w:cs="宋体"/>
          <w:spacing w:val="3"/>
        </w:rPr>
      </w:pPr>
    </w:p>
    <w:p>
      <w:pPr>
        <w:spacing w:line="360" w:lineRule="auto"/>
        <w:outlineLvl w:val="2"/>
        <w:rPr>
          <w:b/>
          <w:bCs/>
          <w:color w:val="000000"/>
          <w:sz w:val="24"/>
          <w:szCs w:val="20"/>
        </w:rPr>
      </w:pPr>
      <w:r>
        <w:rPr>
          <w:b/>
          <w:bCs/>
          <w:color w:val="000000"/>
          <w:sz w:val="24"/>
          <w:szCs w:val="20"/>
        </w:rPr>
        <w:t>2-</w:t>
      </w:r>
      <w:r>
        <w:rPr>
          <w:rFonts w:hint="eastAsia"/>
          <w:b/>
          <w:bCs/>
          <w:color w:val="000000"/>
          <w:sz w:val="24"/>
          <w:szCs w:val="20"/>
          <w:lang w:val="en-US" w:eastAsia="zh-CN"/>
        </w:rPr>
        <w:t xml:space="preserve">9 </w:t>
      </w:r>
      <w:r>
        <w:rPr>
          <w:rFonts w:hint="eastAsia"/>
          <w:b/>
          <w:bCs/>
          <w:color w:val="000000"/>
          <w:sz w:val="24"/>
          <w:szCs w:val="20"/>
        </w:rPr>
        <w:t>中小企业证明文件</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pPr>
        <w:jc w:val="center"/>
        <w:rPr>
          <w:rFonts w:hint="eastAsia" w:ascii="宋体" w:hAnsi="宋体"/>
          <w:b/>
          <w:color w:val="auto"/>
          <w:sz w:val="35"/>
          <w:szCs w:val="35"/>
        </w:rPr>
      </w:pPr>
    </w:p>
    <w:p>
      <w:pPr>
        <w:jc w:val="center"/>
        <w:rPr>
          <w:rFonts w:hint="eastAsia" w:ascii="宋体" w:hAnsi="宋体"/>
          <w:b/>
          <w:color w:val="auto"/>
          <w:sz w:val="24"/>
          <w:szCs w:val="24"/>
        </w:rPr>
      </w:pPr>
      <w:r>
        <w:rPr>
          <w:rFonts w:hint="eastAsia" w:ascii="宋体" w:hAnsi="宋体"/>
          <w:b/>
          <w:color w:val="auto"/>
          <w:sz w:val="35"/>
          <w:szCs w:val="35"/>
        </w:rPr>
        <w:t>中小企业声明函（货物）</w:t>
      </w:r>
      <w:r>
        <w:rPr>
          <w:rFonts w:hint="eastAsia" w:ascii="宋体" w:hAnsi="宋体"/>
          <w:b/>
          <w:color w:val="auto"/>
          <w:sz w:val="35"/>
          <w:szCs w:val="35"/>
          <w:lang w:eastAsia="zh-CN"/>
        </w:rPr>
        <w:t>格式</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w:t>
      </w:r>
      <w:r>
        <w:rPr>
          <w:rFonts w:hint="eastAsia" w:ascii="宋体" w:hAnsi="宋体"/>
          <w:b w:val="0"/>
          <w:bCs/>
          <w:color w:val="auto"/>
          <w:sz w:val="24"/>
          <w:szCs w:val="24"/>
          <w:lang w:eastAsia="zh-CN"/>
        </w:rPr>
        <w:t>五</w:t>
      </w:r>
      <w:r>
        <w:rPr>
          <w:rFonts w:hint="eastAsia" w:ascii="宋体" w:hAnsi="宋体"/>
          <w:b w:val="0"/>
          <w:bCs/>
          <w:color w:val="auto"/>
          <w:sz w:val="24"/>
          <w:szCs w:val="24"/>
        </w:rPr>
        <w:t>部分采购需求中的采购清单，且须与采购清单中信息一致。</w:t>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58"/>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16"/>
        <w:spacing w:before="4" w:line="360" w:lineRule="auto"/>
        <w:rPr>
          <w:rFonts w:hint="eastAsia" w:cs="宋体"/>
          <w:spacing w:val="3"/>
        </w:rPr>
      </w:pPr>
    </w:p>
    <w:p>
      <w:pPr>
        <w:spacing w:line="360" w:lineRule="auto"/>
        <w:rPr>
          <w:rFonts w:hint="eastAsia" w:ascii="宋体" w:hAnsi="宋体" w:cs="宋体"/>
          <w:color w:val="000000"/>
          <w:sz w:val="24"/>
        </w:rPr>
      </w:pPr>
    </w:p>
    <w:p>
      <w:pPr>
        <w:spacing w:line="360" w:lineRule="auto"/>
        <w:rPr>
          <w:rFonts w:hint="eastAsia"/>
          <w:color w:val="auto"/>
        </w:rPr>
      </w:pPr>
      <w:r>
        <w:rPr>
          <w:rFonts w:hint="eastAsia" w:ascii="宋体" w:hAnsi="宋体" w:cs="宋体"/>
          <w:b/>
          <w:bCs/>
          <w:color w:val="auto"/>
          <w:sz w:val="24"/>
          <w:lang w:val="en-US" w:eastAsia="zh-CN"/>
        </w:rPr>
        <w:t>2-10</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五章</w:t>
      </w:r>
      <w:r>
        <w:rPr>
          <w:rFonts w:hint="eastAsia"/>
          <w:b/>
          <w:color w:val="auto"/>
          <w:sz w:val="24"/>
          <w:szCs w:val="24"/>
        </w:rPr>
        <w:t>“</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269"/>
          <w:rFonts w:hint="eastAsia" w:ascii="宋体" w:hAnsi="宋体"/>
          <w:b/>
          <w:color w:val="auto"/>
        </w:rPr>
        <w:t xml:space="preserve">，格式自拟） </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2-10-1</w:t>
      </w:r>
      <w:r>
        <w:rPr>
          <w:rStyle w:val="269"/>
          <w:rFonts w:hint="eastAsia" w:ascii="宋体" w:hAnsi="宋体"/>
          <w:bCs/>
          <w:color w:val="auto"/>
        </w:rPr>
        <w:t>投标人应提交证明文件，证明其拟供的合同项下的货物和服务的合格性符合招标文件规定。该证明文件是投标文件的一部分。</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2-10-2</w:t>
      </w:r>
      <w:r>
        <w:rPr>
          <w:rStyle w:val="269"/>
          <w:rFonts w:hint="eastAsia" w:ascii="宋体" w:hAnsi="宋体"/>
          <w:bCs/>
          <w:color w:val="auto"/>
        </w:rPr>
        <w:t>上款所述的证明文件，可以是文字资料、图纸和数据，它包括：</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2-10-2-1</w:t>
      </w:r>
      <w:r>
        <w:rPr>
          <w:rStyle w:val="269"/>
          <w:rFonts w:hint="eastAsia" w:ascii="宋体" w:hAnsi="宋体"/>
          <w:bCs/>
          <w:color w:val="auto"/>
        </w:rPr>
        <w:t>货物主要技术指标和性能的详细说明。</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2-10-2-2</w:t>
      </w:r>
      <w:r>
        <w:rPr>
          <w:rStyle w:val="269"/>
          <w:rFonts w:hint="eastAsia" w:ascii="宋体" w:hAnsi="宋体"/>
          <w:bCs/>
          <w:color w:val="auto"/>
        </w:rPr>
        <w:t>货物从买方开始使用至招标文件规定的保质期内正常、连续地使用所必须的备件和专用工具清单。</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2-10-2-3</w:t>
      </w:r>
      <w:r>
        <w:rPr>
          <w:rStyle w:val="269"/>
          <w:rFonts w:hint="eastAsia" w:ascii="宋体" w:hAnsi="宋体"/>
          <w:bCs/>
          <w:color w:val="auto"/>
        </w:rPr>
        <w:t>对照招标文件技术规格，逐条说明所提供货物和服务已对招标文件的技术规格做出了实质性的响应，或申明与技术规格条文的偏差和例外。</w:t>
      </w:r>
    </w:p>
    <w:p>
      <w:pPr>
        <w:spacing w:line="360" w:lineRule="auto"/>
        <w:rPr>
          <w:rStyle w:val="269"/>
          <w:rFonts w:hint="eastAsia" w:ascii="宋体" w:hAnsi="宋体"/>
          <w:bCs/>
          <w:color w:val="auto"/>
        </w:rPr>
      </w:pPr>
      <w:r>
        <w:rPr>
          <w:rStyle w:val="269"/>
          <w:rFonts w:hint="eastAsia" w:ascii="宋体" w:hAnsi="宋体"/>
          <w:bCs/>
          <w:color w:val="auto"/>
          <w:lang w:val="en-US" w:eastAsia="zh-CN"/>
        </w:rPr>
        <w:t>2-10-2-4</w:t>
      </w:r>
      <w:r>
        <w:rPr>
          <w:rStyle w:val="269"/>
          <w:rFonts w:hint="eastAsia" w:ascii="宋体" w:hAnsi="宋体"/>
          <w:bCs/>
          <w:color w:val="auto"/>
        </w:rPr>
        <w:t>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269"/>
          <w:rFonts w:hint="eastAsia" w:ascii="宋体" w:hAnsi="宋体"/>
          <w:b/>
          <w:bCs w:val="0"/>
          <w:color w:val="FF0000"/>
        </w:rPr>
      </w:pPr>
      <w:r>
        <w:rPr>
          <w:rStyle w:val="269"/>
          <w:rFonts w:hint="eastAsia" w:ascii="宋体" w:hAnsi="宋体"/>
          <w:bCs/>
          <w:color w:val="auto"/>
          <w:lang w:val="en-US" w:eastAsia="zh-CN"/>
        </w:rPr>
        <w:t>2-10-2-5</w:t>
      </w:r>
      <w:r>
        <w:rPr>
          <w:rStyle w:val="269"/>
          <w:rFonts w:hint="eastAsia" w:ascii="宋体" w:hAnsi="宋体"/>
          <w:bCs/>
          <w:color w:val="auto"/>
        </w:rPr>
        <w:t>招标文件要求的其他证明材料，</w:t>
      </w:r>
      <w:r>
        <w:rPr>
          <w:rStyle w:val="269"/>
          <w:rFonts w:hint="eastAsia" w:ascii="宋体" w:hAnsi="宋体"/>
          <w:b/>
          <w:bCs w:val="0"/>
          <w:color w:val="auto"/>
        </w:rPr>
        <w:t>如检测报告、</w:t>
      </w:r>
      <w:r>
        <w:rPr>
          <w:rStyle w:val="269"/>
          <w:rFonts w:hint="eastAsia" w:ascii="宋体" w:hAnsi="宋体"/>
          <w:b/>
          <w:bCs w:val="0"/>
          <w:color w:val="auto"/>
          <w:lang w:eastAsia="zh-CN"/>
        </w:rPr>
        <w:t>产品功能截图、</w:t>
      </w:r>
      <w:r>
        <w:rPr>
          <w:rStyle w:val="269"/>
          <w:rFonts w:hint="eastAsia" w:ascii="宋体" w:hAnsi="宋体"/>
          <w:b/>
          <w:bCs w:val="0"/>
          <w:color w:val="auto"/>
        </w:rPr>
        <w:t>环保节能产品认证</w:t>
      </w:r>
      <w:r>
        <w:rPr>
          <w:rStyle w:val="269"/>
          <w:rFonts w:hint="eastAsia" w:ascii="宋体" w:hAnsi="宋体"/>
          <w:b/>
          <w:bCs w:val="0"/>
          <w:color w:val="auto"/>
          <w:lang w:eastAsia="zh-CN"/>
        </w:rPr>
        <w:t>、投标人技术参数承诺函、投标产品彩页、制造商参数确认函</w:t>
      </w:r>
      <w:r>
        <w:rPr>
          <w:rStyle w:val="269"/>
          <w:rFonts w:hint="eastAsia" w:ascii="宋体" w:hAnsi="宋体"/>
          <w:b/>
          <w:bCs w:val="0"/>
          <w:color w:val="auto"/>
        </w:rPr>
        <w:t>等</w:t>
      </w:r>
      <w:r>
        <w:rPr>
          <w:rStyle w:val="269"/>
          <w:rFonts w:hint="eastAsia" w:ascii="宋体" w:hAnsi="宋体"/>
          <w:b/>
          <w:bCs w:val="0"/>
          <w:color w:val="auto"/>
          <w:lang w:eastAsia="zh-CN"/>
        </w:rPr>
        <w:t>材料</w:t>
      </w:r>
      <w:r>
        <w:rPr>
          <w:rStyle w:val="269"/>
          <w:rFonts w:hint="eastAsia" w:ascii="宋体" w:hAnsi="宋体"/>
          <w:b/>
          <w:bCs w:val="0"/>
          <w:color w:val="auto"/>
        </w:rPr>
        <w:t>。</w:t>
      </w:r>
    </w:p>
    <w:p>
      <w:pPr>
        <w:pStyle w:val="16"/>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33"/>
        <w:ind w:left="0" w:leftChars="0" w:firstLine="428" w:firstLineChars="200"/>
        <w:rPr>
          <w:rFonts w:hint="eastAsia" w:ascii="宋体" w:hAnsi="宋体" w:cs="宋体"/>
          <w:color w:val="FF0000"/>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color w:val="FF0000"/>
          <w:sz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2-11 投标人业绩（证明材料需提供合同首页、合同金额关键页、合同盖章页、合同清单页并加盖投标人公章）</w:t>
      </w:r>
    </w:p>
    <w:p>
      <w:pPr>
        <w:spacing w:line="360" w:lineRule="auto"/>
        <w:outlineLvl w:val="2"/>
        <w:rPr>
          <w:rFonts w:hint="eastAsia" w:ascii="宋体" w:hAnsi="宋体" w:cs="宋体"/>
          <w:color w:val="auto"/>
          <w:sz w:val="24"/>
          <w:lang w:val="en-US" w:eastAsia="zh-CN"/>
        </w:rPr>
      </w:pP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8"/>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firstLine="238" w:firstLineChars="1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642" w:firstLineChars="300"/>
        <w:jc w:val="left"/>
        <w:textAlignment w:val="auto"/>
        <w:outlineLvl w:val="9"/>
        <w:rPr>
          <w:rFonts w:hint="eastAsia" w:ascii="宋体" w:hAnsi="宋体"/>
          <w:color w:val="auto"/>
          <w:sz w:val="24"/>
          <w:szCs w:val="24"/>
          <w:u w:val="single"/>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color w:val="auto"/>
          <w:sz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 售后服务方案（应答本招标文件第五章“采购需求”中的具体要求，参照评标标准，格式自拟）</w:t>
      </w:r>
    </w:p>
    <w:p>
      <w:pPr>
        <w:pStyle w:val="2"/>
        <w:rPr>
          <w:rFonts w:hint="eastAsia"/>
          <w:lang w:val="en-US" w:eastAsia="zh-CN"/>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firstLine="238" w:firstLineChars="1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642" w:firstLineChars="300"/>
        <w:outlineLvl w:val="2"/>
        <w:rPr>
          <w:rFonts w:hint="eastAsia" w:ascii="宋体" w:hAnsi="宋体" w:cs="宋体"/>
          <w:color w:val="auto"/>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color w:val="auto"/>
          <w:sz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2-13售后服务团队（按招标文件要求提供人员配置方案及相关证明材料，参照评标标准，格式自拟）</w:t>
      </w:r>
    </w:p>
    <w:p>
      <w:pPr>
        <w:pStyle w:val="33"/>
        <w:rPr>
          <w:rFonts w:hint="eastAsia"/>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2-14 实施方案（应答本招标文件第五章“采购需求”中的具体要求，参照评标标准，格式自拟）</w:t>
      </w:r>
    </w:p>
    <w:p>
      <w:pPr>
        <w:pStyle w:val="2"/>
        <w:rPr>
          <w:rFonts w:hint="eastAsia"/>
          <w:lang w:val="en-US" w:eastAsia="zh-CN"/>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428" w:firstLineChars="200"/>
        <w:outlineLvl w:val="2"/>
        <w:rPr>
          <w:rFonts w:hint="eastAsia" w:ascii="宋体" w:hAnsi="宋体" w:cs="宋体"/>
          <w:b/>
          <w:bCs/>
          <w:color w:val="auto"/>
          <w:spacing w:val="-13"/>
          <w:sz w:val="24"/>
          <w:szCs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33"/>
        <w:rPr>
          <w:rFonts w:hint="eastAsia"/>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2-15培训方案（应答本招标文件第五章“采购需求”中的具体要求，参照评标标准，格式自拟）</w:t>
      </w:r>
    </w:p>
    <w:p>
      <w:pPr>
        <w:pStyle w:val="26"/>
        <w:rPr>
          <w:rFonts w:hint="eastAsia"/>
          <w:color w:val="auto"/>
          <w:lang w:val="en-US" w:eastAsia="zh-CN"/>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214" w:firstLineChars="1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6"/>
        <w:rPr>
          <w:rFonts w:hint="eastAsia"/>
          <w:color w:val="auto"/>
          <w:lang w:val="en-US" w:eastAsia="zh-CN"/>
        </w:rPr>
      </w:pPr>
    </w:p>
    <w:p>
      <w:pPr>
        <w:pStyle w:val="33"/>
        <w:ind w:left="0" w:leftChars="0" w:firstLine="0" w:firstLineChars="0"/>
        <w:rPr>
          <w:rFonts w:hint="eastAsia" w:ascii="宋体" w:hAnsi="宋体" w:cs="宋体"/>
          <w:b/>
          <w:bCs/>
          <w:color w:val="auto"/>
          <w:spacing w:val="-13"/>
          <w:sz w:val="24"/>
          <w:szCs w:val="24"/>
          <w:lang w:val="en-US" w:eastAsia="zh-CN"/>
        </w:rPr>
      </w:pPr>
      <w:r>
        <w:rPr>
          <w:rFonts w:hint="eastAsia" w:ascii="宋体" w:hAnsi="宋体" w:cs="宋体"/>
          <w:b/>
          <w:bCs/>
          <w:color w:val="auto"/>
          <w:spacing w:val="-13"/>
          <w:sz w:val="24"/>
          <w:szCs w:val="24"/>
          <w:lang w:val="en-US" w:eastAsia="zh-CN"/>
        </w:rPr>
        <w:t>2-16 售后服务承诺函（按招标文件要求提供相关材料，参照评标标准，格式自拟）</w:t>
      </w:r>
    </w:p>
    <w:p>
      <w:pPr>
        <w:pStyle w:val="33"/>
        <w:ind w:left="0" w:leftChars="0" w:firstLine="0" w:firstLineChars="0"/>
        <w:rPr>
          <w:rFonts w:hint="eastAsia" w:ascii="宋体" w:hAnsi="宋体" w:cs="宋体"/>
          <w:b/>
          <w:bCs/>
          <w:color w:val="auto"/>
          <w:spacing w:val="-13"/>
          <w:sz w:val="24"/>
          <w:szCs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2-17增值服务承诺（应答本招标文件第五章“采购需求”中的具体要求，参照评标标准，格式自拟）</w:t>
      </w:r>
    </w:p>
    <w:p>
      <w:pPr>
        <w:pStyle w:val="26"/>
        <w:rPr>
          <w:rFonts w:hint="eastAsia"/>
          <w:color w:val="auto"/>
          <w:lang w:val="en-US" w:eastAsia="zh-CN"/>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214" w:firstLineChars="1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
        <w:ind w:left="0" w:leftChars="0" w:firstLine="0" w:firstLineChars="0"/>
        <w:rPr>
          <w:rFonts w:hint="eastAsia"/>
        </w:rPr>
      </w:pPr>
    </w:p>
    <w:p>
      <w:pPr>
        <w:spacing w:line="360" w:lineRule="auto"/>
        <w:outlineLvl w:val="2"/>
        <w:rPr>
          <w:rFonts w:hint="eastAsia" w:ascii="宋体" w:hAnsi="宋体"/>
          <w:b/>
          <w:bCs/>
          <w:sz w:val="24"/>
          <w:szCs w:val="24"/>
        </w:rPr>
      </w:pPr>
      <w:r>
        <w:rPr>
          <w:rFonts w:hint="eastAsia" w:ascii="宋体" w:hAnsi="宋体"/>
          <w:b/>
          <w:bCs/>
          <w:sz w:val="24"/>
          <w:szCs w:val="24"/>
          <w:lang w:val="en-US" w:eastAsia="zh-CN"/>
        </w:rPr>
        <w:t>2-</w:t>
      </w:r>
      <w:bookmarkStart w:id="227" w:name="OLE_LINK2"/>
      <w:r>
        <w:rPr>
          <w:rFonts w:hint="eastAsia" w:ascii="宋体" w:hAnsi="宋体"/>
          <w:b/>
          <w:bCs/>
          <w:sz w:val="24"/>
          <w:szCs w:val="24"/>
          <w:lang w:val="en-US" w:eastAsia="zh-CN"/>
        </w:rPr>
        <w:t>18</w:t>
      </w:r>
      <w:r>
        <w:rPr>
          <w:rFonts w:hint="eastAsia" w:ascii="宋体" w:hAnsi="宋体"/>
          <w:b/>
          <w:bCs/>
          <w:sz w:val="24"/>
          <w:szCs w:val="24"/>
        </w:rPr>
        <w:t>投标人认为有必要提供的其他文件</w:t>
      </w:r>
      <w:bookmarkEnd w:id="227"/>
      <w:r>
        <w:rPr>
          <w:rFonts w:hint="eastAsia" w:ascii="宋体" w:hAnsi="宋体"/>
          <w:b/>
          <w:bCs/>
          <w:sz w:val="24"/>
          <w:szCs w:val="24"/>
          <w:lang w:eastAsia="zh-CN"/>
        </w:rPr>
        <w:t>（包括招标文件要求提供的标注</w:t>
      </w:r>
      <w:r>
        <w:rPr>
          <w:rFonts w:hint="eastAsia" w:ascii="宋体" w:hAnsi="宋体" w:eastAsia="宋体" w:cs="宋体"/>
          <w:b/>
          <w:bCs/>
          <w:color w:val="auto"/>
          <w:kern w:val="0"/>
          <w:sz w:val="24"/>
          <w:szCs w:val="24"/>
          <w:highlight w:val="none"/>
          <w:lang w:val="en-US" w:eastAsia="zh-CN" w:bidi="ar"/>
        </w:rPr>
        <w:t>★的承诺函及其他材料</w:t>
      </w:r>
      <w:r>
        <w:rPr>
          <w:rFonts w:hint="eastAsia" w:ascii="宋体" w:hAnsi="宋体"/>
          <w:b/>
          <w:bCs/>
          <w:sz w:val="24"/>
          <w:szCs w:val="24"/>
          <w:lang w:eastAsia="zh-CN"/>
        </w:rPr>
        <w:t>）</w:t>
      </w: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pacing w:val="-1"/>
          <w:sz w:val="24"/>
          <w:szCs w:val="24"/>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272"/>
        <w:ind w:left="0" w:leftChars="0" w:firstLine="428" w:firstLineChars="200"/>
        <w:rPr>
          <w:rFonts w:hint="eastAsia" w:ascii="宋体" w:hAnsi="宋体" w:cs="宋体"/>
          <w:b/>
          <w:bCs/>
          <w:color w:val="auto"/>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33"/>
        <w:ind w:left="0" w:leftChars="0" w:firstLine="0" w:firstLineChars="0"/>
        <w:rPr>
          <w:rFonts w:hint="eastAsia" w:ascii="宋体" w:hAnsi="宋体"/>
          <w:color w:val="auto"/>
          <w:sz w:val="24"/>
          <w:szCs w:val="24"/>
          <w:u w:val="none"/>
          <w:lang w:val="en-US" w:eastAsia="zh-CN"/>
        </w:rPr>
      </w:pPr>
    </w:p>
    <w:sectPr>
      <w:footerReference r:id="rId22"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Angsana New">
    <w:panose1 w:val="02020603050405020304"/>
    <w:charset w:val="DE"/>
    <w:family w:val="roman"/>
    <w:pitch w:val="default"/>
    <w:sig w:usb0="81000003" w:usb1="00000000" w:usb2="00000000" w:usb3="00000000" w:csb0="00010001" w:csb1="00000000"/>
  </w:font>
  <w:font w:name="幼圆">
    <w:altName w:val="宋体"/>
    <w:panose1 w:val="0201050906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MS PMincho">
    <w:panose1 w:val="02020600040205080304"/>
    <w:charset w:val="80"/>
    <w:family w:val="roman"/>
    <w:pitch w:val="default"/>
    <w:sig w:usb0="E00002FF" w:usb1="6AC7FDFB"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1002AFF" w:usb1="C0000002" w:usb2="00000008" w:usb3="00000000" w:csb0="200101FF" w:csb1="2028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DejaVuSans">
    <w:altName w:val="宋体"/>
    <w:panose1 w:val="00000000000000000000"/>
    <w:charset w:val="86"/>
    <w:family w:val="auto"/>
    <w:pitch w:val="default"/>
    <w:sig w:usb0="00000000" w:usb1="00000000" w:usb2="00000010" w:usb3="00000000" w:csb0="00040000" w:csb1="00000000"/>
  </w:font>
  <w:font w:name="TimesNewRomanPSMT">
    <w:altName w:val="Arial"/>
    <w:panose1 w:val="00000000000000000000"/>
    <w:charset w:val="00"/>
    <w:family w:val="swiss"/>
    <w:pitch w:val="default"/>
    <w:sig w:usb0="00000000" w:usb1="00000000" w:usb2="00000000" w:usb3="00000000" w:csb0="00000001" w:csb1="00000000"/>
  </w:font>
  <w:font w:name="FZSSK--GBK1-0">
    <w:altName w:val="宋体"/>
    <w:panose1 w:val="00000000000000000000"/>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Nyala">
    <w:panose1 w:val="02000504070300020003"/>
    <w:charset w:val="00"/>
    <w:family w:val="auto"/>
    <w:pitch w:val="default"/>
    <w:sig w:usb0="A000006F" w:usb1="00000000" w:usb2="00000800" w:usb3="00000000" w:csb0="00000093" w:csb1="00000000"/>
  </w:font>
  <w:font w:name="FZSSK--GBK1-0">
    <w:altName w:val="Segoe Print"/>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昆仑楷体">
    <w:altName w:val="宋体"/>
    <w:panose1 w:val="00000000000000000000"/>
    <w:charset w:val="86"/>
    <w:family w:val="modern"/>
    <w:pitch w:val="default"/>
    <w:sig w:usb0="00000000" w:usb1="00000000" w:usb2="00000010" w:usb3="00000000" w:csb0="00040000"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MS Mincho">
    <w:panose1 w:val="02020609040205080304"/>
    <w:charset w:val="80"/>
    <w:family w:val="auto"/>
    <w:pitch w:val="default"/>
    <w:sig w:usb0="E00002FF" w:usb1="6AC7FDFB" w:usb2="00000012" w:usb3="00000000" w:csb0="4002009F" w:csb1="DFD70000"/>
  </w:font>
  <w:font w:name="华文中宋">
    <w:altName w:val="宋体"/>
    <w:panose1 w:val="00000000000000000000"/>
    <w:charset w:val="00"/>
    <w:family w:val="auto"/>
    <w:pitch w:val="default"/>
    <w:sig w:usb0="00000000" w:usb1="00000000" w:usb2="00000000" w:usb3="00000000" w:csb0="00000000" w:csb1="00000000"/>
  </w:font>
  <w:font w:name="Noto Music">
    <w:altName w:val="Segoe Print"/>
    <w:panose1 w:val="020B0502040504020204"/>
    <w:charset w:val="00"/>
    <w:family w:val="auto"/>
    <w:pitch w:val="default"/>
    <w:sig w:usb0="00000000" w:usb1="00000000" w:usb2="01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KSOFBE25B2F9">
    <w:altName w:val="宋体"/>
    <w:panose1 w:val="02000000000000000000"/>
    <w:charset w:val="86"/>
    <w:family w:val="auto"/>
    <w:pitch w:val="default"/>
    <w:sig w:usb0="00000000" w:usb1="00000000" w:usb2="00000000" w:usb3="00000000" w:csb0="00040001" w:csb1="00000000"/>
  </w:font>
  <w:font w:name="NanumGothic">
    <w:altName w:val="Malgun Gothic"/>
    <w:panose1 w:val="020D0604000000000000"/>
    <w:charset w:val="81"/>
    <w:family w:val="auto"/>
    <w:pitch w:val="default"/>
    <w:sig w:usb0="00000000" w:usb1="00000000" w:usb2="00000010" w:usb3="00000000" w:csb0="00080001" w:csb1="00000000"/>
  </w:font>
  <w:font w:name="Noto Sans">
    <w:altName w:val="ksdb"/>
    <w:panose1 w:val="020B0502040504020204"/>
    <w:charset w:val="00"/>
    <w:family w:val="auto"/>
    <w:pitch w:val="default"/>
    <w:sig w:usb0="00000000" w:usb1="00000000" w:usb2="08000029" w:usb3="00100000" w:csb0="0000019F" w:csb1="00000000"/>
  </w:font>
  <w:font w:name="思源宋体">
    <w:altName w:val="宋体"/>
    <w:panose1 w:val="02020500000000000000"/>
    <w:charset w:val="86"/>
    <w:family w:val="auto"/>
    <w:pitch w:val="default"/>
    <w:sig w:usb0="00000000" w:usb1="00000000" w:usb2="00000016" w:usb3="00000000" w:csb0="602E0107" w:csb1="00000000"/>
  </w:font>
  <w:font w:name="ksdb">
    <w:panose1 w:val="02000500000000000000"/>
    <w:charset w:val="00"/>
    <w:family w:val="auto"/>
    <w:pitch w:val="default"/>
    <w:sig w:usb0="00000001" w:usb1="00000000" w:usb2="00000000" w:usb3="00000000" w:csb0="00000001" w:csb1="00000000"/>
  </w:font>
  <w:font w:name="汉仪君黑-35简">
    <w:altName w:val="黑体"/>
    <w:panose1 w:val="020B0604020202020204"/>
    <w:charset w:val="86"/>
    <w:family w:val="auto"/>
    <w:pitch w:val="default"/>
    <w:sig w:usb0="00000000" w:usb1="00000000" w:usb2="00000016" w:usb3="00000000" w:csb0="2004000F" w:csb1="00000000"/>
  </w:font>
  <w:font w:name="方正仿宋_GB2312">
    <w:altName w:val="仿宋"/>
    <w:panose1 w:val="02000000000000000000"/>
    <w:charset w:val="00"/>
    <w:family w:val="auto"/>
    <w:pitch w:val="default"/>
    <w:sig w:usb0="00000000" w:usb1="00000000" w:usb2="00000012" w:usb3="00000000" w:csb0="00040001" w:csb1="00000000"/>
  </w:font>
  <w:font w:name="Noto Sans Buginese">
    <w:altName w:val="Segoe Print"/>
    <w:panose1 w:val="020B0502040504020204"/>
    <w:charset w:val="00"/>
    <w:family w:val="auto"/>
    <w:pitch w:val="default"/>
    <w:sig w:usb0="00000000" w:usb1="00000000" w:usb2="00000000" w:usb3="00000001" w:csb0="00000001" w:csb1="00000000"/>
  </w:font>
  <w:font w:name="Wingdings 2">
    <w:altName w:val="Wingdings"/>
    <w:panose1 w:val="00000000000000000000"/>
    <w:charset w:val="00"/>
    <w:family w:val="auto"/>
    <w:pitch w:val="default"/>
    <w:sig w:usb0="00000000" w:usb1="00000000" w:usb2="00000000" w:usb3="00000000" w:csb0="00000000" w:csb1="00000000"/>
  </w:font>
  <w:font w:name="WPSEMBED17">
    <w:altName w:val="宋体"/>
    <w:panose1 w:val="02010600040101010101"/>
    <w:charset w:val="86"/>
    <w:family w:val="auto"/>
    <w:pitch w:val="default"/>
    <w:sig w:usb0="00000000" w:usb1="00000000" w:usb2="00000000" w:usb3="00000000" w:csb0="0004009F" w:csb1="DFD70000"/>
  </w:font>
  <w:font w:name="WPSEMBED18">
    <w:altName w:val="Segoe Print"/>
    <w:panose1 w:val="05020102010507070707"/>
    <w:charset w:val="00"/>
    <w:family w:val="auto"/>
    <w:pitch w:val="default"/>
    <w:sig w:usb0="00000000" w:usb1="00000000" w:usb2="00000000" w:usb3="00000000" w:csb0="80000000" w:csb1="00000000"/>
  </w:font>
  <w:font w:name="WPSEMBED19">
    <w:altName w:val="宋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Style w:val="4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7</w:t>
                    </w:r>
                    <w:r>
                      <w:fldChar w:fldCharType="end"/>
                    </w:r>
                  </w:p>
                </w:txbxContent>
              </v:textbox>
            </v:shape>
          </w:pict>
        </mc:Fallback>
      </mc:AlternateContent>
    </w:r>
  </w:p>
  <w:p>
    <w:pPr>
      <w:pStyle w:val="3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2"/>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XGfzERAgAACQQAAA4AAABkcnMvZTJvRG9jLnhtbK1TzY7TMBC+I/EO&#10;lu80adEu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dcZ/MRECAAAJBAAADgAAAAAAAAABACAA&#10;AAAfAQAAZHJzL2Uyb0RvYy54bWxQSwUGAAAAAAYABgBZAQAAog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1"/>
      <w:rPr>
        <w:rFonts w:ascii="Arial" w:hAnsi="Arial" w:eastAsia="Arial" w:cs="Arial"/>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58</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58</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before="3" w:line="200" w:lineRule="auto"/>
      <w:ind w:left="10700"/>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2992" behindDoc="0" locked="0" layoutInCell="0" allowOverlap="1">
              <wp:simplePos x="0" y="0"/>
              <wp:positionH relativeFrom="page">
                <wp:posOffset>900430</wp:posOffset>
              </wp:positionH>
              <wp:positionV relativeFrom="page">
                <wp:posOffset>718185</wp:posOffset>
              </wp:positionV>
              <wp:extent cx="889317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8893175" cy="9525"/>
                      </a:xfrm>
                      <a:custGeom>
                        <a:avLst/>
                        <a:gdLst/>
                        <a:ahLst/>
                        <a:cxnLst/>
                        <a:pathLst>
                          <a:path w="14005" h="15">
                            <a:moveTo>
                              <a:pt x="0" y="0"/>
                            </a:moveTo>
                            <a:lnTo>
                              <a:pt x="14004" y="0"/>
                            </a:lnTo>
                            <a:lnTo>
                              <a:pt x="14004"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70.9pt;margin-top:56.55pt;height:0.75pt;width:700.25pt;mso-position-horizontal-relative:page;mso-position-vertical-relative:page;z-index:251732992;mso-width-relative:page;mso-height-relative:page;" fillcolor="#000000" filled="t" stroked="f" coordsize="14005,15" o:allowincell="f" o:gfxdata="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ZNykbVAAAADAEAAA8AAAAAAAAAAQAgAAAAIgAAAGRycy9kb3ducmV2&#10;LnhtbFBLAQIUABQAAAAIAIdO4kD8L1he/wEAADkEAAAOAAAAAAAAAAEAIAAAACQBAABkcnMvZTJv&#10;RG9jLnhtbFBLBQYAAAAABgAGAFkBAACVBQAAAAA=&#10;" path="m0,0l14004,0,14004,14,0,14,0,0xe">
              <v:fill on="t" focussize="0,0"/>
              <v:stroke on="f"/>
              <v:imagedata o:title=""/>
              <o:lock v:ext="edit" aspectratio="f"/>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9203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920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Cg5bbv/AEAADYEAAAOAAAAAAAAAAEAIAAAACcBAABkcnMvZTJv&#10;RG9jLnhtbFBLBQYAAAAABgAGAFkBAACVBQ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75C110"/>
    <w:multiLevelType w:val="multilevel"/>
    <w:tmpl w:val="B175C11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00000001"/>
    <w:multiLevelType w:val="singleLevel"/>
    <w:tmpl w:val="00000001"/>
    <w:lvl w:ilvl="0" w:tentative="0">
      <w:start w:val="1"/>
      <w:numFmt w:val="bullet"/>
      <w:pStyle w:val="20"/>
      <w:lvlText w:val=""/>
      <w:lvlJc w:val="left"/>
      <w:pPr>
        <w:tabs>
          <w:tab w:val="left" w:pos="1200"/>
        </w:tabs>
        <w:ind w:left="1200" w:hanging="360"/>
      </w:pPr>
      <w:rPr>
        <w:rFonts w:hint="default" w:ascii="Wingdings" w:hAnsi="Wingdings"/>
      </w:rPr>
    </w:lvl>
  </w:abstractNum>
  <w:abstractNum w:abstractNumId="2">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5">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6">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81DB76F"/>
    <w:multiLevelType w:val="singleLevel"/>
    <w:tmpl w:val="081DB76F"/>
    <w:lvl w:ilvl="0" w:tentative="0">
      <w:start w:val="1"/>
      <w:numFmt w:val="decimal"/>
      <w:lvlText w:val="%1."/>
      <w:lvlJc w:val="left"/>
      <w:pPr>
        <w:tabs>
          <w:tab w:val="left" w:pos="312"/>
        </w:tabs>
      </w:p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51A1ADD9"/>
    <w:multiLevelType w:val="singleLevel"/>
    <w:tmpl w:val="51A1ADD9"/>
    <w:lvl w:ilvl="0" w:tentative="0">
      <w:start w:val="2"/>
      <w:numFmt w:val="decimal"/>
      <w:lvlText w:val="%1."/>
      <w:lvlJc w:val="left"/>
      <w:pPr>
        <w:tabs>
          <w:tab w:val="left" w:pos="312"/>
        </w:tabs>
      </w:pPr>
    </w:lvl>
  </w:abstractNum>
  <w:abstractNum w:abstractNumId="17">
    <w:nsid w:val="60D2DDBF"/>
    <w:multiLevelType w:val="singleLevel"/>
    <w:tmpl w:val="60D2DDBF"/>
    <w:lvl w:ilvl="0" w:tentative="0">
      <w:start w:val="1"/>
      <w:numFmt w:val="chineseCounting"/>
      <w:suff w:val="nothing"/>
      <w:lvlText w:val="%1、"/>
      <w:lvlJc w:val="left"/>
    </w:lvl>
  </w:abstractNum>
  <w:abstractNum w:abstractNumId="18">
    <w:nsid w:val="67A9C9FC"/>
    <w:multiLevelType w:val="singleLevel"/>
    <w:tmpl w:val="67A9C9FC"/>
    <w:lvl w:ilvl="0" w:tentative="0">
      <w:start w:val="5"/>
      <w:numFmt w:val="chineseCounting"/>
      <w:suff w:val="space"/>
      <w:lvlText w:val="第%1章"/>
      <w:lvlJc w:val="left"/>
    </w:lvl>
  </w:abstractNum>
  <w:abstractNum w:abstractNumId="19">
    <w:nsid w:val="67AAC149"/>
    <w:multiLevelType w:val="singleLevel"/>
    <w:tmpl w:val="67AAC149"/>
    <w:lvl w:ilvl="0" w:tentative="0">
      <w:start w:val="2"/>
      <w:numFmt w:val="decimal"/>
      <w:suff w:val="nothing"/>
      <w:lvlText w:val="%1."/>
      <w:lvlJc w:val="left"/>
    </w:lvl>
  </w:abstractNum>
  <w:abstractNum w:abstractNumId="20">
    <w:nsid w:val="683909EC"/>
    <w:multiLevelType w:val="singleLevel"/>
    <w:tmpl w:val="683909EC"/>
    <w:lvl w:ilvl="0" w:tentative="0">
      <w:start w:val="2"/>
      <w:numFmt w:val="chineseCounting"/>
      <w:suff w:val="nothing"/>
      <w:lvlText w:val="%1、"/>
      <w:lvlJc w:val="left"/>
    </w:lvl>
  </w:abstractNum>
  <w:abstractNum w:abstractNumId="21">
    <w:nsid w:val="6A029B3D"/>
    <w:multiLevelType w:val="singleLevel"/>
    <w:tmpl w:val="6A029B3D"/>
    <w:lvl w:ilvl="0" w:tentative="0">
      <w:start w:val="2"/>
      <w:numFmt w:val="chineseCounting"/>
      <w:suff w:val="nothing"/>
      <w:lvlText w:val="%1、"/>
      <w:lvlJc w:val="left"/>
    </w:lvl>
  </w:abstractNum>
  <w:abstractNum w:abstractNumId="22">
    <w:nsid w:val="6A45B816"/>
    <w:multiLevelType w:val="singleLevel"/>
    <w:tmpl w:val="6A45B816"/>
    <w:lvl w:ilvl="0" w:tentative="0">
      <w:start w:val="1"/>
      <w:numFmt w:val="decimal"/>
      <w:lvlText w:val="%1."/>
      <w:lvlJc w:val="left"/>
      <w:pPr>
        <w:tabs>
          <w:tab w:val="left" w:pos="312"/>
        </w:tabs>
      </w:p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5"/>
  </w:num>
  <w:num w:numId="3">
    <w:abstractNumId w:val="2"/>
  </w:num>
  <w:num w:numId="4">
    <w:abstractNumId w:val="6"/>
  </w:num>
  <w:num w:numId="5">
    <w:abstractNumId w:val="8"/>
  </w:num>
  <w:num w:numId="6">
    <w:abstractNumId w:val="7"/>
  </w:num>
  <w:num w:numId="7">
    <w:abstractNumId w:val="4"/>
  </w:num>
  <w:num w:numId="8">
    <w:abstractNumId w:val="3"/>
  </w:num>
  <w:num w:numId="9">
    <w:abstractNumId w:val="16"/>
  </w:num>
  <w:num w:numId="10">
    <w:abstractNumId w:val="10"/>
  </w:num>
  <w:num w:numId="11">
    <w:abstractNumId w:val="14"/>
  </w:num>
  <w:num w:numId="12">
    <w:abstractNumId w:val="9"/>
  </w:num>
  <w:num w:numId="13">
    <w:abstractNumId w:val="20"/>
  </w:num>
  <w:num w:numId="14">
    <w:abstractNumId w:val="13"/>
  </w:num>
  <w:num w:numId="15">
    <w:abstractNumId w:val="23"/>
  </w:num>
  <w:num w:numId="16">
    <w:abstractNumId w:val="21"/>
  </w:num>
  <w:num w:numId="17">
    <w:abstractNumId w:val="12"/>
  </w:num>
  <w:num w:numId="18">
    <w:abstractNumId w:val="22"/>
  </w:num>
  <w:num w:numId="19">
    <w:abstractNumId w:val="18"/>
  </w:num>
  <w:num w:numId="20">
    <w:abstractNumId w:val="0"/>
  </w:num>
  <w:num w:numId="21">
    <w:abstractNumId w:val="17"/>
  </w:num>
  <w:num w:numId="22">
    <w:abstractNumId w:val="15"/>
  </w:num>
  <w:num w:numId="23">
    <w:abstractNumId w:val="1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25"/>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05"/>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6D"/>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18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334"/>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821"/>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D463F"/>
    <w:rsid w:val="013579F5"/>
    <w:rsid w:val="015306FC"/>
    <w:rsid w:val="015B1D10"/>
    <w:rsid w:val="019610AF"/>
    <w:rsid w:val="019E6B17"/>
    <w:rsid w:val="01A93B28"/>
    <w:rsid w:val="01BA1597"/>
    <w:rsid w:val="01D2288C"/>
    <w:rsid w:val="01FA6456"/>
    <w:rsid w:val="020566AE"/>
    <w:rsid w:val="02075AE8"/>
    <w:rsid w:val="02135080"/>
    <w:rsid w:val="0213766F"/>
    <w:rsid w:val="0219617A"/>
    <w:rsid w:val="02247C34"/>
    <w:rsid w:val="02407C3D"/>
    <w:rsid w:val="028B7BC0"/>
    <w:rsid w:val="02955F3C"/>
    <w:rsid w:val="02A05858"/>
    <w:rsid w:val="02DF7FCE"/>
    <w:rsid w:val="02E636A6"/>
    <w:rsid w:val="032064E7"/>
    <w:rsid w:val="033436B5"/>
    <w:rsid w:val="033822ED"/>
    <w:rsid w:val="03837E2B"/>
    <w:rsid w:val="03855958"/>
    <w:rsid w:val="038C6ADB"/>
    <w:rsid w:val="03971A79"/>
    <w:rsid w:val="0399389A"/>
    <w:rsid w:val="03CE0D19"/>
    <w:rsid w:val="03DB755F"/>
    <w:rsid w:val="03E06414"/>
    <w:rsid w:val="03E2294A"/>
    <w:rsid w:val="03F10EA8"/>
    <w:rsid w:val="03F42FA9"/>
    <w:rsid w:val="040618AD"/>
    <w:rsid w:val="04246B5F"/>
    <w:rsid w:val="04690431"/>
    <w:rsid w:val="047356B1"/>
    <w:rsid w:val="0485477F"/>
    <w:rsid w:val="04A032AF"/>
    <w:rsid w:val="04C53F5B"/>
    <w:rsid w:val="04E348DB"/>
    <w:rsid w:val="04EC3396"/>
    <w:rsid w:val="04FA5522"/>
    <w:rsid w:val="05013FF0"/>
    <w:rsid w:val="050917D6"/>
    <w:rsid w:val="051226A7"/>
    <w:rsid w:val="05224BE3"/>
    <w:rsid w:val="05280636"/>
    <w:rsid w:val="052E5C7E"/>
    <w:rsid w:val="053D0287"/>
    <w:rsid w:val="055D06BE"/>
    <w:rsid w:val="05724525"/>
    <w:rsid w:val="057B478F"/>
    <w:rsid w:val="058137A3"/>
    <w:rsid w:val="05866E97"/>
    <w:rsid w:val="05954114"/>
    <w:rsid w:val="05C92ED4"/>
    <w:rsid w:val="05CC308B"/>
    <w:rsid w:val="05D576A0"/>
    <w:rsid w:val="05DD4D16"/>
    <w:rsid w:val="05EA6554"/>
    <w:rsid w:val="060743F1"/>
    <w:rsid w:val="061C4818"/>
    <w:rsid w:val="06225CF4"/>
    <w:rsid w:val="063E0A78"/>
    <w:rsid w:val="06565F0F"/>
    <w:rsid w:val="065F16F5"/>
    <w:rsid w:val="066A4B99"/>
    <w:rsid w:val="066F4475"/>
    <w:rsid w:val="06723B26"/>
    <w:rsid w:val="0677686C"/>
    <w:rsid w:val="06932B20"/>
    <w:rsid w:val="06A97C2E"/>
    <w:rsid w:val="06AB2C06"/>
    <w:rsid w:val="06E472B9"/>
    <w:rsid w:val="06FD64DA"/>
    <w:rsid w:val="07156F31"/>
    <w:rsid w:val="07195989"/>
    <w:rsid w:val="07487961"/>
    <w:rsid w:val="074D537D"/>
    <w:rsid w:val="075F66B9"/>
    <w:rsid w:val="076D5A73"/>
    <w:rsid w:val="07760549"/>
    <w:rsid w:val="0791008B"/>
    <w:rsid w:val="07A75A3B"/>
    <w:rsid w:val="07AF3E24"/>
    <w:rsid w:val="07CE7AC1"/>
    <w:rsid w:val="07E54168"/>
    <w:rsid w:val="080D0C27"/>
    <w:rsid w:val="08146BFD"/>
    <w:rsid w:val="084E377C"/>
    <w:rsid w:val="088B467B"/>
    <w:rsid w:val="089A5072"/>
    <w:rsid w:val="08A05CB0"/>
    <w:rsid w:val="08A318F8"/>
    <w:rsid w:val="08A40097"/>
    <w:rsid w:val="08BB742D"/>
    <w:rsid w:val="08CD5D91"/>
    <w:rsid w:val="08D7149D"/>
    <w:rsid w:val="08E27B5D"/>
    <w:rsid w:val="09063EB5"/>
    <w:rsid w:val="09273A6D"/>
    <w:rsid w:val="092822BC"/>
    <w:rsid w:val="09334456"/>
    <w:rsid w:val="095262B0"/>
    <w:rsid w:val="09624E40"/>
    <w:rsid w:val="09865CBD"/>
    <w:rsid w:val="098705F9"/>
    <w:rsid w:val="099621AA"/>
    <w:rsid w:val="099E5AD3"/>
    <w:rsid w:val="09A83CDB"/>
    <w:rsid w:val="09AF5D7B"/>
    <w:rsid w:val="09B70EC3"/>
    <w:rsid w:val="09D3773D"/>
    <w:rsid w:val="09DC6C87"/>
    <w:rsid w:val="09E42CBA"/>
    <w:rsid w:val="09EA131A"/>
    <w:rsid w:val="0A0C7DBE"/>
    <w:rsid w:val="0A67396E"/>
    <w:rsid w:val="0A791B72"/>
    <w:rsid w:val="0A8141D0"/>
    <w:rsid w:val="0A9918A5"/>
    <w:rsid w:val="0AA43F61"/>
    <w:rsid w:val="0AAB7D65"/>
    <w:rsid w:val="0AD74E58"/>
    <w:rsid w:val="0AF87DC5"/>
    <w:rsid w:val="0B33553F"/>
    <w:rsid w:val="0B6202FE"/>
    <w:rsid w:val="0B636D31"/>
    <w:rsid w:val="0B645C01"/>
    <w:rsid w:val="0B660C1A"/>
    <w:rsid w:val="0B6E1798"/>
    <w:rsid w:val="0B851F21"/>
    <w:rsid w:val="0B8A5EA6"/>
    <w:rsid w:val="0B8B5DC2"/>
    <w:rsid w:val="0B8D01CD"/>
    <w:rsid w:val="0B926EDF"/>
    <w:rsid w:val="0B970E83"/>
    <w:rsid w:val="0B9E5D00"/>
    <w:rsid w:val="0BA4681F"/>
    <w:rsid w:val="0BCD2E70"/>
    <w:rsid w:val="0BD01310"/>
    <w:rsid w:val="0BD116CD"/>
    <w:rsid w:val="0BDA0F5A"/>
    <w:rsid w:val="0BF84470"/>
    <w:rsid w:val="0C007DA7"/>
    <w:rsid w:val="0C1F03ED"/>
    <w:rsid w:val="0C211FA7"/>
    <w:rsid w:val="0C586080"/>
    <w:rsid w:val="0C777CB3"/>
    <w:rsid w:val="0CA72825"/>
    <w:rsid w:val="0CB076F6"/>
    <w:rsid w:val="0CB07C93"/>
    <w:rsid w:val="0CEC05AE"/>
    <w:rsid w:val="0D046D09"/>
    <w:rsid w:val="0D322D14"/>
    <w:rsid w:val="0D443FE3"/>
    <w:rsid w:val="0D475FEC"/>
    <w:rsid w:val="0D51690C"/>
    <w:rsid w:val="0D594B4C"/>
    <w:rsid w:val="0D621535"/>
    <w:rsid w:val="0D6A19A4"/>
    <w:rsid w:val="0D6C7581"/>
    <w:rsid w:val="0D881D67"/>
    <w:rsid w:val="0DA45344"/>
    <w:rsid w:val="0DA94DDF"/>
    <w:rsid w:val="0DDD5ACC"/>
    <w:rsid w:val="0DEA4AFF"/>
    <w:rsid w:val="0DED75D9"/>
    <w:rsid w:val="0E044535"/>
    <w:rsid w:val="0E1B3B90"/>
    <w:rsid w:val="0E1D3535"/>
    <w:rsid w:val="0E694544"/>
    <w:rsid w:val="0E7E2C68"/>
    <w:rsid w:val="0E8A1321"/>
    <w:rsid w:val="0EC07B9C"/>
    <w:rsid w:val="0EC468EB"/>
    <w:rsid w:val="0F1110B9"/>
    <w:rsid w:val="0F266253"/>
    <w:rsid w:val="0F294DF1"/>
    <w:rsid w:val="0F295DEA"/>
    <w:rsid w:val="0F466078"/>
    <w:rsid w:val="0F5A04B9"/>
    <w:rsid w:val="0F69322C"/>
    <w:rsid w:val="0F883043"/>
    <w:rsid w:val="0F9532BB"/>
    <w:rsid w:val="0FA20AAA"/>
    <w:rsid w:val="0FD4354D"/>
    <w:rsid w:val="0FD74732"/>
    <w:rsid w:val="0FE603A9"/>
    <w:rsid w:val="0FF55E07"/>
    <w:rsid w:val="101000E7"/>
    <w:rsid w:val="10132E91"/>
    <w:rsid w:val="101E79CF"/>
    <w:rsid w:val="102C2ED2"/>
    <w:rsid w:val="10305EF1"/>
    <w:rsid w:val="103C24E8"/>
    <w:rsid w:val="103C5897"/>
    <w:rsid w:val="10470B3A"/>
    <w:rsid w:val="104D5524"/>
    <w:rsid w:val="10606B56"/>
    <w:rsid w:val="10632DA9"/>
    <w:rsid w:val="10671B95"/>
    <w:rsid w:val="10A80300"/>
    <w:rsid w:val="10C22A64"/>
    <w:rsid w:val="10DD43F1"/>
    <w:rsid w:val="10E81825"/>
    <w:rsid w:val="10F3711D"/>
    <w:rsid w:val="10FE5A6B"/>
    <w:rsid w:val="1111262D"/>
    <w:rsid w:val="11121593"/>
    <w:rsid w:val="1129199C"/>
    <w:rsid w:val="11391213"/>
    <w:rsid w:val="113D7DAC"/>
    <w:rsid w:val="115B7B1C"/>
    <w:rsid w:val="11695CA6"/>
    <w:rsid w:val="11785937"/>
    <w:rsid w:val="11910661"/>
    <w:rsid w:val="11A258DB"/>
    <w:rsid w:val="11B23FFD"/>
    <w:rsid w:val="11BB5145"/>
    <w:rsid w:val="11CF1293"/>
    <w:rsid w:val="11F17561"/>
    <w:rsid w:val="12094B54"/>
    <w:rsid w:val="120C1974"/>
    <w:rsid w:val="121821CA"/>
    <w:rsid w:val="1232644F"/>
    <w:rsid w:val="12550B6A"/>
    <w:rsid w:val="127D7F3F"/>
    <w:rsid w:val="129D0E02"/>
    <w:rsid w:val="12A511D0"/>
    <w:rsid w:val="12B075EA"/>
    <w:rsid w:val="12B82A9A"/>
    <w:rsid w:val="12CC5537"/>
    <w:rsid w:val="12D15108"/>
    <w:rsid w:val="12D57A4B"/>
    <w:rsid w:val="12DB732A"/>
    <w:rsid w:val="12E6615B"/>
    <w:rsid w:val="1303182D"/>
    <w:rsid w:val="131C5563"/>
    <w:rsid w:val="13437A0A"/>
    <w:rsid w:val="135E65D1"/>
    <w:rsid w:val="13610B0C"/>
    <w:rsid w:val="13667F8A"/>
    <w:rsid w:val="136E3BCA"/>
    <w:rsid w:val="138E0016"/>
    <w:rsid w:val="139E022A"/>
    <w:rsid w:val="13CA2AB8"/>
    <w:rsid w:val="13F61D29"/>
    <w:rsid w:val="13F87C86"/>
    <w:rsid w:val="14252271"/>
    <w:rsid w:val="14292642"/>
    <w:rsid w:val="14392877"/>
    <w:rsid w:val="14452377"/>
    <w:rsid w:val="14583435"/>
    <w:rsid w:val="146E67DD"/>
    <w:rsid w:val="146F01F8"/>
    <w:rsid w:val="147F6568"/>
    <w:rsid w:val="148236C8"/>
    <w:rsid w:val="14AD36C2"/>
    <w:rsid w:val="14C42DF6"/>
    <w:rsid w:val="14D94B55"/>
    <w:rsid w:val="14FE73FD"/>
    <w:rsid w:val="14FF64A0"/>
    <w:rsid w:val="150A7419"/>
    <w:rsid w:val="1511603E"/>
    <w:rsid w:val="153161C4"/>
    <w:rsid w:val="15334A09"/>
    <w:rsid w:val="15A818B7"/>
    <w:rsid w:val="15DC15E7"/>
    <w:rsid w:val="160229C7"/>
    <w:rsid w:val="16053DB3"/>
    <w:rsid w:val="16211A53"/>
    <w:rsid w:val="16655A13"/>
    <w:rsid w:val="16682A2A"/>
    <w:rsid w:val="16BF0518"/>
    <w:rsid w:val="16D50D3F"/>
    <w:rsid w:val="16DC081C"/>
    <w:rsid w:val="16F4387B"/>
    <w:rsid w:val="171D2AE4"/>
    <w:rsid w:val="17532BDD"/>
    <w:rsid w:val="1757181F"/>
    <w:rsid w:val="17630C14"/>
    <w:rsid w:val="177D3AC3"/>
    <w:rsid w:val="179C1733"/>
    <w:rsid w:val="17A05589"/>
    <w:rsid w:val="17C84796"/>
    <w:rsid w:val="17DB3A3E"/>
    <w:rsid w:val="17F93E0B"/>
    <w:rsid w:val="18036383"/>
    <w:rsid w:val="180F6647"/>
    <w:rsid w:val="18316649"/>
    <w:rsid w:val="1836445A"/>
    <w:rsid w:val="186F2CFF"/>
    <w:rsid w:val="188D49AD"/>
    <w:rsid w:val="18950F62"/>
    <w:rsid w:val="18A1133F"/>
    <w:rsid w:val="18A81871"/>
    <w:rsid w:val="18AF6E04"/>
    <w:rsid w:val="18C9511C"/>
    <w:rsid w:val="18DD31F3"/>
    <w:rsid w:val="18FB1EFE"/>
    <w:rsid w:val="19043F59"/>
    <w:rsid w:val="190E743C"/>
    <w:rsid w:val="1948581F"/>
    <w:rsid w:val="195F6202"/>
    <w:rsid w:val="19720619"/>
    <w:rsid w:val="198314DC"/>
    <w:rsid w:val="199C76CF"/>
    <w:rsid w:val="19A22146"/>
    <w:rsid w:val="19A84768"/>
    <w:rsid w:val="19BD241B"/>
    <w:rsid w:val="19C64DD2"/>
    <w:rsid w:val="19E55A33"/>
    <w:rsid w:val="19E8295D"/>
    <w:rsid w:val="19F01C44"/>
    <w:rsid w:val="1A0528D8"/>
    <w:rsid w:val="1A082241"/>
    <w:rsid w:val="1A114FE2"/>
    <w:rsid w:val="1A151EE0"/>
    <w:rsid w:val="1A236C8F"/>
    <w:rsid w:val="1A361916"/>
    <w:rsid w:val="1A490DEC"/>
    <w:rsid w:val="1A4C3E2C"/>
    <w:rsid w:val="1A7A5B06"/>
    <w:rsid w:val="1A8A46A0"/>
    <w:rsid w:val="1A9075A3"/>
    <w:rsid w:val="1AB1245E"/>
    <w:rsid w:val="1AB31245"/>
    <w:rsid w:val="1AD01CF4"/>
    <w:rsid w:val="1ADA749F"/>
    <w:rsid w:val="1AE7527D"/>
    <w:rsid w:val="1AFD7DE7"/>
    <w:rsid w:val="1B1E64D9"/>
    <w:rsid w:val="1B45409F"/>
    <w:rsid w:val="1B47366A"/>
    <w:rsid w:val="1B56247E"/>
    <w:rsid w:val="1B88172B"/>
    <w:rsid w:val="1B942642"/>
    <w:rsid w:val="1BB73841"/>
    <w:rsid w:val="1BC12AB7"/>
    <w:rsid w:val="1BDA29E3"/>
    <w:rsid w:val="1BE37F80"/>
    <w:rsid w:val="1BF24C8C"/>
    <w:rsid w:val="1BFC0E50"/>
    <w:rsid w:val="1BFF34DE"/>
    <w:rsid w:val="1C1C00BE"/>
    <w:rsid w:val="1C2D08BF"/>
    <w:rsid w:val="1C455CA5"/>
    <w:rsid w:val="1C4657E5"/>
    <w:rsid w:val="1C636073"/>
    <w:rsid w:val="1C7A4325"/>
    <w:rsid w:val="1C824727"/>
    <w:rsid w:val="1CA06D4A"/>
    <w:rsid w:val="1CA65601"/>
    <w:rsid w:val="1CA665FA"/>
    <w:rsid w:val="1CAF3868"/>
    <w:rsid w:val="1CCC4623"/>
    <w:rsid w:val="1CEB1AD9"/>
    <w:rsid w:val="1CF1781E"/>
    <w:rsid w:val="1D0336FA"/>
    <w:rsid w:val="1D056966"/>
    <w:rsid w:val="1D1E0A50"/>
    <w:rsid w:val="1D2109B3"/>
    <w:rsid w:val="1D2300D4"/>
    <w:rsid w:val="1D2C69D2"/>
    <w:rsid w:val="1D37260E"/>
    <w:rsid w:val="1D423F46"/>
    <w:rsid w:val="1D451205"/>
    <w:rsid w:val="1D57770E"/>
    <w:rsid w:val="1D7478BC"/>
    <w:rsid w:val="1D7D102F"/>
    <w:rsid w:val="1D8C721C"/>
    <w:rsid w:val="1D9E303B"/>
    <w:rsid w:val="1DA2343A"/>
    <w:rsid w:val="1DAD522A"/>
    <w:rsid w:val="1DE04A98"/>
    <w:rsid w:val="1DEF78D2"/>
    <w:rsid w:val="1E022962"/>
    <w:rsid w:val="1E17772B"/>
    <w:rsid w:val="1E2C7679"/>
    <w:rsid w:val="1E4B6E8E"/>
    <w:rsid w:val="1E4C7BD1"/>
    <w:rsid w:val="1E5E262B"/>
    <w:rsid w:val="1E6B4E27"/>
    <w:rsid w:val="1E7A4D1D"/>
    <w:rsid w:val="1EAF2087"/>
    <w:rsid w:val="1EB517AC"/>
    <w:rsid w:val="1EDD1986"/>
    <w:rsid w:val="1EFA2F0E"/>
    <w:rsid w:val="1EFD6054"/>
    <w:rsid w:val="1EFE6169"/>
    <w:rsid w:val="1F33379A"/>
    <w:rsid w:val="1F466D8F"/>
    <w:rsid w:val="1F4922F0"/>
    <w:rsid w:val="1F4C2C2C"/>
    <w:rsid w:val="1F5D50DF"/>
    <w:rsid w:val="1F6D5680"/>
    <w:rsid w:val="1F71011B"/>
    <w:rsid w:val="1F7C2EC0"/>
    <w:rsid w:val="1FA17F79"/>
    <w:rsid w:val="1FA25157"/>
    <w:rsid w:val="1FB057D2"/>
    <w:rsid w:val="1FBB0A86"/>
    <w:rsid w:val="1FBF7DA5"/>
    <w:rsid w:val="1FC45BEE"/>
    <w:rsid w:val="1FE21FC1"/>
    <w:rsid w:val="1FF16B7D"/>
    <w:rsid w:val="1FFE7725"/>
    <w:rsid w:val="200265E3"/>
    <w:rsid w:val="20063F5F"/>
    <w:rsid w:val="2041008A"/>
    <w:rsid w:val="20463C42"/>
    <w:rsid w:val="20620629"/>
    <w:rsid w:val="208257A3"/>
    <w:rsid w:val="20915573"/>
    <w:rsid w:val="209D0520"/>
    <w:rsid w:val="20A21D6F"/>
    <w:rsid w:val="20A64C03"/>
    <w:rsid w:val="20A67D42"/>
    <w:rsid w:val="20A71F4F"/>
    <w:rsid w:val="20BE42E1"/>
    <w:rsid w:val="20C51AB7"/>
    <w:rsid w:val="20E71F9F"/>
    <w:rsid w:val="20F81F96"/>
    <w:rsid w:val="21174BF4"/>
    <w:rsid w:val="212A104D"/>
    <w:rsid w:val="21443E0D"/>
    <w:rsid w:val="214608D2"/>
    <w:rsid w:val="214771FE"/>
    <w:rsid w:val="2178380F"/>
    <w:rsid w:val="218E32F6"/>
    <w:rsid w:val="21D46BE4"/>
    <w:rsid w:val="21F75BA5"/>
    <w:rsid w:val="22107AF3"/>
    <w:rsid w:val="22451AB9"/>
    <w:rsid w:val="225873EA"/>
    <w:rsid w:val="22601823"/>
    <w:rsid w:val="22623DD5"/>
    <w:rsid w:val="226866BE"/>
    <w:rsid w:val="229476D3"/>
    <w:rsid w:val="22A95ADE"/>
    <w:rsid w:val="22B17F9D"/>
    <w:rsid w:val="22BD5004"/>
    <w:rsid w:val="22BD7A0A"/>
    <w:rsid w:val="22E73498"/>
    <w:rsid w:val="231805F5"/>
    <w:rsid w:val="231B032A"/>
    <w:rsid w:val="23320144"/>
    <w:rsid w:val="234A0787"/>
    <w:rsid w:val="23672B14"/>
    <w:rsid w:val="238C6DC7"/>
    <w:rsid w:val="239E00B4"/>
    <w:rsid w:val="23A128D5"/>
    <w:rsid w:val="23B65053"/>
    <w:rsid w:val="23BD1996"/>
    <w:rsid w:val="23EA153C"/>
    <w:rsid w:val="2409467A"/>
    <w:rsid w:val="24111CD9"/>
    <w:rsid w:val="2423211D"/>
    <w:rsid w:val="244A5173"/>
    <w:rsid w:val="246B4C53"/>
    <w:rsid w:val="248D10AB"/>
    <w:rsid w:val="249F0F19"/>
    <w:rsid w:val="24B24CD6"/>
    <w:rsid w:val="24B6092B"/>
    <w:rsid w:val="24D467CB"/>
    <w:rsid w:val="24E84040"/>
    <w:rsid w:val="250B2958"/>
    <w:rsid w:val="25170D9F"/>
    <w:rsid w:val="251E74A4"/>
    <w:rsid w:val="2536485B"/>
    <w:rsid w:val="25436B58"/>
    <w:rsid w:val="254B13D2"/>
    <w:rsid w:val="25634A0A"/>
    <w:rsid w:val="2566542B"/>
    <w:rsid w:val="256F6760"/>
    <w:rsid w:val="25720A56"/>
    <w:rsid w:val="25815539"/>
    <w:rsid w:val="259D2BCF"/>
    <w:rsid w:val="25BB705C"/>
    <w:rsid w:val="25C85FF8"/>
    <w:rsid w:val="25CA477C"/>
    <w:rsid w:val="25FF765A"/>
    <w:rsid w:val="26020C74"/>
    <w:rsid w:val="26125556"/>
    <w:rsid w:val="26354088"/>
    <w:rsid w:val="26431709"/>
    <w:rsid w:val="265B22B1"/>
    <w:rsid w:val="267470F2"/>
    <w:rsid w:val="267D3673"/>
    <w:rsid w:val="267F5518"/>
    <w:rsid w:val="26946331"/>
    <w:rsid w:val="26C6494B"/>
    <w:rsid w:val="26CD477E"/>
    <w:rsid w:val="26E637B8"/>
    <w:rsid w:val="26F926C6"/>
    <w:rsid w:val="272754B0"/>
    <w:rsid w:val="273E38C0"/>
    <w:rsid w:val="274D7FB9"/>
    <w:rsid w:val="276E683A"/>
    <w:rsid w:val="27824473"/>
    <w:rsid w:val="27843CE5"/>
    <w:rsid w:val="27862673"/>
    <w:rsid w:val="278D4CCB"/>
    <w:rsid w:val="27A23263"/>
    <w:rsid w:val="27BF7295"/>
    <w:rsid w:val="27C31951"/>
    <w:rsid w:val="27CB0990"/>
    <w:rsid w:val="27CD1960"/>
    <w:rsid w:val="27DD47D4"/>
    <w:rsid w:val="27ED4992"/>
    <w:rsid w:val="28016CCD"/>
    <w:rsid w:val="2808335C"/>
    <w:rsid w:val="2814723F"/>
    <w:rsid w:val="28290BC0"/>
    <w:rsid w:val="2839497A"/>
    <w:rsid w:val="283A6B48"/>
    <w:rsid w:val="28446059"/>
    <w:rsid w:val="284F19CF"/>
    <w:rsid w:val="28535360"/>
    <w:rsid w:val="28756B84"/>
    <w:rsid w:val="28793E20"/>
    <w:rsid w:val="287A361C"/>
    <w:rsid w:val="287C281D"/>
    <w:rsid w:val="287E6156"/>
    <w:rsid w:val="28886BF5"/>
    <w:rsid w:val="288A6DDD"/>
    <w:rsid w:val="28914BF0"/>
    <w:rsid w:val="28CC2370"/>
    <w:rsid w:val="290D7CAF"/>
    <w:rsid w:val="29724D07"/>
    <w:rsid w:val="29A53857"/>
    <w:rsid w:val="29C86741"/>
    <w:rsid w:val="29DE3EC9"/>
    <w:rsid w:val="29E2223C"/>
    <w:rsid w:val="29EE3E28"/>
    <w:rsid w:val="2A046B81"/>
    <w:rsid w:val="2A0A2709"/>
    <w:rsid w:val="2A0F1E0F"/>
    <w:rsid w:val="2A36737A"/>
    <w:rsid w:val="2A3E2F8B"/>
    <w:rsid w:val="2A4028F6"/>
    <w:rsid w:val="2A4C1CE5"/>
    <w:rsid w:val="2A7725A2"/>
    <w:rsid w:val="2AA607D0"/>
    <w:rsid w:val="2AB313EC"/>
    <w:rsid w:val="2ABB3C90"/>
    <w:rsid w:val="2ABE0260"/>
    <w:rsid w:val="2ACE7DBF"/>
    <w:rsid w:val="2AE97A1A"/>
    <w:rsid w:val="2B00090F"/>
    <w:rsid w:val="2B0A6D2B"/>
    <w:rsid w:val="2B2E289C"/>
    <w:rsid w:val="2B3128A3"/>
    <w:rsid w:val="2B3408C5"/>
    <w:rsid w:val="2B4324C3"/>
    <w:rsid w:val="2B4350B7"/>
    <w:rsid w:val="2B447DC8"/>
    <w:rsid w:val="2B6B0C83"/>
    <w:rsid w:val="2B794137"/>
    <w:rsid w:val="2B936AAC"/>
    <w:rsid w:val="2BBA3899"/>
    <w:rsid w:val="2BCF4D78"/>
    <w:rsid w:val="2BD1105A"/>
    <w:rsid w:val="2BDF404C"/>
    <w:rsid w:val="2C0A3257"/>
    <w:rsid w:val="2C0B7D36"/>
    <w:rsid w:val="2C393380"/>
    <w:rsid w:val="2C6F45F1"/>
    <w:rsid w:val="2C771684"/>
    <w:rsid w:val="2C923005"/>
    <w:rsid w:val="2C946733"/>
    <w:rsid w:val="2C9C223C"/>
    <w:rsid w:val="2CAB7B7C"/>
    <w:rsid w:val="2CC23898"/>
    <w:rsid w:val="2CF72DF5"/>
    <w:rsid w:val="2D046A34"/>
    <w:rsid w:val="2D0A107E"/>
    <w:rsid w:val="2D0A4B9A"/>
    <w:rsid w:val="2D26209C"/>
    <w:rsid w:val="2D3D5F71"/>
    <w:rsid w:val="2D3F0882"/>
    <w:rsid w:val="2D615918"/>
    <w:rsid w:val="2D676EAB"/>
    <w:rsid w:val="2D701F55"/>
    <w:rsid w:val="2DA50CE2"/>
    <w:rsid w:val="2DAC6040"/>
    <w:rsid w:val="2DB435EE"/>
    <w:rsid w:val="2DB81406"/>
    <w:rsid w:val="2DC818F0"/>
    <w:rsid w:val="2DCF329F"/>
    <w:rsid w:val="2DDC6680"/>
    <w:rsid w:val="2DEF33C1"/>
    <w:rsid w:val="2DF23207"/>
    <w:rsid w:val="2E0208A2"/>
    <w:rsid w:val="2E0B29EF"/>
    <w:rsid w:val="2E236C60"/>
    <w:rsid w:val="2E321FE3"/>
    <w:rsid w:val="2E4014FF"/>
    <w:rsid w:val="2E5846B0"/>
    <w:rsid w:val="2E720E2D"/>
    <w:rsid w:val="2E813748"/>
    <w:rsid w:val="2E880521"/>
    <w:rsid w:val="2EAC19F6"/>
    <w:rsid w:val="2EDE7BE9"/>
    <w:rsid w:val="2EF35FAE"/>
    <w:rsid w:val="2F151AED"/>
    <w:rsid w:val="2F2D7240"/>
    <w:rsid w:val="2F347AF2"/>
    <w:rsid w:val="2F4252D7"/>
    <w:rsid w:val="2F6B6A2C"/>
    <w:rsid w:val="2F8C718B"/>
    <w:rsid w:val="2FCB4DE2"/>
    <w:rsid w:val="2FE26E16"/>
    <w:rsid w:val="300C0DE6"/>
    <w:rsid w:val="30137A60"/>
    <w:rsid w:val="302F0CE1"/>
    <w:rsid w:val="304C5128"/>
    <w:rsid w:val="30501228"/>
    <w:rsid w:val="305C4091"/>
    <w:rsid w:val="30667DDB"/>
    <w:rsid w:val="306730ED"/>
    <w:rsid w:val="3077701B"/>
    <w:rsid w:val="308C4771"/>
    <w:rsid w:val="30B510B1"/>
    <w:rsid w:val="30C362EE"/>
    <w:rsid w:val="30CE3C5E"/>
    <w:rsid w:val="30E24176"/>
    <w:rsid w:val="30EC6CFD"/>
    <w:rsid w:val="31023BA7"/>
    <w:rsid w:val="31360245"/>
    <w:rsid w:val="313C3B2F"/>
    <w:rsid w:val="31532902"/>
    <w:rsid w:val="315A1912"/>
    <w:rsid w:val="31AF493B"/>
    <w:rsid w:val="31C76822"/>
    <w:rsid w:val="32015D18"/>
    <w:rsid w:val="322450A1"/>
    <w:rsid w:val="323E7FB7"/>
    <w:rsid w:val="324C6F35"/>
    <w:rsid w:val="326230C3"/>
    <w:rsid w:val="326B676A"/>
    <w:rsid w:val="328732E2"/>
    <w:rsid w:val="32BA7A4E"/>
    <w:rsid w:val="32BC5EA9"/>
    <w:rsid w:val="32C037B0"/>
    <w:rsid w:val="32D06C7A"/>
    <w:rsid w:val="32D33486"/>
    <w:rsid w:val="32EB653A"/>
    <w:rsid w:val="32FE1168"/>
    <w:rsid w:val="33137B52"/>
    <w:rsid w:val="33142F04"/>
    <w:rsid w:val="331F336B"/>
    <w:rsid w:val="33206D52"/>
    <w:rsid w:val="33230A25"/>
    <w:rsid w:val="33240D85"/>
    <w:rsid w:val="332A5582"/>
    <w:rsid w:val="332B7A03"/>
    <w:rsid w:val="332F7F90"/>
    <w:rsid w:val="33363A11"/>
    <w:rsid w:val="333A2992"/>
    <w:rsid w:val="3358075B"/>
    <w:rsid w:val="335C70A5"/>
    <w:rsid w:val="337A066E"/>
    <w:rsid w:val="33FD2D8D"/>
    <w:rsid w:val="33FF6811"/>
    <w:rsid w:val="34036B67"/>
    <w:rsid w:val="34037417"/>
    <w:rsid w:val="34140900"/>
    <w:rsid w:val="342C426D"/>
    <w:rsid w:val="342D477F"/>
    <w:rsid w:val="343347D5"/>
    <w:rsid w:val="344A69F0"/>
    <w:rsid w:val="34550536"/>
    <w:rsid w:val="346C0023"/>
    <w:rsid w:val="34C02EFD"/>
    <w:rsid w:val="34CE77C2"/>
    <w:rsid w:val="3502205A"/>
    <w:rsid w:val="35116EC1"/>
    <w:rsid w:val="35152803"/>
    <w:rsid w:val="35230DBE"/>
    <w:rsid w:val="353020EE"/>
    <w:rsid w:val="35344A5B"/>
    <w:rsid w:val="3543265C"/>
    <w:rsid w:val="35583716"/>
    <w:rsid w:val="355E296A"/>
    <w:rsid w:val="359623AB"/>
    <w:rsid w:val="35AF4403"/>
    <w:rsid w:val="35BD2A88"/>
    <w:rsid w:val="35D7602E"/>
    <w:rsid w:val="35EA3D03"/>
    <w:rsid w:val="360D79B6"/>
    <w:rsid w:val="362A2AAF"/>
    <w:rsid w:val="364A0032"/>
    <w:rsid w:val="36565878"/>
    <w:rsid w:val="366660D2"/>
    <w:rsid w:val="36914AEF"/>
    <w:rsid w:val="369A7B88"/>
    <w:rsid w:val="36C41057"/>
    <w:rsid w:val="36D111BC"/>
    <w:rsid w:val="37045E50"/>
    <w:rsid w:val="37172392"/>
    <w:rsid w:val="372B1537"/>
    <w:rsid w:val="373332CF"/>
    <w:rsid w:val="37556407"/>
    <w:rsid w:val="378400EB"/>
    <w:rsid w:val="37B409D1"/>
    <w:rsid w:val="37B51A85"/>
    <w:rsid w:val="37B8105E"/>
    <w:rsid w:val="37CE1367"/>
    <w:rsid w:val="37D40D65"/>
    <w:rsid w:val="38024DBB"/>
    <w:rsid w:val="38063AEA"/>
    <w:rsid w:val="381468B7"/>
    <w:rsid w:val="381C797C"/>
    <w:rsid w:val="383F3B2A"/>
    <w:rsid w:val="384509E7"/>
    <w:rsid w:val="387E6443"/>
    <w:rsid w:val="38963B12"/>
    <w:rsid w:val="389B4032"/>
    <w:rsid w:val="38A2244C"/>
    <w:rsid w:val="38AE142B"/>
    <w:rsid w:val="390A23F6"/>
    <w:rsid w:val="390F4D06"/>
    <w:rsid w:val="392707B8"/>
    <w:rsid w:val="39300B64"/>
    <w:rsid w:val="394916AE"/>
    <w:rsid w:val="39522CEE"/>
    <w:rsid w:val="39736CE6"/>
    <w:rsid w:val="39891433"/>
    <w:rsid w:val="398C1D20"/>
    <w:rsid w:val="39946986"/>
    <w:rsid w:val="399D36E6"/>
    <w:rsid w:val="39B33ACA"/>
    <w:rsid w:val="39B8405F"/>
    <w:rsid w:val="39D177DC"/>
    <w:rsid w:val="39DC1343"/>
    <w:rsid w:val="3A090FFB"/>
    <w:rsid w:val="3A0F00F2"/>
    <w:rsid w:val="3A151101"/>
    <w:rsid w:val="3A1B7E54"/>
    <w:rsid w:val="3A230A2B"/>
    <w:rsid w:val="3A3A1E33"/>
    <w:rsid w:val="3A444FA5"/>
    <w:rsid w:val="3A612235"/>
    <w:rsid w:val="3A734F90"/>
    <w:rsid w:val="3A780677"/>
    <w:rsid w:val="3A81181E"/>
    <w:rsid w:val="3A83170F"/>
    <w:rsid w:val="3A8874F8"/>
    <w:rsid w:val="3A9312D0"/>
    <w:rsid w:val="3AB42E15"/>
    <w:rsid w:val="3AB848B6"/>
    <w:rsid w:val="3ABD3B0B"/>
    <w:rsid w:val="3B032848"/>
    <w:rsid w:val="3B084243"/>
    <w:rsid w:val="3B100C4F"/>
    <w:rsid w:val="3B173B7F"/>
    <w:rsid w:val="3B3679DE"/>
    <w:rsid w:val="3B552124"/>
    <w:rsid w:val="3B57212E"/>
    <w:rsid w:val="3B8618A2"/>
    <w:rsid w:val="3B8A37F6"/>
    <w:rsid w:val="3B9B0921"/>
    <w:rsid w:val="3BB51BE7"/>
    <w:rsid w:val="3BB5602D"/>
    <w:rsid w:val="3BC65088"/>
    <w:rsid w:val="3BCB6780"/>
    <w:rsid w:val="3BDF2AA0"/>
    <w:rsid w:val="3BE000B5"/>
    <w:rsid w:val="3BE912E3"/>
    <w:rsid w:val="3C1A2DCC"/>
    <w:rsid w:val="3C2F1602"/>
    <w:rsid w:val="3C316275"/>
    <w:rsid w:val="3C474553"/>
    <w:rsid w:val="3C4D3733"/>
    <w:rsid w:val="3C812E4B"/>
    <w:rsid w:val="3C8B27F5"/>
    <w:rsid w:val="3C9259A8"/>
    <w:rsid w:val="3C9B0915"/>
    <w:rsid w:val="3CAD468A"/>
    <w:rsid w:val="3CBA00A9"/>
    <w:rsid w:val="3CC45A9B"/>
    <w:rsid w:val="3CC64E47"/>
    <w:rsid w:val="3CDE0E6D"/>
    <w:rsid w:val="3CED41DF"/>
    <w:rsid w:val="3CF24261"/>
    <w:rsid w:val="3CF37F43"/>
    <w:rsid w:val="3D036E69"/>
    <w:rsid w:val="3D0C5052"/>
    <w:rsid w:val="3D25588D"/>
    <w:rsid w:val="3D2C1884"/>
    <w:rsid w:val="3D344060"/>
    <w:rsid w:val="3D4726E3"/>
    <w:rsid w:val="3D4B047C"/>
    <w:rsid w:val="3D660C6F"/>
    <w:rsid w:val="3D68760C"/>
    <w:rsid w:val="3D700F04"/>
    <w:rsid w:val="3D70539A"/>
    <w:rsid w:val="3D8A2EA8"/>
    <w:rsid w:val="3DA742B0"/>
    <w:rsid w:val="3DB03A87"/>
    <w:rsid w:val="3DCA3E8D"/>
    <w:rsid w:val="3DD27E02"/>
    <w:rsid w:val="3DE625C4"/>
    <w:rsid w:val="3DF3242E"/>
    <w:rsid w:val="3DFA04AC"/>
    <w:rsid w:val="3DFD5B5F"/>
    <w:rsid w:val="3E0458A5"/>
    <w:rsid w:val="3E34187D"/>
    <w:rsid w:val="3E4563F0"/>
    <w:rsid w:val="3E4E31BD"/>
    <w:rsid w:val="3E561028"/>
    <w:rsid w:val="3E63229A"/>
    <w:rsid w:val="3E74186F"/>
    <w:rsid w:val="3E9F72FD"/>
    <w:rsid w:val="3EA17808"/>
    <w:rsid w:val="3EAD1741"/>
    <w:rsid w:val="3EC55A5E"/>
    <w:rsid w:val="3EC65BCF"/>
    <w:rsid w:val="3ECE1735"/>
    <w:rsid w:val="3EE00869"/>
    <w:rsid w:val="3EE214AB"/>
    <w:rsid w:val="3F241FCA"/>
    <w:rsid w:val="3F3863D7"/>
    <w:rsid w:val="3F4D0E31"/>
    <w:rsid w:val="3F570DC3"/>
    <w:rsid w:val="3F573A7F"/>
    <w:rsid w:val="3F5C6305"/>
    <w:rsid w:val="3F5E6047"/>
    <w:rsid w:val="3F7612B0"/>
    <w:rsid w:val="3F83330C"/>
    <w:rsid w:val="3F861F6C"/>
    <w:rsid w:val="3F90223A"/>
    <w:rsid w:val="3FC1022F"/>
    <w:rsid w:val="3FC11602"/>
    <w:rsid w:val="3FC86B4B"/>
    <w:rsid w:val="3FD22F19"/>
    <w:rsid w:val="401B7DE2"/>
    <w:rsid w:val="405B4F03"/>
    <w:rsid w:val="406E36E7"/>
    <w:rsid w:val="40756541"/>
    <w:rsid w:val="40790E7C"/>
    <w:rsid w:val="408C6ACE"/>
    <w:rsid w:val="40905D53"/>
    <w:rsid w:val="40A74041"/>
    <w:rsid w:val="40AD15F4"/>
    <w:rsid w:val="40B95A74"/>
    <w:rsid w:val="40C241E9"/>
    <w:rsid w:val="40C66925"/>
    <w:rsid w:val="40E469C3"/>
    <w:rsid w:val="40ED49EA"/>
    <w:rsid w:val="41036D01"/>
    <w:rsid w:val="41114054"/>
    <w:rsid w:val="41292DCC"/>
    <w:rsid w:val="41390199"/>
    <w:rsid w:val="414D3728"/>
    <w:rsid w:val="41562AF9"/>
    <w:rsid w:val="41567176"/>
    <w:rsid w:val="415B093F"/>
    <w:rsid w:val="41647341"/>
    <w:rsid w:val="41651DB4"/>
    <w:rsid w:val="416D492B"/>
    <w:rsid w:val="41747113"/>
    <w:rsid w:val="41A8322B"/>
    <w:rsid w:val="41A96742"/>
    <w:rsid w:val="41AF55C5"/>
    <w:rsid w:val="41CC2BAC"/>
    <w:rsid w:val="41E701E2"/>
    <w:rsid w:val="41F93808"/>
    <w:rsid w:val="4207589A"/>
    <w:rsid w:val="420F3501"/>
    <w:rsid w:val="421B6BC2"/>
    <w:rsid w:val="4240333F"/>
    <w:rsid w:val="424B6323"/>
    <w:rsid w:val="424F28C9"/>
    <w:rsid w:val="4257123B"/>
    <w:rsid w:val="428E71B1"/>
    <w:rsid w:val="429D71A7"/>
    <w:rsid w:val="42AC4F07"/>
    <w:rsid w:val="42CD0A98"/>
    <w:rsid w:val="42D11C4A"/>
    <w:rsid w:val="42DB5F18"/>
    <w:rsid w:val="42EE2E8B"/>
    <w:rsid w:val="42EF6C5C"/>
    <w:rsid w:val="42F274B5"/>
    <w:rsid w:val="42F32C46"/>
    <w:rsid w:val="42F4617B"/>
    <w:rsid w:val="430219AD"/>
    <w:rsid w:val="43046F88"/>
    <w:rsid w:val="430A5A6F"/>
    <w:rsid w:val="431A0C09"/>
    <w:rsid w:val="431A3703"/>
    <w:rsid w:val="432C3CF8"/>
    <w:rsid w:val="433A79E6"/>
    <w:rsid w:val="433F2C8F"/>
    <w:rsid w:val="43785872"/>
    <w:rsid w:val="437A0555"/>
    <w:rsid w:val="4386655F"/>
    <w:rsid w:val="439E64EE"/>
    <w:rsid w:val="43A50BB4"/>
    <w:rsid w:val="43B72B92"/>
    <w:rsid w:val="43FC44AD"/>
    <w:rsid w:val="440F7E52"/>
    <w:rsid w:val="444563C3"/>
    <w:rsid w:val="44466D5C"/>
    <w:rsid w:val="444F47F6"/>
    <w:rsid w:val="446570B8"/>
    <w:rsid w:val="44746D1C"/>
    <w:rsid w:val="44812D34"/>
    <w:rsid w:val="449C6ED1"/>
    <w:rsid w:val="44A94E2F"/>
    <w:rsid w:val="44AA2639"/>
    <w:rsid w:val="44B4014A"/>
    <w:rsid w:val="44BD354B"/>
    <w:rsid w:val="44D5527E"/>
    <w:rsid w:val="44DE7D8C"/>
    <w:rsid w:val="44EE1BC7"/>
    <w:rsid w:val="44F06DC0"/>
    <w:rsid w:val="44FB129D"/>
    <w:rsid w:val="450A1F1A"/>
    <w:rsid w:val="450B2788"/>
    <w:rsid w:val="451E2BA6"/>
    <w:rsid w:val="452562B6"/>
    <w:rsid w:val="45261F00"/>
    <w:rsid w:val="45336CAD"/>
    <w:rsid w:val="455D6CD6"/>
    <w:rsid w:val="458A1954"/>
    <w:rsid w:val="45A5130C"/>
    <w:rsid w:val="45C9503B"/>
    <w:rsid w:val="45D104D7"/>
    <w:rsid w:val="45D67652"/>
    <w:rsid w:val="45DE3938"/>
    <w:rsid w:val="45EA2E9B"/>
    <w:rsid w:val="45FB03C2"/>
    <w:rsid w:val="46024764"/>
    <w:rsid w:val="460C076A"/>
    <w:rsid w:val="4658440B"/>
    <w:rsid w:val="46647A66"/>
    <w:rsid w:val="46947D28"/>
    <w:rsid w:val="469A0A6E"/>
    <w:rsid w:val="46A01E6D"/>
    <w:rsid w:val="46AB6B23"/>
    <w:rsid w:val="46B50A1E"/>
    <w:rsid w:val="46C66E26"/>
    <w:rsid w:val="46DB3AEE"/>
    <w:rsid w:val="46E22739"/>
    <w:rsid w:val="46E6508F"/>
    <w:rsid w:val="46E671C0"/>
    <w:rsid w:val="47252B24"/>
    <w:rsid w:val="47310680"/>
    <w:rsid w:val="4760595D"/>
    <w:rsid w:val="476F4B95"/>
    <w:rsid w:val="47715180"/>
    <w:rsid w:val="4772773F"/>
    <w:rsid w:val="477A72A8"/>
    <w:rsid w:val="479915B8"/>
    <w:rsid w:val="47A900A2"/>
    <w:rsid w:val="47C11810"/>
    <w:rsid w:val="47EB3470"/>
    <w:rsid w:val="47F07066"/>
    <w:rsid w:val="48016693"/>
    <w:rsid w:val="480E2158"/>
    <w:rsid w:val="480E5668"/>
    <w:rsid w:val="481B7C0F"/>
    <w:rsid w:val="4827623D"/>
    <w:rsid w:val="4840638E"/>
    <w:rsid w:val="484F3BBC"/>
    <w:rsid w:val="48534547"/>
    <w:rsid w:val="48552DCE"/>
    <w:rsid w:val="486115D3"/>
    <w:rsid w:val="48674B4B"/>
    <w:rsid w:val="4870135B"/>
    <w:rsid w:val="488D0FD4"/>
    <w:rsid w:val="488E344E"/>
    <w:rsid w:val="48AC7BB5"/>
    <w:rsid w:val="48B313C3"/>
    <w:rsid w:val="48C55C4F"/>
    <w:rsid w:val="48CE253F"/>
    <w:rsid w:val="48D306AD"/>
    <w:rsid w:val="48D429F0"/>
    <w:rsid w:val="48D7126F"/>
    <w:rsid w:val="48F23A34"/>
    <w:rsid w:val="4906100E"/>
    <w:rsid w:val="49186758"/>
    <w:rsid w:val="49261829"/>
    <w:rsid w:val="493F7CE8"/>
    <w:rsid w:val="494B6AE7"/>
    <w:rsid w:val="495E290E"/>
    <w:rsid w:val="499D7D74"/>
    <w:rsid w:val="49AC181C"/>
    <w:rsid w:val="49B12C22"/>
    <w:rsid w:val="49BC54BC"/>
    <w:rsid w:val="49BD5047"/>
    <w:rsid w:val="49E67CA4"/>
    <w:rsid w:val="4A0805F8"/>
    <w:rsid w:val="4A1A0E96"/>
    <w:rsid w:val="4A1D53CE"/>
    <w:rsid w:val="4A286FFC"/>
    <w:rsid w:val="4A441EE2"/>
    <w:rsid w:val="4A650786"/>
    <w:rsid w:val="4A9374AA"/>
    <w:rsid w:val="4ABE02BB"/>
    <w:rsid w:val="4AC62A9D"/>
    <w:rsid w:val="4AD30BA7"/>
    <w:rsid w:val="4AD80CE7"/>
    <w:rsid w:val="4ADA20A4"/>
    <w:rsid w:val="4B094738"/>
    <w:rsid w:val="4B0B39EB"/>
    <w:rsid w:val="4B16532A"/>
    <w:rsid w:val="4B387976"/>
    <w:rsid w:val="4B422E1B"/>
    <w:rsid w:val="4B65373A"/>
    <w:rsid w:val="4B6750E8"/>
    <w:rsid w:val="4B7F4DD8"/>
    <w:rsid w:val="4BBB5236"/>
    <w:rsid w:val="4BD1504A"/>
    <w:rsid w:val="4BE7245A"/>
    <w:rsid w:val="4BE754BB"/>
    <w:rsid w:val="4C0A0C8A"/>
    <w:rsid w:val="4C0B29B0"/>
    <w:rsid w:val="4C3F6C40"/>
    <w:rsid w:val="4C40543B"/>
    <w:rsid w:val="4C47478B"/>
    <w:rsid w:val="4C5C5DF1"/>
    <w:rsid w:val="4C6E2D5E"/>
    <w:rsid w:val="4C6E3469"/>
    <w:rsid w:val="4C99554F"/>
    <w:rsid w:val="4CCD36B0"/>
    <w:rsid w:val="4CE81486"/>
    <w:rsid w:val="4CE83BC9"/>
    <w:rsid w:val="4CF800DB"/>
    <w:rsid w:val="4D00163A"/>
    <w:rsid w:val="4D067C53"/>
    <w:rsid w:val="4D161D2F"/>
    <w:rsid w:val="4D1C6CB7"/>
    <w:rsid w:val="4D2836FD"/>
    <w:rsid w:val="4D4E5923"/>
    <w:rsid w:val="4D5231AE"/>
    <w:rsid w:val="4D574533"/>
    <w:rsid w:val="4D7A386C"/>
    <w:rsid w:val="4D915A4A"/>
    <w:rsid w:val="4D926DFD"/>
    <w:rsid w:val="4D931555"/>
    <w:rsid w:val="4D996224"/>
    <w:rsid w:val="4DA06861"/>
    <w:rsid w:val="4DA81DB8"/>
    <w:rsid w:val="4DAC147B"/>
    <w:rsid w:val="4DAC4C20"/>
    <w:rsid w:val="4DAE4FA3"/>
    <w:rsid w:val="4DCA162F"/>
    <w:rsid w:val="4DE73505"/>
    <w:rsid w:val="4DFB20D6"/>
    <w:rsid w:val="4E131365"/>
    <w:rsid w:val="4E1A2026"/>
    <w:rsid w:val="4E271B4B"/>
    <w:rsid w:val="4E2E65A0"/>
    <w:rsid w:val="4E630965"/>
    <w:rsid w:val="4E727B78"/>
    <w:rsid w:val="4E9145CF"/>
    <w:rsid w:val="4EAF6170"/>
    <w:rsid w:val="4EB96475"/>
    <w:rsid w:val="4EBA0CB5"/>
    <w:rsid w:val="4EBB23D9"/>
    <w:rsid w:val="4ED350DD"/>
    <w:rsid w:val="4EDA3169"/>
    <w:rsid w:val="4EDB2D4A"/>
    <w:rsid w:val="4EF14FAE"/>
    <w:rsid w:val="4F0C5723"/>
    <w:rsid w:val="4F0F5BE3"/>
    <w:rsid w:val="4F1D492D"/>
    <w:rsid w:val="4F2E05D9"/>
    <w:rsid w:val="4F3803F4"/>
    <w:rsid w:val="4F7F319E"/>
    <w:rsid w:val="4FB2321B"/>
    <w:rsid w:val="4FBD294E"/>
    <w:rsid w:val="4FFD05E3"/>
    <w:rsid w:val="50002EC0"/>
    <w:rsid w:val="500E31C6"/>
    <w:rsid w:val="50204B18"/>
    <w:rsid w:val="5027692A"/>
    <w:rsid w:val="50353425"/>
    <w:rsid w:val="50386D4D"/>
    <w:rsid w:val="50411A70"/>
    <w:rsid w:val="50441109"/>
    <w:rsid w:val="504816ED"/>
    <w:rsid w:val="504D2423"/>
    <w:rsid w:val="50703AB0"/>
    <w:rsid w:val="50715259"/>
    <w:rsid w:val="507B39AB"/>
    <w:rsid w:val="507D4EB2"/>
    <w:rsid w:val="507E6391"/>
    <w:rsid w:val="50BA35D6"/>
    <w:rsid w:val="50BC221C"/>
    <w:rsid w:val="50F73C4E"/>
    <w:rsid w:val="5110256F"/>
    <w:rsid w:val="51251692"/>
    <w:rsid w:val="512D0896"/>
    <w:rsid w:val="51336AE0"/>
    <w:rsid w:val="51450906"/>
    <w:rsid w:val="514A5BAA"/>
    <w:rsid w:val="514F2419"/>
    <w:rsid w:val="51534B57"/>
    <w:rsid w:val="51586D42"/>
    <w:rsid w:val="518102B3"/>
    <w:rsid w:val="518343A4"/>
    <w:rsid w:val="51886EBF"/>
    <w:rsid w:val="51A22799"/>
    <w:rsid w:val="51B7419C"/>
    <w:rsid w:val="51D8388D"/>
    <w:rsid w:val="51F507C7"/>
    <w:rsid w:val="520D1825"/>
    <w:rsid w:val="520D28CB"/>
    <w:rsid w:val="52157947"/>
    <w:rsid w:val="522D2FA4"/>
    <w:rsid w:val="523223AD"/>
    <w:rsid w:val="52356529"/>
    <w:rsid w:val="52387556"/>
    <w:rsid w:val="52422029"/>
    <w:rsid w:val="52692B44"/>
    <w:rsid w:val="52850E89"/>
    <w:rsid w:val="5287674D"/>
    <w:rsid w:val="528F0448"/>
    <w:rsid w:val="52A90ABB"/>
    <w:rsid w:val="52BB385D"/>
    <w:rsid w:val="52E7380B"/>
    <w:rsid w:val="52EF06B7"/>
    <w:rsid w:val="52F2363E"/>
    <w:rsid w:val="53050700"/>
    <w:rsid w:val="53072EFC"/>
    <w:rsid w:val="53085DA3"/>
    <w:rsid w:val="530946C2"/>
    <w:rsid w:val="5319389C"/>
    <w:rsid w:val="533019A3"/>
    <w:rsid w:val="53427DC1"/>
    <w:rsid w:val="535A1C7D"/>
    <w:rsid w:val="535B5C0C"/>
    <w:rsid w:val="535D6C57"/>
    <w:rsid w:val="5362345D"/>
    <w:rsid w:val="53786749"/>
    <w:rsid w:val="537C5CBD"/>
    <w:rsid w:val="539523B5"/>
    <w:rsid w:val="53AA5983"/>
    <w:rsid w:val="53B6216A"/>
    <w:rsid w:val="53BA15EE"/>
    <w:rsid w:val="53BA51A3"/>
    <w:rsid w:val="53D67491"/>
    <w:rsid w:val="54176117"/>
    <w:rsid w:val="54196E57"/>
    <w:rsid w:val="54295B11"/>
    <w:rsid w:val="54342B03"/>
    <w:rsid w:val="544D353F"/>
    <w:rsid w:val="545179B8"/>
    <w:rsid w:val="54522DB1"/>
    <w:rsid w:val="54634965"/>
    <w:rsid w:val="546C52E8"/>
    <w:rsid w:val="548863AD"/>
    <w:rsid w:val="54956618"/>
    <w:rsid w:val="54AA6DCA"/>
    <w:rsid w:val="54BF6B60"/>
    <w:rsid w:val="54D21E26"/>
    <w:rsid w:val="54E63AA5"/>
    <w:rsid w:val="55040901"/>
    <w:rsid w:val="55107147"/>
    <w:rsid w:val="552C5E92"/>
    <w:rsid w:val="55387D24"/>
    <w:rsid w:val="55444178"/>
    <w:rsid w:val="5546540F"/>
    <w:rsid w:val="5560764A"/>
    <w:rsid w:val="557109AC"/>
    <w:rsid w:val="559B6067"/>
    <w:rsid w:val="55B76660"/>
    <w:rsid w:val="55BE7BE6"/>
    <w:rsid w:val="55C5615F"/>
    <w:rsid w:val="55C81DEE"/>
    <w:rsid w:val="56226F9B"/>
    <w:rsid w:val="56237D37"/>
    <w:rsid w:val="56354A54"/>
    <w:rsid w:val="565B4E57"/>
    <w:rsid w:val="565F5335"/>
    <w:rsid w:val="566C39ED"/>
    <w:rsid w:val="568C071F"/>
    <w:rsid w:val="56900D58"/>
    <w:rsid w:val="56983487"/>
    <w:rsid w:val="56C42E2B"/>
    <w:rsid w:val="56CA56C3"/>
    <w:rsid w:val="56D2733B"/>
    <w:rsid w:val="56DF05DE"/>
    <w:rsid w:val="56E45D6E"/>
    <w:rsid w:val="56E525D5"/>
    <w:rsid w:val="56E7183E"/>
    <w:rsid w:val="56E74816"/>
    <w:rsid w:val="56E803BD"/>
    <w:rsid w:val="56ED381D"/>
    <w:rsid w:val="56F70118"/>
    <w:rsid w:val="56FE22ED"/>
    <w:rsid w:val="57035045"/>
    <w:rsid w:val="57092D15"/>
    <w:rsid w:val="571912F5"/>
    <w:rsid w:val="571D2C70"/>
    <w:rsid w:val="57617EA3"/>
    <w:rsid w:val="578259B6"/>
    <w:rsid w:val="578729DE"/>
    <w:rsid w:val="578B3093"/>
    <w:rsid w:val="579A4819"/>
    <w:rsid w:val="57C16A90"/>
    <w:rsid w:val="57D12273"/>
    <w:rsid w:val="57DA550A"/>
    <w:rsid w:val="57EC44C1"/>
    <w:rsid w:val="57F5288B"/>
    <w:rsid w:val="57FC6189"/>
    <w:rsid w:val="580008F5"/>
    <w:rsid w:val="581A23FF"/>
    <w:rsid w:val="586125F2"/>
    <w:rsid w:val="586864FD"/>
    <w:rsid w:val="58894B06"/>
    <w:rsid w:val="58A5189E"/>
    <w:rsid w:val="58AA6F48"/>
    <w:rsid w:val="58B607FC"/>
    <w:rsid w:val="58BE23E5"/>
    <w:rsid w:val="58C41743"/>
    <w:rsid w:val="58CC5858"/>
    <w:rsid w:val="58D43D55"/>
    <w:rsid w:val="590220B5"/>
    <w:rsid w:val="591A07BD"/>
    <w:rsid w:val="591C4EF0"/>
    <w:rsid w:val="59270642"/>
    <w:rsid w:val="593E2DE6"/>
    <w:rsid w:val="594838CC"/>
    <w:rsid w:val="595256A3"/>
    <w:rsid w:val="596F7E83"/>
    <w:rsid w:val="59747B68"/>
    <w:rsid w:val="59B41138"/>
    <w:rsid w:val="59B817D3"/>
    <w:rsid w:val="59B917BB"/>
    <w:rsid w:val="59C4464E"/>
    <w:rsid w:val="59C80BA8"/>
    <w:rsid w:val="59CA253F"/>
    <w:rsid w:val="59D854EE"/>
    <w:rsid w:val="5A224D05"/>
    <w:rsid w:val="5A3A4CA7"/>
    <w:rsid w:val="5A67615D"/>
    <w:rsid w:val="5A6C7DD0"/>
    <w:rsid w:val="5A742658"/>
    <w:rsid w:val="5A8A7F0C"/>
    <w:rsid w:val="5ADA7E9F"/>
    <w:rsid w:val="5ADD5F2C"/>
    <w:rsid w:val="5AEF65D5"/>
    <w:rsid w:val="5AF404D0"/>
    <w:rsid w:val="5AFC295E"/>
    <w:rsid w:val="5B072087"/>
    <w:rsid w:val="5B0C3FED"/>
    <w:rsid w:val="5B2C0CCE"/>
    <w:rsid w:val="5B5342E0"/>
    <w:rsid w:val="5B753B3D"/>
    <w:rsid w:val="5B7E437C"/>
    <w:rsid w:val="5B8A38F0"/>
    <w:rsid w:val="5B9E58D0"/>
    <w:rsid w:val="5BBD0E56"/>
    <w:rsid w:val="5BC85095"/>
    <w:rsid w:val="5BCF565C"/>
    <w:rsid w:val="5C3666D1"/>
    <w:rsid w:val="5C3A6E47"/>
    <w:rsid w:val="5C3D14CB"/>
    <w:rsid w:val="5C6B70BD"/>
    <w:rsid w:val="5C767271"/>
    <w:rsid w:val="5C7F43E4"/>
    <w:rsid w:val="5C8C1913"/>
    <w:rsid w:val="5CA53EA1"/>
    <w:rsid w:val="5CAF29C6"/>
    <w:rsid w:val="5CC52925"/>
    <w:rsid w:val="5CDC0A4A"/>
    <w:rsid w:val="5CDC24FB"/>
    <w:rsid w:val="5D132224"/>
    <w:rsid w:val="5D203439"/>
    <w:rsid w:val="5D533CCC"/>
    <w:rsid w:val="5D57627D"/>
    <w:rsid w:val="5D5B0C65"/>
    <w:rsid w:val="5D8B36D2"/>
    <w:rsid w:val="5DAC3E48"/>
    <w:rsid w:val="5DB97160"/>
    <w:rsid w:val="5E054297"/>
    <w:rsid w:val="5E094843"/>
    <w:rsid w:val="5E166824"/>
    <w:rsid w:val="5E587A58"/>
    <w:rsid w:val="5E725860"/>
    <w:rsid w:val="5E735504"/>
    <w:rsid w:val="5E77401B"/>
    <w:rsid w:val="5E7B43CF"/>
    <w:rsid w:val="5E863492"/>
    <w:rsid w:val="5E894C4B"/>
    <w:rsid w:val="5E907E98"/>
    <w:rsid w:val="5E9A1F8D"/>
    <w:rsid w:val="5EA30896"/>
    <w:rsid w:val="5EA80E99"/>
    <w:rsid w:val="5EC7426E"/>
    <w:rsid w:val="5ED136A1"/>
    <w:rsid w:val="5ED22385"/>
    <w:rsid w:val="5EEF5F1C"/>
    <w:rsid w:val="5F073306"/>
    <w:rsid w:val="5F276A6A"/>
    <w:rsid w:val="5F2E07B9"/>
    <w:rsid w:val="5F354C3C"/>
    <w:rsid w:val="5F45446A"/>
    <w:rsid w:val="5F577ABE"/>
    <w:rsid w:val="5F5D70E5"/>
    <w:rsid w:val="5F5F73B9"/>
    <w:rsid w:val="5F6316D5"/>
    <w:rsid w:val="5F675A73"/>
    <w:rsid w:val="5F782205"/>
    <w:rsid w:val="5F942813"/>
    <w:rsid w:val="5F9F6FF8"/>
    <w:rsid w:val="5FB62416"/>
    <w:rsid w:val="5FC655D5"/>
    <w:rsid w:val="5FCC1557"/>
    <w:rsid w:val="5FE3429E"/>
    <w:rsid w:val="5FE6560C"/>
    <w:rsid w:val="5FEB07FE"/>
    <w:rsid w:val="5FF11F12"/>
    <w:rsid w:val="5FF34394"/>
    <w:rsid w:val="5FF5037A"/>
    <w:rsid w:val="5FFD6CAD"/>
    <w:rsid w:val="60030D2D"/>
    <w:rsid w:val="60165FE3"/>
    <w:rsid w:val="60234994"/>
    <w:rsid w:val="603A0438"/>
    <w:rsid w:val="60475723"/>
    <w:rsid w:val="606555E2"/>
    <w:rsid w:val="6068356A"/>
    <w:rsid w:val="606A330B"/>
    <w:rsid w:val="607B17DC"/>
    <w:rsid w:val="60951BFA"/>
    <w:rsid w:val="60B46772"/>
    <w:rsid w:val="60C95D45"/>
    <w:rsid w:val="60D97379"/>
    <w:rsid w:val="60E43016"/>
    <w:rsid w:val="60F052EE"/>
    <w:rsid w:val="60F8349D"/>
    <w:rsid w:val="61184A4F"/>
    <w:rsid w:val="611B65AE"/>
    <w:rsid w:val="611F5CD1"/>
    <w:rsid w:val="612956DC"/>
    <w:rsid w:val="614534FB"/>
    <w:rsid w:val="615A0673"/>
    <w:rsid w:val="615A56E9"/>
    <w:rsid w:val="61726B83"/>
    <w:rsid w:val="617660AD"/>
    <w:rsid w:val="619329A7"/>
    <w:rsid w:val="619E4A18"/>
    <w:rsid w:val="61A01B07"/>
    <w:rsid w:val="61A120EC"/>
    <w:rsid w:val="61B42042"/>
    <w:rsid w:val="61BB49A6"/>
    <w:rsid w:val="61D70D0C"/>
    <w:rsid w:val="61D86E71"/>
    <w:rsid w:val="61F06561"/>
    <w:rsid w:val="61F60A27"/>
    <w:rsid w:val="61F61212"/>
    <w:rsid w:val="621413E8"/>
    <w:rsid w:val="62345CD9"/>
    <w:rsid w:val="623D1E7D"/>
    <w:rsid w:val="623F0A67"/>
    <w:rsid w:val="62423201"/>
    <w:rsid w:val="6260642C"/>
    <w:rsid w:val="62655354"/>
    <w:rsid w:val="626F3745"/>
    <w:rsid w:val="62815C3B"/>
    <w:rsid w:val="629C1880"/>
    <w:rsid w:val="62C03B2B"/>
    <w:rsid w:val="62DF233A"/>
    <w:rsid w:val="63491849"/>
    <w:rsid w:val="637E01A9"/>
    <w:rsid w:val="63844280"/>
    <w:rsid w:val="63883A3C"/>
    <w:rsid w:val="638B44EA"/>
    <w:rsid w:val="63953314"/>
    <w:rsid w:val="63964EBD"/>
    <w:rsid w:val="63AA3F4D"/>
    <w:rsid w:val="63AE0066"/>
    <w:rsid w:val="63C024EC"/>
    <w:rsid w:val="63C420AA"/>
    <w:rsid w:val="63CC5241"/>
    <w:rsid w:val="63DC07E4"/>
    <w:rsid w:val="63DE721A"/>
    <w:rsid w:val="63FC0E86"/>
    <w:rsid w:val="64070E05"/>
    <w:rsid w:val="640D4C31"/>
    <w:rsid w:val="642E6305"/>
    <w:rsid w:val="64464022"/>
    <w:rsid w:val="64587F82"/>
    <w:rsid w:val="645D57FE"/>
    <w:rsid w:val="648641E4"/>
    <w:rsid w:val="648C03B9"/>
    <w:rsid w:val="64EF37CB"/>
    <w:rsid w:val="64F514C8"/>
    <w:rsid w:val="64FC4534"/>
    <w:rsid w:val="65015CA4"/>
    <w:rsid w:val="65151085"/>
    <w:rsid w:val="653A5B3C"/>
    <w:rsid w:val="65501753"/>
    <w:rsid w:val="655179BD"/>
    <w:rsid w:val="65792973"/>
    <w:rsid w:val="657D3831"/>
    <w:rsid w:val="658B5F43"/>
    <w:rsid w:val="658E4649"/>
    <w:rsid w:val="65B3280B"/>
    <w:rsid w:val="65C12491"/>
    <w:rsid w:val="65CF3547"/>
    <w:rsid w:val="65D7709E"/>
    <w:rsid w:val="65DB692F"/>
    <w:rsid w:val="65F101B1"/>
    <w:rsid w:val="66097669"/>
    <w:rsid w:val="660A0CF4"/>
    <w:rsid w:val="66114F6E"/>
    <w:rsid w:val="6616232F"/>
    <w:rsid w:val="6633203D"/>
    <w:rsid w:val="66343610"/>
    <w:rsid w:val="66347599"/>
    <w:rsid w:val="663E316D"/>
    <w:rsid w:val="66571090"/>
    <w:rsid w:val="666B488B"/>
    <w:rsid w:val="66722285"/>
    <w:rsid w:val="66807D1C"/>
    <w:rsid w:val="6687769B"/>
    <w:rsid w:val="66A74B74"/>
    <w:rsid w:val="66E709DC"/>
    <w:rsid w:val="66FC2F4B"/>
    <w:rsid w:val="66FE04A3"/>
    <w:rsid w:val="67075E9C"/>
    <w:rsid w:val="671169F6"/>
    <w:rsid w:val="673444EB"/>
    <w:rsid w:val="6760718F"/>
    <w:rsid w:val="67765D17"/>
    <w:rsid w:val="67801FB0"/>
    <w:rsid w:val="6785215B"/>
    <w:rsid w:val="6788386F"/>
    <w:rsid w:val="678F707E"/>
    <w:rsid w:val="67931AC7"/>
    <w:rsid w:val="679D655A"/>
    <w:rsid w:val="67BD40C3"/>
    <w:rsid w:val="67BF07CD"/>
    <w:rsid w:val="67E02515"/>
    <w:rsid w:val="67E43C87"/>
    <w:rsid w:val="67F95103"/>
    <w:rsid w:val="68092110"/>
    <w:rsid w:val="681B0D73"/>
    <w:rsid w:val="6821160D"/>
    <w:rsid w:val="68230E2F"/>
    <w:rsid w:val="6838144E"/>
    <w:rsid w:val="68430AED"/>
    <w:rsid w:val="68463DF9"/>
    <w:rsid w:val="684F397C"/>
    <w:rsid w:val="68550EB9"/>
    <w:rsid w:val="685B0188"/>
    <w:rsid w:val="685B60A7"/>
    <w:rsid w:val="686F7A07"/>
    <w:rsid w:val="687952FC"/>
    <w:rsid w:val="687F1EC0"/>
    <w:rsid w:val="688D0CBA"/>
    <w:rsid w:val="689A47E2"/>
    <w:rsid w:val="689C49E5"/>
    <w:rsid w:val="689E7C0F"/>
    <w:rsid w:val="68A0524E"/>
    <w:rsid w:val="68AA7398"/>
    <w:rsid w:val="68BF4C3D"/>
    <w:rsid w:val="68C03437"/>
    <w:rsid w:val="68CD005B"/>
    <w:rsid w:val="68D6247F"/>
    <w:rsid w:val="68EF0FB9"/>
    <w:rsid w:val="68EF7C43"/>
    <w:rsid w:val="6902259F"/>
    <w:rsid w:val="693055B6"/>
    <w:rsid w:val="694B2B30"/>
    <w:rsid w:val="695E2204"/>
    <w:rsid w:val="69601EB7"/>
    <w:rsid w:val="69616963"/>
    <w:rsid w:val="697F0AB7"/>
    <w:rsid w:val="69A208D1"/>
    <w:rsid w:val="69A212B1"/>
    <w:rsid w:val="69B049B6"/>
    <w:rsid w:val="69B50C38"/>
    <w:rsid w:val="69B61135"/>
    <w:rsid w:val="69E6482F"/>
    <w:rsid w:val="69EF4305"/>
    <w:rsid w:val="69F119F2"/>
    <w:rsid w:val="69FB6EC0"/>
    <w:rsid w:val="6A0C030B"/>
    <w:rsid w:val="6A333D63"/>
    <w:rsid w:val="6A34275D"/>
    <w:rsid w:val="6A3C10D0"/>
    <w:rsid w:val="6A572F81"/>
    <w:rsid w:val="6AA043E7"/>
    <w:rsid w:val="6AAC3FA3"/>
    <w:rsid w:val="6ACF4D1C"/>
    <w:rsid w:val="6AE55B52"/>
    <w:rsid w:val="6B091296"/>
    <w:rsid w:val="6B0A032C"/>
    <w:rsid w:val="6B123084"/>
    <w:rsid w:val="6B1E31F6"/>
    <w:rsid w:val="6B23014B"/>
    <w:rsid w:val="6B380680"/>
    <w:rsid w:val="6B456F6F"/>
    <w:rsid w:val="6B7F0B25"/>
    <w:rsid w:val="6B9A4FCA"/>
    <w:rsid w:val="6BA24DE1"/>
    <w:rsid w:val="6BA514FF"/>
    <w:rsid w:val="6BA72CED"/>
    <w:rsid w:val="6BFE5589"/>
    <w:rsid w:val="6C2520B1"/>
    <w:rsid w:val="6C2639F4"/>
    <w:rsid w:val="6C475A1B"/>
    <w:rsid w:val="6C663101"/>
    <w:rsid w:val="6C7F3E43"/>
    <w:rsid w:val="6CAA28BE"/>
    <w:rsid w:val="6CB71844"/>
    <w:rsid w:val="6CCA2679"/>
    <w:rsid w:val="6CD2794A"/>
    <w:rsid w:val="6D3E1C6E"/>
    <w:rsid w:val="6D521B17"/>
    <w:rsid w:val="6D550853"/>
    <w:rsid w:val="6D565BEE"/>
    <w:rsid w:val="6D6B7C0B"/>
    <w:rsid w:val="6D9831E3"/>
    <w:rsid w:val="6D9D7112"/>
    <w:rsid w:val="6DAA74FA"/>
    <w:rsid w:val="6DC17101"/>
    <w:rsid w:val="6DC4041C"/>
    <w:rsid w:val="6DD21AAB"/>
    <w:rsid w:val="6DDD3AD6"/>
    <w:rsid w:val="6DE54AA3"/>
    <w:rsid w:val="6DE8006A"/>
    <w:rsid w:val="6E274970"/>
    <w:rsid w:val="6E2B5AD3"/>
    <w:rsid w:val="6E3E5609"/>
    <w:rsid w:val="6E4158DB"/>
    <w:rsid w:val="6E640250"/>
    <w:rsid w:val="6E805353"/>
    <w:rsid w:val="6E8421A4"/>
    <w:rsid w:val="6ECB6EC4"/>
    <w:rsid w:val="6ED453D2"/>
    <w:rsid w:val="6EDB7958"/>
    <w:rsid w:val="6EDE63BE"/>
    <w:rsid w:val="6EE31DFD"/>
    <w:rsid w:val="6EEA72C9"/>
    <w:rsid w:val="6EEF4F04"/>
    <w:rsid w:val="6F1D0DAB"/>
    <w:rsid w:val="6F3A4441"/>
    <w:rsid w:val="6F4559A5"/>
    <w:rsid w:val="6F47555F"/>
    <w:rsid w:val="6F5A2F04"/>
    <w:rsid w:val="6F5F767C"/>
    <w:rsid w:val="6F605622"/>
    <w:rsid w:val="6F797F04"/>
    <w:rsid w:val="6F7B3F99"/>
    <w:rsid w:val="6F8F7B05"/>
    <w:rsid w:val="6F97D24A"/>
    <w:rsid w:val="6FA70E7D"/>
    <w:rsid w:val="6FBE345F"/>
    <w:rsid w:val="6FBF07F3"/>
    <w:rsid w:val="6FC06C80"/>
    <w:rsid w:val="6FCC3921"/>
    <w:rsid w:val="6FD756CE"/>
    <w:rsid w:val="6FE3789F"/>
    <w:rsid w:val="6FEA2039"/>
    <w:rsid w:val="700D4CAB"/>
    <w:rsid w:val="70310FE5"/>
    <w:rsid w:val="704B67CC"/>
    <w:rsid w:val="706F39E7"/>
    <w:rsid w:val="7074225F"/>
    <w:rsid w:val="707875EC"/>
    <w:rsid w:val="70A9755D"/>
    <w:rsid w:val="70B202EE"/>
    <w:rsid w:val="70C77289"/>
    <w:rsid w:val="71091418"/>
    <w:rsid w:val="713C4CCC"/>
    <w:rsid w:val="71690349"/>
    <w:rsid w:val="71771DFB"/>
    <w:rsid w:val="71B03756"/>
    <w:rsid w:val="71CE695E"/>
    <w:rsid w:val="71E909FE"/>
    <w:rsid w:val="722618F1"/>
    <w:rsid w:val="725552D7"/>
    <w:rsid w:val="726B073D"/>
    <w:rsid w:val="7275311D"/>
    <w:rsid w:val="728A0767"/>
    <w:rsid w:val="72A2709C"/>
    <w:rsid w:val="72B703A7"/>
    <w:rsid w:val="72BB0BC2"/>
    <w:rsid w:val="72DB77B8"/>
    <w:rsid w:val="72F02BB8"/>
    <w:rsid w:val="72F02FC4"/>
    <w:rsid w:val="72FA65EF"/>
    <w:rsid w:val="730D6E68"/>
    <w:rsid w:val="73217D81"/>
    <w:rsid w:val="73264530"/>
    <w:rsid w:val="73303B48"/>
    <w:rsid w:val="73385BDA"/>
    <w:rsid w:val="7339031E"/>
    <w:rsid w:val="734C3E90"/>
    <w:rsid w:val="736603D1"/>
    <w:rsid w:val="73726AB9"/>
    <w:rsid w:val="738911CF"/>
    <w:rsid w:val="739758A3"/>
    <w:rsid w:val="73981ECA"/>
    <w:rsid w:val="73A65D38"/>
    <w:rsid w:val="73B226AF"/>
    <w:rsid w:val="73D14512"/>
    <w:rsid w:val="73EB7E59"/>
    <w:rsid w:val="73F371FF"/>
    <w:rsid w:val="73FA724B"/>
    <w:rsid w:val="7403611C"/>
    <w:rsid w:val="740C0C8D"/>
    <w:rsid w:val="740C1FA6"/>
    <w:rsid w:val="740D028C"/>
    <w:rsid w:val="741A61C4"/>
    <w:rsid w:val="742709F4"/>
    <w:rsid w:val="742C597A"/>
    <w:rsid w:val="74324B76"/>
    <w:rsid w:val="74393AEE"/>
    <w:rsid w:val="74530195"/>
    <w:rsid w:val="74597643"/>
    <w:rsid w:val="745B140C"/>
    <w:rsid w:val="745C36E8"/>
    <w:rsid w:val="74723F91"/>
    <w:rsid w:val="74733C3C"/>
    <w:rsid w:val="747C09AD"/>
    <w:rsid w:val="749E5C4B"/>
    <w:rsid w:val="74A63832"/>
    <w:rsid w:val="74AC18B4"/>
    <w:rsid w:val="74BE59C9"/>
    <w:rsid w:val="74BE5BE8"/>
    <w:rsid w:val="74C51315"/>
    <w:rsid w:val="74EF6480"/>
    <w:rsid w:val="75102F42"/>
    <w:rsid w:val="75506E97"/>
    <w:rsid w:val="7576054D"/>
    <w:rsid w:val="75B45947"/>
    <w:rsid w:val="75DA5C50"/>
    <w:rsid w:val="75E9481E"/>
    <w:rsid w:val="75ED4684"/>
    <w:rsid w:val="76197E58"/>
    <w:rsid w:val="762C76E8"/>
    <w:rsid w:val="762F7C81"/>
    <w:rsid w:val="7635023D"/>
    <w:rsid w:val="76380C15"/>
    <w:rsid w:val="76434895"/>
    <w:rsid w:val="764867BF"/>
    <w:rsid w:val="7652586B"/>
    <w:rsid w:val="7665299F"/>
    <w:rsid w:val="767708FB"/>
    <w:rsid w:val="7687131D"/>
    <w:rsid w:val="76915A13"/>
    <w:rsid w:val="769C3D5A"/>
    <w:rsid w:val="76AA216B"/>
    <w:rsid w:val="76B40D16"/>
    <w:rsid w:val="76CA097C"/>
    <w:rsid w:val="76D87C42"/>
    <w:rsid w:val="76E242A6"/>
    <w:rsid w:val="76EB08C6"/>
    <w:rsid w:val="76EE78EC"/>
    <w:rsid w:val="771D78D8"/>
    <w:rsid w:val="771E7A62"/>
    <w:rsid w:val="772269FE"/>
    <w:rsid w:val="773B7823"/>
    <w:rsid w:val="775B6E06"/>
    <w:rsid w:val="77830BE9"/>
    <w:rsid w:val="77831A62"/>
    <w:rsid w:val="77895F9F"/>
    <w:rsid w:val="778D7494"/>
    <w:rsid w:val="779430EC"/>
    <w:rsid w:val="779F7866"/>
    <w:rsid w:val="77A076A2"/>
    <w:rsid w:val="780168E0"/>
    <w:rsid w:val="78132C2A"/>
    <w:rsid w:val="781F71B9"/>
    <w:rsid w:val="78236589"/>
    <w:rsid w:val="785452FC"/>
    <w:rsid w:val="785765ED"/>
    <w:rsid w:val="78730A90"/>
    <w:rsid w:val="78736288"/>
    <w:rsid w:val="78B53C32"/>
    <w:rsid w:val="78B94D42"/>
    <w:rsid w:val="78C92406"/>
    <w:rsid w:val="78E63E40"/>
    <w:rsid w:val="78FE340F"/>
    <w:rsid w:val="790559CE"/>
    <w:rsid w:val="7907465D"/>
    <w:rsid w:val="790C7D09"/>
    <w:rsid w:val="791F0C80"/>
    <w:rsid w:val="7963225D"/>
    <w:rsid w:val="79661644"/>
    <w:rsid w:val="79717315"/>
    <w:rsid w:val="79725A6F"/>
    <w:rsid w:val="798108E2"/>
    <w:rsid w:val="79841541"/>
    <w:rsid w:val="799D21E7"/>
    <w:rsid w:val="79BF3A75"/>
    <w:rsid w:val="79E72F5F"/>
    <w:rsid w:val="79F04505"/>
    <w:rsid w:val="79F60D62"/>
    <w:rsid w:val="7A055B7E"/>
    <w:rsid w:val="7A0A362B"/>
    <w:rsid w:val="7A355232"/>
    <w:rsid w:val="7A412543"/>
    <w:rsid w:val="7A5306B9"/>
    <w:rsid w:val="7A6A0C2D"/>
    <w:rsid w:val="7A7722CB"/>
    <w:rsid w:val="7A852C00"/>
    <w:rsid w:val="7ABA18A5"/>
    <w:rsid w:val="7AC22D80"/>
    <w:rsid w:val="7AC8491B"/>
    <w:rsid w:val="7AF44D2F"/>
    <w:rsid w:val="7AF63015"/>
    <w:rsid w:val="7B39698D"/>
    <w:rsid w:val="7B4A7B43"/>
    <w:rsid w:val="7B675698"/>
    <w:rsid w:val="7B840A4C"/>
    <w:rsid w:val="7B856015"/>
    <w:rsid w:val="7B8C79F7"/>
    <w:rsid w:val="7B9247AF"/>
    <w:rsid w:val="7BA75446"/>
    <w:rsid w:val="7BAC0176"/>
    <w:rsid w:val="7BB3231A"/>
    <w:rsid w:val="7BC506FF"/>
    <w:rsid w:val="7BC84E88"/>
    <w:rsid w:val="7BD601B1"/>
    <w:rsid w:val="7BDB714D"/>
    <w:rsid w:val="7BE60C44"/>
    <w:rsid w:val="7C3007CA"/>
    <w:rsid w:val="7C3F5A8C"/>
    <w:rsid w:val="7C792A47"/>
    <w:rsid w:val="7C7F1DA6"/>
    <w:rsid w:val="7CB3759F"/>
    <w:rsid w:val="7CB40DEB"/>
    <w:rsid w:val="7CBC5B8A"/>
    <w:rsid w:val="7CC72856"/>
    <w:rsid w:val="7CDF7127"/>
    <w:rsid w:val="7CE403FC"/>
    <w:rsid w:val="7D285E5F"/>
    <w:rsid w:val="7D2E2050"/>
    <w:rsid w:val="7D524212"/>
    <w:rsid w:val="7D6922A8"/>
    <w:rsid w:val="7D88737B"/>
    <w:rsid w:val="7D8F098B"/>
    <w:rsid w:val="7D945EC6"/>
    <w:rsid w:val="7D9A7A45"/>
    <w:rsid w:val="7D9E1299"/>
    <w:rsid w:val="7DB04D21"/>
    <w:rsid w:val="7DCB0A1C"/>
    <w:rsid w:val="7DEC607E"/>
    <w:rsid w:val="7E043E66"/>
    <w:rsid w:val="7E12043C"/>
    <w:rsid w:val="7E1370A0"/>
    <w:rsid w:val="7E587B9F"/>
    <w:rsid w:val="7E9035E0"/>
    <w:rsid w:val="7E9815B9"/>
    <w:rsid w:val="7EC9531A"/>
    <w:rsid w:val="7ED42073"/>
    <w:rsid w:val="7EDF0AD8"/>
    <w:rsid w:val="7F0875A9"/>
    <w:rsid w:val="7F1E1221"/>
    <w:rsid w:val="7F2A04A6"/>
    <w:rsid w:val="7F395336"/>
    <w:rsid w:val="7F467759"/>
    <w:rsid w:val="7F483017"/>
    <w:rsid w:val="7F516C12"/>
    <w:rsid w:val="7F8858F3"/>
    <w:rsid w:val="7F97D7F2"/>
    <w:rsid w:val="7FAE52D2"/>
    <w:rsid w:val="7FB75867"/>
    <w:rsid w:val="7FBB2766"/>
    <w:rsid w:val="7FC676C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Normal Indent"/>
    <w:basedOn w:val="1"/>
    <w:next w:val="1"/>
    <w:link w:val="61"/>
    <w:qFormat/>
    <w:uiPriority w:val="0"/>
    <w:pPr>
      <w:autoSpaceDE w:val="0"/>
      <w:autoSpaceDN w:val="0"/>
      <w:adjustRightInd w:val="0"/>
      <w:ind w:firstLine="420"/>
      <w:jc w:val="left"/>
    </w:pPr>
    <w:rPr>
      <w:rFonts w:ascii="宋体"/>
      <w:sz w:val="24"/>
    </w:rPr>
  </w:style>
  <w:style w:type="paragraph" w:styleId="12">
    <w:name w:val="annotation subject"/>
    <w:basedOn w:val="13"/>
    <w:next w:val="13"/>
    <w:link w:val="85"/>
    <w:qFormat/>
    <w:uiPriority w:val="0"/>
    <w:rPr>
      <w:b/>
      <w:bCs/>
    </w:rPr>
  </w:style>
  <w:style w:type="paragraph" w:styleId="13">
    <w:name w:val="annotation text"/>
    <w:basedOn w:val="1"/>
    <w:link w:val="72"/>
    <w:qFormat/>
    <w:uiPriority w:val="0"/>
    <w:pPr>
      <w:jc w:val="left"/>
    </w:pPr>
  </w:style>
  <w:style w:type="paragraph" w:styleId="14">
    <w:name w:val="toc 7"/>
    <w:basedOn w:val="1"/>
    <w:next w:val="1"/>
    <w:qFormat/>
    <w:uiPriority w:val="0"/>
    <w:pPr>
      <w:ind w:left="2520" w:leftChars="1200"/>
    </w:pPr>
  </w:style>
  <w:style w:type="paragraph" w:styleId="15">
    <w:name w:val="Body Text First Indent"/>
    <w:basedOn w:val="16"/>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6">
    <w:name w:val="Body Text"/>
    <w:basedOn w:val="1"/>
    <w:next w:val="1"/>
    <w:link w:val="74"/>
    <w:qFormat/>
    <w:uiPriority w:val="0"/>
    <w:pPr>
      <w:tabs>
        <w:tab w:val="left" w:pos="567"/>
      </w:tabs>
      <w:spacing w:before="120" w:line="22" w:lineRule="atLeast"/>
    </w:pPr>
    <w:rPr>
      <w:rFonts w:ascii="宋体" w:hAnsi="宋体"/>
      <w:sz w:val="24"/>
    </w:rPr>
  </w:style>
  <w:style w:type="paragraph" w:styleId="17">
    <w:name w:val="caption"/>
    <w:basedOn w:val="1"/>
    <w:next w:val="1"/>
    <w:qFormat/>
    <w:uiPriority w:val="0"/>
    <w:pPr>
      <w:spacing w:line="480" w:lineRule="auto"/>
    </w:pPr>
    <w:rPr>
      <w:rFonts w:ascii="华文中宋" w:hAnsi="华文中宋" w:eastAsia="华文中宋"/>
      <w:sz w:val="36"/>
      <w:szCs w:val="20"/>
    </w:rPr>
  </w:style>
  <w:style w:type="paragraph" w:styleId="18">
    <w:name w:val="Document Map"/>
    <w:basedOn w:val="1"/>
    <w:link w:val="71"/>
    <w:qFormat/>
    <w:uiPriority w:val="0"/>
    <w:pPr>
      <w:shd w:val="clear" w:color="auto" w:fill="000080"/>
    </w:pPr>
  </w:style>
  <w:style w:type="paragraph" w:styleId="19">
    <w:name w:val="Body Text 3"/>
    <w:basedOn w:val="1"/>
    <w:link w:val="73"/>
    <w:qFormat/>
    <w:uiPriority w:val="0"/>
    <w:pPr>
      <w:spacing w:after="120"/>
    </w:pPr>
    <w:rPr>
      <w:sz w:val="16"/>
      <w:szCs w:val="16"/>
    </w:rPr>
  </w:style>
  <w:style w:type="paragraph" w:styleId="20">
    <w:name w:val="List Bullet 3"/>
    <w:basedOn w:val="1"/>
    <w:qFormat/>
    <w:uiPriority w:val="0"/>
    <w:pPr>
      <w:numPr>
        <w:ilvl w:val="0"/>
        <w:numId w:val="1"/>
      </w:numPr>
    </w:pPr>
  </w:style>
  <w:style w:type="paragraph" w:styleId="21">
    <w:name w:val="Body Text Indent"/>
    <w:basedOn w:val="1"/>
    <w:link w:val="75"/>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index 4"/>
    <w:basedOn w:val="1"/>
    <w:next w:val="1"/>
    <w:unhideWhenUsed/>
    <w:qFormat/>
    <w:uiPriority w:val="99"/>
    <w:pPr>
      <w:spacing w:before="100" w:beforeAutospacing="1" w:after="100" w:afterAutospacing="1"/>
      <w:ind w:left="600" w:leftChars="600"/>
    </w:pPr>
  </w:style>
  <w:style w:type="paragraph" w:styleId="25">
    <w:name w:val="toc 5"/>
    <w:basedOn w:val="1"/>
    <w:next w:val="1"/>
    <w:qFormat/>
    <w:uiPriority w:val="0"/>
    <w:pPr>
      <w:ind w:left="1680" w:leftChars="800"/>
    </w:pPr>
  </w:style>
  <w:style w:type="paragraph" w:styleId="26">
    <w:name w:val="toc 3"/>
    <w:basedOn w:val="1"/>
    <w:next w:val="1"/>
    <w:qFormat/>
    <w:uiPriority w:val="0"/>
    <w:pPr>
      <w:ind w:left="840" w:leftChars="400"/>
    </w:pPr>
  </w:style>
  <w:style w:type="paragraph" w:styleId="27">
    <w:name w:val="Plain Text"/>
    <w:basedOn w:val="1"/>
    <w:link w:val="76"/>
    <w:qFormat/>
    <w:uiPriority w:val="0"/>
    <w:rPr>
      <w:rFonts w:hint="eastAsia" w:ascii="宋体" w:hAnsi="Courier New"/>
      <w:szCs w:val="20"/>
    </w:rPr>
  </w:style>
  <w:style w:type="paragraph" w:styleId="28">
    <w:name w:val="toc 8"/>
    <w:basedOn w:val="1"/>
    <w:next w:val="1"/>
    <w:qFormat/>
    <w:uiPriority w:val="0"/>
    <w:pPr>
      <w:ind w:left="2940" w:leftChars="1400"/>
    </w:pPr>
  </w:style>
  <w:style w:type="paragraph" w:styleId="29">
    <w:name w:val="Date"/>
    <w:basedOn w:val="1"/>
    <w:next w:val="1"/>
    <w:link w:val="77"/>
    <w:qFormat/>
    <w:uiPriority w:val="0"/>
    <w:pPr>
      <w:ind w:left="100" w:leftChars="2500"/>
    </w:pPr>
    <w:rPr>
      <w:rFonts w:ascii="仿宋_GB2312" w:hAnsi="宋体" w:eastAsia="仿宋_GB2312"/>
      <w:color w:val="000000"/>
      <w:sz w:val="24"/>
    </w:rPr>
  </w:style>
  <w:style w:type="paragraph" w:styleId="30">
    <w:name w:val="Body Text Indent 2"/>
    <w:basedOn w:val="1"/>
    <w:link w:val="78"/>
    <w:qFormat/>
    <w:uiPriority w:val="0"/>
    <w:pPr>
      <w:ind w:firstLine="480" w:firstLineChars="200"/>
    </w:pPr>
    <w:rPr>
      <w:rFonts w:ascii="仿宋_GB2312" w:eastAsia="仿宋_GB2312"/>
      <w:sz w:val="24"/>
    </w:rPr>
  </w:style>
  <w:style w:type="paragraph" w:styleId="31">
    <w:name w:val="Balloon Text"/>
    <w:basedOn w:val="1"/>
    <w:link w:val="79"/>
    <w:qFormat/>
    <w:uiPriority w:val="0"/>
    <w:rPr>
      <w:sz w:val="18"/>
      <w:szCs w:val="18"/>
    </w:rPr>
  </w:style>
  <w:style w:type="paragraph" w:styleId="32">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3">
    <w:name w:val="Body Text First Indent 2"/>
    <w:basedOn w:val="21"/>
    <w:link w:val="86"/>
    <w:qFormat/>
    <w:uiPriority w:val="0"/>
    <w:pPr>
      <w:spacing w:after="120" w:line="480" w:lineRule="exact"/>
      <w:ind w:left="420" w:leftChars="200" w:firstLine="420" w:firstLineChars="200"/>
    </w:pPr>
  </w:style>
  <w:style w:type="paragraph" w:styleId="34">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left" w:pos="1050"/>
        <w:tab w:val="right" w:leader="dot" w:pos="8937"/>
      </w:tabs>
      <w:spacing w:line="300" w:lineRule="auto"/>
    </w:pPr>
    <w:rPr>
      <w:rFonts w:ascii="宋体" w:hAnsi="宋体"/>
      <w:b/>
      <w:sz w:val="24"/>
    </w:rPr>
  </w:style>
  <w:style w:type="paragraph" w:styleId="36">
    <w:name w:val="toc 4"/>
    <w:basedOn w:val="1"/>
    <w:next w:val="1"/>
    <w:qFormat/>
    <w:uiPriority w:val="0"/>
    <w:pPr>
      <w:ind w:left="1260" w:leftChars="600"/>
    </w:pPr>
  </w:style>
  <w:style w:type="paragraph" w:styleId="37">
    <w:name w:val="toc 6"/>
    <w:basedOn w:val="1"/>
    <w:next w:val="1"/>
    <w:qFormat/>
    <w:uiPriority w:val="0"/>
    <w:pPr>
      <w:ind w:left="2100" w:leftChars="1000"/>
    </w:pPr>
  </w:style>
  <w:style w:type="paragraph" w:styleId="38">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0"/>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2"/>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3"/>
    <w:qFormat/>
    <w:uiPriority w:val="0"/>
    <w:rPr>
      <w:rFonts w:ascii="宋体" w:hAnsi="Times New Roman" w:eastAsia="宋体" w:cs="Times New Roman"/>
      <w:b/>
      <w:kern w:val="44"/>
      <w:sz w:val="32"/>
    </w:rPr>
  </w:style>
  <w:style w:type="character" w:customStyle="1" w:styleId="63">
    <w:name w:val="标题 2 字符"/>
    <w:link w:val="4"/>
    <w:qFormat/>
    <w:uiPriority w:val="0"/>
    <w:rPr>
      <w:rFonts w:ascii="Arial" w:hAnsi="Arial" w:eastAsia="黑体" w:cs="Times New Roman"/>
      <w:b/>
      <w:sz w:val="30"/>
      <w:lang w:val="en-US" w:eastAsia="zh-CN" w:bidi="ar-SA"/>
    </w:rPr>
  </w:style>
  <w:style w:type="character" w:customStyle="1" w:styleId="64">
    <w:name w:val="标题 3 字符"/>
    <w:link w:val="5"/>
    <w:qFormat/>
    <w:uiPriority w:val="0"/>
    <w:rPr>
      <w:rFonts w:ascii="宋体" w:hAnsi="Times New Roman" w:eastAsia="宋体" w:cs="Times New Roman"/>
      <w:b/>
      <w:sz w:val="24"/>
      <w:u w:val="single"/>
      <w:lang w:val="en-US" w:eastAsia="zh-CN" w:bidi="ar-SA"/>
    </w:rPr>
  </w:style>
  <w:style w:type="character" w:customStyle="1" w:styleId="65">
    <w:name w:val="标题 4 字符"/>
    <w:link w:val="6"/>
    <w:qFormat/>
    <w:uiPriority w:val="0"/>
    <w:rPr>
      <w:rFonts w:ascii="Arial" w:hAnsi="Arial" w:eastAsia="黑体" w:cs="Times New Roman"/>
      <w:b/>
      <w:sz w:val="28"/>
    </w:rPr>
  </w:style>
  <w:style w:type="character" w:customStyle="1" w:styleId="66">
    <w:name w:val="标题 5 字符"/>
    <w:link w:val="7"/>
    <w:qFormat/>
    <w:uiPriority w:val="0"/>
    <w:rPr>
      <w:rFonts w:ascii="Times New Roman" w:hAnsi="Times New Roman" w:eastAsia="宋体" w:cs="Times New Roman"/>
      <w:b/>
      <w:sz w:val="28"/>
    </w:rPr>
  </w:style>
  <w:style w:type="character" w:customStyle="1" w:styleId="67">
    <w:name w:val="标题 6 字符"/>
    <w:link w:val="8"/>
    <w:qFormat/>
    <w:uiPriority w:val="0"/>
    <w:rPr>
      <w:rFonts w:ascii="Arial" w:hAnsi="Arial" w:eastAsia="黑体" w:cs="Times New Roman"/>
      <w:b/>
      <w:sz w:val="24"/>
    </w:rPr>
  </w:style>
  <w:style w:type="character" w:customStyle="1" w:styleId="68">
    <w:name w:val="标题 7 字符"/>
    <w:link w:val="9"/>
    <w:qFormat/>
    <w:uiPriority w:val="0"/>
    <w:rPr>
      <w:rFonts w:ascii="Times New Roman" w:hAnsi="Times New Roman" w:eastAsia="宋体" w:cs="Times New Roman"/>
      <w:b/>
      <w:sz w:val="24"/>
    </w:rPr>
  </w:style>
  <w:style w:type="character" w:customStyle="1" w:styleId="69">
    <w:name w:val="标题 8 字符"/>
    <w:link w:val="10"/>
    <w:qFormat/>
    <w:uiPriority w:val="0"/>
    <w:rPr>
      <w:rFonts w:ascii="Arial" w:hAnsi="Arial" w:eastAsia="黑体" w:cs="Times New Roman"/>
      <w:sz w:val="24"/>
    </w:rPr>
  </w:style>
  <w:style w:type="character" w:customStyle="1" w:styleId="70">
    <w:name w:val="标题 9 字符"/>
    <w:link w:val="11"/>
    <w:qFormat/>
    <w:uiPriority w:val="0"/>
    <w:rPr>
      <w:rFonts w:ascii="Arial" w:hAnsi="Arial" w:eastAsia="黑体" w:cs="Times New Roman"/>
      <w:sz w:val="21"/>
    </w:rPr>
  </w:style>
  <w:style w:type="character" w:customStyle="1" w:styleId="71">
    <w:name w:val="文档结构图 字符"/>
    <w:link w:val="18"/>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3"/>
    <w:qFormat/>
    <w:uiPriority w:val="0"/>
    <w:rPr>
      <w:rFonts w:ascii="Times New Roman" w:hAnsi="Times New Roman" w:eastAsia="宋体" w:cs="Times New Roman"/>
      <w:kern w:val="2"/>
      <w:sz w:val="21"/>
      <w:szCs w:val="24"/>
    </w:rPr>
  </w:style>
  <w:style w:type="character" w:customStyle="1" w:styleId="73">
    <w:name w:val="正文文本 3 字符"/>
    <w:link w:val="19"/>
    <w:qFormat/>
    <w:uiPriority w:val="0"/>
    <w:rPr>
      <w:rFonts w:ascii="Times New Roman" w:hAnsi="Times New Roman" w:eastAsia="宋体" w:cs="Times New Roman"/>
      <w:kern w:val="2"/>
      <w:sz w:val="16"/>
      <w:szCs w:val="16"/>
    </w:rPr>
  </w:style>
  <w:style w:type="character" w:customStyle="1" w:styleId="74">
    <w:name w:val="正文文本 字符"/>
    <w:link w:val="16"/>
    <w:qFormat/>
    <w:uiPriority w:val="0"/>
    <w:rPr>
      <w:rFonts w:ascii="宋体" w:hAnsi="宋体" w:eastAsia="宋体" w:cs="Times New Roman"/>
      <w:kern w:val="2"/>
      <w:sz w:val="24"/>
      <w:szCs w:val="24"/>
    </w:rPr>
  </w:style>
  <w:style w:type="character" w:customStyle="1" w:styleId="75">
    <w:name w:val="正文文本缩进 字符"/>
    <w:link w:val="21"/>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7"/>
    <w:qFormat/>
    <w:uiPriority w:val="0"/>
    <w:rPr>
      <w:rFonts w:hint="eastAsia" w:ascii="宋体" w:hAnsi="Courier New" w:eastAsia="宋体" w:cs="宋体"/>
      <w:kern w:val="2"/>
      <w:sz w:val="21"/>
    </w:rPr>
  </w:style>
  <w:style w:type="character" w:customStyle="1" w:styleId="77">
    <w:name w:val="日期 字符"/>
    <w:link w:val="29"/>
    <w:qFormat/>
    <w:uiPriority w:val="0"/>
    <w:rPr>
      <w:rFonts w:ascii="仿宋_GB2312" w:hAnsi="宋体" w:eastAsia="仿宋_GB2312" w:cs="Times New Roman"/>
      <w:color w:val="000000"/>
      <w:kern w:val="2"/>
      <w:sz w:val="24"/>
      <w:szCs w:val="24"/>
    </w:rPr>
  </w:style>
  <w:style w:type="character" w:customStyle="1" w:styleId="78">
    <w:name w:val="正文文本缩进 2 字符"/>
    <w:link w:val="30"/>
    <w:qFormat/>
    <w:uiPriority w:val="0"/>
    <w:rPr>
      <w:rFonts w:ascii="仿宋_GB2312" w:hAnsi="Times New Roman" w:eastAsia="仿宋_GB2312" w:cs="Times New Roman"/>
      <w:kern w:val="2"/>
      <w:sz w:val="24"/>
      <w:szCs w:val="24"/>
    </w:rPr>
  </w:style>
  <w:style w:type="character" w:customStyle="1" w:styleId="79">
    <w:name w:val="批注框文本 字符"/>
    <w:link w:val="31"/>
    <w:qFormat/>
    <w:uiPriority w:val="0"/>
    <w:rPr>
      <w:rFonts w:ascii="Times New Roman" w:hAnsi="Times New Roman" w:eastAsia="宋体" w:cs="Times New Roman"/>
      <w:kern w:val="2"/>
      <w:sz w:val="18"/>
      <w:szCs w:val="18"/>
    </w:rPr>
  </w:style>
  <w:style w:type="character" w:customStyle="1" w:styleId="80">
    <w:name w:val="页脚 字符"/>
    <w:link w:val="32"/>
    <w:qFormat/>
    <w:uiPriority w:val="0"/>
    <w:rPr>
      <w:rFonts w:ascii="宋体" w:hAnsi="Times New Roman" w:eastAsia="宋体" w:cs="Times New Roman"/>
      <w:sz w:val="18"/>
      <w:lang w:val="en-US" w:eastAsia="zh-CN" w:bidi="ar-SA"/>
    </w:rPr>
  </w:style>
  <w:style w:type="character" w:customStyle="1" w:styleId="81">
    <w:name w:val="页眉 字符"/>
    <w:link w:val="34"/>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8"/>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2"/>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33"/>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2"/>
    <w:link w:val="96"/>
    <w:qFormat/>
    <w:uiPriority w:val="0"/>
    <w:pPr>
      <w:jc w:val="center"/>
    </w:pPr>
    <w:rPr>
      <w:i w:val="0"/>
      <w:color w:val="000000"/>
      <w:sz w:val="28"/>
      <w:szCs w:val="21"/>
    </w:rPr>
  </w:style>
  <w:style w:type="paragraph" w:customStyle="1" w:styleId="98">
    <w:name w:val="正文小标题"/>
    <w:basedOn w:val="1"/>
    <w:next w:val="2"/>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3"/>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18"/>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3"/>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6"/>
    <w:qFormat/>
    <w:uiPriority w:val="0"/>
    <w:pPr>
      <w:tabs>
        <w:tab w:val="left" w:pos="864"/>
      </w:tabs>
      <w:ind w:left="567" w:right="27" w:rightChars="13" w:hanging="567"/>
    </w:pPr>
    <w:rPr>
      <w:sz w:val="24"/>
      <w:lang w:val="zh-CN"/>
    </w:rPr>
  </w:style>
  <w:style w:type="character" w:customStyle="1" w:styleId="269">
    <w:name w:val="正文首行缩进 2字符 Char"/>
    <w:link w:val="270"/>
    <w:qFormat/>
    <w:uiPriority w:val="0"/>
    <w:rPr>
      <w:kern w:val="0"/>
      <w:sz w:val="24"/>
      <w:szCs w:val="24"/>
    </w:rPr>
  </w:style>
  <w:style w:type="paragraph" w:customStyle="1" w:styleId="270">
    <w:name w:val="正文首行缩进 2字符"/>
    <w:basedOn w:val="1"/>
    <w:link w:val="269"/>
    <w:qFormat/>
    <w:uiPriority w:val="0"/>
    <w:pPr>
      <w:ind w:firstLine="200" w:firstLineChars="200"/>
    </w:pPr>
    <w:rPr>
      <w:kern w:val="0"/>
      <w:sz w:val="24"/>
      <w:szCs w:val="24"/>
    </w:rPr>
  </w:style>
  <w:style w:type="paragraph" w:customStyle="1" w:styleId="271">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customStyle="1" w:styleId="272">
    <w:name w:val="正文首行缩进 2111"/>
    <w:basedOn w:val="21"/>
    <w:qFormat/>
    <w:uiPriority w:val="0"/>
    <w:pPr>
      <w:spacing w:line="480" w:lineRule="exact"/>
      <w:ind w:left="480" w:firstLine="480" w:firstLineChars="200"/>
    </w:pPr>
    <w:rPr>
      <w:rFonts w:asciiTheme="minorEastAsia" w:hAnsiTheme="minorEastAsia" w:eastAsiaTheme="minorEastAsi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2026-05-21T01:42:00Z</cp:lastPrinted>
  <dcterms:modified xsi:type="dcterms:W3CDTF">2026-06-05T09:18:42Z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