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</w:rPr>
        <w:t>社会组织审计服务（第1~1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</w:t>
      </w:r>
      <w:r>
        <w:rPr>
          <w:rFonts w:hint="eastAsia" w:ascii="Times New Roman" w:hAnsi="Times New Roman" w:cs="Times New Roman"/>
          <w:sz w:val="28"/>
          <w:szCs w:val="28"/>
        </w:rPr>
        <w:t>包）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2024-363</w:t>
      </w:r>
      <w:r>
        <w:rPr>
          <w:rFonts w:hint="eastAsia" w:ascii="Times New Roman" w:hAnsi="Times New Roman" w:eastAsia="宋体"/>
          <w:bCs/>
          <w:sz w:val="24"/>
          <w:szCs w:val="24"/>
        </w:rPr>
        <w:t>/01~</w:t>
      </w:r>
      <w:r>
        <w:rPr>
          <w:rFonts w:ascii="Times New Roman" w:hAnsi="Times New Roman" w:eastAsia="宋体"/>
          <w:bCs/>
          <w:sz w:val="24"/>
          <w:szCs w:val="24"/>
        </w:rPr>
        <w:t>1</w:t>
      </w:r>
      <w:r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社会组织审计服务（第</w:t>
      </w:r>
      <w:r>
        <w:rPr>
          <w:rFonts w:ascii="Times New Roman" w:hAnsi="Times New Roman" w:eastAsia="宋体"/>
          <w:sz w:val="24"/>
          <w:szCs w:val="24"/>
        </w:rPr>
        <w:t>1~1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</w:t>
      </w:r>
      <w:r>
        <w:rPr>
          <w:rFonts w:ascii="Times New Roman" w:hAnsi="Times New Roman" w:eastAsia="宋体"/>
          <w:sz w:val="24"/>
          <w:szCs w:val="24"/>
        </w:rPr>
        <w:t>包）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4"/>
        <w:tblW w:w="540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2664"/>
        <w:gridCol w:w="2610"/>
        <w:gridCol w:w="3289"/>
        <w:gridCol w:w="1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</w:rPr>
              <w:t>包号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</w:rPr>
              <w:t>供应商名称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b/>
                <w:bCs w:val="0"/>
                <w:sz w:val="22"/>
                <w:szCs w:val="22"/>
              </w:rPr>
              <w:t>统一社会信用代码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</w:rPr>
              <w:t>供应商地址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Theme="minorEastAsia"/>
                <w:b/>
                <w:bCs w:val="0"/>
                <w:sz w:val="22"/>
                <w:szCs w:val="22"/>
                <w:highlight w:val="none"/>
              </w:rPr>
              <w:t>中标金额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01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lang w:val="en-US" w:eastAsia="zh-CN"/>
              </w:rPr>
              <w:t>北京罗马禾会计师事务所（普通合伙）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91110108MA01MF3X8K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北京市海淀区上地三街9号D座9层D904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¥349,800.00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02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lang w:val="en-US" w:eastAsia="zh-CN"/>
              </w:rPr>
              <w:t>北京中育才会计师事务所有限公司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9111010270036258X3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北京市西城区白广路7号6幢三层3326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359,700.00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03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lang w:val="en-US" w:eastAsia="zh-CN"/>
              </w:rPr>
              <w:t>北京中京会计师事务所有限公司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911101087725754453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北京市海淀区浩思家园1号楼-1至1层2单元101-8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326,700.00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04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lang w:val="en-US" w:eastAsia="zh-CN"/>
              </w:rPr>
              <w:t>北京中平建华浩会计师事务所有限公司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91110111101604567P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北京市朝阳区和平街东土城路12号院3号楼10层1001室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272,000.00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05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color w:val="auto"/>
                <w:sz w:val="22"/>
                <w:szCs w:val="22"/>
              </w:rPr>
              <w:t>北京晟灿政通会计师事务所（普通合伙）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911101053442473144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北京市海淀区车公庄西路乙19号16层1607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250,010.00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06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北京国昊锋飞会计师事务所（普通合伙）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91110117MA01DUJE6W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北京市朝阳区朝阳门外大街26号8层A0912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352,000.00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07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</w:rPr>
              <w:t>北京中崇信会计师事务所有限责任公司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911101056675007753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北京市朝阳区慧忠里103楼10层1013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330,000.00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</w:rPr>
              <w:t>0</w:t>
            </w: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8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北京鼎中诸和会计师事务所（普通合伙）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911101025658157339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北京市西城区月坛北街26号公寓12B03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321,750.00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</w:rPr>
              <w:t>0</w:t>
            </w: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9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中通会计师事务所有限责任公司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911101021000136853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北京市西城区西长安街丙17号2705房间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450,000.00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  <w:t>0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北京中名国成会计师事务所（特殊普通合伙）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91110101MA01Y01N85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北京市东城区建国门内大街18号办三916单元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360,000.00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北京恒诚永信会计师事务所（普通合伙）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91110108797551423H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北京市昌平区城北街道御路园小区七号楼二层201、202室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350,000.00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eastAsia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236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北京云昇会计师事务所（普通合伙）</w:t>
            </w:r>
          </w:p>
        </w:tc>
        <w:tc>
          <w:tcPr>
            <w:tcW w:w="1211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91110101MA04D2MK0D</w:t>
            </w:r>
          </w:p>
        </w:tc>
        <w:tc>
          <w:tcPr>
            <w:tcW w:w="152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eastAsiaTheme="minorEastAsia"/>
                <w:b w:val="0"/>
                <w:bCs/>
                <w:sz w:val="22"/>
                <w:szCs w:val="22"/>
              </w:rPr>
              <w:t>北京市东城区珠市口东大街4号楼3层3-17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2"/>
                <w:szCs w:val="22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169,000.00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3"/>
        <w:tblW w:w="53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1941"/>
        <w:gridCol w:w="720"/>
        <w:gridCol w:w="5669"/>
        <w:gridCol w:w="1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/>
                <w:sz w:val="22"/>
                <w:szCs w:val="22"/>
              </w:rPr>
              <w:t>包号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/>
                <w:sz w:val="22"/>
                <w:szCs w:val="22"/>
              </w:rPr>
              <w:t>标的名称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/>
                <w:sz w:val="22"/>
                <w:szCs w:val="22"/>
              </w:rPr>
              <w:t>数量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sz w:val="22"/>
                <w:szCs w:val="22"/>
              </w:rPr>
            </w:pPr>
            <w:r>
              <w:rPr>
                <w:rFonts w:ascii="Times New Roman" w:hAnsi="Times New Roman" w:eastAsiaTheme="minorEastAsia"/>
                <w:b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Theme="minorEastAsia"/>
                <w:b/>
                <w:sz w:val="22"/>
                <w:szCs w:val="22"/>
              </w:rPr>
              <w:t>、</w:t>
            </w:r>
            <w:r>
              <w:rPr>
                <w:rFonts w:ascii="Times New Roman" w:hAnsi="Times New Roman" w:eastAsiaTheme="minorEastAsia"/>
                <w:b/>
                <w:sz w:val="22"/>
                <w:szCs w:val="22"/>
              </w:rPr>
              <w:t>服务要求</w:t>
            </w:r>
            <w:r>
              <w:rPr>
                <w:rFonts w:hint="eastAsia" w:ascii="Times New Roman" w:hAnsi="Times New Roman" w:eastAsiaTheme="minorEastAsia"/>
                <w:b/>
                <w:sz w:val="22"/>
                <w:szCs w:val="22"/>
              </w:rPr>
              <w:t>、服务标准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b/>
                <w:sz w:val="22"/>
                <w:szCs w:val="22"/>
              </w:rPr>
              <w:t>服务时间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01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第1包：北京市市级行业协会商会、中关村社会团体抽查审计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66家北京市市级行业协会商会、中关村社会团体就2023会计年度开展抽查审计工作，出具真实、合法、客观、公正的审计结果，撰写第1包抽查审计结项报告及第1、2、3包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02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第2包：北京市市级行业协会商会、中关村社会团体抽查审计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66家北京市市级行业协会商会、中关村社会团体就2023会计年度开展抽查审计工作，出具真实、合法、客观、公正的审计结果，撰写第2包抽查审计结项报告，配合第1包完成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03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第3包：北京市市级行业协会商会、中关村社会团体抽查审计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66家北京市市级行业协会商会、中关村社会团体就2023会计年度开展抽查审计工作，出具真实、合法、客观、公正的审计结果，撰写第3包抽查审计结项报告，配合第1包完成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04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第4包：北京市市级专业类、学术类、联合类社会团体抽查审计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对50家北京市市级专业类、学术类、联合类社会团体就2023会计年度开展抽查审计工作，出具真实、合法、客观、公正的审计结果，撰写第4包抽查审计结项报告及第4、5包抽查审计结项汇总报告（详见招标文件）。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05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第5包：北京市市级专业类、学术类、联合类社会团体抽查审计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46家北京市市级专业类、学术类、联合类社会团体就2023会计年度开展抽查审计工作，出具真实、合法、客观、公正的审计结果，撰写第5包抽查审计结项报告，配合第4包完成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06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第6包：北京市市级社会服务机构（民办非企业单位）抽查审计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55家北京市市级社会服务机构（民办非企业单位）就2022、2023会计年度开展抽查审计工作，出具真实、合法、客观、公正的审计结果，撰写第6包抽查审计结项报告及第6、7、8包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07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第7包：北京市市级社会服务机构（民办非企业单位）抽查审计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55家北京市市级社会服务机构（民办非企业单位）就2022、2023会计年度开展抽查审计工作，出具真实、合法、客观、公正的审计结果，撰写第7包抽查审计结项报告，配合第6包完成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08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第8包：北京市市级社会服务机构（民办非企业单位）抽查审计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55家北京市市级社会服务机构（民办非企业单位）就2022、2023会计年度开展抽查审计工作，出具真实、合法、客观、公正的审计结果，撰写第8包抽查审计结项报告，配合第6包完成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09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第9包：北京市基金会抽查审计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对60家北京市基金会就2022、2023会计年度开展抽查审计工作，出具真实、合法、客观、公正的审计结果，撰写第9包抽查审计结项报告及第9、10、11包抽查审计结项汇总报告（详见招标文件）。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第10包：北京市基金会抽查审计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对50家北京市基金会就2022、2023会计年度开展抽查审计工作，出具真实、合法、客观、公正的审计结果，撰写第10包抽查审计结项报告，配合第9包完成抽查审计结项汇总报告（详见招标文件）。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第11包：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eastAsia="zh-CN"/>
              </w:rPr>
              <w:t>北京市基金会抽查审计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eastAsia="zh-CN"/>
              </w:rPr>
              <w:t>对50家北京市基金会就2022、2023会计年度开展抽查审计工作，出具真实、合法、客观、公正的审计结果，撰写第11包抽查审计结项报告，配合第9包完成抽查审计结项汇总报告（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详见招标文件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eastAsia="zh-CN"/>
              </w:rPr>
              <w:t>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1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90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第12包：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eastAsia="zh-CN"/>
              </w:rPr>
              <w:t>联合党委社会组织党建经费审计</w:t>
            </w:r>
          </w:p>
        </w:tc>
        <w:tc>
          <w:tcPr>
            <w:tcW w:w="33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  <w:t>1项服务</w:t>
            </w:r>
          </w:p>
        </w:tc>
        <w:tc>
          <w:tcPr>
            <w:tcW w:w="264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eastAsia="zh-CN"/>
              </w:rPr>
              <w:t>对52家联合党委开展联合党委社会组织党建经费审计工作，出具真实、合法、客观、公正的审计报告，向采购人提出监管建议，并出具每个被审计联合党委的审计报告、管理建议书，撰写联合党委社会组织党建经费审计结项报告、问题台账汇总表、结余资金汇总表。审计期间为2023会计年度（详见招标文件）。</w:t>
            </w:r>
          </w:p>
        </w:tc>
        <w:tc>
          <w:tcPr>
            <w:tcW w:w="794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eastAsiaTheme="minorEastAsia"/>
                <w:sz w:val="22"/>
                <w:szCs w:val="22"/>
              </w:rPr>
            </w:pPr>
            <w:r>
              <w:rPr>
                <w:rFonts w:hint="eastAsia" w:ascii="Times New Roman" w:hAnsi="Times New Roman" w:eastAsiaTheme="minorEastAsia"/>
                <w:sz w:val="22"/>
                <w:szCs w:val="22"/>
              </w:rPr>
              <w:t>自合同签订之日起至</w:t>
            </w:r>
            <w:r>
              <w:rPr>
                <w:rFonts w:hint="eastAsia" w:ascii="Times New Roman" w:hAnsi="Times New Roman" w:eastAsiaTheme="minorEastAsia"/>
                <w:sz w:val="22"/>
                <w:szCs w:val="22"/>
                <w:lang w:eastAsia="zh-CN"/>
              </w:rPr>
              <w:t>2024年08月31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日。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color w:val="0000FF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张鹏江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丁淑英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肖喜堂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张之阳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陈学良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5.836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5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r>
        <w:rPr>
          <w:rFonts w:ascii="Times New Roman" w:hAnsi="Times New Roman" w:eastAsia="宋体"/>
          <w:sz w:val="24"/>
          <w:szCs w:val="24"/>
        </w:rPr>
        <w:t>（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第</w:t>
      </w:r>
      <w:r>
        <w:rPr>
          <w:rFonts w:ascii="Times New Roman" w:hAnsi="Times New Roman" w:eastAsia="宋体"/>
          <w:sz w:val="24"/>
          <w:szCs w:val="24"/>
          <w:highlight w:val="none"/>
        </w:rPr>
        <w:t>1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包：0.5247万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2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包：0.5396万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3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包：0.4901万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4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包：0.408万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5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包：0.375万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6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包：0.528万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；第7包：0.495万元；第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包：0.4826万元；第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包：0.675万元；第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包：0.54万元；第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包：0.525万元；第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包：0.2535万元</w:t>
      </w:r>
      <w:r>
        <w:rPr>
          <w:rFonts w:ascii="Times New Roman" w:hAnsi="Times New Roman" w:eastAsia="宋体"/>
          <w:sz w:val="24"/>
          <w:szCs w:val="24"/>
          <w:highlight w:val="none"/>
        </w:rPr>
        <w:t>）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</w:t>
      </w:r>
      <w:r>
        <w:rPr>
          <w:rFonts w:ascii="Times New Roman" w:hAnsi="Times New Roman" w:eastAsia="宋体"/>
          <w:sz w:val="24"/>
          <w:szCs w:val="24"/>
        </w:rPr>
        <w:t>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2024-363</w:t>
      </w:r>
      <w:r>
        <w:rPr>
          <w:rFonts w:hint="eastAsia" w:ascii="Times New Roman" w:hAnsi="Times New Roman" w:eastAsia="宋体"/>
          <w:bCs/>
          <w:sz w:val="24"/>
          <w:szCs w:val="24"/>
        </w:rPr>
        <w:t>/01~</w:t>
      </w:r>
      <w:r>
        <w:rPr>
          <w:rFonts w:ascii="Times New Roman" w:hAnsi="Times New Roman" w:eastAsia="宋体"/>
          <w:bCs/>
          <w:sz w:val="24"/>
          <w:szCs w:val="24"/>
        </w:rPr>
        <w:t>1</w:t>
      </w:r>
      <w:r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  <w:t>8.3本项目各分包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成交供应商评审总得分为：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94.69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（第1包）；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92.74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（第2包）；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91.17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（第3包）；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90.47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（第4包）；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83.80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（第5包）；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94.59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（第6包）；94.49（第7包）；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8"/>
          <w:u w:val="none"/>
          <w:lang w:val="en-US" w:eastAsia="zh-CN" w:bidi="ar"/>
        </w:rPr>
        <w:t>89.89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（第8包）；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93.60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（第9包）；92.12（第10包）；91.97（第11包）；88.48（第12包）。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023"/>
      <w:bookmarkStart w:id="3" w:name="_Toc35393641"/>
      <w:bookmarkStart w:id="4" w:name="_Toc35393810"/>
      <w:bookmarkStart w:id="5" w:name="_Toc28359100"/>
    </w:p>
    <w:bookmarkEnd w:id="2"/>
    <w:bookmarkEnd w:id="3"/>
    <w:bookmarkEnd w:id="4"/>
    <w:bookmarkEnd w:id="5"/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名称：北京市社会组织管理中心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地址：北京市通州区留庄路4号院2号楼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联系方式：孙</w:t>
      </w:r>
      <w:r>
        <w:rPr>
          <w:rFonts w:ascii="Times New Roman" w:hAnsi="Times New Roman" w:eastAsia="宋体"/>
          <w:kern w:val="0"/>
          <w:sz w:val="24"/>
          <w:szCs w:val="24"/>
        </w:rPr>
        <w:t>老师，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010-55521989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 3号楼9层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联系方式：李辰、王秋凌，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010-65173825、65699122、65244483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项目联系人：李辰、王秋凌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010-65173825、65699122、65244483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</w:t>
      </w:r>
      <w:r>
        <w:rPr>
          <w:rFonts w:ascii="Times New Roman" w:hAnsi="Times New Roman" w:eastAsia="宋体"/>
          <w:kern w:val="0"/>
          <w:sz w:val="24"/>
          <w:szCs w:val="24"/>
        </w:rPr>
        <w:t>.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 xml:space="preserve"> </w:t>
      </w:r>
      <w:bookmarkStart w:id="6" w:name="_GoBack"/>
      <w:bookmarkEnd w:id="6"/>
      <w:r>
        <w:rPr>
          <w:rFonts w:hint="eastAsia" w:ascii="Times New Roman" w:hAnsi="Times New Roman" w:eastAsia="宋体"/>
          <w:kern w:val="0"/>
          <w:sz w:val="24"/>
          <w:szCs w:val="24"/>
        </w:rPr>
        <w:t>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0C6648"/>
    <w:rsid w:val="00141DC4"/>
    <w:rsid w:val="001A13B8"/>
    <w:rsid w:val="001A6B94"/>
    <w:rsid w:val="00216DE1"/>
    <w:rsid w:val="00276863"/>
    <w:rsid w:val="002D5279"/>
    <w:rsid w:val="003F049F"/>
    <w:rsid w:val="0041710E"/>
    <w:rsid w:val="004778F5"/>
    <w:rsid w:val="004818B1"/>
    <w:rsid w:val="004B3529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877F2A"/>
    <w:rsid w:val="009B6F26"/>
    <w:rsid w:val="009E442F"/>
    <w:rsid w:val="00A06B46"/>
    <w:rsid w:val="00A42D63"/>
    <w:rsid w:val="00A55884"/>
    <w:rsid w:val="00A83878"/>
    <w:rsid w:val="00A858CB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1730582"/>
    <w:rsid w:val="04CD4AB8"/>
    <w:rsid w:val="07262C9A"/>
    <w:rsid w:val="0A5E2D20"/>
    <w:rsid w:val="0CA324F6"/>
    <w:rsid w:val="0CB52FD7"/>
    <w:rsid w:val="0CF14C50"/>
    <w:rsid w:val="0D7C7E6D"/>
    <w:rsid w:val="0E653000"/>
    <w:rsid w:val="0F026464"/>
    <w:rsid w:val="0FFD5273"/>
    <w:rsid w:val="12171490"/>
    <w:rsid w:val="15F20593"/>
    <w:rsid w:val="1AA14D38"/>
    <w:rsid w:val="1E530D63"/>
    <w:rsid w:val="1FBD191B"/>
    <w:rsid w:val="23B11E58"/>
    <w:rsid w:val="23D1633F"/>
    <w:rsid w:val="241F24F1"/>
    <w:rsid w:val="251972CD"/>
    <w:rsid w:val="27E35043"/>
    <w:rsid w:val="293D309F"/>
    <w:rsid w:val="29BA425A"/>
    <w:rsid w:val="29C5081E"/>
    <w:rsid w:val="31C115D3"/>
    <w:rsid w:val="35C44201"/>
    <w:rsid w:val="373F7FE3"/>
    <w:rsid w:val="380725D5"/>
    <w:rsid w:val="396D45D2"/>
    <w:rsid w:val="3AC10AFB"/>
    <w:rsid w:val="447C5A84"/>
    <w:rsid w:val="45865C90"/>
    <w:rsid w:val="473442D3"/>
    <w:rsid w:val="47CD5197"/>
    <w:rsid w:val="51714D12"/>
    <w:rsid w:val="51FF51C4"/>
    <w:rsid w:val="546B750E"/>
    <w:rsid w:val="55F8502C"/>
    <w:rsid w:val="562437A5"/>
    <w:rsid w:val="59CA21A6"/>
    <w:rsid w:val="5B856852"/>
    <w:rsid w:val="5C787ACA"/>
    <w:rsid w:val="5CB219E1"/>
    <w:rsid w:val="62F8428B"/>
    <w:rsid w:val="667A21AA"/>
    <w:rsid w:val="67344870"/>
    <w:rsid w:val="676F546D"/>
    <w:rsid w:val="68C142CF"/>
    <w:rsid w:val="6B433C63"/>
    <w:rsid w:val="73874C3F"/>
    <w:rsid w:val="75BE4C11"/>
    <w:rsid w:val="7EA340ED"/>
    <w:rsid w:val="7EF11DCD"/>
    <w:rsid w:val="7FE94C3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locked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2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8"/>
    <w:qFormat/>
    <w:uiPriority w:val="99"/>
    <w:pPr>
      <w:widowControl/>
      <w:spacing w:line="360" w:lineRule="auto"/>
    </w:pPr>
    <w:rPr>
      <w:color w:val="FF0000"/>
    </w:rPr>
  </w:style>
  <w:style w:type="paragraph" w:customStyle="1" w:styleId="8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9">
    <w:name w:val="Plain Text"/>
    <w:basedOn w:val="1"/>
    <w:link w:val="28"/>
    <w:qFormat/>
    <w:uiPriority w:val="99"/>
    <w:rPr>
      <w:rFonts w:ascii="宋体" w:hAnsi="Courier New"/>
    </w:rPr>
  </w:style>
  <w:style w:type="paragraph" w:styleId="10">
    <w:name w:val="Balloon Text"/>
    <w:basedOn w:val="1"/>
    <w:link w:val="30"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locked/>
    <w:uiPriority w:val="0"/>
  </w:style>
  <w:style w:type="character" w:styleId="17">
    <w:name w:val="FollowedHyperlink"/>
    <w:basedOn w:val="15"/>
    <w:semiHidden/>
    <w:unhideWhenUsed/>
    <w:qFormat/>
    <w:uiPriority w:val="99"/>
    <w:rPr>
      <w:color w:val="000000"/>
      <w:u w:val="none"/>
    </w:rPr>
  </w:style>
  <w:style w:type="character" w:styleId="18">
    <w:name w:val="Emphasis"/>
    <w:basedOn w:val="15"/>
    <w:qFormat/>
    <w:locked/>
    <w:uiPriority w:val="0"/>
    <w:rPr>
      <w:color w:val="555555"/>
      <w:sz w:val="22"/>
      <w:szCs w:val="22"/>
    </w:rPr>
  </w:style>
  <w:style w:type="character" w:styleId="19">
    <w:name w:val="HTML Definition"/>
    <w:basedOn w:val="15"/>
    <w:semiHidden/>
    <w:unhideWhenUsed/>
    <w:qFormat/>
    <w:uiPriority w:val="99"/>
  </w:style>
  <w:style w:type="character" w:styleId="20">
    <w:name w:val="HTML Acronym"/>
    <w:basedOn w:val="15"/>
    <w:semiHidden/>
    <w:unhideWhenUsed/>
    <w:qFormat/>
    <w:uiPriority w:val="99"/>
  </w:style>
  <w:style w:type="character" w:styleId="21">
    <w:name w:val="HTML Variable"/>
    <w:basedOn w:val="15"/>
    <w:semiHidden/>
    <w:unhideWhenUsed/>
    <w:qFormat/>
    <w:uiPriority w:val="99"/>
  </w:style>
  <w:style w:type="character" w:styleId="22">
    <w:name w:val="Hyperlink"/>
    <w:basedOn w:val="15"/>
    <w:semiHidden/>
    <w:unhideWhenUsed/>
    <w:qFormat/>
    <w:uiPriority w:val="99"/>
    <w:rPr>
      <w:color w:val="000000"/>
      <w:u w:val="none"/>
    </w:rPr>
  </w:style>
  <w:style w:type="character" w:styleId="23">
    <w:name w:val="HTML Code"/>
    <w:basedOn w:val="15"/>
    <w:semiHidden/>
    <w:unhideWhenUsed/>
    <w:qFormat/>
    <w:uiPriority w:val="99"/>
    <w:rPr>
      <w:rFonts w:ascii="Courier New" w:hAnsi="Courier New"/>
      <w:sz w:val="20"/>
    </w:rPr>
  </w:style>
  <w:style w:type="character" w:styleId="24">
    <w:name w:val="annotation reference"/>
    <w:semiHidden/>
    <w:qFormat/>
    <w:uiPriority w:val="99"/>
    <w:rPr>
      <w:rFonts w:cs="Times New Roman"/>
      <w:sz w:val="21"/>
      <w:szCs w:val="21"/>
    </w:rPr>
  </w:style>
  <w:style w:type="character" w:styleId="25">
    <w:name w:val="HTML Cite"/>
    <w:basedOn w:val="15"/>
    <w:semiHidden/>
    <w:unhideWhenUsed/>
    <w:qFormat/>
    <w:uiPriority w:val="99"/>
  </w:style>
  <w:style w:type="character" w:customStyle="1" w:styleId="26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9"/>
    <w:qFormat/>
    <w:locked/>
    <w:uiPriority w:val="99"/>
    <w:rPr>
      <w:rFonts w:ascii="宋体" w:hAnsi="Courier New" w:cs="Times New Roman"/>
    </w:rPr>
  </w:style>
  <w:style w:type="character" w:customStyle="1" w:styleId="29">
    <w:name w:val="批注文字 字符"/>
    <w:basedOn w:val="15"/>
    <w:link w:val="6"/>
    <w:semiHidden/>
    <w:qFormat/>
    <w:uiPriority w:val="99"/>
  </w:style>
  <w:style w:type="character" w:customStyle="1" w:styleId="30">
    <w:name w:val="批注框文本 字符"/>
    <w:link w:val="10"/>
    <w:semiHidden/>
    <w:qFormat/>
    <w:uiPriority w:val="99"/>
    <w:rPr>
      <w:sz w:val="0"/>
      <w:szCs w:val="0"/>
    </w:rPr>
  </w:style>
  <w:style w:type="character" w:customStyle="1" w:styleId="31">
    <w:name w:val="页眉 字符"/>
    <w:link w:val="12"/>
    <w:qFormat/>
    <w:uiPriority w:val="99"/>
    <w:rPr>
      <w:sz w:val="18"/>
      <w:szCs w:val="18"/>
    </w:rPr>
  </w:style>
  <w:style w:type="character" w:customStyle="1" w:styleId="32">
    <w:name w:val="页脚 字符"/>
    <w:link w:val="11"/>
    <w:qFormat/>
    <w:uiPriority w:val="99"/>
    <w:rPr>
      <w:sz w:val="18"/>
      <w:szCs w:val="18"/>
    </w:rPr>
  </w:style>
  <w:style w:type="character" w:customStyle="1" w:styleId="33">
    <w:name w:val="active6"/>
    <w:basedOn w:val="15"/>
    <w:qFormat/>
    <w:uiPriority w:val="0"/>
    <w:rPr>
      <w:color w:val="FFFFFF"/>
      <w:shd w:val="clear" w:color="auto" w:fill="E22323"/>
    </w:rPr>
  </w:style>
  <w:style w:type="character" w:customStyle="1" w:styleId="34">
    <w:name w:val="before"/>
    <w:basedOn w:val="15"/>
    <w:qFormat/>
    <w:uiPriority w:val="0"/>
    <w:rPr>
      <w:shd w:val="clear" w:color="auto" w:fill="E22323"/>
    </w:rPr>
  </w:style>
  <w:style w:type="character" w:customStyle="1" w:styleId="35">
    <w:name w:val="hover4"/>
    <w:basedOn w:val="15"/>
    <w:qFormat/>
    <w:uiPriority w:val="0"/>
    <w:rPr>
      <w:color w:val="0063BA"/>
    </w:rPr>
  </w:style>
  <w:style w:type="character" w:customStyle="1" w:styleId="36">
    <w:name w:val="margin_right202"/>
    <w:basedOn w:val="15"/>
    <w:qFormat/>
    <w:uiPriority w:val="0"/>
  </w:style>
  <w:style w:type="character" w:customStyle="1" w:styleId="37">
    <w:name w:val="margin_right20"/>
    <w:basedOn w:val="15"/>
    <w:qFormat/>
    <w:uiPriority w:val="0"/>
  </w:style>
  <w:style w:type="character" w:customStyle="1" w:styleId="38">
    <w:name w:val="active"/>
    <w:basedOn w:val="15"/>
    <w:qFormat/>
    <w:uiPriority w:val="0"/>
    <w:rPr>
      <w:color w:val="FFFFFF"/>
      <w:shd w:val="clear" w:color="auto" w:fill="E22323"/>
    </w:rPr>
  </w:style>
  <w:style w:type="character" w:customStyle="1" w:styleId="39">
    <w:name w:val="hover5"/>
    <w:basedOn w:val="15"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2807</Words>
  <Characters>3636</Characters>
  <Lines>14</Lines>
  <Paragraphs>4</Paragraphs>
  <TotalTime>66</TotalTime>
  <ScaleCrop>false</ScaleCrop>
  <LinksUpToDate>false</LinksUpToDate>
  <CharactersWithSpaces>3638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2023-06-01T07:09:00Z</cp:lastPrinted>
  <dcterms:modified xsi:type="dcterms:W3CDTF">2024-06-05T06:18:55Z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76512FFBEF034336ABD22183B26CD030</vt:lpwstr>
  </property>
</Properties>
</file>