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9"/>
        <w:rPr>
          <w:rFonts w:hint="eastAsia" w:ascii="宋体" w:hAnsi="宋体" w:eastAsia="宋体" w:cs="宋体"/>
          <w:bCs/>
          <w:color w:val="auto"/>
          <w:sz w:val="36"/>
          <w:szCs w:val="36"/>
          <w:highlight w:val="none"/>
          <w:lang w:val="en-US" w:eastAsia="zh-CN"/>
        </w:rPr>
      </w:pPr>
      <w:r>
        <w:rPr>
          <w:rFonts w:hint="eastAsia" w:ascii="宋体" w:hAnsi="宋体" w:eastAsia="宋体" w:cs="宋体"/>
          <w:bCs/>
          <w:color w:val="auto"/>
          <w:sz w:val="36"/>
          <w:szCs w:val="36"/>
          <w:highlight w:val="none"/>
          <w:lang w:val="en-US" w:eastAsia="zh-CN"/>
        </w:rPr>
        <w:t xml:space="preserve"> </w:t>
      </w:r>
    </w:p>
    <w:p>
      <w:pPr>
        <w:rPr>
          <w:rFonts w:hint="eastAsia" w:ascii="宋体" w:hAnsi="宋体" w:eastAsia="宋体" w:cs="宋体"/>
          <w:bCs/>
          <w:color w:val="auto"/>
          <w:sz w:val="36"/>
          <w:szCs w:val="36"/>
          <w:highlight w:val="none"/>
          <w:lang w:val="en-US" w:eastAsia="zh-CN"/>
        </w:rPr>
      </w:pPr>
    </w:p>
    <w:p>
      <w:pPr>
        <w:pStyle w:val="29"/>
        <w:rPr>
          <w:rFonts w:hint="eastAsia" w:ascii="宋体" w:hAnsi="宋体" w:eastAsia="宋体" w:cs="宋体"/>
          <w:color w:val="auto"/>
          <w:highlight w:val="none"/>
          <w:lang w:val="en-US" w:eastAsia="zh-CN"/>
        </w:rPr>
      </w:pPr>
    </w:p>
    <w:p>
      <w:pPr>
        <w:rPr>
          <w:rFonts w:hint="eastAsia" w:ascii="宋体" w:hAnsi="宋体" w:eastAsia="宋体" w:cs="宋体"/>
          <w:bCs/>
          <w:color w:val="auto"/>
          <w:sz w:val="36"/>
          <w:szCs w:val="36"/>
          <w:highlight w:val="none"/>
          <w:lang w:eastAsia="zh-CN"/>
        </w:rPr>
      </w:pPr>
    </w:p>
    <w:p>
      <w:pPr>
        <w:pStyle w:val="29"/>
        <w:rPr>
          <w:rFonts w:hint="eastAsia" w:ascii="宋体" w:hAnsi="宋体" w:eastAsia="宋体" w:cs="宋体"/>
          <w:bCs/>
          <w:color w:val="auto"/>
          <w:sz w:val="36"/>
          <w:szCs w:val="36"/>
          <w:highlight w:val="none"/>
          <w:lang w:eastAsia="zh-CN"/>
        </w:rPr>
      </w:pPr>
    </w:p>
    <w:p>
      <w:pPr>
        <w:rPr>
          <w:rFonts w:hint="eastAsia" w:ascii="宋体" w:hAnsi="宋体" w:eastAsia="宋体" w:cs="宋体"/>
          <w:color w:val="auto"/>
          <w:highlight w:val="none"/>
        </w:rPr>
      </w:pP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北京市政府采购项目</w:t>
      </w:r>
    </w:p>
    <w:p>
      <w:pPr>
        <w:spacing w:line="360" w:lineRule="auto"/>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竞争性磋商文件</w:t>
      </w:r>
    </w:p>
    <w:p>
      <w:pPr>
        <w:tabs>
          <w:tab w:val="left" w:pos="3240"/>
          <w:tab w:val="left" w:pos="3420"/>
        </w:tabs>
        <w:spacing w:line="360" w:lineRule="auto"/>
        <w:ind w:left="2832" w:leftChars="444" w:hanging="1900" w:hangingChars="528"/>
        <w:jc w:val="left"/>
        <w:rPr>
          <w:rFonts w:hint="eastAsia" w:ascii="宋体" w:hAnsi="宋体" w:eastAsia="宋体" w:cs="宋体"/>
          <w:bCs/>
          <w:color w:val="auto"/>
          <w:sz w:val="36"/>
          <w:szCs w:val="36"/>
          <w:highlight w:val="none"/>
          <w:lang w:eastAsia="zh-CN"/>
        </w:rPr>
      </w:pPr>
    </w:p>
    <w:p>
      <w:pPr>
        <w:pStyle w:val="29"/>
        <w:rPr>
          <w:rFonts w:hint="eastAsia" w:ascii="宋体" w:hAnsi="宋体" w:eastAsia="宋体" w:cs="宋体"/>
          <w:bCs/>
          <w:color w:val="auto"/>
          <w:sz w:val="36"/>
          <w:szCs w:val="36"/>
          <w:highlight w:val="none"/>
          <w:lang w:eastAsia="zh-CN"/>
        </w:rPr>
      </w:pPr>
    </w:p>
    <w:p>
      <w:pPr>
        <w:rPr>
          <w:rFonts w:hint="eastAsia" w:ascii="宋体" w:hAnsi="宋体" w:eastAsia="宋体" w:cs="宋体"/>
          <w:bCs/>
          <w:color w:val="auto"/>
          <w:sz w:val="36"/>
          <w:szCs w:val="36"/>
          <w:highlight w:val="none"/>
          <w:lang w:eastAsia="zh-CN"/>
        </w:rPr>
      </w:pPr>
    </w:p>
    <w:p>
      <w:pPr>
        <w:pStyle w:val="29"/>
        <w:rPr>
          <w:rFonts w:hint="eastAsia" w:ascii="宋体" w:hAnsi="宋体" w:eastAsia="宋体" w:cs="宋体"/>
          <w:bCs/>
          <w:color w:val="auto"/>
          <w:sz w:val="36"/>
          <w:szCs w:val="36"/>
          <w:highlight w:val="none"/>
          <w:lang w:eastAsia="zh-CN"/>
        </w:rPr>
      </w:pPr>
    </w:p>
    <w:p>
      <w:pPr>
        <w:rPr>
          <w:rFonts w:hint="eastAsia" w:ascii="宋体" w:hAnsi="宋体" w:eastAsia="宋体" w:cs="宋体"/>
          <w:bCs/>
          <w:color w:val="auto"/>
          <w:sz w:val="36"/>
          <w:szCs w:val="36"/>
          <w:highlight w:val="none"/>
          <w:lang w:eastAsia="zh-CN"/>
        </w:rPr>
      </w:pPr>
    </w:p>
    <w:p>
      <w:pPr>
        <w:pStyle w:val="29"/>
        <w:rPr>
          <w:rFonts w:hint="eastAsia" w:ascii="宋体" w:hAnsi="宋体" w:eastAsia="宋体" w:cs="宋体"/>
          <w:bCs/>
          <w:color w:val="auto"/>
          <w:sz w:val="36"/>
          <w:szCs w:val="36"/>
          <w:highlight w:val="none"/>
          <w:lang w:eastAsia="zh-CN"/>
        </w:rPr>
      </w:pPr>
    </w:p>
    <w:p>
      <w:pPr>
        <w:rPr>
          <w:rFonts w:hint="eastAsia" w:ascii="宋体" w:hAnsi="宋体" w:eastAsia="宋体" w:cs="宋体"/>
          <w:color w:val="auto"/>
          <w:highlight w:val="none"/>
          <w:lang w:eastAsia="zh-CN"/>
        </w:rPr>
      </w:pPr>
    </w:p>
    <w:p>
      <w:pPr>
        <w:pStyle w:val="29"/>
        <w:rPr>
          <w:rFonts w:hint="eastAsia"/>
          <w:color w:val="auto"/>
          <w:highlight w:val="none"/>
          <w:lang w:eastAsia="zh-CN"/>
        </w:rPr>
      </w:pPr>
    </w:p>
    <w:p>
      <w:pPr>
        <w:rPr>
          <w:rFonts w:hint="eastAsia" w:ascii="宋体" w:hAnsi="宋体" w:eastAsia="宋体" w:cs="宋体"/>
          <w:bCs/>
          <w:color w:val="auto"/>
          <w:sz w:val="36"/>
          <w:szCs w:val="36"/>
          <w:highlight w:val="none"/>
          <w:lang w:eastAsia="zh-CN"/>
        </w:rPr>
      </w:pPr>
    </w:p>
    <w:p>
      <w:pPr>
        <w:pStyle w:val="29"/>
        <w:rPr>
          <w:rFonts w:hint="eastAsia" w:ascii="宋体" w:hAnsi="宋体" w:eastAsia="宋体" w:cs="宋体"/>
          <w:color w:val="auto"/>
          <w:highlight w:val="none"/>
          <w:lang w:eastAsia="zh-CN"/>
        </w:rPr>
      </w:pPr>
    </w:p>
    <w:p>
      <w:pPr>
        <w:tabs>
          <w:tab w:val="left" w:pos="3240"/>
          <w:tab w:val="left" w:pos="3420"/>
        </w:tabs>
        <w:spacing w:line="360" w:lineRule="auto"/>
        <w:ind w:left="2534" w:leftChars="341" w:hanging="1818" w:hangingChars="505"/>
        <w:jc w:val="both"/>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t>项目名称：</w:t>
      </w:r>
      <w:r>
        <w:rPr>
          <w:rFonts w:hint="eastAsia" w:ascii="宋体" w:hAnsi="宋体" w:cs="宋体"/>
          <w:bCs/>
          <w:color w:val="auto"/>
          <w:sz w:val="36"/>
          <w:szCs w:val="36"/>
          <w:highlight w:val="none"/>
          <w:lang w:eastAsia="zh-CN"/>
        </w:rPr>
        <w:t>2024年度仁和镇土地整治及拆除项目</w:t>
      </w:r>
    </w:p>
    <w:p>
      <w:pPr>
        <w:tabs>
          <w:tab w:val="left" w:pos="3240"/>
          <w:tab w:val="left" w:pos="3420"/>
        </w:tabs>
        <w:spacing w:line="360" w:lineRule="auto"/>
        <w:ind w:firstLine="720" w:firstLineChars="200"/>
        <w:jc w:val="left"/>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t>项目编号：</w:t>
      </w:r>
      <w:r>
        <w:rPr>
          <w:rFonts w:hint="eastAsia" w:ascii="宋体" w:hAnsi="宋体" w:cs="宋体"/>
          <w:bCs/>
          <w:color w:val="auto"/>
          <w:sz w:val="36"/>
          <w:szCs w:val="36"/>
          <w:highlight w:val="none"/>
          <w:lang w:eastAsia="zh-CN"/>
        </w:rPr>
        <w:t>11011324210200013963-XM001</w:t>
      </w:r>
    </w:p>
    <w:p>
      <w:pPr>
        <w:tabs>
          <w:tab w:val="left" w:pos="3240"/>
          <w:tab w:val="left" w:pos="3420"/>
        </w:tabs>
        <w:spacing w:line="360" w:lineRule="auto"/>
        <w:ind w:firstLine="720" w:firstLineChars="200"/>
        <w:jc w:val="left"/>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t>采 购 人：</w:t>
      </w:r>
      <w:r>
        <w:rPr>
          <w:rFonts w:hint="eastAsia" w:ascii="宋体" w:hAnsi="宋体" w:cs="宋体"/>
          <w:bCs/>
          <w:color w:val="auto"/>
          <w:sz w:val="36"/>
          <w:szCs w:val="36"/>
          <w:highlight w:val="none"/>
          <w:lang w:eastAsia="zh-CN"/>
        </w:rPr>
        <w:t>北京市顺义区仁和镇人民政府</w:t>
      </w:r>
    </w:p>
    <w:p>
      <w:pPr>
        <w:tabs>
          <w:tab w:val="left" w:pos="3240"/>
          <w:tab w:val="left" w:pos="3420"/>
        </w:tabs>
        <w:spacing w:line="360" w:lineRule="auto"/>
        <w:ind w:firstLine="720" w:firstLineChars="200"/>
        <w:jc w:val="left"/>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采购代理机构：</w:t>
      </w:r>
      <w:r>
        <w:rPr>
          <w:rFonts w:hint="eastAsia" w:ascii="宋体" w:hAnsi="宋体" w:eastAsia="宋体" w:cs="宋体"/>
          <w:bCs/>
          <w:color w:val="auto"/>
          <w:sz w:val="36"/>
          <w:szCs w:val="36"/>
          <w:highlight w:val="none"/>
          <w:lang w:eastAsia="zh-CN"/>
        </w:rPr>
        <w:t>北京嘉诚晟泰工程管理咨询有限公司</w:t>
      </w:r>
      <w:r>
        <w:rPr>
          <w:rFonts w:hint="eastAsia" w:ascii="宋体" w:hAnsi="宋体" w:eastAsia="宋体" w:cs="宋体"/>
          <w:bCs/>
          <w:color w:val="auto"/>
          <w:sz w:val="36"/>
          <w:szCs w:val="36"/>
          <w:highlight w:val="none"/>
        </w:rPr>
        <w:t xml:space="preserve"> </w:t>
      </w:r>
    </w:p>
    <w:p>
      <w:pPr>
        <w:widowControl/>
        <w:jc w:val="center"/>
        <w:rPr>
          <w:rFonts w:hint="eastAsia" w:ascii="宋体" w:hAnsi="宋体" w:eastAsia="宋体" w:cs="宋体"/>
          <w:b w:val="0"/>
          <w:bCs w:val="0"/>
          <w:color w:val="auto"/>
          <w:sz w:val="36"/>
          <w:szCs w:val="36"/>
          <w:highlight w:val="none"/>
          <w:lang w:val="en-US" w:eastAsia="zh-CN"/>
        </w:rPr>
        <w:sectPr>
          <w:type w:val="nextColumn"/>
          <w:pgSz w:w="11906" w:h="16838"/>
          <w:pgMar w:top="1911" w:right="1474" w:bottom="1882" w:left="1587" w:header="851" w:footer="992" w:gutter="0"/>
          <w:pgNumType w:fmt="decimal"/>
          <w:cols w:space="425" w:num="1"/>
          <w:docGrid w:linePitch="312" w:charSpace="0"/>
        </w:sectPr>
      </w:pPr>
    </w:p>
    <w:p>
      <w:pPr>
        <w:spacing w:line="360" w:lineRule="auto"/>
        <w:jc w:val="center"/>
        <w:outlineLvl w:val="0"/>
        <w:rPr>
          <w:rFonts w:hint="eastAsia" w:ascii="宋体" w:hAnsi="宋体" w:eastAsia="宋体" w:cs="宋体"/>
          <w:b/>
          <w:color w:val="auto"/>
          <w:sz w:val="36"/>
          <w:szCs w:val="36"/>
          <w:highlight w:val="none"/>
        </w:rPr>
      </w:pPr>
      <w:bookmarkStart w:id="0" w:name="_Toc25614"/>
      <w:bookmarkStart w:id="1" w:name="_Toc23191"/>
      <w:r>
        <w:rPr>
          <w:rFonts w:hint="eastAsia" w:ascii="宋体" w:hAnsi="宋体" w:eastAsia="宋体" w:cs="宋体"/>
          <w:b/>
          <w:color w:val="auto"/>
          <w:sz w:val="36"/>
          <w:szCs w:val="36"/>
          <w:highlight w:val="none"/>
        </w:rPr>
        <w:t>目      录</w:t>
      </w:r>
      <w:bookmarkEnd w:id="0"/>
      <w:bookmarkEnd w:id="1"/>
    </w:p>
    <w:p>
      <w:pPr>
        <w:pStyle w:val="32"/>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b w:val="0"/>
          <w:color w:val="auto"/>
          <w:highlight w:val="none"/>
        </w:rPr>
        <w:fldChar w:fldCharType="begin"/>
      </w:r>
      <w:r>
        <w:rPr>
          <w:rFonts w:hint="eastAsia" w:ascii="宋体" w:hAnsi="宋体" w:eastAsia="宋体" w:cs="宋体"/>
          <w:b w:val="0"/>
          <w:color w:val="auto"/>
          <w:highlight w:val="none"/>
        </w:rPr>
        <w:instrText xml:space="preserve"> TOC \o "1-1" \h \z \u </w:instrText>
      </w:r>
      <w:r>
        <w:rPr>
          <w:rFonts w:hint="eastAsia" w:ascii="宋体" w:hAnsi="宋体" w:eastAsia="宋体" w:cs="宋体"/>
          <w:b w:val="0"/>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第一章   采购邀请</w:t>
      </w:r>
      <w:r>
        <w:rPr>
          <w:color w:val="auto"/>
          <w:highlight w:val="none"/>
        </w:rPr>
        <w:tab/>
      </w:r>
      <w:r>
        <w:rPr>
          <w:color w:val="auto"/>
          <w:highlight w:val="none"/>
        </w:rPr>
        <w:fldChar w:fldCharType="begin"/>
      </w:r>
      <w:r>
        <w:rPr>
          <w:color w:val="auto"/>
          <w:highlight w:val="none"/>
        </w:rPr>
        <w:instrText xml:space="preserve"> PAGEREF _Toc297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color w:val="auto"/>
          <w:highlight w:val="none"/>
        </w:rPr>
        <w:fldChar w:fldCharType="end"/>
      </w:r>
    </w:p>
    <w:p>
      <w:pPr>
        <w:pStyle w:val="32"/>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_Toc16992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_Toc16992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color w:val="auto"/>
          <w:highlight w:val="none"/>
        </w:rPr>
        <w:fldChar w:fldCharType="end"/>
      </w:r>
    </w:p>
    <w:p>
      <w:pPr>
        <w:pStyle w:val="32"/>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_Toc25508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第三章   评审方法和评审标准</w:t>
      </w:r>
      <w:r>
        <w:rPr>
          <w:color w:val="auto"/>
          <w:highlight w:val="none"/>
        </w:rPr>
        <w:tab/>
      </w:r>
      <w:r>
        <w:rPr>
          <w:color w:val="auto"/>
          <w:highlight w:val="none"/>
        </w:rPr>
        <w:fldChar w:fldCharType="begin"/>
      </w:r>
      <w:r>
        <w:rPr>
          <w:color w:val="auto"/>
          <w:highlight w:val="none"/>
        </w:rPr>
        <w:instrText xml:space="preserve"> PAGEREF _Toc25508 \h </w:instrText>
      </w:r>
      <w:r>
        <w:rPr>
          <w:color w:val="auto"/>
          <w:highlight w:val="none"/>
        </w:rPr>
        <w:fldChar w:fldCharType="separate"/>
      </w:r>
      <w:r>
        <w:rPr>
          <w:color w:val="auto"/>
          <w:highlight w:val="none"/>
        </w:rPr>
        <w:t>24</w:t>
      </w:r>
      <w:r>
        <w:rPr>
          <w:color w:val="auto"/>
          <w:highlight w:val="none"/>
        </w:rPr>
        <w:fldChar w:fldCharType="end"/>
      </w:r>
      <w:r>
        <w:rPr>
          <w:rFonts w:hint="eastAsia" w:ascii="宋体" w:hAnsi="宋体" w:eastAsia="宋体" w:cs="宋体"/>
          <w:color w:val="auto"/>
          <w:highlight w:val="none"/>
        </w:rPr>
        <w:fldChar w:fldCharType="end"/>
      </w:r>
    </w:p>
    <w:p>
      <w:pPr>
        <w:pStyle w:val="32"/>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第四章   采购需求</w:t>
      </w:r>
      <w:r>
        <w:rPr>
          <w:color w:val="auto"/>
          <w:highlight w:val="none"/>
        </w:rPr>
        <w:tab/>
      </w:r>
      <w:r>
        <w:rPr>
          <w:color w:val="auto"/>
          <w:highlight w:val="none"/>
        </w:rPr>
        <w:fldChar w:fldCharType="begin"/>
      </w:r>
      <w:r>
        <w:rPr>
          <w:color w:val="auto"/>
          <w:highlight w:val="none"/>
        </w:rPr>
        <w:instrText xml:space="preserve"> PAGEREF _Toc1550 \h </w:instrText>
      </w:r>
      <w:r>
        <w:rPr>
          <w:color w:val="auto"/>
          <w:highlight w:val="none"/>
        </w:rPr>
        <w:fldChar w:fldCharType="separate"/>
      </w:r>
      <w:r>
        <w:rPr>
          <w:color w:val="auto"/>
          <w:highlight w:val="none"/>
        </w:rPr>
        <w:t>36</w:t>
      </w:r>
      <w:r>
        <w:rPr>
          <w:color w:val="auto"/>
          <w:highlight w:val="none"/>
        </w:rPr>
        <w:fldChar w:fldCharType="end"/>
      </w:r>
      <w:r>
        <w:rPr>
          <w:rFonts w:hint="eastAsia" w:ascii="宋体" w:hAnsi="宋体" w:eastAsia="宋体" w:cs="宋体"/>
          <w:color w:val="auto"/>
          <w:highlight w:val="none"/>
        </w:rPr>
        <w:fldChar w:fldCharType="end"/>
      </w:r>
    </w:p>
    <w:p>
      <w:pPr>
        <w:pStyle w:val="32"/>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_Toc11612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第五章   合同草案条款</w:t>
      </w:r>
      <w:r>
        <w:rPr>
          <w:color w:val="auto"/>
          <w:highlight w:val="none"/>
        </w:rPr>
        <w:tab/>
      </w:r>
      <w:r>
        <w:rPr>
          <w:color w:val="auto"/>
          <w:highlight w:val="none"/>
        </w:rPr>
        <w:fldChar w:fldCharType="begin"/>
      </w:r>
      <w:r>
        <w:rPr>
          <w:color w:val="auto"/>
          <w:highlight w:val="none"/>
        </w:rPr>
        <w:instrText xml:space="preserve"> PAGEREF _Toc11612 \h </w:instrText>
      </w:r>
      <w:r>
        <w:rPr>
          <w:color w:val="auto"/>
          <w:highlight w:val="none"/>
        </w:rPr>
        <w:fldChar w:fldCharType="separate"/>
      </w:r>
      <w:r>
        <w:rPr>
          <w:color w:val="auto"/>
          <w:highlight w:val="none"/>
        </w:rPr>
        <w:t>49</w:t>
      </w:r>
      <w:r>
        <w:rPr>
          <w:color w:val="auto"/>
          <w:highlight w:val="none"/>
        </w:rPr>
        <w:fldChar w:fldCharType="end"/>
      </w:r>
      <w:r>
        <w:rPr>
          <w:rFonts w:hint="eastAsia" w:ascii="宋体" w:hAnsi="宋体" w:eastAsia="宋体" w:cs="宋体"/>
          <w:color w:val="auto"/>
          <w:highlight w:val="none"/>
        </w:rPr>
        <w:fldChar w:fldCharType="end"/>
      </w:r>
    </w:p>
    <w:p>
      <w:pPr>
        <w:pStyle w:val="32"/>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_Toc26685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_Toc26685 \h </w:instrText>
      </w:r>
      <w:r>
        <w:rPr>
          <w:color w:val="auto"/>
          <w:highlight w:val="none"/>
        </w:rPr>
        <w:fldChar w:fldCharType="separate"/>
      </w:r>
      <w:r>
        <w:rPr>
          <w:color w:val="auto"/>
          <w:highlight w:val="none"/>
        </w:rPr>
        <w:t>63</w:t>
      </w:r>
      <w:r>
        <w:rPr>
          <w:color w:val="auto"/>
          <w:highlight w:val="none"/>
        </w:rPr>
        <w:fldChar w:fldCharType="end"/>
      </w:r>
      <w:r>
        <w:rPr>
          <w:rFonts w:hint="eastAsia" w:ascii="宋体" w:hAnsi="宋体" w:eastAsia="宋体" w:cs="宋体"/>
          <w:color w:val="auto"/>
          <w:highlight w:val="none"/>
        </w:rPr>
        <w:fldChar w:fldCharType="end"/>
      </w:r>
    </w:p>
    <w:p>
      <w:pPr>
        <w:pStyle w:val="32"/>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p>
    <w:p>
      <w:pPr>
        <w:pStyle w:val="32"/>
        <w:spacing w:line="360" w:lineRule="auto"/>
        <w:rPr>
          <w:rFonts w:hint="eastAsia" w:ascii="宋体" w:hAnsi="宋体" w:eastAsia="宋体" w:cs="宋体"/>
          <w:b w:val="0"/>
          <w:color w:val="auto"/>
          <w:highlight w:val="none"/>
        </w:rPr>
      </w:pPr>
      <w:r>
        <w:rPr>
          <w:rFonts w:hint="eastAsia" w:ascii="宋体" w:hAnsi="宋体" w:eastAsia="宋体" w:cs="宋体"/>
          <w:color w:val="auto"/>
          <w:highlight w:val="none"/>
        </w:rPr>
        <w:fldChar w:fldCharType="end"/>
      </w:r>
    </w:p>
    <w:p>
      <w:pPr>
        <w:pStyle w:val="32"/>
        <w:spacing w:line="360" w:lineRule="auto"/>
        <w:rPr>
          <w:rFonts w:hint="eastAsia" w:ascii="宋体" w:hAnsi="宋体" w:eastAsia="宋体" w:cs="宋体"/>
          <w:b w:val="0"/>
          <w:color w:val="auto"/>
          <w:sz w:val="36"/>
          <w:szCs w:val="36"/>
          <w:highlight w:val="none"/>
        </w:rPr>
      </w:pPr>
    </w:p>
    <w:p>
      <w:pPr>
        <w:spacing w:line="360" w:lineRule="auto"/>
        <w:jc w:val="center"/>
        <w:outlineLvl w:val="0"/>
        <w:rPr>
          <w:rFonts w:hint="eastAsia" w:ascii="宋体" w:hAnsi="宋体" w:eastAsia="宋体" w:cs="宋体"/>
          <w:b/>
          <w:color w:val="auto"/>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fmt="decimal" w:start="1"/>
          <w:cols w:space="720" w:num="1"/>
          <w:titlePg/>
          <w:docGrid w:linePitch="462" w:charSpace="0"/>
        </w:sectPr>
      </w:pPr>
    </w:p>
    <w:p>
      <w:pPr>
        <w:spacing w:line="360" w:lineRule="auto"/>
        <w:jc w:val="center"/>
        <w:outlineLvl w:val="0"/>
        <w:rPr>
          <w:rFonts w:hint="eastAsia" w:ascii="宋体" w:hAnsi="宋体" w:eastAsia="宋体" w:cs="宋体"/>
          <w:b/>
          <w:color w:val="auto"/>
          <w:sz w:val="36"/>
          <w:szCs w:val="36"/>
          <w:highlight w:val="none"/>
        </w:rPr>
      </w:pPr>
      <w:bookmarkStart w:id="2" w:name="_Toc297"/>
      <w:r>
        <w:rPr>
          <w:rFonts w:hint="eastAsia" w:ascii="宋体" w:hAnsi="宋体" w:eastAsia="宋体" w:cs="宋体"/>
          <w:b/>
          <w:color w:val="auto"/>
          <w:sz w:val="36"/>
          <w:szCs w:val="36"/>
          <w:highlight w:val="none"/>
        </w:rPr>
        <w:t>第一章   采购邀请</w:t>
      </w:r>
      <w:bookmarkEnd w:id="2"/>
      <w:bookmarkStart w:id="3" w:name="_Toc35393621"/>
      <w:bookmarkStart w:id="4" w:name="_Toc28359002"/>
      <w:bookmarkStart w:id="5" w:name="_Toc28359079"/>
      <w:bookmarkStart w:id="6" w:name="_Toc35393790"/>
      <w:bookmarkStart w:id="7" w:name="_Hlk24379207"/>
    </w:p>
    <w:p>
      <w:pPr>
        <w:spacing w:line="360" w:lineRule="auto"/>
        <w:ind w:firstLine="480" w:firstLineChars="200"/>
        <w:rPr>
          <w:rFonts w:hint="eastAsia" w:ascii="宋体" w:hAnsi="宋体" w:eastAsia="宋体" w:cs="宋体"/>
          <w:color w:val="auto"/>
          <w:sz w:val="24"/>
          <w:highlight w:val="none"/>
        </w:rPr>
      </w:pPr>
    </w:p>
    <w:p>
      <w:pPr>
        <w:pStyle w:val="3"/>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一、项目基本情况</w:t>
      </w:r>
      <w:bookmarkEnd w:id="3"/>
      <w:bookmarkEnd w:id="4"/>
      <w:bookmarkEnd w:id="5"/>
      <w:bookmarkEnd w:id="6"/>
    </w:p>
    <w:bookmarkEnd w:id="7"/>
    <w:p>
      <w:pPr>
        <w:pStyle w:val="17"/>
        <w:spacing w:before="170" w:line="240" w:lineRule="auto"/>
        <w:ind w:left="19" w:leftChars="0" w:right="80" w:firstLine="400" w:firstLineChars="167"/>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1、项目编号：</w:t>
      </w:r>
      <w:r>
        <w:rPr>
          <w:rFonts w:hint="eastAsia" w:cs="宋体"/>
          <w:color w:val="auto"/>
          <w:highlight w:val="none"/>
          <w:lang w:eastAsia="zh-CN"/>
        </w:rPr>
        <w:t>11011324210200013963-XM001</w:t>
      </w:r>
    </w:p>
    <w:p>
      <w:pPr>
        <w:pStyle w:val="17"/>
        <w:spacing w:before="146" w:line="240" w:lineRule="auto"/>
        <w:ind w:left="19" w:leftChars="0" w:right="80" w:firstLine="400" w:firstLineChars="167"/>
        <w:jc w:val="both"/>
        <w:rPr>
          <w:rFonts w:hint="eastAsia" w:ascii="宋体" w:hAnsi="宋体" w:eastAsia="宋体" w:cs="宋体"/>
          <w:color w:val="auto"/>
          <w:highlight w:val="none"/>
        </w:rPr>
      </w:pPr>
      <w:r>
        <w:rPr>
          <w:rFonts w:hint="eastAsia" w:ascii="宋体" w:hAnsi="宋体" w:eastAsia="宋体" w:cs="宋体"/>
          <w:color w:val="auto"/>
          <w:highlight w:val="none"/>
        </w:rPr>
        <w:t>2、项目名称：</w:t>
      </w:r>
      <w:r>
        <w:rPr>
          <w:rFonts w:hint="eastAsia" w:cs="宋体"/>
          <w:color w:val="auto"/>
          <w:highlight w:val="none"/>
          <w:lang w:eastAsia="zh-CN"/>
        </w:rPr>
        <w:t>2024年度仁和镇土地整治及拆除项目</w:t>
      </w:r>
    </w:p>
    <w:p>
      <w:pPr>
        <w:pStyle w:val="17"/>
        <w:spacing w:before="146" w:line="240" w:lineRule="auto"/>
        <w:ind w:left="19" w:leftChars="0" w:right="80" w:firstLine="400" w:firstLineChars="167"/>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3、采购方式：竞争性磋商</w:t>
      </w:r>
      <w:r>
        <w:rPr>
          <w:rFonts w:hint="eastAsia" w:cs="宋体"/>
          <w:color w:val="auto"/>
          <w:highlight w:val="none"/>
          <w:lang w:val="en-US" w:eastAsia="zh-CN"/>
        </w:rPr>
        <w:t xml:space="preserve"> </w:t>
      </w:r>
    </w:p>
    <w:p>
      <w:pPr>
        <w:pStyle w:val="17"/>
        <w:spacing w:before="149" w:line="240" w:lineRule="auto"/>
        <w:ind w:left="19" w:leftChars="0" w:right="80" w:firstLine="400" w:firstLineChars="167"/>
        <w:jc w:val="left"/>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cs="宋体"/>
          <w:color w:val="auto"/>
          <w:highlight w:val="none"/>
          <w:lang w:val="en-US" w:eastAsia="zh-CN"/>
        </w:rPr>
        <w:t>项目</w:t>
      </w:r>
      <w:r>
        <w:rPr>
          <w:rFonts w:hint="eastAsia" w:ascii="宋体" w:hAnsi="宋体" w:eastAsia="宋体" w:cs="宋体"/>
          <w:color w:val="auto"/>
          <w:highlight w:val="none"/>
        </w:rPr>
        <w:t>预算金额：</w:t>
      </w:r>
      <w:r>
        <w:rPr>
          <w:rFonts w:hint="eastAsia" w:cs="宋体"/>
          <w:color w:val="auto"/>
          <w:highlight w:val="none"/>
          <w:lang w:val="en-US" w:eastAsia="zh-CN"/>
        </w:rPr>
        <w:t>2000万</w:t>
      </w:r>
      <w:r>
        <w:rPr>
          <w:rFonts w:hint="eastAsia" w:ascii="宋体" w:hAnsi="宋体" w:eastAsia="宋体" w:cs="宋体"/>
          <w:color w:val="auto"/>
          <w:highlight w:val="none"/>
          <w:lang w:val="en-US" w:eastAsia="zh-CN"/>
        </w:rPr>
        <w:t>元</w:t>
      </w:r>
      <w:r>
        <w:rPr>
          <w:rFonts w:hint="eastAsia" w:ascii="宋体" w:hAnsi="宋体" w:eastAsia="宋体" w:cs="宋体"/>
          <w:color w:val="auto"/>
          <w:highlight w:val="none"/>
        </w:rPr>
        <w:t>、</w:t>
      </w:r>
      <w:r>
        <w:rPr>
          <w:rFonts w:hint="eastAsia" w:cs="宋体"/>
          <w:color w:val="auto"/>
          <w:sz w:val="24"/>
          <w:szCs w:val="24"/>
          <w:highlight w:val="none"/>
          <w:lang w:val="en-US" w:eastAsia="zh-CN"/>
        </w:rPr>
        <w:t>项目最高</w:t>
      </w:r>
      <w:r>
        <w:rPr>
          <w:rFonts w:hint="eastAsia" w:ascii="宋体" w:hAnsi="宋体" w:cs="宋体"/>
          <w:bCs/>
          <w:color w:val="auto"/>
          <w:sz w:val="24"/>
          <w:szCs w:val="24"/>
          <w:highlight w:val="none"/>
          <w:lang w:val="en-US" w:eastAsia="zh-CN"/>
        </w:rPr>
        <w:t>限价</w:t>
      </w:r>
      <w:r>
        <w:rPr>
          <w:rFonts w:hint="eastAsia" w:ascii="宋体" w:hAnsi="宋体" w:eastAsia="宋体" w:cs="宋体"/>
          <w:color w:val="auto"/>
          <w:highlight w:val="none"/>
        </w:rPr>
        <w:t>：</w:t>
      </w:r>
      <w:r>
        <w:rPr>
          <w:rFonts w:hint="eastAsia" w:cs="宋体"/>
          <w:color w:val="auto"/>
          <w:kern w:val="0"/>
          <w:sz w:val="24"/>
          <w:highlight w:val="none"/>
          <w:lang w:val="en-US" w:eastAsia="zh-CN"/>
        </w:rPr>
        <w:t>3.4446</w:t>
      </w:r>
      <w:r>
        <w:rPr>
          <w:rFonts w:hint="eastAsia" w:cs="宋体"/>
          <w:color w:val="auto"/>
          <w:highlight w:val="none"/>
          <w:lang w:val="en-US" w:eastAsia="zh-CN"/>
        </w:rPr>
        <w:t>万</w:t>
      </w:r>
      <w:r>
        <w:rPr>
          <w:rFonts w:hint="eastAsia" w:ascii="宋体" w:hAnsi="宋体" w:eastAsia="宋体" w:cs="宋体"/>
          <w:color w:val="auto"/>
          <w:highlight w:val="none"/>
          <w:lang w:val="en-US" w:eastAsia="zh-CN"/>
        </w:rPr>
        <w:t>元</w:t>
      </w:r>
    </w:p>
    <w:p>
      <w:pPr>
        <w:pStyle w:val="17"/>
        <w:spacing w:before="146" w:line="240" w:lineRule="auto"/>
        <w:ind w:left="19" w:leftChars="0" w:right="80" w:firstLine="400" w:firstLineChars="167"/>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、采购需求：</w:t>
      </w:r>
    </w:p>
    <w:tbl>
      <w:tblPr>
        <w:tblStyle w:val="45"/>
        <w:tblW w:w="50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1"/>
        <w:gridCol w:w="2375"/>
        <w:gridCol w:w="1226"/>
        <w:gridCol w:w="1209"/>
        <w:gridCol w:w="949"/>
        <w:gridCol w:w="3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9" w:type="pct"/>
            <w:vAlign w:val="center"/>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包号</w:t>
            </w:r>
          </w:p>
        </w:tc>
        <w:tc>
          <w:tcPr>
            <w:tcW w:w="1261" w:type="pct"/>
            <w:vAlign w:val="center"/>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651" w:type="pct"/>
            <w:vAlign w:val="center"/>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采购包预算金额</w:t>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p>
        </w:tc>
        <w:tc>
          <w:tcPr>
            <w:tcW w:w="642" w:type="pct"/>
            <w:vAlign w:val="center"/>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最高限价（元）</w:t>
            </w:r>
          </w:p>
        </w:tc>
        <w:tc>
          <w:tcPr>
            <w:tcW w:w="504" w:type="pct"/>
            <w:vAlign w:val="center"/>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1620" w:type="pct"/>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319" w:type="pct"/>
            <w:vAlign w:val="center"/>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01</w:t>
            </w:r>
          </w:p>
        </w:tc>
        <w:tc>
          <w:tcPr>
            <w:tcW w:w="1261" w:type="pct"/>
            <w:vAlign w:val="center"/>
          </w:tcPr>
          <w:p>
            <w:pPr>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2024年度仁和镇土地整治及拆除项目</w:t>
            </w:r>
          </w:p>
        </w:tc>
        <w:tc>
          <w:tcPr>
            <w:tcW w:w="651" w:type="pct"/>
            <w:vAlign w:val="center"/>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2000</w:t>
            </w:r>
          </w:p>
        </w:tc>
        <w:tc>
          <w:tcPr>
            <w:tcW w:w="642" w:type="pct"/>
            <w:vAlign w:val="center"/>
          </w:tcPr>
          <w:p>
            <w:pPr>
              <w:jc w:val="center"/>
              <w:rPr>
                <w:rFonts w:hint="default" w:ascii="宋体" w:hAnsi="宋体" w:cs="宋体"/>
                <w:bCs/>
                <w:color w:val="auto"/>
                <w:sz w:val="24"/>
                <w:szCs w:val="24"/>
                <w:highlight w:val="none"/>
                <w:lang w:val="en-US" w:eastAsia="zh-CN"/>
              </w:rPr>
            </w:pPr>
            <w:r>
              <w:rPr>
                <w:rFonts w:hint="default" w:ascii="宋体" w:hAnsi="宋体" w:cs="宋体"/>
                <w:bCs/>
                <w:color w:val="auto"/>
                <w:sz w:val="24"/>
                <w:szCs w:val="24"/>
                <w:highlight w:val="none"/>
                <w:lang w:val="en-US" w:eastAsia="zh-CN"/>
              </w:rPr>
              <w:t>34446</w:t>
            </w:r>
          </w:p>
        </w:tc>
        <w:tc>
          <w:tcPr>
            <w:tcW w:w="504" w:type="pct"/>
            <w:vAlign w:val="center"/>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p>
        </w:tc>
        <w:tc>
          <w:tcPr>
            <w:tcW w:w="1620" w:type="pct"/>
            <w:vAlign w:val="center"/>
          </w:tcPr>
          <w:p>
            <w:pPr>
              <w:jc w:val="both"/>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仁和镇镇域内土地整治、违法用地违法建设拆除等</w:t>
            </w:r>
            <w:r>
              <w:rPr>
                <w:rFonts w:hint="eastAsia" w:ascii="宋体" w:hAnsi="宋体" w:cs="宋体"/>
                <w:color w:val="auto"/>
                <w:kern w:val="0"/>
                <w:sz w:val="24"/>
                <w:szCs w:val="24"/>
                <w:highlight w:val="none"/>
                <w:lang w:val="en-US" w:eastAsia="zh-CN" w:bidi="ar"/>
              </w:rPr>
              <w:t>工作</w:t>
            </w:r>
          </w:p>
        </w:tc>
      </w:tr>
    </w:tbl>
    <w:p>
      <w:pPr>
        <w:pStyle w:val="17"/>
        <w:numPr>
          <w:ilvl w:val="0"/>
          <w:numId w:val="0"/>
        </w:numPr>
        <w:spacing w:before="149" w:line="331" w:lineRule="auto"/>
        <w:ind w:left="18" w:leftChars="0" w:right="32" w:rightChars="0" w:firstLine="400" w:firstLineChars="167"/>
        <w:jc w:val="left"/>
        <w:rPr>
          <w:rFonts w:hint="default" w:ascii="宋体" w:hAnsi="宋体" w:eastAsia="宋体" w:cs="宋体"/>
          <w:color w:val="auto"/>
          <w:highlight w:val="none"/>
          <w:lang w:val="en-US"/>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合同履行期限：</w:t>
      </w:r>
      <w:r>
        <w:rPr>
          <w:rFonts w:hint="eastAsia"/>
          <w:color w:val="auto"/>
          <w:sz w:val="24"/>
          <w:highlight w:val="none"/>
          <w:lang w:eastAsia="zh-CN"/>
        </w:rPr>
        <w:t>自合同签订之日起一年（具体</w:t>
      </w:r>
      <w:r>
        <w:rPr>
          <w:rFonts w:hint="eastAsia"/>
          <w:color w:val="auto"/>
          <w:sz w:val="24"/>
          <w:highlight w:val="none"/>
          <w:lang w:val="en-US" w:eastAsia="zh-CN"/>
        </w:rPr>
        <w:t>以</w:t>
      </w:r>
      <w:r>
        <w:rPr>
          <w:rFonts w:hint="eastAsia"/>
          <w:color w:val="auto"/>
          <w:sz w:val="24"/>
          <w:highlight w:val="none"/>
          <w:lang w:eastAsia="zh-CN"/>
        </w:rPr>
        <w:t>签订合同为准）</w:t>
      </w:r>
      <w:r>
        <w:rPr>
          <w:rFonts w:hint="eastAsia" w:cs="宋体"/>
          <w:color w:val="auto"/>
          <w:highlight w:val="none"/>
          <w:lang w:eastAsia="zh-CN"/>
        </w:rPr>
        <w:t>；</w:t>
      </w:r>
    </w:p>
    <w:p>
      <w:pPr>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本项目是否接受联合体：</w:t>
      </w:r>
      <w:r>
        <w:rPr>
          <w:rFonts w:hint="eastAsia" w:ascii="宋体" w:hAnsi="宋体" w:eastAsia="宋体" w:cs="宋体"/>
          <w:color w:val="auto"/>
          <w:highlight w:val="none"/>
        </w:rPr>
        <w:t>□</w:t>
      </w:r>
      <w:r>
        <w:rPr>
          <w:rFonts w:hint="eastAsia" w:ascii="宋体" w:hAnsi="宋体" w:eastAsia="宋体" w:cs="宋体"/>
          <w:color w:val="auto"/>
          <w:sz w:val="24"/>
          <w:highlight w:val="none"/>
        </w:rPr>
        <w:t xml:space="preserve">是  </w:t>
      </w: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否。</w:t>
      </w:r>
    </w:p>
    <w:p>
      <w:pPr>
        <w:pStyle w:val="3"/>
        <w:spacing w:before="0" w:line="360" w:lineRule="auto"/>
        <w:jc w:val="left"/>
        <w:rPr>
          <w:rFonts w:hint="eastAsia" w:ascii="宋体" w:hAnsi="宋体" w:eastAsia="宋体" w:cs="宋体"/>
          <w:color w:val="auto"/>
          <w:sz w:val="24"/>
          <w:szCs w:val="24"/>
          <w:highlight w:val="none"/>
        </w:rPr>
      </w:pPr>
      <w:bookmarkStart w:id="8" w:name="_Toc28359003"/>
      <w:bookmarkStart w:id="9" w:name="_Toc28359080"/>
      <w:bookmarkStart w:id="10" w:name="_Toc35393622"/>
      <w:bookmarkStart w:id="11" w:name="_Toc35393791"/>
      <w:r>
        <w:rPr>
          <w:rFonts w:hint="eastAsia" w:ascii="宋体" w:hAnsi="宋体" w:eastAsia="宋体" w:cs="宋体"/>
          <w:color w:val="auto"/>
          <w:sz w:val="24"/>
          <w:szCs w:val="24"/>
          <w:highlight w:val="none"/>
        </w:rPr>
        <w:t>二、申请人的资格要求（须同时满足）</w:t>
      </w:r>
      <w:bookmarkEnd w:id="8"/>
      <w:bookmarkEnd w:id="9"/>
      <w:bookmarkEnd w:id="10"/>
      <w:bookmarkEnd w:id="11"/>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pPr>
        <w:spacing w:line="360" w:lineRule="auto"/>
        <w:ind w:firstLine="480" w:firstLineChars="200"/>
        <w:rPr>
          <w:rFonts w:hint="eastAsia" w:ascii="宋体" w:hAnsi="宋体" w:eastAsia="宋体" w:cs="宋体"/>
          <w:color w:val="auto"/>
          <w:sz w:val="24"/>
          <w:highlight w:val="none"/>
        </w:rPr>
      </w:pPr>
      <w:bookmarkStart w:id="12" w:name="_Toc28359081"/>
      <w:bookmarkStart w:id="13" w:name="_Toc28359004"/>
      <w:r>
        <w:rPr>
          <w:rFonts w:hint="eastAsia" w:ascii="宋体" w:hAnsi="宋体" w:eastAsia="宋体" w:cs="宋体"/>
          <w:color w:val="auto"/>
          <w:sz w:val="24"/>
          <w:highlight w:val="none"/>
        </w:rPr>
        <w:t>2.落实政府采购政策需满足的资格要求：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中小企业政策</w:t>
      </w:r>
    </w:p>
    <w:p>
      <w:pPr>
        <w:spacing w:line="360" w:lineRule="auto"/>
        <w:ind w:left="0" w:leftChars="0" w:firstLine="420" w:firstLineChars="200"/>
        <w:rPr>
          <w:rFonts w:hint="eastAsia" w:ascii="宋体" w:hAnsi="宋体" w:eastAsia="宋体" w:cs="宋体"/>
          <w:color w:val="auto"/>
          <w:sz w:val="24"/>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sz w:val="24"/>
          <w:highlight w:val="none"/>
        </w:rPr>
        <w:t>本项目不专门面向中小企业预留采购份额。</w:t>
      </w:r>
    </w:p>
    <w:p>
      <w:pPr>
        <w:spacing w:line="360" w:lineRule="auto"/>
        <w:ind w:left="0" w:leftChars="0" w:firstLine="420" w:firstLineChars="200"/>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 xml:space="preserve">本项目专门面向  </w:t>
      </w:r>
      <w:r>
        <w:rPr>
          <w:rFonts w:hint="eastAsia" w:ascii="宋体" w:hAnsi="宋体" w:eastAsia="宋体" w:cs="宋体"/>
          <w:color w:val="auto"/>
          <w:highlight w:val="none"/>
        </w:rPr>
        <w:t>□</w:t>
      </w:r>
      <w:r>
        <w:rPr>
          <w:rFonts w:hint="eastAsia" w:ascii="宋体" w:hAnsi="宋体" w:eastAsia="宋体" w:cs="宋体"/>
          <w:color w:val="auto"/>
          <w:sz w:val="24"/>
          <w:highlight w:val="none"/>
        </w:rPr>
        <w:t xml:space="preserve">中小 </w:t>
      </w:r>
      <w:r>
        <w:rPr>
          <w:rFonts w:hint="eastAsia" w:ascii="宋体" w:hAnsi="宋体" w:eastAsia="宋体" w:cs="宋体"/>
          <w:color w:val="auto"/>
          <w:highlight w:val="none"/>
        </w:rPr>
        <w:t>□</w:t>
      </w:r>
      <w:r>
        <w:rPr>
          <w:rFonts w:hint="eastAsia" w:ascii="宋体" w:hAnsi="宋体" w:eastAsia="宋体" w:cs="宋体"/>
          <w:color w:val="auto"/>
          <w:sz w:val="24"/>
          <w:highlight w:val="none"/>
        </w:rPr>
        <w:t>小微企业  采购。即：提供的货物全部由符合政策要求的中小/小微企业制造、服务全部由符合政策要求的中小/小微企业承接。</w:t>
      </w:r>
    </w:p>
    <w:p>
      <w:pPr>
        <w:spacing w:line="360" w:lineRule="auto"/>
        <w:ind w:left="0" w:leftChars="0" w:firstLine="419" w:firstLineChars="131"/>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highlight w:val="none"/>
          <w:u w:val="single"/>
          <w:lang w:val="en-US" w:eastAsia="zh-CN"/>
        </w:rPr>
        <w:t>要求获得采购合同的大中型供应商将采购项目中不低于采购预算40%的部分分包给一家或者多家小微企业。</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 其它落实政府采购政策的资格要求（如有）：</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 xml:space="preserve"> 本项目是否属于政府购买服务：</w:t>
      </w:r>
    </w:p>
    <w:p>
      <w:pPr>
        <w:tabs>
          <w:tab w:val="left" w:pos="900"/>
          <w:tab w:val="left" w:pos="1134"/>
          <w:tab w:val="left" w:pos="1589"/>
          <w:tab w:val="left" w:pos="5521"/>
        </w:tabs>
        <w:snapToGrid w:val="0"/>
        <w:spacing w:line="360" w:lineRule="auto"/>
        <w:ind w:firstLine="960" w:firstLineChars="300"/>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否</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cs="宋体"/>
          <w:color w:val="auto"/>
          <w:highlight w:val="none"/>
          <w:lang w:val="en-US" w:eastAsia="zh-CN"/>
        </w:rPr>
        <w:t xml:space="preserve"> </w:t>
      </w:r>
      <w:r>
        <w:rPr>
          <w:rFonts w:hint="eastAsia" w:ascii="宋体" w:hAnsi="宋体" w:eastAsia="宋体" w:cs="宋体"/>
          <w:color w:val="auto"/>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其他特定资格要求：</w:t>
      </w:r>
    </w:p>
    <w:p>
      <w:pPr>
        <w:pStyle w:val="17"/>
        <w:spacing w:before="62" w:line="350" w:lineRule="auto"/>
        <w:ind w:right="123" w:firstLine="480" w:firstLineChars="200"/>
        <w:jc w:val="left"/>
        <w:rPr>
          <w:rFonts w:hint="eastAsia" w:cs="宋体"/>
          <w:color w:val="auto"/>
          <w:sz w:val="24"/>
          <w:szCs w:val="24"/>
          <w:highlight w:val="none"/>
          <w:lang w:val="en-US" w:eastAsia="zh-CN"/>
        </w:rPr>
      </w:pPr>
      <w:r>
        <w:rPr>
          <w:rFonts w:hint="eastAsia" w:cs="宋体"/>
          <w:color w:val="auto"/>
          <w:sz w:val="24"/>
          <w:szCs w:val="24"/>
          <w:highlight w:val="none"/>
          <w:lang w:val="en-US" w:eastAsia="zh-CN"/>
        </w:rPr>
        <w:t>3.2.1响应人须具备建筑工程施工总承包叁级（含）以上资质；且具有有效的《安全生产许可证》，并在人员、设备、资金等方面具有相应的项目实施能力。</w:t>
      </w:r>
    </w:p>
    <w:p>
      <w:pPr>
        <w:pStyle w:val="17"/>
        <w:spacing w:before="62" w:line="350" w:lineRule="auto"/>
        <w:ind w:right="123" w:firstLine="480" w:firstLineChars="200"/>
        <w:jc w:val="left"/>
        <w:rPr>
          <w:rFonts w:hint="eastAsia" w:cs="宋体"/>
          <w:color w:val="auto"/>
          <w:sz w:val="24"/>
          <w:szCs w:val="24"/>
          <w:highlight w:val="none"/>
          <w:lang w:val="en-US" w:eastAsia="zh-CN"/>
        </w:rPr>
      </w:pPr>
      <w:r>
        <w:rPr>
          <w:rFonts w:hint="eastAsia" w:cs="宋体"/>
          <w:color w:val="auto"/>
          <w:sz w:val="24"/>
          <w:szCs w:val="24"/>
          <w:highlight w:val="none"/>
          <w:lang w:val="en-US" w:eastAsia="zh-CN"/>
        </w:rPr>
        <w:t>3.2.2拟派本工程的项目负责人须具备建筑工程专业二级（含）以上注册建造师执业资格，具备有效的安全生产考核合格证书（B本），且在确定中标人时不得担任其他在施建设工程项目的项目经理。</w:t>
      </w:r>
    </w:p>
    <w:p>
      <w:pPr>
        <w:pStyle w:val="17"/>
        <w:spacing w:before="62" w:line="350" w:lineRule="auto"/>
        <w:ind w:right="123" w:firstLine="480" w:firstLineChars="200"/>
        <w:jc w:val="left"/>
        <w:rPr>
          <w:rFonts w:hint="eastAsia" w:cs="宋体"/>
          <w:color w:val="auto"/>
          <w:sz w:val="24"/>
          <w:szCs w:val="24"/>
          <w:highlight w:val="none"/>
          <w:lang w:val="en-US" w:eastAsia="zh-CN"/>
        </w:rPr>
      </w:pPr>
      <w:r>
        <w:rPr>
          <w:rFonts w:hint="eastAsia" w:cs="宋体"/>
          <w:color w:val="auto"/>
          <w:sz w:val="24"/>
          <w:szCs w:val="24"/>
          <w:highlight w:val="none"/>
          <w:lang w:val="en-US" w:eastAsia="zh-CN"/>
        </w:rPr>
        <w:t>3.2.3响应人未被标示为施工安全风险企业。</w:t>
      </w:r>
    </w:p>
    <w:bookmarkEnd w:id="12"/>
    <w:bookmarkEnd w:id="13"/>
    <w:p>
      <w:pPr>
        <w:pStyle w:val="3"/>
        <w:widowControl/>
        <w:spacing w:before="0" w:line="360" w:lineRule="auto"/>
        <w:jc w:val="left"/>
        <w:rPr>
          <w:rFonts w:hint="eastAsia" w:ascii="宋体" w:hAnsi="宋体" w:eastAsia="宋体" w:cs="宋体"/>
          <w:color w:val="auto"/>
          <w:sz w:val="24"/>
          <w:szCs w:val="24"/>
          <w:highlight w:val="none"/>
        </w:rPr>
      </w:pPr>
      <w:bookmarkStart w:id="14" w:name="_Toc35393792"/>
      <w:bookmarkStart w:id="15" w:name="_Toc35393623"/>
      <w:r>
        <w:rPr>
          <w:rFonts w:hint="eastAsia" w:ascii="宋体" w:hAnsi="宋体" w:eastAsia="宋体" w:cs="宋体"/>
          <w:color w:val="auto"/>
          <w:sz w:val="24"/>
          <w:szCs w:val="24"/>
          <w:highlight w:val="none"/>
        </w:rPr>
        <w:t>三、获取采购文件</w:t>
      </w:r>
      <w:bookmarkEnd w:id="14"/>
      <w:bookmarkEnd w:id="15"/>
    </w:p>
    <w:p>
      <w:pPr>
        <w:pStyle w:val="17"/>
        <w:spacing w:before="62" w:line="350" w:lineRule="auto"/>
        <w:ind w:right="123" w:firstLine="480" w:firstLineChars="2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1.时间：</w:t>
      </w:r>
      <w:r>
        <w:rPr>
          <w:rFonts w:hint="eastAsia" w:cs="宋体"/>
          <w:color w:val="auto"/>
          <w:sz w:val="24"/>
          <w:szCs w:val="24"/>
          <w:highlight w:val="none"/>
          <w:lang w:val="en-US" w:eastAsia="zh-CN"/>
        </w:rPr>
        <w:t>2024年06月19</w:t>
      </w:r>
      <w:r>
        <w:rPr>
          <w:rFonts w:hint="eastAsia" w:ascii="宋体" w:hAnsi="宋体" w:eastAsia="宋体" w:cs="宋体"/>
          <w:color w:val="auto"/>
          <w:sz w:val="24"/>
          <w:szCs w:val="24"/>
          <w:highlight w:val="none"/>
          <w:lang w:bidi="ar"/>
        </w:rPr>
        <w:t>日至</w:t>
      </w:r>
      <w:r>
        <w:rPr>
          <w:rFonts w:hint="eastAsia" w:cs="宋体"/>
          <w:color w:val="auto"/>
          <w:sz w:val="24"/>
          <w:szCs w:val="24"/>
          <w:highlight w:val="none"/>
          <w:lang w:val="en-US" w:eastAsia="zh-CN"/>
        </w:rPr>
        <w:t>2024年06月</w:t>
      </w:r>
      <w:r>
        <w:rPr>
          <w:rFonts w:hint="eastAsia" w:cs="宋体"/>
          <w:color w:val="auto"/>
          <w:sz w:val="24"/>
          <w:szCs w:val="24"/>
          <w:highlight w:val="none"/>
          <w:lang w:val="en-US" w:eastAsia="zh-CN" w:bidi="ar"/>
        </w:rPr>
        <w:t>25</w:t>
      </w:r>
      <w:r>
        <w:rPr>
          <w:rFonts w:hint="eastAsia" w:ascii="宋体" w:hAnsi="宋体" w:eastAsia="宋体" w:cs="宋体"/>
          <w:color w:val="auto"/>
          <w:sz w:val="24"/>
          <w:szCs w:val="24"/>
          <w:highlight w:val="none"/>
          <w:lang w:bidi="ar"/>
        </w:rPr>
        <w:t>日，</w:t>
      </w:r>
      <w:r>
        <w:rPr>
          <w:rFonts w:hint="eastAsia" w:ascii="宋体" w:hAnsi="宋体" w:eastAsia="宋体" w:cs="宋体"/>
          <w:color w:val="auto"/>
          <w:sz w:val="24"/>
          <w:szCs w:val="24"/>
          <w:highlight w:val="none"/>
        </w:rPr>
        <w:t>每天上午09:00至12:00,下午12:00 至17:00（北京时间，法定节假日除外）</w:t>
      </w:r>
      <w:r>
        <w:rPr>
          <w:rFonts w:hint="eastAsia" w:ascii="宋体" w:hAnsi="宋体" w:eastAsia="宋体" w:cs="宋体"/>
          <w:color w:val="auto"/>
          <w:sz w:val="24"/>
          <w:szCs w:val="24"/>
          <w:highlight w:val="none"/>
          <w:lang w:bidi="ar"/>
        </w:rPr>
        <w:t>。</w:t>
      </w:r>
    </w:p>
    <w:p>
      <w:pPr>
        <w:adjustRightInd w:val="0"/>
        <w:snapToGrid w:val="0"/>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2.地点：北京市政府采购电子交易平台</w:t>
      </w:r>
    </w:p>
    <w:p>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baseline"/>
        <w:rPr>
          <w:rFonts w:hint="eastAsia" w:ascii="宋体" w:hAnsi="宋体" w:eastAsia="宋体" w:cs="宋体"/>
          <w:color w:val="auto"/>
          <w:kern w:val="2"/>
          <w:sz w:val="24"/>
          <w:szCs w:val="24"/>
          <w:highlight w:val="none"/>
          <w:shd w:val="clear"/>
          <w:lang w:val="en-US" w:eastAsia="zh-CN" w:bidi="ar"/>
        </w:rPr>
      </w:pPr>
      <w:r>
        <w:rPr>
          <w:rFonts w:hint="eastAsia" w:ascii="宋体" w:hAnsi="宋体" w:eastAsia="宋体" w:cs="宋体"/>
          <w:color w:val="auto"/>
          <w:sz w:val="24"/>
          <w:highlight w:val="none"/>
          <w:lang w:bidi="ar"/>
        </w:rPr>
        <w:t>3.</w:t>
      </w:r>
      <w:r>
        <w:rPr>
          <w:rFonts w:hint="eastAsia" w:ascii="宋体" w:hAnsi="宋体" w:eastAsia="宋体" w:cs="宋体"/>
          <w:color w:val="auto"/>
          <w:kern w:val="2"/>
          <w:sz w:val="24"/>
          <w:szCs w:val="24"/>
          <w:highlight w:val="none"/>
          <w:shd w:val="clear"/>
          <w:lang w:val="en-US" w:eastAsia="zh-CN" w:bidi="ar"/>
        </w:rPr>
        <w:t>方式：供应商持CA数字认证证书或电子营业执照登录北京市政府采购电子交易平台（http://zbcg-bjzc.zhongcy.com/bjczj-portal-site/index.html#/home）获取电子版竞争性磋商文件。</w:t>
      </w:r>
    </w:p>
    <w:p>
      <w:pPr>
        <w:widowControl/>
        <w:numPr>
          <w:ilvl w:val="0"/>
          <w:numId w:val="8"/>
        </w:numPr>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售价：0元。</w:t>
      </w:r>
    </w:p>
    <w:p>
      <w:pPr>
        <w:pStyle w:val="29"/>
        <w:numPr>
          <w:ilvl w:val="0"/>
          <w:numId w:val="0"/>
        </w:numPr>
        <w:rPr>
          <w:rFonts w:hint="eastAsia"/>
          <w:color w:val="auto"/>
          <w:highlight w:val="none"/>
        </w:rPr>
      </w:pPr>
    </w:p>
    <w:p>
      <w:pPr>
        <w:pStyle w:val="3"/>
        <w:widowControl/>
        <w:spacing w:before="0" w:line="360" w:lineRule="auto"/>
        <w:jc w:val="left"/>
        <w:rPr>
          <w:rFonts w:hint="eastAsia" w:ascii="宋体" w:hAnsi="宋体" w:eastAsia="宋体" w:cs="宋体"/>
          <w:color w:val="auto"/>
          <w:sz w:val="24"/>
          <w:szCs w:val="24"/>
          <w:highlight w:val="none"/>
        </w:rPr>
      </w:pPr>
      <w:bookmarkStart w:id="16" w:name="_Toc28359005"/>
      <w:bookmarkStart w:id="17" w:name="_Toc28359082"/>
      <w:bookmarkStart w:id="18" w:name="_Toc35393793"/>
      <w:bookmarkStart w:id="19" w:name="_Toc35393624"/>
      <w:r>
        <w:rPr>
          <w:rFonts w:hint="eastAsia" w:ascii="宋体" w:hAnsi="宋体" w:eastAsia="宋体" w:cs="宋体"/>
          <w:color w:val="auto"/>
          <w:sz w:val="24"/>
          <w:szCs w:val="24"/>
          <w:highlight w:val="none"/>
        </w:rPr>
        <w:t>四、</w:t>
      </w:r>
      <w:bookmarkEnd w:id="16"/>
      <w:bookmarkEnd w:id="17"/>
      <w:bookmarkEnd w:id="18"/>
      <w:bookmarkEnd w:id="19"/>
      <w:r>
        <w:rPr>
          <w:rFonts w:hint="eastAsia" w:ascii="宋体" w:hAnsi="宋体" w:eastAsia="宋体" w:cs="宋体"/>
          <w:color w:val="auto"/>
          <w:sz w:val="24"/>
          <w:szCs w:val="24"/>
          <w:highlight w:val="none"/>
        </w:rPr>
        <w:t>响应文件提交</w:t>
      </w:r>
    </w:p>
    <w:p>
      <w:pPr>
        <w:pStyle w:val="17"/>
        <w:spacing w:before="103" w:line="333" w:lineRule="auto"/>
        <w:ind w:right="123"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截止时间：</w:t>
      </w:r>
      <w:r>
        <w:rPr>
          <w:rFonts w:hint="eastAsia" w:cs="宋体"/>
          <w:color w:val="auto"/>
          <w:highlight w:val="none"/>
          <w:u w:val="single"/>
          <w:lang w:eastAsia="zh-CN"/>
        </w:rPr>
        <w:t>202</w:t>
      </w:r>
      <w:r>
        <w:rPr>
          <w:rFonts w:hint="eastAsia" w:cs="宋体"/>
          <w:color w:val="auto"/>
          <w:highlight w:val="none"/>
          <w:u w:val="single"/>
          <w:lang w:val="en-US" w:eastAsia="zh-CN"/>
        </w:rPr>
        <w:t>4</w:t>
      </w:r>
      <w:r>
        <w:rPr>
          <w:rFonts w:hint="eastAsia" w:cs="宋体"/>
          <w:color w:val="auto"/>
          <w:highlight w:val="none"/>
          <w:u w:val="single"/>
          <w:lang w:eastAsia="zh-CN"/>
        </w:rPr>
        <w:t>年</w:t>
      </w:r>
      <w:r>
        <w:rPr>
          <w:rFonts w:hint="eastAsia" w:cs="宋体"/>
          <w:color w:val="auto"/>
          <w:highlight w:val="none"/>
          <w:u w:val="single"/>
          <w:lang w:val="en-US" w:eastAsia="zh-CN"/>
        </w:rPr>
        <w:t>07</w:t>
      </w:r>
      <w:r>
        <w:rPr>
          <w:rFonts w:hint="eastAsia" w:cs="宋体"/>
          <w:color w:val="auto"/>
          <w:highlight w:val="none"/>
          <w:u w:val="single"/>
          <w:lang w:eastAsia="zh-CN"/>
        </w:rPr>
        <w:t>月0</w:t>
      </w:r>
      <w:r>
        <w:rPr>
          <w:rFonts w:hint="eastAsia" w:cs="宋体"/>
          <w:color w:val="auto"/>
          <w:highlight w:val="none"/>
          <w:u w:val="single"/>
          <w:lang w:val="en-US" w:eastAsia="zh-CN"/>
        </w:rPr>
        <w:t>3</w:t>
      </w:r>
      <w:r>
        <w:rPr>
          <w:rFonts w:hint="eastAsia" w:cs="宋体"/>
          <w:color w:val="auto"/>
          <w:highlight w:val="none"/>
          <w:u w:val="single"/>
          <w:lang w:eastAsia="zh-CN"/>
        </w:rPr>
        <w:t xml:space="preserve">日09点30分  </w:t>
      </w:r>
    </w:p>
    <w:p>
      <w:pPr>
        <w:spacing w:before="58" w:line="340" w:lineRule="auto"/>
        <w:ind w:right="123" w:firstLine="480" w:firstLineChars="200"/>
        <w:jc w:val="left"/>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地点：</w:t>
      </w:r>
      <w:r>
        <w:rPr>
          <w:rFonts w:hint="eastAsia" w:asciiTheme="minorEastAsia" w:hAnsiTheme="minorEastAsia" w:eastAsiaTheme="minorEastAsia" w:cstheme="minorEastAsia"/>
          <w:color w:val="auto"/>
          <w:sz w:val="24"/>
          <w:szCs w:val="24"/>
          <w:highlight w:val="none"/>
          <w:u w:val="single"/>
          <w:lang w:val="en-US" w:eastAsia="zh-CN"/>
        </w:rPr>
        <w:t>顺义区复兴东街3号院顺义政务服务中心B区6号电梯厅2层竞标室</w:t>
      </w:r>
      <w:r>
        <w:rPr>
          <w:rFonts w:hint="eastAsia" w:ascii="Times New Roman" w:hAnsi="Times New Roman" w:eastAsia="宋体" w:cs="Times New Roman"/>
          <w:color w:val="auto"/>
          <w:sz w:val="24"/>
          <w:highlight w:val="none"/>
          <w:u w:val="single"/>
          <w:lang w:bidi="ar"/>
        </w:rPr>
        <w:t>（具体标室以当天大屏幕为准）</w:t>
      </w:r>
      <w:r>
        <w:rPr>
          <w:rFonts w:hint="eastAsia" w:ascii="宋体" w:hAnsi="宋体" w:eastAsia="宋体" w:cs="宋体"/>
          <w:color w:val="auto"/>
          <w:sz w:val="24"/>
          <w:szCs w:val="24"/>
          <w:highlight w:val="none"/>
          <w:lang w:eastAsia="zh-CN"/>
        </w:rPr>
        <w:t>。</w:t>
      </w:r>
    </w:p>
    <w:p>
      <w:pPr>
        <w:spacing w:before="0" w:line="360" w:lineRule="auto"/>
        <w:jc w:val="left"/>
        <w:outlineLvl w:val="9"/>
        <w:rPr>
          <w:rFonts w:hint="eastAsia" w:ascii="宋体" w:hAnsi="宋体" w:eastAsia="宋体" w:cs="宋体"/>
          <w:color w:val="auto"/>
          <w:sz w:val="24"/>
          <w:szCs w:val="24"/>
          <w:highlight w:val="none"/>
        </w:rPr>
      </w:pPr>
    </w:p>
    <w:p>
      <w:pPr>
        <w:pStyle w:val="3"/>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五、开启</w:t>
      </w:r>
    </w:p>
    <w:p>
      <w:pPr>
        <w:pStyle w:val="17"/>
        <w:spacing w:before="168" w:line="240" w:lineRule="auto"/>
        <w:ind w:left="0" w:leftChars="0" w:right="123" w:firstLine="420" w:firstLineChars="175"/>
        <w:jc w:val="left"/>
        <w:rPr>
          <w:rFonts w:hint="eastAsia" w:ascii="宋体" w:hAnsi="宋体" w:eastAsia="宋体" w:cs="宋体"/>
          <w:color w:val="auto"/>
          <w:highlight w:val="none"/>
        </w:rPr>
      </w:pPr>
      <w:r>
        <w:rPr>
          <w:rFonts w:hint="eastAsia" w:ascii="宋体" w:hAnsi="宋体" w:eastAsia="宋体" w:cs="宋体"/>
          <w:color w:val="auto"/>
          <w:highlight w:val="none"/>
        </w:rPr>
        <w:t>1、时间：</w:t>
      </w:r>
      <w:r>
        <w:rPr>
          <w:rFonts w:hint="eastAsia" w:cs="宋体"/>
          <w:color w:val="auto"/>
          <w:highlight w:val="none"/>
          <w:u w:val="single"/>
          <w:lang w:eastAsia="zh-CN"/>
        </w:rPr>
        <w:t>202</w:t>
      </w:r>
      <w:r>
        <w:rPr>
          <w:rFonts w:hint="eastAsia" w:cs="宋体"/>
          <w:color w:val="auto"/>
          <w:highlight w:val="none"/>
          <w:u w:val="single"/>
          <w:lang w:val="en-US" w:eastAsia="zh-CN"/>
        </w:rPr>
        <w:t>4</w:t>
      </w:r>
      <w:r>
        <w:rPr>
          <w:rFonts w:hint="eastAsia" w:cs="宋体"/>
          <w:color w:val="auto"/>
          <w:highlight w:val="none"/>
          <w:u w:val="single"/>
          <w:lang w:eastAsia="zh-CN"/>
        </w:rPr>
        <w:t>年</w:t>
      </w:r>
      <w:r>
        <w:rPr>
          <w:rFonts w:hint="eastAsia" w:cs="宋体"/>
          <w:color w:val="auto"/>
          <w:highlight w:val="none"/>
          <w:u w:val="single"/>
          <w:lang w:val="en-US" w:eastAsia="zh-CN"/>
        </w:rPr>
        <w:t>07</w:t>
      </w:r>
      <w:r>
        <w:rPr>
          <w:rFonts w:hint="eastAsia" w:cs="宋体"/>
          <w:color w:val="auto"/>
          <w:highlight w:val="none"/>
          <w:u w:val="single"/>
          <w:lang w:eastAsia="zh-CN"/>
        </w:rPr>
        <w:t>月</w:t>
      </w:r>
      <w:r>
        <w:rPr>
          <w:rFonts w:hint="eastAsia" w:cs="宋体"/>
          <w:color w:val="auto"/>
          <w:highlight w:val="none"/>
          <w:u w:val="single"/>
          <w:lang w:val="en-US" w:eastAsia="zh-CN"/>
        </w:rPr>
        <w:t>03</w:t>
      </w:r>
      <w:r>
        <w:rPr>
          <w:rFonts w:hint="eastAsia" w:cs="宋体"/>
          <w:color w:val="auto"/>
          <w:highlight w:val="none"/>
          <w:u w:val="single"/>
          <w:lang w:eastAsia="zh-CN"/>
        </w:rPr>
        <w:t xml:space="preserve">日09点30分  </w:t>
      </w:r>
    </w:p>
    <w:p>
      <w:pPr>
        <w:pStyle w:val="17"/>
        <w:spacing w:before="149" w:line="331" w:lineRule="auto"/>
        <w:ind w:left="0" w:leftChars="0" w:right="123"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highlight w:val="none"/>
        </w:rPr>
        <w:t>2、地点：</w:t>
      </w:r>
      <w:r>
        <w:rPr>
          <w:rFonts w:hint="eastAsia" w:asciiTheme="minorEastAsia" w:hAnsiTheme="minorEastAsia" w:eastAsiaTheme="minorEastAsia" w:cstheme="minorEastAsia"/>
          <w:color w:val="auto"/>
          <w:sz w:val="24"/>
          <w:szCs w:val="24"/>
          <w:highlight w:val="none"/>
          <w:u w:val="single"/>
          <w:lang w:val="en-US" w:eastAsia="zh-CN"/>
        </w:rPr>
        <w:t>顺义区复兴东街3号院顺义政务服务中心B区6号电梯厅2层竞标室</w:t>
      </w:r>
      <w:r>
        <w:rPr>
          <w:rFonts w:hint="eastAsia" w:ascii="Times New Roman" w:hAnsi="Times New Roman" w:eastAsia="宋体" w:cs="Times New Roman"/>
          <w:color w:val="auto"/>
          <w:sz w:val="24"/>
          <w:highlight w:val="none"/>
          <w:u w:val="single"/>
          <w:lang w:bidi="ar"/>
        </w:rPr>
        <w:t>（具体标室以当天大屏幕为准）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w:t>
      </w:r>
      <w:bookmarkStart w:id="20" w:name="_Toc28359007"/>
      <w:bookmarkStart w:id="21" w:name="_Toc28359084"/>
      <w:bookmarkStart w:id="22" w:name="_Toc35393625"/>
      <w:bookmarkStart w:id="23" w:name="_Toc35393794"/>
    </w:p>
    <w:p>
      <w:pPr>
        <w:pStyle w:val="3"/>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六、公告期限</w:t>
      </w:r>
      <w:bookmarkEnd w:id="20"/>
      <w:bookmarkEnd w:id="21"/>
      <w:bookmarkEnd w:id="22"/>
      <w:bookmarkEnd w:id="23"/>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highlight w:val="none"/>
        </w:rPr>
        <w:t>自本公告发布之日起</w:t>
      </w: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rPr>
        <w:t>个工作日。</w:t>
      </w:r>
      <w:bookmarkStart w:id="24" w:name="_Toc35393795"/>
      <w:bookmarkStart w:id="25" w:name="_Toc35393626"/>
    </w:p>
    <w:p>
      <w:pPr>
        <w:pStyle w:val="3"/>
        <w:numPr>
          <w:ilvl w:val="0"/>
          <w:numId w:val="9"/>
        </w:numPr>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其他补充事宜</w:t>
      </w:r>
      <w:bookmarkEnd w:id="24"/>
      <w:bookmarkEnd w:id="25"/>
    </w:p>
    <w:p>
      <w:pPr>
        <w:pageBreakBefore w:val="0"/>
        <w:kinsoku/>
        <w:wordWrap w:val="0"/>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评标方法和标准：综合评分法。</w:t>
      </w:r>
    </w:p>
    <w:p>
      <w:pPr>
        <w:spacing w:line="360" w:lineRule="auto"/>
        <w:ind w:firstLine="480" w:firstLineChars="200"/>
        <w:rPr>
          <w:rFonts w:hint="eastAsia" w:ascii="宋体" w:hAnsi="宋体" w:eastAsia="宋体"/>
          <w:color w:val="auto"/>
          <w:sz w:val="24"/>
          <w:szCs w:val="24"/>
          <w:highlight w:val="none"/>
        </w:rPr>
      </w:pPr>
      <w:r>
        <w:rPr>
          <w:rFonts w:hint="eastAsia" w:ascii="宋体" w:hAnsi="宋体"/>
          <w:color w:val="auto"/>
          <w:sz w:val="24"/>
          <w:highlight w:val="none"/>
          <w:lang w:val="en-US" w:eastAsia="zh-CN" w:bidi="ar"/>
        </w:rPr>
        <w:t>2</w:t>
      </w:r>
      <w:r>
        <w:rPr>
          <w:rFonts w:ascii="宋体" w:hAnsi="宋体"/>
          <w:color w:val="auto"/>
          <w:sz w:val="24"/>
          <w:highlight w:val="none"/>
          <w:lang w:bidi="ar"/>
        </w:rPr>
        <w:t>.本项目采用全流程电子化采购方式，请供应商认真学习北京市政府采购电子交易平台发布的相关操作手册</w:t>
      </w:r>
      <w:r>
        <w:rPr>
          <w:rFonts w:ascii="宋体" w:hAnsi="宋体" w:eastAsia="宋体"/>
          <w:color w:val="auto"/>
          <w:sz w:val="24"/>
          <w:szCs w:val="24"/>
          <w:highlight w:val="none"/>
        </w:rPr>
        <w:t>（供应商可在交易平台下载相关手册）</w:t>
      </w:r>
      <w:r>
        <w:rPr>
          <w:rFonts w:ascii="宋体" w:hAnsi="宋体"/>
          <w:color w:val="auto"/>
          <w:sz w:val="24"/>
          <w:highlight w:val="none"/>
          <w:lang w:bidi="ar"/>
        </w:rPr>
        <w:t>，</w:t>
      </w:r>
      <w:r>
        <w:rPr>
          <w:rFonts w:ascii="宋体" w:hAnsi="宋体" w:eastAsia="宋体"/>
          <w:color w:val="auto"/>
          <w:sz w:val="24"/>
          <w:szCs w:val="24"/>
          <w:highlight w:val="none"/>
        </w:rPr>
        <w:t>办理 CA 数字证书或电子营业执照、</w:t>
      </w:r>
      <w:r>
        <w:rPr>
          <w:rFonts w:ascii="宋体" w:hAnsi="宋体"/>
          <w:color w:val="auto"/>
          <w:sz w:val="24"/>
          <w:highlight w:val="none"/>
          <w:lang w:bidi="ar"/>
        </w:rPr>
        <w:t>进行北京市政府采购电子交易平台注册绑定，</w:t>
      </w:r>
      <w:r>
        <w:rPr>
          <w:rFonts w:ascii="宋体" w:hAnsi="宋体" w:eastAsia="宋体"/>
          <w:color w:val="auto"/>
          <w:sz w:val="24"/>
          <w:szCs w:val="24"/>
          <w:highlight w:val="none"/>
        </w:rPr>
        <w:t>并认真核实 CA 数字证书或电子营业执照情况确认是否符合本项目电子化采购流程要求。</w:t>
      </w:r>
    </w:p>
    <w:p>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CA数字证书服务热线010-58511086</w:t>
      </w:r>
    </w:p>
    <w:p>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电子营业执照服务热线 400-699-7000</w:t>
      </w:r>
    </w:p>
    <w:p>
      <w:pPr>
        <w:spacing w:line="360" w:lineRule="auto"/>
        <w:ind w:firstLine="480" w:firstLineChars="200"/>
        <w:rPr>
          <w:rFonts w:ascii="宋体" w:hAnsi="宋体"/>
          <w:color w:val="auto"/>
          <w:sz w:val="24"/>
          <w:highlight w:val="none"/>
        </w:rPr>
      </w:pPr>
      <w:r>
        <w:rPr>
          <w:rFonts w:ascii="宋体" w:hAnsi="宋体" w:eastAsia="宋体"/>
          <w:color w:val="auto"/>
          <w:sz w:val="24"/>
          <w:szCs w:val="24"/>
          <w:highlight w:val="none"/>
        </w:rPr>
        <w:t>技术支持服务热线 010-86483801</w:t>
      </w:r>
      <w:r>
        <w:rPr>
          <w:rFonts w:ascii="宋体" w:hAnsi="宋体"/>
          <w:color w:val="auto"/>
          <w:sz w:val="24"/>
          <w:highlight w:val="none"/>
          <w:lang w:bidi="ar"/>
        </w:rPr>
        <w:t xml:space="preserve">    </w:t>
      </w:r>
    </w:p>
    <w:p>
      <w:pPr>
        <w:widowControl/>
        <w:adjustRightInd w:val="0"/>
        <w:snapToGrid w:val="0"/>
        <w:spacing w:line="360" w:lineRule="auto"/>
        <w:ind w:firstLine="480" w:firstLineChars="200"/>
        <w:jc w:val="left"/>
        <w:rPr>
          <w:rFonts w:ascii="宋体" w:hAnsi="宋体"/>
          <w:color w:val="auto"/>
          <w:sz w:val="24"/>
          <w:highlight w:val="none"/>
          <w:lang w:bidi="ar"/>
        </w:rPr>
      </w:pPr>
      <w:r>
        <w:rPr>
          <w:rFonts w:hint="eastAsia" w:ascii="宋体" w:hAnsi="宋体"/>
          <w:color w:val="auto"/>
          <w:sz w:val="24"/>
          <w:highlight w:val="none"/>
          <w:lang w:bidi="ar"/>
        </w:rPr>
        <w:t>2</w:t>
      </w:r>
      <w:r>
        <w:rPr>
          <w:rFonts w:ascii="宋体" w:hAnsi="宋体"/>
          <w:color w:val="auto"/>
          <w:sz w:val="24"/>
          <w:highlight w:val="none"/>
          <w:lang w:bidi="ar"/>
        </w:rPr>
        <w:t>.1</w:t>
      </w:r>
      <w:r>
        <w:rPr>
          <w:rFonts w:ascii="宋体" w:hAnsi="宋体" w:eastAsia="宋体"/>
          <w:color w:val="auto"/>
          <w:sz w:val="24"/>
          <w:szCs w:val="24"/>
          <w:highlight w:val="none"/>
        </w:rPr>
        <w:t>办理CA数字证书或电子营业执照</w:t>
      </w:r>
    </w:p>
    <w:p>
      <w:pPr>
        <w:widowControl/>
        <w:adjustRightInd w:val="0"/>
        <w:snapToGrid w:val="0"/>
        <w:spacing w:line="360" w:lineRule="auto"/>
        <w:ind w:firstLine="480" w:firstLineChars="200"/>
        <w:jc w:val="left"/>
        <w:rPr>
          <w:rFonts w:ascii="宋体" w:hAnsi="宋体"/>
          <w:color w:val="auto"/>
          <w:sz w:val="24"/>
          <w:highlight w:val="none"/>
        </w:rPr>
      </w:pPr>
      <w:r>
        <w:rPr>
          <w:rFonts w:ascii="宋体" w:hAnsi="宋体" w:eastAsia="宋体"/>
          <w:color w:val="auto"/>
          <w:sz w:val="24"/>
          <w:szCs w:val="24"/>
          <w:highlight w:val="none"/>
        </w:rPr>
        <w:t>供应商登录北京市政府采购电子交易平台查阅“用户指南</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“操作指南</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市场主体CA办理操作流程指引”</w:t>
      </w:r>
      <w:r>
        <w:rPr>
          <w:rFonts w:hint="eastAsia" w:ascii="宋体" w:hAnsi="宋体" w:eastAsia="宋体"/>
          <w:color w:val="auto"/>
          <w:sz w:val="24"/>
          <w:szCs w:val="24"/>
          <w:highlight w:val="none"/>
        </w:rPr>
        <w:t>/“</w:t>
      </w:r>
      <w:r>
        <w:rPr>
          <w:rFonts w:ascii="宋体" w:hAnsi="宋体" w:eastAsia="宋体"/>
          <w:color w:val="auto"/>
          <w:sz w:val="24"/>
          <w:szCs w:val="24"/>
          <w:highlight w:val="none"/>
        </w:rPr>
        <w:t>电子营业执照使用指南</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，按照程序要求办理。</w:t>
      </w:r>
    </w:p>
    <w:p>
      <w:pPr>
        <w:adjustRightInd w:val="0"/>
        <w:snapToGrid w:val="0"/>
        <w:spacing w:line="360" w:lineRule="auto"/>
        <w:ind w:firstLine="480" w:firstLineChars="200"/>
        <w:rPr>
          <w:rFonts w:ascii="宋体" w:hAnsi="宋体"/>
          <w:color w:val="auto"/>
          <w:sz w:val="24"/>
          <w:highlight w:val="none"/>
          <w:lang w:bidi="ar"/>
        </w:rPr>
      </w:pPr>
      <w:r>
        <w:rPr>
          <w:rFonts w:hint="eastAsia" w:ascii="宋体" w:hAnsi="宋体"/>
          <w:color w:val="auto"/>
          <w:sz w:val="24"/>
          <w:highlight w:val="none"/>
          <w:lang w:bidi="ar"/>
        </w:rPr>
        <w:t>2</w:t>
      </w:r>
      <w:r>
        <w:rPr>
          <w:rFonts w:ascii="宋体" w:hAnsi="宋体"/>
          <w:color w:val="auto"/>
          <w:sz w:val="24"/>
          <w:highlight w:val="none"/>
          <w:lang w:bidi="ar"/>
        </w:rPr>
        <w:t>.2注册</w:t>
      </w:r>
    </w:p>
    <w:p>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供应商登录北京市政府采购电子交易平台</w:t>
      </w:r>
      <w:r>
        <w:rPr>
          <w:rFonts w:hint="eastAsia" w:ascii="Nirmala UI" w:hAnsi="Nirmala UI" w:eastAsia="Nirmala UI" w:cs="Nirmala UI"/>
          <w:color w:val="auto"/>
          <w:sz w:val="24"/>
          <w:szCs w:val="24"/>
          <w:highlight w:val="none"/>
        </w:rPr>
        <w:t>“</w:t>
      </w:r>
      <w:r>
        <w:rPr>
          <w:rFonts w:ascii="宋体" w:hAnsi="宋体" w:eastAsia="宋体"/>
          <w:color w:val="auto"/>
          <w:sz w:val="24"/>
          <w:szCs w:val="24"/>
          <w:highlight w:val="none"/>
        </w:rPr>
        <w:t>用户指南”—“操作指南</w:t>
      </w:r>
      <w:r>
        <w:rPr>
          <w:rFonts w:ascii="宋体" w:hAnsi="宋体" w:eastAsia="宋体" w:cs="宋体"/>
          <w:color w:val="auto"/>
          <w:sz w:val="24"/>
          <w:szCs w:val="24"/>
          <w:highlight w:val="none"/>
        </w:rPr>
        <w:t>”</w:t>
      </w:r>
      <w:r>
        <w:rPr>
          <w:rFonts w:hint="eastAsia" w:ascii="宋体" w:hAnsi="宋体" w:eastAsia="宋体"/>
          <w:color w:val="auto"/>
          <w:sz w:val="24"/>
          <w:szCs w:val="24"/>
          <w:highlight w:val="none"/>
        </w:rPr>
        <w:t>—“</w:t>
      </w:r>
      <w:r>
        <w:rPr>
          <w:rFonts w:ascii="宋体" w:hAnsi="宋体" w:eastAsia="宋体"/>
          <w:color w:val="auto"/>
          <w:sz w:val="24"/>
          <w:szCs w:val="24"/>
          <w:highlight w:val="none"/>
        </w:rPr>
        <w:t>市场主体注册入库操作流程指引</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进行自助注册绑定。</w:t>
      </w:r>
    </w:p>
    <w:p>
      <w:pPr>
        <w:widowControl/>
        <w:adjustRightInd w:val="0"/>
        <w:snapToGrid w:val="0"/>
        <w:spacing w:line="360" w:lineRule="auto"/>
        <w:ind w:firstLine="480" w:firstLineChars="200"/>
        <w:jc w:val="left"/>
        <w:rPr>
          <w:rFonts w:ascii="宋体" w:hAnsi="宋体"/>
          <w:color w:val="auto"/>
          <w:sz w:val="24"/>
          <w:highlight w:val="none"/>
          <w:lang w:bidi="ar"/>
        </w:rPr>
      </w:pPr>
      <w:r>
        <w:rPr>
          <w:rFonts w:hint="eastAsia" w:ascii="宋体" w:hAnsi="宋体"/>
          <w:color w:val="auto"/>
          <w:sz w:val="24"/>
          <w:highlight w:val="none"/>
          <w:lang w:bidi="ar"/>
        </w:rPr>
        <w:t>2</w:t>
      </w:r>
      <w:r>
        <w:rPr>
          <w:rFonts w:ascii="宋体" w:hAnsi="宋体"/>
          <w:color w:val="auto"/>
          <w:sz w:val="24"/>
          <w:highlight w:val="none"/>
          <w:lang w:bidi="ar"/>
        </w:rPr>
        <w:t>.3驱动、客户端下载</w:t>
      </w:r>
    </w:p>
    <w:p>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供应商登录北京市政府采购电子交易平台</w:t>
      </w:r>
      <w:r>
        <w:rPr>
          <w:rFonts w:hint="eastAsia" w:ascii="Nirmala UI" w:hAnsi="Nirmala UI" w:eastAsia="Nirmala UI" w:cs="Nirmala UI"/>
          <w:color w:val="auto"/>
          <w:sz w:val="24"/>
          <w:szCs w:val="24"/>
          <w:highlight w:val="none"/>
        </w:rPr>
        <w:t>“</w:t>
      </w:r>
      <w:r>
        <w:rPr>
          <w:rFonts w:ascii="宋体" w:hAnsi="宋体" w:eastAsia="宋体"/>
          <w:color w:val="auto"/>
          <w:sz w:val="24"/>
          <w:szCs w:val="24"/>
          <w:highlight w:val="none"/>
        </w:rPr>
        <w:t>用户指南</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w:t>
      </w:r>
      <w:r>
        <w:rPr>
          <w:rFonts w:hint="eastAsia" w:ascii="Nirmala UI" w:hAnsi="Nirmala UI" w:eastAsia="Nirmala UI" w:cs="Nirmala UI"/>
          <w:color w:val="auto"/>
          <w:sz w:val="24"/>
          <w:szCs w:val="24"/>
          <w:highlight w:val="none"/>
        </w:rPr>
        <w:t>“</w:t>
      </w:r>
      <w:r>
        <w:rPr>
          <w:rFonts w:ascii="宋体" w:hAnsi="宋体" w:eastAsia="宋体"/>
          <w:color w:val="auto"/>
          <w:sz w:val="24"/>
          <w:szCs w:val="24"/>
          <w:highlight w:val="none"/>
        </w:rPr>
        <w:t>工具下载</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 xml:space="preserve">—“招标采购系统文件驱动安装包”下载相关驱动。 </w:t>
      </w:r>
    </w:p>
    <w:p>
      <w:pPr>
        <w:spacing w:line="360" w:lineRule="auto"/>
        <w:ind w:firstLine="480" w:firstLineChars="200"/>
        <w:rPr>
          <w:rFonts w:ascii="宋体" w:hAnsi="宋体"/>
          <w:color w:val="auto"/>
          <w:sz w:val="24"/>
          <w:highlight w:val="none"/>
          <w:lang w:bidi="ar"/>
        </w:rPr>
      </w:pPr>
      <w:r>
        <w:rPr>
          <w:rFonts w:ascii="宋体" w:hAnsi="宋体" w:eastAsia="宋体"/>
          <w:color w:val="auto"/>
          <w:sz w:val="24"/>
          <w:szCs w:val="24"/>
          <w:highlight w:val="none"/>
        </w:rPr>
        <w:t>供应商登录北京市政府采购电子交易平台“用户指南</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w:t>
      </w:r>
      <w:r>
        <w:rPr>
          <w:rFonts w:hint="eastAsia" w:ascii="Nirmala UI" w:hAnsi="Nirmala UI" w:eastAsia="Nirmala UI" w:cs="Nirmala UI"/>
          <w:color w:val="auto"/>
          <w:sz w:val="24"/>
          <w:szCs w:val="24"/>
          <w:highlight w:val="none"/>
        </w:rPr>
        <w:t>“</w:t>
      </w:r>
      <w:r>
        <w:rPr>
          <w:rFonts w:ascii="宋体" w:hAnsi="宋体" w:eastAsia="宋体"/>
          <w:color w:val="auto"/>
          <w:sz w:val="24"/>
          <w:szCs w:val="24"/>
          <w:highlight w:val="none"/>
        </w:rPr>
        <w:t>工具下载”—</w:t>
      </w:r>
      <w:r>
        <w:rPr>
          <w:rFonts w:hint="eastAsia" w:ascii="Nirmala UI" w:hAnsi="Nirmala UI" w:eastAsia="Nirmala UI" w:cs="Nirmala UI"/>
          <w:color w:val="auto"/>
          <w:sz w:val="24"/>
          <w:szCs w:val="24"/>
          <w:highlight w:val="none"/>
        </w:rPr>
        <w:t>“</w:t>
      </w:r>
      <w:r>
        <w:rPr>
          <w:rFonts w:ascii="宋体" w:hAnsi="宋体" w:eastAsia="宋体"/>
          <w:color w:val="auto"/>
          <w:sz w:val="24"/>
          <w:szCs w:val="24"/>
          <w:highlight w:val="none"/>
        </w:rPr>
        <w:t>投标文件编制工具”下载相关客户端。</w:t>
      </w:r>
    </w:p>
    <w:p>
      <w:pPr>
        <w:adjustRightInd w:val="0"/>
        <w:snapToGrid w:val="0"/>
        <w:spacing w:line="360" w:lineRule="auto"/>
        <w:ind w:firstLine="480" w:firstLineChars="200"/>
        <w:rPr>
          <w:rFonts w:ascii="宋体" w:hAnsi="宋体"/>
          <w:color w:val="auto"/>
          <w:sz w:val="24"/>
          <w:highlight w:val="none"/>
          <w:lang w:bidi="ar"/>
        </w:rPr>
      </w:pPr>
      <w:r>
        <w:rPr>
          <w:rFonts w:hint="eastAsia" w:ascii="宋体" w:hAnsi="宋体"/>
          <w:color w:val="auto"/>
          <w:sz w:val="24"/>
          <w:highlight w:val="none"/>
          <w:lang w:bidi="ar"/>
        </w:rPr>
        <w:t>2</w:t>
      </w:r>
      <w:r>
        <w:rPr>
          <w:rFonts w:ascii="宋体" w:hAnsi="宋体"/>
          <w:color w:val="auto"/>
          <w:sz w:val="24"/>
          <w:highlight w:val="none"/>
          <w:lang w:bidi="ar"/>
        </w:rPr>
        <w:t>.4 获取电子竞争性磋商文件</w:t>
      </w:r>
    </w:p>
    <w:p>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供应商使用CA数字证书或电子营业执照登录北京市政府采购电子交易平台获取电子竞争性磋商文件。</w:t>
      </w:r>
    </w:p>
    <w:p>
      <w:pPr>
        <w:adjustRightInd w:val="0"/>
        <w:snapToGrid w:val="0"/>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pPr>
        <w:adjustRightInd w:val="0"/>
        <w:snapToGrid w:val="0"/>
        <w:spacing w:line="360" w:lineRule="auto"/>
        <w:ind w:firstLine="480" w:firstLineChars="200"/>
        <w:rPr>
          <w:rFonts w:ascii="宋体" w:hAnsi="宋体"/>
          <w:color w:val="auto"/>
          <w:sz w:val="24"/>
          <w:highlight w:val="none"/>
          <w:lang w:bidi="ar"/>
        </w:rPr>
      </w:pPr>
      <w:r>
        <w:rPr>
          <w:rFonts w:hint="eastAsia" w:ascii="宋体" w:hAnsi="宋体"/>
          <w:color w:val="auto"/>
          <w:sz w:val="24"/>
          <w:highlight w:val="none"/>
          <w:lang w:bidi="ar"/>
        </w:rPr>
        <w:t>2</w:t>
      </w:r>
      <w:r>
        <w:rPr>
          <w:rFonts w:ascii="宋体" w:hAnsi="宋体"/>
          <w:color w:val="auto"/>
          <w:sz w:val="24"/>
          <w:highlight w:val="none"/>
          <w:lang w:bidi="ar"/>
        </w:rPr>
        <w:t>.5编制电子响应文件</w:t>
      </w:r>
    </w:p>
    <w:p>
      <w:pPr>
        <w:widowControl/>
        <w:spacing w:line="360" w:lineRule="auto"/>
        <w:ind w:firstLine="480" w:firstLineChars="200"/>
        <w:jc w:val="left"/>
        <w:rPr>
          <w:rFonts w:ascii="宋体" w:hAnsi="宋体" w:eastAsia="宋体"/>
          <w:color w:val="auto"/>
          <w:sz w:val="24"/>
          <w:szCs w:val="24"/>
          <w:highlight w:val="none"/>
        </w:rPr>
      </w:pPr>
      <w:r>
        <w:rPr>
          <w:rFonts w:ascii="宋体" w:hAnsi="宋体" w:eastAsia="宋体"/>
          <w:color w:val="auto"/>
          <w:sz w:val="24"/>
          <w:szCs w:val="24"/>
          <w:highlight w:val="none"/>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pPr>
        <w:widowControl/>
        <w:spacing w:line="360" w:lineRule="auto"/>
        <w:ind w:firstLine="480" w:firstLineChars="200"/>
        <w:jc w:val="left"/>
        <w:rPr>
          <w:rFonts w:ascii="宋体" w:hAnsi="宋体"/>
          <w:color w:val="auto"/>
          <w:sz w:val="24"/>
          <w:highlight w:val="none"/>
          <w:lang w:val="zh-TW" w:bidi="ar"/>
        </w:rPr>
      </w:pPr>
      <w:r>
        <w:rPr>
          <w:rFonts w:hint="eastAsia" w:ascii="宋体" w:hAnsi="宋体"/>
          <w:color w:val="auto"/>
          <w:sz w:val="24"/>
          <w:highlight w:val="none"/>
          <w:lang w:val="zh-TW" w:bidi="ar"/>
        </w:rPr>
        <w:t>2</w:t>
      </w:r>
      <w:r>
        <w:rPr>
          <w:rFonts w:ascii="宋体" w:hAnsi="宋体"/>
          <w:color w:val="auto"/>
          <w:sz w:val="24"/>
          <w:highlight w:val="none"/>
          <w:lang w:val="zh-TW" w:eastAsia="zh-TW" w:bidi="ar"/>
        </w:rPr>
        <w:t>.6</w:t>
      </w:r>
      <w:r>
        <w:rPr>
          <w:rFonts w:hint="eastAsia" w:ascii="宋体" w:hAnsi="宋体" w:eastAsia="宋体" w:cs="宋体"/>
          <w:color w:val="auto"/>
          <w:sz w:val="24"/>
          <w:szCs w:val="24"/>
          <w:highlight w:val="none"/>
        </w:rPr>
        <w:t>提</w:t>
      </w:r>
      <w:r>
        <w:rPr>
          <w:rFonts w:ascii="宋体" w:hAnsi="宋体" w:eastAsia="宋体"/>
          <w:color w:val="auto"/>
          <w:sz w:val="24"/>
          <w:szCs w:val="24"/>
          <w:highlight w:val="none"/>
        </w:rPr>
        <w:t>交</w:t>
      </w:r>
      <w:r>
        <w:rPr>
          <w:rFonts w:ascii="宋体" w:hAnsi="宋体"/>
          <w:color w:val="auto"/>
          <w:sz w:val="24"/>
          <w:highlight w:val="none"/>
          <w:lang w:val="zh-TW" w:bidi="ar"/>
        </w:rPr>
        <w:t>电子响应文件</w:t>
      </w:r>
    </w:p>
    <w:p>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供应商应于响应文件</w:t>
      </w:r>
      <w:r>
        <w:rPr>
          <w:rFonts w:hint="eastAsia" w:ascii="宋体" w:hAnsi="宋体" w:eastAsia="宋体" w:cs="宋体"/>
          <w:color w:val="auto"/>
          <w:sz w:val="24"/>
          <w:szCs w:val="24"/>
          <w:highlight w:val="none"/>
        </w:rPr>
        <w:t>提交</w:t>
      </w:r>
      <w:r>
        <w:rPr>
          <w:rFonts w:ascii="宋体" w:hAnsi="宋体" w:eastAsia="宋体"/>
          <w:color w:val="auto"/>
          <w:sz w:val="24"/>
          <w:szCs w:val="24"/>
          <w:highlight w:val="none"/>
        </w:rPr>
        <w:t>截止时间前在平台</w:t>
      </w:r>
      <w:r>
        <w:rPr>
          <w:rFonts w:hint="eastAsia" w:ascii="宋体" w:hAnsi="宋体" w:eastAsia="宋体" w:cs="宋体"/>
          <w:color w:val="auto"/>
          <w:sz w:val="24"/>
          <w:szCs w:val="24"/>
          <w:highlight w:val="none"/>
        </w:rPr>
        <w:t>提交</w:t>
      </w:r>
      <w:r>
        <w:rPr>
          <w:rFonts w:ascii="宋体" w:hAnsi="宋体" w:eastAsia="宋体"/>
          <w:color w:val="auto"/>
          <w:sz w:val="24"/>
          <w:szCs w:val="24"/>
          <w:highlight w:val="none"/>
        </w:rPr>
        <w:t>电子响应文件，上传电子响应文件过程中请保持与互联网的连接畅通。</w:t>
      </w:r>
    </w:p>
    <w:p>
      <w:pPr>
        <w:spacing w:line="360" w:lineRule="auto"/>
        <w:ind w:firstLine="480" w:firstLineChars="200"/>
        <w:rPr>
          <w:rFonts w:ascii="宋体" w:hAnsi="宋体"/>
          <w:color w:val="auto"/>
          <w:sz w:val="24"/>
          <w:highlight w:val="none"/>
          <w:lang w:eastAsia="zh-TW"/>
        </w:rPr>
      </w:pPr>
      <w:r>
        <w:rPr>
          <w:rFonts w:hint="eastAsia" w:ascii="宋体" w:hAnsi="宋体"/>
          <w:color w:val="auto"/>
          <w:sz w:val="24"/>
          <w:highlight w:val="none"/>
          <w:lang w:val="zh-TW" w:bidi="ar"/>
        </w:rPr>
        <w:t>2</w:t>
      </w:r>
      <w:r>
        <w:rPr>
          <w:rFonts w:ascii="宋体" w:hAnsi="宋体"/>
          <w:color w:val="auto"/>
          <w:sz w:val="24"/>
          <w:highlight w:val="none"/>
          <w:lang w:val="zh-TW" w:bidi="ar"/>
        </w:rPr>
        <w:t>.</w:t>
      </w:r>
      <w:r>
        <w:rPr>
          <w:rFonts w:ascii="宋体" w:hAnsi="宋体"/>
          <w:color w:val="auto"/>
          <w:sz w:val="24"/>
          <w:highlight w:val="none"/>
          <w:lang w:val="zh-TW" w:eastAsia="zh-TW" w:bidi="ar"/>
        </w:rPr>
        <w:t xml:space="preserve">7 </w:t>
      </w:r>
      <w:r>
        <w:rPr>
          <w:rFonts w:ascii="宋体" w:hAnsi="宋体"/>
          <w:color w:val="auto"/>
          <w:sz w:val="24"/>
          <w:highlight w:val="none"/>
          <w:lang w:val="zh-TW" w:bidi="ar"/>
        </w:rPr>
        <w:t>开启响应文件</w:t>
      </w:r>
    </w:p>
    <w:p>
      <w:pPr>
        <w:spacing w:line="360" w:lineRule="auto"/>
        <w:ind w:firstLine="480" w:firstLineChars="200"/>
        <w:rPr>
          <w:rFonts w:hint="eastAsia" w:ascii="宋体" w:hAnsi="宋体" w:eastAsia="宋体"/>
          <w:color w:val="auto"/>
          <w:sz w:val="24"/>
          <w:szCs w:val="24"/>
          <w:highlight w:val="none"/>
        </w:rPr>
      </w:pPr>
      <w:bookmarkStart w:id="26" w:name="_Toc28359085"/>
      <w:bookmarkStart w:id="27" w:name="_Toc35393627"/>
      <w:bookmarkStart w:id="28" w:name="_Toc35393796"/>
      <w:bookmarkStart w:id="29" w:name="_Toc28359008"/>
      <w:r>
        <w:rPr>
          <w:rFonts w:ascii="宋体" w:hAnsi="宋体" w:eastAsia="宋体"/>
          <w:color w:val="auto"/>
          <w:sz w:val="24"/>
          <w:szCs w:val="24"/>
          <w:highlight w:val="none"/>
        </w:rPr>
        <w:t>供应商于磋商文件规定的开启时间、在开启地点使用 CA 数字证书或电子营业执照登录北京市政府采购电子交易平台解密并开启响应文件。如因供应商问题，解密不成功，则</w:t>
      </w:r>
      <w:r>
        <w:rPr>
          <w:rFonts w:ascii="宋体" w:hAnsi="宋体" w:eastAsia="宋体"/>
          <w:b/>
          <w:color w:val="auto"/>
          <w:sz w:val="24"/>
          <w:szCs w:val="24"/>
          <w:highlight w:val="none"/>
        </w:rPr>
        <w:t>响应无效</w:t>
      </w:r>
      <w:r>
        <w:rPr>
          <w:rFonts w:ascii="宋体" w:hAnsi="宋体" w:eastAsia="宋体"/>
          <w:color w:val="auto"/>
          <w:sz w:val="24"/>
          <w:szCs w:val="24"/>
          <w:highlight w:val="none"/>
        </w:rPr>
        <w:t>。</w:t>
      </w:r>
    </w:p>
    <w:p>
      <w:pPr>
        <w:pageBreakBefore w:val="0"/>
        <w:kinsoku/>
        <w:wordWrap w:val="0"/>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、需要落实的政策法规：</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1）执行《财政部发展改革委关于印发《节能产品政府采购品目清单》的通知》（财库[2019]19号）；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2）执行《财政部生态环境部关于印发《环境标志产品政府采购品目清单》的通知（财库[2019]18号）；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3）执行财政部、工业和信息化部关于印发《政府采购促进中小企业发展管理办法》的通知财库〔2020〕46号；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4）执行《财政部关于开展政府采购信用担保试点工作方案》（财库[2011]124号）；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5）执行《财政部、司法部关于政府采购支持监狱企业发展有关问题的通知》（财库[2014]68号）；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6）执行《关于促进残疾人就业政府采购政策的通知》（财库〔2017〕141号）；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7）执行《财政部关于在政府采购活动中查询及使用信用记录有关问题的通知》（财库[2016]125号）等相关政策。</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执行《北京市财政局关于落实好政府采购支持中小企业发展的通知》（京财〔2022〕1143号）。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）执行《关于进一步加大政府采购支持中小企业力度的通知》（财库〔2022〕19号）。</w:t>
      </w:r>
    </w:p>
    <w:p>
      <w:pPr>
        <w:pageBreakBefore w:val="0"/>
        <w:kinsoku/>
        <w:wordWrap w:val="0"/>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、单位负责人为同一人或者存在直接控股、管理关系的不同投标人，不得参加同一合同项下的政府采购活动</w:t>
      </w:r>
      <w:r>
        <w:rPr>
          <w:rFonts w:hint="eastAsia"/>
          <w:color w:val="auto"/>
          <w:sz w:val="24"/>
          <w:highlight w:val="none"/>
          <w:lang w:eastAsia="zh-CN"/>
        </w:rPr>
        <w:t>（</w:t>
      </w:r>
      <w:r>
        <w:rPr>
          <w:rFonts w:hint="eastAsia"/>
          <w:color w:val="auto"/>
          <w:sz w:val="24"/>
          <w:highlight w:val="none"/>
          <w:lang w:val="en-US" w:eastAsia="zh-CN"/>
        </w:rPr>
        <w:t>如若则按串标处理</w:t>
      </w:r>
      <w:r>
        <w:rPr>
          <w:rFonts w:hint="eastAsia"/>
          <w:color w:val="auto"/>
          <w:sz w:val="24"/>
          <w:highlight w:val="none"/>
          <w:lang w:eastAsia="zh-CN"/>
        </w:rPr>
        <w:t>）</w:t>
      </w:r>
      <w:r>
        <w:rPr>
          <w:rFonts w:hint="eastAsia" w:ascii="宋体" w:hAnsi="宋体" w:eastAsia="宋体" w:cs="宋体"/>
          <w:color w:val="auto"/>
          <w:sz w:val="24"/>
          <w:szCs w:val="24"/>
          <w:highlight w:val="none"/>
        </w:rPr>
        <w:t>。</w:t>
      </w:r>
    </w:p>
    <w:p>
      <w:pPr>
        <w:pageBreakBefore w:val="0"/>
        <w:kinsoku/>
        <w:wordWrap w:val="0"/>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、为采购项目提供整体设计、规范编制或者项目管理、监理、检测等服务的供应商，不得再参加该采购项目的其他采购活动。 </w:t>
      </w:r>
    </w:p>
    <w:p>
      <w:pPr>
        <w:pageBreakBefore w:val="0"/>
        <w:kinsoku/>
        <w:wordWrap w:val="0"/>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、公告媒体：本公告同时在中国政府采购网、北京市政府采购网上发布</w:t>
      </w:r>
      <w:r>
        <w:rPr>
          <w:rFonts w:hint="eastAsia" w:ascii="宋体" w:hAnsi="宋体" w:eastAsia="宋体" w:cs="宋体"/>
          <w:color w:val="auto"/>
          <w:sz w:val="24"/>
          <w:szCs w:val="24"/>
          <w:highlight w:val="none"/>
          <w:lang w:eastAsia="zh-CN"/>
        </w:rPr>
        <w:t>，未经采购人授权的任何转载，采购人不对其承担任何法律责任</w:t>
      </w:r>
      <w:r>
        <w:rPr>
          <w:rFonts w:hint="eastAsia" w:ascii="宋体" w:hAnsi="宋体" w:eastAsia="宋体" w:cs="宋体"/>
          <w:color w:val="auto"/>
          <w:sz w:val="24"/>
          <w:szCs w:val="24"/>
          <w:highlight w:val="none"/>
        </w:rPr>
        <w:t>。</w:t>
      </w:r>
    </w:p>
    <w:p>
      <w:pPr>
        <w:pStyle w:val="3"/>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八、对本项目提出询问，请按以下方式联系。</w:t>
      </w:r>
      <w:bookmarkEnd w:id="26"/>
      <w:bookmarkEnd w:id="27"/>
      <w:bookmarkEnd w:id="28"/>
      <w:bookmarkEnd w:id="29"/>
    </w:p>
    <w:p>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b/>
          <w:color w:val="auto"/>
          <w:sz w:val="24"/>
          <w:highlight w:val="none"/>
        </w:rPr>
        <w:t>1.采购人信息</w:t>
      </w:r>
    </w:p>
    <w:p>
      <w:pPr>
        <w:spacing w:line="360" w:lineRule="auto"/>
        <w:ind w:left="1079" w:leftChars="371" w:hanging="300" w:hangingChars="125"/>
        <w:jc w:val="left"/>
        <w:rPr>
          <w:rFonts w:hint="eastAsia" w:ascii="宋体" w:hAnsi="宋体" w:eastAsia="宋体" w:cs="宋体"/>
          <w:color w:val="auto"/>
          <w:sz w:val="24"/>
          <w:szCs w:val="24"/>
          <w:highlight w:val="none"/>
        </w:rPr>
      </w:pPr>
      <w:bookmarkStart w:id="30" w:name="_Toc28359086"/>
      <w:bookmarkStart w:id="31" w:name="_Toc28359009"/>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北京市顺义区仁和镇人民政府</w:t>
      </w:r>
      <w:r>
        <w:rPr>
          <w:rFonts w:hint="eastAsia" w:ascii="宋体" w:hAnsi="宋体" w:eastAsia="宋体" w:cs="宋体"/>
          <w:color w:val="auto"/>
          <w:sz w:val="24"/>
          <w:szCs w:val="24"/>
          <w:highlight w:val="none"/>
        </w:rPr>
        <w:t xml:space="preserve"> </w:t>
      </w:r>
    </w:p>
    <w:p>
      <w:pPr>
        <w:spacing w:line="360" w:lineRule="auto"/>
        <w:ind w:left="1079" w:leftChars="371" w:hanging="300" w:hangingChars="125"/>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址：北京市顺义区顺平西路9号</w:t>
      </w:r>
    </w:p>
    <w:p>
      <w:pPr>
        <w:spacing w:line="360" w:lineRule="auto"/>
        <w:ind w:left="1079" w:leftChars="371" w:hanging="300" w:hangingChars="125"/>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张群</w:t>
      </w:r>
      <w:r>
        <w:rPr>
          <w:rFonts w:hint="eastAsia" w:ascii="宋体" w:hAnsi="宋体" w:eastAsia="宋体" w:cs="宋体"/>
          <w:color w:val="auto"/>
          <w:sz w:val="24"/>
          <w:szCs w:val="24"/>
          <w:highlight w:val="none"/>
          <w:lang w:eastAsia="zh-CN"/>
        </w:rPr>
        <w:t>；010-69461225</w:t>
      </w:r>
      <w:r>
        <w:rPr>
          <w:rFonts w:hint="eastAsia" w:ascii="宋体" w:hAnsi="宋体" w:cs="宋体"/>
          <w:color w:val="auto"/>
          <w:sz w:val="24"/>
          <w:szCs w:val="24"/>
          <w:highlight w:val="none"/>
          <w:lang w:eastAsia="zh-CN"/>
        </w:rPr>
        <w:t xml:space="preserve"> </w:t>
      </w:r>
    </w:p>
    <w:p>
      <w:pPr>
        <w:spacing w:line="360" w:lineRule="auto"/>
        <w:ind w:left="1078" w:leftChars="371" w:hanging="299" w:hangingChars="124"/>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2.采购代理机构信息</w:t>
      </w:r>
      <w:bookmarkEnd w:id="30"/>
      <w:bookmarkEnd w:id="31"/>
    </w:p>
    <w:p>
      <w:pPr>
        <w:spacing w:line="360" w:lineRule="auto"/>
        <w:ind w:left="1076" w:leftChars="371" w:hanging="297" w:hangingChars="124"/>
        <w:jc w:val="left"/>
        <w:rPr>
          <w:rFonts w:hint="eastAsia" w:ascii="宋体" w:hAnsi="宋体" w:eastAsia="宋体" w:cs="宋体"/>
          <w:color w:val="auto"/>
          <w:sz w:val="24"/>
          <w:szCs w:val="24"/>
          <w:highlight w:val="none"/>
        </w:rPr>
      </w:pPr>
      <w:bookmarkStart w:id="32" w:name="_Toc28359087"/>
      <w:bookmarkStart w:id="33" w:name="_Toc28359010"/>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北京嘉诚晟泰工程管理咨询有限公司</w:t>
      </w:r>
    </w:p>
    <w:p>
      <w:pPr>
        <w:spacing w:line="360" w:lineRule="auto"/>
        <w:ind w:left="1076" w:leftChars="371" w:hanging="297" w:hangingChars="124"/>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北京市顺义区顺平辅线181号</w:t>
      </w:r>
    </w:p>
    <w:p>
      <w:pPr>
        <w:spacing w:line="360" w:lineRule="auto"/>
        <w:ind w:left="1076" w:leftChars="371" w:hanging="297" w:hangingChars="124"/>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张春香</w:t>
      </w:r>
      <w:r>
        <w:rPr>
          <w:rFonts w:hint="eastAsia" w:ascii="宋体" w:hAnsi="宋体" w:eastAsia="宋体" w:cs="宋体"/>
          <w:color w:val="auto"/>
          <w:sz w:val="24"/>
          <w:szCs w:val="24"/>
          <w:highlight w:val="none"/>
          <w:lang w:eastAsia="zh-CN"/>
        </w:rPr>
        <w:t>；010-60418509</w:t>
      </w:r>
    </w:p>
    <w:p>
      <w:pPr>
        <w:spacing w:line="360" w:lineRule="auto"/>
        <w:ind w:left="1078" w:leftChars="371" w:hanging="299" w:hangingChars="124"/>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3.项目联系方式</w:t>
      </w:r>
      <w:bookmarkEnd w:id="32"/>
      <w:bookmarkEnd w:id="33"/>
    </w:p>
    <w:p>
      <w:pPr>
        <w:pStyle w:val="24"/>
        <w:spacing w:line="360" w:lineRule="auto"/>
        <w:ind w:left="1076" w:leftChars="371" w:hanging="297" w:hangingChars="124"/>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val="en-US" w:eastAsia="zh-CN"/>
        </w:rPr>
        <w:t>张春香</w:t>
      </w:r>
    </w:p>
    <w:p>
      <w:pPr>
        <w:pStyle w:val="24"/>
        <w:spacing w:line="360" w:lineRule="auto"/>
        <w:ind w:left="1076" w:leftChars="371" w:hanging="297" w:hangingChars="1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eastAsia="zh-CN"/>
        </w:rPr>
        <w:t>010-60418509</w:t>
      </w:r>
      <w:r>
        <w:rPr>
          <w:rFonts w:hint="eastAsia" w:ascii="宋体" w:hAnsi="宋体" w:eastAsia="宋体" w:cs="宋体"/>
          <w:color w:val="auto"/>
          <w:sz w:val="24"/>
          <w:szCs w:val="24"/>
          <w:highlight w:val="none"/>
        </w:rPr>
        <w:t xml:space="preserve"> </w:t>
      </w:r>
    </w:p>
    <w:p>
      <w:pPr>
        <w:spacing w:line="360" w:lineRule="auto"/>
        <w:ind w:firstLine="5880" w:firstLineChars="2450"/>
        <w:jc w:val="right"/>
        <w:rPr>
          <w:rFonts w:hint="eastAsia" w:ascii="宋体" w:hAnsi="宋体" w:eastAsia="宋体" w:cs="宋体"/>
          <w:color w:val="auto"/>
          <w:sz w:val="24"/>
          <w:highlight w:val="none"/>
        </w:rPr>
      </w:pPr>
    </w:p>
    <w:p>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r>
      <w:bookmarkStart w:id="34" w:name="_Toc226965856"/>
      <w:bookmarkStart w:id="35" w:name="_Toc127161488"/>
      <w:bookmarkStart w:id="36" w:name="_Toc305158854"/>
      <w:bookmarkStart w:id="37" w:name="_Toc195842950"/>
      <w:bookmarkStart w:id="38" w:name="_Toc265228423"/>
      <w:bookmarkStart w:id="39" w:name="_Toc150774783"/>
      <w:bookmarkStart w:id="40" w:name="_Toc512937850"/>
      <w:bookmarkStart w:id="41" w:name="_Toc305158928"/>
      <w:bookmarkStart w:id="42" w:name="_Toc353873938"/>
      <w:bookmarkStart w:id="43" w:name="_Toc264969275"/>
      <w:bookmarkStart w:id="44" w:name="_Toc353825548"/>
      <w:bookmarkStart w:id="45" w:name="_Toc16992"/>
      <w:bookmarkStart w:id="46" w:name="_Toc127151777"/>
      <w:r>
        <w:rPr>
          <w:rFonts w:hint="eastAsia" w:ascii="宋体" w:hAnsi="宋体" w:eastAsia="宋体" w:cs="宋体"/>
          <w:b/>
          <w:color w:val="auto"/>
          <w:sz w:val="36"/>
          <w:szCs w:val="36"/>
          <w:highlight w:val="none"/>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3"/>
        <w:tabs>
          <w:tab w:val="center" w:pos="4592"/>
          <w:tab w:val="left" w:pos="7860"/>
        </w:tabs>
        <w:spacing w:before="0" w:line="360" w:lineRule="auto"/>
        <w:rPr>
          <w:rFonts w:hint="eastAsia" w:ascii="宋体" w:hAnsi="宋体" w:eastAsia="宋体" w:cs="宋体"/>
          <w:b w:val="0"/>
          <w:color w:val="auto"/>
          <w:sz w:val="28"/>
          <w:highlight w:val="none"/>
        </w:rPr>
      </w:pPr>
      <w:bookmarkStart w:id="47" w:name="_Toc195842884"/>
      <w:bookmarkStart w:id="48" w:name="_Toc226337215"/>
      <w:bookmarkStart w:id="49" w:name="_Toc520356144"/>
      <w:bookmarkStart w:id="50" w:name="_Toc150480757"/>
      <w:bookmarkStart w:id="51" w:name="_Toc150509270"/>
      <w:bookmarkStart w:id="52" w:name="_Toc149720812"/>
      <w:bookmarkStart w:id="53" w:name="_Toc151190146"/>
      <w:bookmarkStart w:id="54" w:name="_Toc127161433"/>
      <w:bookmarkStart w:id="55" w:name="_Toc151193689"/>
      <w:bookmarkStart w:id="56" w:name="_Toc150774619"/>
      <w:bookmarkStart w:id="57" w:name="_Toc164229214"/>
      <w:bookmarkStart w:id="58" w:name="_Toc164608633"/>
      <w:bookmarkStart w:id="59" w:name="_Toc127151720"/>
      <w:bookmarkStart w:id="60" w:name="_Toc127151519"/>
      <w:bookmarkStart w:id="61" w:name="_Toc226309763"/>
      <w:bookmarkStart w:id="62" w:name="_Toc226965792"/>
      <w:bookmarkStart w:id="63" w:name="_Toc151193761"/>
      <w:bookmarkStart w:id="64" w:name="_Toc150774724"/>
      <w:bookmarkStart w:id="65" w:name="_Toc142311021"/>
      <w:bookmarkStart w:id="66" w:name="_Toc151193617"/>
      <w:bookmarkStart w:id="67" w:name="_Toc151193907"/>
      <w:bookmarkStart w:id="68" w:name="_Toc164608788"/>
      <w:bookmarkStart w:id="69" w:name="_Toc164351613"/>
      <w:bookmarkStart w:id="70" w:name="_Toc226965709"/>
      <w:bookmarkStart w:id="71" w:name="_Toc151193833"/>
      <w:bookmarkStart w:id="72" w:name="_Toc164229360"/>
      <w:r>
        <w:rPr>
          <w:rFonts w:hint="eastAsia" w:ascii="宋体" w:hAnsi="宋体" w:eastAsia="宋体" w:cs="宋体"/>
          <w:color w:val="auto"/>
          <w:sz w:val="28"/>
          <w:highlight w:val="none"/>
        </w:rPr>
        <w:t>供应商须知资料表</w:t>
      </w:r>
    </w:p>
    <w:p>
      <w:pPr>
        <w:jc w:val="center"/>
        <w:rPr>
          <w:rFonts w:hint="eastAsia" w:ascii="宋体" w:hAnsi="宋体" w:eastAsia="宋体" w:cs="宋体"/>
          <w:b/>
          <w:color w:val="auto"/>
          <w:sz w:val="28"/>
          <w:szCs w:val="28"/>
          <w:highlight w:val="none"/>
        </w:rPr>
      </w:pPr>
    </w:p>
    <w:p>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本表是对供应商须知的具体补充和修改，如有矛盾，均以本资料表为准。标记“</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”的选项意为适用于本项目，标记“</w:t>
      </w:r>
      <w:r>
        <w:rPr>
          <w:rFonts w:hint="eastAsia" w:ascii="宋体" w:hAnsi="宋体" w:eastAsia="宋体" w:cs="宋体"/>
          <w:color w:val="auto"/>
          <w:highlight w:val="none"/>
        </w:rPr>
        <w:t>□</w:t>
      </w:r>
      <w:r>
        <w:rPr>
          <w:rFonts w:hint="eastAsia" w:ascii="宋体" w:hAnsi="宋体" w:eastAsia="宋体" w:cs="宋体"/>
          <w:color w:val="auto"/>
          <w:sz w:val="24"/>
          <w:highlight w:val="none"/>
        </w:rPr>
        <w:t>”的选项意为不适用于本项目。</w:t>
      </w:r>
    </w:p>
    <w:tbl>
      <w:tblPr>
        <w:tblStyle w:val="4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条款号</w:t>
            </w:r>
          </w:p>
        </w:tc>
        <w:tc>
          <w:tcPr>
            <w:tcW w:w="1701" w:type="dxa"/>
            <w:vAlign w:val="center"/>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条目</w:t>
            </w:r>
          </w:p>
        </w:tc>
        <w:tc>
          <w:tcPr>
            <w:tcW w:w="7253" w:type="dxa"/>
            <w:vAlign w:val="center"/>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701"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tc>
        <w:tc>
          <w:tcPr>
            <w:tcW w:w="7253" w:type="dxa"/>
            <w:vAlign w:val="center"/>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p>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服务</w:t>
            </w:r>
          </w:p>
          <w:p>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货物</w:t>
            </w:r>
          </w:p>
          <w:p>
            <w:pPr>
              <w:spacing w:line="240" w:lineRule="auto"/>
              <w:jc w:val="left"/>
              <w:rPr>
                <w:rFonts w:hint="eastAsia" w:ascii="宋体" w:hAnsi="宋体" w:eastAsia="宋体" w:cs="宋体"/>
                <w:color w:val="auto"/>
                <w:sz w:val="24"/>
                <w:highlight w:val="none"/>
                <w:u w:val="singl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701"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科研仪器设备</w:t>
            </w:r>
          </w:p>
        </w:tc>
        <w:tc>
          <w:tcPr>
            <w:tcW w:w="7253" w:type="dxa"/>
            <w:vAlign w:val="center"/>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是否属于科研仪器设备采购项目：</w:t>
            </w:r>
          </w:p>
          <w:p>
            <w:pPr>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是</w:t>
            </w:r>
          </w:p>
          <w:p>
            <w:pPr>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701"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现场考察</w:t>
            </w:r>
          </w:p>
        </w:tc>
        <w:tc>
          <w:tcPr>
            <w:tcW w:w="7253" w:type="dxa"/>
            <w:vAlign w:val="center"/>
          </w:tcPr>
          <w:p>
            <w:pPr>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不组织</w:t>
            </w:r>
          </w:p>
          <w:p>
            <w:pPr>
              <w:jc w:val="left"/>
              <w:rPr>
                <w:rFonts w:hint="eastAsia" w:ascii="宋体" w:hAnsi="宋体" w:eastAsia="宋体" w:cs="宋体"/>
                <w:bCs/>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组织，考察时间：___</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分</w:t>
            </w:r>
          </w:p>
          <w:p>
            <w:pPr>
              <w:pStyle w:val="24"/>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eastAsia" w:ascii="宋体" w:hAnsi="宋体" w:eastAsia="宋体" w:cs="宋体"/>
                <w:color w:val="auto"/>
                <w:sz w:val="24"/>
                <w:szCs w:val="24"/>
                <w:highlight w:val="none"/>
              </w:rPr>
            </w:pPr>
          </w:p>
        </w:tc>
        <w:tc>
          <w:tcPr>
            <w:tcW w:w="1701"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磋商前答疑会</w:t>
            </w:r>
          </w:p>
        </w:tc>
        <w:tc>
          <w:tcPr>
            <w:tcW w:w="7253" w:type="dxa"/>
            <w:vAlign w:val="center"/>
          </w:tcPr>
          <w:p>
            <w:pPr>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不召开</w:t>
            </w:r>
          </w:p>
          <w:p>
            <w:pPr>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召开，召开时间：___</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分</w:t>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召开地点：___________。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w:t>
            </w:r>
          </w:p>
        </w:tc>
        <w:tc>
          <w:tcPr>
            <w:tcW w:w="1701"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标的所属行业</w:t>
            </w:r>
          </w:p>
        </w:tc>
        <w:tc>
          <w:tcPr>
            <w:tcW w:w="7253" w:type="dxa"/>
            <w:vAlign w:val="center"/>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本项目采购标的对应的中小企业划分标准所属行业：</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700"/>
              <w:gridCol w:w="3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包号</w:t>
                  </w:r>
                </w:p>
              </w:tc>
              <w:tc>
                <w:tcPr>
                  <w:tcW w:w="19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01</w:t>
                  </w:r>
                </w:p>
              </w:tc>
              <w:tc>
                <w:tcPr>
                  <w:tcW w:w="19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 w:val="24"/>
                      <w:szCs w:val="24"/>
                      <w:highlight w:val="none"/>
                      <w:lang w:eastAsia="zh-CN"/>
                    </w:rPr>
                  </w:pPr>
                  <w:r>
                    <w:rPr>
                      <w:rFonts w:hint="eastAsia" w:ascii="宋体" w:hAnsi="宋体" w:cs="宋体"/>
                      <w:bCs/>
                      <w:color w:val="auto"/>
                      <w:sz w:val="24"/>
                      <w:szCs w:val="24"/>
                      <w:highlight w:val="none"/>
                      <w:lang w:eastAsia="zh-CN"/>
                    </w:rPr>
                    <w:t>2024年度仁和镇土地整治及拆除项目</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建筑业</w:t>
                  </w:r>
                </w:p>
              </w:tc>
            </w:tr>
          </w:tbl>
          <w:p>
            <w:pPr>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7"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w:t>
            </w:r>
          </w:p>
        </w:tc>
        <w:tc>
          <w:tcPr>
            <w:tcW w:w="1701" w:type="dxa"/>
            <w:vAlign w:val="center"/>
          </w:tcPr>
          <w:p>
            <w:pPr>
              <w:jc w:val="center"/>
              <w:rPr>
                <w:rFonts w:hint="eastAsia" w:ascii="宋体" w:hAnsi="宋体" w:eastAsia="宋体" w:cs="宋体"/>
                <w:color w:val="auto"/>
                <w:sz w:val="24"/>
                <w:highlight w:val="none"/>
              </w:rPr>
            </w:pPr>
            <w:r>
              <w:rPr>
                <w:rFonts w:hint="eastAsia"/>
                <w:color w:val="auto"/>
                <w:sz w:val="24"/>
                <w:highlight w:val="none"/>
              </w:rPr>
              <w:t>投标报价</w:t>
            </w:r>
          </w:p>
        </w:tc>
        <w:tc>
          <w:tcPr>
            <w:tcW w:w="7253" w:type="dxa"/>
            <w:vAlign w:val="center"/>
          </w:tcPr>
          <w:p>
            <w:pPr>
              <w:jc w:val="left"/>
              <w:rPr>
                <w:color w:val="auto"/>
                <w:sz w:val="24"/>
                <w:highlight w:val="none"/>
              </w:rPr>
            </w:pPr>
            <w:r>
              <w:rPr>
                <w:rFonts w:hint="eastAsia"/>
                <w:color w:val="auto"/>
                <w:sz w:val="24"/>
                <w:highlight w:val="none"/>
              </w:rPr>
              <w:t>投标报价的特殊规定：</w:t>
            </w:r>
          </w:p>
          <w:p>
            <w:pPr>
              <w:jc w:val="left"/>
              <w:rPr>
                <w:color w:val="auto"/>
                <w:sz w:val="24"/>
                <w:highlight w:val="none"/>
              </w:rPr>
            </w:pPr>
            <w:r>
              <w:rPr>
                <w:color w:val="auto"/>
                <w:sz w:val="24"/>
                <w:highlight w:val="none"/>
              </w:rPr>
              <w:t>□无</w:t>
            </w:r>
          </w:p>
          <w:p>
            <w:pPr>
              <w:pStyle w:val="168"/>
              <w:numPr>
                <w:ilvl w:val="0"/>
                <w:numId w:val="0"/>
              </w:numPr>
              <w:ind w:leftChars="0"/>
              <w:rPr>
                <w:rFonts w:hint="default" w:ascii="宋体" w:hAnsi="宋体" w:eastAsia="宋体" w:cs="宋体"/>
                <w:color w:val="auto"/>
                <w:sz w:val="24"/>
                <w:highlight w:val="none"/>
                <w:lang w:val="en-US" w:eastAsia="zh-CN"/>
              </w:rPr>
            </w:pPr>
            <w:r>
              <w:rPr>
                <w:rFonts w:hint="eastAsia" w:ascii="宋体" w:hAnsi="宋体" w:eastAsia="宋体" w:cs="宋体"/>
                <w:color w:val="auto"/>
                <w:sz w:val="32"/>
                <w:szCs w:val="32"/>
                <w:highlight w:val="none"/>
              </w:rPr>
              <w:t>■</w:t>
            </w:r>
            <w:r>
              <w:rPr>
                <w:color w:val="auto"/>
                <w:sz w:val="24"/>
                <w:highlight w:val="none"/>
              </w:rPr>
              <w:t>有，具体情形：</w:t>
            </w:r>
            <w:r>
              <w:rPr>
                <w:rFonts w:hint="eastAsia" w:ascii="宋体" w:hAnsi="宋体" w:cs="宋体"/>
                <w:color w:val="auto"/>
                <w:sz w:val="24"/>
                <w:szCs w:val="24"/>
                <w:highlight w:val="none"/>
                <w:u w:val="single"/>
                <w:lang w:val="en-US" w:eastAsia="zh-CN"/>
              </w:rPr>
              <w:t>本项目预算金额为2000万元仅为一年服务期可能发生的费用，</w:t>
            </w:r>
            <w:r>
              <w:rPr>
                <w:rFonts w:hint="eastAsia" w:ascii="宋体" w:hAnsi="宋体" w:cs="宋体"/>
                <w:bCs/>
                <w:color w:val="auto"/>
                <w:sz w:val="24"/>
                <w:szCs w:val="24"/>
                <w:highlight w:val="none"/>
                <w:u w:val="single"/>
                <w:lang w:val="en-US" w:eastAsia="zh-CN"/>
              </w:rPr>
              <w:t>最高限价为34446元，投标报价按全费用单价报价。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0"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701" w:type="dxa"/>
            <w:vMerge w:val="restart"/>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w:t>
            </w:r>
          </w:p>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不适用</w:t>
            </w:r>
            <w:r>
              <w:rPr>
                <w:rFonts w:hint="eastAsia" w:ascii="宋体" w:hAnsi="宋体" w:cs="宋体"/>
                <w:color w:val="auto"/>
                <w:sz w:val="24"/>
                <w:highlight w:val="none"/>
                <w:lang w:eastAsia="zh-CN"/>
              </w:rPr>
              <w:t>）</w:t>
            </w:r>
          </w:p>
        </w:tc>
        <w:tc>
          <w:tcPr>
            <w:tcW w:w="7253" w:type="dxa"/>
            <w:vAlign w:val="center"/>
          </w:tcPr>
          <w:p>
            <w:pPr>
              <w:pStyle w:val="24"/>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磋商保证金金额：</w:t>
            </w:r>
          </w:p>
          <w:p>
            <w:pPr>
              <w:pStyle w:val="24"/>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01包：</w:t>
            </w:r>
            <w:r>
              <w:rPr>
                <w:rFonts w:hint="eastAsia"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w:t>
            </w:r>
          </w:p>
          <w:p>
            <w:pPr>
              <w:keepNext w:val="0"/>
              <w:keepLines w:val="0"/>
              <w:pageBreakBefore w:val="0"/>
              <w:widowControl w:val="0"/>
              <w:kinsoku/>
              <w:overflowPunct/>
              <w:topLinePunct w:val="0"/>
              <w:bidi w:val="0"/>
              <w:spacing w:line="240" w:lineRule="auto"/>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递交方式：</w:t>
            </w:r>
            <w:r>
              <w:rPr>
                <w:rFonts w:hint="eastAsia" w:ascii="宋体" w:hAnsi="宋体" w:cs="宋体"/>
                <w:color w:val="auto"/>
                <w:sz w:val="24"/>
                <w:szCs w:val="24"/>
                <w:highlight w:val="none"/>
                <w:u w:val="single"/>
                <w:lang w:val="en-US" w:eastAsia="zh-CN"/>
              </w:rPr>
              <w:t xml:space="preserve">  /  </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北京市政府采购信用担保试点工作专业担保机构：</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1中国投资担保有限公司</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地址:北京市海淀区西三环北路100号光耀东方写字楼9层</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联系人：边志伟                 手机：13810789199</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联系电话：010-88822573         传真：010-68437040/68472315</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电子邮箱：bianzw@guaranty.com.cn</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北京市政府采购项目增加的信用担保公司</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2北京首创投资担保有限责任公司</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地址:北京市西城区闹市口大街一号长安兴融中心四号楼三层</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联系人：杨阳   陈浩然      </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手机：13488752033  18910210850</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联系电话：010-58528750 /010-58528760  传真：010-58528757</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电子邮箱：yangyang@scdb.com.cn; chenhaoran@scdb.com.cn</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3北京中关村科技担保有限公司</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地址:北京市海淀区中关村南大街乙12号天作国际大厦A座28层</w:t>
            </w:r>
          </w:p>
          <w:p>
            <w:pPr>
              <w:keepNext w:val="0"/>
              <w:keepLines w:val="0"/>
              <w:pageBreakBefore w:val="0"/>
              <w:widowControl w:val="0"/>
              <w:kinsoku/>
              <w:wordWrap w:val="0"/>
              <w:overflowPunct/>
              <w:topLinePunct w:val="0"/>
              <w:autoSpaceDE/>
              <w:autoSpaceDN/>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联系人：李玉春                   手机：13910831169</w:t>
            </w:r>
          </w:p>
          <w:p>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SA"/>
              </w:rPr>
              <w:t>联系电话：010-59705232           传真：010-59705606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11.7.5</w:t>
            </w:r>
          </w:p>
        </w:tc>
        <w:tc>
          <w:tcPr>
            <w:tcW w:w="1701" w:type="dxa"/>
            <w:vMerge w:val="continue"/>
            <w:vAlign w:val="center"/>
          </w:tcPr>
          <w:p>
            <w:pPr>
              <w:jc w:val="center"/>
              <w:rPr>
                <w:rFonts w:hint="eastAsia" w:ascii="宋体" w:hAnsi="宋体" w:eastAsia="宋体" w:cs="宋体"/>
                <w:color w:val="auto"/>
                <w:sz w:val="24"/>
                <w:highlight w:val="none"/>
              </w:rPr>
            </w:pPr>
          </w:p>
        </w:tc>
        <w:tc>
          <w:tcPr>
            <w:tcW w:w="7253" w:type="dxa"/>
            <w:vAlign w:val="center"/>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磋商保证金不予退还的其他情形：</w:t>
            </w:r>
          </w:p>
          <w:p>
            <w:pPr>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无</w:t>
            </w:r>
          </w:p>
          <w:p>
            <w:pPr>
              <w:pStyle w:val="24"/>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有，具体情形：______</w:t>
            </w:r>
            <w:r>
              <w:rPr>
                <w:rFonts w:hint="eastAsia" w:hAnsi="宋体" w:cs="宋体"/>
                <w:color w:val="auto"/>
                <w:sz w:val="24"/>
                <w:highlight w:val="none"/>
                <w:u w:val="single"/>
                <w:lang w:val="en-US" w:eastAsia="zh-CN"/>
              </w:rPr>
              <w:t>/</w:t>
            </w:r>
            <w:r>
              <w:rPr>
                <w:rFonts w:hint="eastAsia" w:ascii="宋体" w:hAnsi="宋体" w:eastAsia="宋体" w:cs="宋体"/>
                <w:color w:val="auto"/>
                <w:sz w:val="24"/>
                <w:highlight w:val="none"/>
              </w:rPr>
              <w:t>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701"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响应有效期</w:t>
            </w:r>
          </w:p>
        </w:tc>
        <w:tc>
          <w:tcPr>
            <w:tcW w:w="7253" w:type="dxa"/>
            <w:vAlign w:val="center"/>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自提交响应文件的截止之日起算</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90 </w:t>
            </w:r>
            <w:r>
              <w:rPr>
                <w:rFonts w:hint="eastAsia" w:ascii="宋体" w:hAnsi="宋体" w:eastAsia="宋体" w:cs="宋体"/>
                <w:color w:val="auto"/>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1"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Ansi="宋体"/>
                <w:color w:val="auto"/>
                <w:sz w:val="24"/>
                <w:szCs w:val="24"/>
                <w:highlight w:val="none"/>
              </w:rPr>
              <w:t>17.1</w:t>
            </w:r>
          </w:p>
        </w:tc>
        <w:tc>
          <w:tcPr>
            <w:tcW w:w="1701" w:type="dxa"/>
            <w:vAlign w:val="center"/>
          </w:tcPr>
          <w:p>
            <w:pPr>
              <w:jc w:val="center"/>
              <w:rPr>
                <w:rFonts w:hint="eastAsia" w:ascii="宋体" w:hAnsi="宋体" w:eastAsia="宋体" w:cs="宋体"/>
                <w:color w:val="auto"/>
                <w:sz w:val="24"/>
                <w:highlight w:val="none"/>
              </w:rPr>
            </w:pPr>
            <w:r>
              <w:rPr>
                <w:rFonts w:hint="eastAsia" w:ascii="宋体" w:hAnsi="宋体"/>
                <w:color w:val="auto"/>
                <w:sz w:val="24"/>
                <w:highlight w:val="none"/>
              </w:rPr>
              <w:t>响应文件的解密与开启</w:t>
            </w:r>
          </w:p>
        </w:tc>
        <w:tc>
          <w:tcPr>
            <w:tcW w:w="7253" w:type="dxa"/>
            <w:vAlign w:val="center"/>
          </w:tcPr>
          <w:p>
            <w:pPr>
              <w:jc w:val="left"/>
              <w:rPr>
                <w:rFonts w:hint="eastAsia" w:ascii="宋体" w:hAnsi="宋体" w:eastAsia="宋体" w:cs="宋体"/>
                <w:color w:val="auto"/>
                <w:sz w:val="24"/>
                <w:highlight w:val="none"/>
              </w:rPr>
            </w:pPr>
            <w:r>
              <w:rPr>
                <w:rFonts w:ascii="宋体" w:hAnsi="宋体"/>
                <w:color w:val="auto"/>
                <w:sz w:val="24"/>
                <w:highlight w:val="none"/>
              </w:rPr>
              <w:t>采购人或采购代理机构将按</w:t>
            </w:r>
            <w:r>
              <w:rPr>
                <w:rFonts w:hint="eastAsia" w:ascii="宋体" w:hAnsi="宋体"/>
                <w:color w:val="auto"/>
                <w:sz w:val="24"/>
                <w:highlight w:val="none"/>
              </w:rPr>
              <w:t>竞争性</w:t>
            </w:r>
            <w:r>
              <w:rPr>
                <w:rFonts w:ascii="宋体" w:hAnsi="宋体"/>
                <w:color w:val="auto"/>
                <w:sz w:val="24"/>
                <w:highlight w:val="none"/>
              </w:rPr>
              <w:t>磋商文件的规定，在提交</w:t>
            </w:r>
            <w:r>
              <w:rPr>
                <w:rFonts w:hint="eastAsia" w:ascii="宋体" w:hAnsi="宋体"/>
                <w:color w:val="auto"/>
                <w:sz w:val="24"/>
                <w:highlight w:val="none"/>
              </w:rPr>
              <w:t>响应文件</w:t>
            </w:r>
            <w:r>
              <w:rPr>
                <w:rFonts w:ascii="宋体" w:hAnsi="宋体"/>
                <w:color w:val="auto"/>
                <w:sz w:val="24"/>
                <w:highlight w:val="none"/>
              </w:rPr>
              <w:t>截止时间的同一时间和</w:t>
            </w:r>
            <w:r>
              <w:rPr>
                <w:rFonts w:hint="eastAsia" w:ascii="宋体" w:hAnsi="宋体"/>
                <w:color w:val="auto"/>
                <w:sz w:val="24"/>
                <w:highlight w:val="none"/>
              </w:rPr>
              <w:t>竞争性</w:t>
            </w:r>
            <w:r>
              <w:rPr>
                <w:rFonts w:ascii="宋体" w:hAnsi="宋体"/>
                <w:color w:val="auto"/>
                <w:sz w:val="24"/>
                <w:highlight w:val="none"/>
              </w:rPr>
              <w:t>磋商文件预先确定的地点组织</w:t>
            </w:r>
            <w:r>
              <w:rPr>
                <w:rFonts w:hint="eastAsia" w:ascii="宋体" w:hAnsi="宋体"/>
                <w:color w:val="auto"/>
                <w:sz w:val="24"/>
                <w:highlight w:val="none"/>
              </w:rPr>
              <w:t>磋商</w:t>
            </w:r>
            <w:r>
              <w:rPr>
                <w:rFonts w:ascii="宋体" w:hAnsi="宋体"/>
                <w:color w:val="auto"/>
                <w:sz w:val="24"/>
                <w:highlight w:val="none"/>
              </w:rPr>
              <w:t>。</w:t>
            </w:r>
            <w:r>
              <w:rPr>
                <w:rFonts w:hint="eastAsia" w:ascii="宋体" w:hAnsi="宋体"/>
                <w:color w:val="auto"/>
                <w:sz w:val="24"/>
                <w:highlight w:val="none"/>
              </w:rPr>
              <w:t>磋商时邀请所有供应商授权代表、采购人代表参加。供应商法定代表人或其授权代表参加磋商时，应当在提交响应文件截止前单独提交法定代表人声明或法定代表人授权委托书原件，同时出示本人身份证明</w:t>
            </w:r>
            <w:r>
              <w:rPr>
                <w:rFonts w:hint="eastAsia" w:ascii="宋体" w:hAnsi="宋体"/>
                <w:color w:val="auto"/>
                <w:sz w:val="24"/>
                <w:highlight w:val="none"/>
                <w:lang w:eastAsia="zh-CN"/>
              </w:rPr>
              <w:t>，</w:t>
            </w:r>
            <w:r>
              <w:rPr>
                <w:rFonts w:hint="eastAsia" w:ascii="宋体" w:hAnsi="宋体"/>
                <w:b/>
                <w:bCs/>
                <w:color w:val="auto"/>
                <w:sz w:val="24"/>
                <w:highlight w:val="none"/>
                <w:lang w:val="en-US" w:eastAsia="zh-CN"/>
              </w:rPr>
              <w:t>携带可登陆供应商入口的电脑及</w:t>
            </w:r>
            <w:r>
              <w:rPr>
                <w:rFonts w:hint="eastAsia"/>
                <w:b/>
                <w:bCs/>
                <w:color w:val="auto"/>
                <w:sz w:val="24"/>
                <w:highlight w:val="none"/>
              </w:rPr>
              <w:t>携带加密电子投标文件相对应的移动数字CA证书</w:t>
            </w:r>
            <w:r>
              <w:rPr>
                <w:rFonts w:hint="eastAsia" w:ascii="宋体" w:hAnsi="宋体"/>
                <w:b/>
                <w:bCs/>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p>
        </w:tc>
        <w:tc>
          <w:tcPr>
            <w:tcW w:w="1701"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成交供应商的确认</w:t>
            </w:r>
          </w:p>
        </w:tc>
        <w:tc>
          <w:tcPr>
            <w:tcW w:w="7253" w:type="dxa"/>
            <w:vAlign w:val="center"/>
          </w:tcPr>
          <w:p>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采购人是否授权磋商小组直接确定成交供应商：</w:t>
            </w:r>
          </w:p>
          <w:p>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否</w:t>
            </w:r>
          </w:p>
          <w:p>
            <w:pPr>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是</w:t>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成交候选人并列的，按照以下方式确定成交供应商：</w:t>
            </w:r>
            <w:r>
              <w:rPr>
                <w:rFonts w:hint="eastAsia" w:ascii="宋体" w:hAnsi="宋体" w:eastAsia="宋体" w:cs="宋体"/>
                <w:color w:val="auto"/>
                <w:sz w:val="24"/>
                <w:highlight w:val="none"/>
                <w:u w:val="single"/>
              </w:rPr>
              <w:t>按照评审得分由高到低顺序推荐成交候选人的排名顺序。评审得分相同的，按照最后报价由低到高的顺序推荐。评审得分且最后报价相同的，按照技术指标优劣顺序推荐</w:t>
            </w:r>
            <w:r>
              <w:rPr>
                <w:rFonts w:hint="eastAsia" w:ascii="宋体" w:hAnsi="宋体" w:eastAsia="宋体" w:cs="宋体"/>
                <w:color w:val="auto"/>
                <w:sz w:val="24"/>
                <w:highlight w:val="none"/>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w:t>
            </w:r>
          </w:p>
        </w:tc>
        <w:tc>
          <w:tcPr>
            <w:tcW w:w="1701"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分包</w:t>
            </w:r>
          </w:p>
        </w:tc>
        <w:tc>
          <w:tcPr>
            <w:tcW w:w="7253" w:type="dxa"/>
            <w:vAlign w:val="center"/>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本项目是否允许分包： </w:t>
            </w:r>
          </w:p>
          <w:p>
            <w:pPr>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不允许</w:t>
            </w:r>
          </w:p>
          <w:p>
            <w:pPr>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允许，具体要求：</w:t>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（1）可以分包履行的具体内容：</w:t>
            </w:r>
            <w:r>
              <w:rPr>
                <w:rFonts w:hint="eastAsia" w:ascii="宋体" w:hAnsi="宋体" w:eastAsia="宋体" w:cs="宋体"/>
                <w:color w:val="auto"/>
                <w:sz w:val="24"/>
                <w:highlight w:val="none"/>
                <w:u w:val="single"/>
              </w:rPr>
              <w:t>以实际发生为准</w:t>
            </w:r>
            <w:r>
              <w:rPr>
                <w:rFonts w:hint="eastAsia" w:ascii="宋体" w:hAnsi="宋体" w:eastAsia="宋体" w:cs="宋体"/>
                <w:color w:val="auto"/>
                <w:sz w:val="24"/>
                <w:highlight w:val="none"/>
              </w:rPr>
              <w:t>；</w:t>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（2）允许分包的金额或者比例：</w:t>
            </w:r>
            <w:r>
              <w:rPr>
                <w:rFonts w:hint="eastAsia" w:ascii="宋体" w:hAnsi="宋体" w:eastAsia="宋体" w:cs="宋体"/>
                <w:color w:val="auto"/>
                <w:sz w:val="24"/>
                <w:highlight w:val="none"/>
                <w:u w:val="single"/>
                <w:lang w:val="en-US" w:eastAsia="zh-CN"/>
              </w:rPr>
              <w:t>要求获得采购合同的大中型供应商将采购项目中不低于采购预算40%的部分分包给一家或者多家小微企业</w:t>
            </w:r>
            <w:r>
              <w:rPr>
                <w:rFonts w:hint="eastAsia" w:ascii="宋体" w:hAnsi="宋体" w:eastAsia="宋体" w:cs="宋体"/>
                <w:color w:val="auto"/>
                <w:sz w:val="24"/>
                <w:highlight w:val="none"/>
              </w:rPr>
              <w:t>；</w:t>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（3）其他要求：___</w:t>
            </w:r>
            <w:r>
              <w:rPr>
                <w:rFonts w:hint="eastAsia" w:ascii="宋体" w:hAnsi="宋体" w:cs="宋体"/>
                <w:color w:val="auto"/>
                <w:sz w:val="24"/>
                <w:highlight w:val="none"/>
                <w:u w:val="single"/>
                <w:lang w:val="en-US" w:eastAsia="zh-CN"/>
              </w:rPr>
              <w:t>/</w:t>
            </w:r>
            <w:r>
              <w:rPr>
                <w:rFonts w:hint="eastAsia" w:ascii="宋体" w:hAnsi="宋体" w:eastAsia="宋体" w:cs="宋体"/>
                <w:color w:val="auto"/>
                <w:sz w:val="24"/>
                <w:highlight w:val="none"/>
              </w:rPr>
              <w:t>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24.1.1</w:t>
            </w:r>
          </w:p>
        </w:tc>
        <w:tc>
          <w:tcPr>
            <w:tcW w:w="1701"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询问</w:t>
            </w:r>
          </w:p>
        </w:tc>
        <w:tc>
          <w:tcPr>
            <w:tcW w:w="7253" w:type="dxa"/>
            <w:vAlign w:val="center"/>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询问送达形式：</w:t>
            </w:r>
            <w:r>
              <w:rPr>
                <w:rFonts w:hint="eastAsia" w:ascii="宋体" w:hAnsi="宋体" w:eastAsia="宋体" w:cs="宋体"/>
                <w:color w:val="auto"/>
                <w:sz w:val="24"/>
                <w:szCs w:val="24"/>
                <w:highlight w:val="none"/>
              </w:rPr>
              <w:t>请以书面形式送达</w:t>
            </w:r>
            <w:r>
              <w:rPr>
                <w:rFonts w:hint="eastAsia" w:ascii="宋体" w:hAnsi="宋体" w:eastAsia="宋体" w:cs="宋体"/>
                <w:color w:val="auto"/>
                <w:sz w:val="24"/>
                <w:szCs w:val="24"/>
                <w:highlight w:val="none"/>
                <w:lang w:eastAsia="zh-CN"/>
              </w:rPr>
              <w:t>至北京嘉诚晟泰工程管理咨询有限公司</w:t>
            </w:r>
            <w:r>
              <w:rPr>
                <w:rFonts w:hint="eastAsia" w:ascii="宋体" w:hAnsi="宋体" w:eastAsia="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w:t>
            </w:r>
          </w:p>
        </w:tc>
        <w:tc>
          <w:tcPr>
            <w:tcW w:w="1701"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7253" w:type="dxa"/>
            <w:vAlign w:val="center"/>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接收询问和质疑的联系方式</w:t>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联系部门：</w:t>
            </w:r>
            <w:r>
              <w:rPr>
                <w:rFonts w:hint="eastAsia" w:ascii="宋体" w:hAnsi="宋体" w:eastAsia="宋体" w:cs="宋体"/>
                <w:color w:val="auto"/>
                <w:sz w:val="24"/>
                <w:szCs w:val="24"/>
                <w:highlight w:val="none"/>
                <w:lang w:eastAsia="zh-CN"/>
              </w:rPr>
              <w:t>北京嘉诚晟泰工程管理咨询有限公司</w:t>
            </w:r>
            <w:r>
              <w:rPr>
                <w:rFonts w:hint="eastAsia" w:ascii="宋体" w:hAnsi="宋体" w:eastAsia="宋体" w:cs="宋体"/>
                <w:color w:val="auto"/>
                <w:sz w:val="24"/>
                <w:highlight w:val="none"/>
              </w:rPr>
              <w:t>；</w:t>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cs="宋体"/>
                <w:color w:val="auto"/>
                <w:sz w:val="24"/>
                <w:highlight w:val="none"/>
                <w:lang w:val="en-US" w:eastAsia="zh-CN"/>
              </w:rPr>
              <w:t>张春香</w:t>
            </w:r>
            <w:r>
              <w:rPr>
                <w:rFonts w:hint="eastAsia" w:ascii="宋体" w:hAnsi="宋体" w:eastAsia="宋体" w:cs="宋体"/>
                <w:color w:val="auto"/>
                <w:sz w:val="24"/>
                <w:highlight w:val="none"/>
                <w:lang w:val="en-US" w:eastAsia="zh-CN"/>
              </w:rPr>
              <w:t>；010-60418509</w:t>
            </w:r>
            <w:r>
              <w:rPr>
                <w:rFonts w:hint="eastAsia" w:ascii="宋体" w:hAnsi="宋体" w:eastAsia="宋体" w:cs="宋体"/>
                <w:color w:val="auto"/>
                <w:sz w:val="24"/>
                <w:highlight w:val="none"/>
              </w:rPr>
              <w:t>；</w:t>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r>
              <w:rPr>
                <w:rFonts w:hint="eastAsia" w:ascii="宋体" w:hAnsi="宋体" w:eastAsia="宋体" w:cs="宋体"/>
                <w:color w:val="auto"/>
                <w:sz w:val="24"/>
                <w:szCs w:val="24"/>
                <w:highlight w:val="none"/>
                <w:lang w:eastAsia="zh-CN"/>
              </w:rPr>
              <w:t>北京市顺义区顺平辅线181号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1" w:hRule="atLeast"/>
          <w:jc w:val="center"/>
        </w:trPr>
        <w:tc>
          <w:tcPr>
            <w:tcW w:w="988" w:type="dxa"/>
            <w:vAlign w:val="center"/>
          </w:tcPr>
          <w:p>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701" w:type="dxa"/>
            <w:vAlign w:val="center"/>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代理费</w:t>
            </w:r>
          </w:p>
        </w:tc>
        <w:tc>
          <w:tcPr>
            <w:tcW w:w="7253" w:type="dxa"/>
            <w:vAlign w:val="center"/>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收费对象：</w:t>
            </w:r>
          </w:p>
          <w:p>
            <w:pPr>
              <w:jc w:val="left"/>
              <w:rPr>
                <w:rFonts w:hint="eastAsia" w:ascii="宋体" w:hAnsi="宋体" w:eastAsia="宋体" w:cs="宋体"/>
                <w:color w:val="auto"/>
                <w:sz w:val="24"/>
                <w:highlight w:val="none"/>
              </w:rPr>
            </w:pPr>
            <w:r>
              <w:rPr>
                <w:rFonts w:hint="eastAsia" w:ascii="宋体" w:hAnsi="宋体" w:cs="宋体"/>
                <w:color w:val="auto"/>
                <w:highlight w:val="none"/>
                <w:lang w:eastAsia="zh-CN"/>
              </w:rPr>
              <w:t>□</w:t>
            </w:r>
            <w:r>
              <w:rPr>
                <w:rFonts w:hint="eastAsia" w:ascii="宋体" w:hAnsi="宋体" w:eastAsia="宋体" w:cs="宋体"/>
                <w:color w:val="auto"/>
                <w:sz w:val="24"/>
                <w:highlight w:val="none"/>
              </w:rPr>
              <w:t>采购人</w:t>
            </w:r>
          </w:p>
          <w:p>
            <w:pPr>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成交供应商</w:t>
            </w:r>
          </w:p>
          <w:p>
            <w:pPr>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收费标准：依据“国家发展改革委《关于进一步放开建设项目专业服务价格的通知》（发改价格〔2015〕299号）”文件规定计取</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由中标单位在领取中标通知书时支付。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宋体" w:hAnsi="宋体" w:eastAsia="宋体" w:cs="宋体"/>
                <w:color w:val="auto"/>
                <w:kern w:val="2"/>
                <w:sz w:val="24"/>
                <w:szCs w:val="24"/>
                <w:highlight w:val="none"/>
                <w:lang w:val="en-US" w:eastAsia="zh-CN" w:bidi="ar-SA"/>
              </w:rPr>
            </w:pPr>
            <w:r>
              <w:rPr>
                <w:rFonts w:hint="eastAsia" w:hAnsi="宋体" w:cs="宋体"/>
                <w:color w:val="auto"/>
                <w:sz w:val="24"/>
                <w:szCs w:val="24"/>
                <w:highlight w:val="none"/>
                <w:lang w:val="en-US" w:eastAsia="zh-CN"/>
              </w:rPr>
              <w:t>26</w:t>
            </w:r>
          </w:p>
        </w:tc>
        <w:tc>
          <w:tcPr>
            <w:tcW w:w="1701" w:type="dxa"/>
            <w:vAlign w:val="center"/>
          </w:tcPr>
          <w:p>
            <w:pPr>
              <w:pStyle w:val="256"/>
              <w:spacing w:before="88" w:line="240" w:lineRule="auto"/>
              <w:ind w:right="1" w:rightChars="0"/>
              <w:jc w:val="center"/>
              <w:rPr>
                <w:rFonts w:hint="eastAsia" w:ascii="宋体" w:hAnsi="宋体" w:eastAsia="宋体" w:cs="宋体"/>
                <w:color w:val="auto"/>
                <w:kern w:val="0"/>
                <w:sz w:val="24"/>
                <w:szCs w:val="22"/>
                <w:highlight w:val="none"/>
                <w:lang w:val="en-US" w:eastAsia="en-US" w:bidi="ar-SA"/>
              </w:rPr>
            </w:pPr>
            <w:r>
              <w:rPr>
                <w:rFonts w:hint="eastAsia" w:ascii="宋体" w:hAnsi="宋体" w:eastAsia="宋体" w:cs="宋体"/>
                <w:color w:val="auto"/>
                <w:kern w:val="0"/>
                <w:sz w:val="24"/>
                <w:szCs w:val="24"/>
                <w:highlight w:val="none"/>
                <w:lang w:val="en-US" w:eastAsia="zh-CN" w:bidi="ar-SA"/>
              </w:rPr>
              <w:t>质量标准</w:t>
            </w:r>
          </w:p>
        </w:tc>
        <w:tc>
          <w:tcPr>
            <w:tcW w:w="7253" w:type="dxa"/>
            <w:vAlign w:val="center"/>
          </w:tcPr>
          <w:p>
            <w:pPr>
              <w:pStyle w:val="256"/>
              <w:spacing w:before="88" w:line="240" w:lineRule="auto"/>
              <w:ind w:left="102" w:leftChars="0" w:right="0" w:rightChars="0"/>
              <w:jc w:val="left"/>
              <w:rPr>
                <w:rFonts w:hint="eastAsia" w:ascii="宋体" w:hAnsi="宋体" w:eastAsia="宋体" w:cs="宋体"/>
                <w:color w:val="auto"/>
                <w:kern w:val="0"/>
                <w:sz w:val="24"/>
                <w:szCs w:val="22"/>
                <w:highlight w:val="none"/>
                <w:lang w:val="en-US" w:eastAsia="en-US" w:bidi="ar-SA"/>
              </w:rPr>
            </w:pPr>
            <w:r>
              <w:rPr>
                <w:rFonts w:hint="eastAsia" w:ascii="宋体" w:hAnsi="宋体" w:eastAsia="宋体" w:cs="宋体"/>
                <w:color w:val="auto"/>
                <w:sz w:val="24"/>
                <w:szCs w:val="24"/>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27</w:t>
            </w:r>
          </w:p>
        </w:tc>
        <w:tc>
          <w:tcPr>
            <w:tcW w:w="1701" w:type="dxa"/>
            <w:vAlign w:val="center"/>
          </w:tcPr>
          <w:p>
            <w:pPr>
              <w:pStyle w:val="256"/>
              <w:spacing w:before="88" w:line="240" w:lineRule="auto"/>
              <w:ind w:right="1" w:rightChars="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施工现场安全生产标准化管理目标等级</w:t>
            </w:r>
          </w:p>
        </w:tc>
        <w:tc>
          <w:tcPr>
            <w:tcW w:w="7253" w:type="dxa"/>
            <w:vAlign w:val="center"/>
          </w:tcPr>
          <w:p>
            <w:pPr>
              <w:pStyle w:val="256"/>
              <w:spacing w:before="88" w:line="240" w:lineRule="auto"/>
              <w:ind w:left="102" w:leftChars="0" w:right="0" w:rightChars="0"/>
              <w:jc w:val="lef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88" w:type="dxa"/>
            <w:vAlign w:val="center"/>
          </w:tcPr>
          <w:p>
            <w:pPr>
              <w:pStyle w:val="24"/>
              <w:adjustRightInd w:val="0"/>
              <w:snapToGrid w:val="0"/>
              <w:jc w:val="center"/>
              <w:rPr>
                <w:rFonts w:hint="default" w:ascii="宋体" w:hAnsi="宋体" w:eastAsia="宋体" w:cs="宋体"/>
                <w:color w:val="auto"/>
                <w:kern w:val="2"/>
                <w:sz w:val="24"/>
                <w:szCs w:val="24"/>
                <w:highlight w:val="none"/>
                <w:lang w:val="en-US" w:eastAsia="zh-CN" w:bidi="ar-SA"/>
              </w:rPr>
            </w:pPr>
            <w:r>
              <w:rPr>
                <w:rFonts w:hint="eastAsia" w:hAnsi="宋体" w:cs="宋体"/>
                <w:color w:val="auto"/>
                <w:sz w:val="24"/>
                <w:highlight w:val="none"/>
                <w:lang w:val="en-US" w:eastAsia="zh-CN"/>
              </w:rPr>
              <w:t>28</w:t>
            </w:r>
          </w:p>
        </w:tc>
        <w:tc>
          <w:tcPr>
            <w:tcW w:w="1701" w:type="dxa"/>
            <w:vAlign w:val="center"/>
          </w:tcPr>
          <w:p>
            <w:pPr>
              <w:pStyle w:val="256"/>
              <w:spacing w:before="61" w:line="240" w:lineRule="auto"/>
              <w:ind w:left="102" w:leftChars="0" w:right="0" w:rightChars="0"/>
              <w:jc w:val="center"/>
              <w:rPr>
                <w:rFonts w:hint="eastAsia" w:ascii="宋体" w:hAnsi="宋体" w:eastAsia="宋体" w:cs="宋体"/>
                <w:color w:val="auto"/>
                <w:kern w:val="0"/>
                <w:sz w:val="24"/>
                <w:szCs w:val="22"/>
                <w:highlight w:val="none"/>
                <w:lang w:val="en-US" w:eastAsia="en-US" w:bidi="ar-SA"/>
              </w:rPr>
            </w:pPr>
            <w:r>
              <w:rPr>
                <w:rFonts w:hint="eastAsia" w:ascii="宋体" w:hAnsi="宋体" w:eastAsia="宋体" w:cs="宋体"/>
                <w:color w:val="auto"/>
                <w:sz w:val="24"/>
                <w:szCs w:val="24"/>
                <w:highlight w:val="none"/>
              </w:rPr>
              <w:t>要求工期</w:t>
            </w:r>
          </w:p>
        </w:tc>
        <w:tc>
          <w:tcPr>
            <w:tcW w:w="7253" w:type="dxa"/>
            <w:vAlign w:val="center"/>
          </w:tcPr>
          <w:p>
            <w:pPr>
              <w:pStyle w:val="29"/>
              <w:rPr>
                <w:rFonts w:hint="eastAsia" w:ascii="宋体" w:hAnsi="宋体" w:eastAsia="宋体" w:cs="宋体"/>
                <w:color w:val="auto"/>
                <w:kern w:val="0"/>
                <w:sz w:val="24"/>
                <w:szCs w:val="20"/>
                <w:highlight w:val="none"/>
                <w:lang w:val="en-US" w:eastAsia="zh-CN" w:bidi="ar-SA"/>
              </w:rPr>
            </w:pPr>
            <w:r>
              <w:rPr>
                <w:rFonts w:hint="eastAsia"/>
                <w:color w:val="auto"/>
                <w:sz w:val="24"/>
                <w:highlight w:val="none"/>
                <w:lang w:eastAsia="zh-CN"/>
              </w:rPr>
              <w:t>自合同签订之日起一年（具体</w:t>
            </w:r>
            <w:r>
              <w:rPr>
                <w:rFonts w:hint="eastAsia"/>
                <w:color w:val="auto"/>
                <w:sz w:val="24"/>
                <w:highlight w:val="none"/>
                <w:lang w:val="en-US" w:eastAsia="zh-CN"/>
              </w:rPr>
              <w:t>以</w:t>
            </w:r>
            <w:r>
              <w:rPr>
                <w:rFonts w:hint="eastAsia"/>
                <w:color w:val="auto"/>
                <w:sz w:val="24"/>
                <w:highlight w:val="none"/>
                <w:lang w:eastAsia="zh-CN"/>
              </w:rPr>
              <w:t>签订合同为准）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988" w:type="dxa"/>
            <w:vAlign w:val="center"/>
          </w:tcPr>
          <w:p>
            <w:pPr>
              <w:pStyle w:val="24"/>
              <w:adjustRightInd w:val="0"/>
              <w:snapToGrid w:val="0"/>
              <w:jc w:val="center"/>
              <w:rPr>
                <w:rFonts w:hint="default" w:ascii="宋体" w:hAnsi="宋体" w:eastAsia="宋体" w:cs="宋体"/>
                <w:color w:val="auto"/>
                <w:kern w:val="2"/>
                <w:sz w:val="24"/>
                <w:szCs w:val="24"/>
                <w:highlight w:val="none"/>
                <w:lang w:val="en-US" w:eastAsia="zh-CN" w:bidi="ar-SA"/>
              </w:rPr>
            </w:pPr>
            <w:r>
              <w:rPr>
                <w:rFonts w:hint="eastAsia" w:hAnsi="宋体" w:cs="宋体"/>
                <w:color w:val="auto"/>
                <w:sz w:val="24"/>
                <w:szCs w:val="24"/>
                <w:highlight w:val="none"/>
                <w:lang w:val="en-US" w:eastAsia="zh-CN"/>
              </w:rPr>
              <w:t>29</w:t>
            </w:r>
          </w:p>
        </w:tc>
        <w:tc>
          <w:tcPr>
            <w:tcW w:w="1701" w:type="dxa"/>
            <w:vAlign w:val="center"/>
          </w:tcPr>
          <w:p>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澄清截止日期</w:t>
            </w:r>
          </w:p>
        </w:tc>
        <w:tc>
          <w:tcPr>
            <w:tcW w:w="7253" w:type="dxa"/>
            <w:vAlign w:val="center"/>
          </w:tcPr>
          <w:p>
            <w:pPr>
              <w:pStyle w:val="29"/>
              <w:rPr>
                <w:rFonts w:hint="eastAsia" w:ascii="宋体" w:hAnsi="宋体" w:eastAsia="宋体" w:cs="宋体"/>
                <w:color w:val="auto"/>
                <w:kern w:val="0"/>
                <w:sz w:val="24"/>
                <w:szCs w:val="20"/>
                <w:highlight w:val="none"/>
                <w:lang w:val="en-US" w:eastAsia="zh-CN" w:bidi="ar-SA"/>
              </w:rPr>
            </w:pPr>
            <w:r>
              <w:rPr>
                <w:rFonts w:hint="eastAsia" w:ascii="宋体" w:hAnsi="宋体" w:eastAsia="宋体" w:cs="宋体"/>
                <w:color w:val="auto"/>
                <w:sz w:val="24"/>
                <w:szCs w:val="24"/>
                <w:highlight w:val="none"/>
              </w:rPr>
              <w:t>磋商文件递交截止日期前5日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988" w:type="dxa"/>
            <w:vAlign w:val="center"/>
          </w:tcPr>
          <w:p>
            <w:pPr>
              <w:pStyle w:val="24"/>
              <w:adjustRightInd w:val="0"/>
              <w:snapToGrid w:val="0"/>
              <w:jc w:val="center"/>
              <w:rPr>
                <w:rFonts w:hint="default" w:ascii="宋体" w:hAnsi="宋体" w:eastAsia="宋体" w:cs="宋体"/>
                <w:color w:val="auto"/>
                <w:kern w:val="2"/>
                <w:sz w:val="24"/>
                <w:szCs w:val="24"/>
                <w:highlight w:val="none"/>
                <w:lang w:val="en-US" w:eastAsia="zh-CN" w:bidi="ar-SA"/>
              </w:rPr>
            </w:pPr>
            <w:r>
              <w:rPr>
                <w:rFonts w:hint="eastAsia" w:hAnsi="宋体" w:cs="宋体"/>
                <w:color w:val="auto"/>
                <w:sz w:val="24"/>
                <w:szCs w:val="24"/>
                <w:highlight w:val="none"/>
                <w:lang w:val="en-US" w:eastAsia="zh-CN"/>
              </w:rPr>
              <w:t>30</w:t>
            </w:r>
          </w:p>
        </w:tc>
        <w:tc>
          <w:tcPr>
            <w:tcW w:w="1701" w:type="dxa"/>
            <w:vAlign w:val="center"/>
          </w:tcPr>
          <w:p>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响应文件数量</w:t>
            </w:r>
          </w:p>
        </w:tc>
        <w:tc>
          <w:tcPr>
            <w:tcW w:w="7253" w:type="dxa"/>
            <w:vAlign w:val="center"/>
          </w:tcPr>
          <w:p>
            <w:pPr>
              <w:pStyle w:val="29"/>
              <w:rPr>
                <w:rFonts w:hint="default" w:ascii="宋体" w:hAnsi="宋体" w:eastAsia="宋体" w:cs="宋体"/>
                <w:color w:val="auto"/>
                <w:kern w:val="0"/>
                <w:sz w:val="24"/>
                <w:szCs w:val="20"/>
                <w:highlight w:val="none"/>
                <w:lang w:val="en-US" w:eastAsia="zh-CN" w:bidi="ar-SA"/>
              </w:rPr>
            </w:pPr>
            <w:r>
              <w:rPr>
                <w:rFonts w:hint="eastAsia" w:hAnsi="宋体" w:cs="宋体"/>
                <w:b/>
                <w:bCs/>
                <w:color w:val="auto"/>
                <w:sz w:val="24"/>
                <w:szCs w:val="24"/>
                <w:highlight w:val="none"/>
                <w:lang w:val="en-US" w:eastAsia="zh-CN"/>
              </w:rPr>
              <w:t>响应文件</w:t>
            </w:r>
            <w:r>
              <w:rPr>
                <w:rFonts w:hint="eastAsia" w:ascii="宋体" w:hAnsi="宋体" w:eastAsia="宋体" w:cs="宋体"/>
                <w:b/>
                <w:bCs/>
                <w:color w:val="auto"/>
                <w:sz w:val="24"/>
                <w:szCs w:val="24"/>
                <w:highlight w:val="none"/>
              </w:rPr>
              <w:t>电子</w:t>
            </w:r>
            <w:r>
              <w:rPr>
                <w:rFonts w:hint="eastAsia" w:hAnsi="宋体" w:cs="宋体"/>
                <w:b/>
                <w:bCs/>
                <w:color w:val="auto"/>
                <w:sz w:val="24"/>
                <w:szCs w:val="24"/>
                <w:highlight w:val="none"/>
                <w:lang w:val="en-US" w:eastAsia="zh-CN"/>
              </w:rPr>
              <w:t>文档</w:t>
            </w:r>
            <w:r>
              <w:rPr>
                <w:rFonts w:hint="eastAsia" w:ascii="宋体" w:hAnsi="宋体" w:eastAsia="宋体" w:cs="宋体"/>
                <w:b/>
                <w:bCs/>
                <w:color w:val="auto"/>
                <w:sz w:val="24"/>
                <w:szCs w:val="24"/>
                <w:highlight w:val="none"/>
              </w:rPr>
              <w:t>一份</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U盘</w:t>
            </w:r>
            <w:r>
              <w:rPr>
                <w:rFonts w:hint="eastAsia" w:hAnsi="宋体" w:cs="宋体"/>
                <w:b/>
                <w:bCs/>
                <w:color w:val="auto"/>
                <w:sz w:val="24"/>
                <w:szCs w:val="24"/>
                <w:highlight w:val="none"/>
                <w:lang w:val="en-US" w:eastAsia="zh-CN"/>
              </w:rPr>
              <w:t>、word</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纸质版文件</w:t>
            </w:r>
            <w:r>
              <w:rPr>
                <w:rFonts w:hint="eastAsia"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份(其中正本一份，副本</w:t>
            </w:r>
            <w:r>
              <w:rPr>
                <w:rFonts w:hint="eastAsia"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份。</w:t>
            </w:r>
            <w:r>
              <w:rPr>
                <w:rFonts w:hint="eastAsia" w:ascii="宋体" w:hAnsi="宋体" w:eastAsia="宋体" w:cs="宋体"/>
                <w:b/>
                <w:bCs/>
                <w:color w:val="auto"/>
                <w:sz w:val="24"/>
                <w:szCs w:val="24"/>
                <w:highlight w:val="none"/>
              </w:rPr>
              <w:t>纸质文件采用左侧胶装方式装订成一册，装订应牢固、不易拆散和换页，不得采用活页装订，双面打印</w:t>
            </w:r>
            <w:r>
              <w:rPr>
                <w:rFonts w:hint="eastAsia" w:hAnsi="宋体" w:cs="宋体"/>
                <w:b/>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942" w:type="dxa"/>
            <w:gridSpan w:val="3"/>
            <w:vAlign w:val="center"/>
          </w:tcPr>
          <w:p>
            <w:pPr>
              <w:shd w:val="clear"/>
              <w:jc w:val="left"/>
              <w:rPr>
                <w:rFonts w:hint="eastAsia" w:ascii="宋体" w:hAnsi="宋体" w:eastAsia="宋体" w:cs="宋体"/>
                <w:color w:val="auto"/>
                <w:highlight w:val="none"/>
              </w:rPr>
            </w:pPr>
            <w:r>
              <w:rPr>
                <w:rFonts w:hint="eastAsia" w:ascii="宋体" w:hAnsi="宋体" w:eastAsia="宋体" w:cs="宋体"/>
                <w:b/>
                <w:bCs/>
                <w:color w:val="auto"/>
                <w:sz w:val="24"/>
                <w:highlight w:val="none"/>
              </w:rPr>
              <w:t>备注：本项目需要提供纸质投标文件，具体要求：</w:t>
            </w:r>
          </w:p>
          <w:p>
            <w:pPr>
              <w:pStyle w:val="44"/>
              <w:numPr>
                <w:ilvl w:val="0"/>
                <w:numId w:val="10"/>
              </w:numPr>
              <w:shd w:val="clear"/>
              <w:spacing w:line="24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纸质版正本和副本封面右上角需注明“正本”、“副本”字样；</w:t>
            </w:r>
          </w:p>
          <w:p>
            <w:pPr>
              <w:pStyle w:val="44"/>
              <w:numPr>
                <w:ilvl w:val="0"/>
                <w:numId w:val="10"/>
              </w:numPr>
              <w:shd w:val="clear"/>
              <w:spacing w:line="24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副本可为签字盖章后的正本的复印件</w:t>
            </w:r>
          </w:p>
          <w:p>
            <w:pPr>
              <w:pStyle w:val="44"/>
              <w:shd w:val="clear"/>
              <w:spacing w:line="240" w:lineRule="auto"/>
              <w:ind w:left="0" w:leftChars="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、密封：</w:t>
            </w:r>
          </w:p>
          <w:p>
            <w:pPr>
              <w:pStyle w:val="256"/>
              <w:spacing w:line="364" w:lineRule="auto"/>
              <w:ind w:left="755" w:right="51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项目名称：详见</w:t>
            </w:r>
            <w:r>
              <w:rPr>
                <w:rFonts w:hint="eastAsia" w:ascii="宋体" w:hAnsi="宋体" w:cs="宋体"/>
                <w:b/>
                <w:bCs/>
                <w:color w:val="auto"/>
                <w:sz w:val="24"/>
                <w:highlight w:val="none"/>
                <w:lang w:val="en-US" w:eastAsia="zh-CN" w:bidi="ar"/>
              </w:rPr>
              <w:t>采购</w:t>
            </w:r>
            <w:r>
              <w:rPr>
                <w:rFonts w:hint="eastAsia" w:ascii="宋体" w:hAnsi="宋体" w:eastAsia="宋体" w:cs="宋体"/>
                <w:color w:val="auto"/>
                <w:sz w:val="24"/>
                <w:szCs w:val="24"/>
                <w:highlight w:val="none"/>
              </w:rPr>
              <w:t>邀请。</w:t>
            </w:r>
          </w:p>
          <w:p>
            <w:pPr>
              <w:pStyle w:val="256"/>
              <w:spacing w:line="364" w:lineRule="auto"/>
              <w:ind w:left="755" w:right="51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项目编号：详见</w:t>
            </w:r>
            <w:r>
              <w:rPr>
                <w:rFonts w:hint="eastAsia" w:ascii="宋体" w:hAnsi="宋体" w:cs="宋体"/>
                <w:b/>
                <w:bCs/>
                <w:color w:val="auto"/>
                <w:sz w:val="24"/>
                <w:highlight w:val="none"/>
                <w:lang w:val="en-US" w:eastAsia="zh-CN" w:bidi="ar"/>
              </w:rPr>
              <w:t>采购</w:t>
            </w:r>
            <w:r>
              <w:rPr>
                <w:rFonts w:hint="eastAsia" w:ascii="宋体" w:hAnsi="宋体" w:eastAsia="宋体" w:cs="宋体"/>
                <w:color w:val="auto"/>
                <w:sz w:val="24"/>
                <w:szCs w:val="24"/>
                <w:highlight w:val="none"/>
              </w:rPr>
              <w:t>邀请。</w:t>
            </w:r>
          </w:p>
          <w:p>
            <w:pPr>
              <w:pStyle w:val="256"/>
              <w:spacing w:line="364" w:lineRule="auto"/>
              <w:ind w:left="755" w:right="4470"/>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开启</w:t>
            </w:r>
            <w:r>
              <w:rPr>
                <w:rFonts w:hint="eastAsia" w:ascii="宋体" w:hAnsi="宋体" w:eastAsia="宋体" w:cs="宋体"/>
                <w:color w:val="auto"/>
                <w:sz w:val="24"/>
                <w:szCs w:val="24"/>
                <w:highlight w:val="none"/>
              </w:rPr>
              <w:t>日期和时间：详见</w:t>
            </w:r>
            <w:r>
              <w:rPr>
                <w:rFonts w:hint="eastAsia" w:ascii="宋体" w:hAnsi="宋体" w:cs="宋体"/>
                <w:b/>
                <w:bCs/>
                <w:color w:val="auto"/>
                <w:sz w:val="24"/>
                <w:highlight w:val="none"/>
                <w:lang w:val="en-US" w:eastAsia="zh-CN" w:bidi="ar"/>
              </w:rPr>
              <w:t>采购</w:t>
            </w:r>
            <w:r>
              <w:rPr>
                <w:rFonts w:hint="eastAsia" w:ascii="宋体" w:hAnsi="宋体" w:eastAsia="宋体" w:cs="宋体"/>
                <w:color w:val="auto"/>
                <w:sz w:val="24"/>
                <w:szCs w:val="24"/>
                <w:highlight w:val="none"/>
              </w:rPr>
              <w:t>邀请。</w:t>
            </w:r>
          </w:p>
          <w:p>
            <w:pPr>
              <w:pStyle w:val="256"/>
              <w:spacing w:line="364" w:lineRule="auto"/>
              <w:ind w:left="755" w:right="4470"/>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名称和地址：</w:t>
            </w:r>
          </w:p>
          <w:p>
            <w:pPr>
              <w:pStyle w:val="44"/>
              <w:numPr>
                <w:ilvl w:val="0"/>
                <w:numId w:val="0"/>
              </w:numPr>
              <w:shd w:val="clear"/>
              <w:spacing w:line="240" w:lineRule="auto"/>
              <w:ind w:firstLine="720" w:firstLineChars="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标明“在</w:t>
            </w:r>
            <w:r>
              <w:rPr>
                <w:rFonts w:hint="eastAsia" w:ascii="宋体" w:hAnsi="宋体" w:cs="宋体"/>
                <w:color w:val="auto"/>
                <w:sz w:val="24"/>
                <w:szCs w:val="24"/>
                <w:highlight w:val="none"/>
                <w:lang w:val="en-US" w:eastAsia="zh-CN"/>
              </w:rPr>
              <w:t>竞</w:t>
            </w:r>
            <w:r>
              <w:rPr>
                <w:rFonts w:hint="eastAsia" w:ascii="宋体" w:hAnsi="宋体" w:eastAsia="宋体" w:cs="宋体"/>
                <w:color w:val="auto"/>
                <w:sz w:val="24"/>
                <w:szCs w:val="24"/>
                <w:highlight w:val="none"/>
              </w:rPr>
              <w:t>标时间之前不得启封”字样。</w:t>
            </w:r>
          </w:p>
          <w:p>
            <w:pPr>
              <w:pStyle w:val="44"/>
              <w:numPr>
                <w:ilvl w:val="0"/>
                <w:numId w:val="0"/>
              </w:numPr>
              <w:shd w:val="clear"/>
              <w:spacing w:line="240" w:lineRule="auto"/>
              <w:ind w:firstLine="720" w:firstLineChars="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密封包装上应有法定代表人或授权代表的签字并加盖投标人公章。</w:t>
            </w:r>
          </w:p>
          <w:p>
            <w:pPr>
              <w:shd w:val="clea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提倡将递交的</w:t>
            </w:r>
            <w:r>
              <w:rPr>
                <w:rFonts w:hint="eastAsia" w:ascii="宋体" w:hAnsi="宋体" w:cs="宋体"/>
                <w:b/>
                <w:bCs/>
                <w:color w:val="auto"/>
                <w:sz w:val="24"/>
                <w:highlight w:val="none"/>
                <w:lang w:val="en-US" w:eastAsia="zh-CN" w:bidi="ar"/>
              </w:rPr>
              <w:t>响应</w:t>
            </w:r>
            <w:r>
              <w:rPr>
                <w:rFonts w:hint="eastAsia" w:ascii="宋体" w:hAnsi="宋体" w:eastAsia="宋体" w:cs="宋体"/>
                <w:color w:val="auto"/>
                <w:sz w:val="24"/>
                <w:szCs w:val="24"/>
                <w:highlight w:val="none"/>
              </w:rPr>
              <w:t>文件正本、副本、u盘文件一起密封包装，包装封面需清楚标注“</w:t>
            </w:r>
            <w:r>
              <w:rPr>
                <w:rFonts w:hint="eastAsia" w:ascii="宋体" w:hAnsi="宋体" w:cs="宋体"/>
                <w:b/>
                <w:bCs/>
                <w:color w:val="auto"/>
                <w:sz w:val="24"/>
                <w:highlight w:val="none"/>
                <w:lang w:val="en-US" w:eastAsia="zh-CN" w:bidi="ar"/>
              </w:rPr>
              <w:t>响应</w:t>
            </w:r>
            <w:r>
              <w:rPr>
                <w:rFonts w:hint="eastAsia" w:ascii="宋体" w:hAnsi="宋体" w:eastAsia="宋体" w:cs="宋体"/>
                <w:color w:val="auto"/>
                <w:sz w:val="24"/>
                <w:szCs w:val="24"/>
                <w:highlight w:val="none"/>
              </w:rPr>
              <w:t>文件”。</w:t>
            </w:r>
          </w:p>
        </w:tc>
      </w:tr>
    </w:tbl>
    <w:p>
      <w:pPr>
        <w:tabs>
          <w:tab w:val="left" w:pos="5580"/>
        </w:tabs>
        <w:adjustRightInd w:val="0"/>
        <w:spacing w:line="360" w:lineRule="auto"/>
        <w:jc w:val="distribute"/>
        <w:rPr>
          <w:rFonts w:hint="eastAsia" w:ascii="宋体" w:hAnsi="宋体" w:eastAsia="宋体" w:cs="宋体"/>
          <w:color w:val="auto"/>
          <w:sz w:val="24"/>
          <w:highlight w:val="none"/>
        </w:rPr>
        <w:sectPr>
          <w:footerReference r:id="rId9" w:type="first"/>
          <w:footerReference r:id="rId8" w:type="default"/>
          <w:pgSz w:w="11907" w:h="16840"/>
          <w:pgMar w:top="1418" w:right="1134" w:bottom="1418" w:left="1701" w:header="851" w:footer="851" w:gutter="0"/>
          <w:pgNumType w:fmt="decimal"/>
          <w:cols w:space="720" w:num="1"/>
          <w:titlePg/>
          <w:docGrid w:linePitch="462" w:charSpace="0"/>
        </w:sectPr>
      </w:pPr>
    </w:p>
    <w:p>
      <w:pPr>
        <w:spacing w:before="240" w:beforeLines="100" w:after="240" w:afterLines="1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供应商须知</w:t>
      </w:r>
    </w:p>
    <w:p>
      <w:pPr>
        <w:pStyle w:val="3"/>
        <w:tabs>
          <w:tab w:val="center" w:pos="4592"/>
          <w:tab w:val="left" w:pos="7860"/>
        </w:tabs>
        <w:spacing w:before="0" w:line="360" w:lineRule="auto"/>
        <w:jc w:val="left"/>
        <w:rPr>
          <w:rFonts w:ascii="Times New Roman" w:hAnsi="Times New Roman" w:eastAsiaTheme="minorEastAsia"/>
          <w:color w:val="auto"/>
          <w:sz w:val="28"/>
          <w:highlight w:val="none"/>
        </w:rPr>
      </w:pPr>
      <w:bookmarkStart w:id="73" w:name="_Toc520356143"/>
      <w:bookmarkStart w:id="74" w:name="_Toc127151518"/>
      <w:r>
        <w:rPr>
          <w:rFonts w:hint="eastAsia" w:ascii="宋体" w:hAnsi="宋体" w:eastAsia="宋体" w:cs="宋体"/>
          <w:color w:val="auto"/>
          <w:sz w:val="28"/>
          <w:highlight w:val="none"/>
        </w:rPr>
        <w:tab/>
      </w:r>
      <w:bookmarkEnd w:id="73"/>
      <w:bookmarkEnd w:id="74"/>
      <w:bookmarkStart w:id="75" w:name="_Toc226965708"/>
      <w:bookmarkStart w:id="76" w:name="_Toc151193760"/>
      <w:bookmarkStart w:id="77" w:name="_Toc150774618"/>
      <w:bookmarkStart w:id="78" w:name="_Toc151193906"/>
      <w:bookmarkStart w:id="79" w:name="_Toc150480756"/>
      <w:bookmarkStart w:id="80" w:name="_Toc151193688"/>
      <w:bookmarkStart w:id="81" w:name="_Toc195842883"/>
      <w:bookmarkStart w:id="82" w:name="_Toc226965791"/>
      <w:bookmarkStart w:id="83" w:name="_Toc226337214"/>
      <w:bookmarkStart w:id="84" w:name="_Toc150509269"/>
      <w:bookmarkStart w:id="85" w:name="_Toc151193616"/>
      <w:bookmarkStart w:id="86" w:name="_Toc151190145"/>
      <w:bookmarkStart w:id="87" w:name="_Toc265228356"/>
      <w:bookmarkStart w:id="88" w:name="_Toc150774723"/>
      <w:bookmarkStart w:id="89" w:name="_Toc142311020"/>
      <w:bookmarkStart w:id="90" w:name="_Toc305158786"/>
      <w:bookmarkStart w:id="91" w:name="_Toc151193832"/>
      <w:bookmarkStart w:id="92" w:name="_Toc305158860"/>
      <w:bookmarkStart w:id="93" w:name="_Toc264969208"/>
      <w:bookmarkStart w:id="94" w:name="_Toc226309762"/>
      <w:r>
        <w:rPr>
          <w:rFonts w:ascii="Times New Roman" w:hAnsi="Times New Roman" w:eastAsiaTheme="minorEastAsia"/>
          <w:color w:val="auto"/>
          <w:sz w:val="28"/>
          <w:highlight w:val="none"/>
        </w:rPr>
        <w:t>一   说  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Theme="minorEastAsia"/>
          <w:color w:val="auto"/>
          <w:sz w:val="28"/>
          <w:highlight w:val="none"/>
        </w:rPr>
        <w:tab/>
      </w:r>
    </w:p>
    <w:p>
      <w:pPr>
        <w:numPr>
          <w:ilvl w:val="0"/>
          <w:numId w:val="11"/>
        </w:numPr>
        <w:tabs>
          <w:tab w:val="left" w:pos="360"/>
          <w:tab w:val="clear" w:pos="900"/>
        </w:tabs>
        <w:snapToGrid w:val="0"/>
        <w:spacing w:line="360" w:lineRule="auto"/>
        <w:ind w:left="357" w:hanging="357"/>
        <w:outlineLvl w:val="1"/>
        <w:rPr>
          <w:rFonts w:eastAsiaTheme="minorEastAsia"/>
          <w:color w:val="auto"/>
          <w:sz w:val="24"/>
          <w:highlight w:val="none"/>
        </w:rPr>
      </w:pPr>
      <w:bookmarkStart w:id="95" w:name="_Toc264969209"/>
      <w:bookmarkStart w:id="96" w:name="_Toc305158787"/>
      <w:bookmarkStart w:id="97" w:name="_Toc305158861"/>
      <w:bookmarkStart w:id="98" w:name="_Toc265228357"/>
      <w:r>
        <w:rPr>
          <w:rFonts w:eastAsiaTheme="minorEastAsia"/>
          <w:color w:val="auto"/>
          <w:sz w:val="24"/>
          <w:highlight w:val="none"/>
        </w:rPr>
        <w:t>采购人、采购代理机构、供应商</w:t>
      </w:r>
      <w:bookmarkEnd w:id="95"/>
      <w:bookmarkEnd w:id="96"/>
      <w:bookmarkEnd w:id="97"/>
      <w:bookmarkEnd w:id="98"/>
      <w:r>
        <w:rPr>
          <w:rFonts w:eastAsiaTheme="minorEastAsia"/>
          <w:color w:val="auto"/>
          <w:sz w:val="24"/>
          <w:highlight w:val="none"/>
        </w:rPr>
        <w:t>、联合体</w:t>
      </w:r>
    </w:p>
    <w:p>
      <w:pPr>
        <w:numPr>
          <w:ilvl w:val="1"/>
          <w:numId w:val="11"/>
        </w:numPr>
        <w:tabs>
          <w:tab w:val="left" w:pos="1080"/>
          <w:tab w:val="left" w:pos="2014"/>
          <w:tab w:val="left" w:pos="5521"/>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采购人、采购代理机构：指依法进行政府采购的国家机关、事业单位、团体组织，及其委托的采购代理机构。本项目采购人、采购代理机构见第一章《采购邀请》。</w:t>
      </w:r>
    </w:p>
    <w:p>
      <w:pPr>
        <w:numPr>
          <w:ilvl w:val="1"/>
          <w:numId w:val="11"/>
        </w:numPr>
        <w:tabs>
          <w:tab w:val="left" w:pos="1080"/>
          <w:tab w:val="left" w:pos="2014"/>
          <w:tab w:val="left" w:pos="5521"/>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供应商（也称“申请人”）：指向采购人提供货物、工程或者服务的法人、其他组织或者自然人。</w:t>
      </w:r>
    </w:p>
    <w:p>
      <w:pPr>
        <w:numPr>
          <w:ilvl w:val="1"/>
          <w:numId w:val="11"/>
        </w:numPr>
        <w:tabs>
          <w:tab w:val="left" w:pos="1080"/>
          <w:tab w:val="left" w:pos="2014"/>
          <w:tab w:val="left" w:pos="5521"/>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联合体：指两个以上的自然人、法人或者其他组织组成一个联合体，以一个供应商的身份共同参加政府采购。</w:t>
      </w:r>
    </w:p>
    <w:p>
      <w:pPr>
        <w:numPr>
          <w:ilvl w:val="0"/>
          <w:numId w:val="11"/>
        </w:numPr>
        <w:tabs>
          <w:tab w:val="left" w:pos="360"/>
          <w:tab w:val="clear" w:pos="900"/>
        </w:tabs>
        <w:snapToGrid w:val="0"/>
        <w:spacing w:line="360" w:lineRule="auto"/>
        <w:ind w:left="357" w:hanging="357"/>
        <w:outlineLvl w:val="1"/>
        <w:rPr>
          <w:rFonts w:eastAsiaTheme="minorEastAsia"/>
          <w:color w:val="auto"/>
          <w:sz w:val="24"/>
          <w:highlight w:val="none"/>
        </w:rPr>
      </w:pPr>
      <w:bookmarkStart w:id="99" w:name="_Toc305158862"/>
      <w:bookmarkStart w:id="100" w:name="_Toc195842885"/>
      <w:bookmarkStart w:id="101" w:name="_Toc305158788"/>
      <w:bookmarkStart w:id="102" w:name="_Toc151190147"/>
      <w:bookmarkStart w:id="103" w:name="_Toc127151520"/>
      <w:bookmarkStart w:id="104" w:name="_Toc151193618"/>
      <w:bookmarkStart w:id="105" w:name="_Toc151193834"/>
      <w:bookmarkStart w:id="106" w:name="_Toc150509271"/>
      <w:bookmarkStart w:id="107" w:name="_Toc151193762"/>
      <w:bookmarkStart w:id="108" w:name="_Toc226309764"/>
      <w:bookmarkStart w:id="109" w:name="_Toc150774725"/>
      <w:bookmarkStart w:id="110" w:name="_Toc164351614"/>
      <w:bookmarkStart w:id="111" w:name="_Toc149720813"/>
      <w:bookmarkStart w:id="112" w:name="_Toc164229215"/>
      <w:bookmarkStart w:id="113" w:name="_Toc265228358"/>
      <w:bookmarkStart w:id="114" w:name="_Toc264969210"/>
      <w:bookmarkStart w:id="115" w:name="_Toc164608789"/>
      <w:bookmarkStart w:id="116" w:name="_Toc151193690"/>
      <w:bookmarkStart w:id="117" w:name="_Toc226965710"/>
      <w:bookmarkStart w:id="118" w:name="_Toc151193908"/>
      <w:bookmarkStart w:id="119" w:name="_Toc127161434"/>
      <w:bookmarkStart w:id="120" w:name="_Toc127151721"/>
      <w:bookmarkStart w:id="121" w:name="_Toc142311022"/>
      <w:bookmarkStart w:id="122" w:name="_Toc150774620"/>
      <w:bookmarkStart w:id="123" w:name="_Toc164608634"/>
      <w:bookmarkStart w:id="124" w:name="_Toc226337216"/>
      <w:bookmarkStart w:id="125" w:name="_Toc164229361"/>
      <w:bookmarkStart w:id="126" w:name="_Toc150480758"/>
      <w:bookmarkStart w:id="127" w:name="_Toc226965793"/>
      <w:r>
        <w:rPr>
          <w:rFonts w:eastAsiaTheme="minorEastAsia"/>
          <w:color w:val="auto"/>
          <w:sz w:val="24"/>
          <w:highlight w:val="none"/>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eastAsiaTheme="minorEastAsia"/>
          <w:color w:val="auto"/>
          <w:sz w:val="24"/>
          <w:highlight w:val="none"/>
        </w:rPr>
        <w:t>、项目属性、科研仪器设备采购</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资金来源为财政性资金和/或本项目采购中无法与财政性资金分割的非财政性资金。</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项目属性见《供应商须知资料表》。</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是否属于科研仪器设备采购见《供应商须知资料表》。</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现场考察、磋商前答疑会</w:t>
      </w:r>
    </w:p>
    <w:p>
      <w:pPr>
        <w:numPr>
          <w:ilvl w:val="1"/>
          <w:numId w:val="11"/>
        </w:numPr>
        <w:tabs>
          <w:tab w:val="left" w:pos="1080"/>
          <w:tab w:val="left" w:pos="2014"/>
        </w:tabs>
        <w:snapToGrid w:val="0"/>
        <w:spacing w:line="360" w:lineRule="auto"/>
        <w:ind w:left="1080" w:hanging="720"/>
        <w:rPr>
          <w:rFonts w:eastAsiaTheme="minorEastAsia"/>
          <w:color w:val="auto"/>
          <w:sz w:val="28"/>
          <w:highlight w:val="none"/>
        </w:rPr>
      </w:pPr>
      <w:r>
        <w:rPr>
          <w:rFonts w:eastAsiaTheme="minorEastAsia"/>
          <w:color w:val="auto"/>
          <w:sz w:val="24"/>
          <w:highlight w:val="none"/>
        </w:rPr>
        <w:t>若《供应商须知资料表》中规定了组织现场考察、召开磋商前答疑会，则供应商应按要求在规定的时间和地点参加。</w:t>
      </w:r>
      <w:bookmarkStart w:id="128" w:name="_Toc520356146"/>
      <w:bookmarkStart w:id="129" w:name="_Toc195842887"/>
      <w:bookmarkStart w:id="130" w:name="_Toc151190149"/>
      <w:bookmarkStart w:id="131" w:name="_Toc305158790"/>
      <w:bookmarkStart w:id="132" w:name="_Toc150774727"/>
      <w:bookmarkStart w:id="133" w:name="_Toc150480760"/>
      <w:bookmarkStart w:id="134" w:name="_Toc226965795"/>
      <w:bookmarkStart w:id="135" w:name="_Toc150774622"/>
      <w:bookmarkStart w:id="136" w:name="_Toc226337218"/>
      <w:bookmarkStart w:id="137" w:name="_Toc305158864"/>
      <w:bookmarkStart w:id="138" w:name="_Toc265228360"/>
      <w:bookmarkStart w:id="139" w:name="_Toc142311024"/>
      <w:bookmarkStart w:id="140" w:name="_Toc264969212"/>
      <w:bookmarkStart w:id="141" w:name="_Toc150509273"/>
      <w:bookmarkStart w:id="142" w:name="_Toc151193620"/>
      <w:bookmarkStart w:id="143" w:name="_Toc226309766"/>
      <w:bookmarkStart w:id="144" w:name="_Toc151193692"/>
      <w:bookmarkStart w:id="145" w:name="_Toc151193910"/>
      <w:bookmarkStart w:id="146" w:name="_Toc127151522"/>
      <w:bookmarkStart w:id="147" w:name="_Toc226965712"/>
      <w:bookmarkStart w:id="148" w:name="_Toc151193836"/>
      <w:bookmarkStart w:id="149" w:name="_Toc151193764"/>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0"/>
          <w:numId w:val="11"/>
        </w:numPr>
        <w:tabs>
          <w:tab w:val="left" w:pos="360"/>
          <w:tab w:val="clear" w:pos="90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政府采购政策（包括但不限于下列具体政策要求）</w:t>
      </w:r>
    </w:p>
    <w:p>
      <w:pPr>
        <w:numPr>
          <w:ilvl w:val="0"/>
          <w:numId w:val="0"/>
        </w:numPr>
        <w:tabs>
          <w:tab w:val="left" w:pos="360"/>
        </w:tabs>
        <w:snapToGrid w:val="0"/>
        <w:spacing w:line="360" w:lineRule="auto"/>
        <w:ind w:left="0" w:leftChars="0" w:firstLine="420" w:firstLineChars="175"/>
        <w:outlineLvl w:val="1"/>
        <w:rPr>
          <w:rFonts w:eastAsiaTheme="minorEastAsia"/>
          <w:color w:val="auto"/>
          <w:sz w:val="24"/>
          <w:highlight w:val="none"/>
        </w:rPr>
      </w:pPr>
      <w:r>
        <w:rPr>
          <w:rFonts w:eastAsiaTheme="minorEastAsia"/>
          <w:color w:val="auto"/>
          <w:sz w:val="24"/>
          <w:highlight w:val="none"/>
          <w:lang w:val="en-US" w:eastAsia="zh-CN"/>
        </w:rPr>
        <w:t xml:space="preserve">4.1 </w:t>
      </w:r>
      <w:r>
        <w:rPr>
          <w:rFonts w:hint="eastAsia" w:eastAsiaTheme="minorEastAsia"/>
          <w:color w:val="auto"/>
          <w:sz w:val="24"/>
          <w:highlight w:val="none"/>
          <w:lang w:val="en-US" w:eastAsia="zh-CN"/>
        </w:rPr>
        <w:t xml:space="preserve"> 采购本国货物、工程和服务 </w:t>
      </w:r>
    </w:p>
    <w:p>
      <w:pPr>
        <w:numPr>
          <w:ilvl w:val="0"/>
          <w:numId w:val="0"/>
        </w:numPr>
        <w:tabs>
          <w:tab w:val="left" w:pos="360"/>
        </w:tabs>
        <w:snapToGrid w:val="0"/>
        <w:spacing w:line="360" w:lineRule="auto"/>
        <w:ind w:left="1678" w:leftChars="456" w:hanging="720" w:hangingChars="300"/>
        <w:outlineLvl w:val="1"/>
        <w:rPr>
          <w:rFonts w:eastAsiaTheme="minorEastAsia"/>
          <w:color w:val="auto"/>
          <w:sz w:val="24"/>
          <w:highlight w:val="none"/>
        </w:rPr>
      </w:pPr>
      <w:r>
        <w:rPr>
          <w:rFonts w:hint="default" w:eastAsiaTheme="minorEastAsia"/>
          <w:color w:val="auto"/>
          <w:sz w:val="24"/>
          <w:highlight w:val="none"/>
          <w:lang w:val="en-US" w:eastAsia="zh-CN"/>
        </w:rPr>
        <w:t xml:space="preserve">4.1.1 </w:t>
      </w:r>
      <w:r>
        <w:rPr>
          <w:rFonts w:hint="eastAsia" w:eastAsiaTheme="minorEastAsia"/>
          <w:color w:val="auto"/>
          <w:sz w:val="24"/>
          <w:highlight w:val="none"/>
          <w:lang w:val="en-US" w:eastAsia="zh-CN"/>
        </w:rPr>
        <w:t xml:space="preserve">政府采购应当采购本国货物、工程和服务。但有《中华人民共和国政府采购法》第十条规定情形的除外。 </w:t>
      </w:r>
    </w:p>
    <w:p>
      <w:pPr>
        <w:numPr>
          <w:ilvl w:val="0"/>
          <w:numId w:val="0"/>
        </w:numPr>
        <w:tabs>
          <w:tab w:val="left" w:pos="360"/>
        </w:tabs>
        <w:snapToGrid w:val="0"/>
        <w:spacing w:line="360" w:lineRule="auto"/>
        <w:ind w:left="1678" w:leftChars="456" w:hanging="720" w:hangingChars="300"/>
        <w:outlineLvl w:val="1"/>
        <w:rPr>
          <w:rFonts w:eastAsiaTheme="minorEastAsia"/>
          <w:color w:val="auto"/>
          <w:sz w:val="24"/>
          <w:highlight w:val="none"/>
        </w:rPr>
      </w:pPr>
      <w:r>
        <w:rPr>
          <w:rFonts w:hint="default" w:eastAsiaTheme="minorEastAsia"/>
          <w:color w:val="auto"/>
          <w:sz w:val="24"/>
          <w:highlight w:val="none"/>
          <w:lang w:val="en-US" w:eastAsia="zh-CN"/>
        </w:rPr>
        <w:t xml:space="preserve">4.1.2 </w:t>
      </w:r>
      <w:r>
        <w:rPr>
          <w:rFonts w:hint="eastAsia" w:eastAsiaTheme="minorEastAsia"/>
          <w:color w:val="auto"/>
          <w:sz w:val="24"/>
          <w:highlight w:val="none"/>
          <w:lang w:val="en-US" w:eastAsia="zh-CN"/>
        </w:rPr>
        <w:t xml:space="preserve">本项目如接受非本国货物、工程、服务参与投标，则具体要求见第四章《采购需求》。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default" w:eastAsiaTheme="minorEastAsia"/>
          <w:color w:val="auto"/>
          <w:sz w:val="24"/>
          <w:highlight w:val="none"/>
          <w:lang w:val="en-US" w:eastAsia="zh-CN"/>
        </w:rPr>
        <w:t xml:space="preserve">4.1.3 </w:t>
      </w:r>
      <w:r>
        <w:rPr>
          <w:rFonts w:hint="eastAsia" w:eastAsiaTheme="minorEastAsia"/>
          <w:color w:val="auto"/>
          <w:sz w:val="24"/>
          <w:highlight w:val="none"/>
          <w:lang w:val="en-US" w:eastAsia="zh-CN"/>
        </w:rPr>
        <w:t>进口产品指通过中国海关报关验放进入中国境内且产自关境外的产品，包括已经进入中国境内的进口产品。关于进口产品的相关规定依据《政府采购进口产品管理办法》（财库〔</w:t>
      </w:r>
      <w:r>
        <w:rPr>
          <w:rFonts w:hint="default" w:eastAsiaTheme="minorEastAsia"/>
          <w:color w:val="auto"/>
          <w:sz w:val="24"/>
          <w:highlight w:val="none"/>
          <w:lang w:val="en-US" w:eastAsia="zh-CN"/>
        </w:rPr>
        <w:t>2007</w:t>
      </w:r>
      <w:r>
        <w:rPr>
          <w:rFonts w:hint="eastAsia" w:eastAsiaTheme="minorEastAsia"/>
          <w:color w:val="auto"/>
          <w:sz w:val="24"/>
          <w:highlight w:val="none"/>
          <w:lang w:val="en-US" w:eastAsia="zh-CN"/>
        </w:rPr>
        <w:t>〕</w:t>
      </w:r>
      <w:r>
        <w:rPr>
          <w:rFonts w:hint="default" w:eastAsiaTheme="minorEastAsia"/>
          <w:color w:val="auto"/>
          <w:sz w:val="24"/>
          <w:highlight w:val="none"/>
          <w:lang w:val="en-US" w:eastAsia="zh-CN"/>
        </w:rPr>
        <w:t xml:space="preserve">119 </w:t>
      </w:r>
      <w:r>
        <w:rPr>
          <w:rFonts w:hint="eastAsia" w:eastAsiaTheme="minorEastAsia"/>
          <w:color w:val="auto"/>
          <w:sz w:val="24"/>
          <w:highlight w:val="none"/>
          <w:lang w:val="en-US" w:eastAsia="zh-CN"/>
        </w:rPr>
        <w:t>号文）、《关于政府采购进口产品管理有关问题的通知》（财办库〔</w:t>
      </w:r>
      <w:r>
        <w:rPr>
          <w:rFonts w:hint="default" w:eastAsiaTheme="minorEastAsia"/>
          <w:color w:val="auto"/>
          <w:sz w:val="24"/>
          <w:highlight w:val="none"/>
          <w:lang w:val="en-US" w:eastAsia="zh-CN"/>
        </w:rPr>
        <w:t>2008</w:t>
      </w:r>
      <w:r>
        <w:rPr>
          <w:rFonts w:hint="eastAsia" w:eastAsiaTheme="minorEastAsia"/>
          <w:color w:val="auto"/>
          <w:sz w:val="24"/>
          <w:highlight w:val="none"/>
          <w:lang w:val="en-US" w:eastAsia="zh-CN"/>
        </w:rPr>
        <w:t>〕</w:t>
      </w:r>
      <w:r>
        <w:rPr>
          <w:rFonts w:hint="default" w:eastAsiaTheme="minorEastAsia"/>
          <w:color w:val="auto"/>
          <w:sz w:val="24"/>
          <w:highlight w:val="none"/>
          <w:lang w:val="en-US" w:eastAsia="zh-CN"/>
        </w:rPr>
        <w:t>248</w:t>
      </w:r>
      <w:r>
        <w:rPr>
          <w:rFonts w:hint="eastAsia" w:eastAsiaTheme="minorEastAsia"/>
          <w:color w:val="auto"/>
          <w:sz w:val="24"/>
          <w:highlight w:val="none"/>
          <w:lang w:val="en-US" w:eastAsia="zh-CN"/>
        </w:rPr>
        <w:t>号文）</w:t>
      </w:r>
    </w:p>
    <w:p>
      <w:pPr>
        <w:numPr>
          <w:ilvl w:val="0"/>
          <w:numId w:val="0"/>
        </w:numPr>
        <w:tabs>
          <w:tab w:val="left" w:pos="360"/>
        </w:tabs>
        <w:snapToGrid w:val="0"/>
        <w:spacing w:line="360" w:lineRule="auto"/>
        <w:ind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 中小企业、监狱企业及残疾人福利性单位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4.2.1 中小企业定义：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4.2.1.1 中小企业是指在中华人民共和国境内依法设立，依据国务院批准的中小企业划分标准确定的中型企业、小型企业和微型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4.2.1.2 供应商提供的货物、工程或者服务符合下列情形的，享受中小企业扶持政策： </w:t>
      </w:r>
    </w:p>
    <w:p>
      <w:pPr>
        <w:numPr>
          <w:ilvl w:val="0"/>
          <w:numId w:val="0"/>
        </w:numPr>
        <w:tabs>
          <w:tab w:val="left" w:pos="360"/>
        </w:tabs>
        <w:snapToGrid w:val="0"/>
        <w:spacing w:line="360" w:lineRule="auto"/>
        <w:ind w:left="1676" w:leftChars="798"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（1）在货物采购项目中，货物由中小企业制造，即货物由 </w:t>
      </w:r>
    </w:p>
    <w:p>
      <w:pPr>
        <w:numPr>
          <w:ilvl w:val="0"/>
          <w:numId w:val="0"/>
        </w:numPr>
        <w:tabs>
          <w:tab w:val="left" w:pos="360"/>
        </w:tabs>
        <w:snapToGrid w:val="0"/>
        <w:spacing w:line="360" w:lineRule="auto"/>
        <w:ind w:firstLine="2160" w:firstLineChars="9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中小企业生产且使用该中小企业商号或者注册商标； </w:t>
      </w:r>
    </w:p>
    <w:p>
      <w:pPr>
        <w:numPr>
          <w:ilvl w:val="0"/>
          <w:numId w:val="0"/>
        </w:numPr>
        <w:tabs>
          <w:tab w:val="left" w:pos="360"/>
        </w:tabs>
        <w:snapToGrid w:val="0"/>
        <w:spacing w:line="360" w:lineRule="auto"/>
        <w:ind w:left="1676" w:leftChars="798"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（2）在工程采购项目中，工程由中小企业承建，即工程施 </w:t>
      </w:r>
    </w:p>
    <w:p>
      <w:pPr>
        <w:numPr>
          <w:ilvl w:val="0"/>
          <w:numId w:val="0"/>
        </w:numPr>
        <w:tabs>
          <w:tab w:val="left" w:pos="360"/>
        </w:tabs>
        <w:snapToGrid w:val="0"/>
        <w:spacing w:line="360" w:lineRule="auto"/>
        <w:ind w:left="1676" w:leftChars="798"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工单位为中小企业； </w:t>
      </w:r>
    </w:p>
    <w:p>
      <w:pPr>
        <w:numPr>
          <w:ilvl w:val="0"/>
          <w:numId w:val="0"/>
        </w:numPr>
        <w:tabs>
          <w:tab w:val="left" w:pos="360"/>
        </w:tabs>
        <w:snapToGrid w:val="0"/>
        <w:spacing w:line="360" w:lineRule="auto"/>
        <w:ind w:left="1676" w:leftChars="798"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（3）在服务采购项目中，服务由中小企业承接，即提供服 </w:t>
      </w:r>
    </w:p>
    <w:p>
      <w:pPr>
        <w:numPr>
          <w:ilvl w:val="0"/>
          <w:numId w:val="0"/>
        </w:numPr>
        <w:tabs>
          <w:tab w:val="left" w:pos="360"/>
        </w:tabs>
        <w:snapToGrid w:val="0"/>
        <w:spacing w:line="360" w:lineRule="auto"/>
        <w:ind w:left="1676" w:leftChars="798"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务的人员为中小企业依照《中华人民共和国劳动合同法》订 </w:t>
      </w:r>
    </w:p>
    <w:p>
      <w:pPr>
        <w:numPr>
          <w:ilvl w:val="0"/>
          <w:numId w:val="0"/>
        </w:numPr>
        <w:tabs>
          <w:tab w:val="left" w:pos="360"/>
        </w:tabs>
        <w:snapToGrid w:val="0"/>
        <w:spacing w:line="360" w:lineRule="auto"/>
        <w:ind w:left="1676" w:leftChars="798"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立劳动合同的从业人员。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4.2.1.3 在货物采购项目中，供应商ᨀ供的货物既有中小企业制造货物，也有大型企业制造货物的，不享受中小企业扶持政策。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4.2.1.4 以联合体形式参加政府采购活动，联合体各方均为中小企业的，联合体视同中小企业。其中，联合体各方均为小微企业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的，联合体视同小微企业。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4.2.2 在政府采购活动中，监狱企业视同小型、微型企业，享受预留份额、评审中价格扣除等政府采购促进中小企业发展的政府采购政策。监狱企业定义：是指由司法部认定的为罪犯、戒毒人员ᨀ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 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4.2.3.1 安置的残疾人占本单位在职职工人数的比例不低于 25%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（含 25%），并且安置的残疾人人数不少于 10 人（含 10 人）；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4.2.3.2 依法与安置的每位残疾人签订了一年以上（含一年）的劳动合同或服务协议；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4.2.3.3 为安置的每位残疾人按月足额缴纳了基本养老保险、基本医疗保险、失业保险、工伤保险和生育保险等社会保险费；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4.2.3.4 通过银行等金融机构向安置的每位残疾人，按月支付了不低于单位所在区县适用的经省级人民政府批准的月最低工资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标准的工资；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4.2.3.5 提供本单位制造的货物、承担的工程或者服务（以下简称产品），或者提供其他残疾人福利性单位制造的货物（不包括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使用非残疾人福利性单位注册商标的货物）；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4.2.3.6 前款所称残疾人是指法定劳动年龄内，持有《中华人民共和国残疾人证》或者《中华人民共和国残疾军人证（1 至 8 级）》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的自然人，包括具有劳动条件和劳动意愿的精神残疾人。在职职工人数是指与残疾人福利性单位建立劳动关系并依法签订劳动合同或服务协议的雇员人数。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4.2.4 本项目是否专门面向中小企业预留采购份额见第一章《采购邀请》。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4.2.5 采购标的对应的中小企业划分标准所属行业见《供应商须知资料表》</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4.2.6 小微企业价格评审优惠的政策调整：见第三章《评审方法和评审标准》。 </w:t>
      </w:r>
    </w:p>
    <w:p>
      <w:pPr>
        <w:numPr>
          <w:ilvl w:val="0"/>
          <w:numId w:val="0"/>
        </w:numPr>
        <w:tabs>
          <w:tab w:val="left" w:pos="360"/>
        </w:tabs>
        <w:snapToGrid w:val="0"/>
        <w:spacing w:line="360" w:lineRule="auto"/>
        <w:ind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4.3 政府采购节能产品、环境标志产品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4.3.3 如本项目采购产品属于实施政府强制采购品目清单范围的节能产品，则供应商所报产品必须获得国家确定的认证机构出具的、处于有效期之内的节能产品认证证书，否则响应无效；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4.3.4 非政府强制采购的节能产品或环境标志产品，依据品目清单和认证证书实施政府优先采购。优先采购的具体规定见第三章《评审方法和评审标准》（如涉及）。 </w:t>
      </w:r>
    </w:p>
    <w:p>
      <w:pPr>
        <w:numPr>
          <w:ilvl w:val="0"/>
          <w:numId w:val="0"/>
        </w:numPr>
        <w:tabs>
          <w:tab w:val="left" w:pos="360"/>
        </w:tabs>
        <w:snapToGrid w:val="0"/>
        <w:spacing w:line="360" w:lineRule="auto"/>
        <w:ind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4.4 正版软件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 《国务院办公厅关于进一步做好政府机关使用正版软件工作的通知》（国办发〔2010〕47 号）、《财政部关于进一步做好政府机关使用正版软件工作的通知》（财预〔2010〕536 号）。 </w:t>
      </w:r>
    </w:p>
    <w:p>
      <w:pPr>
        <w:numPr>
          <w:ilvl w:val="0"/>
          <w:numId w:val="0"/>
        </w:numPr>
        <w:tabs>
          <w:tab w:val="left" w:pos="360"/>
        </w:tabs>
        <w:snapToGrid w:val="0"/>
        <w:spacing w:line="360" w:lineRule="auto"/>
        <w:ind w:firstLine="720" w:firstLine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4.5 网络安全专用产品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 </w:t>
      </w:r>
    </w:p>
    <w:p>
      <w:pPr>
        <w:numPr>
          <w:ilvl w:val="0"/>
          <w:numId w:val="0"/>
        </w:numPr>
        <w:tabs>
          <w:tab w:val="left" w:pos="360"/>
        </w:tabs>
        <w:snapToGrid w:val="0"/>
        <w:spacing w:line="360" w:lineRule="auto"/>
        <w:ind w:firstLine="720" w:firstLine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4.6 推广使用低挥发性有机化合物（VOCs）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含量限制标准（具体标准见第四章《采购需求》），否则响应无效；属于推荐性标准的，优先采购，具体见第三章《评审方法和评审标准》。 </w:t>
      </w:r>
    </w:p>
    <w:p>
      <w:pPr>
        <w:numPr>
          <w:ilvl w:val="0"/>
          <w:numId w:val="0"/>
        </w:numPr>
        <w:tabs>
          <w:tab w:val="left" w:pos="360"/>
        </w:tabs>
        <w:snapToGrid w:val="0"/>
        <w:spacing w:line="360" w:lineRule="auto"/>
        <w:ind w:firstLine="720" w:firstLine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4.7 采购需求标准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4.7.1 商品包装、快递包装政府采购需求标准（试行）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为助力打好污染防治攻坚战，推广使用绿色包装，根据财政部关于印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发《商品包装政府采购需求标准（试行）》、《快递包装政府采购需求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标准（试行）》的通知（财办库〔2020〕123 号），本项目如涉及商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品包装和快递包装的，则其具体要求见第四章《采购需求》。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4.7.2 绿色数据中心政府采购需求标准（试行）</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为加快数据中心绿色转型，根据财政部 生态环境部 工业和信息化部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关于印发《绿色数据中心政府采购需求标准（试行）》的通知（财库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〔2023〕7 号），本项目如涉及绿色数据中心，则具体要求见第四章 </w:t>
      </w:r>
    </w:p>
    <w:p>
      <w:pPr>
        <w:numPr>
          <w:ilvl w:val="0"/>
          <w:numId w:val="0"/>
        </w:numPr>
        <w:tabs>
          <w:tab w:val="left" w:pos="360"/>
        </w:tabs>
        <w:snapToGrid w:val="0"/>
        <w:spacing w:line="360" w:lineRule="auto"/>
        <w:ind w:left="1678" w:leftChars="456" w:hanging="720" w:hangingChars="300"/>
        <w:outlineLvl w:val="1"/>
        <w:rPr>
          <w:rFonts w:eastAsiaTheme="minorEastAsia"/>
          <w:color w:val="auto"/>
          <w:sz w:val="24"/>
          <w:highlight w:val="none"/>
        </w:rPr>
      </w:pPr>
      <w:r>
        <w:rPr>
          <w:rFonts w:hint="eastAsia" w:eastAsiaTheme="minorEastAsia"/>
          <w:color w:val="auto"/>
          <w:sz w:val="24"/>
          <w:highlight w:val="none"/>
          <w:lang w:val="en-US" w:eastAsia="zh-CN"/>
        </w:rPr>
        <w:t xml:space="preserve">《采购需求》。 </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响应费用</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eastAsiaTheme="minorEastAsia"/>
          <w:color w:val="auto"/>
          <w:sz w:val="28"/>
          <w:highlight w:val="none"/>
        </w:rPr>
      </w:pPr>
      <w:bookmarkStart w:id="150" w:name="_1.8_计量单位"/>
      <w:bookmarkEnd w:id="150"/>
    </w:p>
    <w:p>
      <w:pPr>
        <w:pStyle w:val="3"/>
        <w:spacing w:before="0" w:line="360" w:lineRule="auto"/>
        <w:rPr>
          <w:rFonts w:ascii="Times New Roman" w:hAnsi="Times New Roman" w:eastAsiaTheme="minorEastAsia"/>
          <w:color w:val="auto"/>
          <w:sz w:val="28"/>
          <w:highlight w:val="none"/>
        </w:rPr>
      </w:pPr>
      <w:r>
        <w:rPr>
          <w:rFonts w:ascii="Times New Roman" w:hAnsi="Times New Roman" w:eastAsiaTheme="minorEastAsia"/>
          <w:color w:val="auto"/>
          <w:sz w:val="28"/>
          <w:highlight w:val="none"/>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151" w:name="_Toc520356147"/>
      <w:bookmarkStart w:id="152" w:name="_Toc150480761"/>
      <w:bookmarkStart w:id="153" w:name="_Toc164608637"/>
      <w:bookmarkStart w:id="154" w:name="_Toc226309767"/>
      <w:bookmarkStart w:id="155" w:name="_Toc150774623"/>
      <w:bookmarkStart w:id="156" w:name="_Toc151190150"/>
      <w:bookmarkStart w:id="157" w:name="_Toc305158791"/>
      <w:bookmarkStart w:id="158" w:name="_Toc164608792"/>
      <w:bookmarkStart w:id="159" w:name="_Toc151193621"/>
      <w:bookmarkStart w:id="160" w:name="_Toc127161437"/>
      <w:bookmarkStart w:id="161" w:name="_Toc195842888"/>
      <w:bookmarkStart w:id="162" w:name="_Toc151193911"/>
      <w:bookmarkStart w:id="163" w:name="_Toc226337219"/>
      <w:bookmarkStart w:id="164" w:name="_Toc164351617"/>
      <w:bookmarkStart w:id="165" w:name="_Toc150509274"/>
      <w:bookmarkStart w:id="166" w:name="_Toc151193837"/>
      <w:bookmarkStart w:id="167" w:name="_Toc151193693"/>
      <w:bookmarkStart w:id="168" w:name="_Toc149720816"/>
      <w:bookmarkStart w:id="169" w:name="_Toc264969213"/>
      <w:bookmarkStart w:id="170" w:name="_Toc265228361"/>
      <w:bookmarkStart w:id="171" w:name="_Toc142311025"/>
      <w:bookmarkStart w:id="172" w:name="_Toc164229364"/>
      <w:bookmarkStart w:id="173" w:name="_Toc305158865"/>
      <w:bookmarkStart w:id="174" w:name="_Toc226965713"/>
      <w:bookmarkStart w:id="175" w:name="_Toc226965796"/>
      <w:bookmarkStart w:id="176" w:name="_Toc127151724"/>
      <w:bookmarkStart w:id="177" w:name="_Toc151193765"/>
      <w:bookmarkStart w:id="178" w:name="_Toc164229218"/>
      <w:bookmarkStart w:id="179" w:name="_Toc150774728"/>
      <w:bookmarkStart w:id="180" w:name="_Toc127151523"/>
      <w:r>
        <w:rPr>
          <w:rFonts w:eastAsiaTheme="minorEastAsia"/>
          <w:color w:val="auto"/>
          <w:sz w:val="24"/>
          <w:highlight w:val="none"/>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eastAsiaTheme="minorEastAsia"/>
          <w:color w:val="auto"/>
          <w:sz w:val="24"/>
          <w:highlight w:val="none"/>
        </w:rPr>
        <w:t>成</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竞争性磋商文件包括以下部分：</w:t>
      </w:r>
    </w:p>
    <w:p>
      <w:pPr>
        <w:numPr>
          <w:ilvl w:val="0"/>
          <w:numId w:val="12"/>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采购邀请</w:t>
      </w:r>
    </w:p>
    <w:p>
      <w:pPr>
        <w:numPr>
          <w:ilvl w:val="0"/>
          <w:numId w:val="12"/>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供应商须知</w:t>
      </w:r>
    </w:p>
    <w:p>
      <w:pPr>
        <w:numPr>
          <w:ilvl w:val="0"/>
          <w:numId w:val="12"/>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评审方法和评审标准</w:t>
      </w:r>
    </w:p>
    <w:p>
      <w:pPr>
        <w:numPr>
          <w:ilvl w:val="0"/>
          <w:numId w:val="12"/>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采购需求</w:t>
      </w:r>
    </w:p>
    <w:p>
      <w:pPr>
        <w:numPr>
          <w:ilvl w:val="0"/>
          <w:numId w:val="12"/>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合同草案条款</w:t>
      </w:r>
    </w:p>
    <w:p>
      <w:pPr>
        <w:numPr>
          <w:ilvl w:val="0"/>
          <w:numId w:val="12"/>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响应文件格式</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color w:val="auto"/>
          <w:sz w:val="24"/>
          <w:highlight w:val="none"/>
        </w:rPr>
        <w:t>响应无效</w:t>
      </w:r>
      <w:r>
        <w:rPr>
          <w:rFonts w:eastAsiaTheme="minorEastAsia"/>
          <w:color w:val="auto"/>
          <w:sz w:val="24"/>
          <w:highlight w:val="none"/>
        </w:rPr>
        <w:t>。</w:t>
      </w:r>
    </w:p>
    <w:p>
      <w:pPr>
        <w:numPr>
          <w:ilvl w:val="0"/>
          <w:numId w:val="11"/>
        </w:numPr>
        <w:tabs>
          <w:tab w:val="left" w:pos="1080"/>
          <w:tab w:val="left" w:pos="2014"/>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对竞争性磋商文件的澄清或修改</w:t>
      </w:r>
    </w:p>
    <w:p>
      <w:pPr>
        <w:numPr>
          <w:ilvl w:val="1"/>
          <w:numId w:val="11"/>
        </w:numPr>
        <w:tabs>
          <w:tab w:val="left" w:pos="1080"/>
          <w:tab w:val="left" w:pos="1561"/>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采购人或采购代理机构对已发出的竞争性磋商文件进行必要澄清或者修改的，</w:t>
      </w:r>
      <w:r>
        <w:rPr>
          <w:rFonts w:hint="eastAsia" w:eastAsiaTheme="minorEastAsia"/>
          <w:color w:val="auto"/>
          <w:sz w:val="24"/>
          <w:highlight w:val="none"/>
        </w:rPr>
        <w:t>将</w:t>
      </w:r>
      <w:r>
        <w:rPr>
          <w:rFonts w:eastAsiaTheme="minorEastAsia"/>
          <w:color w:val="auto"/>
          <w:sz w:val="24"/>
          <w:highlight w:val="none"/>
        </w:rPr>
        <w:t>以书面形式通知所有获取竞争性磋商文件的潜在供应商。</w:t>
      </w:r>
      <w:r>
        <w:rPr>
          <w:rFonts w:hint="eastAsia" w:eastAsiaTheme="minorEastAsia"/>
          <w:color w:val="auto"/>
          <w:sz w:val="24"/>
          <w:highlight w:val="none"/>
        </w:rPr>
        <w:t>采用公告方式邀请供应商参与的，还将</w:t>
      </w:r>
      <w:r>
        <w:rPr>
          <w:rFonts w:eastAsiaTheme="minorEastAsia"/>
          <w:color w:val="auto"/>
          <w:sz w:val="24"/>
          <w:highlight w:val="none"/>
        </w:rPr>
        <w:t>在原公告发布媒体上发布更正公告</w:t>
      </w:r>
      <w:r>
        <w:rPr>
          <w:rFonts w:hint="eastAsia" w:eastAsiaTheme="minorEastAsia"/>
          <w:color w:val="auto"/>
          <w:sz w:val="24"/>
          <w:highlight w:val="none"/>
        </w:rPr>
        <w:t>。</w:t>
      </w:r>
    </w:p>
    <w:p>
      <w:pPr>
        <w:numPr>
          <w:ilvl w:val="1"/>
          <w:numId w:val="11"/>
        </w:numPr>
        <w:tabs>
          <w:tab w:val="left" w:pos="1080"/>
          <w:tab w:val="left" w:pos="1561"/>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上述书面通知，按照获取竞争性磋商文件的潜在供应商提供的联系方式发出，因提供的信息有误导致通知延迟或无法通知的，采购人或采购代理机构不承担责任。</w:t>
      </w:r>
    </w:p>
    <w:p>
      <w:pPr>
        <w:numPr>
          <w:ilvl w:val="1"/>
          <w:numId w:val="11"/>
        </w:numPr>
        <w:tabs>
          <w:tab w:val="left" w:pos="1080"/>
          <w:tab w:val="left" w:pos="1561"/>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eastAsiaTheme="minorEastAsia"/>
          <w:color w:val="auto"/>
          <w:sz w:val="28"/>
          <w:highlight w:val="none"/>
        </w:rPr>
      </w:pPr>
      <w:bookmarkStart w:id="181" w:name="_Toc516367020"/>
      <w:bookmarkStart w:id="182" w:name="_Toc151193696"/>
      <w:bookmarkStart w:id="183" w:name="_Toc226965799"/>
      <w:bookmarkStart w:id="184" w:name="_Toc520356150"/>
      <w:bookmarkStart w:id="185" w:name="_Toc265228364"/>
      <w:bookmarkStart w:id="186" w:name="_Toc195842891"/>
      <w:bookmarkStart w:id="187" w:name="_Toc151193840"/>
      <w:bookmarkStart w:id="188" w:name="_Toc264969216"/>
      <w:bookmarkStart w:id="189" w:name="_Toc151190153"/>
      <w:bookmarkStart w:id="190" w:name="_Toc151193768"/>
      <w:bookmarkStart w:id="191" w:name="_Toc226337222"/>
      <w:bookmarkStart w:id="192" w:name="_Toc226309770"/>
      <w:bookmarkStart w:id="193" w:name="_Toc150774626"/>
      <w:bookmarkStart w:id="194" w:name="_Toc305158794"/>
      <w:bookmarkStart w:id="195" w:name="_Toc226965716"/>
      <w:bookmarkStart w:id="196" w:name="_Toc127151526"/>
      <w:bookmarkStart w:id="197" w:name="_Toc150774731"/>
      <w:bookmarkStart w:id="198" w:name="_Toc151193624"/>
      <w:bookmarkStart w:id="199" w:name="_Toc142311028"/>
      <w:bookmarkStart w:id="200" w:name="_Toc150480764"/>
      <w:bookmarkStart w:id="201" w:name="_Toc151193914"/>
      <w:bookmarkStart w:id="202" w:name="_Toc305158868"/>
      <w:bookmarkStart w:id="203" w:name="_Toc150509277"/>
    </w:p>
    <w:p>
      <w:pPr>
        <w:pStyle w:val="3"/>
        <w:spacing w:before="0" w:line="360" w:lineRule="auto"/>
        <w:rPr>
          <w:rFonts w:ascii="Times New Roman" w:hAnsi="Times New Roman" w:eastAsiaTheme="minorEastAsia"/>
          <w:color w:val="auto"/>
          <w:sz w:val="28"/>
          <w:highlight w:val="none"/>
        </w:rPr>
      </w:pPr>
      <w:r>
        <w:rPr>
          <w:rFonts w:ascii="Times New Roman" w:hAnsi="Times New Roman" w:eastAsiaTheme="minorEastAsia"/>
          <w:color w:val="auto"/>
          <w:sz w:val="28"/>
          <w:highlight w:val="none"/>
        </w:rPr>
        <w:t>三   响应文件</w:t>
      </w:r>
      <w:bookmarkEnd w:id="181"/>
      <w:r>
        <w:rPr>
          <w:rFonts w:ascii="Times New Roman" w:hAnsi="Times New Roman" w:eastAsiaTheme="minorEastAsia"/>
          <w:color w:val="auto"/>
          <w:sz w:val="28"/>
          <w:highlight w:val="none"/>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204" w:name="_Toc520356151"/>
      <w:bookmarkStart w:id="205" w:name="_Toc150480765"/>
      <w:bookmarkStart w:id="206" w:name="_Toc226337223"/>
      <w:bookmarkStart w:id="207" w:name="_Toc151193915"/>
      <w:bookmarkStart w:id="208" w:name="_Toc151190154"/>
      <w:bookmarkStart w:id="209" w:name="_Toc127161441"/>
      <w:bookmarkStart w:id="210" w:name="_Toc150774732"/>
      <w:bookmarkStart w:id="211" w:name="_Toc195842892"/>
      <w:bookmarkStart w:id="212" w:name="_Toc305158869"/>
      <w:bookmarkStart w:id="213" w:name="_Toc226309771"/>
      <w:bookmarkStart w:id="214" w:name="_Toc516367021"/>
      <w:bookmarkStart w:id="215" w:name="_Toc151193697"/>
      <w:bookmarkStart w:id="216" w:name="_Toc151193625"/>
      <w:bookmarkStart w:id="217" w:name="_Toc150774627"/>
      <w:bookmarkStart w:id="218" w:name="_Toc164608641"/>
      <w:bookmarkStart w:id="219" w:name="_Toc151193841"/>
      <w:bookmarkStart w:id="220" w:name="_Toc164229368"/>
      <w:bookmarkStart w:id="221" w:name="_Toc127151728"/>
      <w:bookmarkStart w:id="222" w:name="_Toc150509278"/>
      <w:bookmarkStart w:id="223" w:name="_Toc142311029"/>
      <w:bookmarkStart w:id="224" w:name="_Toc265228365"/>
      <w:bookmarkStart w:id="225" w:name="_Toc164608796"/>
      <w:bookmarkStart w:id="226" w:name="_Toc305158795"/>
      <w:bookmarkStart w:id="227" w:name="_Toc164351621"/>
      <w:bookmarkStart w:id="228" w:name="_Toc151193769"/>
      <w:bookmarkStart w:id="229" w:name="_Toc226965717"/>
      <w:bookmarkStart w:id="230" w:name="_Toc226965800"/>
      <w:bookmarkStart w:id="231" w:name="_Toc127151527"/>
      <w:bookmarkStart w:id="232" w:name="_Toc164229222"/>
      <w:bookmarkStart w:id="233" w:name="_Toc149720820"/>
      <w:bookmarkStart w:id="234" w:name="_Toc264969217"/>
      <w:r>
        <w:rPr>
          <w:rFonts w:eastAsiaTheme="minorEastAsia"/>
          <w:color w:val="auto"/>
          <w:sz w:val="24"/>
          <w:highlight w:val="none"/>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eastAsiaTheme="minorEastAsia"/>
          <w:color w:val="auto"/>
          <w:sz w:val="24"/>
          <w:highlight w:val="none"/>
        </w:rPr>
        <w:t>及磋商语言</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eastAsiaTheme="minorEastAsia"/>
          <w:b/>
          <w:color w:val="auto"/>
          <w:sz w:val="24"/>
          <w:highlight w:val="none"/>
        </w:rPr>
        <w:t>响应无效</w:t>
      </w:r>
      <w:r>
        <w:rPr>
          <w:rFonts w:eastAsiaTheme="minorEastAsia"/>
          <w:color w:val="auto"/>
          <w:sz w:val="24"/>
          <w:highlight w:val="none"/>
        </w:rPr>
        <w:t>。</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除竞争性磋商文件有特殊要求外，本项目磋商所使用的计量单位，应采用中华人民共和国法定计量单位。</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235" w:name="_Ref467306195"/>
      <w:bookmarkStart w:id="236" w:name="_Ref467306676"/>
      <w:bookmarkStart w:id="237" w:name="_Toc516367022"/>
      <w:bookmarkStart w:id="238" w:name="_Toc150774733"/>
      <w:bookmarkStart w:id="239" w:name="_Toc226309772"/>
      <w:bookmarkStart w:id="240" w:name="_Toc150509279"/>
      <w:bookmarkStart w:id="241" w:name="_Toc164608797"/>
      <w:bookmarkStart w:id="242" w:name="_Toc150480766"/>
      <w:bookmarkStart w:id="243" w:name="_Toc226965718"/>
      <w:bookmarkStart w:id="244" w:name="_Toc127161442"/>
      <w:bookmarkStart w:id="245" w:name="_Toc164351622"/>
      <w:bookmarkStart w:id="246" w:name="_Toc164229369"/>
      <w:bookmarkStart w:id="247" w:name="_Toc151193770"/>
      <w:bookmarkStart w:id="248" w:name="_Toc151193842"/>
      <w:bookmarkStart w:id="249" w:name="_Toc151193698"/>
      <w:bookmarkStart w:id="250" w:name="_Toc164608642"/>
      <w:bookmarkStart w:id="251" w:name="_Toc305158870"/>
      <w:bookmarkStart w:id="252" w:name="_Toc265228366"/>
      <w:bookmarkStart w:id="253" w:name="_Toc151190155"/>
      <w:bookmarkStart w:id="254" w:name="_Toc150774628"/>
      <w:bookmarkStart w:id="255" w:name="_Toc151193916"/>
      <w:bookmarkStart w:id="256" w:name="_Toc149720821"/>
      <w:bookmarkStart w:id="257" w:name="_Toc305158796"/>
      <w:bookmarkStart w:id="258" w:name="_Toc127151729"/>
      <w:bookmarkStart w:id="259" w:name="_Toc520356152"/>
      <w:bookmarkStart w:id="260" w:name="_Toc164229223"/>
      <w:bookmarkStart w:id="261" w:name="_Toc226337224"/>
      <w:bookmarkStart w:id="262" w:name="_Toc142311030"/>
      <w:bookmarkStart w:id="263" w:name="_Toc127151528"/>
      <w:bookmarkStart w:id="264" w:name="_Toc195842893"/>
      <w:bookmarkStart w:id="265" w:name="_Toc226965801"/>
      <w:bookmarkStart w:id="266" w:name="_Toc151193626"/>
      <w:bookmarkStart w:id="267" w:name="_Toc264969218"/>
      <w:r>
        <w:rPr>
          <w:rFonts w:eastAsiaTheme="minorEastAsia"/>
          <w:color w:val="auto"/>
          <w:sz w:val="24"/>
          <w:highlight w:val="none"/>
        </w:rPr>
        <w:t>响应文件</w:t>
      </w:r>
      <w:bookmarkEnd w:id="235"/>
      <w:bookmarkEnd w:id="236"/>
      <w:bookmarkEnd w:id="237"/>
      <w:r>
        <w:rPr>
          <w:rFonts w:eastAsiaTheme="minorEastAsia"/>
          <w:color w:val="auto"/>
          <w:sz w:val="24"/>
          <w:highlight w:val="none"/>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bookmarkStart w:id="268" w:name="_Ref467052588"/>
      <w:r>
        <w:rPr>
          <w:rFonts w:eastAsiaTheme="minorEastAsia"/>
          <w:color w:val="auto"/>
          <w:sz w:val="24"/>
          <w:highlight w:val="none"/>
        </w:rPr>
        <w:t>供应商应当按照竞争性磋商文件的要求编制响应文件，</w:t>
      </w:r>
      <w:r>
        <w:rPr>
          <w:rFonts w:eastAsiaTheme="minorEastAsia"/>
          <w:color w:val="auto"/>
          <w:kern w:val="0"/>
          <w:sz w:val="24"/>
          <w:highlight w:val="none"/>
        </w:rPr>
        <w:t>并对其提交的响应文件的真实性、合法性承担法律责任</w:t>
      </w:r>
      <w:r>
        <w:rPr>
          <w:rFonts w:eastAsiaTheme="minorEastAsia"/>
          <w:color w:val="auto"/>
          <w:sz w:val="24"/>
          <w:highlight w:val="none"/>
        </w:rPr>
        <w:t>。响应文件的部分格式要求，见第六章《响应文件格式》。</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kern w:val="0"/>
          <w:sz w:val="24"/>
          <w:highlight w:val="none"/>
        </w:rPr>
        <w:t>对于竞争性磋商文件中标记了“实质性格式”文件的，</w:t>
      </w:r>
      <w:r>
        <w:rPr>
          <w:rFonts w:eastAsiaTheme="minorEastAsia"/>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auto"/>
          <w:kern w:val="0"/>
          <w:sz w:val="24"/>
          <w:highlight w:val="none"/>
        </w:rPr>
        <w:t>否则响应无效</w:t>
      </w:r>
      <w:r>
        <w:rPr>
          <w:rFonts w:eastAsiaTheme="minorEastAsia"/>
          <w:color w:val="auto"/>
          <w:kern w:val="0"/>
          <w:sz w:val="24"/>
          <w:highlight w:val="none"/>
        </w:rPr>
        <w:t>。未标记“实质性格式”的文件和竞争性磋商文件未提供格式的内容，可由供应商自行编写。</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第三章《评审方法和评审标准》中涉及的证明文件。</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供应商认为应附的其他材料。</w:t>
      </w:r>
      <w:bookmarkEnd w:id="268"/>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269" w:name="_Toc164229371"/>
      <w:bookmarkStart w:id="270" w:name="_Toc164229225"/>
      <w:bookmarkStart w:id="271" w:name="_Toc142311032"/>
      <w:bookmarkStart w:id="272" w:name="_Toc149720823"/>
      <w:bookmarkStart w:id="273" w:name="_Toc127151731"/>
      <w:bookmarkStart w:id="274" w:name="_Toc195842895"/>
      <w:bookmarkStart w:id="275" w:name="_Toc127161444"/>
      <w:bookmarkStart w:id="276" w:name="_Toc151193772"/>
      <w:bookmarkStart w:id="277" w:name="_Toc151193628"/>
      <w:bookmarkStart w:id="278" w:name="_Toc150509281"/>
      <w:bookmarkStart w:id="279" w:name="_Toc150480768"/>
      <w:bookmarkStart w:id="280" w:name="_Toc151193700"/>
      <w:bookmarkStart w:id="281" w:name="_Toc151193844"/>
      <w:bookmarkStart w:id="282" w:name="_Toc164608644"/>
      <w:bookmarkStart w:id="283" w:name="_Toc164351624"/>
      <w:bookmarkStart w:id="284" w:name="_Toc164608799"/>
      <w:bookmarkStart w:id="285" w:name="_Toc520356155"/>
      <w:bookmarkStart w:id="286" w:name="_Toc127151530"/>
      <w:bookmarkStart w:id="287" w:name="_Toc150774630"/>
      <w:bookmarkStart w:id="288" w:name="_Toc150774735"/>
      <w:bookmarkStart w:id="289" w:name="_Toc151193918"/>
      <w:bookmarkStart w:id="290" w:name="_Toc151190157"/>
      <w:r>
        <w:rPr>
          <w:rFonts w:eastAsiaTheme="minorEastAsia"/>
          <w:color w:val="auto"/>
          <w:sz w:val="24"/>
          <w:highlight w:val="none"/>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所有响应均以人民币报价。</w:t>
      </w:r>
    </w:p>
    <w:p>
      <w:pPr>
        <w:numPr>
          <w:ilvl w:val="1"/>
          <w:numId w:val="11"/>
        </w:numPr>
        <w:tabs>
          <w:tab w:val="left" w:pos="1080"/>
        </w:tabs>
        <w:snapToGrid w:val="0"/>
        <w:spacing w:line="360" w:lineRule="auto"/>
        <w:rPr>
          <w:rFonts w:eastAsiaTheme="minorEastAsia"/>
          <w:color w:val="auto"/>
          <w:sz w:val="24"/>
          <w:highlight w:val="none"/>
        </w:rPr>
      </w:pPr>
      <w:r>
        <w:rPr>
          <w:rFonts w:eastAsiaTheme="minorEastAsia"/>
          <w:color w:val="auto"/>
          <w:sz w:val="24"/>
          <w:highlight w:val="none"/>
        </w:rPr>
        <w:t>供应商的报价应包括为完成本项目所发生的一切费用和税费，采购人将不再支付报价以外的任何费用。</w:t>
      </w:r>
      <w:r>
        <w:rPr>
          <w:rFonts w:hint="eastAsia" w:eastAsiaTheme="minorEastAsia"/>
          <w:color w:val="auto"/>
          <w:sz w:val="24"/>
          <w:highlight w:val="none"/>
        </w:rPr>
        <w:t>供应商的报价应包括但不限于下列内容，《供应商须知资料表》中有特殊规定的，从其规定。</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按照竞争性磋商文件要求完成本项</w:t>
      </w:r>
      <w:r>
        <w:rPr>
          <w:rFonts w:hint="eastAsia" w:eastAsiaTheme="minorEastAsia"/>
          <w:color w:val="auto"/>
          <w:sz w:val="24"/>
          <w:highlight w:val="none"/>
        </w:rPr>
        <w:t>目的全部相关工程或服务费用。</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采购人不得向供应商索要或者接受其给予的赠品、回扣或者与采购无关的其他商品、服务。</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供应商不能提供任何有选择性或可调整的最后报价（</w:t>
      </w:r>
      <w:r>
        <w:rPr>
          <w:rFonts w:eastAsiaTheme="minorEastAsia"/>
          <w:color w:val="auto"/>
          <w:kern w:val="0"/>
          <w:sz w:val="24"/>
          <w:highlight w:val="none"/>
        </w:rPr>
        <w:t>竞争性磋商文件</w:t>
      </w:r>
      <w:r>
        <w:rPr>
          <w:rFonts w:eastAsiaTheme="minorEastAsia"/>
          <w:color w:val="auto"/>
          <w:sz w:val="24"/>
          <w:highlight w:val="none"/>
        </w:rPr>
        <w:t>另有规定的除外），否则其</w:t>
      </w:r>
      <w:r>
        <w:rPr>
          <w:rFonts w:eastAsiaTheme="minorEastAsia"/>
          <w:b/>
          <w:color w:val="auto"/>
          <w:sz w:val="24"/>
          <w:highlight w:val="none"/>
        </w:rPr>
        <w:t>响应无效</w:t>
      </w:r>
      <w:r>
        <w:rPr>
          <w:rFonts w:eastAsiaTheme="minorEastAsia"/>
          <w:color w:val="auto"/>
          <w:sz w:val="24"/>
          <w:highlight w:val="none"/>
        </w:rPr>
        <w:t>。</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磋商保证金</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bookmarkStart w:id="291" w:name="_Ref467306302"/>
      <w:r>
        <w:rPr>
          <w:rFonts w:eastAsiaTheme="minorEastAsia"/>
          <w:color w:val="auto"/>
          <w:sz w:val="24"/>
          <w:highlight w:val="none"/>
        </w:rPr>
        <w:t>供应商应按《供应商须知资料表》中规定的金额及要求交纳磋商保证金</w:t>
      </w:r>
      <w:bookmarkEnd w:id="291"/>
      <w:r>
        <w:rPr>
          <w:rFonts w:eastAsiaTheme="minorEastAsia"/>
          <w:color w:val="auto"/>
          <w:sz w:val="24"/>
          <w:highlight w:val="none"/>
        </w:rPr>
        <w:t>，并作为其响应文件的一部分。</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交纳磋商保证金可采用的形式：政府采购法律法规接受的支票、汇票、本票、网上银行支付或者金融机构、担保机构出具的保函等非现金形式。</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磋商保证金到账（保函提交）截止时间同首次响应文件提交截止时间。以支票、汇票、本票、</w:t>
      </w:r>
      <w:r>
        <w:rPr>
          <w:color w:val="auto"/>
          <w:sz w:val="24"/>
          <w:highlight w:val="none"/>
        </w:rPr>
        <w:t>网上银行支付</w:t>
      </w:r>
      <w:r>
        <w:rPr>
          <w:rFonts w:eastAsiaTheme="minorEastAsia"/>
          <w:color w:val="auto"/>
          <w:sz w:val="24"/>
          <w:highlight w:val="none"/>
        </w:rPr>
        <w:t>等形式提交磋商保证金的，应在首次响应文件提交截止时间前</w:t>
      </w:r>
      <w:r>
        <w:rPr>
          <w:rFonts w:hint="eastAsia" w:eastAsiaTheme="minorEastAsia"/>
          <w:color w:val="auto"/>
          <w:sz w:val="24"/>
          <w:highlight w:val="none"/>
        </w:rPr>
        <w:t>到账</w:t>
      </w:r>
      <w:r>
        <w:rPr>
          <w:rFonts w:eastAsiaTheme="minorEastAsia"/>
          <w:color w:val="auto"/>
          <w:sz w:val="24"/>
          <w:highlight w:val="none"/>
        </w:rPr>
        <w:t>；</w:t>
      </w:r>
      <w:r>
        <w:rPr>
          <w:rFonts w:hint="eastAsia"/>
          <w:color w:val="auto"/>
          <w:sz w:val="24"/>
          <w:highlight w:val="none"/>
        </w:rPr>
        <w:t>以</w:t>
      </w:r>
      <w:r>
        <w:rPr>
          <w:color w:val="auto"/>
          <w:sz w:val="24"/>
          <w:highlight w:val="none"/>
        </w:rPr>
        <w:t>金融机构、担保机构出具的保函等形式提交</w:t>
      </w:r>
      <w:r>
        <w:rPr>
          <w:rFonts w:hint="eastAsia"/>
          <w:color w:val="auto"/>
          <w:sz w:val="24"/>
          <w:highlight w:val="none"/>
        </w:rPr>
        <w:t>磋商</w:t>
      </w:r>
      <w:r>
        <w:rPr>
          <w:color w:val="auto"/>
          <w:sz w:val="24"/>
          <w:highlight w:val="none"/>
        </w:rPr>
        <w:t>保证金的，应在</w:t>
      </w:r>
      <w:r>
        <w:rPr>
          <w:rFonts w:eastAsiaTheme="minorEastAsia"/>
          <w:color w:val="auto"/>
          <w:sz w:val="24"/>
          <w:highlight w:val="none"/>
        </w:rPr>
        <w:t>首次响应文件</w:t>
      </w:r>
      <w:r>
        <w:rPr>
          <w:rFonts w:hint="eastAsia" w:eastAsiaTheme="minorEastAsia"/>
          <w:color w:val="auto"/>
          <w:sz w:val="24"/>
          <w:highlight w:val="none"/>
        </w:rPr>
        <w:t>提交</w:t>
      </w:r>
      <w:r>
        <w:rPr>
          <w:color w:val="auto"/>
          <w:sz w:val="24"/>
          <w:highlight w:val="none"/>
        </w:rPr>
        <w:t>截止时间前</w:t>
      </w:r>
      <w:r>
        <w:rPr>
          <w:rFonts w:eastAsiaTheme="minorEastAsia"/>
          <w:color w:val="auto"/>
          <w:sz w:val="24"/>
          <w:highlight w:val="none"/>
        </w:rPr>
        <w:t>将原件提交至采购代理机构；由于</w:t>
      </w:r>
      <w:r>
        <w:rPr>
          <w:rFonts w:hint="eastAsia"/>
          <w:color w:val="auto"/>
          <w:sz w:val="24"/>
          <w:highlight w:val="none"/>
        </w:rPr>
        <w:t>到账时间</w:t>
      </w:r>
      <w:r>
        <w:rPr>
          <w:color w:val="auto"/>
          <w:sz w:val="24"/>
          <w:highlight w:val="none"/>
        </w:rPr>
        <w:t>晚于</w:t>
      </w:r>
      <w:r>
        <w:rPr>
          <w:rFonts w:eastAsiaTheme="minorEastAsia"/>
          <w:color w:val="auto"/>
          <w:sz w:val="24"/>
          <w:highlight w:val="none"/>
        </w:rPr>
        <w:t>首次响应文件提交</w:t>
      </w:r>
      <w:r>
        <w:rPr>
          <w:color w:val="auto"/>
          <w:sz w:val="24"/>
          <w:highlight w:val="none"/>
        </w:rPr>
        <w:t>截止时间的，或者</w:t>
      </w:r>
      <w:r>
        <w:rPr>
          <w:rFonts w:eastAsiaTheme="minorEastAsia"/>
          <w:color w:val="auto"/>
          <w:sz w:val="24"/>
          <w:highlight w:val="none"/>
        </w:rPr>
        <w:t>票据错误、印鉴不清等原因导致不能到账的，其</w:t>
      </w:r>
      <w:r>
        <w:rPr>
          <w:rFonts w:eastAsiaTheme="minorEastAsia"/>
          <w:b/>
          <w:color w:val="auto"/>
          <w:sz w:val="24"/>
          <w:highlight w:val="none"/>
        </w:rPr>
        <w:t>响应无效</w:t>
      </w:r>
      <w:r>
        <w:rPr>
          <w:rFonts w:eastAsiaTheme="minorEastAsia"/>
          <w:color w:val="auto"/>
          <w:sz w:val="24"/>
          <w:highlight w:val="none"/>
        </w:rPr>
        <w:t>。</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磋商保证金（保函）有效期同响应有效期。</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供应商为联合体的，可以由联合体中的一方或者多方共同交纳磋商保证金，其交纳的保证金对联合体各方均具有约束力。</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11"/>
        </w:numPr>
        <w:snapToGrid w:val="0"/>
        <w:spacing w:line="360" w:lineRule="auto"/>
        <w:rPr>
          <w:rFonts w:eastAsiaTheme="minorEastAsia"/>
          <w:color w:val="auto"/>
          <w:sz w:val="24"/>
          <w:highlight w:val="none"/>
        </w:rPr>
      </w:pPr>
      <w:r>
        <w:rPr>
          <w:rFonts w:eastAsiaTheme="minorEastAsia"/>
          <w:snapToGrid w:val="0"/>
          <w:color w:val="auto"/>
          <w:kern w:val="0"/>
          <w:sz w:val="24"/>
          <w:highlight w:val="none"/>
        </w:rPr>
        <w:t>已提交响应文件的供应商，在提交最后报价之前，可以根据磋商情况退出磋商。采购人、采购代理机构将退还退出磋商的供应商的磋商保证金</w:t>
      </w:r>
      <w:r>
        <w:rPr>
          <w:rFonts w:hint="eastAsia" w:eastAsiaTheme="minorEastAsia"/>
          <w:snapToGrid w:val="0"/>
          <w:color w:val="auto"/>
          <w:kern w:val="0"/>
          <w:sz w:val="24"/>
          <w:highlight w:val="none"/>
        </w:rPr>
        <w:t>；</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成交供应商的磋商保证金，在采购合同签订后5个工作日内退还成交供应商；</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未成交供应商的磋商保证金，在成交通知书发出后5个工作日内退还</w:t>
      </w:r>
      <w:r>
        <w:rPr>
          <w:rFonts w:hint="eastAsia" w:eastAsiaTheme="minorEastAsia"/>
          <w:color w:val="auto"/>
          <w:sz w:val="24"/>
          <w:highlight w:val="none"/>
        </w:rPr>
        <w:t>。</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有下列情形之一的，采购人或采购代理机构不予退还磋商保证金：</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供应商在提交响应文件截止时间后撤回响应文件的；</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供应商在响应文件中提供虚假材料的；</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除因不可抗力或磋商文件认可的情形以外，成交供应商不与采购人签订合同的；</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供应商与采购人、其他供应商或者采购代理机构恶意串通的；</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《供应商须知资料表》规定的其他情形。</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响应有效期</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响应文件应在本竞争性磋商文件《供应商须知资料表》中规定的响应有效期内保持有效，响应有效期少于竞争性磋商文件规定期限的，其</w:t>
      </w:r>
      <w:r>
        <w:rPr>
          <w:rFonts w:eastAsiaTheme="minorEastAsia"/>
          <w:b/>
          <w:color w:val="auto"/>
          <w:sz w:val="24"/>
          <w:highlight w:val="none"/>
        </w:rPr>
        <w:t>响应无效</w:t>
      </w:r>
      <w:r>
        <w:rPr>
          <w:rFonts w:eastAsiaTheme="minorEastAsia"/>
          <w:color w:val="auto"/>
          <w:sz w:val="24"/>
          <w:highlight w:val="none"/>
        </w:rPr>
        <w:t>。</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292" w:name="_Toc151193631"/>
      <w:bookmarkStart w:id="293" w:name="_Toc264969223"/>
      <w:bookmarkStart w:id="294" w:name="_Toc127151734"/>
      <w:bookmarkStart w:id="295" w:name="_Toc164608647"/>
      <w:bookmarkStart w:id="296" w:name="_Toc164351627"/>
      <w:bookmarkStart w:id="297" w:name="_Toc226965723"/>
      <w:bookmarkStart w:id="298" w:name="_Toc150480771"/>
      <w:bookmarkStart w:id="299" w:name="_Toc151193921"/>
      <w:bookmarkStart w:id="300" w:name="_Toc265228371"/>
      <w:bookmarkStart w:id="301" w:name="_Toc142311035"/>
      <w:bookmarkStart w:id="302" w:name="_Toc127151533"/>
      <w:bookmarkStart w:id="303" w:name="_Toc226309777"/>
      <w:bookmarkStart w:id="304" w:name="_Toc164229374"/>
      <w:bookmarkStart w:id="305" w:name="_Toc164229228"/>
      <w:bookmarkStart w:id="306" w:name="_Toc151193703"/>
      <w:bookmarkStart w:id="307" w:name="_Toc151190160"/>
      <w:bookmarkStart w:id="308" w:name="_Toc226337229"/>
      <w:bookmarkStart w:id="309" w:name="_Toc305158875"/>
      <w:bookmarkStart w:id="310" w:name="_Toc149720826"/>
      <w:bookmarkStart w:id="311" w:name="_Toc520356158"/>
      <w:bookmarkStart w:id="312" w:name="_Toc150509284"/>
      <w:bookmarkStart w:id="313" w:name="_Toc151193847"/>
      <w:bookmarkStart w:id="314" w:name="_Toc150774633"/>
      <w:bookmarkStart w:id="315" w:name="_Toc151193775"/>
      <w:bookmarkStart w:id="316" w:name="_Toc150774738"/>
      <w:bookmarkStart w:id="317" w:name="_Toc226965806"/>
      <w:bookmarkStart w:id="318" w:name="_Toc305158801"/>
      <w:bookmarkStart w:id="319" w:name="_Toc164608802"/>
      <w:bookmarkStart w:id="320" w:name="_Toc127161447"/>
      <w:bookmarkStart w:id="321" w:name="_Toc195842898"/>
      <w:r>
        <w:rPr>
          <w:rFonts w:eastAsiaTheme="minorEastAsia"/>
          <w:color w:val="auto"/>
          <w:sz w:val="24"/>
          <w:highlight w:val="none"/>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rFonts w:eastAsiaTheme="minorEastAsia"/>
          <w:color w:val="auto"/>
          <w:sz w:val="24"/>
          <w:highlight w:val="none"/>
        </w:rPr>
        <w:t>、盖章</w:t>
      </w:r>
    </w:p>
    <w:p>
      <w:pPr>
        <w:numPr>
          <w:ilvl w:val="1"/>
          <w:numId w:val="11"/>
        </w:numPr>
        <w:tabs>
          <w:tab w:val="left" w:pos="1080"/>
        </w:tabs>
        <w:snapToGrid w:val="0"/>
        <w:spacing w:line="360" w:lineRule="auto"/>
        <w:rPr>
          <w:rFonts w:eastAsiaTheme="minorEastAsia"/>
          <w:color w:val="auto"/>
          <w:sz w:val="24"/>
          <w:highlight w:val="none"/>
        </w:rPr>
      </w:pPr>
      <w:bookmarkStart w:id="322" w:name="_Toc226337230"/>
      <w:bookmarkStart w:id="323" w:name="_Toc150774634"/>
      <w:bookmarkStart w:id="324" w:name="_Toc151193922"/>
      <w:bookmarkStart w:id="325" w:name="_Toc195842899"/>
      <w:bookmarkStart w:id="326" w:name="_Toc127151534"/>
      <w:bookmarkStart w:id="327" w:name="_Toc226309778"/>
      <w:bookmarkStart w:id="328" w:name="_Toc150480772"/>
      <w:bookmarkStart w:id="329" w:name="_Toc305158802"/>
      <w:bookmarkStart w:id="330" w:name="_Toc142311036"/>
      <w:bookmarkStart w:id="331" w:name="_Toc265228372"/>
      <w:bookmarkStart w:id="332" w:name="_Toc150774739"/>
      <w:bookmarkStart w:id="333" w:name="_Toc151190161"/>
      <w:bookmarkStart w:id="334" w:name="_Toc264969224"/>
      <w:bookmarkStart w:id="335" w:name="_Toc151193848"/>
      <w:bookmarkStart w:id="336" w:name="_Toc151193776"/>
      <w:bookmarkStart w:id="337" w:name="_Toc226965724"/>
      <w:bookmarkStart w:id="338" w:name="_Toc151193632"/>
      <w:bookmarkStart w:id="339" w:name="_Toc520356159"/>
      <w:bookmarkStart w:id="340" w:name="_Toc151193704"/>
      <w:bookmarkStart w:id="341" w:name="_Toc226965807"/>
      <w:bookmarkStart w:id="342" w:name="_Toc150509285"/>
      <w:bookmarkStart w:id="343" w:name="_Toc305158876"/>
      <w:r>
        <w:rPr>
          <w:rFonts w:eastAsiaTheme="minorEastAsia"/>
          <w:color w:val="auto"/>
          <w:sz w:val="24"/>
          <w:highlight w:val="none"/>
        </w:rPr>
        <w:t>竞争性磋商文件要求签字的内容（如授权委托书等），</w:t>
      </w:r>
      <w:r>
        <w:rPr>
          <w:rFonts w:hint="eastAsia" w:eastAsiaTheme="minorEastAsia"/>
          <w:color w:val="auto"/>
          <w:sz w:val="24"/>
          <w:highlight w:val="none"/>
        </w:rPr>
        <w:t>可以使用电子签章或使用原件的电子件（电子件指扫描件、照片等形式电子文件）；要求</w:t>
      </w:r>
      <w:r>
        <w:rPr>
          <w:rFonts w:eastAsiaTheme="minorEastAsia"/>
          <w:color w:val="auto"/>
          <w:sz w:val="24"/>
          <w:highlight w:val="none"/>
        </w:rPr>
        <w:t>第三方出具的盖章件原件（如联合协议、分包意向协议、制造商授权书原件等），响应文件中应使用原件的电子件。</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竞争性磋商文件要求盖章的内容，</w:t>
      </w:r>
      <w:r>
        <w:rPr>
          <w:rFonts w:hint="eastAsia" w:eastAsiaTheme="minorEastAsia"/>
          <w:color w:val="auto"/>
          <w:sz w:val="24"/>
          <w:highlight w:val="none"/>
        </w:rPr>
        <w:t>一般</w:t>
      </w:r>
      <w:r>
        <w:rPr>
          <w:rFonts w:eastAsiaTheme="minorEastAsia"/>
          <w:color w:val="auto"/>
          <w:sz w:val="24"/>
          <w:highlight w:val="none"/>
        </w:rPr>
        <w:t>通过投标文件编制工具加盖电子签章。</w:t>
      </w:r>
    </w:p>
    <w:p>
      <w:pPr>
        <w:tabs>
          <w:tab w:val="left" w:pos="900"/>
          <w:tab w:val="left" w:pos="1080"/>
        </w:tabs>
        <w:snapToGrid w:val="0"/>
        <w:spacing w:line="360" w:lineRule="auto"/>
        <w:ind w:left="357"/>
        <w:rPr>
          <w:rFonts w:eastAsiaTheme="minorEastAsia"/>
          <w:color w:val="auto"/>
          <w:highlight w:val="none"/>
        </w:rPr>
      </w:pPr>
    </w:p>
    <w:p>
      <w:pPr>
        <w:pStyle w:val="3"/>
        <w:spacing w:before="0" w:line="360" w:lineRule="auto"/>
        <w:rPr>
          <w:rFonts w:ascii="Times New Roman" w:hAnsi="Times New Roman" w:eastAsiaTheme="minorEastAsia"/>
          <w:color w:val="auto"/>
          <w:sz w:val="28"/>
          <w:highlight w:val="none"/>
        </w:rPr>
      </w:pPr>
      <w:r>
        <w:rPr>
          <w:rFonts w:ascii="Times New Roman" w:hAnsi="Times New Roman" w:eastAsiaTheme="minorEastAsia"/>
          <w:color w:val="auto"/>
          <w:sz w:val="28"/>
          <w:highlight w:val="none"/>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344" w:name="_Toc164351629"/>
      <w:bookmarkStart w:id="345" w:name="_Toc151193633"/>
      <w:bookmarkStart w:id="346" w:name="_Toc226965725"/>
      <w:bookmarkStart w:id="347" w:name="_Toc149720828"/>
      <w:bookmarkStart w:id="348" w:name="_Toc195842900"/>
      <w:bookmarkStart w:id="349" w:name="_Toc226309779"/>
      <w:bookmarkStart w:id="350" w:name="_Toc127151535"/>
      <w:bookmarkStart w:id="351" w:name="_Toc150774740"/>
      <w:bookmarkStart w:id="352" w:name="_Toc305158803"/>
      <w:bookmarkStart w:id="353" w:name="_Toc264969225"/>
      <w:bookmarkStart w:id="354" w:name="_Toc520356160"/>
      <w:bookmarkStart w:id="355" w:name="_Toc150774635"/>
      <w:bookmarkStart w:id="356" w:name="_Toc226965808"/>
      <w:bookmarkStart w:id="357" w:name="_Toc142311037"/>
      <w:bookmarkStart w:id="358" w:name="_Toc127161449"/>
      <w:bookmarkStart w:id="359" w:name="_Toc305158877"/>
      <w:bookmarkStart w:id="360" w:name="_Toc164608649"/>
      <w:bookmarkStart w:id="361" w:name="_Toc265228373"/>
      <w:bookmarkStart w:id="362" w:name="_Toc151193705"/>
      <w:bookmarkStart w:id="363" w:name="_Toc151193923"/>
      <w:bookmarkStart w:id="364" w:name="_Toc226337231"/>
      <w:bookmarkStart w:id="365" w:name="_Toc151190162"/>
      <w:bookmarkStart w:id="366" w:name="_Toc151193777"/>
      <w:bookmarkStart w:id="367" w:name="_Toc150480773"/>
      <w:bookmarkStart w:id="368" w:name="_Toc151193849"/>
      <w:bookmarkStart w:id="369" w:name="_Toc150509286"/>
      <w:bookmarkStart w:id="370" w:name="_Toc164229230"/>
      <w:bookmarkStart w:id="371" w:name="_Toc127151736"/>
      <w:bookmarkStart w:id="372" w:name="_Toc164229376"/>
      <w:bookmarkStart w:id="373" w:name="_Toc164608804"/>
      <w:r>
        <w:rPr>
          <w:rFonts w:eastAsiaTheme="minorEastAsia"/>
          <w:color w:val="auto"/>
          <w:sz w:val="24"/>
          <w:highlight w:val="none"/>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Pr>
          <w:rFonts w:eastAsiaTheme="minorEastAsia"/>
          <w:color w:val="auto"/>
          <w:sz w:val="24"/>
          <w:highlight w:val="none"/>
        </w:rPr>
        <w:t>提交</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本项目使用北京市政府采购电子交易平台。供应商根据竞争性磋商文件及北京市政府采购电子交易平台供应商操作手册要求编制、生成并提交电子响应文件。</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采购人及采购代理机构拒绝接受通过电子交易平台以外任何形式提交的响应文件，磋商保证金除外。</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374" w:name="_Toc127151737"/>
      <w:bookmarkStart w:id="375" w:name="_Toc226965809"/>
      <w:bookmarkStart w:id="376" w:name="_Toc151193634"/>
      <w:bookmarkStart w:id="377" w:name="_Toc226309780"/>
      <w:bookmarkStart w:id="378" w:name="_Toc226337232"/>
      <w:bookmarkStart w:id="379" w:name="_Toc195842901"/>
      <w:bookmarkStart w:id="380" w:name="_Toc164608650"/>
      <w:bookmarkStart w:id="381" w:name="_Toc127151536"/>
      <w:bookmarkStart w:id="382" w:name="_Toc151193850"/>
      <w:bookmarkStart w:id="383" w:name="_Toc150774741"/>
      <w:bookmarkStart w:id="384" w:name="_Toc151190163"/>
      <w:bookmarkStart w:id="385" w:name="_Toc305158878"/>
      <w:bookmarkStart w:id="386" w:name="_Toc151193924"/>
      <w:bookmarkStart w:id="387" w:name="_Toc150774636"/>
      <w:bookmarkStart w:id="388" w:name="_Toc305158804"/>
      <w:bookmarkStart w:id="389" w:name="_Toc149720829"/>
      <w:bookmarkStart w:id="390" w:name="_Toc520356161"/>
      <w:bookmarkStart w:id="391" w:name="_Toc150509287"/>
      <w:bookmarkStart w:id="392" w:name="_Toc151193706"/>
      <w:bookmarkStart w:id="393" w:name="_Toc150480774"/>
      <w:bookmarkStart w:id="394" w:name="_Toc264969226"/>
      <w:bookmarkStart w:id="395" w:name="_Toc226965726"/>
      <w:bookmarkStart w:id="396" w:name="_Toc265228374"/>
      <w:bookmarkStart w:id="397" w:name="_Toc164608805"/>
      <w:bookmarkStart w:id="398" w:name="_Toc151193778"/>
      <w:bookmarkStart w:id="399" w:name="_Toc127161450"/>
      <w:bookmarkStart w:id="400" w:name="_Toc164229231"/>
      <w:bookmarkStart w:id="401" w:name="_Toc164351630"/>
      <w:bookmarkStart w:id="402" w:name="_Toc164229377"/>
      <w:bookmarkStart w:id="403" w:name="_Toc142311038"/>
      <w:r>
        <w:rPr>
          <w:rFonts w:eastAsiaTheme="minorEastAsia"/>
          <w:color w:val="auto"/>
          <w:sz w:val="24"/>
          <w:highlight w:val="none"/>
        </w:rPr>
        <w:t>响应文件截止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rFonts w:eastAsiaTheme="minorEastAsia"/>
          <w:color w:val="auto"/>
          <w:sz w:val="24"/>
          <w:highlight w:val="none"/>
        </w:rPr>
        <w:t>时间</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供应商应在竞争性磋商文件要求提交响应文件截止时间前，将电子响应文件提交至北京市政府采购电子交易平台。</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404" w:name="_Toc520356162"/>
      <w:bookmarkStart w:id="405" w:name="_Toc149720830"/>
      <w:bookmarkStart w:id="406" w:name="_Toc305158879"/>
      <w:bookmarkStart w:id="407" w:name="_Toc142311039"/>
      <w:bookmarkStart w:id="408" w:name="_Toc164229232"/>
      <w:bookmarkStart w:id="409" w:name="_Toc150480775"/>
      <w:bookmarkStart w:id="410" w:name="_Toc150774742"/>
      <w:bookmarkStart w:id="411" w:name="_Toc127151738"/>
      <w:bookmarkStart w:id="412" w:name="_Toc151190164"/>
      <w:bookmarkStart w:id="413" w:name="_Toc226965727"/>
      <w:bookmarkStart w:id="414" w:name="_Toc164351631"/>
      <w:bookmarkStart w:id="415" w:name="_Toc150509288"/>
      <w:bookmarkStart w:id="416" w:name="_Toc305158805"/>
      <w:bookmarkStart w:id="417" w:name="_Toc151193925"/>
      <w:bookmarkStart w:id="418" w:name="_Toc150774637"/>
      <w:bookmarkStart w:id="419" w:name="_Toc264969227"/>
      <w:bookmarkStart w:id="420" w:name="_Toc127151537"/>
      <w:bookmarkStart w:id="421" w:name="_Toc265228375"/>
      <w:bookmarkStart w:id="422" w:name="_Toc151193635"/>
      <w:bookmarkStart w:id="423" w:name="_Toc151193851"/>
      <w:bookmarkStart w:id="424" w:name="_Toc195842902"/>
      <w:bookmarkStart w:id="425" w:name="_Toc164608806"/>
      <w:bookmarkStart w:id="426" w:name="_Toc164229378"/>
      <w:bookmarkStart w:id="427" w:name="_Toc226309781"/>
      <w:bookmarkStart w:id="428" w:name="_Toc164608651"/>
      <w:bookmarkStart w:id="429" w:name="_Toc226337233"/>
      <w:bookmarkStart w:id="430" w:name="_Toc151193779"/>
      <w:bookmarkStart w:id="431" w:name="_Toc151193707"/>
      <w:bookmarkStart w:id="432" w:name="_Toc226965810"/>
      <w:bookmarkStart w:id="433" w:name="_Toc127161451"/>
      <w:r>
        <w:rPr>
          <w:rFonts w:eastAsiaTheme="minorEastAsia"/>
          <w:color w:val="auto"/>
          <w:sz w:val="24"/>
          <w:highlight w:val="none"/>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提交响应文件截止时间前，供应商可以通过电子交易平台对所提交的响应文件进行补充、修改或者撤回。磋商保证金</w:t>
      </w:r>
      <w:r>
        <w:rPr>
          <w:rFonts w:hint="eastAsia" w:eastAsiaTheme="minorEastAsia"/>
          <w:color w:val="auto"/>
          <w:sz w:val="24"/>
          <w:highlight w:val="none"/>
        </w:rPr>
        <w:t>的</w:t>
      </w:r>
      <w:r>
        <w:rPr>
          <w:rFonts w:eastAsiaTheme="minorEastAsia"/>
          <w:color w:val="auto"/>
          <w:sz w:val="24"/>
          <w:highlight w:val="none"/>
        </w:rPr>
        <w:t>补充、修改或者撤回</w:t>
      </w:r>
      <w:r>
        <w:rPr>
          <w:rFonts w:hint="eastAsia"/>
          <w:color w:val="auto"/>
          <w:sz w:val="24"/>
          <w:highlight w:val="none"/>
        </w:rPr>
        <w:t>无需</w:t>
      </w:r>
      <w:r>
        <w:rPr>
          <w:color w:val="auto"/>
          <w:sz w:val="24"/>
          <w:highlight w:val="none"/>
        </w:rPr>
        <w:t>通过电子交易平台</w:t>
      </w:r>
      <w:r>
        <w:rPr>
          <w:rFonts w:hint="eastAsia"/>
          <w:color w:val="auto"/>
          <w:sz w:val="24"/>
          <w:highlight w:val="none"/>
        </w:rPr>
        <w:t>，</w:t>
      </w:r>
      <w:r>
        <w:rPr>
          <w:color w:val="auto"/>
          <w:sz w:val="24"/>
          <w:highlight w:val="none"/>
        </w:rPr>
        <w:t>但应</w:t>
      </w:r>
      <w:r>
        <w:rPr>
          <w:rFonts w:hint="eastAsia"/>
          <w:color w:val="auto"/>
          <w:sz w:val="24"/>
          <w:highlight w:val="none"/>
        </w:rPr>
        <w:t>就其</w:t>
      </w:r>
      <w:r>
        <w:rPr>
          <w:color w:val="auto"/>
          <w:sz w:val="24"/>
          <w:highlight w:val="none"/>
        </w:rPr>
        <w:t>补充、修改或者撤回</w:t>
      </w:r>
      <w:r>
        <w:rPr>
          <w:rFonts w:hint="eastAsia"/>
          <w:color w:val="auto"/>
          <w:sz w:val="24"/>
          <w:highlight w:val="none"/>
        </w:rPr>
        <w:t>通知</w:t>
      </w:r>
      <w:r>
        <w:rPr>
          <w:color w:val="auto"/>
          <w:sz w:val="24"/>
          <w:highlight w:val="none"/>
        </w:rPr>
        <w:t>采购人或采购代理机构</w:t>
      </w:r>
      <w:r>
        <w:rPr>
          <w:rFonts w:eastAsiaTheme="minorEastAsia"/>
          <w:color w:val="auto"/>
          <w:sz w:val="24"/>
          <w:highlight w:val="none"/>
        </w:rPr>
        <w:t>。</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供应商对响应文件的补充、修改的内容应当按照竞争性磋商文件要求签署、盖章，作为响应文件的组成部分。</w:t>
      </w:r>
      <w:r>
        <w:rPr>
          <w:rFonts w:eastAsiaTheme="minorEastAsia"/>
          <w:color w:val="auto"/>
          <w:kern w:val="0"/>
          <w:sz w:val="24"/>
          <w:highlight w:val="none"/>
        </w:rPr>
        <w:t>补充、修改的内容与响应文件不一致的，以补充、修改的内容为准。</w:t>
      </w:r>
    </w:p>
    <w:p>
      <w:pPr>
        <w:tabs>
          <w:tab w:val="left" w:pos="900"/>
          <w:tab w:val="left" w:pos="1080"/>
          <w:tab w:val="left" w:pos="1589"/>
        </w:tabs>
        <w:snapToGrid w:val="0"/>
        <w:spacing w:line="360" w:lineRule="auto"/>
        <w:ind w:left="357"/>
        <w:rPr>
          <w:rFonts w:eastAsiaTheme="minorEastAsia"/>
          <w:color w:val="auto"/>
          <w:sz w:val="24"/>
          <w:highlight w:val="none"/>
        </w:rPr>
      </w:pPr>
    </w:p>
    <w:p>
      <w:pPr>
        <w:pStyle w:val="3"/>
        <w:spacing w:before="0" w:line="360" w:lineRule="auto"/>
        <w:rPr>
          <w:rFonts w:ascii="Times New Roman" w:hAnsi="Times New Roman" w:eastAsiaTheme="minorEastAsia"/>
          <w:color w:val="auto"/>
          <w:sz w:val="28"/>
          <w:highlight w:val="none"/>
        </w:rPr>
      </w:pPr>
      <w:bookmarkStart w:id="434" w:name="_Toc151193926"/>
      <w:bookmarkStart w:id="435" w:name="_Toc150774743"/>
      <w:bookmarkStart w:id="436" w:name="_Toc150509289"/>
      <w:bookmarkStart w:id="437" w:name="_Toc195842903"/>
      <w:bookmarkStart w:id="438" w:name="_Toc150774638"/>
      <w:bookmarkStart w:id="439" w:name="_Toc226309782"/>
      <w:bookmarkStart w:id="440" w:name="_Toc142311040"/>
      <w:bookmarkStart w:id="441" w:name="_Toc226965811"/>
      <w:bookmarkStart w:id="442" w:name="_Toc151193636"/>
      <w:bookmarkStart w:id="443" w:name="_Toc151193852"/>
      <w:bookmarkStart w:id="444" w:name="_Toc305158880"/>
      <w:bookmarkStart w:id="445" w:name="_Toc305158806"/>
      <w:bookmarkStart w:id="446" w:name="_Toc127151538"/>
      <w:bookmarkStart w:id="447" w:name="_Toc150480776"/>
      <w:bookmarkStart w:id="448" w:name="_Toc264969228"/>
      <w:bookmarkStart w:id="449" w:name="_Toc520356163"/>
      <w:bookmarkStart w:id="450" w:name="_Toc226337234"/>
      <w:bookmarkStart w:id="451" w:name="_Toc265228376"/>
      <w:bookmarkStart w:id="452" w:name="_Toc151193708"/>
      <w:bookmarkStart w:id="453" w:name="_Toc151193780"/>
      <w:bookmarkStart w:id="454" w:name="_Toc151190165"/>
      <w:bookmarkStart w:id="455" w:name="_Toc226965728"/>
      <w:r>
        <w:rPr>
          <w:rFonts w:ascii="Times New Roman" w:hAnsi="Times New Roman" w:eastAsiaTheme="minorEastAsia"/>
          <w:color w:val="auto"/>
          <w:sz w:val="28"/>
          <w:highlight w:val="none"/>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 w:hAnsi="Times New Roman" w:eastAsiaTheme="minorEastAsia"/>
          <w:color w:val="auto"/>
          <w:sz w:val="28"/>
          <w:highlight w:val="none"/>
        </w:rPr>
        <w:t>评审</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响应文件的</w:t>
      </w:r>
      <w:r>
        <w:rPr>
          <w:rFonts w:hint="eastAsia" w:eastAsiaTheme="minorEastAsia"/>
          <w:color w:val="auto"/>
          <w:sz w:val="24"/>
          <w:highlight w:val="none"/>
        </w:rPr>
        <w:t>解密与</w:t>
      </w:r>
      <w:r>
        <w:rPr>
          <w:rFonts w:eastAsiaTheme="minorEastAsia"/>
          <w:color w:val="auto"/>
          <w:sz w:val="24"/>
          <w:highlight w:val="none"/>
        </w:rPr>
        <w:t>开启</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采购人或采购代理机构将按竞争性磋商文件的规定，在响应文件提交截止时间的同一时间和竞争性磋商文件预先确定的地点开启响应文件。</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本项目解密使用北京市政府采购电子交易平台。供应商应在规定的时间内对响应文件进行解密，因非系统原因导致的解密失败，视为</w:t>
      </w:r>
      <w:r>
        <w:rPr>
          <w:rFonts w:eastAsiaTheme="minorEastAsia"/>
          <w:b/>
          <w:color w:val="auto"/>
          <w:sz w:val="24"/>
          <w:highlight w:val="none"/>
        </w:rPr>
        <w:t>响应无效</w:t>
      </w:r>
      <w:r>
        <w:rPr>
          <w:rFonts w:eastAsiaTheme="minorEastAsia"/>
          <w:color w:val="auto"/>
          <w:sz w:val="24"/>
          <w:highlight w:val="none"/>
        </w:rPr>
        <w:t>。</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供应商不足3家的，不予解密。</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bookmarkStart w:id="456" w:name="_Toc520356165"/>
      <w:r>
        <w:rPr>
          <w:rFonts w:eastAsiaTheme="minorEastAsia"/>
          <w:color w:val="auto"/>
          <w:sz w:val="24"/>
          <w:highlight w:val="none"/>
        </w:rPr>
        <w:t>本项目不公开报价。</w:t>
      </w:r>
    </w:p>
    <w:bookmarkEnd w:id="456"/>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磋商小组</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磋商小组根据政府采购有关规定和本次采购项目的特点进行组建，并负责具体评审事务，独立履行职责。</w:t>
      </w:r>
      <w:bookmarkStart w:id="457" w:name="_Toc520356166"/>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7"/>
      <w:bookmarkStart w:id="458" w:name="_Toc520356169"/>
    </w:p>
    <w:p>
      <w:pPr>
        <w:numPr>
          <w:ilvl w:val="0"/>
          <w:numId w:val="11"/>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评审方法和评审标准</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见第三章《评审方法和评审标准》。</w:t>
      </w:r>
    </w:p>
    <w:p>
      <w:pPr>
        <w:tabs>
          <w:tab w:val="left" w:pos="360"/>
          <w:tab w:val="left" w:pos="1080"/>
        </w:tabs>
        <w:snapToGrid w:val="0"/>
        <w:spacing w:line="360" w:lineRule="auto"/>
        <w:ind w:left="1080"/>
        <w:rPr>
          <w:rFonts w:eastAsiaTheme="minorEastAsia"/>
          <w:color w:val="auto"/>
          <w:sz w:val="24"/>
          <w:highlight w:val="none"/>
        </w:rPr>
      </w:pPr>
    </w:p>
    <w:p>
      <w:pPr>
        <w:pStyle w:val="3"/>
        <w:spacing w:before="0" w:line="360" w:lineRule="auto"/>
        <w:rPr>
          <w:rFonts w:ascii="Times New Roman" w:hAnsi="Times New Roman" w:eastAsiaTheme="minorEastAsia"/>
          <w:color w:val="auto"/>
          <w:sz w:val="28"/>
          <w:highlight w:val="none"/>
        </w:rPr>
      </w:pPr>
      <w:bookmarkStart w:id="459" w:name="_Toc151193859"/>
      <w:bookmarkStart w:id="460" w:name="_Toc151193643"/>
      <w:bookmarkStart w:id="461" w:name="_Toc150774750"/>
      <w:bookmarkStart w:id="462" w:name="_Toc226309789"/>
      <w:bookmarkStart w:id="463" w:name="_Toc151190172"/>
      <w:bookmarkStart w:id="464" w:name="_Toc150480783"/>
      <w:bookmarkStart w:id="465" w:name="_Toc226965735"/>
      <w:bookmarkStart w:id="466" w:name="_Toc305158887"/>
      <w:bookmarkStart w:id="467" w:name="_Toc150774645"/>
      <w:bookmarkStart w:id="468" w:name="_Toc264969235"/>
      <w:bookmarkStart w:id="469" w:name="_Toc265228383"/>
      <w:bookmarkStart w:id="470" w:name="_Toc195842910"/>
      <w:bookmarkStart w:id="471" w:name="_Toc127151545"/>
      <w:bookmarkStart w:id="472" w:name="_Toc150509296"/>
      <w:bookmarkStart w:id="473" w:name="_Toc305158813"/>
      <w:bookmarkStart w:id="474" w:name="_Toc151193715"/>
      <w:bookmarkStart w:id="475" w:name="_Toc226337241"/>
      <w:bookmarkStart w:id="476" w:name="_Toc226965818"/>
      <w:bookmarkStart w:id="477" w:name="_Toc151193787"/>
      <w:bookmarkStart w:id="478" w:name="_Toc142311047"/>
      <w:bookmarkStart w:id="479" w:name="_Toc151193933"/>
      <w:r>
        <w:rPr>
          <w:rFonts w:ascii="Times New Roman" w:hAnsi="Times New Roman" w:eastAsiaTheme="minorEastAsia"/>
          <w:color w:val="auto"/>
          <w:sz w:val="28"/>
          <w:highlight w:val="none"/>
        </w:rPr>
        <w:t xml:space="preserve">六   </w:t>
      </w:r>
      <w:bookmarkEnd w:id="458"/>
      <w:r>
        <w:rPr>
          <w:rFonts w:ascii="Times New Roman" w:hAnsi="Times New Roman" w:eastAsiaTheme="minorEastAsia"/>
          <w:color w:val="auto"/>
          <w:sz w:val="28"/>
          <w:highlight w:val="none"/>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ascii="Times New Roman" w:hAnsi="Times New Roman" w:eastAsiaTheme="minorEastAsia"/>
          <w:color w:val="auto"/>
          <w:sz w:val="28"/>
          <w:highlight w:val="none"/>
        </w:rPr>
        <w:t>成交</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480" w:name="_Toc150774647"/>
      <w:bookmarkStart w:id="481" w:name="_Toc149720840"/>
      <w:bookmarkStart w:id="482" w:name="_Toc305158889"/>
      <w:bookmarkStart w:id="483" w:name="_Toc151193717"/>
      <w:bookmarkStart w:id="484" w:name="_Toc150480785"/>
      <w:bookmarkStart w:id="485" w:name="_Toc226309791"/>
      <w:bookmarkStart w:id="486" w:name="_Toc151190174"/>
      <w:bookmarkStart w:id="487" w:name="_Toc226337243"/>
      <w:bookmarkStart w:id="488" w:name="_Toc151193861"/>
      <w:bookmarkStart w:id="489" w:name="_Toc305158815"/>
      <w:bookmarkStart w:id="490" w:name="_Toc164229388"/>
      <w:bookmarkStart w:id="491" w:name="_Toc151193789"/>
      <w:bookmarkStart w:id="492" w:name="_Toc142311049"/>
      <w:bookmarkStart w:id="493" w:name="_Toc151193935"/>
      <w:bookmarkStart w:id="494" w:name="_Toc150509298"/>
      <w:bookmarkStart w:id="495" w:name="_Toc164608661"/>
      <w:bookmarkStart w:id="496" w:name="_Toc127151748"/>
      <w:bookmarkStart w:id="497" w:name="_Toc164608816"/>
      <w:bookmarkStart w:id="498" w:name="_Toc150774752"/>
      <w:bookmarkStart w:id="499" w:name="_Toc127151547"/>
      <w:bookmarkStart w:id="500" w:name="_Toc164351641"/>
      <w:bookmarkStart w:id="501" w:name="_Toc195842912"/>
      <w:bookmarkStart w:id="502" w:name="_Toc265228385"/>
      <w:bookmarkStart w:id="503" w:name="_Toc127161461"/>
      <w:bookmarkStart w:id="504" w:name="_Toc151193645"/>
      <w:bookmarkStart w:id="505" w:name="_Toc164229242"/>
      <w:bookmarkStart w:id="506" w:name="_Toc226965737"/>
      <w:bookmarkStart w:id="507" w:name="_Toc264969237"/>
      <w:bookmarkStart w:id="508" w:name="_Toc226965820"/>
      <w:r>
        <w:rPr>
          <w:rFonts w:eastAsiaTheme="minorEastAsia"/>
          <w:color w:val="auto"/>
          <w:sz w:val="24"/>
          <w:highlight w:val="none"/>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采购人将在收到评审报告后，从评审报告提出的成交候选供应商中，按照排序由高到低的原则确定成交供应商</w:t>
      </w:r>
      <w:r>
        <w:rPr>
          <w:rFonts w:hint="eastAsia" w:eastAsiaTheme="minorEastAsia"/>
          <w:color w:val="auto"/>
          <w:sz w:val="24"/>
          <w:highlight w:val="none"/>
        </w:rPr>
        <w:t>。</w:t>
      </w:r>
      <w:r>
        <w:rPr>
          <w:rFonts w:eastAsiaTheme="minorEastAsia"/>
          <w:color w:val="auto"/>
          <w:sz w:val="24"/>
          <w:highlight w:val="none"/>
        </w:rPr>
        <w:t>采购人是否授权</w:t>
      </w:r>
      <w:r>
        <w:rPr>
          <w:rFonts w:hint="eastAsia" w:eastAsiaTheme="minorEastAsia"/>
          <w:color w:val="auto"/>
          <w:sz w:val="24"/>
          <w:highlight w:val="none"/>
        </w:rPr>
        <w:t>磋商</w:t>
      </w:r>
      <w:r>
        <w:rPr>
          <w:rFonts w:eastAsiaTheme="minorEastAsia"/>
          <w:color w:val="auto"/>
          <w:sz w:val="24"/>
          <w:highlight w:val="none"/>
        </w:rPr>
        <w:t>小组直接确定成交供应商，见《供应商须知资料表》。成交候选人并列的，按照《供应商须知资料表》要求确定成交供应商。</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509" w:name="_Toc305158891"/>
      <w:bookmarkStart w:id="510" w:name="_Toc305158817"/>
      <w:bookmarkStart w:id="511" w:name="_Toc151193863"/>
      <w:bookmarkStart w:id="512" w:name="_Toc150509300"/>
      <w:bookmarkStart w:id="513" w:name="_Toc164229390"/>
      <w:bookmarkStart w:id="514" w:name="_Toc164351643"/>
      <w:bookmarkStart w:id="515" w:name="_Toc149720842"/>
      <w:bookmarkStart w:id="516" w:name="_Toc226965739"/>
      <w:bookmarkStart w:id="517" w:name="_Toc151190176"/>
      <w:bookmarkStart w:id="518" w:name="_Toc127161463"/>
      <w:bookmarkStart w:id="519" w:name="_Toc127151549"/>
      <w:bookmarkStart w:id="520" w:name="_Toc264969239"/>
      <w:bookmarkStart w:id="521" w:name="_Toc142311051"/>
      <w:bookmarkStart w:id="522" w:name="_Toc164229244"/>
      <w:bookmarkStart w:id="523" w:name="_Toc151193791"/>
      <w:bookmarkStart w:id="524" w:name="_Toc164608663"/>
      <w:bookmarkStart w:id="525" w:name="_Toc195842914"/>
      <w:bookmarkStart w:id="526" w:name="_Toc150480787"/>
      <w:bookmarkStart w:id="527" w:name="_Toc265228387"/>
      <w:bookmarkStart w:id="528" w:name="_Toc150774754"/>
      <w:bookmarkStart w:id="529" w:name="_Toc150774649"/>
      <w:bookmarkStart w:id="530" w:name="_Toc127151750"/>
      <w:bookmarkStart w:id="531" w:name="_Toc151193719"/>
      <w:bookmarkStart w:id="532" w:name="_Toc151193647"/>
      <w:bookmarkStart w:id="533" w:name="_Toc226337245"/>
      <w:bookmarkStart w:id="534" w:name="_Toc164608818"/>
      <w:bookmarkStart w:id="535" w:name="_Toc226965822"/>
      <w:bookmarkStart w:id="536" w:name="_Toc151193937"/>
      <w:bookmarkStart w:id="537" w:name="_Toc226309793"/>
      <w:bookmarkStart w:id="538" w:name="_Ref467307090"/>
      <w:bookmarkStart w:id="539" w:name="_Ref467306425"/>
      <w:bookmarkStart w:id="540" w:name="_Toc520356176"/>
      <w:r>
        <w:rPr>
          <w:rFonts w:eastAsiaTheme="minorEastAsia"/>
          <w:color w:val="auto"/>
          <w:sz w:val="24"/>
          <w:highlight w:val="none"/>
        </w:rPr>
        <w:t>成交公告与成交通知书</w:t>
      </w:r>
      <w:bookmarkEnd w:id="509"/>
      <w:bookmarkEnd w:id="510"/>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采购人或采购代理机构将</w:t>
      </w:r>
      <w:r>
        <w:rPr>
          <w:rFonts w:eastAsiaTheme="minorEastAsia"/>
          <w:color w:val="auto"/>
          <w:kern w:val="0"/>
          <w:sz w:val="24"/>
          <w:highlight w:val="none"/>
        </w:rPr>
        <w:t>在成交供应商确定后2个工作日内，在</w:t>
      </w:r>
      <w:r>
        <w:rPr>
          <w:rFonts w:hint="eastAsia" w:eastAsiaTheme="minorEastAsia"/>
          <w:color w:val="auto"/>
          <w:sz w:val="24"/>
          <w:highlight w:val="none"/>
        </w:rPr>
        <w:t>北京市政府采购网</w:t>
      </w:r>
      <w:r>
        <w:rPr>
          <w:rFonts w:eastAsiaTheme="minorEastAsia"/>
          <w:color w:val="auto"/>
          <w:kern w:val="0"/>
          <w:sz w:val="24"/>
          <w:highlight w:val="none"/>
        </w:rPr>
        <w:t>公告成交结果，同时向成交供应商发出成交通知书，</w:t>
      </w:r>
      <w:r>
        <w:rPr>
          <w:rFonts w:eastAsiaTheme="minorEastAsia"/>
          <w:color w:val="auto"/>
          <w:sz w:val="24"/>
          <w:highlight w:val="none"/>
        </w:rPr>
        <w:t>成交公告期限为1个工作日。</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成交通知书是合同的组成部分，对采购人和成交供应商具有同等法律效力。成交通知书发出后，采购人改变成交结果的，或者成交供应商放弃成交项目的，将依法承担法律责任</w:t>
      </w:r>
      <w:r>
        <w:rPr>
          <w:rFonts w:hint="eastAsia" w:eastAsiaTheme="minorEastAsia"/>
          <w:color w:val="auto"/>
          <w:sz w:val="24"/>
          <w:highlight w:val="none"/>
        </w:rPr>
        <w:t>。</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终止</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在采购中，出现下列情形之一的，采购人或采购代理机构将终止竞争性磋商采购活动，发布项目终止公告并说明原因，重新开展采购活动：</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因情况变化，不再符合规定的竞争性磋商采购方式适用情形的；</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出现影响采购公正的违法、违规行为的；</w:t>
      </w:r>
    </w:p>
    <w:p>
      <w:pPr>
        <w:numPr>
          <w:ilvl w:val="2"/>
          <w:numId w:val="11"/>
        </w:numPr>
        <w:snapToGrid w:val="0"/>
        <w:spacing w:line="360" w:lineRule="auto"/>
        <w:rPr>
          <w:rFonts w:eastAsiaTheme="minorEastAsia"/>
          <w:color w:val="auto"/>
          <w:sz w:val="24"/>
          <w:highlight w:val="none"/>
        </w:rPr>
      </w:pPr>
      <w:r>
        <w:rPr>
          <w:rFonts w:eastAsiaTheme="minorEastAsia"/>
          <w:snapToGrid w:val="0"/>
          <w:color w:val="auto"/>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541" w:name="_Toc151193938"/>
      <w:bookmarkStart w:id="542" w:name="_Toc226965740"/>
      <w:bookmarkStart w:id="543" w:name="_Toc142311052"/>
      <w:bookmarkStart w:id="544" w:name="_Toc305158892"/>
      <w:bookmarkStart w:id="545" w:name="_Toc520356175"/>
      <w:bookmarkStart w:id="546" w:name="_Toc226965823"/>
      <w:bookmarkStart w:id="547" w:name="_Ref467306377"/>
      <w:bookmarkStart w:id="548" w:name="_Toc150509301"/>
      <w:bookmarkStart w:id="549" w:name="_Toc151193720"/>
      <w:bookmarkStart w:id="550" w:name="_Toc150774755"/>
      <w:bookmarkStart w:id="551" w:name="_Toc151193864"/>
      <w:bookmarkStart w:id="552" w:name="_Toc195842915"/>
      <w:bookmarkStart w:id="553" w:name="_Toc150774650"/>
      <w:bookmarkStart w:id="554" w:name="_Toc149720843"/>
      <w:bookmarkStart w:id="555" w:name="_Toc226337246"/>
      <w:bookmarkStart w:id="556" w:name="_Toc226309794"/>
      <w:bookmarkStart w:id="557" w:name="_Toc127151751"/>
      <w:bookmarkStart w:id="558" w:name="_Toc164229245"/>
      <w:bookmarkStart w:id="559" w:name="_Toc151193648"/>
      <w:bookmarkStart w:id="560" w:name="_Ref467307062"/>
      <w:bookmarkStart w:id="561" w:name="_Toc164351644"/>
      <w:bookmarkStart w:id="562" w:name="_Toc127161464"/>
      <w:bookmarkStart w:id="563" w:name="_Toc164608819"/>
      <w:bookmarkStart w:id="564" w:name="_Toc151190177"/>
      <w:bookmarkStart w:id="565" w:name="_Toc150480788"/>
      <w:bookmarkStart w:id="566" w:name="_Toc164608664"/>
      <w:bookmarkStart w:id="567" w:name="_Toc264969240"/>
      <w:bookmarkStart w:id="568" w:name="_Toc127151550"/>
      <w:bookmarkStart w:id="569" w:name="_Toc151193792"/>
      <w:bookmarkStart w:id="570" w:name="_Toc164229391"/>
      <w:bookmarkStart w:id="571" w:name="_Toc305158818"/>
      <w:bookmarkStart w:id="572" w:name="_Ref467306978"/>
      <w:bookmarkStart w:id="573" w:name="_Ref467307204"/>
      <w:bookmarkStart w:id="574" w:name="_Toc265228388"/>
      <w:r>
        <w:rPr>
          <w:rFonts w:eastAsiaTheme="minorEastAsia"/>
          <w:color w:val="auto"/>
          <w:sz w:val="24"/>
          <w:highlight w:val="none"/>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采购人与成交供应商将在成交通知书发出之日起30日内，按照磋商文件确定的合同文本以及采购标的、规格型号、采购金额、采购数量、技术和服务要求等事项签订政府采购合同。</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联合体获得成交资格的，联合体各方应当共同与采购人签订合同，就成交项目向采购人承担连带责任。</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政府采购合同不能转包。</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采购人允许采用分包方式履行合同的，成交供应商可以依法采取分包方式履行合同。本项目</w:t>
      </w:r>
      <w:r>
        <w:rPr>
          <w:rFonts w:hint="eastAsia" w:eastAsiaTheme="minorEastAsia"/>
          <w:color w:val="auto"/>
          <w:sz w:val="24"/>
          <w:highlight w:val="none"/>
        </w:rPr>
        <w:t>是</w:t>
      </w:r>
      <w:r>
        <w:rPr>
          <w:rFonts w:eastAsiaTheme="minorEastAsia"/>
          <w:color w:val="auto"/>
          <w:sz w:val="24"/>
          <w:highlight w:val="none"/>
        </w:rPr>
        <w:t>否允许分包，见《供应商须知资料表》。政府采购合同分包履行的，应当在响应文件中载明分包承担主体，分包承担主体应当具备相应资质条件且不得再次分包，</w:t>
      </w:r>
      <w:r>
        <w:rPr>
          <w:rFonts w:eastAsiaTheme="minorEastAsia"/>
          <w:b/>
          <w:color w:val="auto"/>
          <w:sz w:val="24"/>
          <w:highlight w:val="none"/>
        </w:rPr>
        <w:t>否则响应无效</w:t>
      </w:r>
      <w:r>
        <w:rPr>
          <w:rFonts w:eastAsiaTheme="minorEastAsia"/>
          <w:color w:val="auto"/>
          <w:sz w:val="24"/>
          <w:highlight w:val="none"/>
        </w:rPr>
        <w:t>。成交供应商就采购项目和分包项目向采购人负责，分包供应商就分包项目承担责任。</w:t>
      </w:r>
    </w:p>
    <w:bookmarkEnd w:id="538"/>
    <w:bookmarkEnd w:id="539"/>
    <w:bookmarkEnd w:id="540"/>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询问与质疑</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询问</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供应商对政府采购活动事项有疑问的，可依法提出询问，并按《供应商须知资料表》载明的形式送达采购人或采购代理机构。</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采购人或采购代理机构对供应商依法提出的询问，在3个工作日内作出答复，但答复的内容不得涉及商业秘密。</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质疑</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质疑函须使用财政部制定的范本文件。</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供应商为自然人的，应当由本人签字；供应商为法人或者其他组织的，应当由法定代表人、主要负责人，或者其授权代表签字或者盖章，并加盖公章。</w:t>
      </w:r>
    </w:p>
    <w:p>
      <w:pPr>
        <w:numPr>
          <w:ilvl w:val="2"/>
          <w:numId w:val="11"/>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供应商应在法定质疑期内一次性提出针对同一采购程序环节的质疑，法定质疑期内针对同一采购程序环节再次提出的质疑，采购人、采购代理机构有权不予答复。</w:t>
      </w:r>
    </w:p>
    <w:p>
      <w:pPr>
        <w:numPr>
          <w:ilvl w:val="1"/>
          <w:numId w:val="11"/>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接收询问和质疑的联系部门、联系电话和通讯地址见《供应商须知资料表》。</w:t>
      </w:r>
    </w:p>
    <w:p>
      <w:pPr>
        <w:numPr>
          <w:ilvl w:val="0"/>
          <w:numId w:val="11"/>
        </w:numPr>
        <w:tabs>
          <w:tab w:val="left" w:pos="360"/>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代理费</w:t>
      </w:r>
    </w:p>
    <w:p>
      <w:pPr>
        <w:numPr>
          <w:ilvl w:val="0"/>
          <w:numId w:val="0"/>
        </w:numPr>
        <w:tabs>
          <w:tab w:val="left" w:pos="1080"/>
          <w:tab w:val="left" w:pos="2014"/>
        </w:tabs>
        <w:snapToGrid w:val="0"/>
        <w:spacing w:line="360" w:lineRule="auto"/>
        <w:ind w:left="357" w:left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25.1 </w:t>
      </w:r>
      <w:r>
        <w:rPr>
          <w:rFonts w:hint="eastAsia" w:ascii="宋体" w:hAnsi="宋体" w:eastAsia="宋体" w:cs="宋体"/>
          <w:color w:val="auto"/>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hint="eastAsia" w:ascii="宋体" w:hAnsi="宋体" w:eastAsia="宋体" w:cs="宋体"/>
          <w:color w:val="auto"/>
          <w:sz w:val="24"/>
          <w:highlight w:val="none"/>
        </w:rPr>
      </w:pPr>
    </w:p>
    <w:p>
      <w:pPr>
        <w:spacing w:line="360" w:lineRule="auto"/>
        <w:jc w:val="center"/>
        <w:outlineLvl w:val="0"/>
        <w:rPr>
          <w:rFonts w:hint="eastAsia" w:ascii="宋体" w:hAnsi="宋体" w:eastAsia="宋体" w:cs="宋体"/>
          <w:b/>
          <w:color w:val="auto"/>
          <w:sz w:val="36"/>
          <w:szCs w:val="36"/>
          <w:highlight w:val="none"/>
        </w:rPr>
      </w:pPr>
      <w:bookmarkStart w:id="575" w:name="_Toc150480792"/>
      <w:bookmarkStart w:id="576" w:name="_Toc264969244"/>
      <w:bookmarkStart w:id="577" w:name="_Toc305158896"/>
      <w:bookmarkStart w:id="578" w:name="_Toc353873664"/>
      <w:bookmarkStart w:id="579" w:name="_Toc127151554"/>
      <w:bookmarkStart w:id="580" w:name="_Toc142311056"/>
      <w:bookmarkStart w:id="581" w:name="_Toc305158822"/>
      <w:bookmarkStart w:id="582" w:name="_Toc226337250"/>
      <w:bookmarkStart w:id="583" w:name="_Toc150774759"/>
      <w:bookmarkStart w:id="584" w:name="_Toc353873934"/>
      <w:bookmarkStart w:id="585" w:name="_Toc353825544"/>
      <w:bookmarkStart w:id="586" w:name="_Toc226965827"/>
      <w:bookmarkStart w:id="587" w:name="_Toc265228392"/>
      <w:r>
        <w:rPr>
          <w:rFonts w:hint="eastAsia" w:ascii="宋体" w:hAnsi="宋体" w:eastAsia="宋体" w:cs="宋体"/>
          <w:color w:val="auto"/>
          <w:sz w:val="24"/>
          <w:highlight w:val="none"/>
        </w:rPr>
        <w:br w:type="page"/>
      </w:r>
      <w:bookmarkStart w:id="588" w:name="_Toc25508"/>
      <w:r>
        <w:rPr>
          <w:rFonts w:hint="eastAsia" w:ascii="宋体" w:hAnsi="宋体" w:eastAsia="宋体" w:cs="宋体"/>
          <w:b/>
          <w:color w:val="auto"/>
          <w:sz w:val="36"/>
          <w:szCs w:val="36"/>
          <w:highlight w:val="none"/>
        </w:rPr>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Pr>
          <w:rFonts w:hint="eastAsia" w:ascii="宋体" w:hAnsi="宋体" w:eastAsia="宋体" w:cs="宋体"/>
          <w:b/>
          <w:color w:val="auto"/>
          <w:sz w:val="36"/>
          <w:szCs w:val="36"/>
          <w:highlight w:val="none"/>
        </w:rPr>
        <w:t>评审方法和评审标准</w:t>
      </w:r>
      <w:bookmarkEnd w:id="588"/>
      <w:bookmarkStart w:id="589" w:name="_Toc487900382"/>
    </w:p>
    <w:p>
      <w:pPr>
        <w:pStyle w:val="3"/>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一、资格审查程序</w:t>
      </w:r>
    </w:p>
    <w:p>
      <w:pPr>
        <w:tabs>
          <w:tab w:val="left" w:pos="1080"/>
        </w:tabs>
        <w:snapToGrid w:val="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bookmarkStart w:id="590" w:name="_Toc150774641"/>
      <w:bookmarkStart w:id="591" w:name="_Toc226309785"/>
      <w:bookmarkStart w:id="592" w:name="_Toc151193783"/>
      <w:bookmarkStart w:id="593" w:name="_Toc151193639"/>
      <w:bookmarkStart w:id="594" w:name="_Toc151193855"/>
      <w:bookmarkStart w:id="595" w:name="_Toc226337237"/>
      <w:bookmarkStart w:id="596" w:name="_Toc150509292"/>
      <w:bookmarkStart w:id="597" w:name="_Toc164351635"/>
      <w:bookmarkStart w:id="598" w:name="_Toc164229236"/>
      <w:bookmarkStart w:id="599" w:name="_Toc127161455"/>
      <w:bookmarkStart w:id="600" w:name="_Toc151193711"/>
      <w:bookmarkStart w:id="601" w:name="_Toc265228379"/>
      <w:bookmarkStart w:id="602" w:name="_Toc226965731"/>
      <w:bookmarkStart w:id="603" w:name="_Toc195842906"/>
      <w:bookmarkStart w:id="604" w:name="_Toc305158883"/>
      <w:bookmarkStart w:id="605" w:name="_Toc151193929"/>
      <w:bookmarkStart w:id="606" w:name="_Toc164229382"/>
      <w:bookmarkStart w:id="607" w:name="_Toc226965814"/>
      <w:bookmarkStart w:id="608" w:name="_Toc142311043"/>
      <w:bookmarkStart w:id="609" w:name="_Toc150774746"/>
      <w:bookmarkStart w:id="610" w:name="_Toc164608810"/>
      <w:bookmarkStart w:id="611" w:name="_Toc149720834"/>
      <w:bookmarkStart w:id="612" w:name="_Toc305158809"/>
      <w:bookmarkStart w:id="613" w:name="_Toc127151541"/>
      <w:bookmarkStart w:id="614" w:name="_Toc151190168"/>
      <w:bookmarkStart w:id="615" w:name="_Toc264969231"/>
      <w:bookmarkStart w:id="616" w:name="_Toc127151742"/>
      <w:bookmarkStart w:id="617" w:name="_Toc164608655"/>
      <w:bookmarkStart w:id="618" w:name="_Toc150480779"/>
      <w:bookmarkStart w:id="619" w:name="_Toc353825551"/>
      <w:bookmarkStart w:id="620" w:name="_Toc353873941"/>
      <w:bookmarkStart w:id="621" w:name="_Toc353825545"/>
      <w:bookmarkStart w:id="622" w:name="_Toc226337251"/>
      <w:bookmarkStart w:id="623" w:name="_Toc353873665"/>
      <w:bookmarkStart w:id="624" w:name="_Toc305158897"/>
      <w:bookmarkStart w:id="625" w:name="_Toc265228393"/>
      <w:bookmarkStart w:id="626" w:name="_Toc150774760"/>
      <w:bookmarkStart w:id="627" w:name="_Toc142311057"/>
      <w:bookmarkStart w:id="628" w:name="_Toc127151555"/>
      <w:bookmarkStart w:id="629" w:name="_Toc264969245"/>
      <w:bookmarkStart w:id="630" w:name="_Toc305158823"/>
      <w:bookmarkStart w:id="631" w:name="_Toc226965828"/>
      <w:bookmarkStart w:id="632" w:name="_Toc353873935"/>
      <w:bookmarkStart w:id="633" w:name="_Toc195842920"/>
      <w:bookmarkStart w:id="634" w:name="_Toc150480793"/>
      <w:r>
        <w:rPr>
          <w:rFonts w:hint="eastAsia" w:ascii="宋体" w:hAnsi="宋体" w:eastAsia="宋体" w:cs="宋体"/>
          <w:color w:val="auto"/>
          <w:sz w:val="24"/>
          <w:highlight w:val="none"/>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rFonts w:hint="eastAsia" w:ascii="宋体" w:hAnsi="宋体" w:eastAsia="宋体" w:cs="宋体"/>
          <w:color w:val="auto"/>
          <w:sz w:val="24"/>
          <w:highlight w:val="none"/>
        </w:rPr>
        <w:t>资格性检查和符合性审查</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rPr>
        <w:t>无效响应</w:t>
      </w:r>
      <w:r>
        <w:rPr>
          <w:rFonts w:hint="eastAsia" w:ascii="宋体" w:hAnsi="宋体" w:eastAsia="宋体" w:cs="宋体"/>
          <w:color w:val="auto"/>
          <w:sz w:val="24"/>
          <w:highlight w:val="none"/>
        </w:rPr>
        <w:t>处理，磋商小组应当告知提交响应文件的供应商。</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《资格性检查要求》中对格式有要求的，除竞争性磋商文件另有规定外，均为“实质性格式”文件。</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《资格性检查要求》见下表：</w:t>
      </w:r>
    </w:p>
    <w:p>
      <w:pPr>
        <w:tabs>
          <w:tab w:val="left" w:pos="900"/>
          <w:tab w:val="left" w:pos="1080"/>
        </w:tabs>
        <w:snapToGrid w:val="0"/>
        <w:spacing w:line="360" w:lineRule="auto"/>
        <w:ind w:left="1077" w:firstLine="2650" w:firstLineChars="11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资格性检查要求</w:t>
      </w:r>
    </w:p>
    <w:tbl>
      <w:tblPr>
        <w:tblStyle w:val="45"/>
        <w:tblW w:w="5066" w:type="pct"/>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1"/>
        <w:gridCol w:w="1600"/>
        <w:gridCol w:w="4398"/>
        <w:gridCol w:w="17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blHeader/>
        </w:trPr>
        <w:tc>
          <w:tcPr>
            <w:tcW w:w="515" w:type="pct"/>
            <w:vAlign w:val="center"/>
          </w:tcPr>
          <w:p>
            <w:pPr>
              <w:tabs>
                <w:tab w:val="left" w:pos="1080"/>
              </w:tabs>
              <w:snapToGrid w:val="0"/>
              <w:jc w:val="center"/>
              <w:rPr>
                <w:rFonts w:hint="eastAsia" w:ascii="宋体" w:hAnsi="宋体" w:eastAsia="宋体" w:cs="宋体"/>
                <w:b/>
                <w:color w:val="auto"/>
                <w:sz w:val="24"/>
                <w:highlight w:val="none"/>
              </w:rPr>
            </w:pPr>
            <w:bookmarkStart w:id="635" w:name="_Hlt487972895"/>
            <w:bookmarkEnd w:id="635"/>
            <w:r>
              <w:rPr>
                <w:rFonts w:hint="eastAsia" w:ascii="宋体" w:hAnsi="宋体" w:eastAsia="宋体" w:cs="宋体"/>
                <w:b/>
                <w:color w:val="auto"/>
                <w:sz w:val="24"/>
                <w:highlight w:val="none"/>
              </w:rPr>
              <w:t>序号</w:t>
            </w:r>
          </w:p>
        </w:tc>
        <w:tc>
          <w:tcPr>
            <w:tcW w:w="925" w:type="pct"/>
            <w:vAlign w:val="center"/>
          </w:tcPr>
          <w:p>
            <w:pPr>
              <w:tabs>
                <w:tab w:val="left" w:pos="1080"/>
              </w:tabs>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检查因素</w:t>
            </w:r>
          </w:p>
        </w:tc>
        <w:tc>
          <w:tcPr>
            <w:tcW w:w="2544" w:type="pct"/>
            <w:vAlign w:val="center"/>
          </w:tcPr>
          <w:p>
            <w:pPr>
              <w:tabs>
                <w:tab w:val="left" w:pos="1080"/>
              </w:tabs>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检查内容</w:t>
            </w:r>
          </w:p>
        </w:tc>
        <w:tc>
          <w:tcPr>
            <w:tcW w:w="1014" w:type="pct"/>
            <w:vAlign w:val="center"/>
          </w:tcPr>
          <w:p>
            <w:pPr>
              <w:tabs>
                <w:tab w:val="left" w:pos="1080"/>
              </w:tabs>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5" w:type="pct"/>
            <w:vAlign w:val="center"/>
          </w:tcPr>
          <w:p>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925"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满足《中华人民共和国政府采购法》第二十二条规定及法律法规的其他规定</w:t>
            </w:r>
          </w:p>
        </w:tc>
        <w:tc>
          <w:tcPr>
            <w:tcW w:w="2544"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具体规定见第一章《采购邀请》</w:t>
            </w:r>
          </w:p>
        </w:tc>
        <w:tc>
          <w:tcPr>
            <w:tcW w:w="1014" w:type="pct"/>
            <w:vAlign w:val="center"/>
          </w:tcPr>
          <w:p>
            <w:pPr>
              <w:tabs>
                <w:tab w:val="left" w:pos="1080"/>
              </w:tabs>
              <w:snapToGrid w:val="0"/>
              <w:jc w:val="left"/>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5" w:type="pct"/>
            <w:vAlign w:val="center"/>
          </w:tcPr>
          <w:p>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925"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营业执照等证明文件</w:t>
            </w:r>
          </w:p>
        </w:tc>
        <w:tc>
          <w:tcPr>
            <w:tcW w:w="2544"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供应商为企业（包括合伙企业）的，应提供有效的“营业执照”；</w:t>
            </w:r>
          </w:p>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供应商为事业单位的，应提供有效的“事业单位法人证书”；</w:t>
            </w:r>
          </w:p>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供应商是非企业机构的，应提供有效的“执业许可证”、“登记证书”等证明文件；</w:t>
            </w:r>
          </w:p>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供应商是个体工商户的，应提供有效的“个体工商户营业执照”；</w:t>
            </w:r>
          </w:p>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供应商是自然人的，应提供有效的自然人身份证明。</w:t>
            </w:r>
          </w:p>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若本项目允许分支机构参加响应，则分支机构参加</w:t>
            </w:r>
            <w:r>
              <w:rPr>
                <w:rFonts w:hint="eastAsia" w:ascii="宋体" w:hAnsi="宋体" w:eastAsia="宋体" w:cs="宋体"/>
                <w:color w:val="auto"/>
                <w:kern w:val="0"/>
                <w:sz w:val="24"/>
                <w:highlight w:val="none"/>
              </w:rPr>
              <w:t>响应</w:t>
            </w:r>
            <w:r>
              <w:rPr>
                <w:rFonts w:hint="eastAsia" w:ascii="宋体" w:hAnsi="宋体" w:eastAsia="宋体" w:cs="宋体"/>
                <w:color w:val="auto"/>
                <w:sz w:val="24"/>
                <w:highlight w:val="none"/>
              </w:rPr>
              <w:t>的，此处可提供该分支机构或其所属法人或其他组织的相应证明文件。</w:t>
            </w:r>
          </w:p>
        </w:tc>
        <w:tc>
          <w:tcPr>
            <w:tcW w:w="1014" w:type="pct"/>
            <w:vAlign w:val="center"/>
          </w:tcPr>
          <w:p>
            <w:pPr>
              <w:tabs>
                <w:tab w:val="left" w:pos="1080"/>
              </w:tabs>
              <w:snapToGrid w:val="0"/>
              <w:jc w:val="left"/>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提供加盖单位公章的证明文件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5" w:type="pct"/>
            <w:vAlign w:val="center"/>
          </w:tcPr>
          <w:p>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925"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供应商资格声明书</w:t>
            </w:r>
          </w:p>
        </w:tc>
        <w:tc>
          <w:tcPr>
            <w:tcW w:w="2544"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提供了符合竞争性磋商文件要求的《供应商资格声明书》。</w:t>
            </w:r>
          </w:p>
        </w:tc>
        <w:tc>
          <w:tcPr>
            <w:tcW w:w="1014"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5" w:type="pct"/>
            <w:vAlign w:val="center"/>
          </w:tcPr>
          <w:p>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925" w:type="pct"/>
            <w:vAlign w:val="center"/>
          </w:tcPr>
          <w:p>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供应商信用记录</w:t>
            </w:r>
          </w:p>
        </w:tc>
        <w:tc>
          <w:tcPr>
            <w:tcW w:w="2544" w:type="pct"/>
            <w:vAlign w:val="center"/>
          </w:tcPr>
          <w:p>
            <w:pPr>
              <w:tabs>
                <w:tab w:val="left" w:pos="900"/>
                <w:tab w:val="left" w:pos="19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查询渠道：信用中国网站和中国政府采购网（www.creditchina.gov.cn、www.ccgp.gov.cn）；</w:t>
            </w:r>
          </w:p>
          <w:p>
            <w:pPr>
              <w:tabs>
                <w:tab w:val="left" w:pos="900"/>
                <w:tab w:val="left" w:pos="19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截止时点：</w:t>
            </w:r>
            <w:r>
              <w:rPr>
                <w:rFonts w:hint="eastAsia" w:ascii="宋体" w:hAnsi="宋体" w:eastAsia="宋体" w:cs="宋体"/>
                <w:color w:val="auto"/>
                <w:kern w:val="0"/>
                <w:sz w:val="24"/>
                <w:szCs w:val="20"/>
                <w:highlight w:val="none"/>
              </w:rPr>
              <w:t>首次响应文件提交截止时间以后</w:t>
            </w:r>
            <w:r>
              <w:rPr>
                <w:rFonts w:hint="eastAsia" w:ascii="宋体" w:hAnsi="宋体" w:eastAsia="宋体" w:cs="宋体"/>
                <w:color w:val="auto"/>
                <w:sz w:val="24"/>
                <w:highlight w:val="none"/>
              </w:rPr>
              <w:t>、资格性检查阶段采购人或采购代理机构的实际查询时间为准；</w:t>
            </w:r>
          </w:p>
          <w:p>
            <w:pPr>
              <w:tabs>
                <w:tab w:val="left" w:pos="900"/>
                <w:tab w:val="left" w:pos="19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信用信息查询记录和证据留存具体方式：查询结果网页打印页作为查询记录和证据，与其他竞争性磋商文件一并保存；</w:t>
            </w:r>
          </w:p>
          <w:p>
            <w:pPr>
              <w:tabs>
                <w:tab w:val="left" w:pos="1080"/>
              </w:tabs>
              <w:snapToGrid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。联合体形式磋商的，联合体成员存在不良信用记录，视同联合体存在不良信用记录。</w:t>
            </w:r>
          </w:p>
        </w:tc>
        <w:tc>
          <w:tcPr>
            <w:tcW w:w="1014" w:type="pct"/>
            <w:vAlign w:val="center"/>
          </w:tcPr>
          <w:p>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5" w:type="pct"/>
            <w:vAlign w:val="center"/>
          </w:tcPr>
          <w:p>
            <w:pPr>
              <w:tabs>
                <w:tab w:val="left" w:pos="1080"/>
              </w:tabs>
              <w:snapToGrid w:val="0"/>
              <w:jc w:val="center"/>
              <w:rPr>
                <w:rFonts w:hint="eastAsia" w:ascii="宋体" w:hAnsi="宋体" w:eastAsia="宋体" w:cs="宋体"/>
                <w:color w:val="auto"/>
                <w:sz w:val="24"/>
                <w:highlight w:val="none"/>
              </w:rPr>
            </w:pPr>
            <w:r>
              <w:rPr>
                <w:rFonts w:ascii="宋体" w:hAnsi="宋体" w:eastAsia="宋体"/>
                <w:color w:val="auto"/>
                <w:sz w:val="24"/>
                <w:szCs w:val="24"/>
                <w:highlight w:val="none"/>
              </w:rPr>
              <w:t>1-4</w:t>
            </w:r>
          </w:p>
        </w:tc>
        <w:tc>
          <w:tcPr>
            <w:tcW w:w="925" w:type="pct"/>
            <w:vAlign w:val="center"/>
          </w:tcPr>
          <w:p>
            <w:pPr>
              <w:tabs>
                <w:tab w:val="left" w:pos="1080"/>
              </w:tabs>
              <w:snapToGrid w:val="0"/>
              <w:rPr>
                <w:rFonts w:hint="eastAsia" w:ascii="宋体" w:hAnsi="宋体" w:eastAsia="宋体" w:cs="宋体"/>
                <w:color w:val="auto"/>
                <w:sz w:val="24"/>
                <w:highlight w:val="none"/>
              </w:rPr>
            </w:pPr>
            <w:r>
              <w:rPr>
                <w:rFonts w:ascii="宋体" w:hAnsi="宋体" w:eastAsia="宋体"/>
                <w:color w:val="auto"/>
                <w:sz w:val="24"/>
                <w:szCs w:val="24"/>
                <w:highlight w:val="none"/>
              </w:rPr>
              <w:t>法律、行政法规规定的其他条件</w:t>
            </w:r>
          </w:p>
        </w:tc>
        <w:tc>
          <w:tcPr>
            <w:tcW w:w="2544" w:type="pct"/>
            <w:vAlign w:val="center"/>
          </w:tcPr>
          <w:p>
            <w:pPr>
              <w:keepNext w:val="0"/>
              <w:keepLines w:val="0"/>
              <w:widowControl/>
              <w:suppressLineNumbers w:val="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法律、行政法规规定的其他条件</w:t>
            </w:r>
          </w:p>
        </w:tc>
        <w:tc>
          <w:tcPr>
            <w:tcW w:w="1014" w:type="pct"/>
            <w:vAlign w:val="center"/>
          </w:tcPr>
          <w:p>
            <w:pPr>
              <w:tabs>
                <w:tab w:val="left" w:pos="1080"/>
              </w:tabs>
              <w:snapToGrid w:val="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5" w:type="pct"/>
            <w:vAlign w:val="center"/>
          </w:tcPr>
          <w:p>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925"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落实政府采购政策需满足的资格要求</w:t>
            </w:r>
          </w:p>
        </w:tc>
        <w:tc>
          <w:tcPr>
            <w:tcW w:w="2544"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具体要求见第一章《采购邀请》</w:t>
            </w:r>
          </w:p>
        </w:tc>
        <w:tc>
          <w:tcPr>
            <w:tcW w:w="1014" w:type="pct"/>
            <w:vAlign w:val="center"/>
          </w:tcPr>
          <w:p>
            <w:pPr>
              <w:tabs>
                <w:tab w:val="left" w:pos="1080"/>
              </w:tabs>
              <w:snapToGrid w:val="0"/>
              <w:jc w:val="left"/>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5" w:type="pct"/>
            <w:vAlign w:val="center"/>
          </w:tcPr>
          <w:p>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p>
        </w:tc>
        <w:tc>
          <w:tcPr>
            <w:tcW w:w="925"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中小企业政策</w:t>
            </w:r>
          </w:p>
        </w:tc>
        <w:tc>
          <w:tcPr>
            <w:tcW w:w="2544" w:type="pct"/>
            <w:vAlign w:val="center"/>
          </w:tcPr>
          <w:p>
            <w:pPr>
              <w:tabs>
                <w:tab w:val="left" w:pos="1080"/>
              </w:tabs>
              <w:snapToGrid w:val="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具体要求见第一章《采购邀请》</w:t>
            </w:r>
          </w:p>
        </w:tc>
        <w:tc>
          <w:tcPr>
            <w:tcW w:w="1014" w:type="pct"/>
            <w:vAlign w:val="center"/>
          </w:tcPr>
          <w:p>
            <w:pPr>
              <w:tabs>
                <w:tab w:val="left" w:pos="1080"/>
              </w:tabs>
              <w:snapToGrid w:val="0"/>
              <w:jc w:val="left"/>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5" w:type="pct"/>
            <w:vAlign w:val="center"/>
          </w:tcPr>
          <w:p>
            <w:pPr>
              <w:tabs>
                <w:tab w:val="left" w:pos="1080"/>
              </w:tabs>
              <w:snapToGrid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cs="宋体"/>
                <w:color w:val="auto"/>
                <w:sz w:val="24"/>
                <w:highlight w:val="none"/>
                <w:lang w:val="en-US" w:eastAsia="zh-CN"/>
              </w:rPr>
              <w:t>2</w:t>
            </w:r>
          </w:p>
        </w:tc>
        <w:tc>
          <w:tcPr>
            <w:tcW w:w="925"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中小企业声明函</w:t>
            </w:r>
            <w:r>
              <w:rPr>
                <w:rFonts w:hint="eastAsia" w:ascii="宋体" w:hAnsi="宋体" w:eastAsia="宋体" w:cs="宋体"/>
                <w:color w:val="auto"/>
                <w:sz w:val="24"/>
                <w:highlight w:val="none"/>
                <w:lang w:eastAsia="zh-CN"/>
              </w:rPr>
              <w:t>（</w:t>
            </w:r>
            <w:r>
              <w:rPr>
                <w:rFonts w:hint="eastAsia" w:ascii="宋体" w:hAnsi="宋体" w:eastAsia="宋体" w:cs="宋体"/>
                <w:b/>
                <w:bCs/>
                <w:color w:val="auto"/>
                <w:sz w:val="24"/>
                <w:highlight w:val="none"/>
                <w:lang w:eastAsia="zh-CN"/>
              </w:rPr>
              <w:t>此检查因素只有符合要求的企业提供，如不符合，不需要提供）</w:t>
            </w:r>
          </w:p>
        </w:tc>
        <w:tc>
          <w:tcPr>
            <w:tcW w:w="2544"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当本项目（包）涉及预留份额专门面向中小企业采购，</w:t>
            </w:r>
            <w:r>
              <w:rPr>
                <w:rFonts w:hint="eastAsia" w:ascii="宋体" w:hAnsi="宋体" w:cs="宋体"/>
                <w:color w:val="auto"/>
                <w:sz w:val="24"/>
                <w:highlight w:val="none"/>
                <w:lang w:val="en-US" w:eastAsia="zh-CN"/>
              </w:rPr>
              <w:t>提</w:t>
            </w:r>
            <w:r>
              <w:rPr>
                <w:rFonts w:hint="eastAsia" w:ascii="宋体" w:hAnsi="宋体" w:eastAsia="宋体" w:cs="宋体"/>
                <w:color w:val="auto"/>
                <w:sz w:val="24"/>
                <w:highlight w:val="none"/>
                <w:lang w:val="en-US" w:eastAsia="zh-CN"/>
              </w:rPr>
              <w:t xml:space="preserve">供如下资料： </w:t>
            </w:r>
          </w:p>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1、供应商单独响应的，应</w:t>
            </w:r>
            <w:r>
              <w:rPr>
                <w:rFonts w:hint="eastAsia" w:ascii="宋体" w:hAnsi="宋体" w:cs="宋体"/>
                <w:color w:val="auto"/>
                <w:sz w:val="24"/>
                <w:highlight w:val="none"/>
                <w:lang w:val="en-US" w:eastAsia="zh-CN"/>
              </w:rPr>
              <w:t>提</w:t>
            </w:r>
            <w:r>
              <w:rPr>
                <w:rFonts w:hint="eastAsia" w:ascii="宋体" w:hAnsi="宋体" w:eastAsia="宋体" w:cs="宋体"/>
                <w:color w:val="auto"/>
                <w:sz w:val="24"/>
                <w:highlight w:val="none"/>
                <w:lang w:val="en-US" w:eastAsia="zh-CN"/>
              </w:rPr>
              <w:t xml:space="preserve">供《中小企业声明函》或《残疾人福利性单位声明函》或由省级以上监狱管理局、戒毒管理局（含新疆生产建设兵团）出具的属于监狱企业的证明文件。 </w:t>
            </w:r>
          </w:p>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 </w:t>
            </w:r>
          </w:p>
        </w:tc>
        <w:tc>
          <w:tcPr>
            <w:tcW w:w="1014"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5" w:type="pct"/>
            <w:vAlign w:val="center"/>
          </w:tcPr>
          <w:p>
            <w:pPr>
              <w:tabs>
                <w:tab w:val="left" w:pos="1080"/>
              </w:tabs>
              <w:snapToGrid w:val="0"/>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2-3</w:t>
            </w:r>
          </w:p>
        </w:tc>
        <w:tc>
          <w:tcPr>
            <w:tcW w:w="925" w:type="pct"/>
            <w:vAlign w:val="center"/>
          </w:tcPr>
          <w:p>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拟分包情况说明及分包意向协议 </w:t>
            </w:r>
          </w:p>
          <w:p>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 </w:t>
            </w:r>
          </w:p>
          <w:p>
            <w:pPr>
              <w:tabs>
                <w:tab w:val="left" w:pos="1080"/>
              </w:tabs>
              <w:snapToGrid w:val="0"/>
              <w:jc w:val="left"/>
              <w:rPr>
                <w:rFonts w:hint="eastAsia" w:ascii="宋体" w:hAnsi="宋体" w:eastAsia="宋体" w:cs="宋体"/>
                <w:color w:val="auto"/>
                <w:sz w:val="24"/>
                <w:highlight w:val="none"/>
              </w:rPr>
            </w:pPr>
          </w:p>
        </w:tc>
        <w:tc>
          <w:tcPr>
            <w:tcW w:w="2544" w:type="pct"/>
            <w:vAlign w:val="center"/>
          </w:tcPr>
          <w:p>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如本项目（包）要求通过分包措施预留部分采购份额面向中小企业采购、且供应商因落实政府采购政策拟进行分的，必须提供；否则无须提供。 </w:t>
            </w:r>
          </w:p>
          <w:p>
            <w:pPr>
              <w:keepNext w:val="0"/>
              <w:keepLines w:val="0"/>
              <w:widowControl/>
              <w:suppressLineNumbers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
              </w:rPr>
              <w:t xml:space="preserve">对于预留份额专门面向中小企业采购的项目（包），组成联合体或者接受分包合同的中小企业与联合体内其他企业、分包企业之间不得存在直接控股、管理关系。 </w:t>
            </w:r>
          </w:p>
        </w:tc>
        <w:tc>
          <w:tcPr>
            <w:tcW w:w="1014" w:type="pct"/>
            <w:vAlign w:val="center"/>
          </w:tcPr>
          <w:p>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格式见《响应文件格式》</w:t>
            </w:r>
          </w:p>
          <w:p>
            <w:pPr>
              <w:tabs>
                <w:tab w:val="left" w:pos="1080"/>
              </w:tabs>
              <w:snapToGrid w:val="0"/>
              <w:jc w:val="left"/>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5" w:type="pct"/>
            <w:vAlign w:val="center"/>
          </w:tcPr>
          <w:p>
            <w:pPr>
              <w:tabs>
                <w:tab w:val="left" w:pos="1080"/>
              </w:tabs>
              <w:snapToGrid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cs="宋体"/>
                <w:color w:val="auto"/>
                <w:sz w:val="24"/>
                <w:highlight w:val="none"/>
                <w:lang w:val="en-US" w:eastAsia="zh-CN"/>
              </w:rPr>
              <w:t>4</w:t>
            </w:r>
          </w:p>
        </w:tc>
        <w:tc>
          <w:tcPr>
            <w:tcW w:w="925"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其它落实政府采购政策的资格要求</w:t>
            </w:r>
          </w:p>
        </w:tc>
        <w:tc>
          <w:tcPr>
            <w:tcW w:w="2544"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如有，见第一章《采购邀请》</w:t>
            </w:r>
          </w:p>
        </w:tc>
        <w:tc>
          <w:tcPr>
            <w:tcW w:w="1014"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提供加盖单位公章的证明文件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6" w:hRule="atLeast"/>
        </w:trPr>
        <w:tc>
          <w:tcPr>
            <w:tcW w:w="515" w:type="pct"/>
            <w:vAlign w:val="center"/>
          </w:tcPr>
          <w:p>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925"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本项目的特定资格要求</w:t>
            </w:r>
          </w:p>
        </w:tc>
        <w:tc>
          <w:tcPr>
            <w:tcW w:w="2544"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如有，见第一章《采购邀请》</w:t>
            </w:r>
          </w:p>
        </w:tc>
        <w:tc>
          <w:tcPr>
            <w:tcW w:w="1014" w:type="pct"/>
            <w:vAlign w:val="center"/>
          </w:tcPr>
          <w:p>
            <w:pPr>
              <w:pStyle w:val="17"/>
              <w:spacing w:before="146" w:line="328" w:lineRule="auto"/>
              <w:ind w:right="123"/>
              <w:jc w:val="left"/>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35" w:hRule="atLeast"/>
        </w:trPr>
        <w:tc>
          <w:tcPr>
            <w:tcW w:w="515"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p>
          <w:p>
            <w:pPr>
              <w:tabs>
                <w:tab w:val="left" w:pos="1080"/>
              </w:tabs>
              <w:snapToGrid w:val="0"/>
              <w:jc w:val="left"/>
              <w:rPr>
                <w:rFonts w:hint="default" w:ascii="宋体" w:hAnsi="宋体" w:eastAsia="宋体" w:cs="宋体"/>
                <w:b/>
                <w:bCs/>
                <w:color w:val="auto"/>
                <w:sz w:val="24"/>
                <w:highlight w:val="none"/>
                <w:lang w:val="en-US" w:eastAsia="zh-CN"/>
              </w:rPr>
            </w:pPr>
          </w:p>
        </w:tc>
        <w:tc>
          <w:tcPr>
            <w:tcW w:w="925" w:type="pct"/>
            <w:vAlign w:val="center"/>
          </w:tcPr>
          <w:p>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本项目对于联合体的要求</w:t>
            </w:r>
          </w:p>
          <w:p>
            <w:pPr>
              <w:tabs>
                <w:tab w:val="left" w:pos="1080"/>
              </w:tabs>
              <w:snapToGrid w:val="0"/>
              <w:jc w:val="left"/>
              <w:rPr>
                <w:rFonts w:hint="default" w:ascii="宋体" w:hAnsi="宋体" w:eastAsia="宋体" w:cs="宋体"/>
                <w:b/>
                <w:bCs/>
                <w:color w:val="auto"/>
                <w:sz w:val="24"/>
                <w:szCs w:val="24"/>
                <w:highlight w:val="none"/>
                <w:lang w:val="en-US" w:eastAsia="zh-CN"/>
              </w:rPr>
            </w:pPr>
          </w:p>
        </w:tc>
        <w:tc>
          <w:tcPr>
            <w:tcW w:w="2544" w:type="pct"/>
            <w:vAlign w:val="center"/>
          </w:tcPr>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 </w:t>
            </w:r>
          </w:p>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2、联合体各成员单位均须提供本表中序号1-1、1-2 的证明文件。联合体各成员单位均应满足本表 3-2及3-3项规定。 </w:t>
            </w:r>
          </w:p>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3、本表序号 3-4 项规定的其他特定资格要求中的每一小项要求，联合体各方中至少应当有一方符合本表中其他资格要求并提供证明文件。 </w:t>
            </w:r>
          </w:p>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4、联合体中有同类资质的供应商按照联合体分工承担相同工作的，应当按照资质等级较低的供应商确定资质等级。 </w:t>
            </w:r>
          </w:p>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5、以联合体形式参加政府采购活动的，联合体各方不得再单独参加或者与其他供应商另外组成联合体参加同一合同项下的政府采购活动。 </w:t>
            </w:r>
          </w:p>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6、若联合体中任一成员单位中途退出，则该联合体的响应无效。 </w:t>
            </w:r>
          </w:p>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7、本项目不接受联合体响应时，供应商不得为联合体。 </w:t>
            </w:r>
          </w:p>
          <w:p>
            <w:pPr>
              <w:tabs>
                <w:tab w:val="left" w:pos="1080"/>
              </w:tabs>
              <w:snapToGrid w:val="0"/>
              <w:jc w:val="left"/>
              <w:rPr>
                <w:rFonts w:hint="eastAsia" w:ascii="宋体" w:hAnsi="宋体" w:eastAsia="宋体" w:cs="宋体"/>
                <w:b/>
                <w:bCs/>
                <w:color w:val="auto"/>
                <w:sz w:val="24"/>
                <w:szCs w:val="24"/>
                <w:highlight w:val="none"/>
                <w:lang w:val="en-US" w:eastAsia="zh-CN"/>
              </w:rPr>
            </w:pPr>
          </w:p>
        </w:tc>
        <w:tc>
          <w:tcPr>
            <w:tcW w:w="1014" w:type="pct"/>
            <w:vAlign w:val="center"/>
          </w:tcPr>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提供《联合协议》原件的电子件格式见《响应文件格式》</w:t>
            </w:r>
          </w:p>
          <w:p>
            <w:pPr>
              <w:tabs>
                <w:tab w:val="left" w:pos="1080"/>
              </w:tabs>
              <w:snapToGrid w:val="0"/>
              <w:jc w:val="left"/>
              <w:rPr>
                <w:rFonts w:hint="eastAsia" w:ascii="宋体" w:hAnsi="宋体" w:eastAsia="宋体" w:cs="宋体"/>
                <w:b/>
                <w:bCs/>
                <w:color w:val="auto"/>
                <w:sz w:val="24"/>
                <w:szCs w:val="24"/>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35" w:hRule="atLeast"/>
        </w:trPr>
        <w:tc>
          <w:tcPr>
            <w:tcW w:w="515" w:type="pct"/>
            <w:vAlign w:val="center"/>
          </w:tcPr>
          <w:p>
            <w:pPr>
              <w:tabs>
                <w:tab w:val="left" w:pos="1080"/>
              </w:tabs>
              <w:snapToGrid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3-2</w:t>
            </w:r>
          </w:p>
          <w:p>
            <w:pPr>
              <w:tabs>
                <w:tab w:val="left" w:pos="1080"/>
              </w:tabs>
              <w:snapToGrid w:val="0"/>
              <w:jc w:val="center"/>
              <w:rPr>
                <w:rFonts w:hint="default" w:ascii="宋体" w:hAnsi="宋体" w:eastAsia="宋体" w:cs="宋体"/>
                <w:b/>
                <w:bCs/>
                <w:color w:val="auto"/>
                <w:sz w:val="24"/>
                <w:highlight w:val="none"/>
                <w:lang w:val="en-US" w:eastAsia="zh-CN"/>
              </w:rPr>
            </w:pPr>
          </w:p>
        </w:tc>
        <w:tc>
          <w:tcPr>
            <w:tcW w:w="925" w:type="pct"/>
            <w:vAlign w:val="center"/>
          </w:tcPr>
          <w:p>
            <w:pPr>
              <w:tabs>
                <w:tab w:val="left" w:pos="1080"/>
              </w:tabs>
              <w:snapToGrid w:val="0"/>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政府购买服务承接主体的要求</w:t>
            </w:r>
          </w:p>
        </w:tc>
        <w:tc>
          <w:tcPr>
            <w:tcW w:w="2544" w:type="pct"/>
            <w:vAlign w:val="center"/>
          </w:tcPr>
          <w:p>
            <w:pPr>
              <w:tabs>
                <w:tab w:val="left" w:pos="1080"/>
              </w:tabs>
              <w:snapToGrid w:val="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如本项目属于政府购买服务，供应商不属于公益一类事业单位、使用事业编制且由财政拨款保障的群团组织。</w:t>
            </w:r>
          </w:p>
        </w:tc>
        <w:tc>
          <w:tcPr>
            <w:tcW w:w="1014" w:type="pct"/>
            <w:vAlign w:val="center"/>
          </w:tcPr>
          <w:p>
            <w:pPr>
              <w:tabs>
                <w:tab w:val="left" w:pos="1080"/>
              </w:tabs>
              <w:snapToGrid w:val="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35" w:hRule="atLeast"/>
        </w:trPr>
        <w:tc>
          <w:tcPr>
            <w:tcW w:w="515" w:type="pct"/>
            <w:vAlign w:val="center"/>
          </w:tcPr>
          <w:p>
            <w:pPr>
              <w:tabs>
                <w:tab w:val="left" w:pos="1080"/>
              </w:tabs>
              <w:snapToGrid w:val="0"/>
              <w:jc w:val="center"/>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3-3</w:t>
            </w:r>
          </w:p>
        </w:tc>
        <w:tc>
          <w:tcPr>
            <w:tcW w:w="925" w:type="pct"/>
            <w:vAlign w:val="center"/>
          </w:tcPr>
          <w:p>
            <w:pPr>
              <w:tabs>
                <w:tab w:val="left" w:pos="1080"/>
              </w:tabs>
              <w:snapToGrid w:val="0"/>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其他特定资格要求</w:t>
            </w:r>
          </w:p>
        </w:tc>
        <w:tc>
          <w:tcPr>
            <w:tcW w:w="2544" w:type="pct"/>
            <w:vAlign w:val="center"/>
          </w:tcPr>
          <w:p>
            <w:pPr>
              <w:tabs>
                <w:tab w:val="left" w:pos="1080"/>
              </w:tabs>
              <w:snapToGrid w:val="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如有，见第一章《采购邀请》 </w:t>
            </w:r>
          </w:p>
        </w:tc>
        <w:tc>
          <w:tcPr>
            <w:tcW w:w="1014" w:type="pct"/>
            <w:vAlign w:val="center"/>
          </w:tcPr>
          <w:p>
            <w:pPr>
              <w:tabs>
                <w:tab w:val="left" w:pos="1080"/>
              </w:tabs>
              <w:snapToGrid w:val="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7" w:hRule="atLeast"/>
        </w:trPr>
        <w:tc>
          <w:tcPr>
            <w:tcW w:w="515" w:type="pct"/>
            <w:vAlign w:val="center"/>
          </w:tcPr>
          <w:p>
            <w:pPr>
              <w:tabs>
                <w:tab w:val="left" w:pos="1080"/>
              </w:tabs>
              <w:snapToGrid w:val="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3-3-1</w:t>
            </w:r>
          </w:p>
        </w:tc>
        <w:tc>
          <w:tcPr>
            <w:tcW w:w="925" w:type="pct"/>
            <w:vAlign w:val="center"/>
          </w:tcPr>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资质要求</w:t>
            </w:r>
          </w:p>
        </w:tc>
        <w:tc>
          <w:tcPr>
            <w:tcW w:w="2544" w:type="pct"/>
            <w:vAlign w:val="center"/>
          </w:tcPr>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须具备</w:t>
            </w:r>
            <w:r>
              <w:rPr>
                <w:rFonts w:hint="eastAsia" w:ascii="宋体" w:hAnsi="宋体" w:cs="宋体"/>
                <w:color w:val="auto"/>
                <w:sz w:val="24"/>
                <w:szCs w:val="24"/>
                <w:highlight w:val="none"/>
                <w:lang w:val="en-US" w:eastAsia="zh-CN"/>
              </w:rPr>
              <w:t>建筑工程施工总承包叁级</w:t>
            </w:r>
            <w:r>
              <w:rPr>
                <w:rFonts w:hint="eastAsia" w:ascii="宋体" w:hAnsi="宋体" w:eastAsia="宋体" w:cs="宋体"/>
                <w:color w:val="auto"/>
                <w:sz w:val="24"/>
                <w:szCs w:val="24"/>
                <w:highlight w:val="none"/>
                <w:lang w:val="en-US" w:eastAsia="zh-CN"/>
              </w:rPr>
              <w:t>（含）以上资质且具有有效的《安全生产许可证》</w:t>
            </w:r>
          </w:p>
        </w:tc>
        <w:tc>
          <w:tcPr>
            <w:tcW w:w="1014" w:type="pct"/>
            <w:vAlign w:val="center"/>
          </w:tcPr>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提供加盖单位公章的证明文件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35" w:hRule="atLeast"/>
        </w:trPr>
        <w:tc>
          <w:tcPr>
            <w:tcW w:w="515" w:type="pct"/>
            <w:vAlign w:val="center"/>
          </w:tcPr>
          <w:p>
            <w:pPr>
              <w:tabs>
                <w:tab w:val="left" w:pos="1080"/>
              </w:tabs>
              <w:snapToGrid w:val="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3-3-2</w:t>
            </w:r>
          </w:p>
        </w:tc>
        <w:tc>
          <w:tcPr>
            <w:tcW w:w="925" w:type="pct"/>
            <w:vAlign w:val="center"/>
          </w:tcPr>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项目负责人</w:t>
            </w:r>
          </w:p>
        </w:tc>
        <w:tc>
          <w:tcPr>
            <w:tcW w:w="2544" w:type="pct"/>
            <w:vAlign w:val="center"/>
          </w:tcPr>
          <w:p>
            <w:pPr>
              <w:tabs>
                <w:tab w:val="left" w:pos="1080"/>
              </w:tabs>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拟派本工程的项目负责人须具备</w:t>
            </w:r>
            <w:r>
              <w:rPr>
                <w:rFonts w:hint="eastAsia" w:ascii="宋体" w:hAnsi="宋体" w:cs="宋体"/>
                <w:color w:val="auto"/>
                <w:sz w:val="24"/>
                <w:szCs w:val="24"/>
                <w:highlight w:val="none"/>
                <w:lang w:val="en-US" w:eastAsia="zh-CN"/>
              </w:rPr>
              <w:t>建筑工程专业二级</w:t>
            </w:r>
            <w:r>
              <w:rPr>
                <w:rFonts w:hint="eastAsia" w:ascii="宋体" w:hAnsi="宋体" w:eastAsia="宋体" w:cs="宋体"/>
                <w:color w:val="auto"/>
                <w:sz w:val="24"/>
                <w:szCs w:val="24"/>
                <w:highlight w:val="none"/>
                <w:lang w:val="en-US" w:eastAsia="zh-CN"/>
              </w:rPr>
              <w:t>（含）以上注册建造师执业资格，具备有效的安全生产考核合格证书（B本），且在确定中标人时不得担任其他在施建设工程项目的项目经理。</w:t>
            </w:r>
          </w:p>
        </w:tc>
        <w:tc>
          <w:tcPr>
            <w:tcW w:w="1014" w:type="pct"/>
            <w:vAlign w:val="center"/>
          </w:tcPr>
          <w:p>
            <w:pPr>
              <w:tabs>
                <w:tab w:val="left" w:pos="1080"/>
              </w:tabs>
              <w:snapToGrid w:val="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提供加盖单位公章的证明文件及提供加盖单位公章</w:t>
            </w:r>
            <w:r>
              <w:rPr>
                <w:rFonts w:hint="eastAsia" w:cs="宋体"/>
                <w:color w:val="auto"/>
                <w:sz w:val="24"/>
                <w:highlight w:val="none"/>
                <w:lang w:val="en-US" w:eastAsia="zh-CN"/>
              </w:rPr>
              <w:t>的项目经理无在施承诺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35" w:hRule="atLeast"/>
        </w:trPr>
        <w:tc>
          <w:tcPr>
            <w:tcW w:w="515" w:type="pct"/>
            <w:vAlign w:val="center"/>
          </w:tcPr>
          <w:p>
            <w:pPr>
              <w:tabs>
                <w:tab w:val="left" w:pos="1080"/>
              </w:tabs>
              <w:snapToGrid w:val="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3-3-3</w:t>
            </w:r>
          </w:p>
        </w:tc>
        <w:tc>
          <w:tcPr>
            <w:tcW w:w="925" w:type="pct"/>
            <w:vAlign w:val="center"/>
          </w:tcPr>
          <w:p>
            <w:pPr>
              <w:tabs>
                <w:tab w:val="left" w:pos="1080"/>
              </w:tabs>
              <w:snapToGrid w:val="0"/>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施工安全风险企业</w:t>
            </w:r>
          </w:p>
        </w:tc>
        <w:tc>
          <w:tcPr>
            <w:tcW w:w="2544" w:type="pct"/>
            <w:vAlign w:val="center"/>
          </w:tcPr>
          <w:p>
            <w:pPr>
              <w:tabs>
                <w:tab w:val="left" w:pos="1080"/>
              </w:tabs>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响应人</w:t>
            </w:r>
            <w:r>
              <w:rPr>
                <w:rFonts w:hint="eastAsia" w:ascii="宋体" w:hAnsi="宋体" w:eastAsia="宋体" w:cs="宋体"/>
                <w:color w:val="auto"/>
                <w:sz w:val="24"/>
                <w:szCs w:val="24"/>
                <w:highlight w:val="none"/>
              </w:rPr>
              <w:t>未</w:t>
            </w:r>
            <w:r>
              <w:rPr>
                <w:rFonts w:hint="eastAsia" w:ascii="宋体" w:hAnsi="宋体" w:eastAsia="宋体" w:cs="宋体"/>
                <w:color w:val="auto"/>
                <w:sz w:val="24"/>
                <w:szCs w:val="24"/>
                <w:highlight w:val="none"/>
                <w:lang w:val="en-US" w:eastAsia="zh-CN"/>
              </w:rPr>
              <w:t>被标示为施工安全风险企业</w:t>
            </w:r>
            <w:r>
              <w:rPr>
                <w:rFonts w:hint="eastAsia" w:cs="宋体"/>
                <w:color w:val="auto"/>
                <w:sz w:val="24"/>
                <w:szCs w:val="24"/>
                <w:highlight w:val="none"/>
                <w:lang w:val="en-US" w:eastAsia="zh-CN"/>
              </w:rPr>
              <w:t>。</w:t>
            </w:r>
          </w:p>
        </w:tc>
        <w:tc>
          <w:tcPr>
            <w:tcW w:w="1014" w:type="pct"/>
            <w:vAlign w:val="center"/>
          </w:tcPr>
          <w:p>
            <w:pPr>
              <w:pStyle w:val="17"/>
              <w:keepNext w:val="0"/>
              <w:keepLines w:val="0"/>
              <w:pageBreakBefore w:val="0"/>
              <w:widowControl w:val="0"/>
              <w:kinsoku/>
              <w:wordWrap/>
              <w:overflowPunct/>
              <w:topLinePunct w:val="0"/>
              <w:autoSpaceDE/>
              <w:autoSpaceDN/>
              <w:bidi w:val="0"/>
              <w:adjustRightInd/>
              <w:snapToGrid/>
              <w:spacing w:before="0" w:line="240" w:lineRule="auto"/>
              <w:ind w:right="125" w:rightChars="0"/>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提供加盖单位公章</w:t>
            </w:r>
            <w:r>
              <w:rPr>
                <w:rFonts w:hint="eastAsia" w:cs="宋体"/>
                <w:color w:val="auto"/>
                <w:sz w:val="24"/>
                <w:highlight w:val="none"/>
                <w:lang w:val="en-US" w:eastAsia="zh-CN"/>
              </w:rPr>
              <w:t>的承诺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5" w:type="pct"/>
            <w:vAlign w:val="center"/>
          </w:tcPr>
          <w:p>
            <w:pPr>
              <w:tabs>
                <w:tab w:val="left" w:pos="1080"/>
              </w:tabs>
              <w:snapToGrid w:val="0"/>
              <w:jc w:val="center"/>
              <w:rPr>
                <w:rFonts w:hint="default"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925" w:type="pct"/>
            <w:vAlign w:val="center"/>
          </w:tcPr>
          <w:p>
            <w:pPr>
              <w:tabs>
                <w:tab w:val="left" w:pos="1080"/>
              </w:tabs>
              <w:snapToGrid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磋商保证金</w:t>
            </w:r>
          </w:p>
          <w:p>
            <w:pPr>
              <w:tabs>
                <w:tab w:val="left" w:pos="1080"/>
              </w:tabs>
              <w:snapToGrid w:val="0"/>
              <w:jc w:val="left"/>
              <w:rPr>
                <w:rFonts w:hint="eastAsia" w:ascii="宋体" w:hAnsi="宋体" w:eastAsia="宋体" w:cs="宋体"/>
                <w:color w:val="auto"/>
                <w:sz w:val="24"/>
                <w:highlight w:val="none"/>
                <w:lang w:val="en-US" w:eastAsia="zh-CN"/>
              </w:rPr>
            </w:pPr>
            <w:r>
              <w:rPr>
                <w:rFonts w:hint="eastAsia"/>
                <w:color w:val="auto"/>
                <w:sz w:val="24"/>
                <w:highlight w:val="none"/>
              </w:rPr>
              <w:t>（不适用）</w:t>
            </w:r>
          </w:p>
        </w:tc>
        <w:tc>
          <w:tcPr>
            <w:tcW w:w="2544" w:type="pct"/>
            <w:vAlign w:val="center"/>
          </w:tcPr>
          <w:p>
            <w:pPr>
              <w:tabs>
                <w:tab w:val="left" w:pos="1080"/>
              </w:tabs>
              <w:snapToGrid w:val="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按照竞争性磋商文件的要求提交磋商保证金</w:t>
            </w:r>
          </w:p>
        </w:tc>
        <w:tc>
          <w:tcPr>
            <w:tcW w:w="1014" w:type="pct"/>
            <w:vAlign w:val="center"/>
          </w:tcPr>
          <w:p>
            <w:pPr>
              <w:tabs>
                <w:tab w:val="left" w:pos="1080"/>
              </w:tabs>
              <w:snapToGrid w:val="0"/>
              <w:jc w:val="center"/>
              <w:rPr>
                <w:rFonts w:hint="eastAsia" w:ascii="宋体" w:hAnsi="宋体" w:cs="宋体"/>
                <w:color w:val="auto"/>
                <w:sz w:val="24"/>
                <w:highlight w:val="none"/>
                <w:lang w:val="en-US" w:eastAsia="zh-CN"/>
              </w:rPr>
            </w:pPr>
          </w:p>
        </w:tc>
      </w:tr>
    </w:tbl>
    <w:p>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《符合性审查要求》见下表：</w:t>
      </w:r>
    </w:p>
    <w:p>
      <w:pPr>
        <w:widowControl/>
        <w:spacing w:line="360" w:lineRule="auto"/>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符合性审查要求</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5"/>
        <w:gridCol w:w="1572"/>
        <w:gridCol w:w="2702"/>
        <w:gridCol w:w="3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921" w:type="pct"/>
            <w:shd w:val="clear" w:color="000000" w:fill="FFFFFF"/>
            <w:vAlign w:val="center"/>
          </w:tcPr>
          <w:p>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因素</w:t>
            </w:r>
          </w:p>
        </w:tc>
        <w:tc>
          <w:tcPr>
            <w:tcW w:w="1583" w:type="pct"/>
            <w:shd w:val="clear" w:color="000000" w:fill="FFFFFF"/>
            <w:vAlign w:val="center"/>
          </w:tcPr>
          <w:p>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内容</w:t>
            </w:r>
          </w:p>
        </w:tc>
        <w:tc>
          <w:tcPr>
            <w:tcW w:w="1951" w:type="pct"/>
            <w:shd w:val="clear" w:color="000000" w:fill="FFFFFF"/>
            <w:vAlign w:val="center"/>
          </w:tcPr>
          <w:p>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widowControl/>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1</w:t>
            </w:r>
          </w:p>
        </w:tc>
        <w:tc>
          <w:tcPr>
            <w:tcW w:w="921" w:type="pct"/>
            <w:shd w:val="clear" w:color="000000" w:fill="FFFFFF"/>
            <w:vAlign w:val="center"/>
          </w:tcPr>
          <w:p>
            <w:pPr>
              <w:widowControl/>
              <w:jc w:val="left"/>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4"/>
                <w:highlight w:val="none"/>
              </w:rPr>
              <w:t>授权委托书</w:t>
            </w:r>
          </w:p>
        </w:tc>
        <w:tc>
          <w:tcPr>
            <w:tcW w:w="1583" w:type="pct"/>
            <w:shd w:val="clear" w:color="000000" w:fill="FFFFFF"/>
            <w:vAlign w:val="center"/>
          </w:tcPr>
          <w:p>
            <w:pPr>
              <w:widowControl/>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4"/>
                <w:highlight w:val="none"/>
              </w:rPr>
              <w:t>按</w:t>
            </w:r>
            <w:r>
              <w:rPr>
                <w:rFonts w:hint="eastAsia" w:ascii="宋体" w:hAnsi="宋体" w:cs="宋体"/>
                <w:color w:val="auto"/>
                <w:kern w:val="0"/>
                <w:sz w:val="24"/>
                <w:highlight w:val="none"/>
                <w:lang w:val="en-US" w:eastAsia="zh-CN"/>
              </w:rPr>
              <w:t>采购</w:t>
            </w:r>
            <w:r>
              <w:rPr>
                <w:rFonts w:hint="eastAsia" w:ascii="宋体" w:hAnsi="宋体" w:eastAsia="宋体" w:cs="宋体"/>
                <w:color w:val="auto"/>
                <w:kern w:val="0"/>
                <w:sz w:val="24"/>
                <w:highlight w:val="none"/>
              </w:rPr>
              <w:t>文件要求提供授权委托书；</w:t>
            </w:r>
          </w:p>
        </w:tc>
        <w:tc>
          <w:tcPr>
            <w:tcW w:w="1951" w:type="pct"/>
            <w:shd w:val="clear" w:color="000000" w:fill="FFFFFF"/>
            <w:vAlign w:val="center"/>
          </w:tcPr>
          <w:p>
            <w:pPr>
              <w:widowControl/>
              <w:jc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widowControl/>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2</w:t>
            </w:r>
          </w:p>
        </w:tc>
        <w:tc>
          <w:tcPr>
            <w:tcW w:w="921" w:type="pct"/>
            <w:shd w:val="clear" w:color="000000" w:fill="FFFFFF"/>
            <w:vAlign w:val="center"/>
          </w:tcPr>
          <w:p>
            <w:pPr>
              <w:widowControl/>
              <w:jc w:val="left"/>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4"/>
                <w:highlight w:val="none"/>
              </w:rPr>
              <w:t>投标完整性</w:t>
            </w:r>
          </w:p>
        </w:tc>
        <w:tc>
          <w:tcPr>
            <w:tcW w:w="1583" w:type="pct"/>
            <w:shd w:val="clear" w:color="000000" w:fill="FFFFFF"/>
            <w:vAlign w:val="center"/>
          </w:tcPr>
          <w:p>
            <w:pPr>
              <w:widowControl/>
              <w:jc w:val="left"/>
              <w:rPr>
                <w:rFonts w:hint="eastAsia" w:ascii="宋体" w:hAnsi="宋体" w:eastAsia="宋体" w:cs="宋体"/>
                <w:color w:val="auto"/>
                <w:kern w:val="0"/>
                <w:sz w:val="22"/>
                <w:szCs w:val="22"/>
                <w:highlight w:val="none"/>
              </w:rPr>
            </w:pPr>
            <w:r>
              <w:rPr>
                <w:rFonts w:hint="eastAsia" w:ascii="宋体" w:hAnsi="宋体" w:eastAsia="宋体" w:cs="宋体"/>
                <w:color w:val="auto"/>
                <w:sz w:val="24"/>
                <w:highlight w:val="none"/>
              </w:rPr>
              <w:t>未将一个采购包中的内容拆开投标；</w:t>
            </w:r>
          </w:p>
        </w:tc>
        <w:tc>
          <w:tcPr>
            <w:tcW w:w="1951" w:type="pct"/>
            <w:shd w:val="clear" w:color="000000" w:fill="FFFFFF"/>
            <w:vAlign w:val="center"/>
          </w:tcPr>
          <w:p>
            <w:pPr>
              <w:widowControl/>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widowControl/>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3</w:t>
            </w:r>
          </w:p>
        </w:tc>
        <w:tc>
          <w:tcPr>
            <w:tcW w:w="921" w:type="pct"/>
            <w:shd w:val="clear" w:color="000000" w:fill="FFFFFF"/>
            <w:vAlign w:val="center"/>
          </w:tcPr>
          <w:p>
            <w:pPr>
              <w:widowControl/>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4"/>
                <w:highlight w:val="none"/>
              </w:rPr>
              <w:t>投标报价</w:t>
            </w:r>
          </w:p>
        </w:tc>
        <w:tc>
          <w:tcPr>
            <w:tcW w:w="1583" w:type="pct"/>
            <w:shd w:val="clear" w:color="000000" w:fill="FFFFFF"/>
            <w:vAlign w:val="center"/>
          </w:tcPr>
          <w:p>
            <w:pPr>
              <w:widowControl/>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4"/>
                <w:highlight w:val="none"/>
              </w:rPr>
              <w:t>投标报价未</w:t>
            </w:r>
            <w:r>
              <w:rPr>
                <w:rFonts w:hint="eastAsia" w:ascii="宋体" w:hAnsi="宋体" w:eastAsia="宋体" w:cs="宋体"/>
                <w:color w:val="auto"/>
                <w:sz w:val="24"/>
                <w:highlight w:val="none"/>
              </w:rPr>
              <w:t>超过</w:t>
            </w:r>
            <w:r>
              <w:rPr>
                <w:rFonts w:hint="eastAsia" w:ascii="宋体" w:hAnsi="宋体" w:cs="宋体"/>
                <w:color w:val="auto"/>
                <w:kern w:val="0"/>
                <w:sz w:val="24"/>
                <w:highlight w:val="none"/>
                <w:lang w:val="en-US" w:eastAsia="zh-CN"/>
              </w:rPr>
              <w:t>采购</w:t>
            </w:r>
            <w:r>
              <w:rPr>
                <w:rFonts w:hint="eastAsia" w:ascii="宋体" w:hAnsi="宋体" w:eastAsia="宋体" w:cs="宋体"/>
                <w:color w:val="auto"/>
                <w:sz w:val="24"/>
                <w:highlight w:val="none"/>
              </w:rPr>
              <w:t>文件中规定的项目/采购包预算金额或者项目/采购包最高限价</w:t>
            </w:r>
            <w:r>
              <w:rPr>
                <w:rFonts w:hint="eastAsia" w:ascii="宋体" w:hAnsi="宋体" w:eastAsia="宋体" w:cs="宋体"/>
                <w:color w:val="auto"/>
                <w:kern w:val="0"/>
                <w:sz w:val="24"/>
                <w:highlight w:val="none"/>
              </w:rPr>
              <w:t>；</w:t>
            </w:r>
          </w:p>
        </w:tc>
        <w:tc>
          <w:tcPr>
            <w:tcW w:w="1951" w:type="pct"/>
            <w:shd w:val="clear" w:color="000000" w:fill="FFFFFF"/>
            <w:vAlign w:val="center"/>
          </w:tcPr>
          <w:p>
            <w:pPr>
              <w:widowControl/>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widowControl/>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4</w:t>
            </w:r>
          </w:p>
        </w:tc>
        <w:tc>
          <w:tcPr>
            <w:tcW w:w="921" w:type="pct"/>
            <w:shd w:val="clear" w:color="000000" w:fill="FFFFFF"/>
            <w:vAlign w:val="center"/>
          </w:tcPr>
          <w:p>
            <w:pPr>
              <w:widowControl/>
              <w:jc w:val="left"/>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4"/>
                <w:highlight w:val="none"/>
              </w:rPr>
              <w:t>报价唯一性</w:t>
            </w:r>
          </w:p>
        </w:tc>
        <w:tc>
          <w:tcPr>
            <w:tcW w:w="1583" w:type="pct"/>
            <w:shd w:val="clear" w:color="000000" w:fill="FFFFFF"/>
            <w:vAlign w:val="center"/>
          </w:tcPr>
          <w:p>
            <w:pPr>
              <w:widowControl/>
              <w:jc w:val="left"/>
              <w:rPr>
                <w:rFonts w:hint="eastAsia" w:ascii="宋体" w:hAnsi="宋体" w:eastAsia="宋体" w:cs="宋体"/>
                <w:color w:val="auto"/>
                <w:kern w:val="0"/>
                <w:sz w:val="22"/>
                <w:szCs w:val="22"/>
                <w:highlight w:val="none"/>
              </w:rPr>
            </w:pPr>
            <w:r>
              <w:rPr>
                <w:rFonts w:hint="eastAsia" w:ascii="宋体" w:hAnsi="宋体" w:cs="宋体"/>
                <w:color w:val="auto"/>
                <w:kern w:val="0"/>
                <w:sz w:val="24"/>
                <w:highlight w:val="none"/>
                <w:lang w:val="en-US" w:eastAsia="zh-CN"/>
              </w:rPr>
              <w:t>响应</w:t>
            </w:r>
            <w:r>
              <w:rPr>
                <w:rFonts w:hint="eastAsia" w:ascii="宋体" w:hAnsi="宋体" w:eastAsia="宋体" w:cs="宋体"/>
                <w:color w:val="auto"/>
                <w:kern w:val="0"/>
                <w:sz w:val="24"/>
                <w:highlight w:val="none"/>
              </w:rPr>
              <w:t>文件未</w:t>
            </w:r>
            <w:r>
              <w:rPr>
                <w:rFonts w:hint="eastAsia" w:ascii="宋体" w:hAnsi="宋体" w:eastAsia="宋体" w:cs="宋体"/>
                <w:color w:val="auto"/>
                <w:sz w:val="24"/>
                <w:highlight w:val="none"/>
              </w:rPr>
              <w:t>出现可选择性或可调整的报价（</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文件另有规定的除外）</w:t>
            </w:r>
            <w:r>
              <w:rPr>
                <w:rFonts w:hint="eastAsia" w:ascii="宋体" w:hAnsi="宋体" w:eastAsia="宋体" w:cs="宋体"/>
                <w:color w:val="auto"/>
                <w:kern w:val="0"/>
                <w:sz w:val="24"/>
                <w:highlight w:val="none"/>
              </w:rPr>
              <w:t>；</w:t>
            </w:r>
          </w:p>
        </w:tc>
        <w:tc>
          <w:tcPr>
            <w:tcW w:w="1951" w:type="pct"/>
            <w:shd w:val="clear" w:color="000000" w:fill="FFFFFF"/>
            <w:vAlign w:val="center"/>
          </w:tcPr>
          <w:p>
            <w:pPr>
              <w:widowControl/>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widowControl/>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5</w:t>
            </w:r>
          </w:p>
        </w:tc>
        <w:tc>
          <w:tcPr>
            <w:tcW w:w="921" w:type="pct"/>
            <w:shd w:val="clear" w:color="000000" w:fill="FFFFFF"/>
            <w:vAlign w:val="center"/>
          </w:tcPr>
          <w:p>
            <w:pPr>
              <w:widowControl/>
              <w:jc w:val="left"/>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4"/>
                <w:highlight w:val="none"/>
                <w:lang w:val="en-US" w:eastAsia="zh-CN"/>
              </w:rPr>
              <w:t>磋商</w:t>
            </w:r>
            <w:r>
              <w:rPr>
                <w:rFonts w:hint="eastAsia" w:ascii="宋体" w:hAnsi="宋体" w:eastAsia="宋体" w:cs="宋体"/>
                <w:color w:val="auto"/>
                <w:kern w:val="0"/>
                <w:sz w:val="24"/>
                <w:highlight w:val="none"/>
              </w:rPr>
              <w:t>有效期</w:t>
            </w:r>
          </w:p>
        </w:tc>
        <w:tc>
          <w:tcPr>
            <w:tcW w:w="1583" w:type="pct"/>
            <w:shd w:val="clear" w:color="000000" w:fill="FFFFFF"/>
            <w:vAlign w:val="center"/>
          </w:tcPr>
          <w:p>
            <w:pPr>
              <w:widowControl/>
              <w:jc w:val="left"/>
              <w:rPr>
                <w:rFonts w:hint="eastAsia" w:ascii="宋体" w:hAnsi="宋体" w:eastAsia="宋体" w:cs="宋体"/>
                <w:color w:val="auto"/>
                <w:kern w:val="0"/>
                <w:sz w:val="22"/>
                <w:szCs w:val="22"/>
                <w:highlight w:val="none"/>
              </w:rPr>
            </w:pPr>
            <w:r>
              <w:rPr>
                <w:rFonts w:hint="eastAsia" w:ascii="宋体" w:hAnsi="宋体" w:cs="宋体"/>
                <w:color w:val="auto"/>
                <w:kern w:val="0"/>
                <w:sz w:val="24"/>
                <w:highlight w:val="none"/>
                <w:lang w:val="en-US" w:eastAsia="zh-CN"/>
              </w:rPr>
              <w:t>响应</w:t>
            </w:r>
            <w:r>
              <w:rPr>
                <w:rFonts w:hint="eastAsia" w:ascii="宋体" w:hAnsi="宋体" w:eastAsia="宋体" w:cs="宋体"/>
                <w:color w:val="auto"/>
                <w:kern w:val="0"/>
                <w:sz w:val="24"/>
                <w:highlight w:val="none"/>
              </w:rPr>
              <w:t>文件中承诺的</w:t>
            </w:r>
            <w:r>
              <w:rPr>
                <w:rFonts w:hint="eastAsia" w:ascii="宋体" w:hAnsi="宋体" w:cs="宋体"/>
                <w:color w:val="auto"/>
                <w:kern w:val="0"/>
                <w:sz w:val="24"/>
                <w:highlight w:val="none"/>
                <w:lang w:val="en-US" w:eastAsia="zh-CN"/>
              </w:rPr>
              <w:t>磋商</w:t>
            </w:r>
            <w:r>
              <w:rPr>
                <w:rFonts w:hint="eastAsia" w:ascii="宋体" w:hAnsi="宋体" w:eastAsia="宋体" w:cs="宋体"/>
                <w:color w:val="auto"/>
                <w:kern w:val="0"/>
                <w:sz w:val="24"/>
                <w:highlight w:val="none"/>
              </w:rPr>
              <w:t>有效期满足</w:t>
            </w:r>
            <w:r>
              <w:rPr>
                <w:rFonts w:hint="eastAsia" w:ascii="宋体" w:hAnsi="宋体" w:cs="宋体"/>
                <w:color w:val="auto"/>
                <w:kern w:val="0"/>
                <w:sz w:val="24"/>
                <w:highlight w:val="none"/>
                <w:lang w:val="en-US" w:eastAsia="zh-CN"/>
              </w:rPr>
              <w:t>采购</w:t>
            </w:r>
            <w:r>
              <w:rPr>
                <w:rFonts w:hint="eastAsia" w:ascii="宋体" w:hAnsi="宋体" w:eastAsia="宋体" w:cs="宋体"/>
                <w:color w:val="auto"/>
                <w:kern w:val="0"/>
                <w:sz w:val="24"/>
                <w:highlight w:val="none"/>
              </w:rPr>
              <w:t>文件中载明的</w:t>
            </w:r>
            <w:r>
              <w:rPr>
                <w:rFonts w:hint="eastAsia" w:ascii="宋体" w:hAnsi="宋体" w:cs="宋体"/>
                <w:color w:val="auto"/>
                <w:kern w:val="0"/>
                <w:sz w:val="24"/>
                <w:highlight w:val="none"/>
                <w:lang w:val="en-US" w:eastAsia="zh-CN"/>
              </w:rPr>
              <w:t>磋商</w:t>
            </w:r>
            <w:r>
              <w:rPr>
                <w:rFonts w:hint="eastAsia" w:ascii="宋体" w:hAnsi="宋体" w:eastAsia="宋体" w:cs="宋体"/>
                <w:color w:val="auto"/>
                <w:kern w:val="0"/>
                <w:sz w:val="24"/>
                <w:highlight w:val="none"/>
              </w:rPr>
              <w:t>有效期的；</w:t>
            </w:r>
          </w:p>
        </w:tc>
        <w:tc>
          <w:tcPr>
            <w:tcW w:w="1951" w:type="pct"/>
            <w:shd w:val="clear" w:color="000000" w:fill="FFFFFF"/>
            <w:vAlign w:val="center"/>
          </w:tcPr>
          <w:p>
            <w:pPr>
              <w:widowControl/>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widowControl/>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6</w:t>
            </w:r>
          </w:p>
        </w:tc>
        <w:tc>
          <w:tcPr>
            <w:tcW w:w="921" w:type="pct"/>
            <w:shd w:val="clear" w:color="000000" w:fill="FFFFFF"/>
            <w:vAlign w:val="center"/>
          </w:tcPr>
          <w:p>
            <w:pPr>
              <w:widowControl/>
              <w:jc w:val="left"/>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4"/>
                <w:highlight w:val="none"/>
              </w:rPr>
              <w:t>签署、盖章</w:t>
            </w:r>
          </w:p>
        </w:tc>
        <w:tc>
          <w:tcPr>
            <w:tcW w:w="1583" w:type="pct"/>
            <w:shd w:val="clear" w:color="000000" w:fill="FFFFFF"/>
            <w:vAlign w:val="center"/>
          </w:tcPr>
          <w:p>
            <w:pPr>
              <w:widowControl/>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4"/>
                <w:highlight w:val="none"/>
              </w:rPr>
              <w:t>按照</w:t>
            </w:r>
            <w:r>
              <w:rPr>
                <w:rFonts w:hint="eastAsia" w:ascii="宋体" w:hAnsi="宋体" w:cs="宋体"/>
                <w:color w:val="auto"/>
                <w:kern w:val="0"/>
                <w:sz w:val="24"/>
                <w:highlight w:val="none"/>
                <w:lang w:val="en-US" w:eastAsia="zh-CN"/>
              </w:rPr>
              <w:t>采购</w:t>
            </w:r>
            <w:r>
              <w:rPr>
                <w:rFonts w:hint="eastAsia" w:ascii="宋体" w:hAnsi="宋体" w:eastAsia="宋体" w:cs="宋体"/>
                <w:color w:val="auto"/>
                <w:kern w:val="0"/>
                <w:sz w:val="24"/>
                <w:highlight w:val="none"/>
              </w:rPr>
              <w:t>文件要求签署、盖章的；</w:t>
            </w:r>
          </w:p>
        </w:tc>
        <w:tc>
          <w:tcPr>
            <w:tcW w:w="1951" w:type="pct"/>
            <w:shd w:val="clear" w:color="000000" w:fill="FFFFFF"/>
            <w:vAlign w:val="center"/>
          </w:tcPr>
          <w:p>
            <w:pPr>
              <w:widowControl/>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widowControl/>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7</w:t>
            </w:r>
          </w:p>
        </w:tc>
        <w:tc>
          <w:tcPr>
            <w:tcW w:w="921" w:type="pct"/>
            <w:shd w:val="clear" w:color="000000" w:fill="FFFFFF"/>
            <w:vAlign w:val="center"/>
          </w:tcPr>
          <w:p>
            <w:pPr>
              <w:widowControl/>
              <w:jc w:val="left"/>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4"/>
                <w:highlight w:val="none"/>
              </w:rPr>
              <w:t>实质性格式</w:t>
            </w:r>
          </w:p>
        </w:tc>
        <w:tc>
          <w:tcPr>
            <w:tcW w:w="1583" w:type="pct"/>
            <w:shd w:val="clear" w:color="000000" w:fill="FFFFFF"/>
            <w:vAlign w:val="center"/>
          </w:tcPr>
          <w:p>
            <w:pPr>
              <w:widowControl/>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4"/>
                <w:highlight w:val="none"/>
              </w:rPr>
              <w:t>标记为“实质性格式”的文件均按</w:t>
            </w:r>
            <w:r>
              <w:rPr>
                <w:rFonts w:hint="eastAsia" w:ascii="宋体" w:hAnsi="宋体" w:cs="宋体"/>
                <w:color w:val="auto"/>
                <w:kern w:val="0"/>
                <w:sz w:val="24"/>
                <w:highlight w:val="none"/>
                <w:lang w:val="en-US" w:eastAsia="zh-CN"/>
              </w:rPr>
              <w:t>采购</w:t>
            </w:r>
            <w:r>
              <w:rPr>
                <w:rFonts w:hint="eastAsia" w:ascii="宋体" w:hAnsi="宋体" w:eastAsia="宋体" w:cs="宋体"/>
                <w:color w:val="auto"/>
                <w:kern w:val="0"/>
                <w:sz w:val="24"/>
                <w:highlight w:val="none"/>
              </w:rPr>
              <w:t>文件要求提供；</w:t>
            </w:r>
          </w:p>
        </w:tc>
        <w:tc>
          <w:tcPr>
            <w:tcW w:w="1951" w:type="pct"/>
            <w:shd w:val="clear" w:color="000000" w:fill="FFFFFF"/>
            <w:vAlign w:val="center"/>
          </w:tcPr>
          <w:p>
            <w:pPr>
              <w:widowControl/>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widowControl/>
              <w:jc w:val="center"/>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rPr>
              <w:t>8</w:t>
            </w:r>
          </w:p>
        </w:tc>
        <w:tc>
          <w:tcPr>
            <w:tcW w:w="921" w:type="pct"/>
            <w:shd w:val="clear" w:color="000000" w:fill="FFFFFF"/>
            <w:vAlign w:val="center"/>
          </w:tcPr>
          <w:p>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串通投标</w:t>
            </w:r>
          </w:p>
        </w:tc>
        <w:tc>
          <w:tcPr>
            <w:tcW w:w="1583" w:type="pct"/>
            <w:shd w:val="clear" w:color="000000" w:fill="FFFFFF"/>
            <w:vAlign w:val="center"/>
          </w:tcPr>
          <w:p>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951" w:type="pct"/>
            <w:shd w:val="clear" w:color="000000" w:fill="FFFFFF"/>
            <w:vAlign w:val="center"/>
          </w:tcPr>
          <w:p>
            <w:pPr>
              <w:widowControl/>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widowControl/>
              <w:jc w:val="center"/>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9</w:t>
            </w:r>
          </w:p>
        </w:tc>
        <w:tc>
          <w:tcPr>
            <w:tcW w:w="921" w:type="pct"/>
            <w:shd w:val="clear" w:color="000000" w:fill="FFFFFF"/>
            <w:vAlign w:val="center"/>
          </w:tcPr>
          <w:p>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附加条件</w:t>
            </w:r>
          </w:p>
        </w:tc>
        <w:tc>
          <w:tcPr>
            <w:tcW w:w="1583" w:type="pct"/>
            <w:shd w:val="clear" w:color="000000" w:fill="FFFFFF"/>
            <w:vAlign w:val="center"/>
          </w:tcPr>
          <w:p>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lang w:val="en-US" w:eastAsia="zh-CN"/>
              </w:rPr>
              <w:t>响应</w:t>
            </w:r>
            <w:r>
              <w:rPr>
                <w:rFonts w:hint="eastAsia" w:ascii="宋体" w:hAnsi="宋体" w:eastAsia="宋体" w:cs="宋体"/>
                <w:color w:val="auto"/>
                <w:kern w:val="0"/>
                <w:sz w:val="24"/>
                <w:highlight w:val="none"/>
              </w:rPr>
              <w:t>文件未含有采购人不能接受的附加条件的；</w:t>
            </w:r>
          </w:p>
        </w:tc>
        <w:tc>
          <w:tcPr>
            <w:tcW w:w="1951" w:type="pct"/>
            <w:shd w:val="clear" w:color="000000" w:fill="FFFFFF"/>
            <w:vAlign w:val="center"/>
          </w:tcPr>
          <w:p>
            <w:pPr>
              <w:widowControl/>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widowControl/>
              <w:jc w:val="center"/>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10</w:t>
            </w:r>
          </w:p>
        </w:tc>
        <w:tc>
          <w:tcPr>
            <w:tcW w:w="921" w:type="pct"/>
            <w:shd w:val="clear" w:color="000000" w:fill="FFFFFF"/>
            <w:vAlign w:val="center"/>
          </w:tcPr>
          <w:p>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其他无效情形</w:t>
            </w:r>
          </w:p>
        </w:tc>
        <w:tc>
          <w:tcPr>
            <w:tcW w:w="1583" w:type="pct"/>
            <w:shd w:val="clear" w:color="000000" w:fill="FFFFFF"/>
            <w:vAlign w:val="center"/>
          </w:tcPr>
          <w:p>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cs="宋体"/>
                <w:color w:val="auto"/>
                <w:kern w:val="0"/>
                <w:sz w:val="24"/>
                <w:highlight w:val="none"/>
                <w:lang w:val="en-US" w:eastAsia="zh-CN"/>
              </w:rPr>
              <w:t>响应</w:t>
            </w:r>
            <w:r>
              <w:rPr>
                <w:rFonts w:hint="eastAsia" w:ascii="宋体" w:hAnsi="宋体" w:eastAsia="宋体" w:cs="宋体"/>
                <w:color w:val="auto"/>
                <w:sz w:val="24"/>
                <w:highlight w:val="none"/>
              </w:rPr>
              <w:t>文件不存在不符合法律、法规和招标文件规定的其他无效情形。</w:t>
            </w:r>
          </w:p>
        </w:tc>
        <w:tc>
          <w:tcPr>
            <w:tcW w:w="1951" w:type="pct"/>
            <w:shd w:val="clear" w:color="000000" w:fill="FFFFFF"/>
            <w:vAlign w:val="center"/>
          </w:tcPr>
          <w:p>
            <w:pPr>
              <w:widowControl/>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bl>
    <w:p>
      <w:pPr>
        <w:tabs>
          <w:tab w:val="left" w:pos="900"/>
          <w:tab w:val="left" w:pos="1080"/>
          <w:tab w:val="left" w:pos="1589"/>
        </w:tabs>
        <w:snapToGrid w:val="0"/>
        <w:spacing w:line="360" w:lineRule="auto"/>
        <w:rPr>
          <w:rFonts w:hint="eastAsia" w:ascii="宋体" w:hAnsi="宋体" w:eastAsia="宋体" w:cs="宋体"/>
          <w:color w:val="auto"/>
          <w:sz w:val="24"/>
          <w:highlight w:val="none"/>
        </w:rPr>
      </w:pPr>
    </w:p>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磋商、响应文件有关事项的澄清、说明或者更正和最后报价</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磋商小组所有成员应当集中与单一供应商分别进行磋商，并给予所有参加磋商的供应商平等的磋商机会。</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对磋商文件作出的实质性变动是磋商文件的有效组成部分，磋商小组应当及时以书面形式同时通知所有参加磋商的供应商。</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响应文件的澄清、说明或者更正：</w:t>
      </w:r>
    </w:p>
    <w:p>
      <w:pPr>
        <w:numPr>
          <w:ilvl w:val="2"/>
          <w:numId w:val="1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color w:val="auto"/>
          <w:sz w:val="24"/>
          <w:highlight w:val="none"/>
        </w:rPr>
        <w:t>无效处理</w:t>
      </w:r>
      <w:r>
        <w:rPr>
          <w:rFonts w:hint="eastAsia" w:ascii="宋体" w:hAnsi="宋体" w:eastAsia="宋体" w:cs="宋体"/>
          <w:color w:val="auto"/>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color w:val="auto"/>
          <w:sz w:val="24"/>
          <w:highlight w:val="none"/>
        </w:rPr>
        <w:t>无效处理</w:t>
      </w:r>
      <w:r>
        <w:rPr>
          <w:rFonts w:hint="eastAsia" w:ascii="宋体" w:hAnsi="宋体" w:eastAsia="宋体" w:cs="宋体"/>
          <w:color w:val="auto"/>
          <w:sz w:val="24"/>
          <w:highlight w:val="none"/>
        </w:rPr>
        <w:t>。</w:t>
      </w:r>
    </w:p>
    <w:p>
      <w:pPr>
        <w:numPr>
          <w:ilvl w:val="2"/>
          <w:numId w:val="1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snapToGrid w:val="0"/>
          <w:color w:val="auto"/>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color w:val="auto"/>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最后报价是供应商响应文件的有效组成部分。</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已提交响应文件的供应商，在提交最后报价之前，可以根据磋商情况退出磋商。</w:t>
      </w:r>
    </w:p>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最后报价的算术修正及政策调整</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u w:val="single"/>
          <w:lang w:val="en-US"/>
        </w:rPr>
      </w:pPr>
      <w:r>
        <w:rPr>
          <w:rFonts w:hint="eastAsia" w:ascii="宋体" w:hAnsi="宋体" w:eastAsia="宋体" w:cs="宋体"/>
          <w:color w:val="auto"/>
          <w:sz w:val="24"/>
          <w:highlight w:val="none"/>
        </w:rPr>
        <w:t>□有，具体规定为：</w:t>
      </w:r>
      <w:r>
        <w:rPr>
          <w:rFonts w:hint="eastAsia" w:ascii="宋体" w:hAnsi="宋体" w:eastAsia="宋体" w:cs="宋体"/>
          <w:color w:val="auto"/>
          <w:sz w:val="24"/>
          <w:highlight w:val="none"/>
          <w:u w:val="single"/>
          <w:lang w:val="en-US" w:eastAsia="zh-CN"/>
        </w:rPr>
        <w:t xml:space="preserve">  / </w:t>
      </w:r>
    </w:p>
    <w:p>
      <w:p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无，按下述3.2.2-3.2.5项规定修正。</w:t>
      </w:r>
    </w:p>
    <w:p>
      <w:pPr>
        <w:numPr>
          <w:ilvl w:val="2"/>
          <w:numId w:val="13"/>
        </w:numPr>
        <w:tabs>
          <w:tab w:val="left" w:pos="2035"/>
          <w:tab w:val="left" w:pos="2114"/>
          <w:tab w:val="left" w:pos="2977"/>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大写金额和小写金额不一致的，以大写金额为准；</w:t>
      </w:r>
    </w:p>
    <w:p>
      <w:pPr>
        <w:numPr>
          <w:ilvl w:val="2"/>
          <w:numId w:val="13"/>
        </w:numPr>
        <w:tabs>
          <w:tab w:val="left" w:pos="2035"/>
          <w:tab w:val="left" w:pos="2114"/>
          <w:tab w:val="left" w:pos="2977"/>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单价金额小数点或者百分比有明显错位的，以最后报价一览表的总价为准，并修改单价；</w:t>
      </w:r>
    </w:p>
    <w:p>
      <w:pPr>
        <w:numPr>
          <w:ilvl w:val="2"/>
          <w:numId w:val="13"/>
        </w:numPr>
        <w:tabs>
          <w:tab w:val="left" w:pos="2035"/>
          <w:tab w:val="left" w:pos="2114"/>
          <w:tab w:val="left" w:pos="2977"/>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其响应无效</w:t>
      </w:r>
      <w:r>
        <w:rPr>
          <w:rFonts w:hint="eastAsia" w:ascii="宋体" w:hAnsi="宋体" w:eastAsia="宋体" w:cs="宋体"/>
          <w:color w:val="auto"/>
          <w:sz w:val="24"/>
          <w:highlight w:val="none"/>
        </w:rPr>
        <w:t>。</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对于未预留份额专门面向中小企业采购的采购项目，以及预留份额项目中的非预留部分采购包，对小微企业报价给予</w:t>
      </w:r>
      <w:r>
        <w:rPr>
          <w:rFonts w:hint="eastAsia" w:ascii="宋体" w:hAnsi="宋体" w:cs="宋体"/>
          <w:color w:val="auto"/>
          <w:sz w:val="24"/>
          <w:highlight w:val="none"/>
          <w:u w:val="single"/>
          <w:lang w:val="en-US" w:eastAsia="zh-CN"/>
        </w:rPr>
        <w:t xml:space="preserve"> 3</w:t>
      </w:r>
      <w:r>
        <w:rPr>
          <w:rFonts w:hint="eastAsia" w:ascii="宋体" w:hAnsi="宋体" w:eastAsia="宋体" w:cs="宋体"/>
          <w:color w:val="auto"/>
          <w:sz w:val="24"/>
          <w:highlight w:val="none"/>
          <w:u w:val="single"/>
          <w:lang w:val="en-US" w:eastAsia="zh-CN"/>
        </w:rPr>
        <w:t>%</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的扣除，用扣除后的价格参加评审。</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%的扣除，用扣除后的价格参加评审。</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中小企业参加政府采购活动，应当按照竞争性磋商文件给定的格式出具《中小企业声明函》，否则不得享受相关中小企业扶持政策。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残疾人福利性单位按竞争性磋商文件要求提供了《残疾人福利性单位声明函》（见附件）的，视同小微企业。</w:t>
      </w:r>
    </w:p>
    <w:p>
      <w:pPr>
        <w:numPr>
          <w:ilvl w:val="2"/>
          <w:numId w:val="13"/>
        </w:numPr>
        <w:tabs>
          <w:tab w:val="left" w:pos="1080"/>
          <w:tab w:val="left" w:pos="1589"/>
          <w:tab w:val="left" w:pos="20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若供应商同时属于小型或微型企业、监狱企业、残疾人福利性单位中的两种及以上，将不重复享受小微企业价格扣减的优惠政策。</w:t>
      </w:r>
    </w:p>
    <w:p>
      <w:pPr>
        <w:numPr>
          <w:ilvl w:val="2"/>
          <w:numId w:val="13"/>
        </w:numPr>
        <w:tabs>
          <w:tab w:val="left" w:pos="1080"/>
          <w:tab w:val="left" w:pos="1589"/>
          <w:tab w:val="left" w:pos="20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其他为落实政府采购政策实施的优先采购：_</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_。</w:t>
      </w:r>
    </w:p>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磋商环节及提交最后报价后如出现以下情况的，供应商的</w:t>
      </w:r>
      <w:r>
        <w:rPr>
          <w:rFonts w:hint="eastAsia" w:ascii="宋体" w:hAnsi="宋体" w:eastAsia="宋体" w:cs="宋体"/>
          <w:b/>
          <w:color w:val="auto"/>
          <w:sz w:val="24"/>
          <w:highlight w:val="none"/>
        </w:rPr>
        <w:t>响应文件无效</w:t>
      </w:r>
      <w:r>
        <w:rPr>
          <w:rFonts w:hint="eastAsia" w:ascii="宋体" w:hAnsi="宋体" w:eastAsia="宋体" w:cs="宋体"/>
          <w:color w:val="auto"/>
          <w:sz w:val="24"/>
          <w:highlight w:val="none"/>
        </w:rPr>
        <w:t>：</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供应商对实质性变动不予确认的；</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不满足磋商文件★号条款或磋商文件技术指标超出磋商文件《采购需求》中主要技术参数允许偏差的最大范围的（如有）；</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未按照磋商小组规定的时间、逾期提交最后报价的；</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如供应商的最后报价超过竞争性磋商文件中规定的项目/采购包预算金额或者项目/采购包最高限价的；</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响应文件中出现可选择性或可调整的报价的（竞争性磋商文件另有规定的除外）；</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最后报价出现前后不一致，供应商对修正后的报价不予确认的；</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其他：_</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_。</w:t>
      </w:r>
    </w:p>
    <w:bookmarkEnd w:id="619"/>
    <w:bookmarkEnd w:id="620"/>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评审方法和评审标准</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竞争性磋商文件中没有规定的评审标准不得作为评审依据。</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非政府强制采购的节能产品或环境标志产品，依据品目清单和认证证书实施政府优先采购。优先采购的具体规定（如涉及）</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_。</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关于无线局域网认证产品政府采购清单中的产品，优先采购的具体规定（如涉及）</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w:t>
      </w:r>
    </w:p>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确定</w:t>
      </w:r>
      <w:bookmarkStart w:id="636" w:name="_Toc151193788"/>
      <w:bookmarkStart w:id="637" w:name="_Toc151190173"/>
      <w:bookmarkStart w:id="638" w:name="_Toc164229387"/>
      <w:bookmarkStart w:id="639" w:name="_Toc149720839"/>
      <w:bookmarkStart w:id="640" w:name="_Ref467307010"/>
      <w:bookmarkStart w:id="641" w:name="_Toc150509297"/>
      <w:bookmarkStart w:id="642" w:name="_Toc226965819"/>
      <w:bookmarkStart w:id="643" w:name="_Toc164229241"/>
      <w:bookmarkStart w:id="644" w:name="_Toc164351640"/>
      <w:bookmarkStart w:id="645" w:name="_Toc151193716"/>
      <w:bookmarkStart w:id="646" w:name="_Toc127151747"/>
      <w:bookmarkStart w:id="647" w:name="_Toc305158888"/>
      <w:bookmarkStart w:id="648" w:name="_Toc226309790"/>
      <w:bookmarkStart w:id="649" w:name="_Toc151193934"/>
      <w:bookmarkStart w:id="650" w:name="_Toc164608815"/>
      <w:bookmarkStart w:id="651" w:name="_Toc264969236"/>
      <w:bookmarkStart w:id="652" w:name="_Toc151193860"/>
      <w:bookmarkStart w:id="653" w:name="_Toc265228384"/>
      <w:bookmarkStart w:id="654" w:name="_Toc150480784"/>
      <w:bookmarkStart w:id="655" w:name="_Toc151193644"/>
      <w:bookmarkStart w:id="656" w:name="_Toc127151546"/>
      <w:bookmarkStart w:id="657" w:name="_Toc226337242"/>
      <w:bookmarkStart w:id="658" w:name="_Toc142311048"/>
      <w:bookmarkStart w:id="659" w:name="_Toc127161460"/>
      <w:bookmarkStart w:id="660" w:name="_Toc226965736"/>
      <w:bookmarkStart w:id="661" w:name="_Toc305158814"/>
      <w:bookmarkStart w:id="662" w:name="_Toc520356170"/>
      <w:bookmarkStart w:id="663" w:name="_Toc150774646"/>
      <w:bookmarkStart w:id="664" w:name="_Toc164608660"/>
      <w:bookmarkStart w:id="665" w:name="_Toc150774751"/>
      <w:bookmarkStart w:id="666" w:name="_Toc195842911"/>
      <w:r>
        <w:rPr>
          <w:rFonts w:hint="eastAsia" w:ascii="宋体" w:hAnsi="宋体" w:eastAsia="宋体" w:cs="宋体"/>
          <w:color w:val="auto"/>
          <w:sz w:val="24"/>
          <w:highlight w:val="none"/>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pStyle w:val="17"/>
        <w:tabs>
          <w:tab w:val="left" w:pos="1423"/>
          <w:tab w:val="clear" w:pos="567"/>
        </w:tabs>
        <w:spacing w:before="154" w:line="357" w:lineRule="auto"/>
        <w:ind w:right="233"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0"/>
          <w:highlight w:val="none"/>
          <w:lang w:val="en-US" w:eastAsia="zh-CN"/>
        </w:rPr>
        <w:t xml:space="preserve">6.2  </w:t>
      </w:r>
      <w:r>
        <w:rPr>
          <w:rFonts w:hint="eastAsia" w:ascii="宋体" w:hAnsi="宋体" w:eastAsia="宋体" w:cs="宋体"/>
          <w:color w:val="auto"/>
          <w:kern w:val="0"/>
          <w:sz w:val="24"/>
          <w:szCs w:val="20"/>
          <w:highlight w:val="none"/>
        </w:rPr>
        <w:t>磋商小组根据上述供应商排序，依次推荐排序前</w:t>
      </w:r>
      <w:r>
        <w:rPr>
          <w:rFonts w:hint="eastAsia" w:ascii="宋体" w:hAnsi="宋体" w:eastAsia="宋体" w:cs="宋体"/>
          <w:color w:val="auto"/>
          <w:sz w:val="24"/>
          <w:highlight w:val="none"/>
          <w:u w:val="single"/>
          <w:lang w:val="en-US" w:eastAsia="zh-CN"/>
        </w:rPr>
        <w:t>3</w:t>
      </w:r>
      <w:r>
        <w:rPr>
          <w:rFonts w:hint="eastAsia" w:ascii="宋体" w:hAnsi="宋体" w:eastAsia="宋体" w:cs="宋体"/>
          <w:color w:val="auto"/>
          <w:sz w:val="24"/>
          <w:highlight w:val="none"/>
        </w:rPr>
        <w:t>名</w:t>
      </w:r>
      <w:r>
        <w:rPr>
          <w:rFonts w:hint="eastAsia" w:ascii="宋体" w:hAnsi="宋体" w:eastAsia="宋体" w:cs="宋体"/>
          <w:color w:val="auto"/>
          <w:kern w:val="0"/>
          <w:sz w:val="24"/>
          <w:szCs w:val="20"/>
          <w:highlight w:val="none"/>
        </w:rPr>
        <w:t>的供应商为</w:t>
      </w:r>
      <w:r>
        <w:rPr>
          <w:rFonts w:hint="eastAsia" w:ascii="宋体" w:hAnsi="宋体" w:eastAsia="宋体" w:cs="宋体"/>
          <w:snapToGrid w:val="0"/>
          <w:color w:val="auto"/>
          <w:kern w:val="0"/>
          <w:sz w:val="24"/>
          <w:szCs w:val="21"/>
          <w:highlight w:val="none"/>
        </w:rPr>
        <w:t>成交候选供应商</w:t>
      </w:r>
      <w:r>
        <w:rPr>
          <w:rFonts w:hint="eastAsia" w:ascii="宋体" w:hAnsi="宋体" w:eastAsia="宋体" w:cs="宋体"/>
          <w:color w:val="auto"/>
          <w:kern w:val="0"/>
          <w:sz w:val="24"/>
          <w:szCs w:val="20"/>
          <w:highlight w:val="none"/>
        </w:rPr>
        <w:t>（若在磋商文件允许的情形下提交最后报价的供应商为二家，则依次推荐二名供应商为成交候选供应商），并编写评审报告。</w:t>
      </w:r>
    </w:p>
    <w:p>
      <w:pPr>
        <w:numPr>
          <w:ilvl w:val="0"/>
          <w:numId w:val="0"/>
        </w:numPr>
        <w:tabs>
          <w:tab w:val="left" w:pos="1080"/>
          <w:tab w:val="left" w:pos="1872"/>
        </w:tabs>
        <w:snapToGrid w:val="0"/>
        <w:spacing w:line="360" w:lineRule="auto"/>
        <w:ind w:left="357" w:leftChars="0"/>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 xml:space="preserve">6.3  </w:t>
      </w:r>
      <w:r>
        <w:rPr>
          <w:rFonts w:hint="eastAsia" w:ascii="宋体" w:hAnsi="宋体" w:eastAsia="宋体" w:cs="宋体"/>
          <w:color w:val="auto"/>
          <w:sz w:val="24"/>
          <w:highlight w:val="none"/>
        </w:rPr>
        <w:t>磋商小组要对评分汇总情况进行复核，特别是对排名第一的、报价最低的、响应文件被认定为无效的情形进行重点复核。</w:t>
      </w:r>
    </w:p>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报告违法行为</w:t>
      </w:r>
    </w:p>
    <w:p>
      <w:pPr>
        <w:widowControl/>
        <w:numPr>
          <w:ilvl w:val="1"/>
          <w:numId w:val="13"/>
        </w:numPr>
        <w:tabs>
          <w:tab w:val="left" w:pos="1080"/>
          <w:tab w:val="left" w:pos="1872"/>
        </w:tabs>
        <w:snapToGrid w:val="0"/>
        <w:spacing w:line="360" w:lineRule="auto"/>
        <w:ind w:left="1077" w:hanging="72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磋商小组在评审过程中发现供应商有行贿、提供虚假材料或者串通等违法行为时，有向采购人、采购代理机构或者有关部门报告的职责。</w:t>
      </w:r>
      <w:r>
        <w:rPr>
          <w:rFonts w:hint="eastAsia" w:ascii="宋体" w:hAnsi="宋体" w:eastAsia="宋体" w:cs="宋体"/>
          <w:b/>
          <w:color w:val="auto"/>
          <w:sz w:val="24"/>
          <w:highlight w:val="none"/>
        </w:rPr>
        <w:br w:type="page"/>
      </w:r>
    </w:p>
    <w:p>
      <w:pPr>
        <w:pStyle w:val="3"/>
        <w:numPr>
          <w:ilvl w:val="0"/>
          <w:numId w:val="14"/>
        </w:numPr>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bl>
      <w:tblPr>
        <w:tblStyle w:val="45"/>
        <w:tblW w:w="9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628"/>
        <w:gridCol w:w="747"/>
        <w:gridCol w:w="58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835" w:type="dxa"/>
            <w:vAlign w:val="center"/>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28" w:type="dxa"/>
            <w:vAlign w:val="center"/>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评分因素</w:t>
            </w:r>
          </w:p>
        </w:tc>
        <w:tc>
          <w:tcPr>
            <w:tcW w:w="747" w:type="dxa"/>
            <w:vAlign w:val="center"/>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c>
          <w:tcPr>
            <w:tcW w:w="5883" w:type="dxa"/>
            <w:vAlign w:val="center"/>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pPr>
              <w:ind w:firstLine="28"/>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一</w:t>
            </w:r>
          </w:p>
        </w:tc>
        <w:tc>
          <w:tcPr>
            <w:tcW w:w="1628" w:type="dxa"/>
            <w:vAlign w:val="center"/>
          </w:tcPr>
          <w:p>
            <w:pPr>
              <w:ind w:firstLine="28"/>
              <w:jc w:val="center"/>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商务部分</w:t>
            </w:r>
          </w:p>
        </w:tc>
        <w:tc>
          <w:tcPr>
            <w:tcW w:w="747" w:type="dxa"/>
            <w:vAlign w:val="center"/>
          </w:tcPr>
          <w:p>
            <w:pPr>
              <w:ind w:firstLine="28"/>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20</w:t>
            </w:r>
          </w:p>
        </w:tc>
        <w:tc>
          <w:tcPr>
            <w:tcW w:w="5883" w:type="dxa"/>
            <w:vAlign w:val="center"/>
          </w:tcPr>
          <w:p>
            <w:pPr>
              <w:ind w:firstLine="28"/>
              <w:jc w:val="center"/>
              <w:rPr>
                <w:rFonts w:hint="eastAsia" w:ascii="宋体" w:hAnsi="宋体" w:eastAsia="宋体" w:cs="宋体"/>
                <w:b w:val="0"/>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35" w:type="dxa"/>
            <w:vAlign w:val="center"/>
          </w:tcPr>
          <w:p>
            <w:pPr>
              <w:ind w:firstLine="28"/>
              <w:jc w:val="center"/>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w:t>
            </w:r>
          </w:p>
        </w:tc>
        <w:tc>
          <w:tcPr>
            <w:tcW w:w="1628" w:type="dxa"/>
            <w:vAlign w:val="center"/>
          </w:tcPr>
          <w:p>
            <w:pPr>
              <w:keepNext w:val="0"/>
              <w:keepLines w:val="0"/>
              <w:widowControl/>
              <w:suppressLineNumbers w:val="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拟入项目的</w:t>
            </w:r>
          </w:p>
          <w:p>
            <w:pPr>
              <w:keepNext w:val="0"/>
              <w:keepLines w:val="0"/>
              <w:widowControl/>
              <w:suppressLineNumbers w:val="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人员配备和</w:t>
            </w:r>
          </w:p>
          <w:p>
            <w:pPr>
              <w:keepNext w:val="0"/>
              <w:keepLines w:val="0"/>
              <w:widowControl/>
              <w:suppressLineNumbers w:val="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专业技术力</w:t>
            </w:r>
          </w:p>
          <w:p>
            <w:pPr>
              <w:keepNext w:val="0"/>
              <w:keepLines w:val="0"/>
              <w:widowControl/>
              <w:suppressLineNumbers w:val="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量</w:t>
            </w:r>
          </w:p>
        </w:tc>
        <w:tc>
          <w:tcPr>
            <w:tcW w:w="747" w:type="dxa"/>
            <w:vAlign w:val="center"/>
          </w:tcPr>
          <w:p>
            <w:pPr>
              <w:ind w:firstLine="28"/>
              <w:jc w:val="center"/>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w:t>
            </w:r>
          </w:p>
        </w:tc>
        <w:tc>
          <w:tcPr>
            <w:tcW w:w="5883" w:type="dxa"/>
            <w:vAlign w:val="center"/>
          </w:tcPr>
          <w:p>
            <w:pPr>
              <w:keepNext w:val="0"/>
              <w:keepLines w:val="0"/>
              <w:widowControl/>
              <w:suppressLineNumbers w:val="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较强，能满足施工需要得</w:t>
            </w:r>
            <w:r>
              <w:rPr>
                <w:rFonts w:hint="eastAsia" w:ascii="宋体" w:hAnsi="宋体" w:cs="宋体"/>
                <w:b w:val="0"/>
                <w:bCs/>
                <w:color w:val="auto"/>
                <w:kern w:val="0"/>
                <w:sz w:val="24"/>
                <w:szCs w:val="24"/>
                <w:highlight w:val="none"/>
                <w:lang w:val="en-US" w:eastAsia="zh-CN" w:bidi="ar"/>
              </w:rPr>
              <w:t>5</w:t>
            </w:r>
            <w:r>
              <w:rPr>
                <w:rFonts w:hint="eastAsia" w:ascii="宋体" w:hAnsi="宋体" w:eastAsia="宋体" w:cs="宋体"/>
                <w:b w:val="0"/>
                <w:bCs/>
                <w:color w:val="auto"/>
                <w:kern w:val="0"/>
                <w:sz w:val="24"/>
                <w:szCs w:val="24"/>
                <w:highlight w:val="none"/>
                <w:lang w:val="en-US" w:eastAsia="zh-CN" w:bidi="ar"/>
              </w:rPr>
              <w:t>分</w:t>
            </w:r>
            <w:r>
              <w:rPr>
                <w:rFonts w:hint="eastAsia" w:ascii="宋体" w:hAnsi="宋体" w:cs="宋体"/>
                <w:b w:val="0"/>
                <w:bCs/>
                <w:color w:val="auto"/>
                <w:kern w:val="0"/>
                <w:sz w:val="24"/>
                <w:szCs w:val="24"/>
                <w:highlight w:val="none"/>
                <w:lang w:val="en-US" w:eastAsia="zh-CN" w:bidi="ar"/>
              </w:rPr>
              <w:t>；</w:t>
            </w:r>
            <w:r>
              <w:rPr>
                <w:rFonts w:hint="eastAsia" w:ascii="宋体" w:hAnsi="宋体" w:eastAsia="宋体" w:cs="宋体"/>
                <w:b w:val="0"/>
                <w:bCs/>
                <w:color w:val="auto"/>
                <w:kern w:val="0"/>
                <w:sz w:val="24"/>
                <w:szCs w:val="24"/>
                <w:highlight w:val="none"/>
                <w:lang w:val="en-US" w:eastAsia="zh-CN" w:bidi="ar"/>
              </w:rPr>
              <w:t xml:space="preserve"> </w:t>
            </w:r>
          </w:p>
          <w:p>
            <w:pPr>
              <w:keepNext w:val="0"/>
              <w:keepLines w:val="0"/>
              <w:widowControl/>
              <w:suppressLineNumbers w:val="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一般，基本满足施工需要得</w:t>
            </w:r>
            <w:r>
              <w:rPr>
                <w:rFonts w:hint="eastAsia" w:ascii="宋体" w:hAnsi="宋体" w:cs="宋体"/>
                <w:b w:val="0"/>
                <w:bCs/>
                <w:color w:val="auto"/>
                <w:kern w:val="0"/>
                <w:sz w:val="24"/>
                <w:szCs w:val="24"/>
                <w:highlight w:val="none"/>
                <w:lang w:val="en-US" w:eastAsia="zh-CN" w:bidi="ar"/>
              </w:rPr>
              <w:t>3</w:t>
            </w:r>
            <w:r>
              <w:rPr>
                <w:rFonts w:hint="eastAsia" w:ascii="宋体" w:hAnsi="宋体" w:eastAsia="宋体" w:cs="宋体"/>
                <w:b w:val="0"/>
                <w:bCs/>
                <w:color w:val="auto"/>
                <w:kern w:val="0"/>
                <w:sz w:val="24"/>
                <w:szCs w:val="24"/>
                <w:highlight w:val="none"/>
                <w:lang w:val="en-US" w:eastAsia="zh-CN" w:bidi="ar"/>
              </w:rPr>
              <w:t>分</w:t>
            </w:r>
            <w:r>
              <w:rPr>
                <w:rFonts w:hint="eastAsia" w:ascii="宋体" w:hAnsi="宋体" w:cs="宋体"/>
                <w:b w:val="0"/>
                <w:bCs/>
                <w:color w:val="auto"/>
                <w:kern w:val="0"/>
                <w:sz w:val="24"/>
                <w:szCs w:val="24"/>
                <w:highlight w:val="none"/>
                <w:lang w:val="en-US" w:eastAsia="zh-CN" w:bidi="ar"/>
              </w:rPr>
              <w:t>；</w:t>
            </w:r>
            <w:r>
              <w:rPr>
                <w:rFonts w:hint="eastAsia" w:ascii="宋体" w:hAnsi="宋体" w:eastAsia="宋体" w:cs="宋体"/>
                <w:b w:val="0"/>
                <w:bCs/>
                <w:color w:val="auto"/>
                <w:kern w:val="0"/>
                <w:sz w:val="24"/>
                <w:szCs w:val="24"/>
                <w:highlight w:val="none"/>
                <w:lang w:val="en-US" w:eastAsia="zh-CN" w:bidi="ar"/>
              </w:rPr>
              <w:t xml:space="preserve"> </w:t>
            </w:r>
          </w:p>
          <w:p>
            <w:pPr>
              <w:keepNext w:val="0"/>
              <w:keepLines w:val="0"/>
              <w:widowControl/>
              <w:suppressLineNumbers w:val="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不满足施工需要得 0 分</w:t>
            </w:r>
            <w:r>
              <w:rPr>
                <w:rFonts w:hint="eastAsia" w:ascii="宋体" w:hAnsi="宋体" w:cs="宋体"/>
                <w:b w:val="0"/>
                <w:bCs/>
                <w:color w:val="auto"/>
                <w:kern w:val="0"/>
                <w:sz w:val="24"/>
                <w:szCs w:val="24"/>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trPr>
        <w:tc>
          <w:tcPr>
            <w:tcW w:w="835" w:type="dxa"/>
            <w:vAlign w:val="center"/>
          </w:tcPr>
          <w:p>
            <w:pPr>
              <w:ind w:firstLine="28"/>
              <w:jc w:val="center"/>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w:t>
            </w:r>
          </w:p>
        </w:tc>
        <w:tc>
          <w:tcPr>
            <w:tcW w:w="1628" w:type="dxa"/>
            <w:vAlign w:val="center"/>
          </w:tcPr>
          <w:p>
            <w:pPr>
              <w:keepNext w:val="0"/>
              <w:keepLines w:val="0"/>
              <w:widowControl/>
              <w:suppressLineNumbers w:val="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近三年（20</w:t>
            </w:r>
            <w:r>
              <w:rPr>
                <w:rFonts w:hint="eastAsia" w:ascii="宋体" w:hAnsi="宋体" w:cs="宋体"/>
                <w:b w:val="0"/>
                <w:bCs/>
                <w:color w:val="auto"/>
                <w:kern w:val="0"/>
                <w:sz w:val="24"/>
                <w:szCs w:val="24"/>
                <w:highlight w:val="none"/>
                <w:lang w:val="en-US" w:eastAsia="zh-CN" w:bidi="ar"/>
              </w:rPr>
              <w:t>21</w:t>
            </w:r>
            <w:r>
              <w:rPr>
                <w:rFonts w:hint="eastAsia" w:ascii="宋体" w:hAnsi="宋体" w:eastAsia="宋体" w:cs="宋体"/>
                <w:b w:val="0"/>
                <w:bCs/>
                <w:color w:val="auto"/>
                <w:kern w:val="0"/>
                <w:sz w:val="24"/>
                <w:szCs w:val="24"/>
                <w:highlight w:val="none"/>
                <w:lang w:val="en-US" w:eastAsia="zh-CN" w:bidi="ar"/>
              </w:rPr>
              <w:t>年</w:t>
            </w:r>
            <w:r>
              <w:rPr>
                <w:rFonts w:hint="eastAsia" w:ascii="宋体" w:hAnsi="宋体" w:cs="宋体"/>
                <w:b w:val="0"/>
                <w:bCs/>
                <w:color w:val="auto"/>
                <w:kern w:val="0"/>
                <w:sz w:val="24"/>
                <w:szCs w:val="24"/>
                <w:highlight w:val="none"/>
                <w:lang w:val="en-US" w:eastAsia="zh-CN" w:bidi="ar"/>
              </w:rPr>
              <w:t>06</w:t>
            </w:r>
            <w:r>
              <w:rPr>
                <w:rFonts w:hint="eastAsia" w:ascii="宋体" w:hAnsi="宋体" w:eastAsia="宋体" w:cs="宋体"/>
                <w:b w:val="0"/>
                <w:bCs/>
                <w:color w:val="auto"/>
                <w:kern w:val="0"/>
                <w:sz w:val="24"/>
                <w:szCs w:val="24"/>
                <w:highlight w:val="none"/>
                <w:lang w:val="en-US" w:eastAsia="zh-CN" w:bidi="ar"/>
              </w:rPr>
              <w:t>月</w:t>
            </w:r>
            <w:r>
              <w:rPr>
                <w:rFonts w:hint="eastAsia" w:ascii="宋体" w:hAnsi="宋体" w:cs="宋体"/>
                <w:b w:val="0"/>
                <w:bCs/>
                <w:color w:val="auto"/>
                <w:kern w:val="0"/>
                <w:sz w:val="24"/>
                <w:szCs w:val="24"/>
                <w:highlight w:val="none"/>
                <w:lang w:val="en-US" w:eastAsia="zh-CN" w:bidi="ar"/>
              </w:rPr>
              <w:t>19</w:t>
            </w:r>
            <w:r>
              <w:rPr>
                <w:rFonts w:hint="eastAsia" w:ascii="宋体" w:hAnsi="宋体" w:eastAsia="宋体" w:cs="宋体"/>
                <w:b w:val="0"/>
                <w:bCs/>
                <w:color w:val="auto"/>
                <w:kern w:val="0"/>
                <w:sz w:val="24"/>
                <w:szCs w:val="24"/>
                <w:highlight w:val="none"/>
                <w:lang w:val="en-US" w:eastAsia="zh-CN" w:bidi="ar"/>
              </w:rPr>
              <w:t>日 至</w:t>
            </w:r>
            <w:r>
              <w:rPr>
                <w:rFonts w:hint="eastAsia" w:ascii="宋体" w:hAnsi="宋体" w:cs="宋体"/>
                <w:b w:val="0"/>
                <w:bCs/>
                <w:color w:val="auto"/>
                <w:kern w:val="0"/>
                <w:sz w:val="24"/>
                <w:szCs w:val="24"/>
                <w:highlight w:val="none"/>
                <w:lang w:val="en-US" w:eastAsia="zh-CN" w:bidi="ar"/>
              </w:rPr>
              <w:t>2024年  06月18日</w:t>
            </w:r>
            <w:r>
              <w:rPr>
                <w:rFonts w:hint="eastAsia" w:ascii="宋体" w:hAnsi="宋体" w:eastAsia="宋体" w:cs="宋体"/>
                <w:b w:val="0"/>
                <w:bCs/>
                <w:color w:val="auto"/>
                <w:kern w:val="0"/>
                <w:sz w:val="24"/>
                <w:szCs w:val="24"/>
                <w:highlight w:val="none"/>
                <w:lang w:val="en-US" w:eastAsia="zh-CN" w:bidi="ar"/>
              </w:rPr>
              <w:t>）企业类似项目业绩</w:t>
            </w:r>
          </w:p>
        </w:tc>
        <w:tc>
          <w:tcPr>
            <w:tcW w:w="747" w:type="dxa"/>
            <w:vAlign w:val="center"/>
          </w:tcPr>
          <w:p>
            <w:pPr>
              <w:ind w:firstLine="28"/>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9</w:t>
            </w:r>
          </w:p>
        </w:tc>
        <w:tc>
          <w:tcPr>
            <w:tcW w:w="5883" w:type="dxa"/>
            <w:vAlign w:val="center"/>
          </w:tcPr>
          <w:p>
            <w:pPr>
              <w:keepNext w:val="0"/>
              <w:keepLines w:val="0"/>
              <w:widowControl/>
              <w:suppressLineNumbers w:val="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每提供1个合同业绩得</w:t>
            </w:r>
            <w:r>
              <w:rPr>
                <w:rFonts w:hint="eastAsia" w:ascii="宋体" w:hAnsi="宋体" w:cs="宋体"/>
                <w:b w:val="0"/>
                <w:bCs/>
                <w:color w:val="auto"/>
                <w:kern w:val="0"/>
                <w:sz w:val="24"/>
                <w:szCs w:val="24"/>
                <w:highlight w:val="none"/>
                <w:lang w:val="en-US" w:eastAsia="zh-CN" w:bidi="ar"/>
              </w:rPr>
              <w:t>3</w:t>
            </w:r>
            <w:r>
              <w:rPr>
                <w:rFonts w:hint="eastAsia" w:ascii="宋体" w:hAnsi="宋体" w:eastAsia="宋体" w:cs="宋体"/>
                <w:b w:val="0"/>
                <w:bCs/>
                <w:color w:val="auto"/>
                <w:kern w:val="0"/>
                <w:sz w:val="24"/>
                <w:szCs w:val="24"/>
                <w:highlight w:val="none"/>
                <w:lang w:val="en-US" w:eastAsia="zh-CN" w:bidi="ar"/>
              </w:rPr>
              <w:t>分，最多得</w:t>
            </w:r>
            <w:r>
              <w:rPr>
                <w:rFonts w:hint="eastAsia" w:ascii="宋体" w:hAnsi="宋体" w:cs="宋体"/>
                <w:b w:val="0"/>
                <w:bCs/>
                <w:color w:val="auto"/>
                <w:kern w:val="0"/>
                <w:sz w:val="24"/>
                <w:szCs w:val="24"/>
                <w:highlight w:val="none"/>
                <w:lang w:val="en-US" w:eastAsia="zh-CN" w:bidi="ar"/>
              </w:rPr>
              <w:t>9</w:t>
            </w:r>
            <w:r>
              <w:rPr>
                <w:rFonts w:hint="eastAsia" w:ascii="宋体" w:hAnsi="宋体" w:eastAsia="宋体" w:cs="宋体"/>
                <w:b w:val="0"/>
                <w:bCs/>
                <w:color w:val="auto"/>
                <w:kern w:val="0"/>
                <w:sz w:val="24"/>
                <w:szCs w:val="24"/>
                <w:highlight w:val="none"/>
                <w:lang w:val="en-US" w:eastAsia="zh-CN" w:bidi="ar"/>
              </w:rPr>
              <w:t xml:space="preserve">分中标通知书或合同协议书或工程竣工验收证书（即工程竣工验收证明材料，是指工程竣工验收备案登记表或单位工程质量竣工验收记录）复印件并加盖单位章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835" w:type="dxa"/>
            <w:vAlign w:val="top"/>
          </w:tcPr>
          <w:p>
            <w:pPr>
              <w:pStyle w:val="256"/>
              <w:keepNext w:val="0"/>
              <w:keepLines w:val="0"/>
              <w:pageBreakBefore w:val="0"/>
              <w:suppressLineNumbers w:val="0"/>
              <w:kinsoku/>
              <w:wordWrap/>
              <w:overflowPunct/>
              <w:topLinePunct w:val="0"/>
              <w:bidi w:val="0"/>
              <w:spacing w:before="7" w:beforeAutospacing="0" w:after="0" w:afterAutospacing="0" w:line="360" w:lineRule="auto"/>
              <w:ind w:left="0" w:right="0"/>
              <w:textAlignment w:val="auto"/>
              <w:rPr>
                <w:rFonts w:hint="eastAsia" w:asciiTheme="minorEastAsia" w:hAnsiTheme="minorEastAsia" w:eastAsiaTheme="minorEastAsia" w:cstheme="minorEastAsia"/>
                <w:b/>
                <w:color w:val="auto"/>
                <w:sz w:val="24"/>
                <w:szCs w:val="24"/>
                <w:highlight w:val="none"/>
              </w:rPr>
            </w:pPr>
          </w:p>
          <w:p>
            <w:pPr>
              <w:pStyle w:val="256"/>
              <w:keepNext w:val="0"/>
              <w:keepLines w:val="0"/>
              <w:pageBreakBefore w:val="0"/>
              <w:suppressLineNumbers w:val="0"/>
              <w:kinsoku/>
              <w:wordWrap/>
              <w:overflowPunct/>
              <w:topLinePunct w:val="0"/>
              <w:bidi w:val="0"/>
              <w:spacing w:before="0" w:beforeAutospacing="0" w:after="0" w:afterAutospacing="0" w:line="360" w:lineRule="auto"/>
              <w:ind w:left="9" w:leftChars="0" w:right="0" w:rightChars="0"/>
              <w:jc w:val="center"/>
              <w:textAlignment w:val="auto"/>
              <w:rPr>
                <w:rFonts w:hint="eastAsia" w:ascii="宋体" w:hAnsi="宋体" w:cs="宋体"/>
                <w:b w:val="0"/>
                <w:bCs/>
                <w:color w:val="auto"/>
                <w:sz w:val="24"/>
                <w:szCs w:val="24"/>
                <w:highlight w:val="none"/>
                <w:lang w:val="en-US" w:eastAsia="zh-CN"/>
              </w:rPr>
            </w:pPr>
            <w:r>
              <w:rPr>
                <w:rFonts w:hint="eastAsia" w:asciiTheme="minorEastAsia" w:hAnsiTheme="minorEastAsia" w:eastAsiaTheme="minorEastAsia" w:cstheme="minorEastAsia"/>
                <w:color w:val="auto"/>
                <w:w w:val="100"/>
                <w:sz w:val="24"/>
                <w:szCs w:val="24"/>
                <w:highlight w:val="none"/>
                <w:lang w:val="en-US" w:eastAsia="zh-CN"/>
              </w:rPr>
              <w:t>3</w:t>
            </w:r>
          </w:p>
        </w:tc>
        <w:tc>
          <w:tcPr>
            <w:tcW w:w="1628" w:type="dxa"/>
            <w:vAlign w:val="center"/>
          </w:tcPr>
          <w:p>
            <w:pPr>
              <w:pStyle w:val="256"/>
              <w:keepNext w:val="0"/>
              <w:keepLines w:val="0"/>
              <w:pageBreakBefore w:val="0"/>
              <w:widowControl w:val="0"/>
              <w:suppressLineNumbers w:val="0"/>
              <w:kinsoku/>
              <w:wordWrap/>
              <w:overflowPunct/>
              <w:topLinePunct w:val="0"/>
              <w:autoSpaceDE w:val="0"/>
              <w:autoSpaceDN w:val="0"/>
              <w:bidi w:val="0"/>
              <w:adjustRightInd/>
              <w:snapToGrid/>
              <w:spacing w:before="3" w:beforeAutospacing="0" w:after="0" w:afterAutospacing="0" w:line="240" w:lineRule="auto"/>
              <w:ind w:left="0" w:leftChars="0" w:right="176" w:rightChars="0"/>
              <w:jc w:val="center"/>
              <w:textAlignment w:val="auto"/>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拟投入施工机械</w:t>
            </w:r>
          </w:p>
        </w:tc>
        <w:tc>
          <w:tcPr>
            <w:tcW w:w="747" w:type="dxa"/>
            <w:vAlign w:val="center"/>
          </w:tcPr>
          <w:p>
            <w:pPr>
              <w:pStyle w:val="256"/>
              <w:keepNext w:val="0"/>
              <w:keepLines w:val="0"/>
              <w:suppressLineNumbers w:val="0"/>
              <w:spacing w:before="0" w:beforeAutospacing="0" w:after="0" w:afterAutospacing="0" w:line="360" w:lineRule="auto"/>
              <w:ind w:left="10" w:leftChars="0" w:right="0" w:rightChars="0"/>
              <w:jc w:val="center"/>
              <w:rPr>
                <w:rFonts w:hint="eastAsia" w:ascii="宋体" w:hAnsi="宋体" w:cs="宋体"/>
                <w:b w:val="0"/>
                <w:bCs/>
                <w:color w:val="auto"/>
                <w:sz w:val="24"/>
                <w:szCs w:val="24"/>
                <w:highlight w:val="none"/>
                <w:lang w:val="en-US" w:eastAsia="zh-CN"/>
              </w:rPr>
            </w:pPr>
            <w:r>
              <w:rPr>
                <w:rFonts w:hint="eastAsia" w:ascii="宋体" w:hAnsi="宋体" w:eastAsia="宋体" w:cs="宋体"/>
                <w:color w:val="auto"/>
                <w:sz w:val="24"/>
                <w:highlight w:val="none"/>
                <w:lang w:val="en-US" w:eastAsia="zh-CN"/>
              </w:rPr>
              <w:t>6</w:t>
            </w:r>
          </w:p>
        </w:tc>
        <w:tc>
          <w:tcPr>
            <w:tcW w:w="5883" w:type="dxa"/>
            <w:vAlign w:val="center"/>
          </w:tcPr>
          <w:p>
            <w:pPr>
              <w:pStyle w:val="256"/>
              <w:keepNext w:val="0"/>
              <w:keepLines w:val="0"/>
              <w:pageBreakBefore w:val="0"/>
              <w:suppressLineNumbers w:val="0"/>
              <w:kinsoku/>
              <w:wordWrap/>
              <w:overflowPunct/>
              <w:topLinePunct w:val="0"/>
              <w:bidi w:val="0"/>
              <w:spacing w:before="0" w:beforeAutospacing="0" w:after="0" w:afterAutospacing="0" w:line="240" w:lineRule="auto"/>
              <w:ind w:left="154" w:right="148"/>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施工机械满足要求，得6分；</w:t>
            </w:r>
          </w:p>
          <w:p>
            <w:pPr>
              <w:pStyle w:val="256"/>
              <w:keepNext w:val="0"/>
              <w:keepLines w:val="0"/>
              <w:pageBreakBefore w:val="0"/>
              <w:suppressLineNumbers w:val="0"/>
              <w:kinsoku/>
              <w:wordWrap/>
              <w:overflowPunct/>
              <w:topLinePunct w:val="0"/>
              <w:bidi w:val="0"/>
              <w:spacing w:before="0" w:beforeAutospacing="0" w:after="0" w:afterAutospacing="0" w:line="240" w:lineRule="auto"/>
              <w:ind w:left="154" w:leftChars="0" w:right="148"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施工机械基本满足要求，得3分；</w:t>
            </w:r>
          </w:p>
          <w:p>
            <w:pPr>
              <w:pStyle w:val="256"/>
              <w:keepNext w:val="0"/>
              <w:keepLines w:val="0"/>
              <w:pageBreakBefore w:val="0"/>
              <w:suppressLineNumbers w:val="0"/>
              <w:kinsoku/>
              <w:wordWrap/>
              <w:overflowPunct/>
              <w:topLinePunct w:val="0"/>
              <w:bidi w:val="0"/>
              <w:spacing w:before="0" w:beforeAutospacing="0" w:after="0" w:afterAutospacing="0" w:line="240" w:lineRule="auto"/>
              <w:ind w:left="154" w:leftChars="0" w:right="148" w:rightChars="0"/>
              <w:jc w:val="left"/>
              <w:textAlignment w:val="auto"/>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施工机械不满足要求，得0分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835" w:type="dxa"/>
            <w:vAlign w:val="center"/>
          </w:tcPr>
          <w:p>
            <w:pPr>
              <w:ind w:firstLine="28"/>
              <w:jc w:val="center"/>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二</w:t>
            </w:r>
          </w:p>
        </w:tc>
        <w:tc>
          <w:tcPr>
            <w:tcW w:w="1628" w:type="dxa"/>
            <w:vAlign w:val="center"/>
          </w:tcPr>
          <w:p>
            <w:pPr>
              <w:ind w:firstLine="28"/>
              <w:jc w:val="center"/>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技术部分</w:t>
            </w:r>
          </w:p>
        </w:tc>
        <w:tc>
          <w:tcPr>
            <w:tcW w:w="747" w:type="dxa"/>
            <w:vAlign w:val="center"/>
          </w:tcPr>
          <w:p>
            <w:pPr>
              <w:ind w:firstLine="28"/>
              <w:jc w:val="center"/>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lang w:val="en-US" w:eastAsia="zh-CN"/>
              </w:rPr>
              <w:t>0</w:t>
            </w:r>
          </w:p>
        </w:tc>
        <w:tc>
          <w:tcPr>
            <w:tcW w:w="5883" w:type="dxa"/>
            <w:vAlign w:val="center"/>
          </w:tcPr>
          <w:p>
            <w:pPr>
              <w:ind w:firstLine="28"/>
              <w:jc w:val="left"/>
              <w:rPr>
                <w:rFonts w:hint="eastAsia" w:ascii="宋体" w:hAnsi="宋体" w:eastAsia="宋体" w:cs="宋体"/>
                <w:b w:val="0"/>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835" w:type="dxa"/>
            <w:vAlign w:val="center"/>
          </w:tcPr>
          <w:p>
            <w:pPr>
              <w:ind w:firstLine="28"/>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p>
        </w:tc>
        <w:tc>
          <w:tcPr>
            <w:tcW w:w="1628" w:type="dxa"/>
            <w:vAlign w:val="center"/>
          </w:tcPr>
          <w:p>
            <w:pPr>
              <w:keepNext w:val="0"/>
              <w:keepLines w:val="0"/>
              <w:widowControl/>
              <w:suppressLineNumbers w:val="0"/>
              <w:jc w:val="center"/>
              <w:rPr>
                <w:rFonts w:hint="eastAsia" w:ascii="宋体" w:hAnsi="宋体" w:eastAsia="宋体" w:cs="宋体"/>
                <w:b w:val="0"/>
                <w:bCs/>
                <w:color w:val="auto"/>
                <w:sz w:val="24"/>
                <w:szCs w:val="24"/>
                <w:highlight w:val="none"/>
                <w:lang w:eastAsia="zh-CN"/>
              </w:rPr>
            </w:pPr>
            <w:r>
              <w:rPr>
                <w:rFonts w:hint="eastAsia" w:ascii="宋体" w:hAnsi="宋体" w:cs="宋体"/>
                <w:color w:val="auto"/>
                <w:sz w:val="24"/>
                <w:szCs w:val="24"/>
                <w:highlight w:val="none"/>
                <w:lang w:val="en-US" w:eastAsia="zh-CN"/>
              </w:rPr>
              <w:t>拆除方案</w:t>
            </w:r>
          </w:p>
        </w:tc>
        <w:tc>
          <w:tcPr>
            <w:tcW w:w="747" w:type="dxa"/>
            <w:vAlign w:val="center"/>
          </w:tcPr>
          <w:p>
            <w:pPr>
              <w:ind w:firstLine="28"/>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10</w:t>
            </w:r>
          </w:p>
        </w:tc>
        <w:tc>
          <w:tcPr>
            <w:tcW w:w="5883" w:type="dxa"/>
            <w:vAlign w:val="center"/>
          </w:tcPr>
          <w:p>
            <w:pPr>
              <w:pStyle w:val="256"/>
              <w:numPr>
                <w:ilvl w:val="0"/>
                <w:numId w:val="0"/>
              </w:numPr>
              <w:spacing w:line="274" w:lineRule="exact"/>
              <w:ind w:right="0" w:rightChars="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拆除方案完整，符合项目实际需求，细节考虑完善得</w:t>
            </w: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0</w:t>
            </w:r>
            <w:r>
              <w:rPr>
                <w:rFonts w:ascii="宋体" w:hAnsi="宋体" w:eastAsia="宋体" w:cs="宋体"/>
                <w:color w:val="auto"/>
                <w:sz w:val="24"/>
                <w:szCs w:val="24"/>
                <w:highlight w:val="none"/>
              </w:rPr>
              <w:t xml:space="preserve"> 分； </w:t>
            </w:r>
          </w:p>
          <w:p>
            <w:pPr>
              <w:pStyle w:val="256"/>
              <w:numPr>
                <w:ilvl w:val="0"/>
                <w:numId w:val="0"/>
              </w:numPr>
              <w:spacing w:line="274" w:lineRule="exact"/>
              <w:ind w:right="0" w:rightChars="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拆除方案较完整，</w:t>
            </w:r>
            <w:r>
              <w:rPr>
                <w:rFonts w:hint="eastAsia" w:ascii="宋体" w:hAnsi="宋体" w:eastAsia="宋体" w:cs="宋体"/>
                <w:color w:val="auto"/>
                <w:sz w:val="24"/>
                <w:szCs w:val="24"/>
                <w:highlight w:val="none"/>
                <w:lang w:val="en-US" w:eastAsia="zh-CN"/>
              </w:rPr>
              <w:t>较</w:t>
            </w:r>
            <w:r>
              <w:rPr>
                <w:rFonts w:ascii="宋体" w:hAnsi="宋体" w:eastAsia="宋体" w:cs="宋体"/>
                <w:color w:val="auto"/>
                <w:sz w:val="24"/>
                <w:szCs w:val="24"/>
                <w:highlight w:val="none"/>
              </w:rPr>
              <w:t>符合项目实际需求、措施较完整，细节考虑较完善得</w:t>
            </w:r>
            <w:r>
              <w:rPr>
                <w:rFonts w:hint="eastAsia" w:cs="宋体"/>
                <w:color w:val="auto"/>
                <w:sz w:val="24"/>
                <w:szCs w:val="24"/>
                <w:highlight w:val="none"/>
                <w:lang w:val="en-US" w:eastAsia="zh-CN"/>
              </w:rPr>
              <w:t>7</w:t>
            </w:r>
            <w:r>
              <w:rPr>
                <w:rFonts w:ascii="宋体" w:hAnsi="宋体" w:eastAsia="宋体" w:cs="宋体"/>
                <w:color w:val="auto"/>
                <w:sz w:val="24"/>
                <w:szCs w:val="24"/>
                <w:highlight w:val="none"/>
              </w:rPr>
              <w:t xml:space="preserve">分； </w:t>
            </w:r>
          </w:p>
          <w:p>
            <w:pPr>
              <w:pStyle w:val="256"/>
              <w:numPr>
                <w:ilvl w:val="0"/>
                <w:numId w:val="0"/>
              </w:numPr>
              <w:spacing w:line="274" w:lineRule="exact"/>
              <w:ind w:right="0" w:rightChars="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拆除方案一般，细节考虑欠完善，基本满足工程需要得 </w:t>
            </w:r>
            <w:r>
              <w:rPr>
                <w:rFonts w:hint="eastAsia" w:cs="宋体"/>
                <w:color w:val="auto"/>
                <w:sz w:val="24"/>
                <w:szCs w:val="24"/>
                <w:highlight w:val="none"/>
                <w:lang w:val="en-US" w:eastAsia="zh-CN"/>
              </w:rPr>
              <w:t>5</w:t>
            </w:r>
            <w:r>
              <w:rPr>
                <w:rFonts w:ascii="宋体" w:hAnsi="宋体" w:eastAsia="宋体" w:cs="宋体"/>
                <w:color w:val="auto"/>
                <w:sz w:val="24"/>
                <w:szCs w:val="24"/>
                <w:highlight w:val="none"/>
              </w:rPr>
              <w:t>分；</w:t>
            </w:r>
          </w:p>
          <w:p>
            <w:pPr>
              <w:pStyle w:val="256"/>
              <w:numPr>
                <w:ilvl w:val="0"/>
                <w:numId w:val="0"/>
              </w:numPr>
              <w:spacing w:line="274" w:lineRule="exact"/>
              <w:ind w:right="0" w:rightChars="0"/>
              <w:jc w:val="left"/>
              <w:rPr>
                <w:rFonts w:hint="eastAsia" w:ascii="宋体" w:hAnsi="宋体" w:eastAsia="宋体" w:cs="宋体"/>
                <w:b w:val="0"/>
                <w:bCs/>
                <w:color w:val="auto"/>
                <w:sz w:val="24"/>
                <w:szCs w:val="24"/>
                <w:highlight w:val="none"/>
                <w:lang w:val="en-US" w:eastAsia="zh-CN"/>
              </w:rPr>
            </w:pPr>
            <w:r>
              <w:rPr>
                <w:rFonts w:ascii="宋体" w:hAnsi="宋体" w:eastAsia="宋体" w:cs="宋体"/>
                <w:color w:val="auto"/>
                <w:sz w:val="24"/>
                <w:szCs w:val="24"/>
                <w:highlight w:val="none"/>
              </w:rPr>
              <w:t>拆除方案</w:t>
            </w:r>
            <w:r>
              <w:rPr>
                <w:rFonts w:hint="eastAsia" w:ascii="宋体" w:hAnsi="宋体" w:eastAsia="宋体" w:cs="宋体"/>
                <w:color w:val="auto"/>
                <w:sz w:val="24"/>
                <w:szCs w:val="24"/>
                <w:highlight w:val="none"/>
                <w:lang w:val="en-US" w:eastAsia="zh-CN"/>
              </w:rPr>
              <w:t>不完整</w:t>
            </w:r>
            <w:r>
              <w:rPr>
                <w:rFonts w:ascii="宋体" w:hAnsi="宋体" w:eastAsia="宋体" w:cs="宋体"/>
                <w:color w:val="auto"/>
                <w:sz w:val="24"/>
                <w:szCs w:val="24"/>
                <w:highlight w:val="none"/>
              </w:rPr>
              <w:t>，细节考虑</w:t>
            </w:r>
            <w:r>
              <w:rPr>
                <w:rFonts w:hint="eastAsia" w:ascii="宋体" w:hAnsi="宋体" w:eastAsia="宋体" w:cs="宋体"/>
                <w:color w:val="auto"/>
                <w:sz w:val="24"/>
                <w:szCs w:val="24"/>
                <w:highlight w:val="none"/>
                <w:lang w:val="en-US" w:eastAsia="zh-CN"/>
              </w:rPr>
              <w:t>不</w:t>
            </w:r>
            <w:r>
              <w:rPr>
                <w:rFonts w:ascii="宋体" w:hAnsi="宋体" w:eastAsia="宋体" w:cs="宋体"/>
                <w:color w:val="auto"/>
                <w:sz w:val="24"/>
                <w:szCs w:val="24"/>
                <w:highlight w:val="none"/>
              </w:rPr>
              <w:t>完善，</w:t>
            </w:r>
            <w:r>
              <w:rPr>
                <w:rFonts w:hint="eastAsia" w:ascii="宋体" w:hAnsi="宋体" w:eastAsia="宋体" w:cs="宋体"/>
                <w:color w:val="auto"/>
                <w:sz w:val="24"/>
                <w:szCs w:val="24"/>
                <w:highlight w:val="none"/>
                <w:lang w:val="en-US" w:eastAsia="zh-CN"/>
              </w:rPr>
              <w:t>不能</w:t>
            </w:r>
            <w:r>
              <w:rPr>
                <w:rFonts w:ascii="宋体" w:hAnsi="宋体" w:eastAsia="宋体" w:cs="宋体"/>
                <w:color w:val="auto"/>
                <w:sz w:val="24"/>
                <w:szCs w:val="24"/>
                <w:highlight w:val="none"/>
              </w:rPr>
              <w:t>满足工程需要得</w:t>
            </w:r>
            <w:r>
              <w:rPr>
                <w:rFonts w:hint="eastAsia" w:cs="宋体"/>
                <w:color w:val="auto"/>
                <w:sz w:val="24"/>
                <w:szCs w:val="24"/>
                <w:highlight w:val="none"/>
                <w:lang w:val="en-US" w:eastAsia="zh-CN"/>
              </w:rPr>
              <w:t>3</w:t>
            </w:r>
            <w:r>
              <w:rPr>
                <w:rFonts w:ascii="宋体" w:hAnsi="宋体" w:eastAsia="宋体" w:cs="宋体"/>
                <w:color w:val="auto"/>
                <w:sz w:val="24"/>
                <w:szCs w:val="24"/>
                <w:highlight w:val="none"/>
              </w:rPr>
              <w:t>分；</w:t>
            </w:r>
          </w:p>
          <w:p>
            <w:pPr>
              <w:pStyle w:val="256"/>
              <w:numPr>
                <w:ilvl w:val="0"/>
                <w:numId w:val="0"/>
              </w:numPr>
              <w:spacing w:line="274" w:lineRule="exact"/>
              <w:ind w:right="0" w:rightChars="0"/>
              <w:jc w:val="left"/>
              <w:rPr>
                <w:rFonts w:hint="eastAsia" w:ascii="宋体" w:hAnsi="宋体" w:eastAsia="宋体" w:cs="宋体"/>
                <w:b w:val="0"/>
                <w:bCs/>
                <w:color w:val="auto"/>
                <w:sz w:val="24"/>
                <w:szCs w:val="24"/>
                <w:highlight w:val="none"/>
                <w:lang w:val="en-US" w:eastAsia="zh-CN"/>
              </w:rPr>
            </w:pPr>
            <w:r>
              <w:rPr>
                <w:rFonts w:ascii="宋体" w:hAnsi="宋体" w:eastAsia="宋体" w:cs="宋体"/>
                <w:color w:val="auto"/>
                <w:sz w:val="24"/>
                <w:szCs w:val="24"/>
                <w:highlight w:val="none"/>
              </w:rPr>
              <w:t>未提供得 0 分</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rPr>
        <w:tc>
          <w:tcPr>
            <w:tcW w:w="835" w:type="dxa"/>
            <w:vAlign w:val="center"/>
          </w:tcPr>
          <w:p>
            <w:pPr>
              <w:ind w:firstLine="28"/>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w:t>
            </w:r>
          </w:p>
        </w:tc>
        <w:tc>
          <w:tcPr>
            <w:tcW w:w="1628" w:type="dxa"/>
            <w:vAlign w:val="center"/>
          </w:tcPr>
          <w:p>
            <w:pPr>
              <w:ind w:firstLine="28"/>
              <w:jc w:val="center"/>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质量管理体系与保证措施</w:t>
            </w:r>
          </w:p>
        </w:tc>
        <w:tc>
          <w:tcPr>
            <w:tcW w:w="747" w:type="dxa"/>
            <w:vAlign w:val="center"/>
          </w:tcPr>
          <w:p>
            <w:pPr>
              <w:ind w:firstLine="28"/>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10</w:t>
            </w:r>
          </w:p>
        </w:tc>
        <w:tc>
          <w:tcPr>
            <w:tcW w:w="5883" w:type="dxa"/>
            <w:vAlign w:val="center"/>
          </w:tcPr>
          <w:p>
            <w:pPr>
              <w:pStyle w:val="256"/>
              <w:spacing w:line="275" w:lineRule="exact"/>
              <w:ind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质量体系及措施完善，措施有利，得</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pPr>
              <w:ind w:firstLine="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质量体系及措施较完善，措施合理，得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分； </w:t>
            </w:r>
          </w:p>
          <w:p>
            <w:pPr>
              <w:ind w:firstLine="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质量体系及措施及措施欠完整，得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分； </w:t>
            </w:r>
          </w:p>
          <w:p>
            <w:pPr>
              <w:ind w:firstLine="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质量体系及措施不合理较差，得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 </w:t>
            </w:r>
          </w:p>
          <w:p>
            <w:pPr>
              <w:ind w:firstLine="28"/>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rPr>
        <w:tc>
          <w:tcPr>
            <w:tcW w:w="835" w:type="dxa"/>
            <w:vAlign w:val="center"/>
          </w:tcPr>
          <w:p>
            <w:pPr>
              <w:ind w:firstLine="28"/>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w:t>
            </w:r>
          </w:p>
        </w:tc>
        <w:tc>
          <w:tcPr>
            <w:tcW w:w="1628" w:type="dxa"/>
            <w:vAlign w:val="center"/>
          </w:tcPr>
          <w:p>
            <w:pPr>
              <w:ind w:firstLine="28"/>
              <w:jc w:val="center"/>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安全和绿色施工保障措施</w:t>
            </w:r>
          </w:p>
        </w:tc>
        <w:tc>
          <w:tcPr>
            <w:tcW w:w="747" w:type="dxa"/>
            <w:vAlign w:val="center"/>
          </w:tcPr>
          <w:p>
            <w:pPr>
              <w:ind w:firstLine="28"/>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10</w:t>
            </w:r>
          </w:p>
        </w:tc>
        <w:tc>
          <w:tcPr>
            <w:tcW w:w="5883" w:type="dxa"/>
            <w:vAlign w:val="center"/>
          </w:tcPr>
          <w:p>
            <w:pPr>
              <w:pStyle w:val="256"/>
              <w:spacing w:line="273" w:lineRule="exact"/>
              <w:ind w:left="99"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考虑全面，有针对性，措施完善，得</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pPr>
              <w:pStyle w:val="256"/>
              <w:spacing w:line="273" w:lineRule="exact"/>
              <w:ind w:left="99"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措施内容完整，细节待完善，得</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rPr>
              <w:t>分；</w:t>
            </w:r>
          </w:p>
          <w:p>
            <w:pPr>
              <w:pStyle w:val="256"/>
              <w:spacing w:line="273" w:lineRule="exact"/>
              <w:ind w:left="99"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方法可行，措施一般，得</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pStyle w:val="256"/>
              <w:spacing w:line="273" w:lineRule="exact"/>
              <w:ind w:left="99"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措施不力，方法不合理较差，得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 </w:t>
            </w:r>
          </w:p>
          <w:p>
            <w:pPr>
              <w:pStyle w:val="256"/>
              <w:spacing w:line="273" w:lineRule="exact"/>
              <w:ind w:left="99" w:right="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color w:val="auto"/>
                <w:sz w:val="24"/>
                <w:szCs w:val="24"/>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835" w:type="dxa"/>
            <w:vAlign w:val="center"/>
          </w:tcPr>
          <w:p>
            <w:pPr>
              <w:ind w:firstLine="28"/>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w:t>
            </w:r>
          </w:p>
        </w:tc>
        <w:tc>
          <w:tcPr>
            <w:tcW w:w="1628" w:type="dxa"/>
            <w:vAlign w:val="center"/>
          </w:tcPr>
          <w:p>
            <w:pPr>
              <w:ind w:firstLine="28"/>
              <w:jc w:val="center"/>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工程进度计划与保证措施</w:t>
            </w:r>
          </w:p>
        </w:tc>
        <w:tc>
          <w:tcPr>
            <w:tcW w:w="747" w:type="dxa"/>
            <w:vAlign w:val="center"/>
          </w:tcPr>
          <w:p>
            <w:pPr>
              <w:ind w:firstLine="28"/>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10</w:t>
            </w:r>
          </w:p>
        </w:tc>
        <w:tc>
          <w:tcPr>
            <w:tcW w:w="5883" w:type="dxa"/>
            <w:vAlign w:val="center"/>
          </w:tcPr>
          <w:p>
            <w:pPr>
              <w:ind w:firstLine="28"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合理、实施性强，得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pPr>
              <w:ind w:firstLine="28"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合理、可行、细节待完善，得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pPr>
              <w:ind w:firstLine="28"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方法可行，措施一般，得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ind w:firstLine="28"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计划及措施不合理较差，得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ind w:firstLine="28"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color w:val="auto"/>
                <w:sz w:val="24"/>
                <w:szCs w:val="24"/>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rPr>
        <w:tc>
          <w:tcPr>
            <w:tcW w:w="835" w:type="dxa"/>
            <w:vAlign w:val="center"/>
          </w:tcPr>
          <w:p>
            <w:pPr>
              <w:ind w:firstLine="28"/>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w:t>
            </w:r>
          </w:p>
        </w:tc>
        <w:tc>
          <w:tcPr>
            <w:tcW w:w="1628" w:type="dxa"/>
            <w:vAlign w:val="center"/>
          </w:tcPr>
          <w:p>
            <w:pPr>
              <w:ind w:firstLine="28"/>
              <w:jc w:val="center"/>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本工程重点难点分析</w:t>
            </w:r>
          </w:p>
        </w:tc>
        <w:tc>
          <w:tcPr>
            <w:tcW w:w="747" w:type="dxa"/>
            <w:vAlign w:val="center"/>
          </w:tcPr>
          <w:p>
            <w:pPr>
              <w:ind w:firstLine="28"/>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w:t>
            </w:r>
          </w:p>
        </w:tc>
        <w:tc>
          <w:tcPr>
            <w:tcW w:w="5883" w:type="dxa"/>
            <w:vAlign w:val="center"/>
          </w:tcPr>
          <w:p>
            <w:pPr>
              <w:pStyle w:val="256"/>
              <w:spacing w:line="273" w:lineRule="exact"/>
              <w:ind w:left="99"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供应商根据经验、现场实际情况，进行了工程重点难点分析，并有切实可行的解决方案，得</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pStyle w:val="256"/>
              <w:spacing w:line="273" w:lineRule="exact"/>
              <w:ind w:left="99"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存在问题但基本可行，得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 </w:t>
            </w:r>
          </w:p>
          <w:p>
            <w:pPr>
              <w:pStyle w:val="256"/>
              <w:spacing w:line="273" w:lineRule="exact"/>
              <w:ind w:left="99"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分析不透彻，较差，得</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rPr>
              <w:t>分；</w:t>
            </w:r>
          </w:p>
          <w:p>
            <w:pPr>
              <w:pStyle w:val="256"/>
              <w:spacing w:line="273" w:lineRule="exact"/>
              <w:ind w:left="99" w:right="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color w:val="auto"/>
                <w:sz w:val="24"/>
                <w:szCs w:val="24"/>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rPr>
        <w:tc>
          <w:tcPr>
            <w:tcW w:w="835" w:type="dxa"/>
            <w:vAlign w:val="center"/>
          </w:tcPr>
          <w:p>
            <w:pPr>
              <w:ind w:firstLine="28"/>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w:t>
            </w:r>
          </w:p>
        </w:tc>
        <w:tc>
          <w:tcPr>
            <w:tcW w:w="1628" w:type="dxa"/>
            <w:vAlign w:val="center"/>
          </w:tcPr>
          <w:p>
            <w:pPr>
              <w:pStyle w:val="256"/>
              <w:spacing w:line="274" w:lineRule="exact"/>
              <w:ind w:left="48" w:right="0"/>
              <w:jc w:val="left"/>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紧急情况的处理措施、预案以及抵抗风险的措施</w:t>
            </w:r>
          </w:p>
        </w:tc>
        <w:tc>
          <w:tcPr>
            <w:tcW w:w="747" w:type="dxa"/>
            <w:vAlign w:val="center"/>
          </w:tcPr>
          <w:p>
            <w:pPr>
              <w:ind w:firstLine="28"/>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w:t>
            </w:r>
          </w:p>
        </w:tc>
        <w:tc>
          <w:tcPr>
            <w:tcW w:w="5883" w:type="dxa"/>
            <w:vAlign w:val="center"/>
          </w:tcPr>
          <w:p>
            <w:pPr>
              <w:ind w:firstLine="28"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措施及方案合理，得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ind w:firstLine="28"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措施及方案较合理，得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pPr>
              <w:ind w:firstLine="28"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措施及方案</w:t>
            </w:r>
            <w:r>
              <w:rPr>
                <w:rFonts w:hint="eastAsia" w:ascii="宋体" w:hAnsi="宋体" w:cs="宋体"/>
                <w:color w:val="auto"/>
                <w:sz w:val="24"/>
                <w:szCs w:val="24"/>
                <w:highlight w:val="none"/>
                <w:lang w:val="en-US" w:eastAsia="zh-CN"/>
              </w:rPr>
              <w:t>一般</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ind w:firstLine="28"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措施及方案较差不合理，得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ind w:firstLine="28"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color w:val="auto"/>
                <w:sz w:val="24"/>
                <w:szCs w:val="24"/>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2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w:t>
            </w:r>
          </w:p>
        </w:tc>
        <w:tc>
          <w:tcPr>
            <w:tcW w:w="1628" w:type="dxa"/>
            <w:vAlign w:val="center"/>
          </w:tcPr>
          <w:p>
            <w:pPr>
              <w:ind w:firstLine="2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价格部分</w:t>
            </w:r>
          </w:p>
        </w:tc>
        <w:tc>
          <w:tcPr>
            <w:tcW w:w="747" w:type="dxa"/>
            <w:vAlign w:val="center"/>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c>
          <w:tcPr>
            <w:tcW w:w="5883" w:type="dxa"/>
            <w:vAlign w:val="center"/>
          </w:tcPr>
          <w:p>
            <w:pPr>
              <w:ind w:firstLine="28"/>
              <w:jc w:val="center"/>
              <w:rPr>
                <w:rFonts w:hint="eastAsia" w:ascii="宋体" w:hAnsi="宋体" w:eastAsia="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28"/>
              <w:jc w:val="center"/>
              <w:rPr>
                <w:rFonts w:hint="eastAsia" w:ascii="宋体" w:hAnsi="宋体" w:eastAsia="宋体" w:cs="宋体"/>
                <w:color w:val="auto"/>
                <w:sz w:val="24"/>
                <w:szCs w:val="24"/>
                <w:highlight w:val="none"/>
              </w:rPr>
            </w:pPr>
          </w:p>
        </w:tc>
        <w:tc>
          <w:tcPr>
            <w:tcW w:w="1628" w:type="dxa"/>
            <w:vAlign w:val="center"/>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747" w:type="dxa"/>
            <w:vAlign w:val="center"/>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c>
          <w:tcPr>
            <w:tcW w:w="5883" w:type="dxa"/>
            <w:vAlign w:val="center"/>
          </w:tcPr>
          <w:p>
            <w:pPr>
              <w:ind w:firstLine="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满足磋商文件要求的最后报价最低的供应商的价格为磋商基准价，其价格分为满分。其他供应商的价格分统一按照下列公式计算：</w:t>
            </w:r>
          </w:p>
          <w:p>
            <w:pPr>
              <w:ind w:firstLine="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磋商报价得分=（磋商基准价/最后报价）×分值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3" w:type="dxa"/>
            <w:gridSpan w:val="2"/>
            <w:vAlign w:val="center"/>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6630" w:type="dxa"/>
            <w:gridSpan w:val="2"/>
            <w:vAlign w:val="center"/>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r>
    </w:tbl>
    <w:p>
      <w:pPr>
        <w:numPr>
          <w:ilvl w:val="0"/>
          <w:numId w:val="0"/>
        </w:numPr>
        <w:rPr>
          <w:rFonts w:hint="eastAsia"/>
          <w:color w:val="auto"/>
          <w:highlight w:val="none"/>
        </w:rPr>
      </w:pPr>
    </w:p>
    <w:p>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1、本项目对属于小型和微型企业的供应商的报价给予3%的扣除，用扣除后的价格参与评审（含评审基准价的计算）；监狱、残疾人福利企业视同小微型企业，享受同等价格扣除，但同时属于残疾人福利性单位和小微企业的，不重复价格扣除；</w:t>
      </w:r>
    </w:p>
    <w:p>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磋商小组认为供应商的报价明显低于其他通过符合性审查供应商的报价，有可能影响产品质量或者不能诚信履约的，磋商小组有权要求其在评标现场合理的时间内提供相关证明材料；供应商不能在规定时间内提供材料证明其报价合理性的，磋商小组有权将其作为无效投标处理；</w:t>
      </w:r>
    </w:p>
    <w:p>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3、最低报价不作为成交的保证。</w:t>
      </w:r>
    </w:p>
    <w:p>
      <w:pPr>
        <w:spacing w:line="360" w:lineRule="auto"/>
        <w:jc w:val="left"/>
        <w:outlineLvl w:val="9"/>
        <w:rPr>
          <w:rFonts w:hint="eastAsia" w:ascii="宋体" w:hAnsi="宋体" w:eastAsia="宋体" w:cs="宋体"/>
          <w:color w:val="auto"/>
          <w:sz w:val="24"/>
          <w:szCs w:val="24"/>
          <w:highlight w:val="none"/>
          <w:lang w:eastAsia="zh-CN"/>
        </w:rPr>
        <w:sectPr>
          <w:pgSz w:w="11907" w:h="16840"/>
          <w:pgMar w:top="1440" w:right="1797" w:bottom="1440" w:left="1797" w:header="851" w:footer="850" w:gutter="0"/>
          <w:pgBorders>
            <w:top w:val="none" w:sz="0" w:space="0"/>
            <w:left w:val="none" w:sz="0" w:space="0"/>
            <w:bottom w:val="none" w:sz="0" w:space="0"/>
            <w:right w:val="none" w:sz="0" w:space="0"/>
          </w:pgBorders>
          <w:pgNumType w:fmt="decimal"/>
          <w:cols w:space="0" w:num="1"/>
          <w:rtlGutter w:val="0"/>
          <w:docGrid w:linePitch="462" w:charSpace="0"/>
        </w:sectPr>
      </w:pPr>
    </w:p>
    <w:p>
      <w:pPr>
        <w:spacing w:line="360" w:lineRule="auto"/>
        <w:jc w:val="center"/>
        <w:outlineLvl w:val="0"/>
        <w:rPr>
          <w:rFonts w:hint="eastAsia" w:ascii="宋体" w:hAnsi="宋体" w:eastAsia="宋体" w:cs="宋体"/>
          <w:b/>
          <w:color w:val="auto"/>
          <w:sz w:val="36"/>
          <w:szCs w:val="36"/>
          <w:highlight w:val="none"/>
        </w:rPr>
      </w:pPr>
      <w:bookmarkStart w:id="667" w:name="_Toc1550"/>
      <w:r>
        <w:rPr>
          <w:rFonts w:hint="eastAsia" w:ascii="宋体" w:hAnsi="宋体" w:eastAsia="宋体" w:cs="宋体"/>
          <w:b/>
          <w:color w:val="auto"/>
          <w:sz w:val="36"/>
          <w:szCs w:val="36"/>
          <w:highlight w:val="none"/>
        </w:rPr>
        <w:t>第四章   采购需求</w:t>
      </w:r>
      <w:bookmarkEnd w:id="667"/>
    </w:p>
    <w:p>
      <w:pPr>
        <w:spacing w:line="360" w:lineRule="auto"/>
        <w:contextualSpacing/>
        <w:rPr>
          <w:rFonts w:hint="eastAsia" w:ascii="宋体" w:hAnsi="宋体" w:eastAsia="宋体" w:cs="宋体"/>
          <w:color w:val="auto"/>
          <w:sz w:val="24"/>
          <w:highlight w:val="none"/>
        </w:rPr>
      </w:pPr>
    </w:p>
    <w:p>
      <w:pPr>
        <w:pStyle w:val="83"/>
        <w:numPr>
          <w:ilvl w:val="0"/>
          <w:numId w:val="15"/>
        </w:numPr>
        <w:spacing w:line="360" w:lineRule="auto"/>
        <w:ind w:firstLine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采购标的</w:t>
      </w:r>
    </w:p>
    <w:p>
      <w:pPr>
        <w:spacing w:line="360" w:lineRule="auto"/>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采购标的（货物需求一览表或简要服务内容及数量）</w:t>
      </w:r>
    </w:p>
    <w:p>
      <w:pPr>
        <w:spacing w:line="360" w:lineRule="auto"/>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说明：如接受进口产品，需标明。</w:t>
      </w:r>
    </w:p>
    <w:p>
      <w:pPr>
        <w:pStyle w:val="17"/>
        <w:spacing w:before="146" w:line="240" w:lineRule="auto"/>
        <w:ind w:left="19" w:leftChars="0" w:right="80" w:firstLine="400" w:firstLineChars="167"/>
        <w:jc w:val="left"/>
        <w:rPr>
          <w:rFonts w:hint="eastAsia" w:ascii="宋体" w:hAnsi="宋体" w:eastAsia="宋体" w:cs="宋体"/>
          <w:color w:val="auto"/>
          <w:highlight w:val="none"/>
        </w:rPr>
      </w:pPr>
      <w:r>
        <w:rPr>
          <w:rFonts w:hint="eastAsia" w:ascii="宋体" w:hAnsi="宋体" w:eastAsia="宋体" w:cs="宋体"/>
          <w:color w:val="auto"/>
          <w:highlight w:val="none"/>
        </w:rPr>
        <w:t>采购需求：</w:t>
      </w:r>
    </w:p>
    <w:tbl>
      <w:tblPr>
        <w:tblStyle w:val="45"/>
        <w:tblW w:w="5066" w:type="pct"/>
        <w:tblInd w:w="-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1"/>
        <w:gridCol w:w="2375"/>
        <w:gridCol w:w="1226"/>
        <w:gridCol w:w="1209"/>
        <w:gridCol w:w="949"/>
        <w:gridCol w:w="3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9" w:type="pct"/>
            <w:vAlign w:val="center"/>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包号</w:t>
            </w:r>
          </w:p>
        </w:tc>
        <w:tc>
          <w:tcPr>
            <w:tcW w:w="1261" w:type="pct"/>
            <w:vAlign w:val="center"/>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651" w:type="pct"/>
            <w:vAlign w:val="center"/>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采购包预算金额</w:t>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p>
        </w:tc>
        <w:tc>
          <w:tcPr>
            <w:tcW w:w="642" w:type="pct"/>
            <w:vAlign w:val="center"/>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最高限价（元）</w:t>
            </w:r>
          </w:p>
        </w:tc>
        <w:tc>
          <w:tcPr>
            <w:tcW w:w="504" w:type="pct"/>
            <w:vAlign w:val="center"/>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1620" w:type="pct"/>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1" w:type="dxa"/>
            <w:vAlign w:val="center"/>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01</w:t>
            </w:r>
          </w:p>
        </w:tc>
        <w:tc>
          <w:tcPr>
            <w:tcW w:w="2375" w:type="dxa"/>
            <w:vAlign w:val="center"/>
          </w:tcPr>
          <w:p>
            <w:pPr>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2024年度仁和镇土地整治及拆除项目</w:t>
            </w:r>
          </w:p>
        </w:tc>
        <w:tc>
          <w:tcPr>
            <w:tcW w:w="1226" w:type="dxa"/>
            <w:vAlign w:val="center"/>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2000</w:t>
            </w:r>
          </w:p>
        </w:tc>
        <w:tc>
          <w:tcPr>
            <w:tcW w:w="1209" w:type="dxa"/>
            <w:vAlign w:val="center"/>
          </w:tcPr>
          <w:p>
            <w:pPr>
              <w:jc w:val="center"/>
              <w:rPr>
                <w:rFonts w:hint="default" w:ascii="宋体" w:hAnsi="宋体" w:cs="宋体"/>
                <w:bCs/>
                <w:color w:val="auto"/>
                <w:sz w:val="24"/>
                <w:szCs w:val="24"/>
                <w:highlight w:val="none"/>
                <w:lang w:val="en-US" w:eastAsia="zh-CN"/>
              </w:rPr>
            </w:pPr>
            <w:r>
              <w:rPr>
                <w:rFonts w:hint="default" w:ascii="宋体" w:hAnsi="宋体" w:cs="宋体"/>
                <w:bCs/>
                <w:color w:val="auto"/>
                <w:sz w:val="24"/>
                <w:szCs w:val="24"/>
                <w:highlight w:val="none"/>
                <w:lang w:val="en-US" w:eastAsia="zh-CN"/>
              </w:rPr>
              <w:t>34446</w:t>
            </w:r>
          </w:p>
        </w:tc>
        <w:tc>
          <w:tcPr>
            <w:tcW w:w="949" w:type="dxa"/>
            <w:vAlign w:val="center"/>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p>
        </w:tc>
        <w:tc>
          <w:tcPr>
            <w:tcW w:w="3051" w:type="dxa"/>
            <w:vAlign w:val="center"/>
          </w:tcPr>
          <w:p>
            <w:pPr>
              <w:jc w:val="both"/>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仁和镇镇域内土地整治、违法用地违法建设拆除等</w:t>
            </w:r>
            <w:r>
              <w:rPr>
                <w:rFonts w:hint="eastAsia" w:ascii="宋体" w:hAnsi="宋体" w:cs="宋体"/>
                <w:color w:val="auto"/>
                <w:kern w:val="0"/>
                <w:sz w:val="24"/>
                <w:szCs w:val="24"/>
                <w:highlight w:val="none"/>
                <w:lang w:val="en-US" w:eastAsia="zh-CN" w:bidi="ar"/>
              </w:rPr>
              <w:t>工作</w:t>
            </w:r>
          </w:p>
        </w:tc>
      </w:tr>
    </w:tbl>
    <w:p>
      <w:pPr>
        <w:spacing w:line="360" w:lineRule="auto"/>
        <w:contextualSpacing/>
        <w:rPr>
          <w:rFonts w:hint="eastAsia" w:ascii="宋体" w:hAnsi="宋体" w:eastAsia="宋体" w:cs="宋体"/>
          <w:bCs/>
          <w:color w:val="auto"/>
          <w:sz w:val="24"/>
          <w:highlight w:val="none"/>
        </w:rPr>
      </w:pPr>
    </w:p>
    <w:p>
      <w:pPr>
        <w:spacing w:line="360" w:lineRule="auto"/>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项目背景/项目概述（如有）</w:t>
      </w:r>
    </w:p>
    <w:p>
      <w:pPr>
        <w:spacing w:line="360" w:lineRule="auto"/>
        <w:ind w:firstLine="480" w:firstLineChars="200"/>
        <w:contextualSpacing/>
        <w:rPr>
          <w:rFonts w:hint="eastAsia" w:ascii="宋体" w:hAnsi="宋体" w:eastAsia="宋体" w:cs="宋体"/>
          <w:b/>
          <w:color w:val="auto"/>
          <w:sz w:val="24"/>
          <w:highlight w:val="none"/>
        </w:rPr>
      </w:pPr>
      <w:r>
        <w:rPr>
          <w:rFonts w:hint="eastAsia" w:ascii="宋体" w:hAnsi="宋体" w:eastAsia="宋体" w:cs="宋体"/>
          <w:color w:val="auto"/>
          <w:sz w:val="24"/>
          <w:highlight w:val="none"/>
          <w:u w:val="single"/>
          <w:lang w:val="en-US" w:eastAsia="zh-CN"/>
        </w:rPr>
        <w:t xml:space="preserve">   无    </w:t>
      </w:r>
    </w:p>
    <w:p>
      <w:pPr>
        <w:pStyle w:val="83"/>
        <w:numPr>
          <w:ilvl w:val="0"/>
          <w:numId w:val="15"/>
        </w:numPr>
        <w:spacing w:line="360" w:lineRule="auto"/>
        <w:ind w:firstLine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商务要求</w:t>
      </w:r>
    </w:p>
    <w:p>
      <w:pPr>
        <w:spacing w:line="360" w:lineRule="auto"/>
        <w:contextualSpacing/>
        <w:rPr>
          <w:rFonts w:hint="eastAsia" w:ascii="宋体" w:hAnsi="宋体" w:eastAsia="宋体" w:cs="宋体"/>
          <w:i/>
          <w:color w:val="auto"/>
          <w:sz w:val="24"/>
          <w:highlight w:val="none"/>
        </w:rPr>
      </w:pPr>
      <w:r>
        <w:rPr>
          <w:rFonts w:hint="eastAsia" w:ascii="宋体" w:hAnsi="宋体" w:eastAsia="宋体" w:cs="宋体"/>
          <w:color w:val="auto"/>
          <w:sz w:val="24"/>
          <w:highlight w:val="none"/>
        </w:rPr>
        <w:t>1. 交付（实施）的时间（期限）和地点（范围）</w:t>
      </w:r>
    </w:p>
    <w:p>
      <w:pPr>
        <w:spacing w:line="360" w:lineRule="auto"/>
        <w:contextualSpacing/>
        <w:rPr>
          <w:rFonts w:hint="default" w:ascii="宋体" w:hAnsi="宋体" w:eastAsia="宋体" w:cs="宋体"/>
          <w:i/>
          <w:color w:val="auto"/>
          <w:sz w:val="24"/>
          <w:highlight w:val="none"/>
          <w:lang w:val="en-US" w:eastAsia="zh-CN"/>
        </w:rPr>
      </w:pPr>
      <w:r>
        <w:rPr>
          <w:rFonts w:hint="eastAsia" w:ascii="宋体" w:hAnsi="宋体" w:cs="宋体"/>
          <w:color w:val="auto"/>
          <w:sz w:val="24"/>
          <w:highlight w:val="none"/>
          <w:u w:val="single"/>
        </w:rPr>
        <w:t>本工程施工场地（现场）具体地理位置</w:t>
      </w:r>
      <w:r>
        <w:rPr>
          <w:rFonts w:hint="eastAsia" w:ascii="宋体" w:hAnsi="宋体" w:cs="宋体"/>
          <w:bCs/>
          <w:color w:val="auto"/>
          <w:sz w:val="24"/>
          <w:highlight w:val="none"/>
          <w:u w:val="single"/>
        </w:rPr>
        <w:t>：</w:t>
      </w:r>
      <w:r>
        <w:rPr>
          <w:rFonts w:hint="eastAsia" w:ascii="宋体" w:hAnsi="宋体" w:cs="宋体"/>
          <w:bCs/>
          <w:color w:val="auto"/>
          <w:sz w:val="24"/>
          <w:highlight w:val="none"/>
          <w:u w:val="single"/>
          <w:lang w:val="en-US" w:eastAsia="zh-CN"/>
        </w:rPr>
        <w:t>北京市</w:t>
      </w:r>
      <w:r>
        <w:rPr>
          <w:rFonts w:hint="eastAsia" w:ascii="宋体" w:hAnsi="宋体" w:cs="宋体"/>
          <w:color w:val="auto"/>
          <w:sz w:val="24"/>
          <w:highlight w:val="none"/>
          <w:u w:val="single"/>
        </w:rPr>
        <w:t>顺义区</w:t>
      </w:r>
      <w:r>
        <w:rPr>
          <w:rFonts w:hint="eastAsia" w:ascii="宋体" w:hAnsi="宋体" w:cs="宋体"/>
          <w:color w:val="auto"/>
          <w:sz w:val="24"/>
          <w:highlight w:val="none"/>
          <w:u w:val="single"/>
          <w:lang w:val="en-US" w:eastAsia="zh-CN"/>
        </w:rPr>
        <w:t>仁和镇镇域内</w:t>
      </w:r>
    </w:p>
    <w:p>
      <w:pPr>
        <w:spacing w:line="36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 付款条件（进度和方式）</w:t>
      </w:r>
    </w:p>
    <w:p>
      <w:pPr>
        <w:spacing w:line="360" w:lineRule="auto"/>
        <w:ind w:firstLine="480" w:firstLineChars="200"/>
        <w:contextualSpacing/>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详见合同条款专用部分</w:t>
      </w:r>
    </w:p>
    <w:p>
      <w:pPr>
        <w:spacing w:line="36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 包装和运输（如适用，须满足《关于印发&lt;商品包装政府采购需求标准（试行）&gt;、&lt;快递包装政府采购需求标准（试行）&gt;的通知》（财办库﹝2020﹞123号））</w:t>
      </w:r>
    </w:p>
    <w:p>
      <w:pPr>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   无    </w:t>
      </w:r>
    </w:p>
    <w:p>
      <w:pPr>
        <w:spacing w:line="36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 售后服务（质保期）（如适用）</w:t>
      </w:r>
    </w:p>
    <w:p>
      <w:pPr>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详见合同条款专用部分</w:t>
      </w:r>
    </w:p>
    <w:p>
      <w:pPr>
        <w:spacing w:line="36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5. 保险（如适用）</w:t>
      </w:r>
    </w:p>
    <w:p>
      <w:pPr>
        <w:spacing w:line="360" w:lineRule="auto"/>
        <w:ind w:firstLine="480" w:firstLineChars="200"/>
        <w:contextualSpacing/>
        <w:rPr>
          <w:rFonts w:hint="eastAsia" w:ascii="宋体" w:hAnsi="宋体" w:eastAsia="宋体" w:cs="宋体"/>
          <w:b/>
          <w:i/>
          <w:color w:val="auto"/>
          <w:sz w:val="24"/>
          <w:highlight w:val="none"/>
        </w:rPr>
      </w:pPr>
      <w:r>
        <w:rPr>
          <w:rFonts w:hint="eastAsia" w:ascii="宋体" w:hAnsi="宋体" w:eastAsia="宋体" w:cs="宋体"/>
          <w:color w:val="auto"/>
          <w:sz w:val="24"/>
          <w:highlight w:val="none"/>
          <w:u w:val="single"/>
          <w:lang w:val="en-US" w:eastAsia="zh-CN"/>
        </w:rPr>
        <w:t>详见合同条款专用部分</w:t>
      </w:r>
    </w:p>
    <w:p>
      <w:pPr>
        <w:pStyle w:val="83"/>
        <w:numPr>
          <w:ilvl w:val="0"/>
          <w:numId w:val="15"/>
        </w:numPr>
        <w:spacing w:line="360" w:lineRule="auto"/>
        <w:ind w:firstLine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技术要求</w:t>
      </w:r>
    </w:p>
    <w:p>
      <w:pPr>
        <w:spacing w:line="36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 基本要求</w:t>
      </w:r>
    </w:p>
    <w:p>
      <w:pPr>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 采购标的需实现的功能或者目标</w:t>
      </w:r>
    </w:p>
    <w:p>
      <w:pPr>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 需执行的国家相关标准、行业标准、地方标准或者其他标准、规范</w:t>
      </w:r>
    </w:p>
    <w:p>
      <w:pPr>
        <w:keepNext/>
        <w:keepLines/>
        <w:spacing w:before="120" w:beforeLines="50" w:after="120" w:afterLines="50" w:line="360" w:lineRule="auto"/>
        <w:ind w:firstLine="480" w:firstLineChars="200"/>
        <w:outlineLvl w:val="1"/>
        <w:rPr>
          <w:rFonts w:hint="eastAsia" w:ascii="宋体" w:hAnsi="宋体" w:eastAsia="宋体" w:cs="宋体"/>
          <w:color w:val="auto"/>
          <w:sz w:val="24"/>
          <w:highlight w:val="none"/>
          <w:u w:val="none"/>
          <w:lang w:eastAsia="zh-CN"/>
        </w:rPr>
      </w:pPr>
      <w:r>
        <w:rPr>
          <w:rFonts w:hint="eastAsia" w:ascii="宋体" w:hAnsi="宋体" w:cs="宋体"/>
          <w:color w:val="auto"/>
          <w:sz w:val="24"/>
          <w:highlight w:val="none"/>
          <w:u w:val="none"/>
          <w:lang w:val="en-US" w:eastAsia="zh-CN"/>
        </w:rPr>
        <w:t>1.3</w:t>
      </w:r>
      <w:r>
        <w:rPr>
          <w:rFonts w:hint="eastAsia" w:ascii="宋体" w:hAnsi="宋体" w:cs="宋体"/>
          <w:color w:val="auto"/>
          <w:sz w:val="24"/>
          <w:highlight w:val="none"/>
          <w:u w:val="none"/>
        </w:rPr>
        <w:t>安全文明施工：</w:t>
      </w:r>
      <w:r>
        <w:rPr>
          <w:rFonts w:hint="eastAsia" w:ascii="宋体" w:hAnsi="宋体" w:cs="宋体"/>
          <w:color w:val="auto"/>
          <w:sz w:val="24"/>
          <w:highlight w:val="none"/>
          <w:u w:val="single"/>
          <w:lang w:bidi="ar"/>
        </w:rPr>
        <w:t>执行国家及北京市建筑安全防护、文明施工管理规定</w:t>
      </w:r>
      <w:r>
        <w:rPr>
          <w:rFonts w:hint="eastAsia" w:ascii="宋体" w:hAnsi="宋体" w:cs="宋体"/>
          <w:color w:val="auto"/>
          <w:sz w:val="24"/>
          <w:highlight w:val="none"/>
          <w:u w:val="none"/>
          <w:lang w:eastAsia="zh-CN" w:bidi="ar"/>
        </w:rPr>
        <w:t>；</w:t>
      </w:r>
    </w:p>
    <w:p>
      <w:pPr>
        <w:spacing w:line="360" w:lineRule="auto"/>
        <w:ind w:firstLine="480" w:firstLineChars="200"/>
        <w:contextualSpacing/>
        <w:rPr>
          <w:rFonts w:hint="eastAsia" w:ascii="宋体" w:hAnsi="宋体" w:cs="宋体"/>
          <w:color w:val="auto"/>
          <w:sz w:val="24"/>
          <w:highlight w:val="none"/>
          <w:u w:val="single"/>
          <w:lang w:eastAsia="zh-CN"/>
        </w:rPr>
      </w:pPr>
      <w:r>
        <w:rPr>
          <w:rFonts w:hint="eastAsia" w:ascii="宋体" w:hAnsi="宋体" w:cs="宋体"/>
          <w:color w:val="auto"/>
          <w:sz w:val="24"/>
          <w:highlight w:val="none"/>
          <w:u w:val="none"/>
          <w:lang w:val="en-US" w:eastAsia="zh-CN"/>
        </w:rPr>
        <w:t>1.4</w:t>
      </w:r>
      <w:r>
        <w:rPr>
          <w:rFonts w:hint="eastAsia" w:ascii="宋体" w:hAnsi="宋体" w:cs="宋体"/>
          <w:color w:val="auto"/>
          <w:sz w:val="24"/>
          <w:highlight w:val="none"/>
          <w:u w:val="none"/>
        </w:rPr>
        <w:t>施工现场安全生产标准化管理目标等级</w:t>
      </w:r>
      <w:r>
        <w:rPr>
          <w:rFonts w:hint="eastAsia" w:ascii="宋体" w:hAnsi="宋体" w:cs="宋体"/>
          <w:color w:val="auto"/>
          <w:sz w:val="24"/>
          <w:highlight w:val="none"/>
          <w:u w:val="none"/>
          <w:lang w:eastAsia="zh-CN"/>
        </w:rPr>
        <w:t>：</w:t>
      </w:r>
      <w:r>
        <w:rPr>
          <w:rFonts w:hint="eastAsia" w:ascii="宋体" w:hAnsi="宋体" w:cs="宋体"/>
          <w:color w:val="auto"/>
          <w:sz w:val="24"/>
          <w:highlight w:val="none"/>
          <w:u w:val="single"/>
        </w:rPr>
        <w:t xml:space="preserve">达标 </w:t>
      </w:r>
      <w:r>
        <w:rPr>
          <w:rFonts w:hint="eastAsia" w:ascii="宋体" w:hAnsi="宋体" w:cs="宋体"/>
          <w:color w:val="auto"/>
          <w:sz w:val="24"/>
          <w:highlight w:val="none"/>
          <w:u w:val="single"/>
          <w:lang w:eastAsia="zh-CN"/>
        </w:rPr>
        <w:t>；</w:t>
      </w:r>
    </w:p>
    <w:p>
      <w:pPr>
        <w:spacing w:line="360" w:lineRule="auto"/>
        <w:ind w:firstLine="480" w:firstLineChars="200"/>
        <w:contextualSpacing/>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1.5现行施工现场安全生产标准化分级管理标准：</w:t>
      </w:r>
      <w:r>
        <w:rPr>
          <w:rFonts w:hint="eastAsia" w:ascii="宋体" w:hAnsi="宋体" w:eastAsia="宋体" w:cs="宋体"/>
          <w:color w:val="auto"/>
          <w:sz w:val="24"/>
          <w:highlight w:val="none"/>
          <w:u w:val="single"/>
          <w:lang w:val="en-US" w:eastAsia="zh-CN"/>
        </w:rPr>
        <w:t>《北京市建设工程施工现场安全生产标准化管理图集》（2019版）。</w:t>
      </w:r>
    </w:p>
    <w:p>
      <w:pPr>
        <w:spacing w:line="36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 服务内容及要求/货物技术要求</w:t>
      </w:r>
    </w:p>
    <w:p>
      <w:pPr>
        <w:widowControl/>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2.1采购标的需满足的性能、材料、结构、外观、质量、安全、技术规格、物理特性等要求；</w:t>
      </w:r>
    </w:p>
    <w:p>
      <w:pPr>
        <w:widowControl/>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2.2采购标的需满足的服务标准、期限、效率等要求；</w:t>
      </w:r>
    </w:p>
    <w:p>
      <w:pPr>
        <w:widowControl/>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2.3为落实政府采购政策需满足的要求；</w:t>
      </w:r>
    </w:p>
    <w:p>
      <w:pPr>
        <w:widowControl/>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2.4采购标的的其他技术、服务等要求；</w:t>
      </w:r>
    </w:p>
    <w:p>
      <w:pPr>
        <w:widowControl/>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2.5需由供应商提供设计方案、解决方案或者组织方案的采购项目，应当说明采购标的的功能、应用场景、目标等基本要求。</w:t>
      </w:r>
    </w:p>
    <w:p>
      <w:pPr>
        <w:widowControl/>
        <w:spacing w:line="360" w:lineRule="auto"/>
        <w:ind w:firstLine="480" w:firstLineChars="200"/>
        <w:contextualSpacing/>
        <w:rPr>
          <w:rFonts w:hint="eastAsia" w:ascii="宋体" w:hAnsi="宋体" w:eastAsia="宋体" w:cs="宋体"/>
          <w:color w:val="auto"/>
          <w:sz w:val="24"/>
          <w:highlight w:val="none"/>
          <w:u w:val="none"/>
        </w:rPr>
      </w:pPr>
      <w:r>
        <w:rPr>
          <w:rFonts w:hint="eastAsia" w:ascii="宋体" w:hAnsi="宋体" w:cs="宋体"/>
          <w:color w:val="auto"/>
          <w:sz w:val="24"/>
          <w:highlight w:val="none"/>
          <w:u w:val="none"/>
          <w:lang w:val="en-US" w:eastAsia="zh-CN"/>
        </w:rPr>
        <w:t>2.6</w:t>
      </w:r>
      <w:r>
        <w:rPr>
          <w:rFonts w:hint="eastAsia" w:ascii="宋体" w:hAnsi="宋体" w:eastAsia="宋体" w:cs="宋体"/>
          <w:color w:val="auto"/>
          <w:sz w:val="24"/>
          <w:highlight w:val="none"/>
          <w:u w:val="none"/>
        </w:rPr>
        <w:t>特殊技术标准和要求</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none"/>
          <w:lang w:val="en-US" w:eastAsia="zh-CN"/>
        </w:rPr>
        <w:t>不适用</w:t>
      </w:r>
      <w:r>
        <w:rPr>
          <w:rFonts w:hint="eastAsia" w:ascii="宋体" w:hAnsi="宋体" w:eastAsia="宋体" w:cs="宋体"/>
          <w:color w:val="auto"/>
          <w:sz w:val="24"/>
          <w:highlight w:val="none"/>
          <w:u w:val="none"/>
          <w:lang w:eastAsia="zh-CN"/>
        </w:rPr>
        <w:t>）</w:t>
      </w:r>
    </w:p>
    <w:p>
      <w:pPr>
        <w:widowControl/>
        <w:spacing w:line="360" w:lineRule="auto"/>
        <w:ind w:firstLine="480" w:firstLineChars="200"/>
        <w:contextualSpacing/>
        <w:rPr>
          <w:rFonts w:hint="eastAsia" w:ascii="宋体" w:hAnsi="宋体" w:eastAsia="宋体" w:cs="宋体"/>
          <w:color w:val="auto"/>
          <w:sz w:val="24"/>
          <w:highlight w:val="none"/>
          <w:u w:val="single"/>
        </w:rPr>
      </w:pPr>
      <w:bookmarkStart w:id="668" w:name="_Toc497584148"/>
      <w:bookmarkStart w:id="669" w:name="_Toc489280295"/>
      <w:bookmarkStart w:id="670" w:name="_Toc29859"/>
      <w:bookmarkStart w:id="671" w:name="_Toc486580489"/>
      <w:bookmarkStart w:id="672" w:name="_Toc497214157"/>
      <w:bookmarkStart w:id="673" w:name="_Toc26861"/>
      <w:r>
        <w:rPr>
          <w:rFonts w:hint="eastAsia" w:ascii="宋体" w:hAnsi="宋体" w:cs="宋体"/>
          <w:color w:val="auto"/>
          <w:sz w:val="24"/>
          <w:highlight w:val="none"/>
          <w:u w:val="none"/>
          <w:lang w:val="en-US" w:eastAsia="zh-CN"/>
        </w:rPr>
        <w:t>（1）</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部分材料和工程设备特殊技术要求</w:t>
      </w:r>
      <w:bookmarkEnd w:id="668"/>
      <w:bookmarkEnd w:id="669"/>
      <w:bookmarkEnd w:id="670"/>
      <w:bookmarkEnd w:id="671"/>
      <w:bookmarkEnd w:id="672"/>
      <w:bookmarkEnd w:id="673"/>
    </w:p>
    <w:p>
      <w:pPr>
        <w:widowControl/>
        <w:spacing w:line="360" w:lineRule="auto"/>
        <w:ind w:firstLine="480" w:firstLineChars="200"/>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承包人自行施工范围内的部分材料和工程设备相关技术要求：</w:t>
      </w:r>
      <w:r>
        <w:rPr>
          <w:rFonts w:hint="eastAsia" w:ascii="宋体" w:hAnsi="宋体" w:eastAsia="宋体" w:cs="宋体"/>
          <w:color w:val="auto"/>
          <w:sz w:val="24"/>
          <w:highlight w:val="none"/>
          <w:u w:val="single"/>
        </w:rPr>
        <w:t xml:space="preserve"> 必须严格按照工程量清单中特征描述进行选材，所有材料及设备必须满足合格标准并在材料进场前提供检测报告。</w:t>
      </w:r>
    </w:p>
    <w:p>
      <w:pPr>
        <w:widowControl/>
        <w:numPr>
          <w:ilvl w:val="0"/>
          <w:numId w:val="16"/>
        </w:numPr>
        <w:spacing w:line="360" w:lineRule="auto"/>
        <w:ind w:firstLine="480" w:firstLineChars="200"/>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本工程施工现场所用混凝土或砂浆的供应方式为</w:t>
      </w:r>
      <w:r>
        <w:rPr>
          <w:rFonts w:hint="eastAsia" w:ascii="宋体" w:hAnsi="宋体" w:cs="宋体"/>
          <w:color w:val="auto"/>
          <w:sz w:val="24"/>
          <w:highlight w:val="none"/>
          <w:u w:val="none"/>
          <w:lang w:eastAsia="zh-CN"/>
        </w:rPr>
        <w:t>：</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single"/>
        </w:rPr>
        <w:t xml:space="preserve">  预拌  </w:t>
      </w:r>
    </w:p>
    <w:p>
      <w:pPr>
        <w:widowControl/>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cs="宋体"/>
          <w:color w:val="auto"/>
          <w:sz w:val="24"/>
          <w:highlight w:val="none"/>
          <w:u w:val="none"/>
          <w:lang w:val="en-US" w:eastAsia="zh-CN"/>
        </w:rPr>
        <w:t>2.7</w:t>
      </w:r>
      <w:r>
        <w:rPr>
          <w:rFonts w:hint="eastAsia" w:ascii="宋体" w:hAnsi="宋体" w:eastAsia="宋体" w:cs="宋体"/>
          <w:color w:val="auto"/>
          <w:sz w:val="24"/>
          <w:highlight w:val="none"/>
          <w:u w:val="single"/>
        </w:rPr>
        <w:t>供应商的工程量清单计价应包括完成工程量清单所列项目的全部费用，包括分部分项工程费、措施项目费、其他项目费、规费和税金。工程量清单采用综合单价，分部分项工程量清单综合单价应对本工程各项工作的消耗量水平、工料机价格水平、各类费用标准（在投标书中应明示取费费率）、有关费率和供应商应承担的风险做切合自身实力的竞争性考虑。措施项目包括但不限于以下工作：安全防护及文明施工费（包括文明施工费、环境保护费、临时设施费、安全防护费）、夜间施工费、二次搬运费、冬雨季施工费、大型机械设备进出场及安拆费、钢筋混凝土模板及支架、脚手架费用、施工排水、施工降水、地上、地下设施、建筑物的临时保护设施、扰民和民扰费用，室内空气污染测试等。其他项目费包括：暂列金额、暂估价、计日工。</w:t>
      </w:r>
    </w:p>
    <w:p>
      <w:pPr>
        <w:spacing w:line="360" w:lineRule="auto"/>
        <w:contextualSpacing/>
        <w:rPr>
          <w:rFonts w:hint="eastAsia" w:ascii="宋体" w:hAnsi="宋体" w:eastAsia="宋体" w:cs="宋体"/>
          <w:i/>
          <w:iCs/>
          <w:color w:val="auto"/>
          <w:sz w:val="24"/>
          <w:highlight w:val="none"/>
        </w:rPr>
      </w:pPr>
      <w:r>
        <w:rPr>
          <w:rFonts w:hint="eastAsia" w:ascii="宋体" w:hAnsi="宋体" w:eastAsia="宋体" w:cs="宋体"/>
          <w:color w:val="auto"/>
          <w:sz w:val="24"/>
          <w:highlight w:val="none"/>
        </w:rPr>
        <w:t>3. 验收标准</w:t>
      </w:r>
    </w:p>
    <w:p>
      <w:pPr>
        <w:pStyle w:val="29"/>
        <w:spacing w:line="360" w:lineRule="auto"/>
        <w:ind w:firstLine="480" w:firstLineChars="200"/>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适用本工程的国家、行业和地方规范、标准和规程: 除合同另有约定外，本工程适用现行国家、行业和地方规范、标准和规程。适用于本工程的国家、行业和地方的规范、标准和规程等相关技术规范与标准。</w:t>
      </w:r>
    </w:p>
    <w:p>
      <w:pPr>
        <w:spacing w:line="36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 其他要求</w:t>
      </w:r>
    </w:p>
    <w:p>
      <w:pPr>
        <w:pStyle w:val="83"/>
        <w:adjustRightInd w:val="0"/>
        <w:spacing w:line="360" w:lineRule="auto"/>
        <w:ind w:left="0" w:leftChars="0" w:firstLine="0" w:firstLineChars="0"/>
        <w:contextualSpacing/>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4.1</w:t>
      </w:r>
      <w:r>
        <w:rPr>
          <w:rFonts w:hint="eastAsia" w:ascii="宋体" w:hAnsi="宋体" w:eastAsia="宋体" w:cs="宋体"/>
          <w:color w:val="auto"/>
          <w:sz w:val="24"/>
          <w:szCs w:val="24"/>
          <w:highlight w:val="none"/>
        </w:rPr>
        <w:t>如果属于政务信息系统项目，其采购需求还应当符合《政务信息系统政府采购管理暂行办法》（财库〔2017〕210号）的相关要求</w:t>
      </w:r>
      <w:r>
        <w:rPr>
          <w:rFonts w:hint="eastAsia" w:ascii="宋体" w:hAnsi="宋体" w:cs="宋体"/>
          <w:color w:val="auto"/>
          <w:sz w:val="24"/>
          <w:szCs w:val="24"/>
          <w:highlight w:val="none"/>
          <w:lang w:eastAsia="zh-CN"/>
        </w:rPr>
        <w:t>；</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4.2</w:t>
      </w:r>
      <w:r>
        <w:rPr>
          <w:rFonts w:hint="eastAsia" w:ascii="宋体" w:hAnsi="宋体" w:eastAsia="宋体" w:cs="宋体"/>
          <w:color w:val="auto"/>
          <w:sz w:val="24"/>
          <w:szCs w:val="24"/>
          <w:highlight w:val="none"/>
        </w:rPr>
        <w:t>当采购项目涉及数据中心相关设备、运维服务时，采购需求应当符合《绿色数据中心政府采购需求标准（试行）》（财库〔2023〕7号）的有关要求</w:t>
      </w:r>
      <w:r>
        <w:rPr>
          <w:rFonts w:hint="eastAsia" w:ascii="宋体" w:hAnsi="宋体" w:cs="宋体"/>
          <w:color w:val="auto"/>
          <w:sz w:val="24"/>
          <w:szCs w:val="24"/>
          <w:highlight w:val="none"/>
          <w:lang w:eastAsia="zh-CN"/>
        </w:rPr>
        <w:t>。</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4.3 2024年度仁和镇土地整治及拆除项目采购需求</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一、需实现的功能或者目标 </w:t>
      </w:r>
    </w:p>
    <w:p>
      <w:pPr>
        <w:pStyle w:val="83"/>
        <w:adjustRightInd w:val="0"/>
        <w:spacing w:line="360" w:lineRule="auto"/>
        <w:ind w:left="0" w:leftChars="0" w:firstLine="480" w:firstLineChars="20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通过本次采购，确定1家服务单位，协助采购人完成顺义区仁和镇镇域范围内土地整治、违法用地违法建设拆除等工作。</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二、采购内容 </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1.范围和内容：供应商按照采购人提交的违章建筑类别、规模、数量和地点和时限要求等信息，组织人力物力，完成顺义区仁和镇镇域范围内土地整治、违法用地违法建设拆除等工作。</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全房整体拆除(砖混结构，框架结构)</w:t>
      </w:r>
      <w:r>
        <w:rPr>
          <w:rFonts w:hint="eastAsia" w:asciiTheme="minorEastAsia" w:hAnsiTheme="minorEastAsia" w:eastAsiaTheme="minorEastAsia" w:cstheme="minorEastAsia"/>
          <w:color w:val="auto"/>
          <w:sz w:val="24"/>
          <w:szCs w:val="24"/>
          <w:highlight w:val="none"/>
          <w:lang w:eastAsia="zh-CN"/>
        </w:rPr>
        <w:t>、全房整体拆除(钢结构)、彩钢、石棉瓦等无围护结构简棚拆除</w:t>
      </w:r>
      <w:r>
        <w:rPr>
          <w:rFonts w:hint="eastAsia" w:asciiTheme="minorEastAsia" w:hAnsiTheme="minorEastAsia" w:eastAsiaTheme="minorEastAsia" w:cstheme="minorEastAsia"/>
          <w:color w:val="auto"/>
          <w:sz w:val="24"/>
          <w:szCs w:val="24"/>
          <w:highlight w:val="none"/>
        </w:rPr>
        <w:t>：</w:t>
      </w:r>
    </w:p>
    <w:p>
      <w:pPr>
        <w:numPr>
          <w:ilvl w:val="0"/>
          <w:numId w:val="17"/>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包含屋内搬运零星杂物等；</w:t>
      </w:r>
    </w:p>
    <w:p>
      <w:pPr>
        <w:numPr>
          <w:ilvl w:val="0"/>
          <w:numId w:val="17"/>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包含室内地坪以上全部建筑物拆除(屋面、梁、板、柱、门窗、地面等)毗邻建筑物的保护，现场监管，拆下材料码放整齐，拆除后渣土清理平整、洒水、苦盖等；</w:t>
      </w:r>
    </w:p>
    <w:p>
      <w:pPr>
        <w:numPr>
          <w:ilvl w:val="0"/>
          <w:numId w:val="17"/>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包含基础拆除，回填后的平整；</w:t>
      </w:r>
    </w:p>
    <w:p>
      <w:pPr>
        <w:numPr>
          <w:ilvl w:val="0"/>
          <w:numId w:val="17"/>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按照土地性质达到相应验收标准并验收合格；</w:t>
      </w:r>
    </w:p>
    <w:p>
      <w:pPr>
        <w:numPr>
          <w:ilvl w:val="0"/>
          <w:numId w:val="17"/>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包含渣土外运至正规消纳场所，不含消纳。</w:t>
      </w:r>
    </w:p>
    <w:p>
      <w:pPr>
        <w:spacing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2.风镐拆除无筋混凝土路面</w:t>
      </w:r>
      <w:r>
        <w:rPr>
          <w:rFonts w:hint="eastAsia" w:asciiTheme="minorEastAsia" w:hAnsiTheme="minorEastAsia" w:eastAsiaTheme="minorEastAsia" w:cstheme="minorEastAsia"/>
          <w:color w:val="auto"/>
          <w:sz w:val="24"/>
          <w:szCs w:val="24"/>
          <w:highlight w:val="none"/>
          <w:lang w:eastAsia="zh-CN"/>
        </w:rPr>
        <w:t>、机械拆除旧路结构、拆除步道砖、</w:t>
      </w:r>
      <w:r>
        <w:rPr>
          <w:rFonts w:hint="eastAsia" w:asciiTheme="minorEastAsia" w:hAnsiTheme="minorEastAsia" w:eastAsiaTheme="minorEastAsia" w:cstheme="minorEastAsia"/>
          <w:color w:val="auto"/>
          <w:sz w:val="24"/>
          <w:szCs w:val="24"/>
          <w:highlight w:val="none"/>
        </w:rPr>
        <w:t>拆除面层及基层</w:t>
      </w:r>
      <w:r>
        <w:rPr>
          <w:rFonts w:hint="eastAsia" w:asciiTheme="minorEastAsia" w:hAnsiTheme="minorEastAsia" w:eastAsiaTheme="minorEastAsia" w:cstheme="minorEastAsia"/>
          <w:color w:val="auto"/>
          <w:sz w:val="24"/>
          <w:szCs w:val="24"/>
          <w:highlight w:val="none"/>
          <w:lang w:eastAsia="zh-CN"/>
        </w:rPr>
        <w:t>：</w:t>
      </w:r>
    </w:p>
    <w:p>
      <w:pPr>
        <w:numPr>
          <w:ilvl w:val="0"/>
          <w:numId w:val="18"/>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包含毗邻建筑物的保护，现场监管，拆除后渣土清理平整、洒水、苦盖等；</w:t>
      </w:r>
    </w:p>
    <w:p>
      <w:pPr>
        <w:numPr>
          <w:ilvl w:val="0"/>
          <w:numId w:val="18"/>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按照土地性质达到相应验收标准并验收合格；</w:t>
      </w:r>
    </w:p>
    <w:p>
      <w:pPr>
        <w:numPr>
          <w:ilvl w:val="0"/>
          <w:numId w:val="18"/>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包含渣土外运至正规消纳场所，不含消纳。</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lang w:eastAsia="zh-CN"/>
        </w:rPr>
        <w:t>砖砌体拆除、钢筋混凝土拆除</w:t>
      </w:r>
      <w:r>
        <w:rPr>
          <w:rFonts w:hint="eastAsia" w:asciiTheme="minorEastAsia" w:hAnsiTheme="minorEastAsia" w:eastAsiaTheme="minorEastAsia" w:cstheme="minorEastAsia"/>
          <w:color w:val="auto"/>
          <w:sz w:val="24"/>
          <w:szCs w:val="24"/>
          <w:highlight w:val="none"/>
        </w:rPr>
        <w:t>：</w:t>
      </w:r>
    </w:p>
    <w:p>
      <w:pPr>
        <w:numPr>
          <w:ilvl w:val="0"/>
          <w:numId w:val="19"/>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包含毗邻建筑物的保护，现场监管，拆除后渣土清理平整、洒水、苫盖等；</w:t>
      </w:r>
    </w:p>
    <w:p>
      <w:pPr>
        <w:numPr>
          <w:ilvl w:val="0"/>
          <w:numId w:val="19"/>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按照土地性质达到相应验收标准并验收合格；</w:t>
      </w:r>
    </w:p>
    <w:p>
      <w:pPr>
        <w:numPr>
          <w:ilvl w:val="0"/>
          <w:numId w:val="19"/>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包含渣土外运至正规消纳场所，不含消纳；</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4.渣土外运：</w:t>
      </w:r>
    </w:p>
    <w:p>
      <w:pPr>
        <w:numPr>
          <w:ilvl w:val="0"/>
          <w:numId w:val="20"/>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包含装车运输；</w:t>
      </w:r>
    </w:p>
    <w:p>
      <w:pPr>
        <w:numPr>
          <w:ilvl w:val="0"/>
          <w:numId w:val="20"/>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按照土地性质达到相应验收标准并验收合格；</w:t>
      </w:r>
    </w:p>
    <w:p>
      <w:pPr>
        <w:numPr>
          <w:ilvl w:val="0"/>
          <w:numId w:val="20"/>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包含渣土外运至正规消纳场所，不含消纳。</w:t>
      </w:r>
    </w:p>
    <w:p>
      <w:pPr>
        <w:spacing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5.回填方</w:t>
      </w:r>
      <w:r>
        <w:rPr>
          <w:rFonts w:hint="eastAsia" w:asciiTheme="minorEastAsia" w:hAnsiTheme="minorEastAsia" w:eastAsiaTheme="minorEastAsia" w:cstheme="minorEastAsia"/>
          <w:color w:val="auto"/>
          <w:sz w:val="24"/>
          <w:szCs w:val="24"/>
          <w:highlight w:val="none"/>
          <w:lang w:eastAsia="zh-CN"/>
        </w:rPr>
        <w:t>：</w:t>
      </w:r>
    </w:p>
    <w:p>
      <w:pPr>
        <w:numPr>
          <w:ilvl w:val="0"/>
          <w:numId w:val="21"/>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包含回填、夯实；</w:t>
      </w:r>
    </w:p>
    <w:p>
      <w:pPr>
        <w:numPr>
          <w:ilvl w:val="0"/>
          <w:numId w:val="21"/>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包含外购土；</w:t>
      </w:r>
    </w:p>
    <w:p>
      <w:pPr>
        <w:numPr>
          <w:ilvl w:val="0"/>
          <w:numId w:val="21"/>
        </w:numPr>
        <w:spacing w:line="360" w:lineRule="auto"/>
        <w:ind w:left="425" w:leftChars="0"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按照土地性质达到相应验收标准并验收合格。</w:t>
      </w:r>
    </w:p>
    <w:p>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1.6.如单独发生人工及机械台班或备勤时，执行零星用工，主要类型如下：</w:t>
      </w:r>
    </w:p>
    <w:tbl>
      <w:tblPr>
        <w:tblStyle w:val="45"/>
        <w:tblW w:w="89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72"/>
        <w:gridCol w:w="3287"/>
        <w:gridCol w:w="1172"/>
        <w:gridCol w:w="3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小工</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装载机50型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电焊工</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装载机30型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水暖工</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推土机(16型)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挖掘机(320型)</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货车4.5米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挖掘机(240型)</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货车6.5米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挖掘机(65型)</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起重机80t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挖掘机破碎(240</w:t>
            </w:r>
          </w:p>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型 )</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起重机25t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十轮自卸车</w:t>
            </w:r>
          </w:p>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(5.6m-5.8m)</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起重机8t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洒水车3t</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拖车12米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洒水车10t</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吸污车8t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洒水车15t</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32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吸污车10t</w:t>
            </w:r>
          </w:p>
        </w:tc>
      </w:tr>
    </w:tbl>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2.服务期限：自合同签订之日起一年（具体以签订合同准）</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3.服务地点：北京市顺义区仁和镇</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三、工作要求 </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负责拆除范围内所有房屋及附属物的拆除、清运、消纳、土地整治工作，并负责在开工前办理好拆除、城管、安全、环保及交通等有关部门所有拆除及清运审批手续并承担相应费用。如中标供应商未按照有关部门的规定及要求开展拆除工作，给采购人造成损失，由中标供应商承担；</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2.严格按国家有关规定进行拆除作业，同时按照采购人要求，完成对范围内建筑物、构筑物及其他附着物的拆除、清运、土地整治等工作。因看护不利导致的一切经济损失，由中标供应商承担；</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依照北京市有关环保的规定，做好拆除过程中的环保工作，如:道路清扫、边拆除边洒水、防尘和路面保洁、场地绿网或防尘网覆盖等。由于拆除发生的扰民、环境等问题，由中标供应商承担因看护不利导致的一切经济损失，由中标供应商承担相应费用及全部法律责任；</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环境卫生工作要求：中标供应商须对现场进行环境卫生管理，拆除过程中防止扬尘和噪音，有应对措施，达到国家有关部门规定的标准，随时接受采购人的检查。如有检查不合格，中标供应商应及时采取措施加以改进，相关费用由中标供应商自行承担；</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负责施工安全，严格遵守国家法律法规、操作规程及有关规定，文明施工，确保安全，凡在施工和管理过程中发生火灾、工伤、死亡、财产损失等问题，由中标供应商承担全部责任，并负责赔偿及处理一切相关事宜。导致采购人被追诉并先行承担责任的，采购人有权向中标供应商追索，并在应支付的款项中直接扣除相应款项。中标供应商须提交对工地突发事件的处理预案；负责处理施工中的突发事件并承担相应的费用。由于中标供应商在施工生产过程中违法有关安全操作规程、消防条例、法律法规及政府规定，导致发生安全或火灾事故，中标供应商对由此引发的一切经济损失承担赔偿责任及连带的法律责任。中标供应商需承诺，在本合同规定的承包工程实施和完成过程中采购人不承担与下述事项有关的任何损失、责任、费用、索赔和诉讼：（1）任何人员的伤亡；（2）任何财产的损失或损害；</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6.遵守本合同、国家和项目所在地政府及有关部门的相关规定及本合同约定，按时、保质、保量完成工程任务；</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7.中标供应商作为本拆除工程的施工单位，必须保证其项目管理机构配置的合理性和稳定性，并应负责拆除范围内的施工现场管理，保证本项目工作顺利进行；</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8.采购人有权要求中标供应商更换其认为不能胜任工作或玩忽职守的人员，中标供应商应在一周内将上述人员撤离现场并补报胜任的人员到岗；</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9.中标供应商派驻工地人员由其自行管理，工地工人的防护装备、交通运输及食宿由中标供应商自行解决。由中标供应商负责办理工地工人的暂住证等相关手续并承担相应费用；</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10.在施工过程中出现的扰民、民扰以及其他不利于项目实施的因素，中标供应商应充分考虑，并采取及时有效的措施保证项目的顺利进行，不得因出现不利于项目的因素而提出延长工期或者增加造价的要求；</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11.负责维护采购人以及各级政府在本次拆违工作形象以及媒体形象，确保本次拆违工作的公开、公正、公平的社会形象及正面的社会影响；</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12.拆除工作完成后，协助采购人对被拆人进行安抚、维稳，完成后续协议完善手续；</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13.施工机械及电气房屋须符合使用安全规程，非专业人员不得随意操作；</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14.加强施工现场治安综合管理，做到目标管理、制度落实、责任到人。施工现场治安防范措施有力，重点要害部位防范设施有效到位；</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15.根据采购人要求需要中标供应商完成的与本项目拆除工作有关的其他工作。</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四、服务标准</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1.确定安全目标：无重大伤亡事故；</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2.场内应设立安全警告牌等，加强对服务人员的安全思想教育，自觉进行安全操作规程的学习；</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3.遵规守纪，严禁违章指挥、违章作业；</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4.加强现场文明施工，坚决贯彻“安全第一，预防为主”的方针，严格执行安全施工六大纪律等有关安全规章制度；</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5.在合同期内，供应商不得出现重大责任事故；</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6.现场管理做到无疏忽、无漏洞（超出可控范围应及时报告）；</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7.突发事件或异常情况处理应迅速做出判断及正确反应；</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8.拟派车辆不得乱停乱放、不得造成交通堵塞；</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9.每次出勤是否合格由现场施工领导签字验收；</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10.按照政府指定的建筑垃圾消纳处理厂，生活垃圾及其他危险废弃物必须按照规定专业回收；</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11.在实际工程进行中，发现协议中由管理漏洞的，可签订补充协议。</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五、具体工作服务时间</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以采购人指定的服务时间为准。由于拆违工作的特殊性，采购人将依据实际情况，随时调整服务时间。</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紧急拆除任务：如采购人提出紧急拆除任务，需要四小时内到达现场。</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六、验收标准 </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1.拆除后场光地净、地面平整、没有渣土和垃圾；</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2.采购人提出的其他全部要求。</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七、投标报价</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1.供应商综合考虑市场和政策等风险自主报价。</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本项目最高限价为：34446元，暂定工程量为1。本项目实行分项控制，供应商各分项投标单价均不得超过（不含等于）采购人给定的各分项全费用单价，投标人所报的全费用单价仅作为评审用，最终合同签订以成交供应商报价的各分项价格作为签约合同价。  </w:t>
      </w:r>
    </w:p>
    <w:p>
      <w:pPr>
        <w:pStyle w:val="83"/>
        <w:adjustRightInd w:val="0"/>
        <w:spacing w:line="360" w:lineRule="auto"/>
        <w:ind w:left="0" w:leftChars="0" w:firstLine="0" w:firstLineChars="0"/>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3.最终工程量以实际发生为准。</w:t>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r>
    </w:p>
    <w:p>
      <w:pPr>
        <w:rPr>
          <w:rFonts w:hint="eastAsia" w:ascii="宋体" w:hAnsi="宋体" w:cs="宋体"/>
          <w:color w:val="auto"/>
          <w:sz w:val="24"/>
          <w:szCs w:val="24"/>
          <w:highlight w:val="none"/>
          <w:lang w:val="en-US" w:eastAsia="zh-CN"/>
        </w:rPr>
        <w:sectPr>
          <w:headerReference r:id="rId10" w:type="default"/>
          <w:footerReference r:id="rId11" w:type="default"/>
          <w:pgSz w:w="11907" w:h="16840"/>
          <w:pgMar w:top="1418" w:right="1134" w:bottom="1418" w:left="1701" w:header="851" w:footer="851" w:gutter="0"/>
          <w:pgNumType w:fmt="decimal"/>
          <w:cols w:space="720" w:num="1"/>
          <w:docGrid w:linePitch="462" w:charSpace="0"/>
        </w:sectPr>
      </w:pPr>
    </w:p>
    <w:p>
      <w:pPr>
        <w:jc w:val="center"/>
        <w:rPr>
          <w:rFonts w:hint="eastAsia" w:ascii="宋体" w:hAnsi="宋体" w:cs="宋体"/>
          <w:color w:val="auto"/>
          <w:sz w:val="24"/>
          <w:szCs w:val="24"/>
          <w:highlight w:val="none"/>
          <w:lang w:val="en-US" w:eastAsia="zh-CN"/>
        </w:rPr>
      </w:pPr>
      <w:r>
        <w:rPr>
          <w:rFonts w:hint="eastAsia" w:ascii="宋体" w:hAnsi="宋体" w:cs="宋体"/>
          <w:color w:val="auto"/>
          <w:sz w:val="32"/>
          <w:szCs w:val="32"/>
          <w:highlight w:val="none"/>
          <w:lang w:val="en-US" w:eastAsia="zh-CN"/>
        </w:rPr>
        <w:t>2024年度仁和镇土地整治及拆除项目招标控制价明细表</w:t>
      </w:r>
    </w:p>
    <w:p>
      <w:pPr>
        <w:rPr>
          <w:rFonts w:hint="default" w:ascii="宋体" w:hAnsi="宋体" w:cs="宋体"/>
          <w:color w:val="auto"/>
          <w:sz w:val="24"/>
          <w:szCs w:val="24"/>
          <w:highlight w:val="none"/>
          <w:lang w:val="en-US" w:eastAsia="zh-CN"/>
        </w:rPr>
      </w:pPr>
    </w:p>
    <w:tbl>
      <w:tblPr>
        <w:tblStyle w:val="45"/>
        <w:tblW w:w="142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9"/>
        <w:gridCol w:w="1061"/>
        <w:gridCol w:w="5898"/>
        <w:gridCol w:w="1193"/>
        <w:gridCol w:w="1193"/>
        <w:gridCol w:w="1204"/>
        <w:gridCol w:w="1415"/>
        <w:gridCol w:w="11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名称</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清单内容</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工程量</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全费用单价（元）</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全费用合价（元）</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全房拆除</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1.全房整体拆除(砖混结构，框架结构);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2.包含屋内搬运零星杂物等；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3.包含室内地坪以上全部建筑物拆除(屋面、梁、板、柱、门窗、地面等)毗邻建筑物的保护，现场监管，拆下材料码放整齐，拆除后渣土清理平整、洒水、苦盖等；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4.包含基础拆除，回填后的平整；</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135.00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135.00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全房拆除</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1.全房整体拆除(钢结构);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2.包含屋内搬运零星杂物等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3.包含室内地坪以上全部建筑物拆除(屋面、梁、板、柱、门窗、地面等)毗邻建筑物的保护，现场监管，拆下材料码放整齐，拆除后渣土清理平整、洒水、苦盖等；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4.包含基础拆除，回填后的平整；</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110.00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110.00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简棚拆除</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1.彩钢、石棉瓦等无围护结构简棚拆除;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2.包含棚内搬运零星杂物等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3.包含棚内地坪以上全部建筑物拆除(顶棚、梁、板、柱、门窗、地面等)毗邻建筑物的保护，现场监管，拆下材料码放整齐，拆除后渣土清理平整、洒水、苦盖等；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4.包含基础拆除，回填后的平整；</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70.00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70.00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1.拆除无筋混凝土路面；</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2.风镐拆除；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3.拆除路面厚度：15cm以内;</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4.风镐拆除面层及基层；</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35.00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35.00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1.拆除无筋混凝土路面</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2.风镐拆除；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3.拆除路面厚度：15cm-25cm;</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4.风镐拆除面层及基层；</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60.00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1.拆除无筋混凝土路面</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2.风镐拆除；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3.拆除路面厚度：25cm以上综合考虑;</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4.风镐拆除面层及基层；</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80.00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80.00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1.机械拆除旧路结构；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2.拆除厚度：15cm以内;</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3.包含毗邻建筑物的保护，现场监管，拆除后渣土清理平整、洒水、苫盖等；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13.00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13.00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1.机械拆除旧路结构；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2.拆除厚度：15cm-25cm;</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30.00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1.机械拆除旧路结构；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2.拆除厚度：25cm以上综合考虑;</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45.00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45.00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拆除人行道</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1.拆除步道砖；</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2.人工拆除；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28.00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28.00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砖砌体拆除</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1.整砖墙拆除(包含围墙);</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2.包含毗邻建筑物的保护，现场监管，拆除后渣土清理平整、洒水、苫盖等；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70.00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70.00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渣土外运</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 包含装车运输；</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35.00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35.00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回填方</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1.包含回填、夯实；</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2.包含外购土；</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3.按照土地性质达到相应验收标准并验收合格。</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25.00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25.00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钢筋混凝土拆除</w:t>
            </w:r>
          </w:p>
        </w:tc>
        <w:tc>
          <w:tcPr>
            <w:tcW w:w="6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1.拆除零星钢筋混凝土构件(独立基础等 )</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2.包含毗邻建筑物的保护，现场监管，拆除后渣土清理平整、洒水、苫盖等；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4.包含渣土外运至正规消纳场所，不含消纳。</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100.00 </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058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拆除部分小计（元）</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836.00</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79" w:firstLineChars="0"/>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836.00</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bl>
    <w:p>
      <w:pPr>
        <w:pStyle w:val="83"/>
        <w:adjustRightInd w:val="0"/>
        <w:spacing w:line="360" w:lineRule="auto"/>
        <w:ind w:left="0" w:leftChars="0" w:firstLine="0" w:firstLineChars="0"/>
        <w:contextualSpacing/>
        <w:jc w:val="left"/>
        <w:rPr>
          <w:rFonts w:hint="eastAsia" w:ascii="宋体" w:hAnsi="宋体" w:eastAsia="宋体"/>
          <w:color w:val="auto"/>
          <w:sz w:val="24"/>
          <w:szCs w:val="24"/>
          <w:highlight w:val="none"/>
        </w:rPr>
      </w:pP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r>
    </w:p>
    <w:tbl>
      <w:tblPr>
        <w:tblStyle w:val="45"/>
        <w:tblW w:w="126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55"/>
        <w:gridCol w:w="2803"/>
        <w:gridCol w:w="1595"/>
        <w:gridCol w:w="1394"/>
        <w:gridCol w:w="1766"/>
        <w:gridCol w:w="1677"/>
        <w:gridCol w:w="19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工程量</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全费用单价（元）</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全费用合价（元）</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小工</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元/工日</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240.00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240.00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电焊工</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元/工日</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350.00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350.00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水暖工</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元/工日</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320.00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320.00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挖掘机(320型)</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3200.00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3200.00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挖掘机(240型)</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2500.00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2500.00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挖掘机(65型)</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1100.00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1100.00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挖掘机破碎(240</w:t>
            </w:r>
          </w:p>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型 )</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3000.00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3000.00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十轮自卸车</w:t>
            </w:r>
          </w:p>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(5.6m-5.8m)</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1500.00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1500.00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洒水车3t</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500.00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500.00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油、水等费用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洒水车10t</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800.00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800.00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油、水等费用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洒水车15t</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1200.00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1200.00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油、水等费用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装载机50型</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1600.00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1600.00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装载机30型</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1200.00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1200.00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推土机(16型)</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2700.00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2700.00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货车4.5米</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800.00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800.00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货车6.5米</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900.00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起重机80t</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5000.00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5000.00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起重机25t</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1500.00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1500.00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起重机8t</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900.00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拖车12米</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3000.00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3000.00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吸污车8t</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元/车</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600.00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油、污水处理等费用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吸污车10t</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元/车</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700.00 </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700.00 </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油、污水处理等费用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24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零星用工小计（元）</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33610.00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33610.00</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24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以上两项</w:t>
            </w:r>
            <w:r>
              <w:rPr>
                <w:rFonts w:hint="eastAsia" w:ascii="宋体" w:hAnsi="宋体" w:eastAsia="宋体" w:cs="宋体"/>
                <w:i w:val="0"/>
                <w:iCs w:val="0"/>
                <w:color w:val="auto"/>
                <w:sz w:val="24"/>
                <w:szCs w:val="24"/>
                <w:highlight w:val="none"/>
                <w:u w:val="none"/>
              </w:rPr>
              <w:t>合计（元）</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34446.00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34446.00</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bl>
    <w:p>
      <w:pPr>
        <w:bidi w:val="0"/>
        <w:rPr>
          <w:rFonts w:hint="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宋体" w:hAnsi="宋体" w:eastAsia="宋体" w:cs="宋体"/>
          <w:bCs/>
          <w:color w:val="auto"/>
          <w:highlight w:val="none"/>
        </w:rPr>
      </w:pPr>
      <w:r>
        <w:rPr>
          <w:rFonts w:hint="eastAsia"/>
          <w:color w:val="auto"/>
          <w:highlight w:val="none"/>
          <w:lang w:val="en-US" w:eastAsia="zh-CN"/>
        </w:rPr>
        <w:tab/>
      </w:r>
      <w:r>
        <w:rPr>
          <w:rFonts w:hint="eastAsia" w:ascii="宋体" w:hAnsi="宋体" w:eastAsia="宋体"/>
          <w:color w:val="auto"/>
          <w:sz w:val="21"/>
          <w:szCs w:val="21"/>
          <w:highlight w:val="none"/>
        </w:rPr>
        <w:t>备注：</w:t>
      </w:r>
      <w:r>
        <w:rPr>
          <w:rFonts w:hint="eastAsia" w:ascii="宋体" w:hAnsi="宋体" w:eastAsia="宋体" w:cs="宋体"/>
          <w:i w:val="0"/>
          <w:iCs w:val="0"/>
          <w:color w:val="auto"/>
          <w:sz w:val="21"/>
          <w:szCs w:val="21"/>
          <w:highlight w:val="none"/>
          <w:u w:val="none"/>
        </w:rPr>
        <w:t>拆除部分</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olor w:val="auto"/>
          <w:sz w:val="21"/>
          <w:szCs w:val="21"/>
          <w:highlight w:val="none"/>
        </w:rPr>
        <w:t>本工程单价为全费用单价(包含但不限于办理相关正规手续的费用、人工费、材料费、机械费、措施费、管理费、安全文明施工费（达标）、风险费、利润、规费及税金等);具体工程量以实际发生为准。如遇单独发生人工及机械台班或备勤时，执行零星用工。</w:t>
      </w:r>
    </w:p>
    <w:p>
      <w:pPr>
        <w:keepNext w:val="0"/>
        <w:keepLines w:val="0"/>
        <w:pageBreakBefore w:val="0"/>
        <w:widowControl w:val="0"/>
        <w:kinsoku/>
        <w:wordWrap/>
        <w:overflowPunct/>
        <w:topLinePunct w:val="0"/>
        <w:autoSpaceDE/>
        <w:autoSpaceDN/>
        <w:bidi w:val="0"/>
        <w:adjustRightInd/>
        <w:snapToGrid/>
        <w:ind w:firstLine="840" w:firstLineChars="400"/>
        <w:jc w:val="left"/>
        <w:textAlignment w:val="auto"/>
        <w:rPr>
          <w:rFonts w:hint="eastAsia" w:ascii="宋体" w:hAnsi="宋体" w:cs="宋体"/>
          <w:color w:val="auto"/>
          <w:highlight w:val="none"/>
          <w:lang w:eastAsia="zh-CN"/>
        </w:rPr>
      </w:pPr>
      <w:r>
        <w:rPr>
          <w:rFonts w:hint="eastAsia" w:ascii="宋体" w:hAnsi="宋体" w:cs="宋体"/>
          <w:color w:val="auto"/>
          <w:highlight w:val="none"/>
          <w:lang w:val="en-US" w:eastAsia="zh-CN"/>
        </w:rPr>
        <w:t>零星用工部分：</w:t>
      </w:r>
      <w:r>
        <w:rPr>
          <w:rFonts w:hint="eastAsia" w:ascii="宋体" w:hAnsi="宋体" w:eastAsia="宋体" w:cs="宋体"/>
          <w:color w:val="auto"/>
          <w:highlight w:val="none"/>
        </w:rPr>
        <w:t>以上零工及机械台班为除拆除工程及屋内搬运零星杂物以外单独发生时记取，价格为全费用单价(包含措施费、管理费、安全文明施工费(达标)、风险费、利润、规费及税金等),不再记取其它费用</w:t>
      </w:r>
      <w:r>
        <w:rPr>
          <w:rFonts w:hint="eastAsia" w:ascii="宋体" w:hAnsi="宋体" w:cs="宋体"/>
          <w:color w:val="auto"/>
          <w:highlight w:val="none"/>
          <w:lang w:eastAsia="zh-CN"/>
        </w:rPr>
        <w:t>。</w:t>
      </w:r>
    </w:p>
    <w:p>
      <w:pPr>
        <w:tabs>
          <w:tab w:val="left" w:pos="3209"/>
        </w:tabs>
        <w:bidi w:val="0"/>
        <w:jc w:val="left"/>
        <w:rPr>
          <w:rFonts w:hint="eastAsia"/>
          <w:color w:val="auto"/>
          <w:highlight w:val="none"/>
          <w:lang w:val="en-US" w:eastAsia="zh-CN"/>
        </w:rPr>
        <w:sectPr>
          <w:pgSz w:w="16840" w:h="11907" w:orient="landscape"/>
          <w:pgMar w:top="1701" w:right="1418" w:bottom="1134" w:left="1418" w:header="851" w:footer="851" w:gutter="0"/>
          <w:pgNumType w:fmt="decimal"/>
          <w:cols w:space="720" w:num="1"/>
          <w:docGrid w:linePitch="462" w:charSpace="0"/>
        </w:sectPr>
      </w:pPr>
    </w:p>
    <w:p>
      <w:pPr>
        <w:rPr>
          <w:rFonts w:hint="eastAsia" w:ascii="宋体" w:hAnsi="宋体" w:eastAsia="宋体" w:cs="宋体"/>
          <w:color w:val="auto"/>
          <w:highlight w:val="none"/>
        </w:rPr>
      </w:pPr>
    </w:p>
    <w:p>
      <w:pPr>
        <w:spacing w:line="360" w:lineRule="auto"/>
        <w:jc w:val="center"/>
        <w:outlineLvl w:val="0"/>
        <w:rPr>
          <w:rFonts w:hint="eastAsia" w:ascii="宋体" w:hAnsi="宋体" w:eastAsia="宋体" w:cs="宋体"/>
          <w:b/>
          <w:color w:val="auto"/>
          <w:sz w:val="36"/>
          <w:szCs w:val="36"/>
          <w:highlight w:val="none"/>
        </w:rPr>
      </w:pPr>
      <w:bookmarkStart w:id="674" w:name="_Toc11612"/>
      <w:r>
        <w:rPr>
          <w:rFonts w:hint="eastAsia" w:ascii="宋体" w:hAnsi="宋体" w:eastAsia="宋体" w:cs="宋体"/>
          <w:b/>
          <w:color w:val="auto"/>
          <w:sz w:val="36"/>
          <w:szCs w:val="36"/>
          <w:highlight w:val="none"/>
        </w:rPr>
        <w:t>第五章   合同草案条款</w:t>
      </w:r>
      <w:bookmarkEnd w:id="674"/>
    </w:p>
    <w:p>
      <w:pPr>
        <w:tabs>
          <w:tab w:val="left" w:pos="900"/>
          <w:tab w:val="left" w:pos="1080"/>
        </w:tabs>
        <w:snapToGrid w:val="0"/>
        <w:spacing w:line="360" w:lineRule="auto"/>
        <w:jc w:val="center"/>
        <w:rPr>
          <w:rFonts w:hint="eastAsia" w:ascii="宋体" w:hAnsi="宋体" w:eastAsia="宋体" w:cs="宋体"/>
          <w:b/>
          <w:bCs w:val="0"/>
          <w:color w:val="auto"/>
          <w:kern w:val="2"/>
          <w:sz w:val="21"/>
          <w:szCs w:val="21"/>
          <w:highlight w:val="none"/>
          <w:lang w:val="en-US" w:eastAsia="zh-CN" w:bidi="ar"/>
        </w:rPr>
        <w:sectPr>
          <w:pgSz w:w="11907" w:h="16840"/>
          <w:pgMar w:top="1418" w:right="1134" w:bottom="1418" w:left="1701" w:header="851" w:footer="851" w:gutter="0"/>
          <w:pgNumType w:fmt="decimal"/>
          <w:cols w:space="720" w:num="1"/>
          <w:docGrid w:linePitch="462" w:charSpace="0"/>
        </w:sectPr>
      </w:pPr>
      <w:r>
        <w:rPr>
          <w:rFonts w:hint="eastAsia" w:ascii="宋体" w:hAnsi="宋体" w:eastAsia="宋体" w:cs="宋体"/>
          <w:b/>
          <w:bCs w:val="0"/>
          <w:color w:val="auto"/>
          <w:kern w:val="2"/>
          <w:sz w:val="21"/>
          <w:szCs w:val="21"/>
          <w:highlight w:val="none"/>
          <w:lang w:val="en-US" w:eastAsia="zh-CN" w:bidi="ar"/>
        </w:rPr>
        <w:t>（本合同为参考模板，最终以双方实际签订版为准）</w:t>
      </w:r>
    </w:p>
    <w:p>
      <w:pPr>
        <w:pStyle w:val="43"/>
        <w:ind w:left="0" w:leftChars="0" w:firstLine="0" w:firstLineChars="0"/>
        <w:rPr>
          <w:rFonts w:hint="eastAsia" w:ascii="宋体" w:hAnsi="宋体" w:cs="宋体"/>
          <w:b/>
          <w:color w:val="auto"/>
          <w:sz w:val="28"/>
          <w:szCs w:val="28"/>
          <w:highlight w:val="none"/>
        </w:rPr>
      </w:pPr>
    </w:p>
    <w:p>
      <w:pPr>
        <w:pStyle w:val="43"/>
        <w:ind w:left="0" w:leftChars="0" w:firstLine="0" w:firstLineChars="0"/>
        <w:rPr>
          <w:rFonts w:hint="eastAsia" w:ascii="宋体" w:hAnsi="宋体" w:cs="宋体"/>
          <w:b/>
          <w:color w:val="auto"/>
          <w:sz w:val="28"/>
          <w:szCs w:val="28"/>
          <w:highlight w:val="none"/>
        </w:rPr>
      </w:pPr>
    </w:p>
    <w:p>
      <w:pPr>
        <w:pStyle w:val="43"/>
        <w:ind w:left="0" w:leftChars="0" w:firstLine="0" w:firstLineChars="0"/>
        <w:rPr>
          <w:rFonts w:hint="eastAsia" w:ascii="宋体" w:hAnsi="宋体" w:cs="宋体"/>
          <w:b/>
          <w:color w:val="auto"/>
          <w:sz w:val="28"/>
          <w:szCs w:val="28"/>
          <w:highlight w:val="none"/>
        </w:rPr>
      </w:pPr>
    </w:p>
    <w:p>
      <w:pPr>
        <w:pStyle w:val="43"/>
        <w:keepNext w:val="0"/>
        <w:keepLines w:val="0"/>
        <w:pageBreakBefore w:val="0"/>
        <w:widowControl w:val="0"/>
        <w:kinsoku/>
        <w:wordWrap/>
        <w:overflowPunct/>
        <w:topLinePunct w:val="0"/>
        <w:autoSpaceDE/>
        <w:autoSpaceDN/>
        <w:bidi w:val="0"/>
        <w:adjustRightInd/>
        <w:snapToGrid/>
        <w:spacing w:after="240"/>
        <w:ind w:left="0" w:leftChars="0" w:firstLine="0" w:firstLineChars="0"/>
        <w:jc w:val="center"/>
        <w:textAlignment w:val="auto"/>
        <w:rPr>
          <w:rFonts w:ascii="宋体" w:hAnsi="宋体" w:cs="宋体"/>
          <w:b/>
          <w:color w:val="auto"/>
          <w:sz w:val="40"/>
          <w:szCs w:val="36"/>
          <w:highlight w:val="none"/>
        </w:rPr>
      </w:pPr>
      <w:r>
        <w:rPr>
          <w:rFonts w:hint="eastAsia" w:ascii="宋体" w:hAnsi="宋体" w:cs="宋体"/>
          <w:b/>
          <w:color w:val="auto"/>
          <w:sz w:val="40"/>
          <w:szCs w:val="36"/>
          <w:highlight w:val="none"/>
        </w:rPr>
        <w:t>2024年度仁和镇土地整治及拆除项目</w:t>
      </w:r>
    </w:p>
    <w:p>
      <w:pPr>
        <w:spacing w:line="480" w:lineRule="auto"/>
        <w:jc w:val="center"/>
        <w:rPr>
          <w:rFonts w:ascii="宋体" w:hAnsi="宋体" w:cs="宋体"/>
          <w:b/>
          <w:color w:val="auto"/>
          <w:sz w:val="48"/>
          <w:szCs w:val="48"/>
          <w:highlight w:val="none"/>
        </w:rPr>
      </w:pPr>
      <w:r>
        <w:rPr>
          <w:rFonts w:hint="eastAsia" w:ascii="宋体" w:hAnsi="宋体" w:cs="宋体"/>
          <w:b/>
          <w:color w:val="auto"/>
          <w:sz w:val="48"/>
          <w:szCs w:val="48"/>
          <w:highlight w:val="none"/>
        </w:rPr>
        <w:t>委托服务合同书</w:t>
      </w:r>
    </w:p>
    <w:p>
      <w:pPr>
        <w:spacing w:line="360" w:lineRule="auto"/>
        <w:rPr>
          <w:rFonts w:ascii="宋体" w:hAnsi="宋体" w:cs="宋体"/>
          <w:color w:val="auto"/>
          <w:sz w:val="28"/>
          <w:szCs w:val="28"/>
          <w:highlight w:val="none"/>
        </w:rPr>
      </w:pPr>
    </w:p>
    <w:p>
      <w:pPr>
        <w:spacing w:line="360" w:lineRule="auto"/>
        <w:rPr>
          <w:rFonts w:ascii="宋体" w:hAnsi="宋体"/>
          <w:color w:val="auto"/>
          <w:sz w:val="28"/>
          <w:szCs w:val="28"/>
          <w:highlight w:val="none"/>
        </w:rPr>
      </w:pPr>
    </w:p>
    <w:p>
      <w:pPr>
        <w:spacing w:before="360" w:line="620" w:lineRule="atLeast"/>
        <w:ind w:firstLine="422" w:firstLineChars="150"/>
        <w:rPr>
          <w:rFonts w:ascii="宋体" w:hAnsi="宋体"/>
          <w:b/>
          <w:color w:val="auto"/>
          <w:sz w:val="28"/>
          <w:szCs w:val="28"/>
          <w:highlight w:val="none"/>
        </w:rPr>
      </w:pPr>
    </w:p>
    <w:p>
      <w:pPr>
        <w:spacing w:before="360" w:line="620" w:lineRule="atLeast"/>
        <w:ind w:firstLine="843" w:firstLineChars="300"/>
        <w:rPr>
          <w:rFonts w:ascii="宋体" w:hAnsi="宋体"/>
          <w:b/>
          <w:bCs w:val="0"/>
          <w:color w:val="auto"/>
          <w:sz w:val="28"/>
          <w:szCs w:val="28"/>
          <w:highlight w:val="none"/>
          <w:u w:val="none"/>
        </w:rPr>
      </w:pPr>
      <w:r>
        <w:rPr>
          <w:rFonts w:hint="eastAsia" w:ascii="宋体" w:hAnsi="宋体"/>
          <w:b/>
          <w:color w:val="auto"/>
          <w:sz w:val="28"/>
          <w:szCs w:val="28"/>
          <w:highlight w:val="none"/>
        </w:rPr>
        <w:t>项目名称</w:t>
      </w:r>
      <w:r>
        <w:rPr>
          <w:rFonts w:hint="eastAsia" w:ascii="宋体" w:hAnsi="宋体"/>
          <w:b/>
          <w:bCs w:val="0"/>
          <w:color w:val="auto"/>
          <w:sz w:val="28"/>
          <w:szCs w:val="28"/>
          <w:highlight w:val="none"/>
          <w:u w:val="none"/>
        </w:rPr>
        <w:t>：</w:t>
      </w:r>
      <w:r>
        <w:rPr>
          <w:rFonts w:hint="eastAsia" w:ascii="宋体" w:hAnsi="宋体" w:eastAsia="宋体" w:cs="宋体"/>
          <w:b/>
          <w:bCs w:val="0"/>
          <w:color w:val="auto"/>
          <w:kern w:val="2"/>
          <w:sz w:val="28"/>
          <w:szCs w:val="28"/>
          <w:highlight w:val="none"/>
          <w:u w:val="none"/>
          <w:lang w:val="en-US" w:eastAsia="zh-CN" w:bidi="ar"/>
        </w:rPr>
        <w:t>2024年度仁和镇土地整治及拆除项目</w:t>
      </w:r>
    </w:p>
    <w:p>
      <w:pPr>
        <w:spacing w:before="360" w:line="620" w:lineRule="atLeast"/>
        <w:ind w:firstLine="843" w:firstLineChars="300"/>
        <w:rPr>
          <w:rFonts w:ascii="宋体" w:hAnsi="宋体"/>
          <w:b/>
          <w:color w:val="auto"/>
          <w:sz w:val="28"/>
          <w:szCs w:val="28"/>
          <w:highlight w:val="none"/>
        </w:rPr>
      </w:pPr>
      <w:r>
        <w:rPr>
          <w:rFonts w:hint="eastAsia" w:ascii="宋体" w:hAnsi="宋体"/>
          <w:b/>
          <w:color w:val="auto"/>
          <w:sz w:val="28"/>
          <w:szCs w:val="28"/>
          <w:highlight w:val="none"/>
        </w:rPr>
        <w:t>委托人（甲方）：</w:t>
      </w:r>
      <w:r>
        <w:rPr>
          <w:rFonts w:hint="eastAsia" w:ascii="宋体" w:hAnsi="宋体"/>
          <w:b/>
          <w:bCs w:val="0"/>
          <w:color w:val="auto"/>
          <w:sz w:val="28"/>
          <w:szCs w:val="28"/>
          <w:highlight w:val="none"/>
        </w:rPr>
        <w:t>北京市顺义区仁和镇人民政府</w:t>
      </w:r>
    </w:p>
    <w:p>
      <w:pPr>
        <w:spacing w:before="360" w:line="620" w:lineRule="atLeast"/>
        <w:ind w:firstLine="843" w:firstLineChars="300"/>
        <w:rPr>
          <w:rFonts w:ascii="宋体" w:hAnsi="宋体"/>
          <w:b/>
          <w:color w:val="auto"/>
          <w:sz w:val="28"/>
          <w:szCs w:val="28"/>
          <w:highlight w:val="none"/>
        </w:rPr>
      </w:pPr>
      <w:r>
        <w:rPr>
          <w:rFonts w:hint="eastAsia" w:ascii="宋体" w:hAnsi="宋体"/>
          <w:b/>
          <w:color w:val="auto"/>
          <w:sz w:val="28"/>
          <w:szCs w:val="28"/>
          <w:highlight w:val="none"/>
        </w:rPr>
        <w:t>受托人（乙方）：</w:t>
      </w:r>
    </w:p>
    <w:p>
      <w:pPr>
        <w:spacing w:before="360" w:line="620" w:lineRule="atLeast"/>
        <w:ind w:firstLine="984" w:firstLineChars="350"/>
        <w:rPr>
          <w:rFonts w:ascii="宋体" w:hAnsi="宋体"/>
          <w:b/>
          <w:color w:val="auto"/>
          <w:sz w:val="28"/>
          <w:szCs w:val="28"/>
          <w:highlight w:val="none"/>
        </w:rPr>
      </w:pPr>
    </w:p>
    <w:p>
      <w:pPr>
        <w:spacing w:before="360" w:line="620" w:lineRule="atLeast"/>
        <w:ind w:firstLine="984" w:firstLineChars="350"/>
        <w:rPr>
          <w:rFonts w:ascii="宋体" w:hAnsi="宋体"/>
          <w:b/>
          <w:color w:val="auto"/>
          <w:sz w:val="28"/>
          <w:szCs w:val="28"/>
          <w:highlight w:val="none"/>
        </w:rPr>
      </w:pPr>
    </w:p>
    <w:p>
      <w:pPr>
        <w:spacing w:before="360" w:line="620" w:lineRule="atLeast"/>
        <w:ind w:firstLine="984" w:firstLineChars="350"/>
        <w:rPr>
          <w:rFonts w:ascii="宋体" w:hAnsi="宋体"/>
          <w:b/>
          <w:color w:val="auto"/>
          <w:sz w:val="28"/>
          <w:szCs w:val="28"/>
          <w:highlight w:val="none"/>
        </w:rPr>
      </w:pPr>
      <w:r>
        <w:rPr>
          <w:rFonts w:hint="eastAsia" w:ascii="宋体" w:hAnsi="宋体"/>
          <w:b/>
          <w:color w:val="auto"/>
          <w:sz w:val="28"/>
          <w:szCs w:val="28"/>
          <w:highlight w:val="none"/>
        </w:rPr>
        <w:t xml:space="preserve">签订地点： </w:t>
      </w:r>
      <w:r>
        <w:rPr>
          <w:rFonts w:hint="eastAsia" w:ascii="宋体" w:hAnsi="宋体"/>
          <w:b/>
          <w:bCs w:val="0"/>
          <w:color w:val="auto"/>
          <w:sz w:val="28"/>
          <w:szCs w:val="28"/>
          <w:highlight w:val="none"/>
        </w:rPr>
        <w:t>北京市顺义区仁和镇人民政府</w:t>
      </w:r>
    </w:p>
    <w:p>
      <w:pPr>
        <w:spacing w:before="360" w:line="620" w:lineRule="atLeast"/>
        <w:ind w:firstLine="984" w:firstLineChars="350"/>
        <w:rPr>
          <w:rFonts w:ascii="宋体" w:hAnsi="宋体"/>
          <w:b/>
          <w:color w:val="auto"/>
          <w:sz w:val="28"/>
          <w:szCs w:val="28"/>
          <w:highlight w:val="none"/>
        </w:rPr>
      </w:pPr>
      <w:r>
        <w:rPr>
          <w:rFonts w:hint="eastAsia" w:ascii="宋体" w:hAnsi="宋体"/>
          <w:b/>
          <w:color w:val="auto"/>
          <w:sz w:val="28"/>
          <w:szCs w:val="28"/>
          <w:highlight w:val="none"/>
        </w:rPr>
        <w:t xml:space="preserve">签订日期： </w:t>
      </w:r>
      <w:r>
        <w:rPr>
          <w:rFonts w:hint="eastAsia" w:ascii="宋体" w:hAnsi="宋体"/>
          <w:b/>
          <w:color w:val="auto"/>
          <w:sz w:val="28"/>
          <w:szCs w:val="28"/>
          <w:highlight w:val="none"/>
          <w:lang w:val="en-US" w:eastAsia="zh-CN"/>
        </w:rPr>
        <w:t xml:space="preserve">   </w:t>
      </w:r>
      <w:r>
        <w:rPr>
          <w:rFonts w:hint="eastAsia" w:ascii="宋体" w:hAnsi="宋体"/>
          <w:b/>
          <w:color w:val="auto"/>
          <w:sz w:val="28"/>
          <w:szCs w:val="28"/>
          <w:highlight w:val="none"/>
        </w:rPr>
        <w:t xml:space="preserve">  年   月   日</w:t>
      </w:r>
    </w:p>
    <w:p>
      <w:pPr>
        <w:spacing w:line="360" w:lineRule="auto"/>
        <w:rPr>
          <w:rFonts w:ascii="宋体" w:hAnsi="宋体"/>
          <w:color w:val="auto"/>
          <w:sz w:val="28"/>
          <w:szCs w:val="28"/>
          <w:highlight w:val="none"/>
        </w:rPr>
      </w:pPr>
    </w:p>
    <w:p>
      <w:pPr>
        <w:spacing w:line="360" w:lineRule="auto"/>
        <w:jc w:val="center"/>
        <w:rPr>
          <w:b/>
          <w:color w:val="auto"/>
          <w:sz w:val="32"/>
          <w:szCs w:val="32"/>
          <w:highlight w:val="none"/>
        </w:rPr>
      </w:pPr>
      <w:r>
        <w:rPr>
          <w:rFonts w:ascii="宋体" w:hAnsi="宋体"/>
          <w:b/>
          <w:bCs/>
          <w:color w:val="auto"/>
          <w:sz w:val="32"/>
          <w:szCs w:val="32"/>
          <w:highlight w:val="none"/>
        </w:rPr>
        <w:br w:type="page"/>
      </w:r>
      <w:r>
        <w:rPr>
          <w:rFonts w:hint="eastAsia"/>
          <w:b/>
          <w:color w:val="auto"/>
          <w:sz w:val="32"/>
          <w:szCs w:val="32"/>
          <w:highlight w:val="none"/>
        </w:rPr>
        <w:t>委托拆除合同</w:t>
      </w:r>
    </w:p>
    <w:p>
      <w:pPr>
        <w:ind w:firstLine="3132" w:firstLineChars="1300"/>
        <w:rPr>
          <w:b/>
          <w:color w:val="auto"/>
          <w:sz w:val="24"/>
          <w:highlight w:val="none"/>
        </w:rPr>
      </w:pPr>
    </w:p>
    <w:p>
      <w:pPr>
        <w:spacing w:line="360" w:lineRule="auto"/>
        <w:ind w:left="-899" w:leftChars="-428" w:firstLine="1323" w:firstLineChars="630"/>
        <w:jc w:val="left"/>
        <w:rPr>
          <w:rFonts w:ascii="宋体" w:hAnsi="宋体"/>
          <w:color w:val="auto"/>
          <w:szCs w:val="21"/>
          <w:highlight w:val="none"/>
        </w:rPr>
      </w:pPr>
      <w:r>
        <w:rPr>
          <w:rFonts w:hint="eastAsia" w:ascii="宋体" w:hAnsi="宋体"/>
          <w:color w:val="auto"/>
          <w:szCs w:val="21"/>
          <w:highlight w:val="none"/>
        </w:rPr>
        <w:t>甲方： 北京市顺义区仁和镇人民政府（以下简称“甲方”）</w:t>
      </w:r>
    </w:p>
    <w:p>
      <w:pPr>
        <w:spacing w:line="360" w:lineRule="auto"/>
        <w:ind w:left="-899" w:leftChars="-428" w:firstLine="1323" w:firstLineChars="630"/>
        <w:jc w:val="left"/>
        <w:rPr>
          <w:rFonts w:ascii="宋体" w:hAnsi="宋体"/>
          <w:color w:val="auto"/>
          <w:szCs w:val="21"/>
          <w:highlight w:val="none"/>
        </w:rPr>
      </w:pPr>
      <w:r>
        <w:rPr>
          <w:rFonts w:hint="eastAsia" w:ascii="宋体" w:hAnsi="宋体"/>
          <w:color w:val="auto"/>
          <w:szCs w:val="21"/>
          <w:highlight w:val="none"/>
        </w:rPr>
        <w:t xml:space="preserve">乙方： </w:t>
      </w:r>
      <w:r>
        <w:rPr>
          <w:rFonts w:hint="eastAsia" w:ascii="宋体" w:hAnsi="宋体"/>
          <w:color w:val="auto"/>
          <w:szCs w:val="21"/>
          <w:highlight w:val="none"/>
          <w:lang w:val="en-US" w:eastAsia="zh-CN"/>
        </w:rPr>
        <w:t xml:space="preserve">                        </w:t>
      </w:r>
      <w:r>
        <w:rPr>
          <w:rFonts w:hint="eastAsia" w:ascii="宋体" w:hAnsi="宋体" w:cs="宋体"/>
          <w:b w:val="0"/>
          <w:bCs w:val="0"/>
          <w:color w:val="auto"/>
          <w:sz w:val="21"/>
          <w:szCs w:val="21"/>
          <w:highlight w:val="none"/>
          <w:u w:val="none"/>
          <w:lang w:val="en-US" w:eastAsia="zh-CN"/>
        </w:rPr>
        <w:t xml:space="preserve">  </w:t>
      </w:r>
      <w:r>
        <w:rPr>
          <w:rFonts w:hint="eastAsia" w:ascii="宋体" w:hAnsi="宋体"/>
          <w:color w:val="auto"/>
          <w:szCs w:val="21"/>
          <w:highlight w:val="none"/>
        </w:rPr>
        <w:t>（以下简称“</w:t>
      </w:r>
      <w:r>
        <w:rPr>
          <w:rFonts w:hint="eastAsia" w:ascii="宋体" w:hAnsi="宋体"/>
          <w:color w:val="auto"/>
          <w:szCs w:val="21"/>
          <w:highlight w:val="none"/>
          <w:lang w:val="en-US" w:eastAsia="zh-CN"/>
        </w:rPr>
        <w:t>乙</w:t>
      </w:r>
      <w:r>
        <w:rPr>
          <w:rFonts w:hint="eastAsia" w:ascii="宋体" w:hAnsi="宋体"/>
          <w:color w:val="auto"/>
          <w:szCs w:val="21"/>
          <w:highlight w:val="none"/>
        </w:rPr>
        <w:t>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甲乙双方依照《中华人民共和国民法典》、《中华人民共和国建筑法》及其他有关规定，为了明确合同各方的权利、义务和责任，维护合同双方的合法权益，保证工程正常顺利进行，双方本着平等互利的原则达成如下协议：</w:t>
      </w:r>
    </w:p>
    <w:p>
      <w:pPr>
        <w:spacing w:line="360" w:lineRule="auto"/>
        <w:jc w:val="left"/>
        <w:rPr>
          <w:rFonts w:ascii="宋体" w:hAnsi="宋体"/>
          <w:b/>
          <w:color w:val="auto"/>
          <w:szCs w:val="21"/>
          <w:highlight w:val="none"/>
        </w:rPr>
      </w:pPr>
      <w:r>
        <w:rPr>
          <w:rFonts w:hint="eastAsia" w:ascii="宋体" w:hAnsi="宋体"/>
          <w:b/>
          <w:color w:val="auto"/>
          <w:szCs w:val="21"/>
          <w:highlight w:val="none"/>
        </w:rPr>
        <w:t>一、委托拆除项目名称及范围：</w:t>
      </w:r>
    </w:p>
    <w:p>
      <w:pPr>
        <w:keepNext w:val="0"/>
        <w:keepLines w:val="0"/>
        <w:widowControl w:val="0"/>
        <w:suppressLineNumbers w:val="0"/>
        <w:tabs>
          <w:tab w:val="left" w:pos="1800"/>
          <w:tab w:val="left" w:pos="5580"/>
        </w:tabs>
        <w:spacing w:before="0" w:beforeAutospacing="0" w:after="0" w:afterAutospacing="0" w:line="360" w:lineRule="auto"/>
        <w:ind w:left="0" w:right="0" w:firstLine="210" w:firstLineChars="100"/>
        <w:jc w:val="left"/>
        <w:rPr>
          <w:rFonts w:hint="default" w:ascii="宋体" w:hAnsi="宋体"/>
          <w:color w:val="auto"/>
          <w:szCs w:val="21"/>
          <w:highlight w:val="none"/>
          <w:u w:val="single"/>
          <w:lang w:val="en-US"/>
        </w:rPr>
      </w:pPr>
      <w:r>
        <w:rPr>
          <w:rFonts w:hint="eastAsia" w:ascii="宋体" w:hAnsi="宋体"/>
          <w:color w:val="auto"/>
          <w:szCs w:val="21"/>
          <w:highlight w:val="none"/>
        </w:rPr>
        <w:t>名称及标包：</w:t>
      </w:r>
      <w:r>
        <w:rPr>
          <w:rFonts w:hint="eastAsia" w:ascii="宋体" w:hAnsi="宋体"/>
          <w:color w:val="auto"/>
          <w:szCs w:val="21"/>
          <w:highlight w:val="none"/>
          <w:u w:val="single"/>
        </w:rPr>
        <w:t xml:space="preserve"> </w:t>
      </w:r>
      <w:r>
        <w:rPr>
          <w:rFonts w:hint="eastAsia" w:ascii="宋体" w:hAnsi="宋体" w:eastAsia="宋体" w:cs="宋体"/>
          <w:color w:val="auto"/>
          <w:kern w:val="2"/>
          <w:sz w:val="21"/>
          <w:szCs w:val="21"/>
          <w:highlight w:val="none"/>
          <w:u w:val="single"/>
          <w:lang w:val="en-US" w:eastAsia="zh-CN" w:bidi="ar"/>
        </w:rPr>
        <w:t>2024年度仁和镇土地整治及拆除项目</w:t>
      </w:r>
      <w:r>
        <w:rPr>
          <w:rFonts w:hint="eastAsia" w:ascii="宋体" w:hAnsi="宋体" w:cs="宋体"/>
          <w:color w:val="auto"/>
          <w:kern w:val="2"/>
          <w:sz w:val="21"/>
          <w:szCs w:val="21"/>
          <w:highlight w:val="none"/>
          <w:u w:val="single"/>
          <w:lang w:val="en-US" w:eastAsia="zh-CN" w:bidi="ar"/>
        </w:rPr>
        <w:t xml:space="preserve">        </w:t>
      </w:r>
    </w:p>
    <w:p>
      <w:pPr>
        <w:spacing w:line="360" w:lineRule="auto"/>
        <w:ind w:firstLine="210" w:firstLineChars="100"/>
        <w:jc w:val="left"/>
        <w:rPr>
          <w:rFonts w:ascii="宋体" w:hAnsi="宋体"/>
          <w:color w:val="auto"/>
          <w:szCs w:val="21"/>
          <w:highlight w:val="none"/>
        </w:rPr>
      </w:pPr>
      <w:r>
        <w:rPr>
          <w:rFonts w:hint="eastAsia" w:ascii="宋体" w:hAnsi="宋体"/>
          <w:color w:val="auto"/>
          <w:szCs w:val="21"/>
          <w:highlight w:val="none"/>
        </w:rPr>
        <w:t>范</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围：</w:t>
      </w:r>
      <w:r>
        <w:rPr>
          <w:rFonts w:hint="eastAsia" w:ascii="宋体" w:hAnsi="宋体"/>
          <w:color w:val="auto"/>
          <w:szCs w:val="21"/>
          <w:highlight w:val="none"/>
          <w:u w:val="single"/>
        </w:rPr>
        <w:t xml:space="preserve"> </w:t>
      </w:r>
      <w:r>
        <w:rPr>
          <w:rFonts w:hint="eastAsia" w:ascii="宋体" w:hAnsi="宋体" w:cs="宋体"/>
          <w:color w:val="auto"/>
          <w:sz w:val="21"/>
          <w:szCs w:val="21"/>
          <w:highlight w:val="none"/>
          <w:u w:val="single"/>
          <w:lang w:val="en-US" w:eastAsia="zh-CN"/>
        </w:rPr>
        <w:t>顺义区仁和镇镇域范围内土地整治、违法用地违法建设拆除等</w:t>
      </w:r>
      <w:r>
        <w:rPr>
          <w:rFonts w:hint="eastAsia" w:ascii="宋体" w:hAnsi="宋体"/>
          <w:color w:val="auto"/>
          <w:szCs w:val="21"/>
          <w:highlight w:val="none"/>
          <w:u w:val="single"/>
        </w:rPr>
        <w:t xml:space="preserve"> </w:t>
      </w:r>
    </w:p>
    <w:p>
      <w:pPr>
        <w:spacing w:line="360" w:lineRule="auto"/>
        <w:jc w:val="left"/>
        <w:rPr>
          <w:rFonts w:ascii="宋体" w:hAnsi="宋体"/>
          <w:b/>
          <w:color w:val="auto"/>
          <w:szCs w:val="21"/>
          <w:highlight w:val="none"/>
        </w:rPr>
      </w:pPr>
      <w:r>
        <w:rPr>
          <w:rFonts w:hint="eastAsia" w:ascii="宋体" w:hAnsi="宋体"/>
          <w:b/>
          <w:color w:val="auto"/>
          <w:szCs w:val="21"/>
          <w:highlight w:val="none"/>
        </w:rPr>
        <w:t>二、工期及验收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1．自甲乙方双方共同确定的开工日起至该工程全部拆除完毕及全部建筑垃圾</w:t>
      </w:r>
      <w:r>
        <w:rPr>
          <w:rFonts w:hint="eastAsia" w:ascii="宋体" w:hAnsi="宋体" w:cs="宋体"/>
          <w:color w:val="auto"/>
          <w:sz w:val="21"/>
          <w:szCs w:val="21"/>
          <w:highlight w:val="none"/>
          <w:lang w:val="en-US" w:eastAsia="zh-CN"/>
        </w:rPr>
        <w:t>外</w:t>
      </w:r>
      <w:r>
        <w:rPr>
          <w:rFonts w:hint="eastAsia" w:ascii="宋体" w:hAnsi="宋体" w:eastAsia="宋体" w:cs="宋体"/>
          <w:color w:val="auto"/>
          <w:sz w:val="21"/>
          <w:szCs w:val="21"/>
          <w:highlight w:val="none"/>
        </w:rPr>
        <w:t>运</w:t>
      </w:r>
      <w:r>
        <w:rPr>
          <w:rFonts w:hint="eastAsia" w:ascii="宋体" w:hAnsi="宋体" w:cs="宋体"/>
          <w:color w:val="auto"/>
          <w:sz w:val="21"/>
          <w:szCs w:val="21"/>
          <w:highlight w:val="none"/>
          <w:lang w:val="en-US" w:eastAsia="zh-CN"/>
        </w:rPr>
        <w:t>至正规</w:t>
      </w:r>
      <w:r>
        <w:rPr>
          <w:rFonts w:hint="eastAsia" w:ascii="宋体" w:hAnsi="宋体" w:eastAsia="宋体" w:cs="宋体"/>
          <w:color w:val="auto"/>
          <w:sz w:val="21"/>
          <w:szCs w:val="21"/>
          <w:highlight w:val="none"/>
        </w:rPr>
        <w:t>消纳</w:t>
      </w:r>
      <w:r>
        <w:rPr>
          <w:rFonts w:hint="eastAsia" w:ascii="宋体" w:hAnsi="宋体" w:cs="宋体"/>
          <w:color w:val="auto"/>
          <w:sz w:val="21"/>
          <w:szCs w:val="21"/>
          <w:highlight w:val="none"/>
          <w:lang w:val="en-US" w:eastAsia="zh-CN"/>
        </w:rPr>
        <w:t>场所</w:t>
      </w:r>
      <w:r>
        <w:rPr>
          <w:rFonts w:hint="eastAsia" w:ascii="宋体" w:hAnsi="宋体" w:eastAsia="宋体" w:cs="宋体"/>
          <w:color w:val="auto"/>
          <w:sz w:val="21"/>
          <w:szCs w:val="21"/>
          <w:highlight w:val="none"/>
        </w:rPr>
        <w:t>之日止</w:t>
      </w:r>
      <w:r>
        <w:rPr>
          <w:rFonts w:hint="eastAsia" w:ascii="宋体" w:hAnsi="宋体"/>
          <w:color w:val="auto"/>
          <w:szCs w:val="21"/>
          <w:highlight w:val="none"/>
        </w:rPr>
        <w:t>，工期总日历天数</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365</w:t>
      </w:r>
      <w:r>
        <w:rPr>
          <w:rFonts w:ascii="宋体" w:hAnsi="宋体"/>
          <w:color w:val="auto"/>
          <w:szCs w:val="21"/>
          <w:highlight w:val="none"/>
          <w:u w:val="single"/>
        </w:rPr>
        <w:t xml:space="preserve">  </w:t>
      </w:r>
      <w:r>
        <w:rPr>
          <w:rFonts w:hint="eastAsia" w:ascii="宋体" w:hAnsi="宋体"/>
          <w:color w:val="auto"/>
          <w:szCs w:val="21"/>
          <w:highlight w:val="none"/>
        </w:rPr>
        <w:t>天，自监理人发出的开工通知中载明的开工日期起算。</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计划开工日期：</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2024</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日</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计划竣工日期：</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2025</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日</w:t>
      </w:r>
    </w:p>
    <w:p>
      <w:pPr>
        <w:spacing w:line="360" w:lineRule="auto"/>
        <w:ind w:firstLine="426"/>
        <w:rPr>
          <w:rFonts w:ascii="宋体" w:hAnsi="宋体"/>
          <w:color w:val="auto"/>
          <w:szCs w:val="21"/>
          <w:highlight w:val="none"/>
        </w:rPr>
      </w:pPr>
      <w:r>
        <w:rPr>
          <w:rFonts w:hint="eastAsia" w:ascii="宋体" w:hAnsi="宋体"/>
          <w:color w:val="auto"/>
          <w:szCs w:val="21"/>
          <w:highlight w:val="none"/>
        </w:rPr>
        <w:t>2．以本合同书和甲方做出的书面交底为准。在乙方撤场后3日内，验收并出具书面验收报告。</w:t>
      </w:r>
    </w:p>
    <w:p>
      <w:pPr>
        <w:spacing w:line="360" w:lineRule="auto"/>
        <w:jc w:val="left"/>
        <w:rPr>
          <w:rFonts w:ascii="宋体" w:hAnsi="宋体"/>
          <w:b/>
          <w:color w:val="auto"/>
          <w:szCs w:val="21"/>
          <w:highlight w:val="none"/>
        </w:rPr>
      </w:pPr>
      <w:r>
        <w:rPr>
          <w:rFonts w:hint="eastAsia" w:ascii="宋体" w:hAnsi="宋体"/>
          <w:b/>
          <w:color w:val="auto"/>
          <w:szCs w:val="21"/>
          <w:highlight w:val="none"/>
        </w:rPr>
        <w:t>三、工程款总价及付款方式（结算费用中包含建筑垃圾清运费用，但不包括消纳费用）</w:t>
      </w:r>
    </w:p>
    <w:p>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本合同为固定单价合同，工程量以实际发生为准。</w:t>
      </w:r>
    </w:p>
    <w:p>
      <w:pPr>
        <w:spacing w:line="360" w:lineRule="auto"/>
        <w:ind w:firstLine="420" w:firstLineChars="200"/>
        <w:jc w:val="left"/>
        <w:rPr>
          <w:rFonts w:hint="eastAsia" w:ascii="宋体" w:hAnsi="宋体"/>
          <w:color w:val="auto"/>
          <w:szCs w:val="21"/>
          <w:highlight w:val="none"/>
        </w:rPr>
        <w:sectPr>
          <w:headerReference r:id="rId14" w:type="first"/>
          <w:footerReference r:id="rId17" w:type="first"/>
          <w:headerReference r:id="rId12" w:type="default"/>
          <w:footerReference r:id="rId15" w:type="default"/>
          <w:headerReference r:id="rId13" w:type="even"/>
          <w:footerReference r:id="rId16" w:type="even"/>
          <w:pgSz w:w="11907" w:h="16840"/>
          <w:pgMar w:top="1417" w:right="1134" w:bottom="1361" w:left="1701" w:header="851" w:footer="851" w:gutter="0"/>
          <w:pgBorders>
            <w:top w:val="none" w:sz="0" w:space="0"/>
            <w:left w:val="none" w:sz="0" w:space="0"/>
            <w:bottom w:val="none" w:sz="0" w:space="0"/>
            <w:right w:val="none" w:sz="0" w:space="0"/>
          </w:pgBorders>
          <w:cols w:space="720" w:num="1"/>
          <w:docGrid w:linePitch="462" w:charSpace="0"/>
        </w:sectPr>
      </w:pPr>
      <w:r>
        <w:rPr>
          <w:rFonts w:hint="eastAsia" w:ascii="宋体" w:hAnsi="宋体"/>
          <w:color w:val="auto"/>
          <w:szCs w:val="21"/>
          <w:highlight w:val="none"/>
        </w:rPr>
        <w:t>中标分项价格（详见分项报价表）：</w:t>
      </w:r>
    </w:p>
    <w:p>
      <w:pPr>
        <w:pStyle w:val="29"/>
        <w:rPr>
          <w:rFonts w:hint="eastAsia"/>
          <w:color w:val="auto"/>
          <w:highlight w:val="none"/>
        </w:rPr>
      </w:pPr>
    </w:p>
    <w:p>
      <w:pPr>
        <w:spacing w:line="360" w:lineRule="auto"/>
        <w:ind w:firstLine="6114" w:firstLineChars="2900"/>
        <w:jc w:val="both"/>
        <w:rPr>
          <w:rFonts w:hint="eastAsia" w:ascii="宋体" w:hAnsi="宋体" w:eastAsia="宋体" w:cs="宋体"/>
          <w:b/>
          <w:bCs w:val="0"/>
          <w:color w:val="auto"/>
          <w:kern w:val="2"/>
          <w:sz w:val="21"/>
          <w:szCs w:val="21"/>
          <w:highlight w:val="none"/>
          <w:lang w:val="en-US" w:eastAsia="zh-CN" w:bidi="ar"/>
        </w:rPr>
      </w:pPr>
      <w:r>
        <w:rPr>
          <w:rFonts w:hint="eastAsia" w:ascii="宋体" w:hAnsi="宋体" w:cs="宋体"/>
          <w:b/>
          <w:bCs w:val="0"/>
          <w:color w:val="auto"/>
          <w:kern w:val="2"/>
          <w:sz w:val="21"/>
          <w:szCs w:val="21"/>
          <w:highlight w:val="none"/>
          <w:lang w:val="en-US" w:eastAsia="zh-CN" w:bidi="ar"/>
        </w:rPr>
        <w:t>分 项 报 价 表</w:t>
      </w:r>
    </w:p>
    <w:tbl>
      <w:tblPr>
        <w:tblStyle w:val="45"/>
        <w:tblpPr w:leftFromText="180" w:rightFromText="180" w:vertAnchor="text" w:horzAnchor="page" w:tblpX="1569" w:tblpY="945"/>
        <w:tblOverlap w:val="never"/>
        <w:tblW w:w="13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79"/>
        <w:gridCol w:w="1080"/>
        <w:gridCol w:w="6029"/>
        <w:gridCol w:w="1215"/>
        <w:gridCol w:w="1215"/>
        <w:gridCol w:w="1215"/>
        <w:gridCol w:w="12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名称</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清单内容</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单位</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工程量</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全费用单价（元）</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全房拆除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1.全房整体拆除(砖混结构，框架结构);</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2.包含屋内搬运零星杂物等；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3.包含室内地坪以上全部建筑物拆除(屋面、梁、板、柱、门窗、地面等)毗邻建筑物的保护，现场监管，拆下材料码放整齐，拆除后渣土清理平整、洒水、苦盖等；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4.包含基础拆除，回填后的平整；</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全房拆除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1.全房整体拆除(钢结构);</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2.包含屋内搬运零星杂物等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3.包含室内地坪以上全部建筑物拆除(屋面、梁、板、柱、门窗、地面等)毗邻建筑物的保护，现场监管，拆下材料码放整齐，拆除后渣土清理平整、洒水、苦盖等；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4.包含基础拆除，回填后的平整；</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简棚拆除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1.彩钢、石棉瓦等无围护结构简棚拆除;</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2.包含棚内搬运零星杂物等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3.包含棚内地坪以上全部建筑物拆除(顶棚、梁、板、柱、门窗、地面等)毗邻建筑物的保护，现场监管，拆下材料码放整齐，拆除后渣土清理平整、洒水、苦盖等；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4.包含基础拆除，回填后的平整；</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1.拆除无筋混凝土路面；</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2.风镐拆除；</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3.拆除路面厚度：15cm以内;</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4.风镐拆除面层及基层；</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5.包含毗邻建筑物的保护，现场监管，拆除后渣土清理平整、洒水、苦盖等；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1.拆除无筋混凝土路面</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2.风镐拆除；</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3.拆除路面厚度：15cm-25cm;</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4.风镐拆除面层及基层；</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5.包含毗邻建筑物的保护，现场监管，拆除后渣土清理平整、洒水、苦盖等；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1.拆除无筋混凝土路面</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2.风镐拆除；</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3.拆除路面厚度：25cm以上综合考虑;</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4.风镐拆除面层及基层；</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5.包含毗邻建筑物的保护，现场监管，拆除后渣土清理平整、洒水、苦盖等；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1.机械拆除旧路结构；</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2.拆除厚度：15cm以内;</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3.包含毗邻建筑物的保护，现场监管，拆除后渣土清理平整、洒水、苫盖等；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1.机械拆除旧路结构；</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2.拆除厚度：15cm-25cm;</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3.包含毗邻建筑物的保护，现场监管，拆除后渣土清理平整、洒水、苦盖等；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1.机械拆除旧路结构；</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2.拆除厚度：25cm以上综合考虑;</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3.包含毗邻建筑物的保护，现场监管，拆除后渣土清理平整、洒水、苦盖等；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拆除人行道</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1.拆除步道砖；</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2.人工拆除；</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3.包含毗邻建筑物的保护，现场监管，拆除后渣土清理平整、洒水、苦盖等；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砖砌体拆除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1.整砖墙拆除(包含围墙);</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2.包含毗邻建筑物的保护，现场监管，拆除后渣土清理平整、洒水、苫盖等；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m3</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渣土外运</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 包含装车运输；</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m3</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回填方</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1.包含回填、夯实；</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2.包含外购土；</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3.按照土地性质达到相应验收标准并验收合格。</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m3</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钢筋混凝土拆除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1.拆除零星钢筋混凝土构件(独立基础等 )</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2.包含毗邻建筑物的保护，现场监管，拆除后渣土清理平整、洒水、苫盖等；</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3.按照土地性质达到相应验收标准并验收合格；</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m3</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61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t>拆除部分小计（元）</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auto"/>
                <w:sz w:val="21"/>
                <w:szCs w:val="21"/>
                <w:highlight w:val="none"/>
                <w:u w:val="none"/>
              </w:rPr>
            </w:pPr>
          </w:p>
        </w:tc>
      </w:tr>
    </w:tbl>
    <w:p>
      <w:pPr>
        <w:pStyle w:val="266"/>
        <w:widowControl/>
        <w:rPr>
          <w:rFonts w:hint="eastAsia" w:ascii="宋体" w:hAnsi="宋体" w:eastAsia="宋体" w:cs="宋体"/>
          <w:color w:val="auto"/>
          <w:highlight w:val="none"/>
          <w:lang w:val="en-US"/>
        </w:rPr>
        <w:sectPr>
          <w:pgSz w:w="16840" w:h="11907" w:orient="landscape"/>
          <w:pgMar w:top="1701" w:right="1417" w:bottom="1134" w:left="1361" w:header="851" w:footer="851" w:gutter="0"/>
          <w:pgBorders>
            <w:top w:val="none" w:sz="0" w:space="0"/>
            <w:left w:val="none" w:sz="0" w:space="0"/>
            <w:bottom w:val="none" w:sz="0" w:space="0"/>
            <w:right w:val="none" w:sz="0" w:space="0"/>
          </w:pgBorders>
          <w:cols w:space="720" w:num="1"/>
          <w:docGrid w:linePitch="462" w:charSpace="0"/>
        </w:sectPr>
      </w:pPr>
    </w:p>
    <w:tbl>
      <w:tblPr>
        <w:tblStyle w:val="45"/>
        <w:tblW w:w="115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19"/>
        <w:gridCol w:w="2836"/>
        <w:gridCol w:w="2006"/>
        <w:gridCol w:w="1538"/>
        <w:gridCol w:w="1685"/>
        <w:gridCol w:w="22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工程量</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全费用单价（元）</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小工</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元/工日</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电焊工</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元/工日</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水暖工</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元/工日</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挖掘机(320型)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挖掘机(240型)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挖掘机(65型)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挖掘机破碎(240</w:t>
            </w:r>
          </w:p>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型 )</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十轮自卸车</w:t>
            </w:r>
          </w:p>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(5.6m-5.8m)</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洒水车3t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包含司机、油、水等费用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洒水车10t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包含司机、油、水等费用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洒水车15t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包含司机、油、水等费用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装载机50型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装载机30型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推土机(16型)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货车4.5米</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货车6.5米</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起重机80t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起重机25t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起重机8t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拖车12米</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包含司机、</w:t>
            </w:r>
          </w:p>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吸污车8t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元/车</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包含司机、油、污水处理等费用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吸污车10t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元/车</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包含司机、油、污水处理等费用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69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rPr>
              <w:t>零星用工小计（元）</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69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sz w:val="21"/>
                <w:szCs w:val="21"/>
                <w:highlight w:val="none"/>
                <w:u w:val="none"/>
                <w:lang w:val="en-US" w:eastAsia="zh-CN"/>
              </w:rPr>
              <w:t>以上两项</w:t>
            </w:r>
            <w:r>
              <w:rPr>
                <w:rFonts w:hint="eastAsia" w:ascii="宋体" w:hAnsi="宋体" w:eastAsia="宋体" w:cs="宋体"/>
                <w:i w:val="0"/>
                <w:iCs w:val="0"/>
                <w:color w:val="auto"/>
                <w:sz w:val="21"/>
                <w:szCs w:val="21"/>
                <w:highlight w:val="none"/>
                <w:u w:val="none"/>
              </w:rPr>
              <w:t>合计（元）</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auto"/>
                <w:sz w:val="21"/>
                <w:szCs w:val="21"/>
                <w:highlight w:val="none"/>
                <w:u w:val="none"/>
                <w:lang w:val="en-US" w:eastAsia="zh-CN"/>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bl>
    <w:p>
      <w:pPr>
        <w:pStyle w:val="266"/>
        <w:rPr>
          <w:color w:val="auto"/>
          <w:highlight w:val="none"/>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宋体" w:hAnsi="宋体" w:eastAsia="宋体" w:cs="宋体"/>
          <w:bCs/>
          <w:color w:val="auto"/>
          <w:highlight w:val="none"/>
        </w:rPr>
      </w:pPr>
      <w:r>
        <w:rPr>
          <w:rFonts w:hint="eastAsia" w:ascii="宋体" w:hAnsi="宋体" w:eastAsia="宋体"/>
          <w:color w:val="auto"/>
          <w:sz w:val="21"/>
          <w:szCs w:val="21"/>
          <w:highlight w:val="none"/>
        </w:rPr>
        <w:t>备注：</w:t>
      </w:r>
      <w:r>
        <w:rPr>
          <w:rFonts w:hint="eastAsia" w:ascii="宋体" w:hAnsi="宋体" w:eastAsia="宋体" w:cs="宋体"/>
          <w:i w:val="0"/>
          <w:iCs w:val="0"/>
          <w:color w:val="auto"/>
          <w:sz w:val="21"/>
          <w:szCs w:val="21"/>
          <w:highlight w:val="none"/>
          <w:u w:val="none"/>
        </w:rPr>
        <w:t>拆除部分</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olor w:val="auto"/>
          <w:sz w:val="21"/>
          <w:szCs w:val="21"/>
          <w:highlight w:val="none"/>
        </w:rPr>
        <w:t>本工程单价为全费用单价(包含但不限于办理相关正规手续的费用、人工费、材料费、机械费、措施费、管理费、安全文明施工费（达标）、风险费、利润、规费及税金等);具体工程量以实际发生为准。如遇单独发生人工及机械台班或备勤时，执行零星用工。</w:t>
      </w:r>
    </w:p>
    <w:p>
      <w:pPr>
        <w:keepNext w:val="0"/>
        <w:keepLines w:val="0"/>
        <w:pageBreakBefore w:val="0"/>
        <w:widowControl w:val="0"/>
        <w:kinsoku/>
        <w:wordWrap/>
        <w:overflowPunct/>
        <w:topLinePunct w:val="0"/>
        <w:autoSpaceDE/>
        <w:autoSpaceDN/>
        <w:bidi w:val="0"/>
        <w:adjustRightInd/>
        <w:snapToGrid/>
        <w:ind w:firstLine="840" w:firstLineChars="400"/>
        <w:jc w:val="left"/>
        <w:textAlignment w:val="auto"/>
        <w:rPr>
          <w:rFonts w:hint="eastAsia" w:ascii="宋体" w:hAnsi="宋体" w:cs="宋体"/>
          <w:color w:val="auto"/>
          <w:highlight w:val="none"/>
          <w:lang w:eastAsia="zh-CN"/>
        </w:rPr>
      </w:pPr>
      <w:r>
        <w:rPr>
          <w:rFonts w:hint="eastAsia" w:ascii="宋体" w:hAnsi="宋体" w:cs="宋体"/>
          <w:color w:val="auto"/>
          <w:highlight w:val="none"/>
          <w:lang w:val="en-US" w:eastAsia="zh-CN"/>
        </w:rPr>
        <w:t>零星用工部分：</w:t>
      </w:r>
      <w:r>
        <w:rPr>
          <w:rFonts w:hint="eastAsia" w:ascii="宋体" w:hAnsi="宋体" w:eastAsia="宋体" w:cs="宋体"/>
          <w:color w:val="auto"/>
          <w:highlight w:val="none"/>
        </w:rPr>
        <w:t>以上零工及机械台班为除拆除工程及屋内搬运零星杂物以外单独发生时记取，价格为全费用单价(包含措施费、管理费、安全文明施工费(达标)、风险费、利润、规费及税金等),不再记取其它费用</w:t>
      </w:r>
      <w:r>
        <w:rPr>
          <w:rFonts w:hint="eastAsia" w:ascii="宋体" w:hAnsi="宋体" w:cs="宋体"/>
          <w:color w:val="auto"/>
          <w:highlight w:val="none"/>
          <w:lang w:eastAsia="zh-CN"/>
        </w:rPr>
        <w:t>。</w:t>
      </w:r>
    </w:p>
    <w:p>
      <w:pPr>
        <w:spacing w:line="360" w:lineRule="auto"/>
        <w:ind w:firstLine="420" w:firstLineChars="200"/>
        <w:jc w:val="left"/>
        <w:rPr>
          <w:rFonts w:hint="eastAsia" w:ascii="宋体" w:hAnsi="宋体"/>
          <w:color w:val="auto"/>
          <w:szCs w:val="21"/>
          <w:highlight w:val="none"/>
        </w:rPr>
      </w:pPr>
    </w:p>
    <w:p>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1、最终拆除项目结算价款以甲方指定第三方评审结果为准（每自然季度结束后进行一次结算，确定结算金额后支付该季度费用）。</w:t>
      </w:r>
    </w:p>
    <w:p>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2、甲方向乙方支付款项前，乙方应按国家规定向甲方提供等额合格的增值税发票，否则甲方有权拒绝付款且不承担任何违约责任。</w:t>
      </w:r>
    </w:p>
    <w:p>
      <w:pPr>
        <w:spacing w:line="360" w:lineRule="auto"/>
        <w:jc w:val="left"/>
        <w:rPr>
          <w:rFonts w:hint="eastAsia" w:ascii="宋体" w:hAnsi="宋体"/>
          <w:b/>
          <w:color w:val="auto"/>
          <w:szCs w:val="21"/>
          <w:highlight w:val="none"/>
        </w:rPr>
        <w:sectPr>
          <w:pgSz w:w="16840" w:h="11907" w:orient="landscape"/>
          <w:pgMar w:top="1701" w:right="1417" w:bottom="1134" w:left="1361" w:header="851" w:footer="851" w:gutter="0"/>
          <w:pgBorders>
            <w:top w:val="none" w:sz="0" w:space="0"/>
            <w:left w:val="none" w:sz="0" w:space="0"/>
            <w:bottom w:val="none" w:sz="0" w:space="0"/>
            <w:right w:val="none" w:sz="0" w:space="0"/>
          </w:pgBorders>
          <w:cols w:space="720" w:num="1"/>
          <w:docGrid w:linePitch="462" w:charSpace="0"/>
        </w:sectPr>
      </w:pPr>
    </w:p>
    <w:p>
      <w:pPr>
        <w:spacing w:line="360" w:lineRule="auto"/>
        <w:jc w:val="left"/>
        <w:rPr>
          <w:rFonts w:ascii="宋体" w:hAnsi="宋体"/>
          <w:b/>
          <w:color w:val="auto"/>
          <w:szCs w:val="21"/>
          <w:highlight w:val="none"/>
        </w:rPr>
      </w:pPr>
      <w:r>
        <w:rPr>
          <w:rFonts w:hint="eastAsia" w:ascii="宋体" w:hAnsi="宋体"/>
          <w:b/>
          <w:color w:val="auto"/>
          <w:szCs w:val="21"/>
          <w:highlight w:val="none"/>
        </w:rPr>
        <w:t>四、双方责任</w:t>
      </w:r>
    </w:p>
    <w:p>
      <w:pPr>
        <w:spacing w:line="360" w:lineRule="auto"/>
        <w:rPr>
          <w:rFonts w:ascii="宋体" w:hAnsi="宋体"/>
          <w:color w:val="auto"/>
          <w:szCs w:val="21"/>
          <w:highlight w:val="none"/>
        </w:rPr>
      </w:pPr>
      <w:r>
        <w:rPr>
          <w:rFonts w:hint="eastAsia" w:ascii="宋体" w:hAnsi="宋体"/>
          <w:color w:val="auto"/>
          <w:szCs w:val="21"/>
          <w:highlight w:val="none"/>
        </w:rPr>
        <w:t>（一）甲方责任</w:t>
      </w:r>
    </w:p>
    <w:p>
      <w:pPr>
        <w:spacing w:line="360" w:lineRule="auto"/>
        <w:ind w:left="424" w:leftChars="202"/>
        <w:rPr>
          <w:rFonts w:hint="eastAsia" w:ascii="宋体" w:hAnsi="宋体"/>
          <w:color w:val="auto"/>
          <w:szCs w:val="21"/>
          <w:highlight w:val="none"/>
        </w:rPr>
      </w:pPr>
      <w:r>
        <w:rPr>
          <w:rFonts w:hint="eastAsia" w:ascii="宋体" w:hAnsi="宋体"/>
          <w:color w:val="auto"/>
          <w:szCs w:val="21"/>
          <w:highlight w:val="none"/>
        </w:rPr>
        <w:t>1．向乙方进行书面交底，提供有关图纸资料，确定拆除范围，标明拆除范围内的地上、地下障</w:t>
      </w:r>
    </w:p>
    <w:p>
      <w:pPr>
        <w:spacing w:line="360" w:lineRule="auto"/>
        <w:rPr>
          <w:rFonts w:ascii="宋体" w:hAnsi="宋体"/>
          <w:color w:val="auto"/>
          <w:szCs w:val="21"/>
          <w:highlight w:val="none"/>
        </w:rPr>
      </w:pPr>
      <w:r>
        <w:rPr>
          <w:rFonts w:hint="eastAsia" w:ascii="宋体" w:hAnsi="宋体"/>
          <w:color w:val="auto"/>
          <w:szCs w:val="21"/>
          <w:highlight w:val="none"/>
        </w:rPr>
        <w:t>碍物位置、方向及需要保护的各类建筑物及有关的注意事项。</w:t>
      </w:r>
    </w:p>
    <w:p>
      <w:pPr>
        <w:spacing w:line="360" w:lineRule="auto"/>
        <w:ind w:left="424" w:leftChars="202"/>
        <w:rPr>
          <w:rFonts w:ascii="宋体" w:hAnsi="宋体"/>
          <w:color w:val="auto"/>
          <w:szCs w:val="21"/>
          <w:highlight w:val="none"/>
        </w:rPr>
      </w:pPr>
      <w:r>
        <w:rPr>
          <w:rFonts w:hint="eastAsia" w:ascii="宋体" w:hAnsi="宋体"/>
          <w:color w:val="auto"/>
          <w:szCs w:val="21"/>
          <w:highlight w:val="none"/>
        </w:rPr>
        <w:t>2．审定乙方拆除方案，协调与拆除工作有关的部门，配合乙方施工。</w:t>
      </w:r>
    </w:p>
    <w:p>
      <w:pPr>
        <w:spacing w:line="360" w:lineRule="auto"/>
        <w:ind w:left="424" w:leftChars="202"/>
        <w:rPr>
          <w:rFonts w:ascii="宋体" w:hAnsi="宋体"/>
          <w:color w:val="auto"/>
          <w:szCs w:val="21"/>
          <w:highlight w:val="none"/>
        </w:rPr>
      </w:pPr>
      <w:r>
        <w:rPr>
          <w:rFonts w:hint="eastAsia" w:ascii="宋体" w:hAnsi="宋体"/>
          <w:color w:val="auto"/>
          <w:szCs w:val="21"/>
          <w:highlight w:val="none"/>
        </w:rPr>
        <w:t>3．负责对乙方的拆除工作进行检查与验收。</w:t>
      </w:r>
    </w:p>
    <w:p>
      <w:pPr>
        <w:spacing w:line="360" w:lineRule="auto"/>
        <w:ind w:left="424" w:leftChars="202"/>
        <w:rPr>
          <w:rFonts w:ascii="宋体" w:hAnsi="宋体"/>
          <w:color w:val="auto"/>
          <w:szCs w:val="21"/>
          <w:highlight w:val="none"/>
        </w:rPr>
      </w:pPr>
      <w:r>
        <w:rPr>
          <w:rFonts w:hint="eastAsia" w:ascii="宋体" w:hAnsi="宋体"/>
          <w:color w:val="auto"/>
          <w:szCs w:val="21"/>
          <w:highlight w:val="none"/>
        </w:rPr>
        <w:t>4．按合同书约定支付拆除费用。</w:t>
      </w:r>
    </w:p>
    <w:p>
      <w:pPr>
        <w:tabs>
          <w:tab w:val="left" w:pos="1980"/>
        </w:tabs>
        <w:spacing w:line="360" w:lineRule="auto"/>
        <w:rPr>
          <w:rFonts w:ascii="宋体" w:hAnsi="宋体"/>
          <w:color w:val="auto"/>
          <w:szCs w:val="21"/>
          <w:highlight w:val="none"/>
        </w:rPr>
      </w:pPr>
      <w:r>
        <w:rPr>
          <w:rFonts w:hint="eastAsia" w:ascii="宋体" w:hAnsi="宋体"/>
          <w:color w:val="auto"/>
          <w:szCs w:val="21"/>
          <w:highlight w:val="none"/>
        </w:rPr>
        <w:t>（二）乙方责任</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1．乙方负责办理拆除工程中所需的拆除、市容、环卫、环保、建筑垃圾运输及消纳等有关手续。</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2．乙方负责支付拆除过程中发生的一切费用，包括办理手续费用，工作费用、罚款及噪声扰民补偿费等。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3．在甲方规定的期限内完成全部房屋的拆除及建筑垃圾清运等工作，具体包括但不限于以下方面：</w:t>
      </w:r>
    </w:p>
    <w:p>
      <w:pPr>
        <w:tabs>
          <w:tab w:val="left" w:pos="993"/>
        </w:tabs>
        <w:spacing w:line="360" w:lineRule="auto"/>
        <w:ind w:left="420"/>
        <w:rPr>
          <w:rFonts w:hint="eastAsia" w:ascii="宋体" w:hAnsi="宋体"/>
          <w:color w:val="auto"/>
          <w:szCs w:val="21"/>
          <w:highlight w:val="none"/>
          <w:lang w:val="en-US" w:eastAsia="zh-CN"/>
        </w:rPr>
      </w:pPr>
      <w:r>
        <w:rPr>
          <w:rFonts w:hint="eastAsia" w:ascii="宋体" w:hAnsi="宋体"/>
          <w:color w:val="auto"/>
          <w:szCs w:val="21"/>
          <w:highlight w:val="none"/>
        </w:rPr>
        <w:t>（1）</w:t>
      </w:r>
      <w:r>
        <w:rPr>
          <w:rFonts w:hint="eastAsia" w:ascii="宋体" w:hAnsi="宋体"/>
          <w:color w:val="auto"/>
          <w:szCs w:val="21"/>
          <w:highlight w:val="none"/>
          <w:lang w:val="en-US" w:eastAsia="zh-CN"/>
        </w:rPr>
        <w:t>按甲方要求及审定的拆除方案就甲方指定内容进行拆除并进行屋内物品搬运、建筑垃圾清</w:t>
      </w:r>
    </w:p>
    <w:p>
      <w:pPr>
        <w:tabs>
          <w:tab w:val="left" w:pos="993"/>
        </w:tabs>
        <w:spacing w:line="360" w:lineRule="auto"/>
        <w:rPr>
          <w:rFonts w:ascii="宋体" w:hAnsi="宋体"/>
          <w:color w:val="auto"/>
          <w:szCs w:val="21"/>
          <w:highlight w:val="none"/>
        </w:rPr>
      </w:pPr>
      <w:r>
        <w:rPr>
          <w:rFonts w:hint="eastAsia" w:ascii="宋体" w:hAnsi="宋体"/>
          <w:color w:val="auto"/>
          <w:szCs w:val="21"/>
          <w:highlight w:val="none"/>
          <w:lang w:val="en-US" w:eastAsia="zh-CN"/>
        </w:rPr>
        <w:t>运等相关工作。物品及建筑垃圾应由乙方负责存放保管，并按甲方通知进行移交或清运。</w:t>
      </w:r>
    </w:p>
    <w:p>
      <w:pPr>
        <w:tabs>
          <w:tab w:val="left" w:pos="993"/>
        </w:tabs>
        <w:spacing w:line="360" w:lineRule="auto"/>
        <w:ind w:left="420"/>
        <w:rPr>
          <w:rFonts w:hint="eastAsia" w:ascii="宋体" w:hAnsi="宋体"/>
          <w:color w:val="auto"/>
          <w:szCs w:val="21"/>
          <w:highlight w:val="none"/>
        </w:rPr>
      </w:pPr>
      <w:r>
        <w:rPr>
          <w:rFonts w:hint="eastAsia" w:ascii="宋体" w:hAnsi="宋体"/>
          <w:color w:val="auto"/>
          <w:szCs w:val="21"/>
          <w:highlight w:val="none"/>
        </w:rPr>
        <w:t>（2）乙方按拆除规范方式施工，防止造成相邻房屋的倒塌、震裂、漏雨等危险情况的发生，确</w:t>
      </w:r>
    </w:p>
    <w:p>
      <w:pPr>
        <w:tabs>
          <w:tab w:val="left" w:pos="993"/>
        </w:tabs>
        <w:spacing w:line="360" w:lineRule="auto"/>
        <w:rPr>
          <w:rFonts w:ascii="宋体" w:hAnsi="宋体"/>
          <w:color w:val="auto"/>
          <w:szCs w:val="21"/>
          <w:highlight w:val="none"/>
        </w:rPr>
      </w:pPr>
      <w:r>
        <w:rPr>
          <w:rFonts w:hint="eastAsia" w:ascii="宋体" w:hAnsi="宋体"/>
          <w:color w:val="auto"/>
          <w:szCs w:val="21"/>
          <w:highlight w:val="none"/>
        </w:rPr>
        <w:t>保安全。拆除工程中出现的一切事故，乙方自行承担。乙方须配合甲方及时安排人员对每座拆除建筑实施全方位的户内拆除（含水表、电表的拆除）、户内封堵。做到迁一户拆一户。如果因乙方未及时拆除造成居民回流，由乙方负责腾空拆除。所有费用由乙方承担。</w:t>
      </w:r>
    </w:p>
    <w:p>
      <w:pPr>
        <w:tabs>
          <w:tab w:val="left" w:pos="993"/>
        </w:tabs>
        <w:spacing w:line="360" w:lineRule="auto"/>
        <w:ind w:left="420"/>
        <w:rPr>
          <w:rFonts w:hint="eastAsia" w:ascii="宋体" w:hAnsi="宋体"/>
          <w:color w:val="auto"/>
          <w:szCs w:val="21"/>
          <w:highlight w:val="none"/>
        </w:rPr>
      </w:pPr>
      <w:r>
        <w:rPr>
          <w:rFonts w:hint="eastAsia" w:ascii="宋体" w:hAnsi="宋体"/>
          <w:color w:val="auto"/>
          <w:szCs w:val="21"/>
          <w:highlight w:val="none"/>
        </w:rPr>
        <w:t>（3）施工现场按要求搭设围挡，道路要清扫，边拆除边洒水、做好防尘和路面保洁，并符合北</w:t>
      </w:r>
    </w:p>
    <w:p>
      <w:pPr>
        <w:tabs>
          <w:tab w:val="left" w:pos="993"/>
        </w:tabs>
        <w:spacing w:line="360" w:lineRule="auto"/>
        <w:rPr>
          <w:rFonts w:ascii="宋体" w:hAnsi="宋体"/>
          <w:color w:val="auto"/>
          <w:szCs w:val="21"/>
          <w:highlight w:val="none"/>
        </w:rPr>
      </w:pPr>
      <w:r>
        <w:rPr>
          <w:rFonts w:hint="eastAsia" w:ascii="宋体" w:hAnsi="宋体"/>
          <w:color w:val="auto"/>
          <w:szCs w:val="21"/>
          <w:highlight w:val="none"/>
        </w:rPr>
        <w:t>京市有关环保的规定。由于拆除发生的扰民、环境等问题，由乙方承担责任并负责费用。</w:t>
      </w:r>
    </w:p>
    <w:p>
      <w:pPr>
        <w:tabs>
          <w:tab w:val="left" w:pos="993"/>
        </w:tabs>
        <w:spacing w:line="360" w:lineRule="auto"/>
        <w:ind w:left="420"/>
        <w:rPr>
          <w:rFonts w:hint="eastAsia" w:ascii="宋体" w:hAnsi="宋体"/>
          <w:color w:val="auto"/>
          <w:szCs w:val="21"/>
          <w:highlight w:val="none"/>
        </w:rPr>
      </w:pPr>
      <w:r>
        <w:rPr>
          <w:rFonts w:hint="eastAsia" w:ascii="宋体" w:hAnsi="宋体"/>
          <w:color w:val="auto"/>
          <w:szCs w:val="21"/>
          <w:highlight w:val="none"/>
        </w:rPr>
        <w:t>（4）拆运过程中，遵守国家及本市有关部门对施工现场的管理规定，负责施工现场的安全保卫、</w:t>
      </w:r>
    </w:p>
    <w:p>
      <w:pPr>
        <w:tabs>
          <w:tab w:val="left" w:pos="993"/>
        </w:tabs>
        <w:spacing w:line="360" w:lineRule="auto"/>
        <w:rPr>
          <w:rFonts w:ascii="宋体" w:hAnsi="宋体"/>
          <w:color w:val="auto"/>
          <w:szCs w:val="21"/>
          <w:highlight w:val="none"/>
        </w:rPr>
      </w:pPr>
      <w:r>
        <w:rPr>
          <w:rFonts w:hint="eastAsia" w:ascii="宋体" w:hAnsi="宋体"/>
          <w:color w:val="auto"/>
          <w:szCs w:val="21"/>
          <w:highlight w:val="none"/>
        </w:rPr>
        <w:t>环境清洁等项工作。做好施工现场不需要拆除的建筑物、古树名木和管线保护工作。</w:t>
      </w:r>
    </w:p>
    <w:p>
      <w:pPr>
        <w:tabs>
          <w:tab w:val="left" w:pos="993"/>
        </w:tabs>
        <w:spacing w:line="360" w:lineRule="auto"/>
        <w:ind w:left="420"/>
        <w:rPr>
          <w:rFonts w:ascii="宋体" w:hAnsi="宋体"/>
          <w:color w:val="auto"/>
          <w:szCs w:val="21"/>
          <w:highlight w:val="none"/>
        </w:rPr>
      </w:pPr>
      <w:r>
        <w:rPr>
          <w:rFonts w:hint="eastAsia" w:ascii="宋体" w:hAnsi="宋体"/>
          <w:color w:val="auto"/>
          <w:szCs w:val="21"/>
          <w:highlight w:val="none"/>
        </w:rPr>
        <w:t>（5）乙方负责建筑物的水、电、燃气、供热、通信等市政供应的关止及施工扰民问题的解决。</w:t>
      </w:r>
    </w:p>
    <w:p>
      <w:pPr>
        <w:tabs>
          <w:tab w:val="left" w:pos="993"/>
        </w:tabs>
        <w:spacing w:line="360" w:lineRule="auto"/>
        <w:ind w:left="420"/>
        <w:rPr>
          <w:rFonts w:ascii="宋体" w:hAnsi="宋体"/>
          <w:color w:val="auto"/>
          <w:szCs w:val="21"/>
          <w:highlight w:val="none"/>
        </w:rPr>
      </w:pPr>
      <w:r>
        <w:rPr>
          <w:rFonts w:hint="eastAsia" w:ascii="宋体" w:hAnsi="宋体"/>
          <w:color w:val="auto"/>
          <w:szCs w:val="21"/>
          <w:highlight w:val="none"/>
        </w:rPr>
        <w:t>（6）拆除工程不得转包，如违反有关法规及相关主管部门的工作要求造成处罚，由乙方负责。</w:t>
      </w:r>
    </w:p>
    <w:p>
      <w:pPr>
        <w:tabs>
          <w:tab w:val="left" w:pos="993"/>
        </w:tabs>
        <w:spacing w:line="360" w:lineRule="auto"/>
        <w:ind w:left="420"/>
        <w:rPr>
          <w:rFonts w:hint="eastAsia" w:ascii="宋体" w:hAnsi="宋体"/>
          <w:color w:val="auto"/>
          <w:szCs w:val="21"/>
          <w:highlight w:val="none"/>
        </w:rPr>
      </w:pPr>
      <w:r>
        <w:rPr>
          <w:rFonts w:hint="eastAsia" w:ascii="宋体" w:hAnsi="宋体"/>
          <w:color w:val="auto"/>
          <w:szCs w:val="21"/>
          <w:highlight w:val="none"/>
        </w:rPr>
        <w:t>（7）拆除工程完成后要达到室外自然地平，现场没有突起的建筑基础、建筑垃圾，保证甲方验</w:t>
      </w:r>
    </w:p>
    <w:p>
      <w:pPr>
        <w:tabs>
          <w:tab w:val="left" w:pos="993"/>
        </w:tabs>
        <w:spacing w:line="360" w:lineRule="auto"/>
        <w:rPr>
          <w:rFonts w:ascii="宋体" w:hAnsi="宋体"/>
          <w:color w:val="auto"/>
          <w:szCs w:val="21"/>
          <w:highlight w:val="none"/>
        </w:rPr>
      </w:pPr>
      <w:r>
        <w:rPr>
          <w:rFonts w:hint="eastAsia" w:ascii="宋体" w:hAnsi="宋体"/>
          <w:color w:val="auto"/>
          <w:szCs w:val="21"/>
          <w:highlight w:val="none"/>
        </w:rPr>
        <w:t>收一次合格。</w:t>
      </w:r>
    </w:p>
    <w:p>
      <w:pPr>
        <w:tabs>
          <w:tab w:val="left" w:pos="993"/>
        </w:tabs>
        <w:spacing w:line="360" w:lineRule="auto"/>
        <w:ind w:left="420"/>
        <w:rPr>
          <w:rFonts w:hint="eastAsia" w:eastAsia="宋体"/>
          <w:color w:val="auto"/>
          <w:highlight w:val="none"/>
          <w:lang w:eastAsia="zh-CN"/>
        </w:rPr>
      </w:pPr>
      <w:r>
        <w:rPr>
          <w:rFonts w:hint="eastAsia" w:ascii="宋体" w:hAnsi="宋体"/>
          <w:color w:val="auto"/>
          <w:szCs w:val="21"/>
          <w:highlight w:val="none"/>
        </w:rPr>
        <w:t>（8）拆除过程中完全服从甲方及甲方委托的</w:t>
      </w:r>
      <w:r>
        <w:rPr>
          <w:rFonts w:hint="eastAsia" w:ascii="宋体" w:hAnsi="宋体"/>
          <w:color w:val="auto"/>
          <w:szCs w:val="21"/>
          <w:highlight w:val="none"/>
          <w:lang w:val="en-US" w:eastAsia="zh-CN"/>
        </w:rPr>
        <w:t>监理公司</w:t>
      </w:r>
      <w:r>
        <w:rPr>
          <w:rFonts w:hint="eastAsia" w:ascii="宋体" w:hAnsi="宋体"/>
          <w:color w:val="auto"/>
          <w:szCs w:val="21"/>
          <w:highlight w:val="none"/>
        </w:rPr>
        <w:t>。</w:t>
      </w:r>
    </w:p>
    <w:p>
      <w:pPr>
        <w:spacing w:line="360" w:lineRule="auto"/>
        <w:jc w:val="left"/>
        <w:rPr>
          <w:rFonts w:ascii="宋体" w:hAnsi="宋体"/>
          <w:b/>
          <w:color w:val="auto"/>
          <w:szCs w:val="21"/>
          <w:highlight w:val="none"/>
        </w:rPr>
      </w:pPr>
      <w:r>
        <w:rPr>
          <w:rFonts w:hint="eastAsia" w:ascii="宋体" w:hAnsi="宋体"/>
          <w:b/>
          <w:color w:val="auto"/>
          <w:szCs w:val="21"/>
          <w:highlight w:val="none"/>
        </w:rPr>
        <w:t>五、甲方权利</w:t>
      </w:r>
    </w:p>
    <w:p>
      <w:pPr>
        <w:numPr>
          <w:ilvl w:val="0"/>
          <w:numId w:val="22"/>
        </w:numPr>
        <w:tabs>
          <w:tab w:val="left" w:pos="993"/>
        </w:tabs>
        <w:spacing w:line="360" w:lineRule="auto"/>
        <w:rPr>
          <w:rFonts w:ascii="宋体" w:hAnsi="宋体"/>
          <w:color w:val="auto"/>
          <w:szCs w:val="21"/>
          <w:highlight w:val="none"/>
        </w:rPr>
      </w:pPr>
      <w:r>
        <w:rPr>
          <w:rFonts w:hint="eastAsia" w:ascii="宋体" w:hAnsi="宋体"/>
          <w:color w:val="auto"/>
          <w:szCs w:val="21"/>
          <w:highlight w:val="none"/>
        </w:rPr>
        <w:t>甲方有权安排其它施工单位随时进场施工，乙方必须无条件服从并须积极配合。</w:t>
      </w:r>
    </w:p>
    <w:p>
      <w:pPr>
        <w:numPr>
          <w:ilvl w:val="0"/>
          <w:numId w:val="22"/>
        </w:numPr>
        <w:tabs>
          <w:tab w:val="left" w:pos="993"/>
        </w:tabs>
        <w:spacing w:line="360" w:lineRule="auto"/>
        <w:rPr>
          <w:rFonts w:ascii="宋体" w:hAnsi="宋体"/>
          <w:color w:val="auto"/>
          <w:szCs w:val="21"/>
          <w:highlight w:val="none"/>
        </w:rPr>
      </w:pPr>
      <w:r>
        <w:rPr>
          <w:rFonts w:hint="eastAsia" w:ascii="宋体" w:hAnsi="宋体"/>
          <w:color w:val="auto"/>
          <w:szCs w:val="21"/>
          <w:highlight w:val="none"/>
        </w:rPr>
        <w:t>乙方未按照合同规定施工，甲方有权提出意见。如乙方拒不改正，甲方有权随时停工和终止本协议，乙方须在三日内无条件撤场，由此所造成的损失由乙方全部承担。</w:t>
      </w:r>
    </w:p>
    <w:p>
      <w:pPr>
        <w:spacing w:line="360" w:lineRule="auto"/>
        <w:jc w:val="left"/>
        <w:rPr>
          <w:rFonts w:ascii="宋体" w:hAnsi="宋体"/>
          <w:b/>
          <w:color w:val="auto"/>
          <w:szCs w:val="21"/>
          <w:highlight w:val="none"/>
        </w:rPr>
      </w:pPr>
      <w:r>
        <w:rPr>
          <w:rFonts w:hint="eastAsia" w:ascii="宋体" w:hAnsi="宋体"/>
          <w:b/>
          <w:color w:val="auto"/>
          <w:szCs w:val="21"/>
          <w:highlight w:val="none"/>
        </w:rPr>
        <w:t>六、安全及防护要求</w:t>
      </w:r>
    </w:p>
    <w:p>
      <w:pPr>
        <w:numPr>
          <w:ilvl w:val="0"/>
          <w:numId w:val="23"/>
        </w:numPr>
        <w:tabs>
          <w:tab w:val="left" w:pos="993"/>
        </w:tabs>
        <w:spacing w:line="360" w:lineRule="auto"/>
        <w:rPr>
          <w:rFonts w:ascii="宋体" w:hAnsi="宋体"/>
          <w:color w:val="auto"/>
          <w:szCs w:val="21"/>
          <w:highlight w:val="none"/>
        </w:rPr>
      </w:pPr>
      <w:r>
        <w:rPr>
          <w:rFonts w:hint="eastAsia" w:ascii="宋体" w:hAnsi="宋体"/>
          <w:color w:val="auto"/>
          <w:szCs w:val="21"/>
          <w:highlight w:val="none"/>
        </w:rPr>
        <w:t>乙方须设置专职安全员，负责施工现场的安全保证。专职安全员对甲方安全部门负责，接受其检查与监督，协助其做好施工现场安全管理工作。</w:t>
      </w:r>
    </w:p>
    <w:p>
      <w:pPr>
        <w:numPr>
          <w:ilvl w:val="0"/>
          <w:numId w:val="23"/>
        </w:numPr>
        <w:tabs>
          <w:tab w:val="left" w:pos="993"/>
        </w:tabs>
        <w:spacing w:line="360" w:lineRule="auto"/>
        <w:rPr>
          <w:rFonts w:ascii="宋体" w:hAnsi="宋体"/>
          <w:color w:val="auto"/>
          <w:szCs w:val="21"/>
          <w:highlight w:val="none"/>
        </w:rPr>
      </w:pPr>
      <w:r>
        <w:rPr>
          <w:rFonts w:hint="eastAsia" w:ascii="宋体" w:hAnsi="宋体"/>
          <w:color w:val="auto"/>
          <w:szCs w:val="21"/>
          <w:highlight w:val="none"/>
        </w:rPr>
        <w:t>乙方须负责自身施工人员的人身保险、施工设备保险及第三方保险。严格按照国家有关的安全操作和现场各项规章制度进行施工，采取严格的安全防护措施，做好施工前的安全交底和中间检查控制工作，杜绝安全事故发生。承担由于自身安全措施不力而造成事故的责任和因此而发生的费用。</w:t>
      </w:r>
    </w:p>
    <w:p>
      <w:pPr>
        <w:numPr>
          <w:ilvl w:val="0"/>
          <w:numId w:val="23"/>
        </w:numPr>
        <w:tabs>
          <w:tab w:val="left" w:pos="993"/>
        </w:tabs>
        <w:spacing w:line="360" w:lineRule="auto"/>
        <w:rPr>
          <w:rFonts w:ascii="宋体" w:hAnsi="宋体"/>
          <w:color w:val="auto"/>
          <w:szCs w:val="21"/>
          <w:highlight w:val="none"/>
        </w:rPr>
      </w:pPr>
      <w:r>
        <w:rPr>
          <w:rFonts w:hint="eastAsia" w:ascii="宋体" w:hAnsi="宋体"/>
          <w:color w:val="auto"/>
          <w:szCs w:val="21"/>
          <w:highlight w:val="none"/>
        </w:rPr>
        <w:t>乙方指定的安全系统，专职安全措施方案须经甲方审定。</w:t>
      </w:r>
    </w:p>
    <w:p>
      <w:pPr>
        <w:numPr>
          <w:ilvl w:val="0"/>
          <w:numId w:val="23"/>
        </w:numPr>
        <w:tabs>
          <w:tab w:val="left" w:pos="993"/>
        </w:tabs>
        <w:spacing w:line="360" w:lineRule="auto"/>
        <w:rPr>
          <w:rFonts w:ascii="宋体" w:hAnsi="宋体"/>
          <w:color w:val="auto"/>
          <w:szCs w:val="21"/>
          <w:highlight w:val="none"/>
        </w:rPr>
      </w:pPr>
      <w:r>
        <w:rPr>
          <w:rFonts w:hint="eastAsia" w:ascii="宋体" w:hAnsi="宋体"/>
          <w:color w:val="auto"/>
          <w:szCs w:val="21"/>
          <w:highlight w:val="none"/>
        </w:rPr>
        <w:t>安全施工制度必须严格执行与落实，任何工作上的疏漏或意外造成事故的责任及损失由乙方全部承担与甲方无关。</w:t>
      </w:r>
    </w:p>
    <w:p>
      <w:pPr>
        <w:spacing w:line="360" w:lineRule="auto"/>
        <w:jc w:val="left"/>
        <w:rPr>
          <w:rFonts w:ascii="宋体" w:hAnsi="宋体"/>
          <w:b/>
          <w:color w:val="auto"/>
          <w:szCs w:val="21"/>
          <w:highlight w:val="none"/>
        </w:rPr>
      </w:pPr>
      <w:r>
        <w:rPr>
          <w:rFonts w:hint="eastAsia" w:ascii="宋体" w:hAnsi="宋体"/>
          <w:b/>
          <w:color w:val="auto"/>
          <w:szCs w:val="21"/>
          <w:highlight w:val="none"/>
        </w:rPr>
        <w:t>七、扰民及民扰</w:t>
      </w:r>
    </w:p>
    <w:p>
      <w:pPr>
        <w:numPr>
          <w:ilvl w:val="0"/>
          <w:numId w:val="0"/>
        </w:numPr>
        <w:spacing w:line="360" w:lineRule="auto"/>
        <w:ind w:left="273" w:leftChars="0"/>
        <w:jc w:val="left"/>
        <w:rPr>
          <w:rFonts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在整个项目施工期间，乙方负责协调与周围居民及单位的扰民工作。</w:t>
      </w:r>
    </w:p>
    <w:p>
      <w:pPr>
        <w:numPr>
          <w:ilvl w:val="0"/>
          <w:numId w:val="0"/>
        </w:numPr>
        <w:spacing w:line="360" w:lineRule="auto"/>
        <w:ind w:left="273" w:leftChars="0"/>
        <w:rPr>
          <w:rFonts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乙方应严格执行国家有关施工政策切实采取各项有效措施，按北京市政府的有关规定组织施工，减少因施工产生的粉尘、噪音、污染等对周围单位和居民的干扰。</w:t>
      </w:r>
    </w:p>
    <w:p>
      <w:pPr>
        <w:spacing w:line="360" w:lineRule="auto"/>
        <w:jc w:val="left"/>
        <w:rPr>
          <w:rFonts w:ascii="宋体" w:hAnsi="宋体"/>
          <w:b/>
          <w:color w:val="auto"/>
          <w:szCs w:val="21"/>
          <w:highlight w:val="none"/>
        </w:rPr>
      </w:pPr>
      <w:r>
        <w:rPr>
          <w:rFonts w:hint="eastAsia" w:ascii="宋体" w:hAnsi="宋体"/>
          <w:b/>
          <w:color w:val="auto"/>
          <w:szCs w:val="21"/>
          <w:highlight w:val="none"/>
        </w:rPr>
        <w:t>八、垃圾的清扫、外运及消纳</w:t>
      </w:r>
    </w:p>
    <w:p>
      <w:pPr>
        <w:spacing w:line="360" w:lineRule="auto"/>
        <w:ind w:firstLine="424" w:firstLineChars="202"/>
        <w:rPr>
          <w:rFonts w:ascii="宋体" w:hAnsi="宋体"/>
          <w:color w:val="auto"/>
          <w:szCs w:val="21"/>
          <w:highlight w:val="none"/>
        </w:rPr>
      </w:pPr>
      <w:r>
        <w:rPr>
          <w:rFonts w:hint="eastAsia" w:ascii="宋体" w:hAnsi="宋体"/>
          <w:color w:val="auto"/>
          <w:szCs w:val="21"/>
          <w:highlight w:val="none"/>
        </w:rPr>
        <w:t>对于乙方负责清理合同范围内的竣工前的以及施工中的全部建筑垃圾，乙方需按市有关部门规定办理运输车辆及相关手续、按照城市管理部门的相关规定将建筑废弃物运至有资质的资源化处置场所进行消纳处置、车辆符合北京市有关政策要求，同时保证渣土外运过程中，如发生因渣土外运遗撒而导致政府部门采取如罚款等所有可能措施，乙方将负有完全责任与甲方无关。请乙方保存好相关票据，甲方有权对相关票据进行随时查看。</w:t>
      </w:r>
    </w:p>
    <w:p>
      <w:pPr>
        <w:spacing w:line="360" w:lineRule="auto"/>
        <w:jc w:val="left"/>
        <w:rPr>
          <w:rFonts w:ascii="宋体" w:hAnsi="宋体"/>
          <w:b/>
          <w:color w:val="auto"/>
          <w:szCs w:val="21"/>
          <w:highlight w:val="none"/>
        </w:rPr>
      </w:pPr>
      <w:r>
        <w:rPr>
          <w:rFonts w:hint="eastAsia" w:ascii="宋体" w:hAnsi="宋体"/>
          <w:b/>
          <w:color w:val="auto"/>
          <w:szCs w:val="21"/>
          <w:highlight w:val="none"/>
        </w:rPr>
        <w:t>九、违约责任</w:t>
      </w:r>
    </w:p>
    <w:p>
      <w:pPr>
        <w:numPr>
          <w:ilvl w:val="0"/>
          <w:numId w:val="0"/>
        </w:numPr>
        <w:tabs>
          <w:tab w:val="left" w:pos="567"/>
        </w:tabs>
        <w:spacing w:line="360" w:lineRule="auto"/>
        <w:ind w:firstLine="210" w:firstLineChars="100"/>
        <w:rPr>
          <w:rFonts w:ascii="宋体" w:hAnsi="宋体"/>
          <w:color w:val="auto"/>
          <w:szCs w:val="21"/>
          <w:highlight w:val="none"/>
        </w:rPr>
      </w:pPr>
      <w:r>
        <w:rPr>
          <w:rFonts w:hint="eastAsia" w:ascii="宋体" w:hAnsi="宋体" w:cs="宋体"/>
          <w:color w:val="auto"/>
          <w:sz w:val="21"/>
          <w:szCs w:val="21"/>
          <w:highlight w:val="none"/>
          <w:lang w:val="en-US" w:eastAsia="zh-CN"/>
        </w:rPr>
        <w:t>1.  如因乙方原因导致未按合同约定完工，</w:t>
      </w:r>
      <w:r>
        <w:rPr>
          <w:rFonts w:hint="eastAsia" w:ascii="宋体" w:hAnsi="宋体" w:cs="宋体"/>
          <w:color w:val="auto"/>
          <w:sz w:val="21"/>
          <w:szCs w:val="21"/>
          <w:highlight w:val="none"/>
          <w:u w:val="none"/>
          <w:lang w:val="en-US" w:eastAsia="zh-CN"/>
        </w:rPr>
        <w:t>乙方应增派人员、车辆以尽快完工，相关费用由乙方自行承担。</w:t>
      </w:r>
    </w:p>
    <w:p>
      <w:pPr>
        <w:numPr>
          <w:ilvl w:val="0"/>
          <w:numId w:val="0"/>
        </w:numPr>
        <w:tabs>
          <w:tab w:val="left" w:pos="567"/>
        </w:tabs>
        <w:spacing w:line="360" w:lineRule="auto"/>
        <w:ind w:firstLine="210" w:firstLineChars="100"/>
        <w:rPr>
          <w:rFonts w:ascii="宋体" w:hAnsi="宋体"/>
          <w:color w:val="auto"/>
          <w:szCs w:val="21"/>
          <w:highlight w:val="none"/>
        </w:rPr>
      </w:pPr>
      <w:r>
        <w:rPr>
          <w:rFonts w:hint="eastAsia" w:ascii="宋体" w:hAnsi="宋体"/>
          <w:color w:val="auto"/>
          <w:szCs w:val="21"/>
          <w:highlight w:val="none"/>
          <w:lang w:val="en-US" w:eastAsia="zh-CN"/>
        </w:rPr>
        <w:t xml:space="preserve">2.  </w:t>
      </w:r>
      <w:r>
        <w:rPr>
          <w:rFonts w:hint="eastAsia" w:ascii="宋体" w:hAnsi="宋体"/>
          <w:color w:val="auto"/>
          <w:szCs w:val="21"/>
          <w:highlight w:val="none"/>
        </w:rPr>
        <w:t>由于一方造成合同不能履行时，有过错方承担违约责任，如属双方过错，根据实际情况，由双方承担各自的违约责任。</w:t>
      </w:r>
    </w:p>
    <w:p>
      <w:pPr>
        <w:numPr>
          <w:ilvl w:val="0"/>
          <w:numId w:val="0"/>
        </w:numPr>
        <w:tabs>
          <w:tab w:val="left" w:pos="567"/>
        </w:tabs>
        <w:spacing w:line="360" w:lineRule="auto"/>
        <w:ind w:firstLine="210" w:firstLineChars="100"/>
        <w:rPr>
          <w:rFonts w:hint="eastAsia" w:ascii="宋体" w:hAnsi="宋体"/>
          <w:color w:val="auto"/>
          <w:szCs w:val="21"/>
          <w:highlight w:val="none"/>
        </w:rPr>
      </w:pPr>
      <w:r>
        <w:rPr>
          <w:rFonts w:hint="eastAsia" w:ascii="宋体" w:hAnsi="宋体"/>
          <w:color w:val="auto"/>
          <w:szCs w:val="21"/>
          <w:highlight w:val="none"/>
          <w:lang w:val="en-US" w:eastAsia="zh-CN"/>
        </w:rPr>
        <w:t xml:space="preserve">3.  </w:t>
      </w:r>
      <w:r>
        <w:rPr>
          <w:rFonts w:hint="eastAsia" w:ascii="宋体" w:hAnsi="宋体"/>
          <w:color w:val="auto"/>
          <w:szCs w:val="21"/>
          <w:highlight w:val="none"/>
        </w:rPr>
        <w:t>遇有不可抗拒原因导致合同无法履行时，甲乙双方可以协商解决。</w:t>
      </w:r>
    </w:p>
    <w:p>
      <w:pPr>
        <w:numPr>
          <w:ilvl w:val="0"/>
          <w:numId w:val="0"/>
        </w:numPr>
        <w:tabs>
          <w:tab w:val="left" w:pos="567"/>
        </w:tabs>
        <w:spacing w:line="360" w:lineRule="auto"/>
        <w:ind w:firstLine="210" w:firstLineChars="100"/>
        <w:rPr>
          <w:rFonts w:hint="default" w:eastAsia="宋体"/>
          <w:color w:val="auto"/>
          <w:highlight w:val="none"/>
          <w:lang w:val="en-US" w:eastAsia="zh-CN"/>
        </w:rPr>
      </w:pPr>
      <w:r>
        <w:rPr>
          <w:rFonts w:hint="eastAsia" w:ascii="宋体" w:hAnsi="宋体"/>
          <w:color w:val="auto"/>
          <w:szCs w:val="21"/>
          <w:highlight w:val="none"/>
          <w:lang w:val="en-US" w:eastAsia="zh-CN"/>
        </w:rPr>
        <w:t>4.  乙方未能按合同约定完成施工或提供相关服务，甲方有权解除合同并有权拒绝支付合同价款。如给甲方造成损失的，乙方应当承担全部赔偿责任。</w:t>
      </w:r>
    </w:p>
    <w:p>
      <w:pPr>
        <w:spacing w:line="360" w:lineRule="auto"/>
        <w:jc w:val="left"/>
        <w:rPr>
          <w:rFonts w:ascii="宋体" w:hAnsi="宋体"/>
          <w:b/>
          <w:color w:val="auto"/>
          <w:szCs w:val="21"/>
          <w:highlight w:val="none"/>
        </w:rPr>
      </w:pPr>
      <w:r>
        <w:rPr>
          <w:rFonts w:hint="eastAsia" w:ascii="宋体" w:hAnsi="宋体"/>
          <w:b/>
          <w:color w:val="auto"/>
          <w:szCs w:val="21"/>
          <w:highlight w:val="none"/>
        </w:rPr>
        <w:t>十、争议解决</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本合同在履行过程中发生争议，由双方协商解决，如协商不成时，任何一方均可向北京市顺义区人民法院起诉。</w:t>
      </w:r>
    </w:p>
    <w:p>
      <w:pPr>
        <w:spacing w:line="360" w:lineRule="auto"/>
        <w:rPr>
          <w:rFonts w:ascii="宋体" w:hAnsi="宋体"/>
          <w:color w:val="auto"/>
          <w:szCs w:val="21"/>
          <w:highlight w:val="none"/>
        </w:rPr>
      </w:pPr>
      <w:r>
        <w:rPr>
          <w:rFonts w:hint="eastAsia" w:ascii="宋体" w:hAnsi="宋体"/>
          <w:b/>
          <w:color w:val="auto"/>
          <w:szCs w:val="21"/>
          <w:highlight w:val="none"/>
        </w:rPr>
        <w:t>十一、合同生效</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本合同双方签字盖章之日起生效。</w:t>
      </w:r>
    </w:p>
    <w:p>
      <w:pPr>
        <w:spacing w:line="360" w:lineRule="auto"/>
        <w:jc w:val="left"/>
        <w:rPr>
          <w:rFonts w:ascii="宋体" w:hAnsi="宋体"/>
          <w:b/>
          <w:color w:val="auto"/>
          <w:szCs w:val="21"/>
          <w:highlight w:val="none"/>
        </w:rPr>
      </w:pPr>
      <w:r>
        <w:rPr>
          <w:rFonts w:hint="eastAsia" w:ascii="宋体" w:hAnsi="宋体"/>
          <w:b/>
          <w:color w:val="auto"/>
          <w:szCs w:val="21"/>
          <w:highlight w:val="none"/>
        </w:rPr>
        <w:t>十二、其他条款：</w:t>
      </w:r>
    </w:p>
    <w:p>
      <w:pPr>
        <w:numPr>
          <w:ilvl w:val="0"/>
          <w:numId w:val="6"/>
        </w:numPr>
        <w:spacing w:line="360" w:lineRule="auto"/>
        <w:rPr>
          <w:rFonts w:ascii="宋体" w:hAnsi="宋体"/>
          <w:color w:val="auto"/>
          <w:szCs w:val="21"/>
          <w:highlight w:val="none"/>
        </w:rPr>
      </w:pPr>
      <w:r>
        <w:rPr>
          <w:rFonts w:hint="eastAsia" w:ascii="宋体" w:hAnsi="宋体"/>
          <w:color w:val="auto"/>
          <w:szCs w:val="21"/>
          <w:highlight w:val="none"/>
        </w:rPr>
        <w:t>本合同一式肆份，甲乙双方各执贰份。</w:t>
      </w:r>
    </w:p>
    <w:p>
      <w:pPr>
        <w:numPr>
          <w:ilvl w:val="0"/>
          <w:numId w:val="6"/>
        </w:numPr>
        <w:spacing w:line="360" w:lineRule="auto"/>
        <w:rPr>
          <w:color w:val="auto"/>
          <w:highlight w:val="none"/>
        </w:rPr>
      </w:pPr>
      <w:r>
        <w:rPr>
          <w:rFonts w:hint="eastAsia" w:ascii="宋体" w:hAnsi="宋体"/>
          <w:color w:val="auto"/>
          <w:szCs w:val="21"/>
          <w:highlight w:val="none"/>
        </w:rPr>
        <w:t>本合同未尽事宜甲乙双方另行协商解决。</w:t>
      </w:r>
    </w:p>
    <w:p>
      <w:pPr>
        <w:spacing w:line="360" w:lineRule="auto"/>
        <w:ind w:left="420"/>
        <w:rPr>
          <w:rFonts w:ascii="宋体" w:hAnsi="宋体"/>
          <w:color w:val="auto"/>
          <w:sz w:val="24"/>
          <w:highlight w:val="none"/>
        </w:rPr>
      </w:pP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甲方：</w:t>
      </w:r>
      <w:r>
        <w:rPr>
          <w:rFonts w:hint="eastAsia" w:ascii="宋体" w:hAnsi="宋体" w:eastAsia="宋体" w:cs="宋体"/>
          <w:color w:val="auto"/>
          <w:sz w:val="21"/>
          <w:szCs w:val="21"/>
          <w:highlight w:val="none"/>
          <w:u w:val="single"/>
        </w:rPr>
        <w:t xml:space="preserve"> </w:t>
      </w:r>
      <w:r>
        <w:rPr>
          <w:rFonts w:hint="eastAsia" w:ascii="宋体" w:hAnsi="宋体" w:eastAsia="宋体" w:cs="Arial"/>
          <w:color w:val="auto"/>
          <w:szCs w:val="21"/>
          <w:highlight w:val="none"/>
          <w:u w:val="single"/>
        </w:rPr>
        <w:t>北京市顺义区仁和镇人民政府</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乙方：</w:t>
      </w:r>
      <w:r>
        <w:rPr>
          <w:rFonts w:hint="eastAsia" w:ascii="宋体" w:hAnsi="宋体" w:eastAsia="宋体" w:cs="宋体"/>
          <w:color w:val="auto"/>
          <w:sz w:val="21"/>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pPr>
        <w:spacing w:line="360" w:lineRule="auto"/>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（盖单位章）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（盖单位章）</w:t>
      </w:r>
    </w:p>
    <w:p>
      <w:pPr>
        <w:spacing w:line="360" w:lineRule="auto"/>
        <w:rPr>
          <w:rFonts w:ascii="宋体" w:hAnsi="宋体"/>
          <w:color w:val="auto"/>
          <w:szCs w:val="21"/>
          <w:highlight w:val="none"/>
        </w:rPr>
      </w:pPr>
      <w:r>
        <w:rPr>
          <w:rFonts w:hint="eastAsia" w:ascii="宋体" w:hAnsi="宋体"/>
          <w:bCs/>
          <w:color w:val="auto"/>
          <w:szCs w:val="21"/>
          <w:highlight w:val="none"/>
        </w:rPr>
        <w:t>法定代表人或其</w:t>
      </w:r>
      <w:r>
        <w:rPr>
          <w:rFonts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bCs/>
          <w:color w:val="auto"/>
          <w:szCs w:val="21"/>
          <w:highlight w:val="none"/>
        </w:rPr>
        <w:t>法定代表人或其</w:t>
      </w:r>
    </w:p>
    <w:p>
      <w:pPr>
        <w:spacing w:line="360" w:lineRule="auto"/>
        <w:rPr>
          <w:rFonts w:ascii="宋体" w:hAnsi="宋体"/>
          <w:color w:val="auto"/>
          <w:szCs w:val="21"/>
          <w:highlight w:val="none"/>
        </w:rPr>
      </w:pPr>
      <w:r>
        <w:rPr>
          <w:rFonts w:hint="eastAsia" w:ascii="宋体" w:hAnsi="宋体"/>
          <w:bCs/>
          <w:color w:val="auto"/>
          <w:szCs w:val="21"/>
          <w:highlight w:val="none"/>
        </w:rPr>
        <w:t>委托代理人：</w:t>
      </w:r>
      <w:r>
        <w:rPr>
          <w:rFonts w:ascii="宋体" w:hAnsi="宋体"/>
          <w:color w:val="auto"/>
          <w:szCs w:val="21"/>
          <w:highlight w:val="none"/>
          <w:u w:val="single"/>
        </w:rPr>
        <w:t xml:space="preserve">                   </w:t>
      </w:r>
      <w:r>
        <w:rPr>
          <w:rFonts w:hint="eastAsia" w:ascii="宋体" w:hAnsi="宋体"/>
          <w:color w:val="auto"/>
          <w:szCs w:val="21"/>
          <w:highlight w:val="none"/>
        </w:rPr>
        <w:t>（签字）</w:t>
      </w:r>
      <w:r>
        <w:rPr>
          <w:rFonts w:ascii="宋体" w:hAnsi="宋体"/>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委托代理人：</w:t>
      </w:r>
      <w:r>
        <w:rPr>
          <w:rFonts w:ascii="宋体" w:hAnsi="宋体"/>
          <w:color w:val="auto"/>
          <w:szCs w:val="21"/>
          <w:highlight w:val="none"/>
          <w:u w:val="single"/>
        </w:rPr>
        <w:t xml:space="preserve">                   </w:t>
      </w:r>
      <w:r>
        <w:rPr>
          <w:rFonts w:hint="eastAsia" w:ascii="宋体" w:hAnsi="宋体"/>
          <w:color w:val="auto"/>
          <w:szCs w:val="21"/>
          <w:highlight w:val="none"/>
        </w:rPr>
        <w:t>（签字）</w:t>
      </w:r>
    </w:p>
    <w:p>
      <w:pPr>
        <w:spacing w:line="360" w:lineRule="auto"/>
        <w:rPr>
          <w:rFonts w:ascii="宋体" w:hAnsi="宋体"/>
          <w:color w:val="auto"/>
          <w:szCs w:val="21"/>
          <w:highlight w:val="none"/>
          <w:u w:val="single"/>
        </w:rPr>
      </w:pPr>
    </w:p>
    <w:p>
      <w:pPr>
        <w:spacing w:line="360" w:lineRule="auto"/>
        <w:ind w:firstLine="420" w:firstLineChars="200"/>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日</w:t>
      </w:r>
      <w:r>
        <w:rPr>
          <w:rFonts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日</w:t>
      </w:r>
    </w:p>
    <w:p>
      <w:pPr>
        <w:spacing w:line="360" w:lineRule="auto"/>
        <w:rPr>
          <w:rFonts w:ascii="宋体" w:hAnsi="宋体"/>
          <w:color w:val="auto"/>
          <w:szCs w:val="21"/>
          <w:highlight w:val="none"/>
        </w:rPr>
      </w:pPr>
    </w:p>
    <w:p>
      <w:pPr>
        <w:spacing w:line="360" w:lineRule="auto"/>
        <w:rPr>
          <w:rFonts w:ascii="宋体" w:hAnsi="宋体"/>
          <w:b/>
          <w:color w:val="auto"/>
          <w:szCs w:val="21"/>
          <w:highlight w:val="none"/>
        </w:rPr>
      </w:pPr>
      <w:r>
        <w:rPr>
          <w:rFonts w:hint="eastAsia" w:ascii="宋体" w:hAnsi="宋体"/>
          <w:color w:val="auto"/>
          <w:szCs w:val="21"/>
          <w:highlight w:val="none"/>
        </w:rPr>
        <w:t>签约地点：</w:t>
      </w:r>
      <w:r>
        <w:rPr>
          <w:rFonts w:ascii="宋体" w:hAnsi="宋体"/>
          <w:color w:val="auto"/>
          <w:szCs w:val="21"/>
          <w:highlight w:val="none"/>
          <w:u w:val="single"/>
        </w:rPr>
        <w:t xml:space="preserve"> </w:t>
      </w:r>
      <w:r>
        <w:rPr>
          <w:rFonts w:hint="eastAsia" w:ascii="宋体" w:hAnsi="宋体" w:eastAsia="宋体" w:cs="Arial"/>
          <w:color w:val="auto"/>
          <w:szCs w:val="21"/>
          <w:highlight w:val="none"/>
          <w:u w:val="single"/>
        </w:rPr>
        <w:t>北京市顺义区仁和镇人民政府</w:t>
      </w:r>
      <w:r>
        <w:rPr>
          <w:rFonts w:ascii="宋体" w:hAnsi="宋体"/>
          <w:color w:val="auto"/>
          <w:szCs w:val="21"/>
          <w:highlight w:val="none"/>
          <w:u w:val="single"/>
        </w:rPr>
        <w:t xml:space="preserve"> </w:t>
      </w:r>
    </w:p>
    <w:p>
      <w:pPr>
        <w:rPr>
          <w:color w:val="auto"/>
          <w:highlight w:val="none"/>
        </w:rPr>
      </w:pPr>
    </w:p>
    <w:p>
      <w:pPr>
        <w:pStyle w:val="29"/>
        <w:rPr>
          <w:color w:val="auto"/>
          <w:highlight w:val="none"/>
        </w:rPr>
      </w:pPr>
    </w:p>
    <w:p>
      <w:pPr>
        <w:rPr>
          <w:color w:val="auto"/>
          <w:highlight w:val="none"/>
        </w:rPr>
      </w:pPr>
    </w:p>
    <w:p>
      <w:pPr>
        <w:keepNext/>
        <w:keepLines/>
        <w:spacing w:before="120" w:beforeLines="50" w:after="120" w:afterLines="50" w:line="360" w:lineRule="auto"/>
        <w:jc w:val="center"/>
        <w:outlineLvl w:val="1"/>
        <w:rPr>
          <w:rFonts w:hint="eastAsia" w:ascii="宋体" w:hAnsi="宋体"/>
          <w:b/>
          <w:color w:val="auto"/>
          <w:sz w:val="28"/>
          <w:highlight w:val="none"/>
        </w:rPr>
        <w:sectPr>
          <w:pgSz w:w="11907" w:h="16840"/>
          <w:pgMar w:top="1418" w:right="1134" w:bottom="1418" w:left="1701" w:header="851" w:footer="851" w:gutter="0"/>
          <w:pgNumType w:fmt="decimal"/>
          <w:cols w:space="720" w:num="1"/>
          <w:docGrid w:linePitch="462" w:charSpace="0"/>
        </w:sectPr>
      </w:pPr>
    </w:p>
    <w:p>
      <w:pPr>
        <w:keepNext/>
        <w:keepLines/>
        <w:spacing w:before="120" w:beforeLines="50" w:after="120" w:afterLines="50" w:line="360" w:lineRule="auto"/>
        <w:jc w:val="center"/>
        <w:outlineLvl w:val="1"/>
        <w:rPr>
          <w:rFonts w:ascii="宋体" w:hAnsi="宋体"/>
          <w:b/>
          <w:color w:val="auto"/>
          <w:sz w:val="28"/>
          <w:highlight w:val="none"/>
        </w:rPr>
      </w:pPr>
      <w:r>
        <w:rPr>
          <w:rFonts w:hint="eastAsia" w:ascii="宋体" w:hAnsi="宋体"/>
          <w:b/>
          <w:color w:val="auto"/>
          <w:sz w:val="28"/>
          <w:highlight w:val="none"/>
        </w:rPr>
        <w:t>建设工程廉政责任书</w:t>
      </w:r>
    </w:p>
    <w:p>
      <w:pPr>
        <w:snapToGrid w:val="0"/>
        <w:spacing w:line="360" w:lineRule="auto"/>
        <w:ind w:firstLine="420" w:firstLineChars="200"/>
        <w:rPr>
          <w:rFonts w:ascii="宋体" w:hAnsi="宋体"/>
          <w:color w:val="auto"/>
          <w:highlight w:val="none"/>
        </w:rPr>
      </w:pPr>
    </w:p>
    <w:p>
      <w:pPr>
        <w:snapToGrid w:val="0"/>
        <w:spacing w:line="360" w:lineRule="auto"/>
        <w:rPr>
          <w:rFonts w:ascii="宋体" w:hAnsi="宋体"/>
          <w:color w:val="auto"/>
          <w:highlight w:val="none"/>
          <w:u w:val="single"/>
        </w:rPr>
      </w:pPr>
      <w:r>
        <w:rPr>
          <w:rFonts w:hint="eastAsia" w:ascii="宋体" w:hAnsi="宋体"/>
          <w:color w:val="auto"/>
          <w:highlight w:val="none"/>
        </w:rPr>
        <w:t>发包人：</w:t>
      </w:r>
      <w:r>
        <w:rPr>
          <w:rFonts w:ascii="宋体" w:hAnsi="宋体"/>
          <w:color w:val="auto"/>
          <w:highlight w:val="none"/>
          <w:u w:val="single"/>
        </w:rPr>
        <w:t xml:space="preserve">    </w:t>
      </w:r>
      <w:r>
        <w:rPr>
          <w:rFonts w:hint="eastAsia" w:ascii="宋体" w:hAnsi="宋体" w:eastAsia="宋体" w:cs="宋体"/>
          <w:b w:val="0"/>
          <w:bCs w:val="0"/>
          <w:color w:val="auto"/>
          <w:sz w:val="21"/>
          <w:szCs w:val="21"/>
          <w:highlight w:val="none"/>
          <w:u w:val="single"/>
        </w:rPr>
        <w:t>北京市顺义区仁和镇人民政府</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pPr>
        <w:snapToGrid w:val="0"/>
        <w:spacing w:line="360" w:lineRule="auto"/>
        <w:rPr>
          <w:rFonts w:ascii="宋体" w:hAnsi="宋体"/>
          <w:color w:val="auto"/>
          <w:highlight w:val="none"/>
        </w:rPr>
      </w:pPr>
      <w:r>
        <w:rPr>
          <w:rFonts w:hint="eastAsia" w:ascii="宋体" w:hAnsi="宋体"/>
          <w:color w:val="auto"/>
          <w:highlight w:val="none"/>
        </w:rPr>
        <w:t>承包人：</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pPr>
        <w:snapToGrid w:val="0"/>
        <w:spacing w:line="360" w:lineRule="auto"/>
        <w:ind w:firstLine="420" w:firstLineChars="200"/>
        <w:rPr>
          <w:rFonts w:ascii="宋体" w:hAnsi="宋体"/>
          <w:color w:val="auto"/>
          <w:highlight w:val="none"/>
        </w:rPr>
      </w:pPr>
    </w:p>
    <w:p>
      <w:pPr>
        <w:snapToGrid w:val="0"/>
        <w:spacing w:line="360" w:lineRule="auto"/>
        <w:ind w:firstLine="420" w:firstLineChars="200"/>
        <w:rPr>
          <w:rFonts w:ascii="宋体" w:hAnsi="宋体"/>
          <w:color w:val="auto"/>
          <w:szCs w:val="28"/>
          <w:highlight w:val="none"/>
        </w:rPr>
      </w:pPr>
      <w:r>
        <w:rPr>
          <w:rFonts w:hint="eastAsia" w:ascii="宋体" w:hAnsi="宋体"/>
          <w:color w:val="auto"/>
          <w:szCs w:val="28"/>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snapToGrid w:val="0"/>
        <w:spacing w:line="360" w:lineRule="auto"/>
        <w:ind w:firstLine="420" w:firstLineChars="200"/>
        <w:rPr>
          <w:rFonts w:ascii="宋体" w:hAnsi="宋体"/>
          <w:color w:val="auto"/>
          <w:szCs w:val="28"/>
          <w:highlight w:val="none"/>
        </w:rPr>
      </w:pPr>
      <w:r>
        <w:rPr>
          <w:rFonts w:hint="eastAsia" w:ascii="宋体" w:hAnsi="宋体"/>
          <w:color w:val="auto"/>
          <w:szCs w:val="28"/>
          <w:highlight w:val="none"/>
        </w:rPr>
        <w:t>一、双方的责任</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 xml:space="preserve">1.1 </w:t>
      </w:r>
      <w:r>
        <w:rPr>
          <w:rFonts w:hint="eastAsia" w:ascii="宋体" w:hAnsi="宋体"/>
          <w:color w:val="auto"/>
          <w:szCs w:val="28"/>
          <w:highlight w:val="none"/>
        </w:rPr>
        <w:t>应严格遵守国家关于建设工程的有关法律、法规，相关政策，以及廉政建设的各项规定。</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 xml:space="preserve">1.2 </w:t>
      </w:r>
      <w:r>
        <w:rPr>
          <w:rFonts w:hint="eastAsia" w:ascii="宋体" w:hAnsi="宋体"/>
          <w:color w:val="auto"/>
          <w:szCs w:val="28"/>
          <w:highlight w:val="none"/>
        </w:rPr>
        <w:t>严格执行建设工程合同文件，自觉按合同办事。</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 xml:space="preserve">1.3 </w:t>
      </w:r>
      <w:r>
        <w:rPr>
          <w:rFonts w:hint="eastAsia" w:ascii="宋体" w:hAnsi="宋体"/>
          <w:color w:val="auto"/>
          <w:szCs w:val="28"/>
          <w:highlight w:val="none"/>
        </w:rPr>
        <w:t>各项活动必须坚持公开、公平、公正、诚信、透明的原则（除法律法规另有规定者外），不得为获取不正当的利益，损害国家、集体和对方利益，不得违反建设工程管理的规章制度。</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 xml:space="preserve">1.4 </w:t>
      </w:r>
      <w:r>
        <w:rPr>
          <w:rFonts w:hint="eastAsia" w:ascii="宋体" w:hAnsi="宋体"/>
          <w:color w:val="auto"/>
          <w:szCs w:val="28"/>
          <w:highlight w:val="none"/>
        </w:rPr>
        <w:t>发现对方在业务活动中有违规、违纪、违法行为的，应及时提醒对方，情节严重的，应向其上级主管部门或纪检监察、司法等有关机关举报。</w:t>
      </w:r>
    </w:p>
    <w:p>
      <w:pPr>
        <w:snapToGrid w:val="0"/>
        <w:spacing w:line="360" w:lineRule="auto"/>
        <w:ind w:firstLine="420" w:firstLineChars="200"/>
        <w:rPr>
          <w:rFonts w:ascii="宋体" w:hAnsi="宋体"/>
          <w:color w:val="auto"/>
          <w:szCs w:val="28"/>
          <w:highlight w:val="none"/>
        </w:rPr>
      </w:pPr>
      <w:r>
        <w:rPr>
          <w:rFonts w:hint="eastAsia" w:ascii="宋体" w:hAnsi="宋体"/>
          <w:color w:val="auto"/>
          <w:szCs w:val="28"/>
          <w:highlight w:val="none"/>
        </w:rPr>
        <w:t>二、发包人责任</w:t>
      </w:r>
    </w:p>
    <w:p>
      <w:pPr>
        <w:snapToGrid w:val="0"/>
        <w:spacing w:line="360" w:lineRule="auto"/>
        <w:ind w:firstLine="420" w:firstLineChars="200"/>
        <w:rPr>
          <w:rFonts w:ascii="宋体" w:hAnsi="宋体"/>
          <w:color w:val="auto"/>
          <w:szCs w:val="28"/>
          <w:highlight w:val="none"/>
        </w:rPr>
      </w:pPr>
      <w:r>
        <w:rPr>
          <w:rFonts w:hint="eastAsia" w:ascii="宋体" w:hAnsi="宋体"/>
          <w:color w:val="auto"/>
          <w:szCs w:val="28"/>
          <w:highlight w:val="none"/>
        </w:rPr>
        <w:t>发包人的领导和从事该建设工程项目的工作人员，在工程建设的事前、事中、事后应遵守以下规定：</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2.1</w:t>
      </w:r>
      <w:r>
        <w:rPr>
          <w:rFonts w:hint="eastAsia" w:ascii="宋体" w:hAnsi="宋体"/>
          <w:color w:val="auto"/>
          <w:szCs w:val="28"/>
          <w:highlight w:val="none"/>
        </w:rPr>
        <w:t>不得向承包人和相关单位索要或接受回扣、礼金、有价证券、贵重物品和好处费、感谢费等。</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 xml:space="preserve">2.2 </w:t>
      </w:r>
      <w:r>
        <w:rPr>
          <w:rFonts w:hint="eastAsia" w:ascii="宋体" w:hAnsi="宋体"/>
          <w:color w:val="auto"/>
          <w:szCs w:val="28"/>
          <w:highlight w:val="none"/>
        </w:rPr>
        <w:t>不得在承包人和相关单位报销任何应由发包人或个人支付的费用。</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 xml:space="preserve">2.3 </w:t>
      </w:r>
      <w:r>
        <w:rPr>
          <w:rFonts w:hint="eastAsia" w:ascii="宋体" w:hAnsi="宋体"/>
          <w:color w:val="auto"/>
          <w:szCs w:val="28"/>
          <w:highlight w:val="none"/>
        </w:rPr>
        <w:t>不得要求、暗示或接受承包人和相关单位为个人装修住房、婚丧嫁娶、配偶子女的工作安排以及出国（境）、旅游等提供方便。</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 xml:space="preserve">2.4 </w:t>
      </w:r>
      <w:r>
        <w:rPr>
          <w:rFonts w:hint="eastAsia" w:ascii="宋体" w:hAnsi="宋体"/>
          <w:color w:val="auto"/>
          <w:szCs w:val="28"/>
          <w:highlight w:val="none"/>
        </w:rPr>
        <w:t>不得参加有可能影响公正执行公务的承包人和相关单位的宴请、健身、娱乐等活动。</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 xml:space="preserve">2.5 </w:t>
      </w:r>
      <w:r>
        <w:rPr>
          <w:rFonts w:hint="eastAsia" w:ascii="宋体" w:hAnsi="宋体"/>
          <w:color w:val="auto"/>
          <w:szCs w:val="28"/>
          <w:highlight w:val="none"/>
        </w:rPr>
        <w:t>不得向承包人和相关单位介绍或为配偶、子女、亲属参与同发包人工程建设管理合同有关的业务活动；不得以任何理由要求承包人和相关单位使用某种产品、材料和设备。</w:t>
      </w:r>
    </w:p>
    <w:p>
      <w:pPr>
        <w:snapToGrid w:val="0"/>
        <w:spacing w:line="360" w:lineRule="auto"/>
        <w:ind w:firstLine="420" w:firstLineChars="200"/>
        <w:rPr>
          <w:rFonts w:ascii="宋体" w:hAnsi="宋体"/>
          <w:color w:val="auto"/>
          <w:szCs w:val="28"/>
          <w:highlight w:val="none"/>
        </w:rPr>
      </w:pPr>
      <w:r>
        <w:rPr>
          <w:rFonts w:hint="eastAsia" w:ascii="宋体" w:hAnsi="宋体"/>
          <w:color w:val="auto"/>
          <w:szCs w:val="28"/>
          <w:highlight w:val="none"/>
        </w:rPr>
        <w:t>三、承包人责任</w:t>
      </w:r>
    </w:p>
    <w:p>
      <w:pPr>
        <w:snapToGrid w:val="0"/>
        <w:spacing w:line="360" w:lineRule="auto"/>
        <w:ind w:firstLine="420" w:firstLineChars="200"/>
        <w:rPr>
          <w:rFonts w:ascii="宋体" w:hAnsi="宋体"/>
          <w:color w:val="auto"/>
          <w:szCs w:val="28"/>
          <w:highlight w:val="none"/>
        </w:rPr>
      </w:pPr>
      <w:r>
        <w:rPr>
          <w:rFonts w:hint="eastAsia" w:ascii="宋体" w:hAnsi="宋体"/>
          <w:color w:val="auto"/>
          <w:szCs w:val="28"/>
          <w:highlight w:val="none"/>
        </w:rPr>
        <w:t>应与发包人保持正常的业务交往，按照有关法律法规和程序开展业务工作，严格执行工程建设的有关方针、政策，执行工程建设强制性标准，并遵守以下规定：</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 xml:space="preserve">3.1 </w:t>
      </w:r>
      <w:r>
        <w:rPr>
          <w:rFonts w:hint="eastAsia" w:ascii="宋体" w:hAnsi="宋体"/>
          <w:color w:val="auto"/>
          <w:szCs w:val="28"/>
          <w:highlight w:val="none"/>
        </w:rPr>
        <w:t>不得以任何理由向发包人及其工作人员索要、接受或赠送礼金、有价证券、贵重物品及回扣、好处费、感谢费等。</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3.2</w:t>
      </w:r>
      <w:r>
        <w:rPr>
          <w:rFonts w:hint="eastAsia" w:ascii="宋体" w:hAnsi="宋体"/>
          <w:color w:val="auto"/>
          <w:szCs w:val="28"/>
          <w:highlight w:val="none"/>
        </w:rPr>
        <w:t>不得以任何理由为发包人和相关单位报销应由对方或个人支付的费用。</w:t>
      </w:r>
    </w:p>
    <w:p>
      <w:pPr>
        <w:snapToGrid w:val="0"/>
        <w:spacing w:line="360" w:lineRule="auto"/>
        <w:ind w:firstLine="420" w:firstLineChars="200"/>
        <w:rPr>
          <w:rFonts w:hint="eastAsia" w:ascii="宋体" w:hAnsi="宋体"/>
          <w:color w:val="auto"/>
          <w:szCs w:val="28"/>
          <w:highlight w:val="none"/>
        </w:rPr>
      </w:pPr>
      <w:r>
        <w:rPr>
          <w:rFonts w:ascii="宋体" w:hAnsi="宋体"/>
          <w:color w:val="auto"/>
          <w:szCs w:val="28"/>
          <w:highlight w:val="none"/>
        </w:rPr>
        <w:t>3.3</w:t>
      </w:r>
      <w:r>
        <w:rPr>
          <w:rFonts w:hint="eastAsia" w:ascii="宋体" w:hAnsi="宋体"/>
          <w:color w:val="auto"/>
          <w:szCs w:val="28"/>
          <w:highlight w:val="none"/>
        </w:rPr>
        <w:t>不得接受或暗示为发包人、相关单位或个人装修住房、婚丧嫁娶、配偶子女的工作安排以</w:t>
      </w:r>
    </w:p>
    <w:p>
      <w:pPr>
        <w:snapToGrid w:val="0"/>
        <w:spacing w:line="360" w:lineRule="auto"/>
        <w:ind w:firstLine="420" w:firstLineChars="200"/>
        <w:rPr>
          <w:rFonts w:hint="eastAsia" w:ascii="宋体" w:hAnsi="宋体"/>
          <w:color w:val="auto"/>
          <w:szCs w:val="28"/>
          <w:highlight w:val="none"/>
        </w:rPr>
      </w:pPr>
    </w:p>
    <w:p>
      <w:pPr>
        <w:snapToGrid w:val="0"/>
        <w:spacing w:line="360" w:lineRule="auto"/>
        <w:rPr>
          <w:rFonts w:ascii="宋体" w:hAnsi="宋体"/>
          <w:color w:val="auto"/>
          <w:szCs w:val="28"/>
          <w:highlight w:val="none"/>
        </w:rPr>
      </w:pPr>
      <w:r>
        <w:rPr>
          <w:rFonts w:hint="eastAsia" w:ascii="宋体" w:hAnsi="宋体"/>
          <w:color w:val="auto"/>
          <w:szCs w:val="28"/>
          <w:highlight w:val="none"/>
        </w:rPr>
        <w:t>及出国（境）、旅游等提供方便。</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3.4</w:t>
      </w:r>
      <w:r>
        <w:rPr>
          <w:rFonts w:hint="eastAsia" w:ascii="宋体" w:hAnsi="宋体"/>
          <w:color w:val="auto"/>
          <w:szCs w:val="28"/>
          <w:highlight w:val="none"/>
        </w:rPr>
        <w:t>不得以任何理由为发包人、相关单位或个人组织有可能影响公正执行公务的宴请、健身、娱乐等活动。</w:t>
      </w:r>
    </w:p>
    <w:p>
      <w:pPr>
        <w:snapToGrid w:val="0"/>
        <w:spacing w:line="360" w:lineRule="auto"/>
        <w:ind w:firstLine="420" w:firstLineChars="200"/>
        <w:rPr>
          <w:rFonts w:ascii="宋体" w:hAnsi="宋体"/>
          <w:color w:val="auto"/>
          <w:szCs w:val="28"/>
          <w:highlight w:val="none"/>
        </w:rPr>
      </w:pPr>
      <w:r>
        <w:rPr>
          <w:rFonts w:hint="eastAsia" w:ascii="宋体" w:hAnsi="宋体"/>
          <w:color w:val="auto"/>
          <w:szCs w:val="28"/>
          <w:highlight w:val="none"/>
        </w:rPr>
        <w:t>四、违约责任</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4.1</w:t>
      </w:r>
      <w:r>
        <w:rPr>
          <w:rFonts w:hint="eastAsia" w:ascii="宋体" w:hAnsi="宋体"/>
          <w:color w:val="auto"/>
          <w:szCs w:val="28"/>
          <w:highlight w:val="none"/>
        </w:rPr>
        <w:t>发包人工作人员有违反本责任书第一、二条责任行为的，依据有关法律、法规给予处理；涉嫌犯罪的，移交司法机关追究刑事责任；给承包人单位造成经济损失的，应予以赔偿。</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 xml:space="preserve">4.2 </w:t>
      </w:r>
      <w:r>
        <w:rPr>
          <w:rFonts w:hint="eastAsia" w:ascii="宋体" w:hAnsi="宋体"/>
          <w:color w:val="auto"/>
          <w:szCs w:val="28"/>
          <w:highlight w:val="none"/>
        </w:rPr>
        <w:t>承包人工作人员有违反本责任书第一、三条责任行为的，依据有关法律法规处理；涉嫌犯罪的，移交司法机关追究刑事责任；给发包人单位造成经济损失的，应予以赔偿。</w:t>
      </w:r>
    </w:p>
    <w:p>
      <w:pPr>
        <w:snapToGrid w:val="0"/>
        <w:spacing w:line="360" w:lineRule="auto"/>
        <w:ind w:firstLine="420" w:firstLineChars="200"/>
        <w:rPr>
          <w:rFonts w:ascii="宋体" w:hAnsi="宋体"/>
          <w:color w:val="auto"/>
          <w:szCs w:val="28"/>
          <w:highlight w:val="none"/>
        </w:rPr>
      </w:pPr>
      <w:r>
        <w:rPr>
          <w:rFonts w:ascii="宋体" w:hAnsi="宋体"/>
          <w:color w:val="auto"/>
          <w:szCs w:val="28"/>
          <w:highlight w:val="none"/>
        </w:rPr>
        <w:t xml:space="preserve">4.3 </w:t>
      </w:r>
      <w:r>
        <w:rPr>
          <w:rFonts w:hint="eastAsia" w:ascii="宋体" w:hAnsi="宋体"/>
          <w:color w:val="auto"/>
          <w:szCs w:val="28"/>
          <w:highlight w:val="none"/>
        </w:rPr>
        <w:t>本责任书作为建设工程合同的组成部分，与建设工程合同具有同等法律效力。经双方签署后立即生效。</w:t>
      </w:r>
    </w:p>
    <w:p>
      <w:pPr>
        <w:snapToGrid w:val="0"/>
        <w:spacing w:line="360" w:lineRule="auto"/>
        <w:ind w:firstLine="420" w:firstLineChars="200"/>
        <w:rPr>
          <w:rFonts w:ascii="宋体" w:hAnsi="宋体"/>
          <w:color w:val="auto"/>
          <w:szCs w:val="28"/>
          <w:highlight w:val="none"/>
        </w:rPr>
      </w:pPr>
      <w:r>
        <w:rPr>
          <w:rFonts w:hint="eastAsia" w:ascii="宋体" w:hAnsi="宋体"/>
          <w:color w:val="auto"/>
          <w:szCs w:val="28"/>
          <w:highlight w:val="none"/>
        </w:rPr>
        <w:t>五、责任书有效期</w:t>
      </w:r>
    </w:p>
    <w:p>
      <w:pPr>
        <w:snapToGrid w:val="0"/>
        <w:spacing w:line="360" w:lineRule="auto"/>
        <w:ind w:firstLine="420" w:firstLineChars="200"/>
        <w:rPr>
          <w:rFonts w:ascii="宋体" w:hAnsi="宋体"/>
          <w:color w:val="auto"/>
          <w:szCs w:val="28"/>
          <w:highlight w:val="none"/>
        </w:rPr>
      </w:pPr>
      <w:r>
        <w:rPr>
          <w:rFonts w:hint="eastAsia" w:ascii="宋体" w:hAnsi="宋体"/>
          <w:color w:val="auto"/>
          <w:szCs w:val="28"/>
          <w:highlight w:val="none"/>
        </w:rPr>
        <w:t>本责任书的有效期为双方签署之日起至该工程项目竣工验收合格时止。</w:t>
      </w:r>
    </w:p>
    <w:p>
      <w:pPr>
        <w:snapToGrid w:val="0"/>
        <w:spacing w:line="360" w:lineRule="auto"/>
        <w:ind w:firstLine="420" w:firstLineChars="200"/>
        <w:rPr>
          <w:rFonts w:ascii="宋体" w:hAnsi="宋体"/>
          <w:color w:val="auto"/>
          <w:szCs w:val="28"/>
          <w:highlight w:val="none"/>
        </w:rPr>
      </w:pPr>
      <w:r>
        <w:rPr>
          <w:rFonts w:hint="eastAsia" w:ascii="宋体" w:hAnsi="宋体"/>
          <w:color w:val="auto"/>
          <w:szCs w:val="28"/>
          <w:highlight w:val="none"/>
        </w:rPr>
        <w:t>六、责任书份数</w:t>
      </w:r>
    </w:p>
    <w:p>
      <w:pPr>
        <w:snapToGrid w:val="0"/>
        <w:spacing w:line="360" w:lineRule="auto"/>
        <w:ind w:firstLine="420" w:firstLineChars="200"/>
        <w:rPr>
          <w:rFonts w:ascii="宋体" w:hAnsi="宋体"/>
          <w:color w:val="auto"/>
          <w:szCs w:val="28"/>
          <w:highlight w:val="none"/>
        </w:rPr>
      </w:pPr>
      <w:r>
        <w:rPr>
          <w:rFonts w:hint="eastAsia" w:ascii="宋体" w:hAnsi="宋体"/>
          <w:color w:val="auto"/>
          <w:szCs w:val="28"/>
          <w:highlight w:val="none"/>
        </w:rPr>
        <w:t>本责任书一式二份，发包人承包人各执一份，具有同等效力。</w:t>
      </w:r>
    </w:p>
    <w:p>
      <w:pPr>
        <w:snapToGrid w:val="0"/>
        <w:spacing w:line="360" w:lineRule="auto"/>
        <w:rPr>
          <w:rFonts w:ascii="宋体" w:hAnsi="宋体"/>
          <w:color w:val="auto"/>
          <w:szCs w:val="28"/>
          <w:highlight w:val="none"/>
        </w:rPr>
      </w:pPr>
    </w:p>
    <w:p>
      <w:pPr>
        <w:spacing w:line="360" w:lineRule="auto"/>
        <w:rPr>
          <w:rFonts w:hint="default" w:ascii="宋体" w:hAnsi="宋体" w:eastAsia="宋体"/>
          <w:color w:val="auto"/>
          <w:szCs w:val="21"/>
          <w:highlight w:val="none"/>
          <w:lang w:val="en-US" w:eastAsia="zh-CN"/>
        </w:rPr>
      </w:pPr>
      <w:r>
        <w:rPr>
          <w:rFonts w:hint="eastAsia" w:ascii="宋体" w:hAnsi="宋体"/>
          <w:bCs/>
          <w:color w:val="auto"/>
          <w:szCs w:val="21"/>
          <w:highlight w:val="none"/>
        </w:rPr>
        <w:t>发包人：</w:t>
      </w:r>
      <w:r>
        <w:rPr>
          <w:rFonts w:ascii="宋体" w:hAnsi="宋体"/>
          <w:color w:val="auto"/>
          <w:szCs w:val="21"/>
          <w:highlight w:val="none"/>
          <w:u w:val="single"/>
        </w:rPr>
        <w:t xml:space="preserve"> </w:t>
      </w:r>
      <w:r>
        <w:rPr>
          <w:rFonts w:hint="eastAsia" w:ascii="宋体" w:hAnsi="宋体" w:eastAsia="宋体" w:cs="Arial"/>
          <w:color w:val="auto"/>
          <w:szCs w:val="21"/>
          <w:highlight w:val="none"/>
          <w:u w:val="single"/>
        </w:rPr>
        <w:t>北京市顺义区仁和镇人民政府</w:t>
      </w:r>
      <w:r>
        <w:rPr>
          <w:rFonts w:ascii="宋体" w:hAnsi="宋体"/>
          <w:color w:val="auto"/>
          <w:szCs w:val="21"/>
          <w:highlight w:val="none"/>
          <w:u w:val="single"/>
        </w:rPr>
        <w:t xml:space="preserve"> </w:t>
      </w:r>
      <w:r>
        <w:rPr>
          <w:rFonts w:hint="eastAsia" w:ascii="宋体" w:hAnsi="宋体"/>
          <w:color w:val="auto"/>
          <w:szCs w:val="21"/>
          <w:highlight w:val="none"/>
          <w:u w:val="none"/>
          <w:lang w:val="en-US" w:eastAsia="zh-CN"/>
        </w:rPr>
        <w:t xml:space="preserve">  </w:t>
      </w:r>
      <w:r>
        <w:rPr>
          <w:rFonts w:hint="eastAsia" w:ascii="宋体" w:hAnsi="宋体"/>
          <w:bCs/>
          <w:color w:val="auto"/>
          <w:szCs w:val="21"/>
          <w:highlight w:val="none"/>
        </w:rPr>
        <w:t>承包人：</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p>
    <w:p>
      <w:pPr>
        <w:spacing w:line="360" w:lineRule="auto"/>
        <w:ind w:firstLine="1680" w:firstLineChars="800"/>
        <w:rPr>
          <w:rFonts w:ascii="宋体" w:hAnsi="宋体"/>
          <w:color w:val="auto"/>
          <w:szCs w:val="21"/>
          <w:highlight w:val="none"/>
        </w:rPr>
      </w:pPr>
      <w:r>
        <w:rPr>
          <w:rFonts w:hint="eastAsia" w:ascii="宋体" w:hAnsi="宋体"/>
          <w:color w:val="auto"/>
          <w:szCs w:val="21"/>
          <w:highlight w:val="none"/>
        </w:rPr>
        <w:t>（盖单位章）</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（盖单位章）</w:t>
      </w:r>
    </w:p>
    <w:p>
      <w:pPr>
        <w:snapToGrid w:val="0"/>
        <w:spacing w:line="360" w:lineRule="auto"/>
        <w:rPr>
          <w:rFonts w:ascii="宋体" w:hAnsi="宋体"/>
          <w:color w:val="auto"/>
          <w:highlight w:val="none"/>
        </w:rPr>
      </w:pPr>
      <w:r>
        <w:rPr>
          <w:rFonts w:hint="eastAsia" w:ascii="宋体" w:hAnsi="宋体"/>
          <w:color w:val="auto"/>
          <w:highlight w:val="none"/>
        </w:rPr>
        <w:t>法定地址：</w:t>
      </w:r>
      <w:r>
        <w:rPr>
          <w:rFonts w:hint="eastAsia" w:ascii="宋体" w:hAnsi="宋体" w:eastAsia="宋体"/>
          <w:color w:val="auto"/>
          <w:spacing w:val="-17"/>
          <w:sz w:val="21"/>
          <w:szCs w:val="21"/>
          <w:highlight w:val="none"/>
          <w:u w:val="single"/>
        </w:rPr>
        <w:t>北京市顺义区仁和地区顺平西路</w:t>
      </w:r>
      <w:r>
        <w:rPr>
          <w:rFonts w:ascii="宋体" w:hAnsi="宋体" w:eastAsia="宋体"/>
          <w:color w:val="auto"/>
          <w:spacing w:val="-17"/>
          <w:sz w:val="21"/>
          <w:szCs w:val="21"/>
          <w:highlight w:val="none"/>
          <w:u w:val="single"/>
        </w:rPr>
        <w:t>9</w:t>
      </w:r>
      <w:r>
        <w:rPr>
          <w:rFonts w:hint="eastAsia" w:ascii="宋体" w:hAnsi="宋体" w:eastAsia="宋体"/>
          <w:color w:val="auto"/>
          <w:spacing w:val="-17"/>
          <w:sz w:val="21"/>
          <w:szCs w:val="21"/>
          <w:highlight w:val="none"/>
          <w:u w:val="single"/>
        </w:rPr>
        <w:t>号</w:t>
      </w:r>
      <w:r>
        <w:rPr>
          <w:rFonts w:ascii="宋体" w:hAnsi="宋体"/>
          <w:color w:val="auto"/>
          <w:highlight w:val="none"/>
        </w:rPr>
        <w:t xml:space="preserve"> </w:t>
      </w:r>
      <w:r>
        <w:rPr>
          <w:rFonts w:hint="eastAsia" w:ascii="宋体" w:hAnsi="宋体"/>
          <w:color w:val="auto"/>
          <w:highlight w:val="none"/>
        </w:rPr>
        <w:t>法定地址：</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pPr>
        <w:snapToGrid w:val="0"/>
        <w:spacing w:line="360" w:lineRule="auto"/>
        <w:rPr>
          <w:rFonts w:ascii="宋体" w:hAnsi="宋体"/>
          <w:color w:val="auto"/>
          <w:highlight w:val="none"/>
        </w:rPr>
      </w:pPr>
      <w:r>
        <w:rPr>
          <w:rFonts w:hint="eastAsia" w:ascii="宋体" w:hAnsi="宋体"/>
          <w:color w:val="auto"/>
          <w:highlight w:val="none"/>
        </w:rPr>
        <w:t>法定代表人或其</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法定代表人或其</w:t>
      </w:r>
    </w:p>
    <w:p>
      <w:pPr>
        <w:snapToGrid w:val="0"/>
        <w:spacing w:line="360" w:lineRule="auto"/>
        <w:rPr>
          <w:rFonts w:ascii="宋体" w:hAnsi="宋体"/>
          <w:color w:val="auto"/>
          <w:highlight w:val="none"/>
        </w:rPr>
      </w:pPr>
      <w:r>
        <w:rPr>
          <w:rFonts w:hint="eastAsia" w:ascii="宋体" w:hAnsi="宋体"/>
          <w:color w:val="auto"/>
          <w:highlight w:val="none"/>
        </w:rPr>
        <w:t>委托代理人：</w:t>
      </w:r>
      <w:r>
        <w:rPr>
          <w:rFonts w:ascii="宋体" w:hAnsi="宋体"/>
          <w:color w:val="auto"/>
          <w:highlight w:val="none"/>
          <w:u w:val="single"/>
        </w:rPr>
        <w:t xml:space="preserve">               </w:t>
      </w:r>
      <w:r>
        <w:rPr>
          <w:rFonts w:hint="eastAsia" w:ascii="宋体" w:hAnsi="宋体"/>
          <w:color w:val="auto"/>
          <w:highlight w:val="none"/>
        </w:rPr>
        <w:t>（签字）</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委托代理人：</w:t>
      </w:r>
      <w:r>
        <w:rPr>
          <w:rFonts w:ascii="宋体" w:hAnsi="宋体"/>
          <w:color w:val="auto"/>
          <w:highlight w:val="none"/>
          <w:u w:val="single"/>
        </w:rPr>
        <w:t xml:space="preserve">                       </w:t>
      </w:r>
      <w:r>
        <w:rPr>
          <w:rFonts w:hint="eastAsia" w:ascii="宋体" w:hAnsi="宋体"/>
          <w:color w:val="auto"/>
          <w:highlight w:val="none"/>
        </w:rPr>
        <w:t>（签字）</w:t>
      </w:r>
    </w:p>
    <w:p>
      <w:pPr>
        <w:snapToGrid w:val="0"/>
        <w:spacing w:line="360" w:lineRule="auto"/>
        <w:rPr>
          <w:rFonts w:ascii="宋体" w:hAnsi="宋体"/>
          <w:color w:val="auto"/>
          <w:highlight w:val="none"/>
        </w:rPr>
      </w:pPr>
      <w:r>
        <w:rPr>
          <w:rFonts w:hint="eastAsia" w:ascii="宋体" w:hAnsi="宋体"/>
          <w:color w:val="auto"/>
          <w:highlight w:val="none"/>
        </w:rPr>
        <w:t>电话：</w:t>
      </w:r>
      <w:r>
        <w:rPr>
          <w:rFonts w:ascii="宋体" w:hAnsi="宋体"/>
          <w:color w:val="auto"/>
          <w:highlight w:val="none"/>
          <w:u w:val="single"/>
        </w:rPr>
        <w:t xml:space="preserve">    </w:t>
      </w:r>
      <w:r>
        <w:rPr>
          <w:rFonts w:hint="eastAsia" w:ascii="宋体" w:hAnsi="宋体" w:eastAsia="宋体" w:cs="宋体"/>
          <w:color w:val="auto"/>
          <w:sz w:val="21"/>
          <w:szCs w:val="21"/>
          <w:highlight w:val="none"/>
          <w:u w:val="single"/>
          <w:lang w:val="en-US" w:eastAsia="zh-CN"/>
        </w:rPr>
        <w:t>010-69461135</w:t>
      </w:r>
      <w:r>
        <w:rPr>
          <w:color w:val="auto"/>
          <w:sz w:val="21"/>
          <w:szCs w:val="21"/>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电话：</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pPr>
        <w:snapToGrid w:val="0"/>
        <w:spacing w:line="360" w:lineRule="auto"/>
        <w:rPr>
          <w:rFonts w:ascii="宋体" w:hAnsi="宋体"/>
          <w:color w:val="auto"/>
          <w:highlight w:val="none"/>
        </w:rPr>
      </w:pPr>
      <w:r>
        <w:rPr>
          <w:rFonts w:hint="eastAsia" w:ascii="宋体" w:hAnsi="宋体"/>
          <w:color w:val="auto"/>
          <w:highlight w:val="none"/>
        </w:rPr>
        <w:t>传真：</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传真：</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pPr>
        <w:snapToGrid w:val="0"/>
        <w:spacing w:line="360" w:lineRule="auto"/>
        <w:rPr>
          <w:rFonts w:ascii="宋体" w:hAnsi="宋体"/>
          <w:color w:val="auto"/>
          <w:highlight w:val="none"/>
        </w:rPr>
      </w:pPr>
      <w:r>
        <w:rPr>
          <w:rFonts w:hint="eastAsia" w:ascii="宋体" w:hAnsi="宋体"/>
          <w:color w:val="auto"/>
          <w:highlight w:val="none"/>
        </w:rPr>
        <w:t>电子邮箱：</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电子邮箱：</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pPr>
        <w:snapToGrid w:val="0"/>
        <w:spacing w:line="360" w:lineRule="auto"/>
        <w:rPr>
          <w:rFonts w:ascii="宋体" w:hAnsi="宋体"/>
          <w:color w:val="auto"/>
          <w:highlight w:val="none"/>
        </w:rPr>
      </w:pPr>
      <w:r>
        <w:rPr>
          <w:rFonts w:hint="eastAsia" w:ascii="宋体" w:hAnsi="宋体"/>
          <w:color w:val="auto"/>
          <w:highlight w:val="none"/>
        </w:rPr>
        <w:t>开户银行：</w:t>
      </w:r>
      <w:r>
        <w:rPr>
          <w:rFonts w:hint="eastAsia" w:ascii="宋体" w:hAnsi="宋体" w:eastAsia="宋体" w:cs="宋体"/>
          <w:color w:val="auto"/>
          <w:sz w:val="21"/>
          <w:szCs w:val="21"/>
          <w:highlight w:val="none"/>
          <w:u w:val="single"/>
          <w:lang w:val="en-US" w:eastAsia="zh-CN"/>
        </w:rPr>
        <w:t>中国农业银行北京石园支行</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开户银行：</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pPr>
        <w:snapToGrid w:val="0"/>
        <w:spacing w:line="360" w:lineRule="auto"/>
        <w:rPr>
          <w:rFonts w:ascii="宋体" w:hAnsi="宋体"/>
          <w:color w:val="auto"/>
          <w:highlight w:val="none"/>
        </w:rPr>
      </w:pPr>
      <w:r>
        <w:rPr>
          <w:rFonts w:hint="eastAsia" w:ascii="宋体" w:hAnsi="宋体"/>
          <w:color w:val="auto"/>
          <w:highlight w:val="none"/>
        </w:rPr>
        <w:t>帐号：</w:t>
      </w:r>
      <w:r>
        <w:rPr>
          <w:rFonts w:ascii="宋体" w:hAnsi="宋体"/>
          <w:color w:val="auto"/>
          <w:highlight w:val="none"/>
          <w:u w:val="single"/>
        </w:rPr>
        <w:t xml:space="preserve"> </w:t>
      </w:r>
      <w:r>
        <w:rPr>
          <w:rFonts w:hint="eastAsia" w:ascii="宋体" w:hAnsi="宋体" w:eastAsia="宋体" w:cs="宋体"/>
          <w:b w:val="0"/>
          <w:bCs/>
          <w:color w:val="auto"/>
          <w:sz w:val="21"/>
          <w:szCs w:val="21"/>
          <w:highlight w:val="none"/>
          <w:u w:val="single"/>
          <w:lang w:val="en-US" w:eastAsia="zh-CN"/>
        </w:rPr>
        <w:t>11121301040008993</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帐号：</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pPr>
        <w:snapToGrid w:val="0"/>
        <w:spacing w:line="360" w:lineRule="auto"/>
        <w:rPr>
          <w:rFonts w:ascii="宋体" w:hAnsi="宋体"/>
          <w:color w:val="auto"/>
          <w:highlight w:val="none"/>
        </w:rPr>
      </w:pPr>
      <w:r>
        <w:rPr>
          <w:rFonts w:hint="eastAsia" w:ascii="宋体" w:hAnsi="宋体"/>
          <w:color w:val="auto"/>
          <w:highlight w:val="none"/>
        </w:rPr>
        <w:t>邮政编码：</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101300     </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邮政编码：</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ascii="宋体" w:hAnsi="宋体"/>
          <w:color w:val="auto"/>
          <w:highlight w:val="none"/>
        </w:rPr>
        <w:t xml:space="preserve"> </w:t>
      </w:r>
    </w:p>
    <w:p>
      <w:pPr>
        <w:spacing w:line="560" w:lineRule="exact"/>
        <w:jc w:val="left"/>
        <w:rPr>
          <w:rFonts w:asciiTheme="minorEastAsia" w:hAnsiTheme="minorEastAsia" w:cstheme="minorEastAsia"/>
          <w:bCs/>
          <w:color w:val="auto"/>
          <w:szCs w:val="21"/>
          <w:highlight w:val="none"/>
        </w:rPr>
      </w:pPr>
      <w:r>
        <w:rPr>
          <w:rFonts w:hint="eastAsia" w:ascii="宋体" w:hAnsi="宋体"/>
          <w:color w:val="auto"/>
          <w:highlight w:val="none"/>
        </w:rPr>
        <w:t>监督单位：</w:t>
      </w:r>
      <w:r>
        <w:rPr>
          <w:rFonts w:ascii="宋体" w:hAnsi="宋体"/>
          <w:color w:val="auto"/>
          <w:highlight w:val="none"/>
          <w:u w:val="single"/>
        </w:rPr>
        <w:t xml:space="preserve">                  </w:t>
      </w:r>
      <w:r>
        <w:rPr>
          <w:rFonts w:hint="eastAsia" w:ascii="宋体" w:hAnsi="宋体"/>
          <w:color w:val="auto"/>
          <w:highlight w:val="none"/>
        </w:rPr>
        <w:t>（盖章）</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监督单位：</w:t>
      </w:r>
      <w:r>
        <w:rPr>
          <w:rFonts w:ascii="宋体" w:hAnsi="宋体"/>
          <w:color w:val="auto"/>
          <w:highlight w:val="none"/>
          <w:u w:val="single"/>
        </w:rPr>
        <w:t xml:space="preserve">                         </w:t>
      </w:r>
      <w:r>
        <w:rPr>
          <w:rFonts w:hint="eastAsia" w:ascii="宋体" w:hAnsi="宋体"/>
          <w:color w:val="auto"/>
          <w:highlight w:val="none"/>
        </w:rPr>
        <w:t>（盖章）</w:t>
      </w:r>
    </w:p>
    <w:p>
      <w:pPr>
        <w:spacing w:line="480" w:lineRule="auto"/>
        <w:rPr>
          <w:rFonts w:ascii="宋体" w:hAnsi="宋体" w:cs="宋体"/>
          <w:color w:val="auto"/>
          <w:sz w:val="24"/>
          <w:highlight w:val="none"/>
        </w:rPr>
      </w:pPr>
    </w:p>
    <w:p>
      <w:pPr>
        <w:pStyle w:val="63"/>
        <w:spacing w:line="360" w:lineRule="auto"/>
        <w:ind w:firstLine="480" w:firstLineChars="200"/>
        <w:jc w:val="center"/>
        <w:rPr>
          <w:rFonts w:hAnsi="宋体"/>
          <w:color w:val="auto"/>
          <w:highlight w:val="none"/>
        </w:rPr>
      </w:pPr>
    </w:p>
    <w:p>
      <w:pPr>
        <w:tabs>
          <w:tab w:val="left" w:pos="900"/>
          <w:tab w:val="left" w:pos="1080"/>
        </w:tabs>
        <w:snapToGrid w:val="0"/>
        <w:spacing w:line="360" w:lineRule="auto"/>
        <w:rPr>
          <w:rFonts w:ascii="宋体" w:hAnsi="宋体" w:cs="宋体"/>
          <w:color w:val="auto"/>
          <w:kern w:val="0"/>
          <w:sz w:val="18"/>
          <w:szCs w:val="18"/>
          <w:highlight w:val="none"/>
        </w:rPr>
      </w:pPr>
    </w:p>
    <w:p>
      <w:pPr>
        <w:tabs>
          <w:tab w:val="left" w:pos="900"/>
          <w:tab w:val="left" w:pos="1080"/>
        </w:tabs>
        <w:snapToGrid w:val="0"/>
        <w:spacing w:line="360" w:lineRule="auto"/>
        <w:rPr>
          <w:rFonts w:ascii="宋体" w:hAnsi="宋体" w:cs="宋体"/>
          <w:color w:val="auto"/>
          <w:kern w:val="0"/>
          <w:sz w:val="18"/>
          <w:szCs w:val="18"/>
          <w:highlight w:val="none"/>
        </w:rPr>
      </w:pPr>
    </w:p>
    <w:p>
      <w:pPr>
        <w:widowControl/>
        <w:jc w:val="left"/>
        <w:rPr>
          <w:rFonts w:ascii="宋体" w:hAnsi="宋体" w:cs="宋体"/>
          <w:b/>
          <w:color w:val="auto"/>
          <w:sz w:val="36"/>
          <w:szCs w:val="36"/>
          <w:highlight w:val="none"/>
        </w:rPr>
      </w:pPr>
    </w:p>
    <w:p>
      <w:pPr>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br w:type="page"/>
      </w:r>
    </w:p>
    <w:p>
      <w:pPr>
        <w:spacing w:line="360" w:lineRule="auto"/>
        <w:jc w:val="center"/>
        <w:outlineLvl w:val="0"/>
        <w:rPr>
          <w:rFonts w:hint="eastAsia" w:ascii="宋体" w:hAnsi="宋体" w:eastAsia="宋体" w:cs="宋体"/>
          <w:b/>
          <w:color w:val="auto"/>
          <w:sz w:val="36"/>
          <w:szCs w:val="36"/>
          <w:highlight w:val="none"/>
        </w:rPr>
      </w:pPr>
      <w:bookmarkStart w:id="675" w:name="_Toc26685"/>
      <w:r>
        <w:rPr>
          <w:rFonts w:hint="eastAsia" w:ascii="宋体" w:hAnsi="宋体" w:eastAsia="宋体" w:cs="宋体"/>
          <w:b/>
          <w:color w:val="auto"/>
          <w:sz w:val="36"/>
          <w:szCs w:val="36"/>
          <w:highlight w:val="none"/>
        </w:rPr>
        <w:t>第六章   响应文件格式</w:t>
      </w:r>
      <w:bookmarkEnd w:id="675"/>
    </w:p>
    <w:p>
      <w:pPr>
        <w:widowControl/>
        <w:spacing w:line="360" w:lineRule="auto"/>
        <w:jc w:val="left"/>
        <w:rPr>
          <w:rFonts w:hint="eastAsia" w:ascii="宋体" w:hAnsi="宋体" w:eastAsia="宋体" w:cs="宋体"/>
          <w:b/>
          <w:color w:val="auto"/>
          <w:sz w:val="24"/>
          <w:highlight w:val="none"/>
        </w:rPr>
      </w:pPr>
    </w:p>
    <w:p>
      <w:pPr>
        <w:widowControl/>
        <w:spacing w:line="360" w:lineRule="auto"/>
        <w:jc w:val="left"/>
        <w:rPr>
          <w:rFonts w:hint="eastAsia" w:ascii="宋体" w:hAnsi="宋体" w:eastAsia="宋体" w:cs="宋体"/>
          <w:b/>
          <w:color w:val="auto"/>
          <w:sz w:val="24"/>
          <w:highlight w:val="none"/>
        </w:rPr>
      </w:pPr>
    </w:p>
    <w:p>
      <w:pPr>
        <w:tabs>
          <w:tab w:val="left" w:pos="900"/>
          <w:tab w:val="left" w:pos="1980"/>
        </w:tabs>
        <w:snapToGrid w:val="0"/>
        <w:spacing w:line="360" w:lineRule="auto"/>
        <w:ind w:left="142"/>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供应商编制文件须知</w:t>
      </w:r>
    </w:p>
    <w:p>
      <w:pPr>
        <w:tabs>
          <w:tab w:val="left" w:pos="900"/>
          <w:tab w:val="left" w:pos="1980"/>
        </w:tabs>
        <w:snapToGrid w:val="0"/>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kern w:val="0"/>
          <w:sz w:val="24"/>
          <w:highlight w:val="none"/>
        </w:rPr>
        <w:t>对于竞争性磋商文件中标记了“实质性格式”文件的，供应商</w:t>
      </w:r>
      <w:r>
        <w:rPr>
          <w:rFonts w:hint="eastAsia" w:ascii="宋体" w:hAnsi="宋体" w:eastAsia="宋体" w:cs="宋体"/>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kern w:val="0"/>
          <w:sz w:val="24"/>
          <w:highlight w:val="none"/>
        </w:rPr>
        <w:t>否则响应无效</w:t>
      </w:r>
      <w:r>
        <w:rPr>
          <w:rFonts w:hint="eastAsia" w:ascii="宋体" w:hAnsi="宋体" w:eastAsia="宋体" w:cs="宋体"/>
          <w:color w:val="auto"/>
          <w:kern w:val="0"/>
          <w:sz w:val="24"/>
          <w:highlight w:val="none"/>
        </w:rPr>
        <w:t>。未标记“实质性格式”的文件和竞争性磋商文件未提供格式的内容，可由供应商自行编写。</w:t>
      </w:r>
    </w:p>
    <w:p>
      <w:pPr>
        <w:tabs>
          <w:tab w:val="left" w:pos="900"/>
          <w:tab w:val="left" w:pos="1980"/>
        </w:tabs>
        <w:snapToGrid w:val="0"/>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3、全部声明和问题的回答及所附材料必须是真实的、准确的和完整的。</w:t>
      </w:r>
    </w:p>
    <w:p>
      <w:pPr>
        <w:tabs>
          <w:tab w:val="left" w:pos="900"/>
          <w:tab w:val="left" w:pos="1980"/>
        </w:tabs>
        <w:snapToGrid w:val="0"/>
        <w:spacing w:line="360" w:lineRule="auto"/>
        <w:ind w:left="142"/>
        <w:rPr>
          <w:rFonts w:hint="eastAsia" w:ascii="宋体" w:hAnsi="宋体" w:eastAsia="宋体" w:cs="宋体"/>
          <w:color w:val="auto"/>
          <w:sz w:val="24"/>
          <w:highlight w:val="none"/>
        </w:rPr>
      </w:pPr>
    </w:p>
    <w:p>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Pr>
        <w:rPr>
          <w:rFonts w:hint="eastAsia" w:ascii="宋体" w:hAnsi="宋体" w:eastAsia="宋体" w:cs="宋体"/>
          <w:b/>
          <w:color w:val="auto"/>
          <w:spacing w:val="20"/>
          <w:szCs w:val="21"/>
          <w:highlight w:val="none"/>
        </w:rPr>
      </w:pPr>
    </w:p>
    <w:p>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响应文件</w:t>
      </w:r>
      <w:r>
        <w:rPr>
          <w:rFonts w:hint="eastAsia" w:ascii="宋体" w:hAnsi="宋体" w:eastAsia="宋体" w:cs="宋体"/>
          <w:b/>
          <w:color w:val="auto"/>
          <w:sz w:val="24"/>
          <w:highlight w:val="none"/>
        </w:rPr>
        <w:t>封面（非实质性格式）</w:t>
      </w:r>
    </w:p>
    <w:p>
      <w:pPr>
        <w:jc w:val="center"/>
        <w:rPr>
          <w:rFonts w:hint="eastAsia" w:ascii="宋体" w:hAnsi="宋体" w:eastAsia="宋体" w:cs="宋体"/>
          <w:color w:val="auto"/>
          <w:szCs w:val="21"/>
          <w:highlight w:val="none"/>
        </w:rPr>
      </w:pP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响 应 文 件</w:t>
      </w:r>
    </w:p>
    <w:p>
      <w:pPr>
        <w:jc w:val="center"/>
        <w:rPr>
          <w:rFonts w:hint="eastAsia" w:ascii="宋体" w:hAnsi="宋体" w:eastAsia="宋体" w:cs="宋体"/>
          <w:b/>
          <w:color w:val="auto"/>
          <w:spacing w:val="60"/>
          <w:sz w:val="52"/>
          <w:szCs w:val="52"/>
          <w:highlight w:val="none"/>
        </w:rPr>
      </w:pPr>
    </w:p>
    <w:p>
      <w:pPr>
        <w:ind w:firstLine="542" w:firstLineChars="150"/>
        <w:rPr>
          <w:rFonts w:hint="eastAsia" w:ascii="宋体" w:hAnsi="宋体" w:eastAsia="宋体" w:cs="宋体"/>
          <w:b/>
          <w:color w:val="auto"/>
          <w:spacing w:val="20"/>
          <w:sz w:val="32"/>
          <w:szCs w:val="32"/>
          <w:highlight w:val="none"/>
        </w:rPr>
      </w:pPr>
    </w:p>
    <w:p>
      <w:pPr>
        <w:ind w:firstLine="542" w:firstLineChars="150"/>
        <w:rPr>
          <w:rFonts w:hint="eastAsia" w:ascii="宋体" w:hAnsi="宋体" w:eastAsia="宋体" w:cs="宋体"/>
          <w:b/>
          <w:color w:val="auto"/>
          <w:spacing w:val="20"/>
          <w:sz w:val="32"/>
          <w:szCs w:val="32"/>
          <w:highlight w:val="none"/>
        </w:rPr>
      </w:pPr>
    </w:p>
    <w:p>
      <w:pPr>
        <w:ind w:firstLine="542" w:firstLineChars="150"/>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项目名称:</w:t>
      </w:r>
    </w:p>
    <w:p>
      <w:pPr>
        <w:ind w:firstLine="542" w:firstLineChars="150"/>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项目编号：</w:t>
      </w:r>
    </w:p>
    <w:p>
      <w:pPr>
        <w:ind w:firstLine="542" w:firstLineChars="150"/>
        <w:rPr>
          <w:rFonts w:hint="eastAsia" w:ascii="宋体" w:hAnsi="宋体" w:eastAsia="宋体" w:cs="宋体"/>
          <w:b/>
          <w:color w:val="auto"/>
          <w:spacing w:val="20"/>
          <w:sz w:val="32"/>
          <w:szCs w:val="32"/>
          <w:highlight w:val="none"/>
          <w:lang w:val="en-US" w:eastAsia="zh-CN"/>
        </w:rPr>
      </w:pPr>
      <w:r>
        <w:rPr>
          <w:rFonts w:hint="eastAsia" w:ascii="宋体" w:hAnsi="宋体" w:cs="宋体"/>
          <w:b/>
          <w:color w:val="auto"/>
          <w:spacing w:val="20"/>
          <w:sz w:val="32"/>
          <w:szCs w:val="32"/>
          <w:highlight w:val="none"/>
          <w:lang w:val="en-US" w:eastAsia="zh-CN"/>
        </w:rPr>
        <w:t>包号：</w:t>
      </w:r>
    </w:p>
    <w:p>
      <w:pPr>
        <w:ind w:firstLine="542" w:firstLineChars="150"/>
        <w:rPr>
          <w:rFonts w:hint="eastAsia" w:ascii="宋体" w:hAnsi="宋体" w:eastAsia="宋体" w:cs="宋体"/>
          <w:b/>
          <w:color w:val="auto"/>
          <w:spacing w:val="20"/>
          <w:sz w:val="32"/>
          <w:szCs w:val="32"/>
          <w:highlight w:val="none"/>
        </w:rPr>
      </w:pPr>
    </w:p>
    <w:p>
      <w:pPr>
        <w:jc w:val="center"/>
        <w:rPr>
          <w:rFonts w:hint="eastAsia" w:ascii="宋体" w:hAnsi="宋体" w:eastAsia="宋体" w:cs="宋体"/>
          <w:b/>
          <w:color w:val="auto"/>
          <w:sz w:val="32"/>
          <w:szCs w:val="32"/>
          <w:highlight w:val="none"/>
        </w:rPr>
      </w:pPr>
    </w:p>
    <w:p>
      <w:pPr>
        <w:jc w:val="center"/>
        <w:rPr>
          <w:rFonts w:hint="eastAsia" w:ascii="宋体" w:hAnsi="宋体" w:eastAsia="宋体" w:cs="宋体"/>
          <w:b/>
          <w:color w:val="auto"/>
          <w:sz w:val="32"/>
          <w:szCs w:val="32"/>
          <w:highlight w:val="none"/>
        </w:rPr>
      </w:pPr>
    </w:p>
    <w:p>
      <w:pPr>
        <w:jc w:val="center"/>
        <w:rPr>
          <w:rFonts w:hint="eastAsia" w:ascii="宋体" w:hAnsi="宋体" w:eastAsia="宋体" w:cs="宋体"/>
          <w:b/>
          <w:color w:val="auto"/>
          <w:sz w:val="32"/>
          <w:szCs w:val="32"/>
          <w:highlight w:val="none"/>
        </w:rPr>
      </w:pPr>
    </w:p>
    <w:p>
      <w:pPr>
        <w:jc w:val="center"/>
        <w:rPr>
          <w:rFonts w:hint="eastAsia" w:ascii="宋体" w:hAnsi="宋体" w:eastAsia="宋体" w:cs="宋体"/>
          <w:b/>
          <w:color w:val="auto"/>
          <w:spacing w:val="20"/>
          <w:sz w:val="32"/>
          <w:szCs w:val="32"/>
          <w:highlight w:val="none"/>
        </w:rPr>
      </w:pPr>
    </w:p>
    <w:p>
      <w:pPr>
        <w:jc w:val="center"/>
        <w:rPr>
          <w:rFonts w:hint="eastAsia" w:ascii="宋体" w:hAnsi="宋体" w:eastAsia="宋体" w:cs="宋体"/>
          <w:b/>
          <w:color w:val="auto"/>
          <w:spacing w:val="20"/>
          <w:sz w:val="32"/>
          <w:szCs w:val="32"/>
          <w:highlight w:val="none"/>
        </w:rPr>
      </w:pPr>
    </w:p>
    <w:p>
      <w:pPr>
        <w:jc w:val="center"/>
        <w:rPr>
          <w:rFonts w:hint="eastAsia" w:ascii="宋体" w:hAnsi="宋体" w:eastAsia="宋体" w:cs="宋体"/>
          <w:b/>
          <w:color w:val="auto"/>
          <w:spacing w:val="20"/>
          <w:sz w:val="32"/>
          <w:szCs w:val="32"/>
          <w:highlight w:val="none"/>
        </w:rPr>
      </w:pPr>
    </w:p>
    <w:p>
      <w:pPr>
        <w:spacing w:line="360" w:lineRule="auto"/>
        <w:ind w:firstLine="1445" w:firstLineChars="400"/>
        <w:jc w:val="left"/>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供应商名称：</w:t>
      </w:r>
    </w:p>
    <w:p>
      <w:pPr>
        <w:jc w:val="center"/>
        <w:rPr>
          <w:rFonts w:hint="eastAsia" w:ascii="宋体" w:hAnsi="宋体" w:eastAsia="宋体" w:cs="宋体"/>
          <w:b/>
          <w:color w:val="auto"/>
          <w:sz w:val="32"/>
          <w:szCs w:val="32"/>
          <w:highlight w:val="none"/>
        </w:rPr>
      </w:pPr>
    </w:p>
    <w:p>
      <w:pPr>
        <w:rPr>
          <w:rFonts w:hint="eastAsia" w:ascii="宋体" w:hAnsi="宋体" w:eastAsia="宋体" w:cs="宋体"/>
          <w:b/>
          <w:color w:val="auto"/>
          <w:highlight w:val="none"/>
        </w:rPr>
      </w:pPr>
      <w:r>
        <w:rPr>
          <w:rFonts w:hint="eastAsia" w:ascii="宋体" w:hAnsi="宋体" w:eastAsia="宋体" w:cs="宋体"/>
          <w:b/>
          <w:color w:val="auto"/>
          <w:spacing w:val="20"/>
          <w:sz w:val="32"/>
          <w:szCs w:val="32"/>
          <w:highlight w:val="none"/>
        </w:rPr>
        <w:br w:type="page"/>
      </w:r>
    </w:p>
    <w:p>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1 满足《中华人民共和国政府采购法》第二十二条规定及法律法规的其他规定</w:t>
      </w:r>
    </w:p>
    <w:p>
      <w:pPr>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r>
        <w:rPr>
          <w:rFonts w:hint="eastAsia" w:ascii="宋体" w:hAnsi="宋体" w:eastAsia="宋体" w:cs="宋体"/>
          <w:color w:val="auto"/>
          <w:sz w:val="24"/>
          <w:highlight w:val="none"/>
          <w:lang w:val="en-US" w:eastAsia="zh-CN"/>
        </w:rPr>
        <w:t>有效的</w:t>
      </w:r>
      <w:r>
        <w:rPr>
          <w:rFonts w:hint="eastAsia" w:ascii="宋体" w:hAnsi="宋体" w:eastAsia="宋体" w:cs="宋体"/>
          <w:color w:val="auto"/>
          <w:sz w:val="24"/>
          <w:highlight w:val="none"/>
        </w:rPr>
        <w:t>营业执照等证明文件</w:t>
      </w:r>
    </w:p>
    <w:p>
      <w:pPr>
        <w:tabs>
          <w:tab w:val="left" w:pos="1080"/>
        </w:tabs>
        <w:snapToGrid w:val="0"/>
        <w:rPr>
          <w:rFonts w:hint="eastAsia" w:ascii="宋体" w:hAnsi="宋体" w:eastAsia="宋体" w:cs="宋体"/>
          <w:color w:val="auto"/>
          <w:sz w:val="24"/>
          <w:highlight w:val="none"/>
        </w:rPr>
      </w:pPr>
    </w:p>
    <w:p>
      <w:pPr>
        <w:widowControl/>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br w:type="page"/>
      </w:r>
    </w:p>
    <w:p>
      <w:pPr>
        <w:pStyle w:val="4"/>
        <w:rPr>
          <w:rFonts w:hint="eastAsia" w:ascii="宋体" w:hAnsi="宋体" w:eastAsia="宋体" w:cs="宋体"/>
          <w:b w:val="0"/>
          <w:bCs/>
          <w:color w:val="auto"/>
          <w:szCs w:val="24"/>
          <w:highlight w:val="none"/>
          <w:u w:val="none"/>
        </w:rPr>
      </w:pPr>
      <w:r>
        <w:rPr>
          <w:rFonts w:hint="eastAsia" w:ascii="宋体" w:hAnsi="宋体" w:eastAsia="宋体" w:cs="宋体"/>
          <w:b w:val="0"/>
          <w:color w:val="auto"/>
          <w:szCs w:val="24"/>
          <w:highlight w:val="none"/>
          <w:u w:val="none"/>
        </w:rPr>
        <w:t>1-2 供应商资格声明书（实质性格式）</w:t>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供应商资格声明书</w:t>
      </w:r>
    </w:p>
    <w:p>
      <w:pPr>
        <w:tabs>
          <w:tab w:val="left" w:pos="5580"/>
        </w:tabs>
        <w:spacing w:line="360" w:lineRule="auto"/>
        <w:rPr>
          <w:rFonts w:hint="eastAsia" w:ascii="宋体" w:hAnsi="宋体" w:eastAsia="宋体" w:cs="宋体"/>
          <w:color w:val="auto"/>
          <w:sz w:val="24"/>
          <w:highlight w:val="none"/>
        </w:rPr>
      </w:pPr>
    </w:p>
    <w:p>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在参与本次项目磋商中，我单位承诺：</w:t>
      </w:r>
    </w:p>
    <w:p>
      <w:pPr>
        <w:numPr>
          <w:ilvl w:val="0"/>
          <w:numId w:val="24"/>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具有良好的商业信誉和健全的财务会计制度；</w:t>
      </w:r>
    </w:p>
    <w:p>
      <w:pPr>
        <w:numPr>
          <w:ilvl w:val="0"/>
          <w:numId w:val="24"/>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具有履行合同所必需的设备和专业技术能力；</w:t>
      </w:r>
    </w:p>
    <w:p>
      <w:pPr>
        <w:numPr>
          <w:ilvl w:val="0"/>
          <w:numId w:val="24"/>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有依法缴纳税收和社会保障资金的良好记录；</w:t>
      </w:r>
    </w:p>
    <w:p>
      <w:pPr>
        <w:numPr>
          <w:ilvl w:val="0"/>
          <w:numId w:val="24"/>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4"/>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我单位不属于政府采购法律、行政法规规定的公益一类事业单位、或使用事业编制且由财政拨款保障的群团组织（仅适用于政府购买服务项目）；</w:t>
      </w:r>
    </w:p>
    <w:p>
      <w:pPr>
        <w:numPr>
          <w:ilvl w:val="0"/>
          <w:numId w:val="24"/>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24"/>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4574"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p>
        </w:tc>
        <w:tc>
          <w:tcPr>
            <w:tcW w:w="2976"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574" w:type="dxa"/>
            <w:vAlign w:val="center"/>
          </w:tcPr>
          <w:p>
            <w:pPr>
              <w:jc w:val="center"/>
              <w:rPr>
                <w:rFonts w:hint="eastAsia" w:ascii="宋体" w:hAnsi="宋体" w:eastAsia="宋体" w:cs="宋体"/>
                <w:color w:val="auto"/>
                <w:sz w:val="24"/>
                <w:highlight w:val="none"/>
              </w:rPr>
            </w:pPr>
          </w:p>
        </w:tc>
        <w:tc>
          <w:tcPr>
            <w:tcW w:w="2976" w:type="dxa"/>
            <w:vAlign w:val="center"/>
          </w:tcPr>
          <w:p>
            <w:pPr>
              <w:jc w:val="center"/>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4574" w:type="dxa"/>
            <w:vAlign w:val="center"/>
          </w:tcPr>
          <w:p>
            <w:pPr>
              <w:jc w:val="center"/>
              <w:rPr>
                <w:rFonts w:hint="eastAsia" w:ascii="宋体" w:hAnsi="宋体" w:eastAsia="宋体" w:cs="宋体"/>
                <w:color w:val="auto"/>
                <w:sz w:val="24"/>
                <w:highlight w:val="none"/>
              </w:rPr>
            </w:pPr>
          </w:p>
        </w:tc>
        <w:tc>
          <w:tcPr>
            <w:tcW w:w="2976" w:type="dxa"/>
            <w:vAlign w:val="center"/>
          </w:tcPr>
          <w:p>
            <w:pPr>
              <w:jc w:val="center"/>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4574" w:type="dxa"/>
            <w:vAlign w:val="center"/>
          </w:tcPr>
          <w:p>
            <w:pPr>
              <w:jc w:val="center"/>
              <w:rPr>
                <w:rFonts w:hint="eastAsia" w:ascii="宋体" w:hAnsi="宋体" w:eastAsia="宋体" w:cs="宋体"/>
                <w:color w:val="auto"/>
                <w:sz w:val="24"/>
                <w:highlight w:val="none"/>
              </w:rPr>
            </w:pPr>
          </w:p>
        </w:tc>
        <w:tc>
          <w:tcPr>
            <w:tcW w:w="2976" w:type="dxa"/>
            <w:vAlign w:val="center"/>
          </w:tcPr>
          <w:p>
            <w:pPr>
              <w:jc w:val="center"/>
              <w:rPr>
                <w:rFonts w:hint="eastAsia" w:ascii="宋体" w:hAnsi="宋体" w:eastAsia="宋体" w:cs="宋体"/>
                <w:color w:val="auto"/>
                <w:sz w:val="24"/>
                <w:highlight w:val="none"/>
              </w:rPr>
            </w:pPr>
          </w:p>
        </w:tc>
      </w:tr>
    </w:tbl>
    <w:p>
      <w:pPr>
        <w:rPr>
          <w:rFonts w:hint="eastAsia" w:ascii="宋体" w:hAnsi="宋体" w:eastAsia="宋体" w:cs="宋体"/>
          <w:color w:val="auto"/>
          <w:highlight w:val="none"/>
        </w:rPr>
      </w:pPr>
    </w:p>
    <w:p>
      <w:pPr>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上述声明真实有效，否则我方负全部责任。</w:t>
      </w:r>
    </w:p>
    <w:p>
      <w:pPr>
        <w:spacing w:line="360" w:lineRule="auto"/>
        <w:rPr>
          <w:rFonts w:hint="eastAsia" w:ascii="宋体" w:hAnsi="宋体" w:eastAsia="宋体" w:cs="宋体"/>
          <w:color w:val="auto"/>
          <w:sz w:val="24"/>
          <w:highlight w:val="none"/>
        </w:rPr>
      </w:pPr>
    </w:p>
    <w:p>
      <w:pPr>
        <w:autoSpaceDE w:val="0"/>
        <w:autoSpaceDN w:val="0"/>
        <w:adjustRightInd w:val="0"/>
        <w:snapToGrid w:val="0"/>
        <w:spacing w:before="25" w:after="25" w:line="360" w:lineRule="auto"/>
        <w:ind w:right="360"/>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日期：____年____月____日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说明：供应商承诺不实的，依据《政府采购法》第七十七条“提供虚假材料谋取中标、成交的”有关规定予以处理。</w:t>
      </w:r>
    </w:p>
    <w:p>
      <w:pPr>
        <w:tabs>
          <w:tab w:val="left" w:pos="5580"/>
        </w:tabs>
        <w:spacing w:line="360" w:lineRule="auto"/>
        <w:rPr>
          <w:rFonts w:hint="eastAsia" w:ascii="宋体" w:hAnsi="宋体" w:eastAsia="宋体" w:cs="宋体"/>
          <w:color w:val="auto"/>
          <w:sz w:val="24"/>
          <w:highlight w:val="none"/>
        </w:rPr>
        <w:sectPr>
          <w:pgSz w:w="11907" w:h="16840"/>
          <w:pgMar w:top="1418" w:right="1134" w:bottom="1418" w:left="1701" w:header="851" w:footer="851" w:gutter="0"/>
          <w:pgNumType w:fmt="decimal"/>
          <w:cols w:space="720" w:num="1"/>
          <w:docGrid w:linePitch="462" w:charSpace="0"/>
        </w:sectPr>
      </w:pP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 落实政府采购政策需满足的资格要求（如有）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2-1 中小企业证明文件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说明：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（1）如本项目（包）不专门面向中小企业预留采购份额，供应商无须</w:t>
      </w:r>
      <w:r>
        <w:rPr>
          <w:rFonts w:hint="eastAsia" w:ascii="宋体" w:hAnsi="宋体" w:eastAsia="宋体" w:cs="宋体"/>
          <w:color w:val="auto"/>
          <w:sz w:val="24"/>
          <w:highlight w:val="none"/>
        </w:rPr>
        <w:t>提</w:t>
      </w:r>
      <w:r>
        <w:rPr>
          <w:rFonts w:ascii="宋体" w:hAnsi="宋体" w:eastAsia="宋体"/>
          <w:color w:val="auto"/>
          <w:sz w:val="24"/>
          <w:highlight w:val="none"/>
        </w:rPr>
        <w:t>供《中小企业声明函》或《残疾人福利性单位声明函》或由省级以上监狱管理局、戒毒管理局（含新疆生产建设兵团）出具的属于监狱企业的证明文件；当供应商拟享受中小企业扶持政策时，仍应</w:t>
      </w:r>
      <w:r>
        <w:rPr>
          <w:rFonts w:hint="eastAsia" w:ascii="宋体" w:hAnsi="宋体" w:eastAsia="宋体" w:cs="宋体"/>
          <w:color w:val="auto"/>
          <w:sz w:val="24"/>
          <w:highlight w:val="none"/>
        </w:rPr>
        <w:t>提</w:t>
      </w:r>
      <w:r>
        <w:rPr>
          <w:rFonts w:ascii="宋体" w:hAnsi="宋体" w:eastAsia="宋体"/>
          <w:color w:val="auto"/>
          <w:sz w:val="24"/>
          <w:highlight w:val="none"/>
        </w:rPr>
        <w:t xml:space="preserve">供上述证明文件，否则不享受相关中小企业扶持政策。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（2）如本项目（包）专门面向中小企业采购，响应文件中须</w:t>
      </w:r>
      <w:r>
        <w:rPr>
          <w:rFonts w:hint="eastAsia" w:ascii="宋体" w:hAnsi="宋体" w:eastAsia="宋体" w:cs="宋体"/>
          <w:color w:val="auto"/>
          <w:sz w:val="24"/>
          <w:highlight w:val="none"/>
        </w:rPr>
        <w:t>提</w:t>
      </w:r>
      <w:r>
        <w:rPr>
          <w:rFonts w:ascii="宋体" w:hAnsi="宋体" w:eastAsia="宋体"/>
          <w:color w:val="auto"/>
          <w:sz w:val="24"/>
          <w:highlight w:val="none"/>
        </w:rPr>
        <w:t>供《中小企业声明函》或《残疾人福利性单位声明函》，或</w:t>
      </w:r>
      <w:r>
        <w:rPr>
          <w:rFonts w:hint="eastAsia" w:ascii="宋体" w:hAnsi="宋体" w:eastAsia="宋体" w:cs="宋体"/>
          <w:color w:val="auto"/>
          <w:sz w:val="24"/>
          <w:highlight w:val="none"/>
        </w:rPr>
        <w:t>提</w:t>
      </w:r>
      <w:r>
        <w:rPr>
          <w:rFonts w:ascii="宋体" w:hAnsi="宋体" w:eastAsia="宋体"/>
          <w:color w:val="auto"/>
          <w:sz w:val="24"/>
          <w:highlight w:val="none"/>
        </w:rPr>
        <w:t xml:space="preserve">供由省级以上监狱管理局、戒毒管理局（含新疆生产建设兵团）出具的属于监狱企业的证明文件。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（3）如本项目（包）预留部分采购项目预算专门面向中小企业采购，且要求获得采购 合同的供应商将采购项目中的一定比例分包给一家或者多家中小企业或要求供应商以联合体形式参加采购活动，响应文件中须</w:t>
      </w:r>
      <w:r>
        <w:rPr>
          <w:rFonts w:hint="eastAsia" w:ascii="宋体" w:hAnsi="宋体" w:eastAsia="宋体" w:cs="宋体"/>
          <w:color w:val="auto"/>
          <w:sz w:val="24"/>
          <w:highlight w:val="none"/>
        </w:rPr>
        <w:t>提</w:t>
      </w:r>
      <w:r>
        <w:rPr>
          <w:rFonts w:ascii="宋体" w:hAnsi="宋体" w:eastAsia="宋体"/>
          <w:color w:val="auto"/>
          <w:sz w:val="24"/>
          <w:highlight w:val="none"/>
        </w:rPr>
        <w:t xml:space="preserve">供《中小企业声明函》或《残疾人福利性单 位声明函》或由省级以上监狱管理局、戒毒管理局（含新疆生产建设兵团）出具的属于监狱企业的证明文件。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（4）中小企业声明函填写注意事项</w:t>
      </w:r>
    </w:p>
    <w:p>
      <w:pPr>
        <w:spacing w:line="360" w:lineRule="auto"/>
        <w:ind w:firstLine="480" w:firstLineChars="200"/>
        <w:rPr>
          <w:rFonts w:hint="eastAsia" w:ascii="宋体" w:hAnsi="宋体" w:eastAsia="宋体"/>
          <w:color w:val="auto"/>
          <w:sz w:val="24"/>
          <w:highlight w:val="none"/>
        </w:rPr>
      </w:pPr>
      <w:r>
        <w:rPr>
          <w:rFonts w:ascii="宋体" w:hAnsi="宋体" w:eastAsia="宋体"/>
          <w:color w:val="auto"/>
          <w:sz w:val="24"/>
          <w:highlight w:val="none"/>
        </w:rPr>
        <w:t xml:space="preserve">1）《中小企业声明函》由参加政府采购活动的供应商出具。联合体参与的，《中小企业声明函》可由牵头人出具。 </w:t>
      </w:r>
    </w:p>
    <w:p>
      <w:pPr>
        <w:spacing w:line="360" w:lineRule="auto"/>
        <w:ind w:firstLine="480" w:firstLineChars="200"/>
        <w:rPr>
          <w:rFonts w:hint="eastAsia" w:ascii="宋体" w:hAnsi="宋体" w:eastAsia="宋体"/>
          <w:color w:val="auto"/>
          <w:sz w:val="24"/>
          <w:highlight w:val="none"/>
        </w:rPr>
      </w:pPr>
      <w:r>
        <w:rPr>
          <w:rFonts w:ascii="宋体" w:hAnsi="宋体" w:eastAsia="宋体"/>
          <w:color w:val="auto"/>
          <w:sz w:val="24"/>
          <w:highlight w:val="none"/>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p>
    <w:p>
      <w:pPr>
        <w:spacing w:line="360" w:lineRule="auto"/>
        <w:ind w:firstLine="480" w:firstLineChars="200"/>
        <w:rPr>
          <w:rFonts w:hint="eastAsia" w:ascii="宋体" w:hAnsi="宋体" w:eastAsia="宋体"/>
          <w:color w:val="auto"/>
          <w:sz w:val="24"/>
          <w:highlight w:val="none"/>
        </w:rPr>
      </w:pPr>
      <w:r>
        <w:rPr>
          <w:rFonts w:ascii="宋体" w:hAnsi="宋体" w:eastAsia="宋体"/>
          <w:color w:val="auto"/>
          <w:sz w:val="24"/>
          <w:highlight w:val="none"/>
        </w:rPr>
        <w:t>3）对于多标的采购项目，供应商应充分、准确地了解所</w:t>
      </w:r>
      <w:r>
        <w:rPr>
          <w:rFonts w:hint="eastAsia" w:ascii="宋体" w:hAnsi="宋体" w:eastAsia="宋体" w:cs="宋体"/>
          <w:color w:val="auto"/>
          <w:sz w:val="24"/>
          <w:highlight w:val="none"/>
        </w:rPr>
        <w:t>提</w:t>
      </w:r>
      <w:r>
        <w:rPr>
          <w:rFonts w:ascii="宋体" w:hAnsi="宋体" w:eastAsia="宋体"/>
          <w:color w:val="auto"/>
          <w:sz w:val="24"/>
          <w:highlight w:val="none"/>
        </w:rPr>
        <w:t>供货物的制造企业、</w:t>
      </w:r>
      <w:r>
        <w:rPr>
          <w:rFonts w:hint="eastAsia" w:ascii="宋体" w:hAnsi="宋体" w:eastAsia="宋体" w:cs="宋体"/>
          <w:color w:val="auto"/>
          <w:sz w:val="24"/>
          <w:highlight w:val="none"/>
        </w:rPr>
        <w:t>提</w:t>
      </w:r>
      <w:r>
        <w:rPr>
          <w:rFonts w:ascii="宋体" w:hAnsi="宋体" w:eastAsia="宋体"/>
          <w:color w:val="auto"/>
          <w:sz w:val="24"/>
          <w:highlight w:val="none"/>
        </w:rPr>
        <w:t>供服务的承接企业信息。对相关情况了解不清楚的，不建议填报本声明函。</w:t>
      </w:r>
    </w:p>
    <w:p>
      <w:pPr>
        <w:tabs>
          <w:tab w:val="left" w:pos="360"/>
        </w:tabs>
        <w:snapToGrid w:val="0"/>
        <w:spacing w:line="360" w:lineRule="auto"/>
        <w:outlineLvl w:val="1"/>
        <w:rPr>
          <w:rFonts w:hint="eastAsia" w:ascii="宋体" w:hAnsi="宋体" w:eastAsia="宋体" w:cs="宋体"/>
          <w:color w:val="auto"/>
          <w:sz w:val="24"/>
          <w:highlight w:val="none"/>
        </w:rPr>
      </w:pPr>
      <w:r>
        <w:rPr>
          <w:rFonts w:ascii="宋体" w:hAnsi="宋体" w:eastAsia="宋体"/>
          <w:color w:val="auto"/>
          <w:sz w:val="24"/>
          <w:highlight w:val="none"/>
        </w:rPr>
        <w:t xml:space="preserve"> （5）温馨</w:t>
      </w:r>
      <w:r>
        <w:rPr>
          <w:rFonts w:hint="eastAsia" w:ascii="宋体" w:hAnsi="宋体" w:eastAsia="宋体" w:cs="宋体"/>
          <w:color w:val="auto"/>
          <w:sz w:val="24"/>
          <w:highlight w:val="none"/>
        </w:rPr>
        <w:t>提</w:t>
      </w:r>
      <w:r>
        <w:rPr>
          <w:rFonts w:ascii="宋体" w:hAnsi="宋体" w:eastAsia="宋体"/>
          <w:color w:val="auto"/>
          <w:sz w:val="24"/>
          <w:highlight w:val="none"/>
        </w:rPr>
        <w:t>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pPr>
        <w:tabs>
          <w:tab w:val="left" w:pos="5580"/>
        </w:tabs>
        <w:spacing w:line="360" w:lineRule="auto"/>
        <w:rPr>
          <w:rFonts w:hint="eastAsia" w:ascii="宋体" w:hAnsi="宋体" w:eastAsia="宋体" w:cs="宋体"/>
          <w:color w:val="auto"/>
          <w:sz w:val="24"/>
          <w:highlight w:val="none"/>
        </w:rPr>
      </w:pPr>
    </w:p>
    <w:p>
      <w:pPr>
        <w:spacing w:before="240" w:beforeLines="100" w:after="240" w:afterLines="100" w:line="360" w:lineRule="auto"/>
        <w:jc w:val="both"/>
        <w:rPr>
          <w:rFonts w:hint="eastAsia" w:ascii="宋体" w:hAnsi="宋体" w:eastAsia="宋体" w:cs="宋体"/>
          <w:b/>
          <w:bCs/>
          <w:color w:val="auto"/>
          <w:sz w:val="36"/>
          <w:szCs w:val="36"/>
          <w:highlight w:val="none"/>
        </w:rPr>
      </w:pPr>
      <w:r>
        <w:rPr>
          <w:rFonts w:hint="eastAsia" w:ascii="宋体" w:hAnsi="宋体" w:eastAsia="宋体" w:cs="宋体"/>
          <w:b/>
          <w:bCs/>
          <w:color w:val="auto"/>
          <w:sz w:val="24"/>
          <w:szCs w:val="24"/>
          <w:highlight w:val="none"/>
          <w:lang w:val="en-US" w:eastAsia="zh-CN"/>
        </w:rPr>
        <w:t>2-1-1 中小企业声明函及残疾人福利性单位声明函格式</w:t>
      </w:r>
    </w:p>
    <w:p>
      <w:pPr>
        <w:spacing w:before="240" w:beforeLines="100" w:after="240" w:afterLines="100" w:line="360"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rPr>
        <w:t>中小企业声明函（货物）格式</w:t>
      </w:r>
      <w:r>
        <w:rPr>
          <w:rFonts w:hint="eastAsia" w:ascii="宋体" w:hAnsi="宋体" w:eastAsia="宋体" w:cs="宋体"/>
          <w:color w:val="auto"/>
          <w:sz w:val="24"/>
          <w:szCs w:val="24"/>
          <w:highlight w:val="none"/>
        </w:rPr>
        <w:t>（格式，不符合条件无须提交）</w:t>
      </w:r>
      <w:r>
        <w:rPr>
          <w:rFonts w:hint="eastAsia" w:ascii="宋体" w:hAnsi="宋体" w:eastAsia="宋体" w:cs="宋体"/>
          <w:b/>
          <w:color w:val="auto"/>
          <w:sz w:val="36"/>
          <w:szCs w:val="36"/>
          <w:highlight w:val="none"/>
        </w:rPr>
        <w:t xml:space="preserve"> </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w:t>
      </w:r>
      <w:r>
        <w:rPr>
          <w:rFonts w:hint="eastAsia" w:ascii="宋体" w:hAnsi="宋体" w:eastAsia="宋体" w:cs="宋体"/>
          <w:color w:val="auto"/>
          <w:spacing w:val="6"/>
          <w:sz w:val="24"/>
          <w:highlight w:val="none"/>
          <w:u w:val="single"/>
        </w:rPr>
        <w:t xml:space="preserve"> （标的名称）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（竞争性磋商文件中明确的所属行业）</w:t>
      </w:r>
      <w:r>
        <w:rPr>
          <w:rFonts w:hint="eastAsia" w:ascii="宋体" w:hAnsi="宋体" w:eastAsia="宋体" w:cs="宋体"/>
          <w:color w:val="auto"/>
          <w:spacing w:val="6"/>
          <w:sz w:val="24"/>
          <w:highlight w:val="none"/>
        </w:rPr>
        <w:t>行业；制造商为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，从业人员______人，营业收入为______万元，资产总额为______万元</w:t>
      </w:r>
      <w:r>
        <w:rPr>
          <w:rFonts w:hint="eastAsia" w:ascii="宋体" w:hAnsi="宋体" w:eastAsia="宋体" w:cs="宋体"/>
          <w:color w:val="auto"/>
          <w:spacing w:val="6"/>
          <w:sz w:val="24"/>
          <w:highlight w:val="none"/>
          <w:vertAlign w:val="superscript"/>
        </w:rPr>
        <w:t>1</w:t>
      </w:r>
      <w:r>
        <w:rPr>
          <w:rFonts w:hint="eastAsia" w:ascii="宋体" w:hAnsi="宋体" w:eastAsia="宋体" w:cs="宋体"/>
          <w:color w:val="auto"/>
          <w:spacing w:val="6"/>
          <w:sz w:val="24"/>
          <w:highlight w:val="none"/>
        </w:rPr>
        <w:t>，属于（中型企业、小型企业、微型企业）；</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 </w:t>
      </w:r>
      <w:r>
        <w:rPr>
          <w:rFonts w:hint="eastAsia" w:ascii="宋体" w:hAnsi="宋体" w:eastAsia="宋体" w:cs="宋体"/>
          <w:color w:val="auto"/>
          <w:spacing w:val="6"/>
          <w:sz w:val="24"/>
          <w:highlight w:val="none"/>
          <w:u w:val="single"/>
        </w:rPr>
        <w:t xml:space="preserve">（标的名称）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（竞争性磋商文件中明确的所属行业）</w:t>
      </w:r>
      <w:r>
        <w:rPr>
          <w:rFonts w:hint="eastAsia" w:ascii="宋体" w:hAnsi="宋体" w:eastAsia="宋体" w:cs="宋体"/>
          <w:color w:val="auto"/>
          <w:spacing w:val="6"/>
          <w:sz w:val="24"/>
          <w:highlight w:val="none"/>
        </w:rPr>
        <w:t>行业；制造商为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，从业人员______人，营业收入为______万元，资产总额为______万元，属于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pPr>
        <w:spacing w:line="360" w:lineRule="auto"/>
        <w:ind w:firstLine="504"/>
        <w:rPr>
          <w:rFonts w:hint="eastAsia" w:ascii="宋体" w:hAnsi="宋体" w:eastAsia="宋体" w:cs="宋体"/>
          <w:color w:val="auto"/>
          <w:spacing w:val="6"/>
          <w:sz w:val="24"/>
          <w:highlight w:val="none"/>
        </w:rPr>
      </w:pPr>
    </w:p>
    <w:p>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企业名称（盖章）：______</w:t>
      </w:r>
    </w:p>
    <w:p>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期：______</w:t>
      </w:r>
    </w:p>
    <w:p>
      <w:pPr>
        <w:spacing w:line="360" w:lineRule="auto"/>
        <w:ind w:right="360" w:firstLine="480"/>
        <w:jc w:val="right"/>
        <w:rPr>
          <w:rFonts w:hint="eastAsia" w:ascii="宋体" w:hAnsi="宋体" w:eastAsia="宋体" w:cs="宋体"/>
          <w:color w:val="auto"/>
          <w:sz w:val="24"/>
          <w:highlight w:val="none"/>
        </w:rPr>
      </w:pPr>
    </w:p>
    <w:p>
      <w:pPr>
        <w:spacing w:line="360" w:lineRule="auto"/>
        <w:ind w:right="360" w:firstLine="480"/>
        <w:jc w:val="right"/>
        <w:rPr>
          <w:rFonts w:hint="eastAsia" w:ascii="宋体" w:hAnsi="宋体" w:eastAsia="宋体" w:cs="宋体"/>
          <w:color w:val="auto"/>
          <w:sz w:val="24"/>
          <w:highlight w:val="none"/>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hint="eastAsia" w:ascii="宋体" w:hAnsi="宋体" w:eastAsia="宋体" w:cs="宋体"/>
          <w:color w:val="auto"/>
          <w:sz w:val="24"/>
          <w:highlight w:val="none"/>
        </w:rPr>
      </w:pPr>
    </w:p>
    <w:p>
      <w:pPr>
        <w:spacing w:line="360" w:lineRule="auto"/>
        <w:rPr>
          <w:rFonts w:hint="eastAsia" w:ascii="宋体" w:hAnsi="宋体" w:eastAsia="宋体" w:cs="宋体"/>
          <w:color w:val="auto"/>
          <w:sz w:val="24"/>
          <w:highlight w:val="none"/>
        </w:rPr>
      </w:pPr>
    </w:p>
    <w:p>
      <w:pPr>
        <w:spacing w:before="240" w:beforeLines="100" w:after="240" w:afterLines="100" w:line="360" w:lineRule="auto"/>
        <w:jc w:val="center"/>
        <w:rPr>
          <w:rFonts w:hint="eastAsia" w:ascii="宋体" w:hAnsi="宋体" w:eastAsia="宋体" w:cs="宋体"/>
          <w:b/>
          <w:bCs/>
          <w:color w:val="auto"/>
          <w:sz w:val="36"/>
          <w:szCs w:val="36"/>
          <w:highlight w:val="none"/>
        </w:rPr>
      </w:pPr>
      <w:r>
        <w:rPr>
          <w:rFonts w:hint="eastAsia" w:ascii="宋体" w:hAnsi="宋体" w:eastAsia="宋体" w:cs="宋体"/>
          <w:color w:val="auto"/>
          <w:sz w:val="24"/>
          <w:highlight w:val="none"/>
        </w:rPr>
        <w:br w:type="page"/>
      </w:r>
      <w:r>
        <w:rPr>
          <w:rFonts w:hint="eastAsia" w:ascii="宋体" w:hAnsi="宋体" w:eastAsia="宋体" w:cs="宋体"/>
          <w:b/>
          <w:bCs/>
          <w:color w:val="auto"/>
          <w:sz w:val="36"/>
          <w:szCs w:val="36"/>
          <w:highlight w:val="none"/>
        </w:rPr>
        <w:t>中小企业声明函（工程、服务）格式</w:t>
      </w:r>
      <w:r>
        <w:rPr>
          <w:rFonts w:hint="eastAsia" w:ascii="宋体" w:hAnsi="宋体" w:eastAsia="宋体" w:cs="宋体"/>
          <w:color w:val="auto"/>
          <w:sz w:val="24"/>
          <w:szCs w:val="24"/>
          <w:highlight w:val="none"/>
        </w:rPr>
        <w:t>（格式，不符合条件无须提交）</w:t>
      </w:r>
      <w:r>
        <w:rPr>
          <w:rFonts w:hint="eastAsia" w:ascii="宋体" w:hAnsi="宋体" w:eastAsia="宋体" w:cs="宋体"/>
          <w:b/>
          <w:color w:val="auto"/>
          <w:sz w:val="36"/>
          <w:szCs w:val="36"/>
          <w:highlight w:val="none"/>
        </w:rPr>
        <w:t xml:space="preserve"> </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w:t>
      </w:r>
      <w:r>
        <w:rPr>
          <w:rFonts w:hint="eastAsia" w:ascii="宋体" w:hAnsi="宋体" w:eastAsia="宋体" w:cs="宋体"/>
          <w:color w:val="auto"/>
          <w:spacing w:val="6"/>
          <w:sz w:val="24"/>
          <w:highlight w:val="none"/>
          <w:u w:val="single"/>
        </w:rPr>
        <w:t xml:space="preserve"> （标的名称）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（竞争性磋商文件中明确的所属行业）</w:t>
      </w:r>
      <w:r>
        <w:rPr>
          <w:rFonts w:hint="eastAsia" w:ascii="宋体" w:hAnsi="宋体" w:eastAsia="宋体" w:cs="宋体"/>
          <w:color w:val="auto"/>
          <w:spacing w:val="6"/>
          <w:sz w:val="24"/>
          <w:highlight w:val="none"/>
        </w:rPr>
        <w:t>行业；承建（承接）企业为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万元</w:t>
      </w:r>
      <w:r>
        <w:rPr>
          <w:rFonts w:hint="eastAsia" w:ascii="宋体" w:hAnsi="宋体" w:eastAsia="宋体" w:cs="宋体"/>
          <w:color w:val="auto"/>
          <w:spacing w:val="6"/>
          <w:sz w:val="24"/>
          <w:highlight w:val="none"/>
          <w:vertAlign w:val="superscript"/>
        </w:rPr>
        <w:t>1</w:t>
      </w:r>
      <w:r>
        <w:rPr>
          <w:rFonts w:hint="eastAsia" w:ascii="宋体" w:hAnsi="宋体" w:eastAsia="宋体" w:cs="宋体"/>
          <w:color w:val="auto"/>
          <w:spacing w:val="6"/>
          <w:sz w:val="24"/>
          <w:highlight w:val="none"/>
        </w:rPr>
        <w:t>，属于（中型企业、小型企业、微型企业）；</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 </w:t>
      </w:r>
      <w:r>
        <w:rPr>
          <w:rFonts w:hint="eastAsia" w:ascii="宋体" w:hAnsi="宋体" w:eastAsia="宋体" w:cs="宋体"/>
          <w:color w:val="auto"/>
          <w:spacing w:val="6"/>
          <w:sz w:val="24"/>
          <w:highlight w:val="none"/>
          <w:u w:val="single"/>
        </w:rPr>
        <w:t xml:space="preserve">（标的名称）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（竞争性磋商文件中明确的所属行业）</w:t>
      </w:r>
      <w:r>
        <w:rPr>
          <w:rFonts w:hint="eastAsia" w:ascii="宋体" w:hAnsi="宋体" w:eastAsia="宋体" w:cs="宋体"/>
          <w:color w:val="auto"/>
          <w:spacing w:val="6"/>
          <w:sz w:val="24"/>
          <w:highlight w:val="none"/>
        </w:rPr>
        <w:t>行业；承建（承接）企业为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pPr>
        <w:spacing w:line="360" w:lineRule="auto"/>
        <w:ind w:firstLine="504"/>
        <w:rPr>
          <w:rFonts w:hint="eastAsia" w:ascii="宋体" w:hAnsi="宋体" w:eastAsia="宋体" w:cs="宋体"/>
          <w:color w:val="auto"/>
          <w:spacing w:val="6"/>
          <w:sz w:val="24"/>
          <w:highlight w:val="none"/>
        </w:rPr>
      </w:pP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pPr>
        <w:spacing w:line="360" w:lineRule="auto"/>
        <w:ind w:right="360" w:firstLine="480"/>
        <w:jc w:val="right"/>
        <w:rPr>
          <w:rFonts w:hint="eastAsia" w:ascii="宋体" w:hAnsi="宋体" w:eastAsia="宋体" w:cs="宋体"/>
          <w:color w:val="auto"/>
          <w:sz w:val="24"/>
          <w:highlight w:val="none"/>
        </w:rPr>
      </w:pPr>
    </w:p>
    <w:p>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企业名称（盖章）：______</w:t>
      </w:r>
    </w:p>
    <w:p>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期：______</w:t>
      </w:r>
    </w:p>
    <w:p>
      <w:pPr>
        <w:adjustRightInd w:val="0"/>
        <w:snapToGrid w:val="0"/>
        <w:jc w:val="left"/>
        <w:rPr>
          <w:rFonts w:hint="eastAsia" w:ascii="宋体" w:hAnsi="宋体" w:eastAsia="宋体" w:cs="宋体"/>
          <w:color w:val="auto"/>
          <w:sz w:val="24"/>
          <w:szCs w:val="21"/>
          <w:highlight w:val="none"/>
        </w:rPr>
      </w:pPr>
    </w:p>
    <w:p>
      <w:pPr>
        <w:adjustRightInd w:val="0"/>
        <w:snapToGrid w:val="0"/>
        <w:jc w:val="left"/>
        <w:rPr>
          <w:rFonts w:hint="eastAsia" w:ascii="宋体" w:hAnsi="宋体" w:eastAsia="宋体" w:cs="宋体"/>
          <w:color w:val="auto"/>
          <w:sz w:val="24"/>
          <w:szCs w:val="21"/>
          <w:highlight w:val="none"/>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pPr>
        <w:adjustRightInd w:val="0"/>
        <w:snapToGrid w:val="0"/>
        <w:jc w:val="left"/>
        <w:rPr>
          <w:rFonts w:hint="eastAsia" w:ascii="宋体" w:hAnsi="宋体" w:eastAsia="宋体" w:cs="宋体"/>
          <w:color w:val="auto"/>
          <w:szCs w:val="21"/>
          <w:highlight w:val="none"/>
          <w:vertAlign w:val="superscript"/>
        </w:rPr>
      </w:pPr>
    </w:p>
    <w:p>
      <w:pPr>
        <w:spacing w:line="360" w:lineRule="auto"/>
        <w:ind w:right="360" w:firstLine="480"/>
        <w:jc w:val="right"/>
        <w:rPr>
          <w:rFonts w:hint="eastAsia" w:ascii="宋体" w:hAnsi="宋体" w:eastAsia="宋体" w:cs="宋体"/>
          <w:color w:val="auto"/>
          <w:sz w:val="24"/>
          <w:highlight w:val="none"/>
        </w:rPr>
      </w:pP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spacing w:before="240" w:beforeLines="100" w:after="240" w:afterLines="100" w:line="360"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rPr>
        <w:t>残疾人福利性单位声明函格式</w:t>
      </w:r>
      <w:r>
        <w:rPr>
          <w:rFonts w:hint="eastAsia" w:ascii="宋体" w:hAnsi="宋体" w:eastAsia="宋体" w:cs="宋体"/>
          <w:b/>
          <w:color w:val="auto"/>
          <w:sz w:val="36"/>
          <w:szCs w:val="36"/>
          <w:highlight w:val="none"/>
        </w:rPr>
        <w:t xml:space="preserve"> </w:t>
      </w:r>
      <w:r>
        <w:rPr>
          <w:rFonts w:hint="eastAsia" w:ascii="宋体" w:hAnsi="宋体" w:eastAsia="宋体" w:cs="宋体"/>
          <w:color w:val="auto"/>
          <w:sz w:val="24"/>
          <w:szCs w:val="24"/>
          <w:highlight w:val="none"/>
        </w:rPr>
        <w:t>（格式，不符合条件无须提交）</w:t>
      </w:r>
      <w:r>
        <w:rPr>
          <w:rFonts w:hint="eastAsia" w:ascii="宋体" w:hAnsi="宋体" w:eastAsia="宋体" w:cs="宋体"/>
          <w:b/>
          <w:color w:val="auto"/>
          <w:sz w:val="36"/>
          <w:szCs w:val="36"/>
          <w:highlight w:val="none"/>
        </w:rPr>
        <w:t xml:space="preserve">       </w:t>
      </w:r>
    </w:p>
    <w:p>
      <w:pPr>
        <w:spacing w:line="588" w:lineRule="exact"/>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 141</w:t>
      </w:r>
      <w:r>
        <w:rPr>
          <w:rFonts w:hint="eastAsia" w:ascii="宋体" w:hAnsi="宋体" w:eastAsia="宋体" w:cs="宋体"/>
          <w:color w:val="auto"/>
          <w:spacing w:val="6"/>
          <w:sz w:val="24"/>
          <w:highlight w:val="none"/>
        </w:rPr>
        <w:t>号）的规定，本单位</w:t>
      </w:r>
      <w:r>
        <w:rPr>
          <w:rFonts w:hint="eastAsia" w:ascii="宋体" w:hAnsi="宋体" w:eastAsia="宋体" w:cs="宋体"/>
          <w:b/>
          <w:color w:val="auto"/>
          <w:sz w:val="24"/>
          <w:highlight w:val="none"/>
        </w:rPr>
        <w:t>（请进行勾选）</w:t>
      </w:r>
      <w:r>
        <w:rPr>
          <w:rFonts w:hint="eastAsia" w:ascii="宋体" w:hAnsi="宋体" w:eastAsia="宋体" w:cs="宋体"/>
          <w:color w:val="auto"/>
          <w:spacing w:val="6"/>
          <w:sz w:val="24"/>
          <w:highlight w:val="none"/>
        </w:rPr>
        <w:t>：</w:t>
      </w:r>
    </w:p>
    <w:p>
      <w:pPr>
        <w:spacing w:line="588" w:lineRule="exact"/>
        <w:ind w:firstLine="482"/>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pacing w:val="6"/>
          <w:sz w:val="24"/>
          <w:highlight w:val="none"/>
        </w:rPr>
        <w:t>不属于符合条件的残疾人福利性单位。</w:t>
      </w:r>
    </w:p>
    <w:p>
      <w:pPr>
        <w:spacing w:line="588" w:lineRule="exact"/>
        <w:ind w:firstLine="482"/>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pacing w:val="6"/>
          <w:sz w:val="24"/>
          <w:highlight w:val="none"/>
        </w:rPr>
        <w:t>属于符合条件的残疾人福利性单位，</w:t>
      </w:r>
      <w:r>
        <w:rPr>
          <w:rFonts w:hint="eastAsia" w:ascii="宋体" w:hAnsi="宋体" w:eastAsia="宋体" w:cs="宋体"/>
          <w:color w:val="auto"/>
          <w:spacing w:val="6"/>
          <w:sz w:val="24"/>
          <w:highlight w:val="none"/>
        </w:rPr>
        <w:t>且本单位参加</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单位的</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本单位对上述声明的真实性负责。如有虚假，将依法承担相应责任。</w:t>
      </w:r>
    </w:p>
    <w:p>
      <w:pPr>
        <w:spacing w:line="588" w:lineRule="exact"/>
        <w:ind w:firstLine="504" w:firstLineChars="200"/>
        <w:rPr>
          <w:rFonts w:hint="eastAsia" w:ascii="宋体" w:hAnsi="宋体" w:eastAsia="宋体" w:cs="宋体"/>
          <w:color w:val="auto"/>
          <w:spacing w:val="6"/>
          <w:sz w:val="24"/>
          <w:highlight w:val="none"/>
        </w:rPr>
      </w:pPr>
    </w:p>
    <w:p>
      <w:pPr>
        <w:spacing w:line="588" w:lineRule="exact"/>
        <w:ind w:firstLine="504" w:firstLineChars="200"/>
        <w:rPr>
          <w:rFonts w:hint="eastAsia" w:ascii="宋体" w:hAnsi="宋体" w:eastAsia="宋体" w:cs="宋体"/>
          <w:color w:val="auto"/>
          <w:spacing w:val="6"/>
          <w:sz w:val="24"/>
          <w:highlight w:val="none"/>
        </w:rPr>
      </w:pPr>
    </w:p>
    <w:p>
      <w:pPr>
        <w:tabs>
          <w:tab w:val="left" w:pos="4860"/>
        </w:tabs>
        <w:spacing w:line="588" w:lineRule="exact"/>
        <w:ind w:right="1560" w:firstLine="504" w:firstLineChars="200"/>
        <w:jc w:val="righ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r>
        <w:rPr>
          <w:rFonts w:hint="eastAsia" w:ascii="宋体" w:hAnsi="宋体" w:eastAsia="宋体" w:cs="宋体"/>
          <w:color w:val="auto"/>
          <w:sz w:val="24"/>
          <w:highlight w:val="none"/>
        </w:rPr>
        <w:t>______</w:t>
      </w:r>
    </w:p>
    <w:p>
      <w:pPr>
        <w:tabs>
          <w:tab w:val="left" w:pos="4860"/>
        </w:tabs>
        <w:spacing w:line="588" w:lineRule="exact"/>
        <w:ind w:right="1560" w:firstLine="504" w:firstLineChars="200"/>
        <w:jc w:val="righ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rPr>
          <w:rFonts w:hint="eastAsia" w:ascii="宋体" w:hAnsi="宋体" w:eastAsia="宋体" w:cs="宋体"/>
          <w:color w:val="auto"/>
          <w:sz w:val="24"/>
          <w:highlight w:val="none"/>
        </w:rPr>
        <w:t>______</w:t>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2-1-2 拟分包情况说明及分包意向协议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说明：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如本项目（包）允许分包，且供应商拟进行分包时，</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（1）响应文件中须提供《拟分包情况说明》，否则</w:t>
      </w:r>
      <w:r>
        <w:rPr>
          <w:rFonts w:ascii="宋体" w:hAnsi="宋体" w:eastAsia="宋体"/>
          <w:b/>
          <w:color w:val="auto"/>
          <w:sz w:val="24"/>
          <w:highlight w:val="none"/>
        </w:rPr>
        <w:t>响应无效</w:t>
      </w:r>
      <w:r>
        <w:rPr>
          <w:rFonts w:ascii="宋体" w:hAnsi="宋体" w:eastAsia="宋体"/>
          <w:color w:val="auto"/>
          <w:sz w:val="24"/>
          <w:highlight w:val="none"/>
        </w:rPr>
        <w:t xml:space="preserve">；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（2）当同时符合下列情形时，响应文件还须提供《分包意向协议》，否则</w:t>
      </w:r>
      <w:r>
        <w:rPr>
          <w:rFonts w:ascii="宋体" w:hAnsi="宋体" w:eastAsia="宋体"/>
          <w:b/>
          <w:color w:val="auto"/>
          <w:sz w:val="24"/>
          <w:highlight w:val="none"/>
        </w:rPr>
        <w:t>响应无效</w:t>
      </w:r>
      <w:r>
        <w:rPr>
          <w:rFonts w:ascii="宋体" w:hAnsi="宋体" w:eastAsia="宋体"/>
          <w:color w:val="auto"/>
          <w:sz w:val="24"/>
          <w:highlight w:val="none"/>
        </w:rPr>
        <w:t xml:space="preserve">： </w:t>
      </w:r>
    </w:p>
    <w:p>
      <w:pPr>
        <w:spacing w:line="360" w:lineRule="auto"/>
        <w:ind w:left="567" w:leftChars="270"/>
        <w:rPr>
          <w:rFonts w:hint="eastAsia" w:ascii="宋体" w:hAnsi="宋体" w:eastAsia="宋体"/>
          <w:color w:val="auto"/>
          <w:sz w:val="24"/>
          <w:highlight w:val="none"/>
        </w:rPr>
      </w:pPr>
      <w:r>
        <w:rPr>
          <w:rFonts w:ascii="宋体" w:hAnsi="宋体" w:eastAsia="宋体"/>
          <w:color w:val="auto"/>
          <w:sz w:val="24"/>
          <w:highlight w:val="none"/>
        </w:rPr>
        <w:t xml:space="preserve">A.本项目（包）预留部分采购项目预算专门面向中小企业采购，且要求获得采购合同的供应商将采购项目中的一定比例分包给一家或者多家中小企业的； </w:t>
      </w:r>
    </w:p>
    <w:p>
      <w:pPr>
        <w:spacing w:line="360" w:lineRule="auto"/>
        <w:ind w:left="567" w:leftChars="270"/>
        <w:rPr>
          <w:rFonts w:hint="eastAsia" w:ascii="宋体" w:hAnsi="宋体" w:eastAsia="宋体"/>
          <w:color w:val="auto"/>
          <w:sz w:val="24"/>
          <w:highlight w:val="none"/>
        </w:rPr>
      </w:pPr>
      <w:r>
        <w:rPr>
          <w:rFonts w:ascii="宋体" w:hAnsi="宋体" w:eastAsia="宋体"/>
          <w:color w:val="auto"/>
          <w:sz w:val="24"/>
          <w:highlight w:val="none"/>
        </w:rPr>
        <w:t xml:space="preserve">B.供应商通过分包方式满足中小企业政策要求的。 </w:t>
      </w:r>
    </w:p>
    <w:p>
      <w:pPr>
        <w:spacing w:line="360" w:lineRule="auto"/>
        <w:ind w:right="360"/>
        <w:jc w:val="both"/>
        <w:rPr>
          <w:rFonts w:hint="eastAsia" w:ascii="宋体" w:hAnsi="宋体" w:eastAsia="宋体" w:cs="宋体"/>
          <w:color w:val="auto"/>
          <w:sz w:val="24"/>
          <w:highlight w:val="none"/>
          <w:lang w:eastAsia="zh-CN"/>
        </w:rPr>
      </w:pPr>
      <w:r>
        <w:rPr>
          <w:rFonts w:ascii="宋体" w:hAnsi="宋体" w:eastAsia="宋体"/>
          <w:color w:val="auto"/>
          <w:sz w:val="24"/>
          <w:highlight w:val="none"/>
        </w:rPr>
        <w:t>（3）不属于上述情形时，无须提供《拟分包情况说明》及《分包意向协议》</w:t>
      </w:r>
      <w:r>
        <w:rPr>
          <w:rFonts w:hint="eastAsia" w:ascii="宋体" w:hAnsi="宋体" w:eastAsia="宋体"/>
          <w:color w:val="auto"/>
          <w:sz w:val="24"/>
          <w:highlight w:val="none"/>
          <w:lang w:eastAsia="zh-CN"/>
        </w:rPr>
        <w:t>。</w:t>
      </w: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pStyle w:val="17"/>
        <w:rPr>
          <w:rFonts w:hint="eastAsia" w:ascii="宋体" w:hAnsi="宋体" w:eastAsia="宋体" w:cs="宋体"/>
          <w:color w:val="auto"/>
          <w:sz w:val="24"/>
          <w:szCs w:val="20"/>
          <w:highlight w:val="none"/>
        </w:rPr>
      </w:pPr>
    </w:p>
    <w:p>
      <w:pPr>
        <w:pStyle w:val="17"/>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autoSpaceDE w:val="0"/>
        <w:autoSpaceDN w:val="0"/>
        <w:adjustRightInd w:val="0"/>
        <w:jc w:val="both"/>
        <w:rPr>
          <w:rFonts w:eastAsiaTheme="minorEastAsia"/>
          <w:color w:val="auto"/>
          <w:sz w:val="30"/>
          <w:szCs w:val="30"/>
          <w:highlight w:val="none"/>
        </w:rPr>
      </w:pPr>
    </w:p>
    <w:p>
      <w:pPr>
        <w:autoSpaceDE w:val="0"/>
        <w:autoSpaceDN w:val="0"/>
        <w:adjustRightInd w:val="0"/>
        <w:spacing w:line="360" w:lineRule="auto"/>
        <w:jc w:val="center"/>
        <w:rPr>
          <w:rFonts w:eastAsiaTheme="minorEastAsia"/>
          <w:b/>
          <w:color w:val="auto"/>
          <w:sz w:val="36"/>
          <w:szCs w:val="36"/>
          <w:highlight w:val="none"/>
        </w:rPr>
      </w:pPr>
      <w:r>
        <w:rPr>
          <w:rFonts w:hint="eastAsia" w:eastAsiaTheme="minorEastAsia"/>
          <w:b/>
          <w:color w:val="auto"/>
          <w:sz w:val="36"/>
          <w:szCs w:val="36"/>
          <w:highlight w:val="none"/>
        </w:rPr>
        <w:t>拟分包情况说明</w:t>
      </w:r>
    </w:p>
    <w:p>
      <w:pPr>
        <w:tabs>
          <w:tab w:val="left" w:pos="5580"/>
        </w:tabs>
        <w:spacing w:line="360" w:lineRule="auto"/>
        <w:rPr>
          <w:rFonts w:eastAsiaTheme="minorEastAsia"/>
          <w:color w:val="auto"/>
          <w:sz w:val="24"/>
          <w:highlight w:val="none"/>
        </w:rPr>
      </w:pPr>
      <w:r>
        <w:rPr>
          <w:rFonts w:eastAsiaTheme="minorEastAsia"/>
          <w:color w:val="auto"/>
          <w:sz w:val="24"/>
          <w:highlight w:val="none"/>
        </w:rPr>
        <w:t>致：</w:t>
      </w:r>
      <w:r>
        <w:rPr>
          <w:rFonts w:eastAsiaTheme="minorEastAsia"/>
          <w:color w:val="auto"/>
          <w:sz w:val="24"/>
          <w:highlight w:val="none"/>
          <w:u w:val="single"/>
        </w:rPr>
        <w:t>（采购人或采购代理机构）</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highlight w:val="none"/>
              </w:rPr>
            </w:pPr>
            <w:r>
              <w:rPr>
                <w:rFonts w:hint="eastAsia" w:eastAsiaTheme="minorEastAsia"/>
                <w:color w:val="auto"/>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highlight w:val="none"/>
              </w:rPr>
            </w:pPr>
            <w:r>
              <w:rPr>
                <w:rFonts w:hint="eastAsia" w:eastAsiaTheme="minorEastAsia"/>
                <w:color w:val="auto"/>
                <w:sz w:val="24"/>
                <w:highlight w:val="none"/>
              </w:rPr>
              <w:t>分包承担</w:t>
            </w:r>
          </w:p>
          <w:p>
            <w:pPr>
              <w:pStyle w:val="256"/>
              <w:jc w:val="center"/>
              <w:rPr>
                <w:rFonts w:eastAsiaTheme="minorEastAsia"/>
                <w:color w:val="auto"/>
                <w:sz w:val="24"/>
                <w:highlight w:val="none"/>
              </w:rPr>
            </w:pPr>
            <w:r>
              <w:rPr>
                <w:rFonts w:hint="eastAsia" w:eastAsiaTheme="minorEastAsia"/>
                <w:color w:val="auto"/>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highlight w:val="none"/>
                <w:lang w:eastAsia="zh-CN"/>
              </w:rPr>
            </w:pPr>
            <w:r>
              <w:rPr>
                <w:rFonts w:hint="eastAsia" w:eastAsiaTheme="minorEastAsia"/>
                <w:color w:val="auto"/>
                <w:sz w:val="24"/>
                <w:highlight w:val="none"/>
                <w:lang w:eastAsia="zh-CN"/>
              </w:rPr>
              <w:t>分包承担</w:t>
            </w:r>
          </w:p>
          <w:p>
            <w:pPr>
              <w:pStyle w:val="256"/>
              <w:jc w:val="center"/>
              <w:rPr>
                <w:rFonts w:eastAsiaTheme="minorEastAsia"/>
                <w:color w:val="auto"/>
                <w:sz w:val="24"/>
                <w:highlight w:val="none"/>
                <w:lang w:eastAsia="zh-CN"/>
              </w:rPr>
            </w:pPr>
            <w:r>
              <w:rPr>
                <w:rFonts w:hint="eastAsia" w:eastAsiaTheme="minorEastAsia"/>
                <w:color w:val="auto"/>
                <w:sz w:val="24"/>
                <w:highlight w:val="none"/>
                <w:lang w:eastAsia="zh-CN"/>
              </w:rPr>
              <w:t>主体类型</w:t>
            </w:r>
          </w:p>
          <w:p>
            <w:pPr>
              <w:pStyle w:val="256"/>
              <w:jc w:val="center"/>
              <w:rPr>
                <w:rFonts w:eastAsiaTheme="minorEastAsia"/>
                <w:color w:val="auto"/>
                <w:sz w:val="24"/>
                <w:highlight w:val="none"/>
                <w:lang w:eastAsia="zh-CN"/>
              </w:rPr>
            </w:pPr>
            <w:r>
              <w:rPr>
                <w:rFonts w:hint="eastAsia" w:eastAsiaTheme="minorEastAsia"/>
                <w:color w:val="auto"/>
                <w:sz w:val="24"/>
                <w:highlight w:val="none"/>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highlight w:val="none"/>
              </w:rPr>
            </w:pPr>
            <w:r>
              <w:rPr>
                <w:rFonts w:hint="eastAsia" w:eastAsiaTheme="minorEastAsia"/>
                <w:color w:val="auto"/>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highlight w:val="none"/>
              </w:rPr>
            </w:pPr>
            <w:r>
              <w:rPr>
                <w:rFonts w:hint="eastAsia" w:eastAsiaTheme="minorEastAsia"/>
                <w:color w:val="auto"/>
                <w:sz w:val="24"/>
                <w:highlight w:val="none"/>
              </w:rPr>
              <w:t>拟分包</w:t>
            </w:r>
          </w:p>
          <w:p>
            <w:pPr>
              <w:pStyle w:val="256"/>
              <w:jc w:val="center"/>
              <w:rPr>
                <w:rFonts w:eastAsiaTheme="minorEastAsia"/>
                <w:color w:val="auto"/>
                <w:sz w:val="24"/>
                <w:highlight w:val="none"/>
              </w:rPr>
            </w:pPr>
            <w:r>
              <w:rPr>
                <w:rFonts w:hint="eastAsia" w:eastAsiaTheme="minorEastAsia"/>
                <w:color w:val="auto"/>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highlight w:val="none"/>
                <w:lang w:eastAsia="zh-CN"/>
              </w:rPr>
            </w:pPr>
            <w:r>
              <w:rPr>
                <w:rFonts w:hint="eastAsia" w:eastAsiaTheme="minorEastAsia"/>
                <w:color w:val="auto"/>
                <w:sz w:val="24"/>
                <w:highlight w:val="none"/>
                <w:lang w:eastAsia="zh-CN"/>
              </w:rPr>
              <w:t>拟分包</w:t>
            </w:r>
          </w:p>
          <w:p>
            <w:pPr>
              <w:pStyle w:val="256"/>
              <w:jc w:val="center"/>
              <w:rPr>
                <w:rFonts w:eastAsiaTheme="minorEastAsia"/>
                <w:color w:val="auto"/>
                <w:sz w:val="24"/>
                <w:highlight w:val="none"/>
                <w:lang w:eastAsia="zh-CN"/>
              </w:rPr>
            </w:pPr>
            <w:r>
              <w:rPr>
                <w:rFonts w:hint="eastAsia" w:eastAsiaTheme="minorEastAsia"/>
                <w:color w:val="auto"/>
                <w:sz w:val="24"/>
                <w:highlight w:val="none"/>
                <w:lang w:eastAsia="zh-CN"/>
              </w:rPr>
              <w:t>合同金额</w:t>
            </w:r>
          </w:p>
          <w:p>
            <w:pPr>
              <w:pStyle w:val="256"/>
              <w:jc w:val="center"/>
              <w:rPr>
                <w:rFonts w:eastAsiaTheme="minorEastAsia"/>
                <w:color w:val="auto"/>
                <w:sz w:val="24"/>
                <w:highlight w:val="none"/>
                <w:lang w:eastAsia="zh-CN"/>
              </w:rPr>
            </w:pPr>
            <w:r>
              <w:rPr>
                <w:rFonts w:hint="eastAsia" w:eastAsiaTheme="minorEastAsia"/>
                <w:color w:val="auto"/>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highlight w:val="none"/>
                <w:lang w:eastAsia="zh-CN"/>
              </w:rPr>
            </w:pPr>
            <w:r>
              <w:rPr>
                <w:rFonts w:hint="eastAsia" w:eastAsiaTheme="minorEastAsia"/>
                <w:color w:val="auto"/>
                <w:sz w:val="24"/>
                <w:highlight w:val="none"/>
                <w:lang w:eastAsia="zh-CN"/>
              </w:rPr>
              <w:t>占该采购包</w:t>
            </w:r>
          </w:p>
          <w:p>
            <w:pPr>
              <w:pStyle w:val="256"/>
              <w:jc w:val="center"/>
              <w:rPr>
                <w:rFonts w:eastAsiaTheme="minorEastAsia"/>
                <w:b/>
                <w:color w:val="auto"/>
                <w:sz w:val="24"/>
                <w:highlight w:val="none"/>
                <w:lang w:eastAsia="zh-CN"/>
              </w:rPr>
            </w:pPr>
            <w:r>
              <w:rPr>
                <w:rFonts w:hint="eastAsia" w:eastAsiaTheme="minorEastAsia"/>
                <w:b/>
                <w:color w:val="auto"/>
                <w:sz w:val="24"/>
                <w:highlight w:val="none"/>
                <w:lang w:val="en-US" w:eastAsia="zh-CN"/>
              </w:rPr>
              <w:t>合同</w:t>
            </w:r>
            <w:r>
              <w:rPr>
                <w:rFonts w:hint="eastAsia" w:eastAsiaTheme="minorEastAsia"/>
                <w:b/>
                <w:color w:val="auto"/>
                <w:sz w:val="24"/>
                <w:highlight w:val="none"/>
                <w:lang w:eastAsia="zh-CN"/>
              </w:rPr>
              <w:t>金额的</w:t>
            </w:r>
          </w:p>
          <w:p>
            <w:pPr>
              <w:pStyle w:val="256"/>
              <w:jc w:val="center"/>
              <w:rPr>
                <w:rFonts w:eastAsiaTheme="minorEastAsia"/>
                <w:color w:val="auto"/>
                <w:sz w:val="24"/>
                <w:highlight w:val="none"/>
                <w:lang w:eastAsia="zh-CN"/>
              </w:rPr>
            </w:pPr>
            <w:r>
              <w:rPr>
                <w:rFonts w:hint="eastAsia" w:eastAsiaTheme="minorEastAsia"/>
                <w:color w:val="auto"/>
                <w:sz w:val="24"/>
                <w:highlight w:val="none"/>
                <w:lang w:eastAsia="zh-CN"/>
              </w:rPr>
              <w:t>比例（</w:t>
            </w:r>
            <w:r>
              <w:rPr>
                <w:rFonts w:ascii="Times New Roman" w:eastAsia="Times New Roman"/>
                <w:color w:val="auto"/>
                <w:sz w:val="24"/>
                <w:highlight w:val="none"/>
                <w:lang w:eastAsia="zh-CN"/>
              </w:rPr>
              <w:t>%</w:t>
            </w:r>
            <w:r>
              <w:rPr>
                <w:rFonts w:hint="eastAsia" w:eastAsiaTheme="minorEastAsia"/>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24"/>
                <w:highlight w:val="none"/>
              </w:rPr>
            </w:pPr>
            <w:r>
              <w:rPr>
                <w:rFonts w:ascii="Times New Roman" w:eastAsiaTheme="minorEastAsia"/>
                <w:color w:val="auto"/>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hAnsi="Times New Roman" w:cs="Times New Roman" w:eastAsiaTheme="minorEastAsia"/>
                <w:color w:val="auto"/>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6"/>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r>
              <w:rPr>
                <w:rFonts w:hint="eastAsia" w:ascii="Times New Roman" w:hAnsi="Times New Roman" w:cs="Times New Roman" w:eastAsiaTheme="minorEastAsia"/>
                <w:color w:val="auto"/>
                <w:sz w:val="24"/>
                <w:highlight w:val="none"/>
                <w:lang w:eastAsia="zh-CN"/>
              </w:rPr>
              <w:t>中型企业</w:t>
            </w:r>
          </w:p>
          <w:p>
            <w:pPr>
              <w:pStyle w:val="256"/>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r>
              <w:rPr>
                <w:rFonts w:hint="eastAsia" w:ascii="Times New Roman" w:hAnsi="Times New Roman" w:cs="Times New Roman" w:eastAsiaTheme="minorEastAsia"/>
                <w:color w:val="auto"/>
                <w:sz w:val="24"/>
                <w:highlight w:val="none"/>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24"/>
                <w:highlight w:val="none"/>
                <w:lang w:eastAsia="zh-CN"/>
              </w:rPr>
            </w:pPr>
            <w:r>
              <w:rPr>
                <w:rFonts w:ascii="Times New Roman" w:eastAsiaTheme="minorEastAsia"/>
                <w:color w:val="auto"/>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6"/>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r>
              <w:rPr>
                <w:rFonts w:hint="eastAsia" w:ascii="Times New Roman" w:hAnsi="Times New Roman" w:cs="Times New Roman" w:eastAsiaTheme="minorEastAsia"/>
                <w:color w:val="auto"/>
                <w:sz w:val="24"/>
                <w:highlight w:val="none"/>
                <w:lang w:eastAsia="zh-CN"/>
              </w:rPr>
              <w:t>中型企业</w:t>
            </w:r>
          </w:p>
          <w:p>
            <w:pPr>
              <w:pStyle w:val="256"/>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r>
              <w:rPr>
                <w:rFonts w:hint="eastAsia" w:ascii="Times New Roman" w:hAnsi="Times New Roman" w:cs="Times New Roman" w:eastAsiaTheme="minorEastAsia"/>
                <w:color w:val="auto"/>
                <w:sz w:val="24"/>
                <w:highlight w:val="none"/>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24"/>
                <w:highlight w:val="none"/>
                <w:lang w:eastAsia="zh-CN"/>
              </w:rPr>
            </w:pPr>
            <w:r>
              <w:rPr>
                <w:rFonts w:hint="eastAsia" w:ascii="Times New Roman" w:eastAsiaTheme="minorEastAsia"/>
                <w:color w:val="auto"/>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6"/>
              <w:tabs>
                <w:tab w:val="left" w:pos="235"/>
              </w:tabs>
              <w:jc w:val="center"/>
              <w:rPr>
                <w:rFonts w:eastAsiaTheme="minorEastAsia"/>
                <w:color w:val="auto"/>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56"/>
              <w:ind w:right="57" w:rightChars="27"/>
              <w:jc w:val="right"/>
              <w:rPr>
                <w:rFonts w:eastAsiaTheme="minorEastAsia"/>
                <w:color w:val="auto"/>
                <w:sz w:val="24"/>
                <w:highlight w:val="none"/>
                <w:lang w:eastAsia="zh-CN"/>
              </w:rPr>
            </w:pPr>
            <w:r>
              <w:rPr>
                <w:rFonts w:hint="eastAsia" w:eastAsiaTheme="minorEastAsia"/>
                <w:color w:val="auto"/>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highlight w:val="none"/>
              </w:rPr>
            </w:pPr>
          </w:p>
        </w:tc>
      </w:tr>
    </w:tbl>
    <w:p>
      <w:pPr>
        <w:adjustRightInd w:val="0"/>
        <w:snapToGrid w:val="0"/>
        <w:spacing w:line="360" w:lineRule="auto"/>
        <w:jc w:val="left"/>
        <w:rPr>
          <w:rFonts w:eastAsiaTheme="minorEastAsia"/>
          <w:color w:val="auto"/>
          <w:sz w:val="24"/>
          <w:highlight w:val="none"/>
        </w:rPr>
      </w:pPr>
    </w:p>
    <w:p>
      <w:pPr>
        <w:autoSpaceDE w:val="0"/>
        <w:autoSpaceDN w:val="0"/>
        <w:adjustRightInd w:val="0"/>
        <w:snapToGrid w:val="0"/>
        <w:spacing w:before="25" w:after="25" w:line="360" w:lineRule="auto"/>
        <w:jc w:val="right"/>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pPr>
        <w:spacing w:line="360" w:lineRule="auto"/>
        <w:ind w:right="-57" w:firstLine="480"/>
        <w:jc w:val="right"/>
        <w:rPr>
          <w:rFonts w:eastAsiaTheme="minorEastAsia"/>
          <w:color w:val="auto"/>
          <w:sz w:val="24"/>
          <w:highlight w:val="none"/>
        </w:rPr>
      </w:pPr>
      <w:r>
        <w:rPr>
          <w:rFonts w:eastAsiaTheme="minorEastAsia"/>
          <w:color w:val="auto"/>
          <w:sz w:val="24"/>
          <w:szCs w:val="20"/>
          <w:highlight w:val="none"/>
        </w:rPr>
        <w:t>日期：</w:t>
      </w:r>
      <w:r>
        <w:rPr>
          <w:rFonts w:eastAsiaTheme="minorEastAsia"/>
          <w:color w:val="auto"/>
          <w:sz w:val="24"/>
          <w:highlight w:val="none"/>
        </w:rPr>
        <w:t>___</w:t>
      </w:r>
      <w:r>
        <w:rPr>
          <w:rFonts w:eastAsiaTheme="minorEastAsia"/>
          <w:color w:val="auto"/>
          <w:sz w:val="24"/>
          <w:szCs w:val="20"/>
          <w:highlight w:val="none"/>
        </w:rPr>
        <w:t>年</w:t>
      </w:r>
      <w:r>
        <w:rPr>
          <w:rFonts w:eastAsiaTheme="minorEastAsia"/>
          <w:color w:val="auto"/>
          <w:sz w:val="24"/>
          <w:highlight w:val="none"/>
        </w:rPr>
        <w:t>___</w:t>
      </w:r>
      <w:r>
        <w:rPr>
          <w:rFonts w:eastAsiaTheme="minorEastAsia"/>
          <w:color w:val="auto"/>
          <w:sz w:val="24"/>
          <w:szCs w:val="20"/>
          <w:highlight w:val="none"/>
        </w:rPr>
        <w:t>月</w:t>
      </w:r>
      <w:r>
        <w:rPr>
          <w:rFonts w:eastAsiaTheme="minorEastAsia"/>
          <w:color w:val="auto"/>
          <w:sz w:val="24"/>
          <w:highlight w:val="none"/>
        </w:rPr>
        <w:t>___</w:t>
      </w:r>
      <w:r>
        <w:rPr>
          <w:rFonts w:eastAsiaTheme="minorEastAsia"/>
          <w:color w:val="auto"/>
          <w:sz w:val="24"/>
          <w:szCs w:val="20"/>
          <w:highlight w:val="none"/>
        </w:rPr>
        <w:t>日</w:t>
      </w:r>
    </w:p>
    <w:p>
      <w:pPr>
        <w:adjustRightInd w:val="0"/>
        <w:snapToGrid w:val="0"/>
        <w:spacing w:line="360" w:lineRule="auto"/>
        <w:jc w:val="left"/>
        <w:rPr>
          <w:rFonts w:eastAsiaTheme="minorEastAsia"/>
          <w:color w:val="auto"/>
          <w:sz w:val="24"/>
          <w:highlight w:val="none"/>
        </w:rPr>
      </w:pPr>
    </w:p>
    <w:p>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 </w:t>
      </w:r>
    </w:p>
    <w:p>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（1）当供应商属于本部分说明中第（1）类情形，如未提供《拟分包情况说明》，或提供了《拟分包情况说明》但未填写分包承担主体名称、拟分包合同内容、拟分包合同金额，其响应无效； </w:t>
      </w:r>
    </w:p>
    <w:p>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（2）当供应商属于本部分说明中第（2）类情形，如未提供《拟分包情况说明》，或提供了《拟分包情况说明》但未填写分包承担主体名称、分包承担主体类型、拟分包合同内容、拟分包合同金额，其响应无效； </w:t>
      </w:r>
    </w:p>
    <w:p>
      <w:pPr>
        <w:autoSpaceDE w:val="0"/>
        <w:autoSpaceDN w:val="0"/>
        <w:adjustRightInd w:val="0"/>
        <w:spacing w:line="360" w:lineRule="auto"/>
        <w:jc w:val="left"/>
        <w:rPr>
          <w:rFonts w:hint="eastAsia" w:eastAsiaTheme="minorEastAsia"/>
          <w:b/>
          <w:color w:val="auto"/>
          <w:sz w:val="36"/>
          <w:szCs w:val="36"/>
          <w:highlight w:val="none"/>
          <w:lang w:eastAsia="zh-CN"/>
        </w:rPr>
      </w:pPr>
      <w:r>
        <w:rPr>
          <w:rFonts w:hint="eastAsia" w:ascii="宋体" w:hAnsi="宋体" w:eastAsia="宋体" w:cs="宋体"/>
          <w:color w:val="auto"/>
          <w:sz w:val="24"/>
          <w:szCs w:val="24"/>
          <w:highlight w:val="none"/>
          <w:lang w:val="en-US" w:eastAsia="zh-CN"/>
        </w:rPr>
        <w:t>（3）如本采购文件《供应商须知资料表》载明本项目分包承担主体应具备的相应资质条件，则供应商须在本表中列明分包承担主体的资质等级，并后附资质证书电子件，否则响应无效</w:t>
      </w:r>
      <w:r>
        <w:rPr>
          <w:rFonts w:hint="eastAsia" w:ascii="宋体" w:hAnsi="宋体" w:cs="宋体"/>
          <w:color w:val="auto"/>
          <w:sz w:val="24"/>
          <w:szCs w:val="24"/>
          <w:highlight w:val="none"/>
          <w:lang w:val="en-US" w:eastAsia="zh-CN"/>
        </w:rPr>
        <w:t>。</w:t>
      </w:r>
      <w:r>
        <w:rPr>
          <w:rFonts w:eastAsiaTheme="minorEastAsia"/>
          <w:color w:val="auto"/>
          <w:sz w:val="30"/>
          <w:szCs w:val="30"/>
          <w:highlight w:val="none"/>
        </w:rPr>
        <w:br w:type="page"/>
      </w:r>
      <w:r>
        <w:rPr>
          <w:rFonts w:hint="eastAsia" w:eastAsiaTheme="minorEastAsia"/>
          <w:color w:val="auto"/>
          <w:sz w:val="30"/>
          <w:szCs w:val="30"/>
          <w:highlight w:val="none"/>
          <w:lang w:val="en-US" w:eastAsia="zh-CN"/>
        </w:rPr>
        <w:t xml:space="preserve">            </w:t>
      </w:r>
      <w:r>
        <w:rPr>
          <w:rFonts w:hint="eastAsia" w:eastAsiaTheme="minorEastAsia"/>
          <w:b/>
          <w:color w:val="auto"/>
          <w:sz w:val="36"/>
          <w:szCs w:val="36"/>
          <w:highlight w:val="none"/>
        </w:rPr>
        <w:t>分包意向协议（实质性格式）</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甲方（供应商）：______</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乙方（拟分包单位）：______</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甲方承诺，一旦在______（采购项目名称）（</w:t>
      </w:r>
      <w:r>
        <w:rPr>
          <w:rFonts w:hint="eastAsia" w:eastAsiaTheme="minorEastAsia"/>
          <w:color w:val="auto"/>
          <w:sz w:val="24"/>
          <w:highlight w:val="none"/>
          <w:lang w:eastAsia="zh-CN"/>
        </w:rPr>
        <w:t>项目编号</w:t>
      </w:r>
      <w:r>
        <w:rPr>
          <w:rFonts w:eastAsiaTheme="minorEastAsia"/>
          <w:color w:val="auto"/>
          <w:sz w:val="24"/>
          <w:highlight w:val="none"/>
        </w:rPr>
        <w:t>为：______）采购项目中获得采购合同，将按照下述约定将合同项下部分内容分包给乙方：</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1.分包内容：______。</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2.分包金额：______，该金额占该采购包</w:t>
      </w:r>
      <w:r>
        <w:rPr>
          <w:rFonts w:hint="eastAsia" w:eastAsiaTheme="minorEastAsia"/>
          <w:color w:val="auto"/>
          <w:sz w:val="24"/>
          <w:highlight w:val="none"/>
          <w:lang w:val="en-US" w:eastAsia="zh-CN"/>
        </w:rPr>
        <w:t>合同</w:t>
      </w:r>
      <w:r>
        <w:rPr>
          <w:rFonts w:eastAsiaTheme="minorEastAsia"/>
          <w:color w:val="auto"/>
          <w:sz w:val="24"/>
          <w:highlight w:val="none"/>
        </w:rPr>
        <w:t>金额的比例为______%。</w:t>
      </w:r>
    </w:p>
    <w:p>
      <w:pPr>
        <w:adjustRightInd w:val="0"/>
        <w:snapToGrid w:val="0"/>
        <w:spacing w:line="360" w:lineRule="auto"/>
        <w:ind w:firstLine="480" w:firstLineChars="200"/>
        <w:jc w:val="left"/>
        <w:rPr>
          <w:rFonts w:eastAsiaTheme="minorEastAsia"/>
          <w:bCs/>
          <w:color w:val="auto"/>
          <w:sz w:val="24"/>
          <w:highlight w:val="none"/>
        </w:rPr>
      </w:pPr>
      <w:r>
        <w:rPr>
          <w:rFonts w:eastAsiaTheme="minorEastAsia"/>
          <w:color w:val="auto"/>
          <w:sz w:val="24"/>
          <w:highlight w:val="none"/>
        </w:rPr>
        <w:t>乙方承诺将在上述情况下与甲方签订分包合同。</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本协议自各方盖章之日起生效，如甲方未在该项目（采购包）成交，本协议自动终止。</w:t>
      </w:r>
    </w:p>
    <w:p>
      <w:pPr>
        <w:spacing w:line="360" w:lineRule="auto"/>
        <w:ind w:firstLine="471"/>
        <w:rPr>
          <w:rFonts w:eastAsiaTheme="minorEastAsia"/>
          <w:b/>
          <w:color w:val="auto"/>
          <w:sz w:val="24"/>
          <w:highlight w:val="none"/>
        </w:rPr>
      </w:pPr>
    </w:p>
    <w:p>
      <w:pPr>
        <w:spacing w:line="360" w:lineRule="auto"/>
        <w:ind w:firstLine="471"/>
        <w:rPr>
          <w:rFonts w:eastAsiaTheme="minorEastAsia"/>
          <w:b/>
          <w:color w:val="auto"/>
          <w:sz w:val="24"/>
          <w:highlight w:val="none"/>
        </w:rPr>
      </w:pPr>
      <w:r>
        <w:rPr>
          <w:rFonts w:eastAsiaTheme="minorEastAsia"/>
          <w:color w:val="auto"/>
          <w:sz w:val="24"/>
          <w:highlight w:val="none"/>
        </w:rPr>
        <w:t>甲方（盖章）：______                     乙方（盖章）：______</w:t>
      </w:r>
    </w:p>
    <w:p>
      <w:pPr>
        <w:spacing w:line="360" w:lineRule="auto"/>
        <w:ind w:left="480"/>
        <w:jc w:val="right"/>
        <w:rPr>
          <w:rFonts w:eastAsiaTheme="minorEastAsia"/>
          <w:color w:val="auto"/>
          <w:sz w:val="24"/>
          <w:highlight w:val="none"/>
        </w:rPr>
      </w:pPr>
    </w:p>
    <w:p>
      <w:pPr>
        <w:wordWrap w:val="0"/>
        <w:spacing w:line="360" w:lineRule="auto"/>
        <w:ind w:left="480"/>
        <w:jc w:val="right"/>
        <w:rPr>
          <w:rFonts w:eastAsiaTheme="minorEastAsia"/>
          <w:b/>
          <w:color w:val="auto"/>
          <w:sz w:val="24"/>
          <w:highlight w:val="none"/>
        </w:rPr>
      </w:pPr>
      <w:r>
        <w:rPr>
          <w:rFonts w:eastAsiaTheme="minorEastAsia"/>
          <w:color w:val="auto"/>
          <w:sz w:val="24"/>
          <w:szCs w:val="20"/>
          <w:highlight w:val="none"/>
        </w:rPr>
        <w:t>日期：</w:t>
      </w:r>
      <w:r>
        <w:rPr>
          <w:rFonts w:eastAsiaTheme="minorEastAsia"/>
          <w:color w:val="auto"/>
          <w:sz w:val="24"/>
          <w:highlight w:val="none"/>
        </w:rPr>
        <w:t>______</w:t>
      </w:r>
      <w:r>
        <w:rPr>
          <w:rFonts w:eastAsiaTheme="minorEastAsia"/>
          <w:color w:val="auto"/>
          <w:sz w:val="24"/>
          <w:szCs w:val="20"/>
          <w:highlight w:val="none"/>
        </w:rPr>
        <w:t>年</w:t>
      </w:r>
      <w:r>
        <w:rPr>
          <w:rFonts w:eastAsiaTheme="minorEastAsia"/>
          <w:color w:val="auto"/>
          <w:sz w:val="24"/>
          <w:highlight w:val="none"/>
        </w:rPr>
        <w:t>______</w:t>
      </w:r>
      <w:r>
        <w:rPr>
          <w:rFonts w:eastAsiaTheme="minorEastAsia"/>
          <w:color w:val="auto"/>
          <w:sz w:val="24"/>
          <w:szCs w:val="20"/>
          <w:highlight w:val="none"/>
        </w:rPr>
        <w:t>月</w:t>
      </w:r>
      <w:r>
        <w:rPr>
          <w:rFonts w:eastAsiaTheme="minorEastAsia"/>
          <w:color w:val="auto"/>
          <w:sz w:val="24"/>
          <w:highlight w:val="none"/>
        </w:rPr>
        <w:t>______</w:t>
      </w:r>
      <w:r>
        <w:rPr>
          <w:rFonts w:eastAsiaTheme="minorEastAsia"/>
          <w:color w:val="auto"/>
          <w:sz w:val="24"/>
          <w:szCs w:val="20"/>
          <w:highlight w:val="none"/>
        </w:rPr>
        <w:t xml:space="preserve">日   </w:t>
      </w:r>
    </w:p>
    <w:p>
      <w:pPr>
        <w:tabs>
          <w:tab w:val="left" w:pos="8280"/>
        </w:tabs>
        <w:spacing w:line="360" w:lineRule="auto"/>
        <w:ind w:firstLine="480"/>
        <w:rPr>
          <w:rFonts w:eastAsiaTheme="minorEastAsia"/>
          <w:color w:val="auto"/>
          <w:sz w:val="24"/>
          <w:highlight w:val="none"/>
        </w:rPr>
      </w:pP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注： </w:t>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（1）当供应商属于本部分说明中第（2）类情形，必须</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供，否则响应无效；其他情形无须</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 xml:space="preserve">供； </w:t>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（2）供应商须与所有拟分包单位分别签订《分包意向协议》，每单位签订一份，并在响应文件中</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交全部协议原件的电子件，否则响应无效。</w:t>
      </w:r>
      <w:r>
        <w:rPr>
          <w:rFonts w:hint="eastAsia" w:ascii="宋体" w:hAnsi="宋体" w:eastAsia="宋体" w:cs="宋体"/>
          <w:color w:val="auto"/>
          <w:sz w:val="24"/>
          <w:szCs w:val="20"/>
          <w:highlight w:val="none"/>
        </w:rPr>
        <w:br w:type="page"/>
      </w:r>
    </w:p>
    <w:p>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 </w:t>
      </w:r>
      <w:r>
        <w:rPr>
          <w:rFonts w:hint="eastAsia" w:ascii="宋体" w:hAnsi="宋体" w:eastAsia="宋体" w:cs="宋体"/>
          <w:color w:val="auto"/>
          <w:sz w:val="24"/>
          <w:highlight w:val="none"/>
        </w:rPr>
        <w:t>其它落实政府采购政策的资格要求</w:t>
      </w:r>
      <w:r>
        <w:rPr>
          <w:rFonts w:hint="eastAsia" w:ascii="宋体" w:hAnsi="宋体" w:eastAsia="宋体" w:cs="宋体"/>
          <w:color w:val="auto"/>
          <w:sz w:val="24"/>
          <w:szCs w:val="20"/>
          <w:highlight w:val="none"/>
        </w:rPr>
        <w:t>（如有</w:t>
      </w:r>
      <w:r>
        <w:rPr>
          <w:rFonts w:hint="eastAsia" w:ascii="宋体" w:hAnsi="宋体" w:eastAsia="宋体" w:cs="宋体"/>
          <w:color w:val="auto"/>
          <w:sz w:val="24"/>
          <w:szCs w:val="20"/>
          <w:highlight w:val="none"/>
          <w:lang w:eastAsia="zh-CN"/>
        </w:rPr>
        <w:t>，见第一章《采购邀请》</w:t>
      </w:r>
      <w:r>
        <w:rPr>
          <w:rFonts w:hint="eastAsia" w:ascii="宋体" w:hAnsi="宋体" w:eastAsia="宋体" w:cs="宋体"/>
          <w:color w:val="auto"/>
          <w:sz w:val="24"/>
          <w:szCs w:val="20"/>
          <w:highlight w:val="none"/>
        </w:rPr>
        <w:t>）</w:t>
      </w:r>
    </w:p>
    <w:p>
      <w:pPr>
        <w:tabs>
          <w:tab w:val="left" w:pos="360"/>
        </w:tabs>
        <w:snapToGrid w:val="0"/>
        <w:spacing w:line="360" w:lineRule="auto"/>
        <w:outlineLvl w:val="9"/>
        <w:rPr>
          <w:rFonts w:hint="eastAsia" w:ascii="宋体" w:hAnsi="宋体" w:eastAsia="宋体" w:cs="宋体"/>
          <w:color w:val="auto"/>
          <w:sz w:val="24"/>
          <w:highlight w:val="none"/>
        </w:rPr>
      </w:pPr>
      <w:bookmarkStart w:id="676" w:name="_Hlt520274065"/>
      <w:bookmarkEnd w:id="676"/>
      <w:bookmarkStart w:id="677" w:name="_Hlt520350918"/>
      <w:bookmarkEnd w:id="677"/>
      <w:bookmarkStart w:id="678" w:name="_Hlt520274393"/>
      <w:bookmarkEnd w:id="678"/>
      <w:bookmarkStart w:id="679" w:name="_Hlt520271212"/>
      <w:bookmarkEnd w:id="679"/>
      <w:bookmarkStart w:id="680" w:name="_Hlt520274407"/>
      <w:bookmarkEnd w:id="680"/>
      <w:bookmarkStart w:id="681" w:name="_Hlt520274121"/>
      <w:bookmarkEnd w:id="681"/>
      <w:bookmarkStart w:id="682" w:name="_Hlt520343392"/>
      <w:bookmarkEnd w:id="682"/>
      <w:bookmarkStart w:id="683" w:name="_Hlt520273711"/>
      <w:bookmarkEnd w:id="683"/>
      <w:bookmarkStart w:id="684" w:name="_Hlt520343000"/>
      <w:bookmarkEnd w:id="684"/>
      <w:bookmarkStart w:id="685" w:name="_Hlt520355504"/>
      <w:bookmarkEnd w:id="685"/>
      <w:bookmarkStart w:id="686" w:name="_Ref467988698"/>
      <w:bookmarkStart w:id="687" w:name="_Toc480942349"/>
      <w:bookmarkStart w:id="688" w:name="_Toc226337252"/>
      <w:bookmarkStart w:id="689" w:name="_Toc150774761"/>
      <w:bookmarkStart w:id="690" w:name="_Toc150480794"/>
      <w:bookmarkStart w:id="691" w:name="_Toc127151556"/>
      <w:bookmarkStart w:id="692" w:name="_Toc226309800"/>
      <w:bookmarkStart w:id="693" w:name="_Toc195842921"/>
      <w:bookmarkStart w:id="694" w:name="_Toc520356217"/>
      <w:bookmarkStart w:id="695" w:name="_Toc226965746"/>
      <w:bookmarkStart w:id="696" w:name="_Toc142311058"/>
      <w:bookmarkStart w:id="697" w:name="_Toc226965829"/>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r>
    </w:p>
    <w:p>
      <w:p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3 本项目的特定资格要求（如有）</w:t>
      </w:r>
    </w:p>
    <w:p>
      <w:pPr>
        <w:rPr>
          <w:rFonts w:eastAsiaTheme="minorEastAsia"/>
          <w:color w:val="auto"/>
          <w:sz w:val="24"/>
          <w:szCs w:val="20"/>
          <w:highlight w:val="none"/>
        </w:rPr>
      </w:pPr>
      <w:r>
        <w:rPr>
          <w:rFonts w:eastAsiaTheme="minorEastAsia"/>
          <w:color w:val="auto"/>
          <w:sz w:val="24"/>
          <w:szCs w:val="20"/>
          <w:highlight w:val="none"/>
        </w:rPr>
        <w:t>3-1联合协议（如有）（实质性格式）</w:t>
      </w:r>
    </w:p>
    <w:p>
      <w:pPr>
        <w:autoSpaceDE w:val="0"/>
        <w:autoSpaceDN w:val="0"/>
        <w:adjustRightInd w:val="0"/>
        <w:spacing w:line="360" w:lineRule="auto"/>
        <w:jc w:val="center"/>
        <w:rPr>
          <w:rFonts w:eastAsiaTheme="minorEastAsia"/>
          <w:b/>
          <w:color w:val="auto"/>
          <w:sz w:val="36"/>
          <w:szCs w:val="36"/>
          <w:highlight w:val="none"/>
        </w:rPr>
      </w:pPr>
      <w:r>
        <w:rPr>
          <w:rFonts w:hint="eastAsia" w:eastAsiaTheme="minorEastAsia"/>
          <w:b/>
          <w:color w:val="auto"/>
          <w:sz w:val="36"/>
          <w:szCs w:val="36"/>
          <w:highlight w:val="none"/>
        </w:rPr>
        <w:t>联合协议</w:t>
      </w:r>
    </w:p>
    <w:p>
      <w:pPr>
        <w:spacing w:line="360" w:lineRule="auto"/>
        <w:ind w:firstLine="828" w:firstLineChars="345"/>
        <w:rPr>
          <w:rFonts w:eastAsiaTheme="minorEastAsia"/>
          <w:bCs/>
          <w:color w:val="auto"/>
          <w:highlight w:val="none"/>
        </w:rPr>
      </w:pPr>
      <w:r>
        <w:rPr>
          <w:rFonts w:eastAsiaTheme="minorEastAsia"/>
          <w:color w:val="auto"/>
          <w:sz w:val="24"/>
          <w:highlight w:val="none"/>
        </w:rPr>
        <w:t>______</w:t>
      </w:r>
      <w:r>
        <w:rPr>
          <w:rFonts w:eastAsiaTheme="minorEastAsia"/>
          <w:bCs/>
          <w:color w:val="auto"/>
          <w:sz w:val="24"/>
          <w:highlight w:val="none"/>
        </w:rPr>
        <w:t xml:space="preserve"> 、</w:t>
      </w:r>
      <w:r>
        <w:rPr>
          <w:rFonts w:eastAsiaTheme="minorEastAsia"/>
          <w:color w:val="auto"/>
          <w:sz w:val="24"/>
          <w:highlight w:val="none"/>
        </w:rPr>
        <w:t>______</w:t>
      </w:r>
      <w:r>
        <w:rPr>
          <w:rFonts w:eastAsiaTheme="minorEastAsia"/>
          <w:bCs/>
          <w:color w:val="auto"/>
          <w:sz w:val="24"/>
          <w:highlight w:val="none"/>
        </w:rPr>
        <w:t>及</w:t>
      </w:r>
      <w:r>
        <w:rPr>
          <w:rFonts w:eastAsiaTheme="minorEastAsia"/>
          <w:color w:val="auto"/>
          <w:sz w:val="24"/>
          <w:highlight w:val="none"/>
        </w:rPr>
        <w:t>______</w:t>
      </w:r>
      <w:r>
        <w:rPr>
          <w:rFonts w:eastAsiaTheme="minorEastAsia"/>
          <w:bCs/>
          <w:color w:val="auto"/>
          <w:sz w:val="24"/>
          <w:highlight w:val="none"/>
        </w:rPr>
        <w:t>就“</w:t>
      </w:r>
      <w:r>
        <w:rPr>
          <w:rFonts w:eastAsiaTheme="minorEastAsia"/>
          <w:color w:val="auto"/>
          <w:sz w:val="24"/>
          <w:highlight w:val="none"/>
        </w:rPr>
        <w:t>______</w:t>
      </w:r>
      <w:r>
        <w:rPr>
          <w:rFonts w:eastAsiaTheme="minorEastAsia"/>
          <w:bCs/>
          <w:color w:val="auto"/>
          <w:sz w:val="24"/>
          <w:highlight w:val="none"/>
        </w:rPr>
        <w:t>（项目名称）</w:t>
      </w:r>
      <w:r>
        <w:rPr>
          <w:rFonts w:eastAsiaTheme="minorEastAsia"/>
          <w:color w:val="auto"/>
          <w:sz w:val="24"/>
          <w:highlight w:val="none"/>
        </w:rPr>
        <w:t>” ______包</w:t>
      </w:r>
      <w:r>
        <w:rPr>
          <w:rFonts w:eastAsiaTheme="minorEastAsia"/>
          <w:bCs/>
          <w:color w:val="auto"/>
          <w:sz w:val="24"/>
          <w:highlight w:val="none"/>
        </w:rPr>
        <w:t>采购项目的磋商事宜，经各方充分协商一致，达成如下协议：</w:t>
      </w:r>
    </w:p>
    <w:p>
      <w:pPr>
        <w:numPr>
          <w:ilvl w:val="0"/>
          <w:numId w:val="25"/>
        </w:numPr>
        <w:spacing w:line="360" w:lineRule="auto"/>
        <w:rPr>
          <w:rFonts w:eastAsiaTheme="minorEastAsia"/>
          <w:bCs/>
          <w:color w:val="auto"/>
          <w:sz w:val="24"/>
          <w:highlight w:val="none"/>
        </w:rPr>
      </w:pPr>
      <w:r>
        <w:rPr>
          <w:rFonts w:eastAsiaTheme="minorEastAsia"/>
          <w:bCs/>
          <w:color w:val="auto"/>
          <w:sz w:val="24"/>
          <w:highlight w:val="none"/>
        </w:rPr>
        <w:t>由</w:t>
      </w:r>
      <w:r>
        <w:rPr>
          <w:rFonts w:eastAsiaTheme="minorEastAsia"/>
          <w:color w:val="auto"/>
          <w:sz w:val="24"/>
          <w:highlight w:val="none"/>
        </w:rPr>
        <w:t>____</w:t>
      </w:r>
      <w:r>
        <w:rPr>
          <w:bCs/>
          <w:color w:val="auto"/>
          <w:sz w:val="24"/>
          <w:highlight w:val="none"/>
        </w:rPr>
        <w:t>__</w:t>
      </w:r>
      <w:r>
        <w:rPr>
          <w:rFonts w:eastAsiaTheme="minorEastAsia"/>
          <w:color w:val="auto"/>
          <w:sz w:val="24"/>
          <w:highlight w:val="none"/>
        </w:rPr>
        <w:t>__</w:t>
      </w:r>
      <w:r>
        <w:rPr>
          <w:rFonts w:eastAsiaTheme="minorEastAsia"/>
          <w:bCs/>
          <w:color w:val="auto"/>
          <w:sz w:val="24"/>
          <w:highlight w:val="none"/>
        </w:rPr>
        <w:t>牵头，</w:t>
      </w:r>
      <w:r>
        <w:rPr>
          <w:rFonts w:eastAsiaTheme="minorEastAsia"/>
          <w:color w:val="auto"/>
          <w:sz w:val="24"/>
          <w:highlight w:val="none"/>
        </w:rPr>
        <w:t>___</w:t>
      </w:r>
      <w:r>
        <w:rPr>
          <w:bCs/>
          <w:color w:val="auto"/>
          <w:sz w:val="24"/>
          <w:highlight w:val="none"/>
        </w:rPr>
        <w:t>__</w:t>
      </w:r>
      <w:r>
        <w:rPr>
          <w:rFonts w:eastAsiaTheme="minorEastAsia"/>
          <w:color w:val="auto"/>
          <w:sz w:val="24"/>
          <w:highlight w:val="none"/>
        </w:rPr>
        <w:t>___</w:t>
      </w:r>
      <w:r>
        <w:rPr>
          <w:rFonts w:eastAsiaTheme="minorEastAsia"/>
          <w:bCs/>
          <w:color w:val="auto"/>
          <w:sz w:val="24"/>
          <w:highlight w:val="none"/>
        </w:rPr>
        <w:t>、</w:t>
      </w:r>
      <w:r>
        <w:rPr>
          <w:rFonts w:eastAsiaTheme="minorEastAsia"/>
          <w:color w:val="auto"/>
          <w:sz w:val="24"/>
          <w:highlight w:val="none"/>
        </w:rPr>
        <w:t>___</w:t>
      </w:r>
      <w:r>
        <w:rPr>
          <w:bCs/>
          <w:color w:val="auto"/>
          <w:sz w:val="24"/>
          <w:highlight w:val="none"/>
        </w:rPr>
        <w:t>__</w:t>
      </w:r>
      <w:r>
        <w:rPr>
          <w:rFonts w:eastAsiaTheme="minorEastAsia"/>
          <w:color w:val="auto"/>
          <w:sz w:val="24"/>
          <w:highlight w:val="none"/>
        </w:rPr>
        <w:t>___</w:t>
      </w:r>
      <w:r>
        <w:rPr>
          <w:rFonts w:eastAsiaTheme="minorEastAsia"/>
          <w:bCs/>
          <w:color w:val="auto"/>
          <w:sz w:val="24"/>
          <w:highlight w:val="none"/>
        </w:rPr>
        <w:t>参加，组成联合体共同进行采购项目的磋商工作。</w:t>
      </w:r>
    </w:p>
    <w:p>
      <w:pPr>
        <w:numPr>
          <w:ilvl w:val="0"/>
          <w:numId w:val="25"/>
        </w:numPr>
        <w:spacing w:line="360" w:lineRule="auto"/>
        <w:rPr>
          <w:rFonts w:eastAsiaTheme="minorEastAsia"/>
          <w:bCs/>
          <w:color w:val="auto"/>
          <w:sz w:val="24"/>
          <w:highlight w:val="none"/>
        </w:rPr>
      </w:pPr>
      <w:r>
        <w:rPr>
          <w:rFonts w:eastAsiaTheme="minorEastAsia"/>
          <w:bCs/>
          <w:color w:val="auto"/>
          <w:sz w:val="24"/>
          <w:highlight w:val="none"/>
        </w:rPr>
        <w:t>联合体成交后，联合体各方共同与采购人签订合同，就</w:t>
      </w:r>
      <w:r>
        <w:rPr>
          <w:rFonts w:eastAsiaTheme="minorEastAsia"/>
          <w:color w:val="auto"/>
          <w:sz w:val="24"/>
          <w:szCs w:val="20"/>
          <w:highlight w:val="none"/>
        </w:rPr>
        <w:t>采购合同约定的事项</w:t>
      </w:r>
      <w:r>
        <w:rPr>
          <w:rFonts w:eastAsiaTheme="minorEastAsia"/>
          <w:bCs/>
          <w:color w:val="auto"/>
          <w:sz w:val="24"/>
          <w:highlight w:val="none"/>
        </w:rPr>
        <w:t>对采购人承担连带责任。</w:t>
      </w:r>
    </w:p>
    <w:p>
      <w:pPr>
        <w:numPr>
          <w:ilvl w:val="0"/>
          <w:numId w:val="25"/>
        </w:numPr>
        <w:spacing w:line="360" w:lineRule="auto"/>
        <w:rPr>
          <w:rFonts w:eastAsiaTheme="minorEastAsia"/>
          <w:bCs/>
          <w:color w:val="auto"/>
          <w:sz w:val="24"/>
          <w:highlight w:val="none"/>
        </w:rPr>
      </w:pPr>
      <w:r>
        <w:rPr>
          <w:rFonts w:eastAsiaTheme="minorEastAsia"/>
          <w:bCs/>
          <w:color w:val="auto"/>
          <w:sz w:val="24"/>
          <w:highlight w:val="none"/>
        </w:rPr>
        <w:t>联合体各方均同意由牵头人代表其他联合体成员单位按竞争性磋商文件要求出具《授权委托书》。</w:t>
      </w:r>
    </w:p>
    <w:p>
      <w:pPr>
        <w:numPr>
          <w:ilvl w:val="0"/>
          <w:numId w:val="25"/>
        </w:numPr>
        <w:spacing w:line="360" w:lineRule="auto"/>
        <w:rPr>
          <w:rFonts w:eastAsiaTheme="minorEastAsia"/>
          <w:bCs/>
          <w:color w:val="auto"/>
          <w:sz w:val="24"/>
          <w:highlight w:val="none"/>
        </w:rPr>
      </w:pPr>
      <w:r>
        <w:rPr>
          <w:rFonts w:eastAsiaTheme="minorEastAsia"/>
          <w:bCs/>
          <w:color w:val="auto"/>
          <w:sz w:val="24"/>
          <w:highlight w:val="none"/>
        </w:rPr>
        <w:t>牵头人为项目的总负责单位；组织各参加方进行项目实施工作。</w:t>
      </w:r>
    </w:p>
    <w:p>
      <w:pPr>
        <w:numPr>
          <w:ilvl w:val="0"/>
          <w:numId w:val="25"/>
        </w:numPr>
        <w:spacing w:line="360" w:lineRule="auto"/>
        <w:rPr>
          <w:rFonts w:eastAsiaTheme="minorEastAsia"/>
          <w:bCs/>
          <w:color w:val="auto"/>
          <w:sz w:val="24"/>
          <w:highlight w:val="none"/>
        </w:rPr>
      </w:pPr>
      <w:r>
        <w:rPr>
          <w:rFonts w:eastAsiaTheme="minorEastAsia"/>
          <w:color w:val="auto"/>
          <w:sz w:val="24"/>
          <w:highlight w:val="none"/>
        </w:rPr>
        <w:t>______</w:t>
      </w:r>
      <w:r>
        <w:rPr>
          <w:rFonts w:eastAsiaTheme="minorEastAsia"/>
          <w:bCs/>
          <w:color w:val="auto"/>
          <w:sz w:val="24"/>
          <w:highlight w:val="none"/>
        </w:rPr>
        <w:t>负责</w:t>
      </w:r>
      <w:r>
        <w:rPr>
          <w:rFonts w:eastAsiaTheme="minorEastAsia"/>
          <w:color w:val="auto"/>
          <w:sz w:val="24"/>
          <w:highlight w:val="none"/>
        </w:rPr>
        <w:t>______</w:t>
      </w:r>
      <w:r>
        <w:rPr>
          <w:rFonts w:eastAsiaTheme="minorEastAsia"/>
          <w:bCs/>
          <w:color w:val="auto"/>
          <w:sz w:val="24"/>
          <w:highlight w:val="none"/>
        </w:rPr>
        <w:t>，具体工作范围、内容以响应文件及合同为准。</w:t>
      </w:r>
    </w:p>
    <w:p>
      <w:pPr>
        <w:numPr>
          <w:ilvl w:val="0"/>
          <w:numId w:val="25"/>
        </w:numPr>
        <w:spacing w:line="360" w:lineRule="auto"/>
        <w:rPr>
          <w:rFonts w:eastAsiaTheme="minorEastAsia"/>
          <w:bCs/>
          <w:color w:val="auto"/>
          <w:sz w:val="24"/>
          <w:highlight w:val="none"/>
        </w:rPr>
      </w:pPr>
      <w:r>
        <w:rPr>
          <w:rFonts w:eastAsiaTheme="minorEastAsia"/>
          <w:color w:val="auto"/>
          <w:sz w:val="24"/>
          <w:highlight w:val="none"/>
        </w:rPr>
        <w:t>______</w:t>
      </w:r>
      <w:r>
        <w:rPr>
          <w:rFonts w:eastAsiaTheme="minorEastAsia"/>
          <w:bCs/>
          <w:color w:val="auto"/>
          <w:sz w:val="24"/>
          <w:highlight w:val="none"/>
        </w:rPr>
        <w:t>负责</w:t>
      </w:r>
      <w:r>
        <w:rPr>
          <w:rFonts w:eastAsiaTheme="minorEastAsia"/>
          <w:color w:val="auto"/>
          <w:sz w:val="24"/>
          <w:highlight w:val="none"/>
        </w:rPr>
        <w:t>______</w:t>
      </w:r>
      <w:r>
        <w:rPr>
          <w:rFonts w:eastAsiaTheme="minorEastAsia"/>
          <w:bCs/>
          <w:color w:val="auto"/>
          <w:sz w:val="24"/>
          <w:highlight w:val="none"/>
        </w:rPr>
        <w:t>，具体工作范围、内容以响应文件及合同为准。</w:t>
      </w:r>
    </w:p>
    <w:p>
      <w:pPr>
        <w:numPr>
          <w:ilvl w:val="0"/>
          <w:numId w:val="25"/>
        </w:numPr>
        <w:spacing w:line="360" w:lineRule="auto"/>
        <w:rPr>
          <w:rFonts w:eastAsiaTheme="minorEastAsia"/>
          <w:bCs/>
          <w:color w:val="auto"/>
          <w:sz w:val="24"/>
          <w:highlight w:val="none"/>
        </w:rPr>
      </w:pPr>
      <w:r>
        <w:rPr>
          <w:rFonts w:eastAsiaTheme="minorEastAsia"/>
          <w:color w:val="auto"/>
          <w:sz w:val="24"/>
          <w:highlight w:val="none"/>
        </w:rPr>
        <w:t>______</w:t>
      </w:r>
      <w:r>
        <w:rPr>
          <w:rFonts w:eastAsiaTheme="minorEastAsia"/>
          <w:bCs/>
          <w:color w:val="auto"/>
          <w:sz w:val="24"/>
          <w:highlight w:val="none"/>
        </w:rPr>
        <w:t>负责</w:t>
      </w:r>
      <w:r>
        <w:rPr>
          <w:rFonts w:eastAsiaTheme="minorEastAsia"/>
          <w:color w:val="auto"/>
          <w:sz w:val="24"/>
          <w:highlight w:val="none"/>
        </w:rPr>
        <w:t>______</w:t>
      </w:r>
      <w:r>
        <w:rPr>
          <w:rFonts w:eastAsiaTheme="minorEastAsia"/>
          <w:bCs/>
          <w:color w:val="auto"/>
          <w:sz w:val="24"/>
          <w:highlight w:val="none"/>
        </w:rPr>
        <w:t>（如有），具体工作范围、内容以响应文件及合同为准。</w:t>
      </w:r>
    </w:p>
    <w:p>
      <w:pPr>
        <w:numPr>
          <w:ilvl w:val="0"/>
          <w:numId w:val="25"/>
        </w:numPr>
        <w:spacing w:line="360" w:lineRule="auto"/>
        <w:rPr>
          <w:rFonts w:eastAsiaTheme="minorEastAsia"/>
          <w:color w:val="auto"/>
          <w:sz w:val="24"/>
          <w:highlight w:val="none"/>
        </w:rPr>
      </w:pPr>
      <w:r>
        <w:rPr>
          <w:rFonts w:eastAsiaTheme="minorEastAsia"/>
          <w:color w:val="auto"/>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eastAsiaTheme="minorEastAsia"/>
          <w:color w:val="auto"/>
          <w:sz w:val="24"/>
          <w:szCs w:val="20"/>
          <w:highlight w:val="none"/>
        </w:rPr>
      </w:pPr>
      <w:r>
        <w:rPr>
          <w:rFonts w:eastAsiaTheme="minorEastAsia"/>
          <w:color w:val="auto"/>
          <w:sz w:val="24"/>
          <w:szCs w:val="20"/>
          <w:highlight w:val="none"/>
        </w:rPr>
        <w:t>（1）</w:t>
      </w:r>
      <w:r>
        <w:rPr>
          <w:rFonts w:eastAsiaTheme="minorEastAsia"/>
          <w:color w:val="auto"/>
          <w:sz w:val="24"/>
          <w:highlight w:val="none"/>
        </w:rPr>
        <w:t>______</w:t>
      </w:r>
      <w:r>
        <w:rPr>
          <w:rFonts w:eastAsiaTheme="minorEastAsia"/>
          <w:color w:val="auto"/>
          <w:sz w:val="24"/>
          <w:szCs w:val="20"/>
          <w:highlight w:val="none"/>
        </w:rPr>
        <w:t>为□大型企业□中型企业、□小微企业（包含监狱企业、残疾人福利性单位）、□其他，合同金额为</w:t>
      </w:r>
      <w:r>
        <w:rPr>
          <w:rFonts w:eastAsiaTheme="minorEastAsia"/>
          <w:color w:val="auto"/>
          <w:sz w:val="24"/>
          <w:highlight w:val="none"/>
        </w:rPr>
        <w:t>______</w:t>
      </w:r>
      <w:r>
        <w:rPr>
          <w:rFonts w:eastAsiaTheme="minorEastAsia"/>
          <w:color w:val="auto"/>
          <w:sz w:val="24"/>
          <w:szCs w:val="20"/>
          <w:highlight w:val="none"/>
        </w:rPr>
        <w:t>元；</w:t>
      </w:r>
    </w:p>
    <w:p>
      <w:pPr>
        <w:tabs>
          <w:tab w:val="left" w:pos="720"/>
          <w:tab w:val="left" w:pos="900"/>
        </w:tabs>
        <w:spacing w:line="360" w:lineRule="auto"/>
        <w:ind w:left="851"/>
        <w:rPr>
          <w:rFonts w:eastAsiaTheme="minorEastAsia"/>
          <w:color w:val="auto"/>
          <w:sz w:val="24"/>
          <w:szCs w:val="20"/>
          <w:highlight w:val="none"/>
        </w:rPr>
      </w:pPr>
      <w:r>
        <w:rPr>
          <w:rFonts w:eastAsiaTheme="minorEastAsia"/>
          <w:color w:val="auto"/>
          <w:sz w:val="24"/>
          <w:szCs w:val="20"/>
          <w:highlight w:val="none"/>
        </w:rPr>
        <w:t>（2）</w:t>
      </w:r>
      <w:r>
        <w:rPr>
          <w:rFonts w:eastAsiaTheme="minorEastAsia"/>
          <w:color w:val="auto"/>
          <w:sz w:val="24"/>
          <w:highlight w:val="none"/>
        </w:rPr>
        <w:t>______</w:t>
      </w:r>
      <w:r>
        <w:rPr>
          <w:rFonts w:eastAsiaTheme="minorEastAsia"/>
          <w:color w:val="auto"/>
          <w:sz w:val="24"/>
          <w:szCs w:val="20"/>
          <w:highlight w:val="none"/>
        </w:rPr>
        <w:t>为□大型企业□中型企业、□小微企业（包含监狱企业、残疾人福利性单位）、□其他，合同金额为</w:t>
      </w:r>
      <w:r>
        <w:rPr>
          <w:rFonts w:eastAsiaTheme="minorEastAsia"/>
          <w:color w:val="auto"/>
          <w:sz w:val="24"/>
          <w:highlight w:val="none"/>
        </w:rPr>
        <w:t>______</w:t>
      </w:r>
      <w:r>
        <w:rPr>
          <w:rFonts w:eastAsiaTheme="minorEastAsia"/>
          <w:color w:val="auto"/>
          <w:sz w:val="24"/>
          <w:szCs w:val="20"/>
          <w:highlight w:val="none"/>
        </w:rPr>
        <w:t>元；</w:t>
      </w:r>
    </w:p>
    <w:p>
      <w:pPr>
        <w:tabs>
          <w:tab w:val="left" w:pos="720"/>
          <w:tab w:val="left" w:pos="900"/>
        </w:tabs>
        <w:spacing w:line="360" w:lineRule="auto"/>
        <w:ind w:left="851"/>
        <w:rPr>
          <w:rFonts w:eastAsiaTheme="minorEastAsia"/>
          <w:color w:val="auto"/>
          <w:sz w:val="24"/>
          <w:szCs w:val="20"/>
          <w:highlight w:val="none"/>
        </w:rPr>
      </w:pPr>
      <w:r>
        <w:rPr>
          <w:rFonts w:eastAsiaTheme="minorEastAsia"/>
          <w:color w:val="auto"/>
          <w:sz w:val="24"/>
          <w:szCs w:val="20"/>
          <w:highlight w:val="none"/>
        </w:rPr>
        <w:t>（…）</w:t>
      </w:r>
      <w:r>
        <w:rPr>
          <w:rFonts w:eastAsiaTheme="minorEastAsia"/>
          <w:color w:val="auto"/>
          <w:sz w:val="24"/>
          <w:highlight w:val="none"/>
        </w:rPr>
        <w:t>______</w:t>
      </w:r>
      <w:r>
        <w:rPr>
          <w:rFonts w:eastAsiaTheme="minorEastAsia"/>
          <w:color w:val="auto"/>
          <w:sz w:val="24"/>
          <w:szCs w:val="20"/>
          <w:highlight w:val="none"/>
        </w:rPr>
        <w:t>为□大型企业□中型企业、□小微企业（包含监狱企业、残疾人福利性单位）、□其他，合同金额为</w:t>
      </w:r>
      <w:r>
        <w:rPr>
          <w:rFonts w:eastAsiaTheme="minorEastAsia"/>
          <w:color w:val="auto"/>
          <w:sz w:val="24"/>
          <w:highlight w:val="none"/>
        </w:rPr>
        <w:t>______</w:t>
      </w:r>
      <w:r>
        <w:rPr>
          <w:rFonts w:eastAsiaTheme="minorEastAsia"/>
          <w:color w:val="auto"/>
          <w:sz w:val="24"/>
          <w:szCs w:val="20"/>
          <w:highlight w:val="none"/>
        </w:rPr>
        <w:t>元。</w:t>
      </w:r>
    </w:p>
    <w:p>
      <w:pPr>
        <w:numPr>
          <w:ilvl w:val="0"/>
          <w:numId w:val="25"/>
        </w:numPr>
        <w:tabs>
          <w:tab w:val="left" w:pos="993"/>
        </w:tabs>
        <w:spacing w:line="360" w:lineRule="auto"/>
        <w:rPr>
          <w:rFonts w:eastAsiaTheme="minorEastAsia"/>
          <w:bCs/>
          <w:color w:val="auto"/>
          <w:sz w:val="24"/>
          <w:highlight w:val="none"/>
        </w:rPr>
      </w:pPr>
      <w:r>
        <w:rPr>
          <w:rFonts w:eastAsiaTheme="minorEastAsia"/>
          <w:color w:val="auto"/>
          <w:sz w:val="24"/>
          <w:szCs w:val="20"/>
          <w:highlight w:val="none"/>
        </w:rPr>
        <w:t>以联合体形式参加政府采购活动的，联合体各方不得再单独参加或者与其他供应商另外组成联合体参加同一合同项下的政府采购活动。</w:t>
      </w:r>
    </w:p>
    <w:p>
      <w:pPr>
        <w:numPr>
          <w:ilvl w:val="0"/>
          <w:numId w:val="25"/>
        </w:numPr>
        <w:spacing w:line="360" w:lineRule="auto"/>
        <w:rPr>
          <w:rFonts w:eastAsiaTheme="minorEastAsia"/>
          <w:bCs/>
          <w:color w:val="auto"/>
          <w:sz w:val="24"/>
          <w:highlight w:val="none"/>
        </w:rPr>
      </w:pPr>
      <w:r>
        <w:rPr>
          <w:rFonts w:eastAsiaTheme="minorEastAsia"/>
          <w:bCs/>
          <w:color w:val="auto"/>
          <w:sz w:val="24"/>
          <w:highlight w:val="none"/>
        </w:rPr>
        <w:t>其他约定（如有）：</w:t>
      </w:r>
      <w:r>
        <w:rPr>
          <w:rFonts w:eastAsiaTheme="minorEastAsia"/>
          <w:color w:val="auto"/>
          <w:sz w:val="24"/>
          <w:highlight w:val="none"/>
        </w:rPr>
        <w:t>______</w:t>
      </w:r>
      <w:r>
        <w:rPr>
          <w:rFonts w:hint="eastAsia" w:eastAsiaTheme="minorEastAsia"/>
          <w:color w:val="auto"/>
          <w:sz w:val="24"/>
          <w:highlight w:val="none"/>
        </w:rPr>
        <w:t>。</w:t>
      </w:r>
    </w:p>
    <w:p>
      <w:pPr>
        <w:tabs>
          <w:tab w:val="left" w:pos="780"/>
        </w:tabs>
        <w:spacing w:line="360" w:lineRule="auto"/>
        <w:ind w:left="180" w:firstLine="480" w:firstLineChars="200"/>
        <w:rPr>
          <w:rFonts w:eastAsiaTheme="minorEastAsia"/>
          <w:b/>
          <w:color w:val="auto"/>
          <w:sz w:val="24"/>
          <w:highlight w:val="none"/>
        </w:rPr>
      </w:pPr>
      <w:r>
        <w:rPr>
          <w:rFonts w:eastAsiaTheme="minorEastAsia"/>
          <w:bCs/>
          <w:color w:val="auto"/>
          <w:sz w:val="24"/>
          <w:highlight w:val="none"/>
        </w:rPr>
        <w:t>本协议自各方盖章后生效，采购合同履行完毕后自动失效。如未成交，本协议自动终止。</w:t>
      </w:r>
    </w:p>
    <w:p>
      <w:pPr>
        <w:spacing w:line="360" w:lineRule="auto"/>
        <w:ind w:firstLine="471"/>
        <w:rPr>
          <w:color w:val="auto"/>
          <w:sz w:val="24"/>
          <w:highlight w:val="none"/>
        </w:rPr>
      </w:pPr>
      <w:r>
        <w:rPr>
          <w:rFonts w:hint="eastAsia"/>
          <w:color w:val="auto"/>
          <w:sz w:val="24"/>
          <w:highlight w:val="none"/>
        </w:rPr>
        <w:t>联合体</w:t>
      </w:r>
      <w:r>
        <w:rPr>
          <w:color w:val="auto"/>
          <w:sz w:val="24"/>
          <w:highlight w:val="none"/>
        </w:rPr>
        <w:t>牵头人</w:t>
      </w:r>
      <w:r>
        <w:rPr>
          <w:rFonts w:hint="eastAsia"/>
          <w:color w:val="auto"/>
          <w:sz w:val="24"/>
          <w:highlight w:val="none"/>
        </w:rPr>
        <w:t>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w:t>
      </w:r>
      <w:r>
        <w:rPr>
          <w:rFonts w:hint="eastAsia"/>
          <w:color w:val="auto"/>
          <w:sz w:val="24"/>
          <w:highlight w:val="none"/>
        </w:rPr>
        <w:t>联合体成员名称</w:t>
      </w:r>
      <w:r>
        <w:rPr>
          <w:color w:val="auto"/>
          <w:sz w:val="24"/>
          <w:highlight w:val="none"/>
        </w:rPr>
        <w:t>：</w:t>
      </w:r>
      <w:r>
        <w:rPr>
          <w:color w:val="auto"/>
          <w:sz w:val="24"/>
          <w:szCs w:val="20"/>
          <w:highlight w:val="none"/>
        </w:rPr>
        <w:t>______</w:t>
      </w:r>
    </w:p>
    <w:p>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pPr>
        <w:spacing w:line="360" w:lineRule="auto"/>
        <w:ind w:firstLine="471"/>
        <w:rPr>
          <w:color w:val="auto"/>
          <w:sz w:val="24"/>
          <w:highlight w:val="none"/>
        </w:rPr>
      </w:pPr>
    </w:p>
    <w:p>
      <w:pPr>
        <w:spacing w:line="360" w:lineRule="auto"/>
        <w:ind w:firstLine="471"/>
        <w:rPr>
          <w:color w:val="auto"/>
          <w:sz w:val="24"/>
          <w:highlight w:val="none"/>
        </w:rPr>
      </w:pPr>
    </w:p>
    <w:p>
      <w:pPr>
        <w:spacing w:line="360" w:lineRule="auto"/>
        <w:ind w:firstLine="471"/>
        <w:rPr>
          <w:color w:val="auto"/>
          <w:sz w:val="24"/>
          <w:highlight w:val="none"/>
        </w:rPr>
      </w:pPr>
      <w:r>
        <w:rPr>
          <w:rFonts w:hint="eastAsia"/>
          <w:color w:val="auto"/>
          <w:sz w:val="24"/>
          <w:highlight w:val="none"/>
        </w:rPr>
        <w:t>联合体成员名称</w:t>
      </w:r>
      <w:r>
        <w:rPr>
          <w:color w:val="auto"/>
          <w:sz w:val="24"/>
          <w:highlight w:val="none"/>
        </w:rPr>
        <w:t>：</w:t>
      </w:r>
      <w:r>
        <w:rPr>
          <w:color w:val="auto"/>
          <w:sz w:val="24"/>
          <w:szCs w:val="20"/>
          <w:highlight w:val="none"/>
        </w:rPr>
        <w:t>______</w:t>
      </w:r>
    </w:p>
    <w:p>
      <w:pPr>
        <w:widowControl/>
        <w:ind w:firstLine="480" w:firstLineChars="200"/>
        <w:jc w:val="left"/>
        <w:rPr>
          <w:rFonts w:eastAsiaTheme="minorEastAsia"/>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r>
        <w:rPr>
          <w:rFonts w:eastAsiaTheme="minorEastAsia"/>
          <w:color w:val="auto"/>
          <w:sz w:val="24"/>
          <w:highlight w:val="none"/>
        </w:rPr>
        <w:t xml:space="preserve"> </w:t>
      </w:r>
    </w:p>
    <w:p>
      <w:pPr>
        <w:spacing w:line="360" w:lineRule="auto"/>
        <w:ind w:left="480"/>
        <w:jc w:val="right"/>
        <w:rPr>
          <w:rFonts w:eastAsiaTheme="minorEastAsia"/>
          <w:color w:val="auto"/>
          <w:sz w:val="24"/>
          <w:highlight w:val="none"/>
        </w:rPr>
      </w:pPr>
    </w:p>
    <w:p>
      <w:pPr>
        <w:spacing w:line="360" w:lineRule="auto"/>
        <w:ind w:left="480"/>
        <w:jc w:val="right"/>
        <w:rPr>
          <w:rFonts w:eastAsiaTheme="minorEastAsia"/>
          <w:color w:val="auto"/>
          <w:sz w:val="24"/>
          <w:highlight w:val="none"/>
        </w:rPr>
      </w:pPr>
      <w:r>
        <w:rPr>
          <w:rFonts w:eastAsiaTheme="minorEastAsia"/>
          <w:color w:val="auto"/>
          <w:sz w:val="24"/>
          <w:szCs w:val="20"/>
          <w:highlight w:val="none"/>
        </w:rPr>
        <w:t>日期：</w:t>
      </w:r>
      <w:r>
        <w:rPr>
          <w:rFonts w:eastAsiaTheme="minorEastAsia"/>
          <w:color w:val="auto"/>
          <w:sz w:val="24"/>
          <w:highlight w:val="none"/>
        </w:rPr>
        <w:t>______</w:t>
      </w:r>
      <w:r>
        <w:rPr>
          <w:rFonts w:eastAsiaTheme="minorEastAsia"/>
          <w:color w:val="auto"/>
          <w:sz w:val="24"/>
          <w:szCs w:val="20"/>
          <w:highlight w:val="none"/>
        </w:rPr>
        <w:t>年</w:t>
      </w:r>
      <w:r>
        <w:rPr>
          <w:rFonts w:eastAsiaTheme="minorEastAsia"/>
          <w:color w:val="auto"/>
          <w:sz w:val="24"/>
          <w:highlight w:val="none"/>
        </w:rPr>
        <w:t>______</w:t>
      </w:r>
      <w:r>
        <w:rPr>
          <w:rFonts w:eastAsiaTheme="minorEastAsia"/>
          <w:color w:val="auto"/>
          <w:sz w:val="24"/>
          <w:szCs w:val="20"/>
          <w:highlight w:val="none"/>
        </w:rPr>
        <w:t>月</w:t>
      </w:r>
      <w:r>
        <w:rPr>
          <w:rFonts w:eastAsiaTheme="minorEastAsia"/>
          <w:color w:val="auto"/>
          <w:sz w:val="24"/>
          <w:highlight w:val="none"/>
        </w:rPr>
        <w:t>______</w:t>
      </w:r>
      <w:r>
        <w:rPr>
          <w:rFonts w:eastAsiaTheme="minorEastAsia"/>
          <w:color w:val="auto"/>
          <w:sz w:val="24"/>
          <w:szCs w:val="20"/>
          <w:highlight w:val="none"/>
        </w:rPr>
        <w:t>日</w:t>
      </w:r>
    </w:p>
    <w:p>
      <w:pPr>
        <w:spacing w:line="360" w:lineRule="auto"/>
        <w:ind w:left="480"/>
        <w:jc w:val="right"/>
        <w:rPr>
          <w:rFonts w:eastAsiaTheme="minorEastAsia"/>
          <w:b/>
          <w:color w:val="auto"/>
          <w:sz w:val="24"/>
          <w:highlight w:val="none"/>
        </w:rPr>
      </w:pPr>
    </w:p>
    <w:p>
      <w:pPr>
        <w:tabs>
          <w:tab w:val="left" w:pos="8280"/>
        </w:tabs>
        <w:spacing w:line="360" w:lineRule="auto"/>
        <w:ind w:firstLine="480"/>
        <w:rPr>
          <w:rFonts w:eastAsiaTheme="minorEastAsia"/>
          <w:color w:val="auto"/>
          <w:sz w:val="24"/>
          <w:highlight w:val="none"/>
        </w:rPr>
      </w:pPr>
    </w:p>
    <w:p>
      <w:pPr>
        <w:tabs>
          <w:tab w:val="left" w:pos="8280"/>
        </w:tabs>
        <w:spacing w:line="360" w:lineRule="auto"/>
        <w:ind w:firstLine="480"/>
        <w:rPr>
          <w:rFonts w:eastAsiaTheme="minorEastAsia"/>
          <w:color w:val="auto"/>
          <w:sz w:val="24"/>
          <w:highlight w:val="none"/>
        </w:rPr>
      </w:pP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 如本项目（包）接受供应商以联合体形式参加采购活动，且供应商以联合体形式参与时，须</w:t>
      </w:r>
      <w:r>
        <w:rPr>
          <w:rFonts w:hint="eastAsia" w:ascii="宋体" w:hAnsi="宋体" w:cs="宋体"/>
          <w:color w:val="auto"/>
          <w:sz w:val="24"/>
          <w:highlight w:val="none"/>
          <w:lang w:val="en-US" w:eastAsia="zh-CN"/>
        </w:rPr>
        <w:t>提</w:t>
      </w:r>
      <w:r>
        <w:rPr>
          <w:rFonts w:hint="eastAsia" w:ascii="宋体" w:hAnsi="宋体" w:eastAsia="宋体" w:cs="宋体"/>
          <w:color w:val="auto"/>
          <w:sz w:val="24"/>
          <w:highlight w:val="none"/>
          <w:lang w:val="en-US" w:eastAsia="zh-CN"/>
        </w:rPr>
        <w:t xml:space="preserve">供《联合协议》，否则响应无效。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 联合体各方成员需在本协议上共同盖章。</w:t>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r>
    </w:p>
    <w:p>
      <w:pPr>
        <w:spacing w:line="360" w:lineRule="auto"/>
        <w:outlineLvl w:val="2"/>
        <w:rPr>
          <w:rFonts w:eastAsiaTheme="minorEastAsia"/>
          <w:color w:val="auto"/>
          <w:sz w:val="24"/>
          <w:szCs w:val="20"/>
          <w:highlight w:val="none"/>
        </w:rPr>
      </w:pPr>
      <w:r>
        <w:rPr>
          <w:rFonts w:eastAsiaTheme="minorEastAsia"/>
          <w:color w:val="auto"/>
          <w:sz w:val="24"/>
          <w:szCs w:val="20"/>
          <w:highlight w:val="none"/>
        </w:rPr>
        <w:t>3-2其他特定资格要求</w:t>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r>
    </w:p>
    <w:p>
      <w:pPr>
        <w:outlineLvl w:val="1"/>
        <w:rPr>
          <w:rFonts w:eastAsiaTheme="minorEastAsia"/>
          <w:color w:val="auto"/>
          <w:sz w:val="24"/>
          <w:highlight w:val="none"/>
        </w:rPr>
      </w:pPr>
      <w:r>
        <w:rPr>
          <w:rFonts w:eastAsiaTheme="minorEastAsia"/>
          <w:color w:val="auto"/>
          <w:sz w:val="24"/>
          <w:highlight w:val="none"/>
        </w:rPr>
        <w:t>4 磋商保证金凭证/交款单据电子件</w:t>
      </w:r>
    </w:p>
    <w:p>
      <w:pPr>
        <w:rPr>
          <w:rFonts w:eastAsiaTheme="minorEastAsia"/>
          <w:color w:val="auto"/>
          <w:sz w:val="24"/>
          <w:highlight w:val="none"/>
        </w:rPr>
      </w:pPr>
      <w:r>
        <w:rPr>
          <w:rFonts w:eastAsiaTheme="minorEastAsia"/>
          <w:color w:val="auto"/>
          <w:sz w:val="24"/>
          <w:highlight w:val="none"/>
        </w:rPr>
        <w:br w:type="page"/>
      </w:r>
    </w:p>
    <w:p>
      <w:pPr>
        <w:outlineLvl w:val="1"/>
        <w:rPr>
          <w:rFonts w:ascii="Times New Roman" w:hAnsi="Times New Roman" w:cs="Times New Roman" w:eastAsiaTheme="minorEastAsia"/>
          <w:color w:val="auto"/>
          <w:sz w:val="24"/>
          <w:highlight w:val="none"/>
          <w:lang w:val="en-US" w:eastAsia="zh-CN"/>
        </w:rPr>
      </w:pPr>
      <w:r>
        <w:rPr>
          <w:rFonts w:hint="eastAsia" w:ascii="Times New Roman" w:hAnsi="Times New Roman" w:cs="Times New Roman" w:eastAsiaTheme="minorEastAsia"/>
          <w:color w:val="auto"/>
          <w:sz w:val="24"/>
          <w:highlight w:val="none"/>
          <w:lang w:val="en-US" w:eastAsia="zh-CN"/>
        </w:rPr>
        <w:t xml:space="preserve">5 </w:t>
      </w:r>
      <w:r>
        <w:rPr>
          <w:rFonts w:ascii="Times New Roman" w:hAnsi="Times New Roman" w:cs="Times New Roman" w:eastAsiaTheme="minorEastAsia"/>
          <w:color w:val="auto"/>
          <w:sz w:val="24"/>
          <w:highlight w:val="none"/>
          <w:lang w:val="en-US" w:eastAsia="zh-CN"/>
        </w:rPr>
        <w:t>法律、行政法规规定的其他条件</w:t>
      </w:r>
    </w:p>
    <w:p>
      <w:pPr>
        <w:outlineLvl w:val="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r>
    </w:p>
    <w:p>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 xml:space="preserve">  </w:t>
      </w:r>
      <w:bookmarkEnd w:id="686"/>
      <w:bookmarkEnd w:id="687"/>
      <w:r>
        <w:rPr>
          <w:rFonts w:hint="eastAsia" w:ascii="宋体" w:hAnsi="宋体" w:eastAsia="宋体" w:cs="宋体"/>
          <w:color w:val="auto"/>
          <w:sz w:val="24"/>
          <w:highlight w:val="none"/>
        </w:rPr>
        <w:t>响应书</w:t>
      </w:r>
      <w:bookmarkEnd w:id="688"/>
      <w:bookmarkEnd w:id="689"/>
      <w:bookmarkEnd w:id="690"/>
      <w:bookmarkEnd w:id="691"/>
      <w:bookmarkEnd w:id="692"/>
      <w:bookmarkEnd w:id="693"/>
      <w:bookmarkEnd w:id="694"/>
      <w:bookmarkEnd w:id="695"/>
      <w:bookmarkEnd w:id="696"/>
      <w:bookmarkEnd w:id="697"/>
    </w:p>
    <w:p>
      <w:pPr>
        <w:tabs>
          <w:tab w:val="left" w:pos="5580"/>
        </w:tabs>
        <w:spacing w:line="360" w:lineRule="auto"/>
        <w:rPr>
          <w:rFonts w:hint="eastAsia" w:ascii="宋体" w:hAnsi="宋体" w:eastAsia="宋体" w:cs="宋体"/>
          <w:color w:val="auto"/>
          <w:sz w:val="24"/>
          <w:highlight w:val="none"/>
        </w:rPr>
      </w:pPr>
    </w:p>
    <w:p>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响应书</w:t>
      </w:r>
    </w:p>
    <w:p>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pPr>
        <w:tabs>
          <w:tab w:val="left" w:pos="5580"/>
        </w:tabs>
        <w:spacing w:line="360" w:lineRule="auto"/>
        <w:rPr>
          <w:rFonts w:hint="eastAsia" w:ascii="宋体" w:hAnsi="宋体" w:eastAsia="宋体" w:cs="宋体"/>
          <w:color w:val="auto"/>
          <w:sz w:val="24"/>
          <w:szCs w:val="20"/>
          <w:highlight w:val="none"/>
        </w:rPr>
      </w:pPr>
    </w:p>
    <w:p>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我方参加你方就</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（项目名称</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rPr>
        <w:t>项目编号</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lang w:val="en-US" w:eastAsia="zh-CN"/>
        </w:rPr>
        <w:t>包号</w:t>
      </w:r>
      <w:r>
        <w:rPr>
          <w:rFonts w:hint="eastAsia" w:ascii="宋体" w:hAnsi="宋体" w:eastAsia="宋体" w:cs="宋体"/>
          <w:color w:val="auto"/>
          <w:sz w:val="24"/>
          <w:szCs w:val="20"/>
          <w:highlight w:val="none"/>
        </w:rPr>
        <w:t>）组织的采购活动，并对此项目进行磋商。</w:t>
      </w:r>
    </w:p>
    <w:p>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 我方</w:t>
      </w:r>
      <w:r>
        <w:rPr>
          <w:rFonts w:hint="eastAsia" w:ascii="宋体" w:hAnsi="宋体" w:eastAsia="宋体" w:cs="宋体"/>
          <w:color w:val="auto"/>
          <w:sz w:val="24"/>
          <w:highlight w:val="none"/>
        </w:rPr>
        <w:t>已详细审查全部竞争性磋商文件</w:t>
      </w:r>
      <w:r>
        <w:rPr>
          <w:rFonts w:hint="eastAsia" w:ascii="宋体" w:hAnsi="宋体" w:eastAsia="宋体" w:cs="宋体"/>
          <w:color w:val="auto"/>
          <w:sz w:val="24"/>
          <w:szCs w:val="20"/>
          <w:highlight w:val="none"/>
        </w:rPr>
        <w:t>，自愿参与磋商并承诺如下：</w:t>
      </w:r>
    </w:p>
    <w:p>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（1）本响应有效期为自提交响应文件的截止之日起</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个日历日。</w:t>
      </w:r>
    </w:p>
    <w:p>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（2）除合同条款及采购需求偏离表列出的偏离外，我方响应竞争性磋商文件的全部要求。</w:t>
      </w:r>
    </w:p>
    <w:p>
      <w:pPr>
        <w:tabs>
          <w:tab w:val="left" w:pos="5580"/>
        </w:tabs>
        <w:spacing w:line="360" w:lineRule="auto"/>
        <w:ind w:firstLine="420" w:firstLineChars="175"/>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（3）我方已提供的全部文件资料是真实、准确的，并对此承担一切法律后果。</w:t>
      </w:r>
    </w:p>
    <w:p>
      <w:pPr>
        <w:tabs>
          <w:tab w:val="left" w:pos="5580"/>
        </w:tabs>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（4）如我方成交，我方将在法律规定的期限内与你方签订合同，按照竞争性磋商文件要求提交履约保证金，并在合同约定的期限内完成合同规定的全部义务。</w:t>
      </w:r>
    </w:p>
    <w:p>
      <w:pPr>
        <w:spacing w:line="360" w:lineRule="auto"/>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2. 其他补充条款（如有）：______。</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与本磋商有关的一切正式往来信函请寄：</w:t>
      </w:r>
    </w:p>
    <w:p>
      <w:pPr>
        <w:tabs>
          <w:tab w:val="left" w:pos="5580"/>
        </w:tabs>
        <w:spacing w:line="360" w:lineRule="auto"/>
        <w:ind w:left="420"/>
        <w:rPr>
          <w:rFonts w:hint="eastAsia" w:ascii="宋体" w:hAnsi="宋体" w:eastAsia="宋体" w:cs="宋体"/>
          <w:color w:val="auto"/>
          <w:sz w:val="24"/>
          <w:szCs w:val="20"/>
          <w:highlight w:val="none"/>
        </w:rPr>
      </w:pPr>
    </w:p>
    <w:p>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地址</w:t>
      </w:r>
      <w:r>
        <w:rPr>
          <w:rFonts w:hint="eastAsia" w:ascii="宋体" w:hAnsi="宋体" w:eastAsia="宋体" w:cs="宋体"/>
          <w:bCs/>
          <w:color w:val="auto"/>
          <w:sz w:val="24"/>
          <w:highlight w:val="none"/>
        </w:rPr>
        <w:t>_________________________</w:t>
      </w:r>
      <w:r>
        <w:rPr>
          <w:rFonts w:hint="eastAsia" w:ascii="宋体" w:hAnsi="宋体" w:cs="宋体"/>
          <w:bCs/>
          <w:color w:val="auto"/>
          <w:sz w:val="24"/>
          <w:highlight w:val="none"/>
          <w:lang w:val="en-US" w:eastAsia="zh-CN"/>
        </w:rPr>
        <w:t xml:space="preserve">  </w:t>
      </w:r>
      <w:r>
        <w:rPr>
          <w:rFonts w:hint="eastAsia" w:ascii="宋体" w:hAnsi="宋体" w:eastAsia="宋体" w:cs="宋体"/>
          <w:color w:val="auto"/>
          <w:sz w:val="24"/>
          <w:szCs w:val="20"/>
          <w:highlight w:val="none"/>
        </w:rPr>
        <w:t>传   真</w:t>
      </w:r>
      <w:r>
        <w:rPr>
          <w:rFonts w:hint="eastAsia" w:ascii="宋体" w:hAnsi="宋体" w:eastAsia="宋体" w:cs="宋体"/>
          <w:bCs/>
          <w:color w:val="auto"/>
          <w:sz w:val="24"/>
          <w:highlight w:val="none"/>
        </w:rPr>
        <w:t>_________________________</w:t>
      </w:r>
    </w:p>
    <w:p>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电话</w:t>
      </w:r>
      <w:r>
        <w:rPr>
          <w:rFonts w:hint="eastAsia" w:ascii="宋体" w:hAnsi="宋体" w:eastAsia="宋体" w:cs="宋体"/>
          <w:bCs/>
          <w:color w:val="auto"/>
          <w:sz w:val="24"/>
          <w:highlight w:val="none"/>
        </w:rPr>
        <w:t>_________________________</w:t>
      </w:r>
      <w:r>
        <w:rPr>
          <w:rFonts w:hint="eastAsia" w:ascii="宋体" w:hAnsi="宋体" w:cs="宋体"/>
          <w:bCs/>
          <w:color w:val="auto"/>
          <w:sz w:val="24"/>
          <w:highlight w:val="none"/>
          <w:lang w:val="en-US" w:eastAsia="zh-CN"/>
        </w:rPr>
        <w:t xml:space="preserve">  </w:t>
      </w:r>
      <w:r>
        <w:rPr>
          <w:rFonts w:hint="eastAsia" w:ascii="宋体" w:hAnsi="宋体" w:eastAsia="宋体" w:cs="宋体"/>
          <w:color w:val="auto"/>
          <w:sz w:val="24"/>
          <w:szCs w:val="20"/>
          <w:highlight w:val="none"/>
        </w:rPr>
        <w:t>电子函件</w:t>
      </w:r>
      <w:r>
        <w:rPr>
          <w:rFonts w:hint="eastAsia" w:ascii="宋体" w:hAnsi="宋体" w:eastAsia="宋体" w:cs="宋体"/>
          <w:bCs/>
          <w:color w:val="auto"/>
          <w:sz w:val="24"/>
          <w:highlight w:val="none"/>
        </w:rPr>
        <w:t>_________________________</w:t>
      </w:r>
    </w:p>
    <w:p>
      <w:pPr>
        <w:tabs>
          <w:tab w:val="left" w:pos="5580"/>
        </w:tabs>
        <w:spacing w:line="360" w:lineRule="auto"/>
        <w:ind w:left="420"/>
        <w:rPr>
          <w:rFonts w:hint="eastAsia" w:ascii="宋体" w:hAnsi="宋体" w:eastAsia="宋体" w:cs="宋体"/>
          <w:color w:val="auto"/>
          <w:sz w:val="24"/>
          <w:szCs w:val="20"/>
          <w:highlight w:val="none"/>
        </w:rPr>
      </w:pPr>
    </w:p>
    <w:p>
      <w:pPr>
        <w:tabs>
          <w:tab w:val="left" w:pos="5580"/>
        </w:tabs>
        <w:spacing w:line="360" w:lineRule="auto"/>
        <w:ind w:left="420"/>
        <w:rPr>
          <w:rFonts w:hint="eastAsia" w:ascii="宋体" w:hAnsi="宋体" w:eastAsia="宋体" w:cs="宋体"/>
          <w:color w:val="auto"/>
          <w:sz w:val="24"/>
          <w:szCs w:val="20"/>
          <w:highlight w:val="none"/>
        </w:rPr>
      </w:pPr>
    </w:p>
    <w:p>
      <w:pPr>
        <w:tabs>
          <w:tab w:val="left" w:pos="5580"/>
        </w:tabs>
        <w:spacing w:line="360" w:lineRule="auto"/>
        <w:ind w:left="420"/>
        <w:rPr>
          <w:rFonts w:hint="eastAsia" w:ascii="宋体" w:hAnsi="宋体" w:eastAsia="宋体" w:cs="宋体"/>
          <w:color w:val="auto"/>
          <w:sz w:val="24"/>
          <w:szCs w:val="20"/>
          <w:highlight w:val="none"/>
        </w:rPr>
      </w:pPr>
    </w:p>
    <w:p>
      <w:pPr>
        <w:autoSpaceDE w:val="0"/>
        <w:autoSpaceDN w:val="0"/>
        <w:adjustRightInd w:val="0"/>
        <w:snapToGrid w:val="0"/>
        <w:spacing w:before="25" w:after="25" w:line="360" w:lineRule="auto"/>
        <w:ind w:right="360" w:firstLine="360" w:firstLineChars="15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pPr>
        <w:tabs>
          <w:tab w:val="left" w:pos="5580"/>
        </w:tabs>
        <w:spacing w:line="360" w:lineRule="auto"/>
        <w:ind w:firstLine="360" w:firstLineChars="15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日期：____年____月____日  </w:t>
      </w:r>
    </w:p>
    <w:p>
      <w:pPr>
        <w:tabs>
          <w:tab w:val="left" w:pos="5580"/>
        </w:tabs>
        <w:spacing w:line="360" w:lineRule="auto"/>
        <w:ind w:left="420"/>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br w:type="page"/>
      </w:r>
    </w:p>
    <w:p>
      <w:pPr>
        <w:tabs>
          <w:tab w:val="left" w:pos="360"/>
        </w:tabs>
        <w:snapToGrid w:val="0"/>
        <w:spacing w:line="360" w:lineRule="auto"/>
        <w:outlineLvl w:val="1"/>
        <w:rPr>
          <w:rFonts w:hint="eastAsia" w:ascii="宋体" w:hAnsi="宋体" w:eastAsia="宋体" w:cs="宋体"/>
          <w:color w:val="auto"/>
          <w:sz w:val="24"/>
          <w:highlight w:val="none"/>
        </w:rPr>
      </w:pPr>
      <w:bookmarkStart w:id="698" w:name="_Hlt520356243"/>
      <w:bookmarkEnd w:id="698"/>
      <w:bookmarkStart w:id="699" w:name="_Hlt520355938"/>
      <w:bookmarkEnd w:id="699"/>
      <w:bookmarkStart w:id="700" w:name="_Toc226337253"/>
      <w:bookmarkStart w:id="701" w:name="_Toc142311059"/>
      <w:bookmarkStart w:id="702" w:name="_Toc150774762"/>
      <w:bookmarkStart w:id="703" w:name="_Toc305158825"/>
      <w:bookmarkStart w:id="704" w:name="_Toc226965830"/>
      <w:bookmarkStart w:id="705" w:name="_Toc520356218"/>
      <w:bookmarkStart w:id="706" w:name="_Toc305158899"/>
      <w:bookmarkStart w:id="707" w:name="_Toc226965747"/>
      <w:bookmarkStart w:id="708" w:name="_Ref467988705"/>
      <w:bookmarkStart w:id="709" w:name="_Toc226309801"/>
      <w:bookmarkStart w:id="710" w:name="_Toc127151557"/>
      <w:bookmarkStart w:id="711" w:name="_Toc265228395"/>
      <w:bookmarkStart w:id="712" w:name="_Toc150480795"/>
      <w:bookmarkStart w:id="713" w:name="_Toc195842922"/>
      <w:bookmarkStart w:id="714" w:name="_Toc480942350"/>
      <w:bookmarkStart w:id="715" w:name="_Toc264969247"/>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 xml:space="preserve">  授权委托书</w:t>
      </w:r>
    </w:p>
    <w:p>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授权委托书</w:t>
      </w:r>
    </w:p>
    <w:p>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本人____（姓名）系____（供应商名称）的法定代表人（单位负责人），现委托_____ （姓名）为我方代理人。代理人根据授权，以我方名义签署、澄清确认、递交、撤回、修改____（项目名称</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lang w:val="en-US" w:eastAsia="zh-CN"/>
        </w:rPr>
        <w:t>包号</w:t>
      </w:r>
      <w:r>
        <w:rPr>
          <w:rFonts w:hint="eastAsia" w:ascii="宋体" w:hAnsi="宋体" w:eastAsia="宋体" w:cs="宋体"/>
          <w:color w:val="auto"/>
          <w:sz w:val="24"/>
          <w:szCs w:val="20"/>
          <w:highlight w:val="none"/>
        </w:rPr>
        <w:t>）响应文件和处理有关事宜，其法律后果由我方承担。</w:t>
      </w:r>
    </w:p>
    <w:p>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委托期限：自本授权委托书签署之日起至响应有效期届满之日止。</w:t>
      </w:r>
    </w:p>
    <w:p>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代理人无转委托权。</w:t>
      </w:r>
      <w:r>
        <w:rPr>
          <w:rFonts w:hint="eastAsia" w:ascii="宋体" w:hAnsi="宋体" w:eastAsia="宋体" w:cs="宋体"/>
          <w:color w:val="auto"/>
          <w:sz w:val="24"/>
          <w:szCs w:val="20"/>
          <w:highlight w:val="none"/>
        </w:rPr>
        <w:c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szCs w:val="20"/>
          <w:highlight w:val="none"/>
        </w:rPr>
        <w:t>______________</w:t>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w:t>
      </w:r>
      <w:r>
        <w:rPr>
          <w:rFonts w:hint="eastAsia" w:ascii="宋体" w:hAnsi="宋体" w:eastAsia="宋体"/>
          <w:color w:val="auto"/>
          <w:sz w:val="24"/>
          <w:szCs w:val="24"/>
          <w:highlight w:val="none"/>
        </w:rPr>
        <w:t>签字或签章</w:t>
      </w:r>
      <w:r>
        <w:rPr>
          <w:rFonts w:hint="eastAsia" w:ascii="宋体" w:hAnsi="宋体" w:eastAsia="宋体" w:cs="宋体"/>
          <w:color w:val="auto"/>
          <w:sz w:val="24"/>
          <w:szCs w:val="20"/>
          <w:highlight w:val="none"/>
        </w:rPr>
        <w:t>）：______________</w:t>
      </w:r>
    </w:p>
    <w:p>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委托代理人（</w:t>
      </w:r>
      <w:r>
        <w:rPr>
          <w:rFonts w:hint="eastAsia" w:ascii="宋体" w:hAnsi="宋体" w:eastAsia="宋体"/>
          <w:color w:val="auto"/>
          <w:sz w:val="24"/>
          <w:szCs w:val="24"/>
          <w:highlight w:val="none"/>
        </w:rPr>
        <w:t>签字或签章</w:t>
      </w:r>
      <w:r>
        <w:rPr>
          <w:rFonts w:hint="eastAsia" w:ascii="宋体" w:hAnsi="宋体" w:eastAsia="宋体" w:cs="宋体"/>
          <w:color w:val="auto"/>
          <w:sz w:val="24"/>
          <w:highlight w:val="none"/>
        </w:rPr>
        <w:t>）：</w:t>
      </w:r>
      <w:r>
        <w:rPr>
          <w:rFonts w:hint="eastAsia" w:ascii="宋体" w:hAnsi="宋体" w:eastAsia="宋体" w:cs="宋体"/>
          <w:color w:val="auto"/>
          <w:sz w:val="24"/>
          <w:szCs w:val="20"/>
          <w:highlight w:val="none"/>
        </w:rPr>
        <w:t>______________</w:t>
      </w:r>
      <w:r>
        <w:rPr>
          <w:rFonts w:hint="eastAsia" w:ascii="宋体" w:hAnsi="宋体" w:eastAsia="宋体" w:cs="宋体"/>
          <w:color w:val="auto"/>
          <w:sz w:val="24"/>
          <w:highlight w:val="none"/>
          <w:lang w:val="zh-CN"/>
        </w:rPr>
        <w:t xml:space="preserve">        </w:t>
      </w:r>
    </w:p>
    <w:p>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日期：</w:t>
      </w:r>
      <w:r>
        <w:rPr>
          <w:rFonts w:hint="eastAsia" w:ascii="宋体" w:hAnsi="宋体" w:eastAsia="宋体" w:cs="宋体"/>
          <w:color w:val="auto"/>
          <w:sz w:val="24"/>
          <w:szCs w:val="20"/>
          <w:highlight w:val="none"/>
        </w:rPr>
        <w:t>____</w:t>
      </w:r>
      <w:r>
        <w:rPr>
          <w:rFonts w:hint="eastAsia" w:ascii="宋体" w:hAnsi="宋体" w:eastAsia="宋体" w:cs="宋体"/>
          <w:color w:val="auto"/>
          <w:sz w:val="24"/>
          <w:highlight w:val="none"/>
        </w:rPr>
        <w:t>年</w:t>
      </w:r>
      <w:r>
        <w:rPr>
          <w:rFonts w:hint="eastAsia" w:ascii="宋体" w:hAnsi="宋体" w:eastAsia="宋体" w:cs="宋体"/>
          <w:color w:val="auto"/>
          <w:sz w:val="24"/>
          <w:szCs w:val="20"/>
          <w:highlight w:val="none"/>
        </w:rPr>
        <w:t>____</w:t>
      </w:r>
      <w:r>
        <w:rPr>
          <w:rFonts w:hint="eastAsia" w:ascii="宋体" w:hAnsi="宋体" w:eastAsia="宋体" w:cs="宋体"/>
          <w:color w:val="auto"/>
          <w:sz w:val="24"/>
          <w:highlight w:val="none"/>
        </w:rPr>
        <w:t>月</w:t>
      </w:r>
      <w:r>
        <w:rPr>
          <w:rFonts w:hint="eastAsia" w:ascii="宋体" w:hAnsi="宋体" w:eastAsia="宋体" w:cs="宋体"/>
          <w:color w:val="auto"/>
          <w:sz w:val="24"/>
          <w:szCs w:val="20"/>
          <w:highlight w:val="none"/>
        </w:rPr>
        <w:t>____</w:t>
      </w:r>
      <w:r>
        <w:rPr>
          <w:rFonts w:hint="eastAsia" w:ascii="宋体" w:hAnsi="宋体" w:eastAsia="宋体" w:cs="宋体"/>
          <w:color w:val="auto"/>
          <w:sz w:val="24"/>
          <w:highlight w:val="none"/>
        </w:rPr>
        <w:t>日</w:t>
      </w:r>
    </w:p>
    <w:p>
      <w:pPr>
        <w:tabs>
          <w:tab w:val="left" w:pos="5580"/>
        </w:tabs>
        <w:spacing w:line="360" w:lineRule="auto"/>
        <w:ind w:firstLine="480" w:firstLineChars="200"/>
        <w:rPr>
          <w:rFonts w:hint="eastAsia" w:ascii="宋体" w:hAnsi="宋体" w:eastAsia="宋体" w:cs="宋体"/>
          <w:color w:val="auto"/>
          <w:sz w:val="24"/>
          <w:szCs w:val="20"/>
          <w:highlight w:val="none"/>
        </w:rPr>
      </w:pPr>
    </w:p>
    <w:p>
      <w:pPr>
        <w:pStyle w:val="62"/>
        <w:rPr>
          <w:rFonts w:hint="eastAsia"/>
          <w:color w:val="auto"/>
          <w:highlight w:val="none"/>
        </w:rPr>
      </w:pPr>
      <w:r>
        <w:rPr>
          <w:rFonts w:hint="eastAsia" w:ascii="宋体" w:hAnsi="宋体" w:eastAsia="宋体" w:cs="宋体"/>
          <w:color w:val="auto"/>
          <w:kern w:val="0"/>
          <w:sz w:val="24"/>
          <w:szCs w:val="24"/>
          <w:highlight w:val="none"/>
          <w:lang w:val="en-US" w:eastAsia="zh-CN" w:bidi="ar"/>
        </w:rPr>
        <w:t>附：法定代表人及委托代理人身份证明文件电子件：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3" w:hRule="atLeast"/>
        </w:trPr>
        <w:tc>
          <w:tcPr>
            <w:tcW w:w="9209" w:type="dxa"/>
          </w:tcPr>
          <w:p>
            <w:pPr>
              <w:tabs>
                <w:tab w:val="left" w:pos="5580"/>
              </w:tabs>
              <w:spacing w:line="360" w:lineRule="auto"/>
              <w:jc w:val="left"/>
              <w:rPr>
                <w:rFonts w:hint="eastAsia" w:ascii="宋体" w:hAnsi="宋体" w:eastAsia="宋体" w:cs="宋体"/>
                <w:color w:val="auto"/>
                <w:sz w:val="24"/>
                <w:szCs w:val="20"/>
                <w:highlight w:val="none"/>
              </w:rPr>
            </w:pPr>
          </w:p>
          <w:p>
            <w:pPr>
              <w:tabs>
                <w:tab w:val="left" w:pos="5580"/>
              </w:tabs>
              <w:spacing w:line="360" w:lineRule="auto"/>
              <w:jc w:val="left"/>
              <w:rPr>
                <w:rFonts w:hint="eastAsia" w:ascii="宋体" w:hAnsi="宋体" w:eastAsia="宋体" w:cs="宋体"/>
                <w:color w:val="auto"/>
                <w:sz w:val="24"/>
                <w:szCs w:val="20"/>
                <w:highlight w:val="none"/>
              </w:rPr>
            </w:pPr>
          </w:p>
          <w:p>
            <w:pPr>
              <w:tabs>
                <w:tab w:val="left" w:pos="5580"/>
              </w:tabs>
              <w:spacing w:line="360" w:lineRule="auto"/>
              <w:jc w:val="left"/>
              <w:rPr>
                <w:rFonts w:hint="eastAsia" w:ascii="宋体" w:hAnsi="宋体" w:eastAsia="宋体" w:cs="宋体"/>
                <w:color w:val="auto"/>
                <w:sz w:val="24"/>
                <w:szCs w:val="20"/>
                <w:highlight w:val="none"/>
              </w:rPr>
            </w:pPr>
          </w:p>
        </w:tc>
      </w:tr>
    </w:tbl>
    <w:p>
      <w:pPr>
        <w:widowControl/>
        <w:jc w:val="left"/>
        <w:rPr>
          <w:rFonts w:hint="eastAsia" w:ascii="宋体" w:hAnsi="宋体" w:eastAsia="宋体" w:cs="宋体"/>
          <w:color w:val="auto"/>
          <w:sz w:val="30"/>
          <w:szCs w:val="30"/>
          <w:highlight w:val="none"/>
        </w:rPr>
      </w:pP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说明： </w:t>
      </w: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1.若供应商为事业单位或其他组织或分支机构，则法定代表人（单位负责人）处的签署人可为单位负责人。 </w:t>
      </w: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2.若响应文件中签字之处均为法定代表人（单位负责人）本人签署，则可不</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供本《授权委托书》，但须</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供《法定代表人（单位负责人）身份证明》；否则，不需要</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 xml:space="preserve">供《法定代表人（单位负责人）身份证明》。 </w:t>
      </w: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3.供应商为自然人的情形，可不</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 xml:space="preserve">供本《授权委托书》。 </w:t>
      </w:r>
    </w:p>
    <w:p>
      <w:pPr>
        <w:tabs>
          <w:tab w:val="left" w:pos="5580"/>
        </w:tabs>
        <w:spacing w:line="360" w:lineRule="auto"/>
        <w:jc w:val="left"/>
        <w:rPr>
          <w:rFonts w:hint="eastAsia" w:ascii="宋体" w:hAnsi="宋体" w:eastAsia="宋体" w:cs="宋体"/>
          <w:color w:val="auto"/>
          <w:sz w:val="30"/>
          <w:szCs w:val="30"/>
          <w:highlight w:val="none"/>
        </w:rPr>
      </w:pPr>
      <w:r>
        <w:rPr>
          <w:rFonts w:hint="eastAsia" w:ascii="宋体" w:hAnsi="宋体" w:eastAsia="宋体" w:cs="宋体"/>
          <w:color w:val="auto"/>
          <w:sz w:val="24"/>
          <w:szCs w:val="20"/>
          <w:highlight w:val="none"/>
          <w:lang w:val="en-US" w:eastAsia="zh-CN"/>
        </w:rPr>
        <w:t>4.供应商应随本《授权委托书》同时</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供法定代表人（单位负责人）及委托代理人的有效的身份证</w:t>
      </w:r>
      <w:r>
        <w:rPr>
          <w:rFonts w:hint="eastAsia" w:ascii="宋体" w:hAnsi="宋体" w:cs="宋体"/>
          <w:color w:val="auto"/>
          <w:sz w:val="24"/>
          <w:szCs w:val="20"/>
          <w:highlight w:val="none"/>
          <w:lang w:val="en-US" w:eastAsia="zh-CN"/>
        </w:rPr>
        <w:t>或</w:t>
      </w:r>
      <w:r>
        <w:rPr>
          <w:rFonts w:hint="eastAsia" w:ascii="宋体" w:hAnsi="宋体" w:eastAsia="宋体" w:cs="宋体"/>
          <w:color w:val="auto"/>
          <w:sz w:val="24"/>
          <w:szCs w:val="20"/>
          <w:highlight w:val="none"/>
          <w:lang w:val="en-US" w:eastAsia="zh-CN"/>
        </w:rPr>
        <w:t>护照等身份证明文件电子件。</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供身份证的，应同时</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 xml:space="preserve">供身份证双面电子件。 </w:t>
      </w:r>
      <w:r>
        <w:rPr>
          <w:rFonts w:hint="eastAsia" w:ascii="宋体" w:hAnsi="宋体" w:eastAsia="宋体" w:cs="宋体"/>
          <w:color w:val="auto"/>
          <w:sz w:val="30"/>
          <w:szCs w:val="30"/>
          <w:highlight w:val="none"/>
        </w:rPr>
        <w:br w:type="page"/>
      </w:r>
    </w:p>
    <w:p>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附：法定代表人（单位负责人）身份证明</w:t>
      </w:r>
    </w:p>
    <w:p>
      <w:pPr>
        <w:kinsoku w:val="0"/>
        <w:overflowPunct w:val="0"/>
        <w:spacing w:line="200" w:lineRule="exact"/>
        <w:rPr>
          <w:rFonts w:hint="eastAsia" w:ascii="宋体" w:hAnsi="宋体" w:eastAsia="宋体" w:cs="宋体"/>
          <w:color w:val="auto"/>
          <w:sz w:val="20"/>
          <w:szCs w:val="20"/>
          <w:highlight w:val="none"/>
        </w:rPr>
      </w:pPr>
    </w:p>
    <w:p>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szCs w:val="20"/>
          <w:highlight w:val="none"/>
        </w:rPr>
        <w:t>____</w:t>
      </w:r>
      <w:r>
        <w:rPr>
          <w:rFonts w:hint="eastAsia" w:ascii="宋体" w:hAnsi="宋体" w:eastAsia="宋体" w:cs="宋体"/>
          <w:color w:val="auto"/>
          <w:sz w:val="24"/>
          <w:highlight w:val="none"/>
        </w:rPr>
        <w:t>（采购人或采购代理机构）</w:t>
      </w:r>
    </w:p>
    <w:p>
      <w:pPr>
        <w:pStyle w:val="17"/>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兹证明，</w:t>
      </w:r>
    </w:p>
    <w:p>
      <w:pPr>
        <w:pStyle w:val="17"/>
        <w:tabs>
          <w:tab w:val="left" w:pos="1690"/>
          <w:tab w:val="left" w:pos="3400"/>
          <w:tab w:val="left" w:pos="5110"/>
          <w:tab w:val="left" w:pos="6821"/>
        </w:tabs>
        <w:kinsoku w:val="0"/>
        <w:overflowPunct w:val="0"/>
        <w:spacing w:line="335" w:lineRule="exact"/>
        <w:rPr>
          <w:rFonts w:hint="eastAsia" w:ascii="宋体" w:hAnsi="宋体" w:eastAsia="宋体" w:cs="宋体"/>
          <w:color w:val="auto"/>
          <w:highlight w:val="none"/>
        </w:rPr>
      </w:pPr>
      <w:r>
        <w:rPr>
          <w:rFonts w:hint="eastAsia" w:ascii="宋体" w:hAnsi="宋体" w:eastAsia="宋体" w:cs="宋体"/>
          <w:color w:val="auto"/>
          <w:highlight w:val="none"/>
        </w:rPr>
        <w:t>姓名：</w:t>
      </w:r>
      <w:r>
        <w:rPr>
          <w:rFonts w:hint="eastAsia" w:ascii="宋体" w:hAnsi="宋体" w:eastAsia="宋体" w:cs="宋体"/>
          <w:color w:val="auto"/>
          <w:szCs w:val="20"/>
          <w:highlight w:val="none"/>
        </w:rPr>
        <w:t>____</w:t>
      </w:r>
      <w:r>
        <w:rPr>
          <w:rFonts w:hint="eastAsia" w:ascii="宋体" w:hAnsi="宋体" w:eastAsia="宋体" w:cs="宋体"/>
          <w:color w:val="auto"/>
          <w:highlight w:val="none"/>
        </w:rPr>
        <w:t>性别：</w:t>
      </w:r>
      <w:r>
        <w:rPr>
          <w:rFonts w:hint="eastAsia" w:ascii="宋体" w:hAnsi="宋体" w:eastAsia="宋体" w:cs="宋体"/>
          <w:color w:val="auto"/>
          <w:szCs w:val="20"/>
          <w:highlight w:val="none"/>
        </w:rPr>
        <w:t>____</w:t>
      </w:r>
      <w:r>
        <w:rPr>
          <w:rFonts w:hint="eastAsia" w:ascii="宋体" w:hAnsi="宋体" w:eastAsia="宋体" w:cs="宋体"/>
          <w:color w:val="auto"/>
          <w:highlight w:val="none"/>
        </w:rPr>
        <w:t>年龄：</w:t>
      </w:r>
      <w:r>
        <w:rPr>
          <w:rFonts w:hint="eastAsia" w:ascii="宋体" w:hAnsi="宋体" w:eastAsia="宋体" w:cs="宋体"/>
          <w:color w:val="auto"/>
          <w:szCs w:val="20"/>
          <w:highlight w:val="none"/>
        </w:rPr>
        <w:t>____</w:t>
      </w:r>
      <w:r>
        <w:rPr>
          <w:rFonts w:hint="eastAsia" w:ascii="宋体" w:hAnsi="宋体" w:eastAsia="宋体" w:cs="宋体"/>
          <w:color w:val="auto"/>
          <w:highlight w:val="none"/>
        </w:rPr>
        <w:t>职务：</w:t>
      </w:r>
      <w:r>
        <w:rPr>
          <w:rFonts w:hint="eastAsia" w:ascii="宋体" w:hAnsi="宋体" w:eastAsia="宋体" w:cs="宋体"/>
          <w:color w:val="auto"/>
          <w:szCs w:val="20"/>
          <w:highlight w:val="none"/>
        </w:rPr>
        <w:t>____</w:t>
      </w: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pPr>
        <w:pStyle w:val="17"/>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color w:val="auto"/>
          <w:highlight w:val="none"/>
        </w:rPr>
      </w:pPr>
      <w:r>
        <w:rPr>
          <w:rFonts w:hint="eastAsia" w:ascii="宋体" w:hAnsi="宋体" w:eastAsia="宋体" w:cs="宋体"/>
          <w:color w:val="auto"/>
          <w:highlight w:val="none"/>
        </w:rPr>
        <w:t>系</w:t>
      </w:r>
      <w:r>
        <w:rPr>
          <w:rFonts w:hint="eastAsia" w:ascii="宋体" w:hAnsi="宋体" w:eastAsia="宋体" w:cs="宋体"/>
          <w:color w:val="auto"/>
          <w:szCs w:val="20"/>
          <w:highlight w:val="none"/>
        </w:rPr>
        <w:t>__________</w:t>
      </w:r>
      <w:r>
        <w:rPr>
          <w:rFonts w:hint="eastAsia" w:ascii="宋体" w:hAnsi="宋体" w:eastAsia="宋体" w:cs="宋体"/>
          <w:color w:val="auto"/>
          <w:highlight w:val="none"/>
        </w:rPr>
        <w:t>（供应商名称）的法定代表人（单位负责人）。</w:t>
      </w: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highlight w:val="none"/>
        </w:rPr>
        <w:t>附：</w:t>
      </w:r>
      <w:r>
        <w:rPr>
          <w:rFonts w:hint="eastAsia" w:ascii="宋体" w:hAnsi="宋体" w:eastAsia="宋体" w:cs="宋体"/>
          <w:color w:val="auto"/>
          <w:kern w:val="0"/>
          <w:sz w:val="24"/>
          <w:szCs w:val="24"/>
          <w:highlight w:val="none"/>
          <w:lang w:val="en-US" w:eastAsia="zh-CN" w:bidi="ar"/>
        </w:rPr>
        <w:t>法定代表人（单位负责人）身份证</w:t>
      </w:r>
      <w:r>
        <w:rPr>
          <w:rFonts w:hint="eastAsia" w:ascii="宋体" w:hAnsi="宋体" w:cs="宋体"/>
          <w:color w:val="auto"/>
          <w:kern w:val="0"/>
          <w:sz w:val="24"/>
          <w:szCs w:val="24"/>
          <w:highlight w:val="none"/>
          <w:lang w:val="en-US" w:eastAsia="zh-CN" w:bidi="ar"/>
        </w:rPr>
        <w:t>或</w:t>
      </w:r>
      <w:r>
        <w:rPr>
          <w:rFonts w:hint="eastAsia" w:ascii="宋体" w:hAnsi="宋体" w:eastAsia="宋体" w:cs="宋体"/>
          <w:color w:val="auto"/>
          <w:kern w:val="0"/>
          <w:sz w:val="24"/>
          <w:szCs w:val="24"/>
          <w:highlight w:val="none"/>
          <w:lang w:val="en-US" w:eastAsia="zh-CN" w:bidi="ar"/>
        </w:rPr>
        <w:t>护照等身份证明文件电子件：</w:t>
      </w:r>
    </w:p>
    <w:p>
      <w:pPr>
        <w:pStyle w:val="61"/>
        <w:rPr>
          <w:rFonts w:hint="eastAsia"/>
          <w:color w:val="auto"/>
          <w:highlight w:val="none"/>
        </w:rPr>
      </w:pPr>
    </w:p>
    <w:tbl>
      <w:tblPr>
        <w:tblStyle w:val="45"/>
        <w:tblW w:w="8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8712" w:type="dxa"/>
          </w:tcPr>
          <w:p>
            <w:pPr>
              <w:tabs>
                <w:tab w:val="left" w:pos="5580"/>
              </w:tabs>
              <w:spacing w:line="360" w:lineRule="auto"/>
              <w:jc w:val="left"/>
              <w:rPr>
                <w:rFonts w:hint="eastAsia" w:ascii="宋体" w:hAnsi="宋体" w:eastAsia="宋体" w:cs="宋体"/>
                <w:color w:val="auto"/>
                <w:sz w:val="24"/>
                <w:szCs w:val="20"/>
                <w:highlight w:val="none"/>
              </w:rPr>
            </w:pPr>
          </w:p>
          <w:p>
            <w:pPr>
              <w:tabs>
                <w:tab w:val="left" w:pos="5580"/>
              </w:tabs>
              <w:spacing w:line="360" w:lineRule="auto"/>
              <w:jc w:val="left"/>
              <w:rPr>
                <w:rFonts w:hint="eastAsia" w:ascii="宋体" w:hAnsi="宋体" w:eastAsia="宋体" w:cs="宋体"/>
                <w:color w:val="auto"/>
                <w:sz w:val="24"/>
                <w:szCs w:val="20"/>
                <w:highlight w:val="none"/>
              </w:rPr>
            </w:pPr>
          </w:p>
          <w:p>
            <w:pPr>
              <w:tabs>
                <w:tab w:val="left" w:pos="5580"/>
              </w:tabs>
              <w:spacing w:line="360" w:lineRule="auto"/>
              <w:jc w:val="left"/>
              <w:rPr>
                <w:rFonts w:hint="eastAsia" w:ascii="宋体" w:hAnsi="宋体" w:eastAsia="宋体" w:cs="宋体"/>
                <w:color w:val="auto"/>
                <w:sz w:val="24"/>
                <w:szCs w:val="20"/>
                <w:highlight w:val="none"/>
              </w:rPr>
            </w:pPr>
          </w:p>
          <w:p>
            <w:pPr>
              <w:tabs>
                <w:tab w:val="left" w:pos="5580"/>
              </w:tabs>
              <w:spacing w:line="360" w:lineRule="auto"/>
              <w:jc w:val="left"/>
              <w:rPr>
                <w:rFonts w:hint="eastAsia" w:ascii="宋体" w:hAnsi="宋体" w:eastAsia="宋体" w:cs="宋体"/>
                <w:color w:val="auto"/>
                <w:sz w:val="24"/>
                <w:szCs w:val="20"/>
                <w:highlight w:val="none"/>
              </w:rPr>
            </w:pPr>
          </w:p>
          <w:p>
            <w:pPr>
              <w:tabs>
                <w:tab w:val="left" w:pos="5580"/>
              </w:tabs>
              <w:spacing w:line="360" w:lineRule="auto"/>
              <w:jc w:val="left"/>
              <w:rPr>
                <w:rFonts w:hint="eastAsia" w:ascii="宋体" w:hAnsi="宋体" w:eastAsia="宋体" w:cs="宋体"/>
                <w:color w:val="auto"/>
                <w:sz w:val="24"/>
                <w:szCs w:val="20"/>
                <w:highlight w:val="none"/>
              </w:rPr>
            </w:pPr>
          </w:p>
          <w:p>
            <w:pPr>
              <w:tabs>
                <w:tab w:val="left" w:pos="5580"/>
              </w:tabs>
              <w:spacing w:line="360" w:lineRule="auto"/>
              <w:jc w:val="left"/>
              <w:rPr>
                <w:rFonts w:hint="eastAsia" w:ascii="宋体" w:hAnsi="宋体" w:eastAsia="宋体" w:cs="宋体"/>
                <w:color w:val="auto"/>
                <w:sz w:val="24"/>
                <w:szCs w:val="20"/>
                <w:highlight w:val="none"/>
              </w:rPr>
            </w:pPr>
          </w:p>
        </w:tc>
      </w:tr>
    </w:tbl>
    <w:p>
      <w:pPr>
        <w:pStyle w:val="17"/>
        <w:kinsoku w:val="0"/>
        <w:overflowPunct w:val="0"/>
        <w:spacing w:line="583" w:lineRule="auto"/>
        <w:ind w:right="4305"/>
        <w:rPr>
          <w:rFonts w:hint="eastAsia" w:ascii="宋体" w:hAnsi="宋体" w:eastAsia="宋体" w:cs="宋体"/>
          <w:color w:val="auto"/>
          <w:spacing w:val="-3"/>
          <w:highlight w:val="none"/>
        </w:rPr>
      </w:pPr>
    </w:p>
    <w:p>
      <w:pPr>
        <w:pStyle w:val="17"/>
        <w:kinsoku w:val="0"/>
        <w:overflowPunct w:val="0"/>
        <w:spacing w:line="583" w:lineRule="auto"/>
        <w:ind w:right="4305"/>
        <w:rPr>
          <w:rFonts w:hint="eastAsia" w:ascii="宋体" w:hAnsi="宋体" w:eastAsia="宋体" w:cs="宋体"/>
          <w:color w:val="auto"/>
          <w:spacing w:val="-3"/>
          <w:highlight w:val="none"/>
        </w:rPr>
      </w:pPr>
    </w:p>
    <w:p>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pacing w:val="-3"/>
          <w:sz w:val="24"/>
          <w:highlight w:val="none"/>
        </w:rPr>
        <w:t>法定代表人（</w:t>
      </w:r>
      <w:r>
        <w:rPr>
          <w:rFonts w:hint="eastAsia" w:ascii="宋体" w:hAnsi="宋体" w:eastAsia="宋体" w:cs="宋体"/>
          <w:color w:val="auto"/>
          <w:sz w:val="24"/>
          <w:highlight w:val="none"/>
        </w:rPr>
        <w:t>单位负责人</w:t>
      </w:r>
      <w:r>
        <w:rPr>
          <w:rFonts w:hint="eastAsia" w:ascii="宋体" w:hAnsi="宋体" w:eastAsia="宋体" w:cs="宋体"/>
          <w:color w:val="auto"/>
          <w:spacing w:val="-3"/>
          <w:sz w:val="24"/>
          <w:highlight w:val="none"/>
        </w:rPr>
        <w:t>）（</w:t>
      </w:r>
      <w:r>
        <w:rPr>
          <w:rFonts w:hint="eastAsia" w:ascii="宋体" w:hAnsi="宋体" w:eastAsia="宋体"/>
          <w:color w:val="auto"/>
          <w:sz w:val="24"/>
          <w:szCs w:val="24"/>
          <w:highlight w:val="none"/>
        </w:rPr>
        <w:t>签字或签章</w:t>
      </w:r>
      <w:r>
        <w:rPr>
          <w:rFonts w:hint="eastAsia" w:ascii="宋体" w:hAnsi="宋体" w:eastAsia="宋体" w:cs="宋体"/>
          <w:color w:val="auto"/>
          <w:spacing w:val="-3"/>
          <w:sz w:val="24"/>
          <w:highlight w:val="none"/>
        </w:rPr>
        <w:t>）：</w:t>
      </w:r>
      <w:r>
        <w:rPr>
          <w:rFonts w:hint="eastAsia" w:ascii="宋体" w:hAnsi="宋体" w:eastAsia="宋体" w:cs="宋体"/>
          <w:color w:val="auto"/>
          <w:sz w:val="24"/>
          <w:highlight w:val="none"/>
        </w:rPr>
        <w:t>______</w:t>
      </w:r>
    </w:p>
    <w:p>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日期：</w:t>
      </w:r>
      <w:r>
        <w:rPr>
          <w:rFonts w:hint="eastAsia" w:ascii="宋体" w:hAnsi="宋体" w:eastAsia="宋体" w:cs="宋体"/>
          <w:color w:val="auto"/>
          <w:sz w:val="24"/>
          <w:szCs w:val="20"/>
          <w:highlight w:val="none"/>
        </w:rPr>
        <w:t>____年____月____日</w:t>
      </w:r>
    </w:p>
    <w:p>
      <w:pPr>
        <w:widowControl/>
        <w:jc w:val="left"/>
        <w:rPr>
          <w:rFonts w:hint="eastAsia" w:ascii="宋体" w:hAnsi="宋体" w:eastAsia="宋体" w:cs="宋体"/>
          <w:i/>
          <w:color w:val="auto"/>
          <w:sz w:val="24"/>
          <w:szCs w:val="20"/>
          <w:highlight w:val="none"/>
          <w:u w:val="single"/>
        </w:rPr>
      </w:pPr>
    </w:p>
    <w:p>
      <w:pPr>
        <w:widowControl/>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p>
    <w:p>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 xml:space="preserve">  报价一览表</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pPr>
        <w:spacing w:line="360" w:lineRule="exact"/>
        <w:jc w:val="center"/>
        <w:rPr>
          <w:rFonts w:hint="eastAsia" w:ascii="宋体" w:hAnsi="宋体" w:eastAsia="宋体" w:cs="宋体"/>
          <w:b/>
          <w:color w:val="auto"/>
          <w:sz w:val="36"/>
          <w:szCs w:val="36"/>
          <w:highlight w:val="none"/>
        </w:rPr>
      </w:pPr>
      <w:bookmarkStart w:id="716" w:name="_Toc226309802"/>
      <w:bookmarkStart w:id="717" w:name="_Toc164608672"/>
      <w:bookmarkStart w:id="718" w:name="_Toc226965748"/>
      <w:bookmarkStart w:id="719" w:name="_Toc264969248"/>
      <w:bookmarkStart w:id="720" w:name="_Toc164608827"/>
      <w:bookmarkStart w:id="721" w:name="_Toc226965831"/>
      <w:bookmarkStart w:id="722" w:name="_Toc265228396"/>
      <w:bookmarkStart w:id="723" w:name="_Toc305158826"/>
      <w:bookmarkStart w:id="724" w:name="_Toc226337254"/>
      <w:bookmarkStart w:id="725" w:name="_Toc195842923"/>
      <w:bookmarkStart w:id="726" w:name="_Toc305158900"/>
      <w:r>
        <w:rPr>
          <w:rFonts w:hint="eastAsia" w:ascii="宋体" w:hAnsi="宋体" w:eastAsia="宋体" w:cs="宋体"/>
          <w:b/>
          <w:color w:val="auto"/>
          <w:sz w:val="36"/>
          <w:szCs w:val="36"/>
          <w:highlight w:val="none"/>
        </w:rPr>
        <w:t>报价一览表</w:t>
      </w:r>
      <w:bookmarkEnd w:id="716"/>
      <w:bookmarkEnd w:id="717"/>
      <w:bookmarkEnd w:id="718"/>
      <w:bookmarkEnd w:id="719"/>
      <w:bookmarkEnd w:id="720"/>
      <w:bookmarkEnd w:id="721"/>
      <w:bookmarkEnd w:id="722"/>
      <w:bookmarkEnd w:id="723"/>
      <w:bookmarkEnd w:id="724"/>
      <w:bookmarkEnd w:id="725"/>
      <w:bookmarkEnd w:id="726"/>
    </w:p>
    <w:p>
      <w:pPr>
        <w:tabs>
          <w:tab w:val="left" w:pos="1800"/>
          <w:tab w:val="left" w:pos="5580"/>
        </w:tabs>
        <w:spacing w:line="360" w:lineRule="auto"/>
        <w:jc w:val="left"/>
        <w:rPr>
          <w:rFonts w:hint="eastAsia" w:ascii="宋体" w:hAnsi="宋体" w:eastAsia="宋体" w:cs="宋体"/>
          <w:color w:val="auto"/>
          <w:sz w:val="24"/>
          <w:highlight w:val="none"/>
        </w:rPr>
      </w:pPr>
    </w:p>
    <w:p>
      <w:pPr>
        <w:tabs>
          <w:tab w:val="left" w:pos="1800"/>
          <w:tab w:val="left" w:pos="5580"/>
        </w:tabs>
        <w:spacing w:line="360" w:lineRule="auto"/>
        <w:ind w:firstLine="240" w:firstLineChars="10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：___________     项目名称：___________</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包号：</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___________</w:t>
      </w:r>
    </w:p>
    <w:p>
      <w:pPr>
        <w:tabs>
          <w:tab w:val="left" w:pos="1800"/>
          <w:tab w:val="left" w:pos="5580"/>
        </w:tabs>
        <w:spacing w:line="360" w:lineRule="auto"/>
        <w:ind w:firstLine="240" w:firstLineChars="100"/>
        <w:jc w:val="left"/>
        <w:rPr>
          <w:rFonts w:hint="eastAsia" w:ascii="宋体" w:hAnsi="宋体" w:eastAsia="宋体" w:cs="宋体"/>
          <w:color w:val="auto"/>
          <w:sz w:val="24"/>
          <w:highlight w:val="none"/>
          <w:u w:val="single"/>
        </w:rPr>
      </w:pPr>
    </w:p>
    <w:tbl>
      <w:tblPr>
        <w:tblStyle w:val="45"/>
        <w:tblW w:w="47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85"/>
        <w:gridCol w:w="3213"/>
        <w:gridCol w:w="2031"/>
        <w:gridCol w:w="21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2"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875"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供应商名称</w:t>
            </w:r>
          </w:p>
        </w:tc>
        <w:tc>
          <w:tcPr>
            <w:tcW w:w="2432"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报价</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元</w:t>
            </w:r>
            <w:r>
              <w:rPr>
                <w:rFonts w:hint="eastAsia" w:ascii="宋体" w:hAnsi="宋体" w:cs="宋体"/>
                <w:b/>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2"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color w:val="auto"/>
                <w:sz w:val="24"/>
                <w:highlight w:val="none"/>
              </w:rPr>
            </w:pPr>
          </w:p>
        </w:tc>
        <w:tc>
          <w:tcPr>
            <w:tcW w:w="1875"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color w:val="auto"/>
                <w:sz w:val="24"/>
                <w:highlight w:val="none"/>
              </w:rPr>
            </w:pPr>
          </w:p>
        </w:tc>
        <w:tc>
          <w:tcPr>
            <w:tcW w:w="118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大写</w:t>
            </w:r>
          </w:p>
        </w:tc>
        <w:tc>
          <w:tcPr>
            <w:tcW w:w="124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2"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color w:val="auto"/>
                <w:sz w:val="24"/>
                <w:highlight w:val="none"/>
              </w:rPr>
            </w:pPr>
          </w:p>
        </w:tc>
        <w:tc>
          <w:tcPr>
            <w:tcW w:w="187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color w:val="auto"/>
                <w:sz w:val="24"/>
                <w:highlight w:val="none"/>
              </w:rPr>
            </w:pPr>
          </w:p>
        </w:tc>
        <w:tc>
          <w:tcPr>
            <w:tcW w:w="118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color w:val="auto"/>
                <w:sz w:val="24"/>
                <w:highlight w:val="none"/>
              </w:rPr>
            </w:pPr>
          </w:p>
        </w:tc>
        <w:tc>
          <w:tcPr>
            <w:tcW w:w="124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color w:val="auto"/>
                <w:sz w:val="24"/>
                <w:highlight w:val="none"/>
              </w:rPr>
            </w:pPr>
          </w:p>
        </w:tc>
      </w:tr>
    </w:tbl>
    <w:p>
      <w:pPr>
        <w:autoSpaceDE w:val="0"/>
        <w:autoSpaceDN w:val="0"/>
        <w:adjustRightInd w:val="0"/>
        <w:jc w:val="left"/>
        <w:rPr>
          <w:rFonts w:hint="eastAsia" w:ascii="宋体" w:hAnsi="宋体" w:eastAsia="宋体" w:cs="宋体"/>
          <w:color w:val="auto"/>
          <w:kern w:val="0"/>
          <w:sz w:val="24"/>
          <w:highlight w:val="none"/>
        </w:rPr>
      </w:pPr>
    </w:p>
    <w:p>
      <w:pPr>
        <w:autoSpaceDE w:val="0"/>
        <w:autoSpaceDN w:val="0"/>
        <w:adjustRightInd w:val="0"/>
        <w:jc w:val="left"/>
        <w:rPr>
          <w:rFonts w:hint="eastAsia" w:ascii="宋体" w:hAnsi="宋体" w:eastAsia="宋体" w:cs="宋体"/>
          <w:color w:val="auto"/>
          <w:sz w:val="24"/>
          <w:szCs w:val="20"/>
          <w:highlight w:val="none"/>
        </w:rPr>
      </w:pPr>
      <w:r>
        <w:rPr>
          <w:rFonts w:hint="eastAsia" w:ascii="宋体" w:hAnsi="宋体" w:eastAsia="宋体" w:cs="宋体"/>
          <w:color w:val="auto"/>
          <w:kern w:val="0"/>
          <w:sz w:val="24"/>
          <w:highlight w:val="none"/>
        </w:rPr>
        <w:t>注：1</w:t>
      </w:r>
      <w:r>
        <w:rPr>
          <w:rFonts w:hint="eastAsia" w:ascii="宋体" w:hAnsi="宋体" w:eastAsia="宋体" w:cs="宋体"/>
          <w:color w:val="auto"/>
          <w:sz w:val="24"/>
          <w:szCs w:val="20"/>
          <w:highlight w:val="none"/>
        </w:rPr>
        <w:t>.此表中，每包的报价应和《分项报价表》中的总价相一致。</w:t>
      </w:r>
    </w:p>
    <w:p>
      <w:pPr>
        <w:tabs>
          <w:tab w:val="left" w:pos="5580"/>
        </w:tabs>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2.本表必须按包分别填写。</w:t>
      </w:r>
    </w:p>
    <w:p>
      <w:pPr>
        <w:tabs>
          <w:tab w:val="left" w:pos="5580"/>
        </w:tabs>
        <w:ind w:firstLine="480" w:firstLineChars="200"/>
        <w:rPr>
          <w:rFonts w:hint="eastAsia" w:ascii="宋体" w:hAnsi="宋体" w:eastAsia="宋体" w:cs="宋体"/>
          <w:color w:val="auto"/>
          <w:sz w:val="24"/>
          <w:szCs w:val="20"/>
          <w:highlight w:val="none"/>
        </w:rPr>
      </w:pP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___________</w:t>
      </w:r>
    </w:p>
    <w:p>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日期：</w:t>
      </w:r>
      <w:r>
        <w:rPr>
          <w:rFonts w:hint="eastAsia" w:ascii="宋体" w:hAnsi="宋体" w:eastAsia="宋体" w:cs="宋体"/>
          <w:color w:val="auto"/>
          <w:sz w:val="24"/>
          <w:szCs w:val="20"/>
          <w:highlight w:val="none"/>
        </w:rPr>
        <w:t>____年____月____日</w:t>
      </w: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  </w:t>
      </w:r>
    </w:p>
    <w:p>
      <w:pPr>
        <w:widowControl/>
        <w:jc w:val="left"/>
        <w:rPr>
          <w:rFonts w:hint="eastAsia" w:ascii="宋体" w:hAnsi="宋体" w:eastAsia="宋体" w:cs="宋体"/>
          <w:color w:val="auto"/>
          <w:sz w:val="24"/>
          <w:szCs w:val="20"/>
          <w:highlight w:val="none"/>
        </w:rPr>
        <w:sectPr>
          <w:headerReference r:id="rId20" w:type="first"/>
          <w:footerReference r:id="rId23" w:type="first"/>
          <w:headerReference r:id="rId18" w:type="default"/>
          <w:footerReference r:id="rId21" w:type="default"/>
          <w:headerReference r:id="rId19" w:type="even"/>
          <w:footerReference r:id="rId22" w:type="even"/>
          <w:pgSz w:w="11907" w:h="16840"/>
          <w:pgMar w:top="1418" w:right="1134" w:bottom="1418" w:left="1701" w:header="851" w:footer="851" w:gutter="0"/>
          <w:pgNumType w:fmt="decimal"/>
          <w:cols w:space="720" w:num="1"/>
          <w:docGrid w:linePitch="462" w:charSpace="0"/>
        </w:sectPr>
      </w:pPr>
      <w:bookmarkStart w:id="727" w:name="_Toc226965832"/>
      <w:bookmarkStart w:id="728" w:name="_Toc226309803"/>
      <w:bookmarkStart w:id="729" w:name="_Toc150774763"/>
      <w:bookmarkStart w:id="730" w:name="_Toc226965749"/>
      <w:bookmarkStart w:id="731" w:name="_Toc226337255"/>
      <w:bookmarkStart w:id="732" w:name="_Toc127151558"/>
      <w:bookmarkStart w:id="733" w:name="_Toc305158901"/>
      <w:bookmarkStart w:id="734" w:name="_Toc150480796"/>
      <w:bookmarkStart w:id="735" w:name="_Toc305158827"/>
      <w:bookmarkStart w:id="736" w:name="_Toc264969249"/>
      <w:bookmarkStart w:id="737" w:name="_Toc265228397"/>
      <w:bookmarkStart w:id="738" w:name="_Toc142311060"/>
      <w:bookmarkStart w:id="739" w:name="_Toc195842924"/>
    </w:p>
    <w:p>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 xml:space="preserve">  分项报价表</w:t>
      </w:r>
      <w:bookmarkEnd w:id="727"/>
      <w:bookmarkEnd w:id="728"/>
      <w:bookmarkEnd w:id="729"/>
      <w:bookmarkEnd w:id="730"/>
      <w:bookmarkEnd w:id="731"/>
      <w:bookmarkEnd w:id="732"/>
      <w:bookmarkEnd w:id="733"/>
      <w:bookmarkEnd w:id="734"/>
      <w:bookmarkEnd w:id="735"/>
      <w:bookmarkEnd w:id="736"/>
      <w:bookmarkEnd w:id="737"/>
      <w:bookmarkEnd w:id="738"/>
      <w:bookmarkEnd w:id="739"/>
    </w:p>
    <w:p>
      <w:pPr>
        <w:spacing w:line="36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分项报价表</w:t>
      </w:r>
    </w:p>
    <w:p>
      <w:pPr>
        <w:pStyle w:val="3"/>
        <w:rPr>
          <w:rFonts w:hint="eastAsia"/>
          <w:color w:val="auto"/>
          <w:highlight w:val="none"/>
        </w:rPr>
      </w:pPr>
    </w:p>
    <w:p>
      <w:pPr>
        <w:tabs>
          <w:tab w:val="left" w:pos="1800"/>
          <w:tab w:val="left" w:pos="5580"/>
        </w:tabs>
        <w:rPr>
          <w:rFonts w:eastAsiaTheme="minorEastAsia"/>
          <w:color w:val="auto"/>
          <w:sz w:val="24"/>
          <w:highlight w:val="none"/>
        </w:rPr>
      </w:pPr>
      <w:r>
        <w:rPr>
          <w:rFonts w:eastAsiaTheme="minorEastAsia"/>
          <w:color w:val="auto"/>
          <w:sz w:val="24"/>
          <w:highlight w:val="none"/>
        </w:rPr>
        <w:t>项目编号</w:t>
      </w:r>
      <w:r>
        <w:rPr>
          <w:rFonts w:hint="eastAsia" w:eastAsiaTheme="minorEastAsia"/>
          <w:color w:val="auto"/>
          <w:sz w:val="24"/>
          <w:highlight w:val="none"/>
          <w:lang w:eastAsia="zh-CN"/>
        </w:rPr>
        <w:t>：</w:t>
      </w:r>
      <w:r>
        <w:rPr>
          <w:rFonts w:eastAsiaTheme="minorEastAsia"/>
          <w:color w:val="auto"/>
          <w:sz w:val="24"/>
          <w:highlight w:val="none"/>
        </w:rPr>
        <w:t>_________</w:t>
      </w:r>
      <w:r>
        <w:rPr>
          <w:rFonts w:hint="eastAsia" w:eastAsiaTheme="minorEastAsia"/>
          <w:color w:val="auto"/>
          <w:sz w:val="24"/>
          <w:highlight w:val="none"/>
          <w:lang w:val="en-US" w:eastAsia="zh-CN"/>
        </w:rPr>
        <w:t xml:space="preserve"> </w:t>
      </w:r>
      <w:r>
        <w:rPr>
          <w:rFonts w:eastAsiaTheme="minorEastAsia"/>
          <w:color w:val="auto"/>
          <w:sz w:val="24"/>
          <w:highlight w:val="none"/>
        </w:rPr>
        <w:t>包号：_________ 项目名称：_________</w:t>
      </w:r>
    </w:p>
    <w:tbl>
      <w:tblPr>
        <w:tblStyle w:val="45"/>
        <w:tblpPr w:leftFromText="180" w:rightFromText="180" w:vertAnchor="text" w:horzAnchor="page" w:tblpX="1569" w:tblpY="945"/>
        <w:tblOverlap w:val="never"/>
        <w:tblW w:w="13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79"/>
        <w:gridCol w:w="1080"/>
        <w:gridCol w:w="6029"/>
        <w:gridCol w:w="1215"/>
        <w:gridCol w:w="1215"/>
        <w:gridCol w:w="1215"/>
        <w:gridCol w:w="12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名称</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清单内容</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工程量</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全费用单价（元）</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全房拆除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1.全房整体拆除(砖混结构，框架结构);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2.包含屋内搬运零星杂物等；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3.包含室内地坪以上全部建筑物拆除(屋面、梁、板、柱、门窗、地面等)毗邻建筑物的保护，现场监管，拆下材料码放整齐，拆除后渣土清理平整、洒水、苦盖等；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4.包含基础拆除，回填后的平整；</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全房拆除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1.全房整体拆除(钢结构);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2.包含屋内搬运零星杂物等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3.包含室内地坪以上全部建筑物拆除(屋面、梁、板、柱、门窗、地面等)毗邻建筑物的保护，现场监管，拆下材料码放整齐，拆除后渣土清理平整、洒水、苦盖等；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4.包含基础拆除，回填后的平整；</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简棚拆除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1.彩钢、石棉瓦等无围护结构简棚拆除;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2.包含棚内搬运零星杂物等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3.包含棚内地坪以上全部建筑物拆除(顶棚、梁、板、柱、门窗、地面等)毗邻建筑物的保护，现场监管，拆下材料码放整齐，拆除后渣土清理平整、洒水、苦盖等；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4.包含基础拆除，回填后的平整；</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1.拆除无筋混凝土路面；</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2.风镐拆除；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3.拆除路面厚度：15cm以内;</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4.风镐拆除面层及基层；</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1.拆除无筋混凝土路面</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2.风镐拆除；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3.拆除路面厚度：15cm-25cm;</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4.风镐拆除面层及基层；</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1.拆除无筋混凝土路面</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2.风镐拆除；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3.拆除路面厚度：25cm以上综合考虑;</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4.风镐拆除面层及基层；</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1.机械拆除旧路结构；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2.拆除厚度：15cm以内;</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3.包含毗邻建筑物的保护，现场监管，拆除后渣土清理平整、洒水、苫盖等；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1.机械拆除旧路结构；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2.拆除厚度：15cm-25cm;</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1.机械拆除旧路结构；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2.拆除厚度：25cm以上综合考虑;</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拆除人行道</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1.拆除步道砖；</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2.人工拆除；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砖砌体拆除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1.整砖墙拆除(包含围墙);</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2.包含毗邻建筑物的保护，现场监管，拆除后渣土清理平整、洒水、苫盖等；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渣土外运</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 包含装车运输；</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回填方</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1.包含回填、夯实；</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2.包含外购土；</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3.按照土地性质达到相应验收标准并验收合格。</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钢筋混凝土拆除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1.拆除零星钢筋混凝土构件(独立基础等 )</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2.包含毗邻建筑物的保护，现场监管，拆除后渣土清理平整、洒水、苫盖等；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61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拆除部分小计（元）</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bl>
    <w:p>
      <w:pPr>
        <w:pStyle w:val="3"/>
        <w:keepNext/>
        <w:keepLines/>
        <w:pageBreakBefore w:val="0"/>
        <w:widowControl w:val="0"/>
        <w:kinsoku/>
        <w:wordWrap/>
        <w:overflowPunct/>
        <w:topLinePunct w:val="0"/>
        <w:autoSpaceDE w:val="0"/>
        <w:autoSpaceDN w:val="0"/>
        <w:bidi w:val="0"/>
        <w:adjustRightInd w:val="0"/>
        <w:snapToGrid/>
        <w:spacing w:before="0" w:line="240" w:lineRule="auto"/>
        <w:jc w:val="both"/>
        <w:textAlignment w:val="auto"/>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tabs>
          <w:tab w:val="left" w:pos="1800"/>
          <w:tab w:val="left" w:pos="5580"/>
        </w:tabs>
        <w:jc w:val="left"/>
        <w:rPr>
          <w:rFonts w:hint="eastAsia" w:ascii="宋体" w:hAnsi="宋体" w:eastAsia="宋体" w:cs="宋体"/>
          <w:color w:val="auto"/>
          <w:sz w:val="24"/>
          <w:highlight w:val="none"/>
        </w:rPr>
      </w:pPr>
    </w:p>
    <w:tbl>
      <w:tblPr>
        <w:tblStyle w:val="45"/>
        <w:tblW w:w="115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19"/>
        <w:gridCol w:w="2836"/>
        <w:gridCol w:w="2006"/>
        <w:gridCol w:w="1538"/>
        <w:gridCol w:w="1685"/>
        <w:gridCol w:w="22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工程量</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全费用单价（元）</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小工</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元/工日</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电焊工</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元/工日</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水暖工</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元/工日</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挖掘机(320型)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挖掘机(240型)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挖掘机(65型)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挖掘机破碎(240</w:t>
            </w:r>
          </w:p>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型 )</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十轮自卸车</w:t>
            </w:r>
          </w:p>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(5.6m-5.8m)</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洒水车3t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包含司机、油、水等费用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洒水车10t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包含司机、油、水等费用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洒水车15t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包含司机、油、水等费用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装载机50型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装载机30型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推土机(16型)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货车4.5米</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货车6.5米</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起重机80t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起重机25t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起重机8t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拖车12米</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吸污车8t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元/车</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包含司机、油、污水处理等费用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吸污车10t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元/车</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包含司机、油、污水处理等费用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69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rPr>
              <w:t>零星用工小计（元）</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69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rPr>
              <w:t>以上两项</w:t>
            </w:r>
            <w:r>
              <w:rPr>
                <w:rFonts w:hint="eastAsia" w:ascii="宋体" w:hAnsi="宋体" w:eastAsia="宋体" w:cs="宋体"/>
                <w:i w:val="0"/>
                <w:iCs w:val="0"/>
                <w:color w:val="auto"/>
                <w:sz w:val="24"/>
                <w:szCs w:val="24"/>
                <w:highlight w:val="none"/>
                <w:u w:val="none"/>
              </w:rPr>
              <w:t>合计（元）</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bl>
    <w:p>
      <w:pPr>
        <w:tabs>
          <w:tab w:val="left" w:pos="1800"/>
          <w:tab w:val="left" w:pos="5580"/>
        </w:tabs>
        <w:jc w:val="left"/>
        <w:rPr>
          <w:rFonts w:eastAsiaTheme="minorEastAsia"/>
          <w:color w:val="auto"/>
          <w:sz w:val="24"/>
          <w:highlight w:val="none"/>
        </w:rPr>
      </w:pPr>
    </w:p>
    <w:p>
      <w:pPr>
        <w:tabs>
          <w:tab w:val="left" w:pos="1800"/>
          <w:tab w:val="left" w:pos="5580"/>
        </w:tabs>
        <w:jc w:val="left"/>
        <w:rPr>
          <w:rFonts w:eastAsiaTheme="minorEastAsia"/>
          <w:color w:val="auto"/>
          <w:sz w:val="24"/>
          <w:highlight w:val="none"/>
        </w:rPr>
      </w:pPr>
      <w:r>
        <w:rPr>
          <w:rFonts w:eastAsiaTheme="minorEastAsia"/>
          <w:color w:val="auto"/>
          <w:sz w:val="24"/>
          <w:highlight w:val="none"/>
        </w:rPr>
        <w:t>注：1.本表应按包分别填写。</w:t>
      </w:r>
    </w:p>
    <w:p>
      <w:pPr>
        <w:tabs>
          <w:tab w:val="left" w:pos="1800"/>
          <w:tab w:val="left" w:pos="5580"/>
        </w:tabs>
        <w:ind w:firstLine="480" w:firstLineChars="200"/>
        <w:jc w:val="left"/>
        <w:rPr>
          <w:rFonts w:hint="eastAsia" w:eastAsiaTheme="minorEastAsia"/>
          <w:color w:val="auto"/>
          <w:sz w:val="24"/>
          <w:highlight w:val="none"/>
        </w:rPr>
      </w:pPr>
      <w:r>
        <w:rPr>
          <w:rFonts w:eastAsiaTheme="minorEastAsia"/>
          <w:color w:val="auto"/>
          <w:sz w:val="24"/>
          <w:highlight w:val="none"/>
        </w:rPr>
        <w:t>2.</w:t>
      </w:r>
      <w:r>
        <w:rPr>
          <w:rFonts w:hint="eastAsia" w:eastAsiaTheme="minorEastAsia"/>
          <w:color w:val="auto"/>
          <w:sz w:val="24"/>
          <w:highlight w:val="none"/>
        </w:rPr>
        <w:t>拆除部分：本工程单价为全费用单价(包含但不限于办理相关正规手续的费用、人工费、材料费、机械费、措施费、管理费、安全文明施工费（达标）、风险费、利润、规费及税金等);具体工程量以实际发生为准。如遇单独发生人工及机械台班或备勤时，执行零星用工。</w:t>
      </w:r>
    </w:p>
    <w:p>
      <w:pPr>
        <w:tabs>
          <w:tab w:val="left" w:pos="1800"/>
          <w:tab w:val="left" w:pos="5580"/>
        </w:tabs>
        <w:ind w:firstLine="480" w:firstLineChars="200"/>
        <w:jc w:val="left"/>
        <w:rPr>
          <w:rFonts w:eastAsiaTheme="minorEastAsia"/>
          <w:color w:val="auto"/>
          <w:sz w:val="24"/>
          <w:highlight w:val="none"/>
        </w:rPr>
      </w:pPr>
      <w:r>
        <w:rPr>
          <w:rFonts w:hint="eastAsia" w:eastAsiaTheme="minorEastAsia"/>
          <w:color w:val="auto"/>
          <w:sz w:val="24"/>
          <w:highlight w:val="none"/>
        </w:rPr>
        <w:t>零星用工部分：以上零工及机械台班为除拆除工程及屋内搬运零星杂物以外单独发生时记取，价格为全费用单价(包含措施费、管理费、安全文明施工费(达标)、风险费、利润、规费及税金等),不再记取其它费用。</w:t>
      </w:r>
    </w:p>
    <w:p>
      <w:pPr>
        <w:autoSpaceDE w:val="0"/>
        <w:autoSpaceDN w:val="0"/>
        <w:adjustRightInd w:val="0"/>
        <w:snapToGrid w:val="0"/>
        <w:spacing w:before="25" w:after="25" w:line="360" w:lineRule="auto"/>
        <w:rPr>
          <w:rFonts w:eastAsiaTheme="minorEastAsia"/>
          <w:color w:val="auto"/>
          <w:sz w:val="24"/>
          <w:highlight w:val="none"/>
        </w:rPr>
      </w:pPr>
    </w:p>
    <w:p>
      <w:pPr>
        <w:autoSpaceDE w:val="0"/>
        <w:autoSpaceDN w:val="0"/>
        <w:adjustRightInd w:val="0"/>
        <w:snapToGrid w:val="0"/>
        <w:spacing w:before="25" w:after="25" w:line="360" w:lineRule="auto"/>
        <w:ind w:right="360"/>
        <w:jc w:val="left"/>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pPr>
        <w:autoSpaceDE w:val="0"/>
        <w:autoSpaceDN w:val="0"/>
        <w:adjustRightInd w:val="0"/>
        <w:snapToGrid w:val="0"/>
        <w:spacing w:before="25" w:after="25" w:line="360" w:lineRule="auto"/>
        <w:rPr>
          <w:rFonts w:hint="eastAsia" w:ascii="宋体" w:hAnsi="宋体" w:eastAsia="宋体" w:cs="宋体"/>
          <w:color w:val="auto"/>
          <w:sz w:val="24"/>
          <w:szCs w:val="20"/>
          <w:highlight w:val="none"/>
        </w:rPr>
        <w:sectPr>
          <w:pgSz w:w="16840" w:h="11907" w:orient="landscape"/>
          <w:pgMar w:top="1701" w:right="1418" w:bottom="1134" w:left="1418" w:header="851" w:footer="850" w:gutter="0"/>
          <w:pgNumType w:fmt="decimal"/>
          <w:cols w:space="0" w:num="1"/>
          <w:rtlGutter w:val="0"/>
          <w:docGrid w:linePitch="462" w:charSpace="0"/>
        </w:sectPr>
      </w:pPr>
      <w:r>
        <w:rPr>
          <w:rFonts w:eastAsiaTheme="minorEastAsia"/>
          <w:color w:val="auto"/>
          <w:sz w:val="24"/>
          <w:szCs w:val="20"/>
          <w:highlight w:val="none"/>
        </w:rPr>
        <w:t>日期：____年____月____日</w:t>
      </w:r>
      <w:r>
        <w:rPr>
          <w:rFonts w:hint="eastAsia" w:ascii="宋体" w:hAnsi="宋体" w:eastAsia="宋体" w:cs="宋体"/>
          <w:color w:val="auto"/>
          <w:sz w:val="24"/>
          <w:szCs w:val="20"/>
          <w:highlight w:val="none"/>
        </w:rPr>
        <w:t xml:space="preserve"> </w:t>
      </w:r>
    </w:p>
    <w:p>
      <w:pPr>
        <w:tabs>
          <w:tab w:val="left" w:pos="360"/>
        </w:tabs>
        <w:snapToGrid w:val="0"/>
        <w:spacing w:line="360" w:lineRule="auto"/>
        <w:outlineLvl w:val="1"/>
        <w:rPr>
          <w:rFonts w:hint="eastAsia" w:ascii="宋体" w:hAnsi="宋体" w:eastAsia="宋体" w:cs="宋体"/>
          <w:color w:val="auto"/>
          <w:sz w:val="24"/>
          <w:szCs w:val="20"/>
          <w:highlight w:val="none"/>
        </w:rPr>
      </w:pPr>
      <w:bookmarkStart w:id="740" w:name="_Toc127151562"/>
      <w:bookmarkStart w:id="741" w:name="_Toc195842927"/>
      <w:bookmarkStart w:id="742" w:name="_Toc305158904"/>
      <w:bookmarkStart w:id="743" w:name="_Toc264969252"/>
      <w:bookmarkStart w:id="744" w:name="_Toc142311062"/>
      <w:bookmarkStart w:id="745" w:name="_Toc150774765"/>
      <w:bookmarkStart w:id="746" w:name="_Toc265228400"/>
      <w:bookmarkStart w:id="747" w:name="_Toc226965835"/>
      <w:bookmarkStart w:id="748" w:name="_Toc226309806"/>
      <w:bookmarkStart w:id="749" w:name="_Toc226965752"/>
      <w:bookmarkStart w:id="750" w:name="_Toc150480798"/>
      <w:bookmarkStart w:id="751" w:name="_Toc305158830"/>
      <w:bookmarkStart w:id="752" w:name="_Toc226337258"/>
      <w:bookmarkStart w:id="753" w:name="_Toc226337257"/>
      <w:bookmarkStart w:id="754" w:name="_Toc226965834"/>
      <w:bookmarkStart w:id="755" w:name="_Toc264969251"/>
      <w:bookmarkStart w:id="756" w:name="_Toc305158829"/>
      <w:bookmarkStart w:id="757" w:name="_Toc226965751"/>
      <w:bookmarkStart w:id="758" w:name="_Toc195842926"/>
      <w:bookmarkStart w:id="759" w:name="_Toc265228399"/>
      <w:bookmarkStart w:id="760" w:name="_Toc150480797"/>
      <w:bookmarkStart w:id="761" w:name="_Toc226309805"/>
      <w:bookmarkStart w:id="762" w:name="_Toc127151561"/>
      <w:bookmarkStart w:id="763" w:name="_Toc150774764"/>
      <w:bookmarkStart w:id="764" w:name="_Toc142311061"/>
      <w:bookmarkStart w:id="765" w:name="_Toc305158903"/>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 xml:space="preserve">  合同条款偏离表</w:t>
      </w:r>
      <w:bookmarkEnd w:id="740"/>
      <w:bookmarkEnd w:id="741"/>
      <w:bookmarkEnd w:id="742"/>
      <w:bookmarkEnd w:id="743"/>
      <w:bookmarkEnd w:id="744"/>
      <w:bookmarkEnd w:id="745"/>
      <w:bookmarkEnd w:id="746"/>
      <w:bookmarkEnd w:id="747"/>
      <w:bookmarkEnd w:id="748"/>
      <w:bookmarkEnd w:id="749"/>
      <w:bookmarkEnd w:id="750"/>
      <w:bookmarkEnd w:id="751"/>
      <w:bookmarkEnd w:id="752"/>
    </w:p>
    <w:p>
      <w:pPr>
        <w:spacing w:line="360" w:lineRule="auto"/>
        <w:rPr>
          <w:rFonts w:hint="eastAsia" w:ascii="宋体" w:hAnsi="宋体" w:eastAsia="宋体" w:cs="宋体"/>
          <w:color w:val="auto"/>
          <w:sz w:val="24"/>
          <w:szCs w:val="20"/>
          <w:highlight w:val="none"/>
        </w:rPr>
      </w:pPr>
    </w:p>
    <w:p>
      <w:pPr>
        <w:tabs>
          <w:tab w:val="left" w:pos="2775"/>
          <w:tab w:val="center" w:pos="4153"/>
        </w:tabs>
        <w:autoSpaceDE w:val="0"/>
        <w:autoSpaceDN w:val="0"/>
        <w:adjustRightInd w:val="0"/>
        <w:spacing w:line="360" w:lineRule="auto"/>
        <w:jc w:val="left"/>
        <w:rPr>
          <w:rFonts w:hint="eastAsia" w:ascii="宋体" w:hAnsi="宋体" w:eastAsia="宋体" w:cs="宋体"/>
          <w:b/>
          <w:color w:val="auto"/>
          <w:sz w:val="36"/>
          <w:szCs w:val="36"/>
          <w:highlight w:val="none"/>
        </w:rPr>
      </w:pPr>
      <w:r>
        <w:rPr>
          <w:rFonts w:hint="eastAsia" w:ascii="宋体" w:hAnsi="宋体" w:eastAsia="宋体" w:cs="宋体"/>
          <w:color w:val="auto"/>
          <w:sz w:val="36"/>
          <w:szCs w:val="36"/>
          <w:highlight w:val="none"/>
        </w:rPr>
        <w:tab/>
      </w:r>
      <w:r>
        <w:rPr>
          <w:rFonts w:hint="eastAsia" w:ascii="宋体" w:hAnsi="宋体" w:eastAsia="宋体" w:cs="宋体"/>
          <w:b/>
          <w:color w:val="auto"/>
          <w:sz w:val="36"/>
          <w:szCs w:val="36"/>
          <w:highlight w:val="none"/>
        </w:rPr>
        <w:tab/>
      </w:r>
      <w:r>
        <w:rPr>
          <w:rFonts w:hint="eastAsia" w:ascii="宋体" w:hAnsi="宋体" w:eastAsia="宋体" w:cs="宋体"/>
          <w:b/>
          <w:color w:val="auto"/>
          <w:sz w:val="36"/>
          <w:szCs w:val="36"/>
          <w:highlight w:val="none"/>
        </w:rPr>
        <w:t>合同条款偏离表</w:t>
      </w:r>
    </w:p>
    <w:p>
      <w:pPr>
        <w:spacing w:line="360" w:lineRule="auto"/>
        <w:rPr>
          <w:rFonts w:hint="eastAsia" w:ascii="宋体" w:hAnsi="宋体" w:eastAsia="宋体" w:cs="宋体"/>
          <w:color w:val="auto"/>
          <w:sz w:val="24"/>
          <w:szCs w:val="20"/>
          <w:highlight w:val="none"/>
        </w:rPr>
      </w:pPr>
    </w:p>
    <w:p>
      <w:pPr>
        <w:tabs>
          <w:tab w:val="left" w:pos="1800"/>
          <w:tab w:val="left" w:pos="558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：_______________     项目名称：_______________</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包号：</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___________</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561"/>
        <w:gridCol w:w="1776"/>
        <w:gridCol w:w="1778"/>
        <w:gridCol w:w="2183"/>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序号</w:t>
            </w:r>
          </w:p>
        </w:tc>
        <w:tc>
          <w:tcPr>
            <w:tcW w:w="1394" w:type="dxa"/>
            <w:vAlign w:val="center"/>
          </w:tcPr>
          <w:p>
            <w:pPr>
              <w:adjustRightInd w:val="0"/>
              <w:snapToGrid w:val="0"/>
              <w:jc w:val="center"/>
              <w:rPr>
                <w:rFonts w:eastAsiaTheme="minorEastAsia"/>
                <w:color w:val="auto"/>
                <w:sz w:val="24"/>
                <w:highlight w:val="none"/>
              </w:rPr>
            </w:pPr>
            <w:r>
              <w:rPr>
                <w:rFonts w:eastAsiaTheme="minorEastAsia"/>
                <w:color w:val="auto"/>
                <w:sz w:val="24"/>
                <w:szCs w:val="21"/>
                <w:highlight w:val="none"/>
              </w:rPr>
              <w:t>竞争性磋商文件</w:t>
            </w:r>
            <w:r>
              <w:rPr>
                <w:rFonts w:eastAsiaTheme="minorEastAsia"/>
                <w:color w:val="auto"/>
                <w:sz w:val="24"/>
                <w:highlight w:val="none"/>
              </w:rPr>
              <w:t>条目号（页码）</w:t>
            </w:r>
          </w:p>
        </w:tc>
        <w:tc>
          <w:tcPr>
            <w:tcW w:w="1808" w:type="dxa"/>
            <w:vAlign w:val="center"/>
          </w:tcPr>
          <w:p>
            <w:pPr>
              <w:adjustRightInd w:val="0"/>
              <w:snapToGrid w:val="0"/>
              <w:jc w:val="center"/>
              <w:rPr>
                <w:rFonts w:eastAsiaTheme="minorEastAsia"/>
                <w:color w:val="auto"/>
                <w:sz w:val="24"/>
                <w:highlight w:val="none"/>
              </w:rPr>
            </w:pPr>
            <w:r>
              <w:rPr>
                <w:rFonts w:eastAsiaTheme="minorEastAsia"/>
                <w:color w:val="auto"/>
                <w:sz w:val="24"/>
                <w:szCs w:val="21"/>
                <w:highlight w:val="none"/>
              </w:rPr>
              <w:t>竞争性磋商文件</w:t>
            </w:r>
            <w:r>
              <w:rPr>
                <w:rFonts w:eastAsiaTheme="minorEastAsia"/>
                <w:color w:val="auto"/>
                <w:sz w:val="24"/>
                <w:highlight w:val="none"/>
              </w:rPr>
              <w:t>要求</w:t>
            </w:r>
          </w:p>
        </w:tc>
        <w:tc>
          <w:tcPr>
            <w:tcW w:w="1809"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响应文件内容</w:t>
            </w:r>
          </w:p>
        </w:tc>
        <w:tc>
          <w:tcPr>
            <w:tcW w:w="2290"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偏离情况</w:t>
            </w:r>
          </w:p>
        </w:tc>
        <w:tc>
          <w:tcPr>
            <w:tcW w:w="863"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rFonts w:eastAsiaTheme="minorEastAsia"/>
                <w:b/>
                <w:color w:val="auto"/>
                <w:sz w:val="24"/>
                <w:highlight w:val="none"/>
              </w:rPr>
            </w:pPr>
            <w:r>
              <w:rPr>
                <w:b/>
                <w:color w:val="auto"/>
                <w:sz w:val="24"/>
                <w:highlight w:val="none"/>
              </w:rPr>
              <w:t>对本项目合同条款的偏离情况（</w:t>
            </w:r>
            <w:r>
              <w:rPr>
                <w:rFonts w:hint="eastAsia"/>
                <w:bCs/>
                <w:color w:val="auto"/>
                <w:sz w:val="24"/>
                <w:highlight w:val="none"/>
              </w:rPr>
              <w:t>应</w:t>
            </w:r>
            <w:r>
              <w:rPr>
                <w:bCs/>
                <w:color w:val="auto"/>
                <w:sz w:val="24"/>
                <w:highlight w:val="none"/>
              </w:rPr>
              <w:t>进行选择</w:t>
            </w:r>
            <w:r>
              <w:rPr>
                <w:rFonts w:hint="eastAsia"/>
                <w:bCs/>
                <w:color w:val="auto"/>
                <w:sz w:val="24"/>
                <w:highlight w:val="none"/>
              </w:rPr>
              <w:t>，未选择</w:t>
            </w:r>
            <w:r>
              <w:rPr>
                <w:rFonts w:hint="eastAsia"/>
                <w:b/>
                <w:color w:val="auto"/>
                <w:sz w:val="24"/>
                <w:highlight w:val="none"/>
              </w:rPr>
              <w:t>响应无效</w:t>
            </w:r>
            <w:r>
              <w:rPr>
                <w:b/>
                <w:color w:val="auto"/>
                <w:sz w:val="24"/>
                <w:highlight w:val="none"/>
              </w:rPr>
              <w:t>）：</w:t>
            </w:r>
          </w:p>
          <w:p>
            <w:pPr>
              <w:adjustRightInd w:val="0"/>
              <w:snapToGrid w:val="0"/>
              <w:jc w:val="left"/>
              <w:rPr>
                <w:rFonts w:eastAsiaTheme="minorEastAsia"/>
                <w:b/>
                <w:color w:val="auto"/>
                <w:sz w:val="24"/>
                <w:highlight w:val="none"/>
              </w:rPr>
            </w:pPr>
            <w:r>
              <w:rPr>
                <w:rFonts w:eastAsiaTheme="minorEastAsia"/>
                <w:b/>
                <w:color w:val="auto"/>
                <w:sz w:val="24"/>
                <w:highlight w:val="none"/>
              </w:rPr>
              <w:t>□无偏离</w:t>
            </w:r>
            <w:r>
              <w:rPr>
                <w:rFonts w:eastAsiaTheme="minorEastAsia"/>
                <w:color w:val="auto"/>
                <w:sz w:val="24"/>
                <w:highlight w:val="none"/>
              </w:rPr>
              <w:t>（</w:t>
            </w:r>
            <w:r>
              <w:rPr>
                <w:rFonts w:eastAsiaTheme="minorEastAsia"/>
                <w:color w:val="auto"/>
                <w:sz w:val="24"/>
                <w:szCs w:val="21"/>
                <w:highlight w:val="none"/>
              </w:rPr>
              <w:t>如无偏离，仅选择无偏离即可</w:t>
            </w:r>
            <w:r>
              <w:rPr>
                <w:rFonts w:hint="eastAsia"/>
                <w:color w:val="auto"/>
                <w:sz w:val="24"/>
                <w:szCs w:val="21"/>
                <w:highlight w:val="none"/>
              </w:rPr>
              <w:t>；</w:t>
            </w:r>
            <w:r>
              <w:rPr>
                <w:rFonts w:hint="eastAsia"/>
                <w:bCs/>
                <w:color w:val="auto"/>
                <w:sz w:val="24"/>
                <w:highlight w:val="none"/>
              </w:rPr>
              <w:t>无偏离即为</w:t>
            </w:r>
            <w:r>
              <w:rPr>
                <w:color w:val="auto"/>
                <w:sz w:val="24"/>
                <w:highlight w:val="none"/>
              </w:rPr>
              <w:t>对合同条款中的所有要求</w:t>
            </w:r>
            <w:r>
              <w:rPr>
                <w:rFonts w:hint="eastAsia"/>
                <w:color w:val="auto"/>
                <w:sz w:val="24"/>
                <w:highlight w:val="none"/>
              </w:rPr>
              <w:t>，</w:t>
            </w:r>
            <w:r>
              <w:rPr>
                <w:color w:val="auto"/>
                <w:sz w:val="24"/>
                <w:highlight w:val="none"/>
              </w:rPr>
              <w:t>均视作供应商已对之理解和响应。</w:t>
            </w:r>
            <w:r>
              <w:rPr>
                <w:rFonts w:eastAsiaTheme="minorEastAsia"/>
                <w:color w:val="auto"/>
                <w:sz w:val="24"/>
                <w:highlight w:val="none"/>
              </w:rPr>
              <w:t>）</w:t>
            </w:r>
          </w:p>
          <w:p>
            <w:pPr>
              <w:adjustRightInd w:val="0"/>
              <w:snapToGrid w:val="0"/>
              <w:jc w:val="left"/>
              <w:rPr>
                <w:rFonts w:eastAsiaTheme="minorEastAsia"/>
                <w:color w:val="auto"/>
                <w:sz w:val="24"/>
                <w:highlight w:val="none"/>
              </w:rPr>
            </w:pPr>
            <w:r>
              <w:rPr>
                <w:rFonts w:eastAsiaTheme="minorEastAsia"/>
                <w:b/>
                <w:color w:val="auto"/>
                <w:sz w:val="24"/>
                <w:highlight w:val="none"/>
              </w:rPr>
              <w:t>□有偏离</w:t>
            </w:r>
            <w:r>
              <w:rPr>
                <w:rFonts w:eastAsiaTheme="minorEastAsia"/>
                <w:color w:val="auto"/>
                <w:sz w:val="24"/>
                <w:highlight w:val="none"/>
              </w:rPr>
              <w:t>（</w:t>
            </w:r>
            <w:r>
              <w:rPr>
                <w:rFonts w:eastAsiaTheme="minorEastAsia"/>
                <w:color w:val="auto"/>
                <w:sz w:val="24"/>
                <w:szCs w:val="21"/>
                <w:highlight w:val="none"/>
              </w:rPr>
              <w:t>如有偏离，</w:t>
            </w:r>
            <w:r>
              <w:rPr>
                <w:rFonts w:eastAsiaTheme="minorEastAsia"/>
                <w:color w:val="auto"/>
                <w:sz w:val="24"/>
                <w:highlight w:val="none"/>
              </w:rPr>
              <w:t>则</w:t>
            </w:r>
            <w:r>
              <w:rPr>
                <w:rFonts w:hint="eastAsia" w:eastAsiaTheme="minorEastAsia"/>
                <w:color w:val="auto"/>
                <w:sz w:val="24"/>
                <w:highlight w:val="none"/>
              </w:rPr>
              <w:t>应</w:t>
            </w:r>
            <w:r>
              <w:rPr>
                <w:rFonts w:eastAsiaTheme="minorEastAsia"/>
                <w:color w:val="auto"/>
                <w:sz w:val="24"/>
                <w:highlight w:val="none"/>
              </w:rPr>
              <w:t>在本表中对负偏离项逐一列明</w:t>
            </w:r>
            <w:r>
              <w:rPr>
                <w:rFonts w:hint="eastAsia"/>
                <w:color w:val="auto"/>
                <w:sz w:val="24"/>
                <w:highlight w:val="none"/>
              </w:rPr>
              <w:t>，否则</w:t>
            </w:r>
            <w:r>
              <w:rPr>
                <w:rFonts w:hint="eastAsia"/>
                <w:b/>
                <w:bCs/>
                <w:color w:val="auto"/>
                <w:sz w:val="24"/>
                <w:highlight w:val="none"/>
              </w:rPr>
              <w:t>响应无效</w:t>
            </w:r>
            <w:r>
              <w:rPr>
                <w:color w:val="auto"/>
                <w:sz w:val="24"/>
                <w:highlight w:val="none"/>
              </w:rPr>
              <w:t>；对合同条款中的所有要求，除本表列明的偏离外，均视作供应商已对之理解和响应。</w:t>
            </w:r>
            <w:r>
              <w:rPr>
                <w:rFonts w:eastAsiaTheme="minorEastAsia"/>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auto"/>
                <w:sz w:val="24"/>
                <w:highlight w:val="none"/>
              </w:rPr>
            </w:pPr>
          </w:p>
        </w:tc>
        <w:tc>
          <w:tcPr>
            <w:tcW w:w="1394" w:type="dxa"/>
            <w:vAlign w:val="center"/>
          </w:tcPr>
          <w:p>
            <w:pPr>
              <w:adjustRightInd w:val="0"/>
              <w:snapToGrid w:val="0"/>
              <w:jc w:val="center"/>
              <w:rPr>
                <w:rFonts w:eastAsiaTheme="minorEastAsia"/>
                <w:color w:val="auto"/>
                <w:sz w:val="24"/>
                <w:highlight w:val="none"/>
              </w:rPr>
            </w:pPr>
          </w:p>
        </w:tc>
        <w:tc>
          <w:tcPr>
            <w:tcW w:w="1808" w:type="dxa"/>
            <w:vAlign w:val="center"/>
          </w:tcPr>
          <w:p>
            <w:pPr>
              <w:adjustRightInd w:val="0"/>
              <w:snapToGrid w:val="0"/>
              <w:jc w:val="center"/>
              <w:rPr>
                <w:rFonts w:eastAsiaTheme="minorEastAsia"/>
                <w:color w:val="auto"/>
                <w:sz w:val="24"/>
                <w:highlight w:val="none"/>
              </w:rPr>
            </w:pPr>
          </w:p>
        </w:tc>
        <w:tc>
          <w:tcPr>
            <w:tcW w:w="1809" w:type="dxa"/>
            <w:vAlign w:val="center"/>
          </w:tcPr>
          <w:p>
            <w:pPr>
              <w:adjustRightInd w:val="0"/>
              <w:snapToGrid w:val="0"/>
              <w:jc w:val="center"/>
              <w:rPr>
                <w:rFonts w:eastAsiaTheme="minorEastAsia"/>
                <w:color w:val="auto"/>
                <w:sz w:val="24"/>
                <w:highlight w:val="none"/>
              </w:rPr>
            </w:pPr>
          </w:p>
        </w:tc>
        <w:tc>
          <w:tcPr>
            <w:tcW w:w="2290" w:type="dxa"/>
            <w:vAlign w:val="center"/>
          </w:tcPr>
          <w:p>
            <w:pPr>
              <w:adjustRightInd w:val="0"/>
              <w:snapToGrid w:val="0"/>
              <w:jc w:val="center"/>
              <w:rPr>
                <w:rFonts w:eastAsiaTheme="minorEastAsia"/>
                <w:color w:val="auto"/>
                <w:sz w:val="24"/>
                <w:highlight w:val="none"/>
              </w:rPr>
            </w:pPr>
          </w:p>
        </w:tc>
        <w:tc>
          <w:tcPr>
            <w:tcW w:w="863"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auto"/>
                <w:sz w:val="24"/>
                <w:highlight w:val="none"/>
              </w:rPr>
            </w:pPr>
          </w:p>
        </w:tc>
        <w:tc>
          <w:tcPr>
            <w:tcW w:w="1394" w:type="dxa"/>
            <w:vAlign w:val="center"/>
          </w:tcPr>
          <w:p>
            <w:pPr>
              <w:adjustRightInd w:val="0"/>
              <w:snapToGrid w:val="0"/>
              <w:jc w:val="center"/>
              <w:rPr>
                <w:rFonts w:eastAsiaTheme="minorEastAsia"/>
                <w:color w:val="auto"/>
                <w:sz w:val="24"/>
                <w:highlight w:val="none"/>
              </w:rPr>
            </w:pPr>
          </w:p>
        </w:tc>
        <w:tc>
          <w:tcPr>
            <w:tcW w:w="1808" w:type="dxa"/>
            <w:vAlign w:val="center"/>
          </w:tcPr>
          <w:p>
            <w:pPr>
              <w:adjustRightInd w:val="0"/>
              <w:snapToGrid w:val="0"/>
              <w:jc w:val="center"/>
              <w:rPr>
                <w:rFonts w:eastAsiaTheme="minorEastAsia"/>
                <w:color w:val="auto"/>
                <w:sz w:val="24"/>
                <w:highlight w:val="none"/>
              </w:rPr>
            </w:pPr>
          </w:p>
        </w:tc>
        <w:tc>
          <w:tcPr>
            <w:tcW w:w="1809" w:type="dxa"/>
            <w:vAlign w:val="center"/>
          </w:tcPr>
          <w:p>
            <w:pPr>
              <w:adjustRightInd w:val="0"/>
              <w:snapToGrid w:val="0"/>
              <w:jc w:val="center"/>
              <w:rPr>
                <w:rFonts w:eastAsiaTheme="minorEastAsia"/>
                <w:color w:val="auto"/>
                <w:sz w:val="24"/>
                <w:highlight w:val="none"/>
              </w:rPr>
            </w:pPr>
          </w:p>
        </w:tc>
        <w:tc>
          <w:tcPr>
            <w:tcW w:w="2290" w:type="dxa"/>
            <w:vAlign w:val="center"/>
          </w:tcPr>
          <w:p>
            <w:pPr>
              <w:adjustRightInd w:val="0"/>
              <w:snapToGrid w:val="0"/>
              <w:jc w:val="center"/>
              <w:rPr>
                <w:rFonts w:eastAsiaTheme="minorEastAsia"/>
                <w:color w:val="auto"/>
                <w:sz w:val="24"/>
                <w:highlight w:val="none"/>
              </w:rPr>
            </w:pPr>
          </w:p>
        </w:tc>
        <w:tc>
          <w:tcPr>
            <w:tcW w:w="863"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auto"/>
                <w:sz w:val="24"/>
                <w:highlight w:val="none"/>
              </w:rPr>
            </w:pPr>
          </w:p>
        </w:tc>
        <w:tc>
          <w:tcPr>
            <w:tcW w:w="1394" w:type="dxa"/>
            <w:vAlign w:val="center"/>
          </w:tcPr>
          <w:p>
            <w:pPr>
              <w:adjustRightInd w:val="0"/>
              <w:snapToGrid w:val="0"/>
              <w:jc w:val="center"/>
              <w:rPr>
                <w:rFonts w:eastAsiaTheme="minorEastAsia"/>
                <w:color w:val="auto"/>
                <w:sz w:val="24"/>
                <w:highlight w:val="none"/>
              </w:rPr>
            </w:pPr>
          </w:p>
        </w:tc>
        <w:tc>
          <w:tcPr>
            <w:tcW w:w="1808" w:type="dxa"/>
            <w:vAlign w:val="center"/>
          </w:tcPr>
          <w:p>
            <w:pPr>
              <w:adjustRightInd w:val="0"/>
              <w:snapToGrid w:val="0"/>
              <w:jc w:val="center"/>
              <w:rPr>
                <w:rFonts w:eastAsiaTheme="minorEastAsia"/>
                <w:color w:val="auto"/>
                <w:sz w:val="24"/>
                <w:highlight w:val="none"/>
              </w:rPr>
            </w:pPr>
          </w:p>
        </w:tc>
        <w:tc>
          <w:tcPr>
            <w:tcW w:w="1809" w:type="dxa"/>
            <w:vAlign w:val="center"/>
          </w:tcPr>
          <w:p>
            <w:pPr>
              <w:adjustRightInd w:val="0"/>
              <w:snapToGrid w:val="0"/>
              <w:jc w:val="center"/>
              <w:rPr>
                <w:rFonts w:eastAsiaTheme="minorEastAsia"/>
                <w:color w:val="auto"/>
                <w:sz w:val="24"/>
                <w:highlight w:val="none"/>
              </w:rPr>
            </w:pPr>
          </w:p>
        </w:tc>
        <w:tc>
          <w:tcPr>
            <w:tcW w:w="2290" w:type="dxa"/>
            <w:vAlign w:val="center"/>
          </w:tcPr>
          <w:p>
            <w:pPr>
              <w:adjustRightInd w:val="0"/>
              <w:snapToGrid w:val="0"/>
              <w:jc w:val="center"/>
              <w:rPr>
                <w:rFonts w:eastAsiaTheme="minorEastAsia"/>
                <w:color w:val="auto"/>
                <w:sz w:val="24"/>
                <w:highlight w:val="none"/>
              </w:rPr>
            </w:pPr>
          </w:p>
        </w:tc>
        <w:tc>
          <w:tcPr>
            <w:tcW w:w="863"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auto"/>
                <w:sz w:val="24"/>
                <w:highlight w:val="none"/>
              </w:rPr>
            </w:pPr>
          </w:p>
        </w:tc>
        <w:tc>
          <w:tcPr>
            <w:tcW w:w="1394" w:type="dxa"/>
            <w:vAlign w:val="center"/>
          </w:tcPr>
          <w:p>
            <w:pPr>
              <w:adjustRightInd w:val="0"/>
              <w:snapToGrid w:val="0"/>
              <w:jc w:val="center"/>
              <w:rPr>
                <w:rFonts w:eastAsiaTheme="minorEastAsia"/>
                <w:color w:val="auto"/>
                <w:sz w:val="24"/>
                <w:highlight w:val="none"/>
              </w:rPr>
            </w:pPr>
          </w:p>
        </w:tc>
        <w:tc>
          <w:tcPr>
            <w:tcW w:w="1808" w:type="dxa"/>
            <w:vAlign w:val="center"/>
          </w:tcPr>
          <w:p>
            <w:pPr>
              <w:adjustRightInd w:val="0"/>
              <w:snapToGrid w:val="0"/>
              <w:jc w:val="center"/>
              <w:rPr>
                <w:rFonts w:eastAsiaTheme="minorEastAsia"/>
                <w:color w:val="auto"/>
                <w:sz w:val="24"/>
                <w:highlight w:val="none"/>
              </w:rPr>
            </w:pPr>
          </w:p>
        </w:tc>
        <w:tc>
          <w:tcPr>
            <w:tcW w:w="1809" w:type="dxa"/>
            <w:vAlign w:val="center"/>
          </w:tcPr>
          <w:p>
            <w:pPr>
              <w:adjustRightInd w:val="0"/>
              <w:snapToGrid w:val="0"/>
              <w:jc w:val="center"/>
              <w:rPr>
                <w:rFonts w:eastAsiaTheme="minorEastAsia"/>
                <w:color w:val="auto"/>
                <w:sz w:val="24"/>
                <w:highlight w:val="none"/>
              </w:rPr>
            </w:pPr>
          </w:p>
        </w:tc>
        <w:tc>
          <w:tcPr>
            <w:tcW w:w="2290" w:type="dxa"/>
            <w:vAlign w:val="center"/>
          </w:tcPr>
          <w:p>
            <w:pPr>
              <w:adjustRightInd w:val="0"/>
              <w:snapToGrid w:val="0"/>
              <w:jc w:val="center"/>
              <w:rPr>
                <w:rFonts w:eastAsiaTheme="minorEastAsia"/>
                <w:color w:val="auto"/>
                <w:sz w:val="24"/>
                <w:highlight w:val="none"/>
              </w:rPr>
            </w:pPr>
          </w:p>
        </w:tc>
        <w:tc>
          <w:tcPr>
            <w:tcW w:w="863"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auto"/>
                <w:sz w:val="24"/>
                <w:highlight w:val="none"/>
              </w:rPr>
            </w:pPr>
          </w:p>
        </w:tc>
        <w:tc>
          <w:tcPr>
            <w:tcW w:w="1394" w:type="dxa"/>
            <w:vAlign w:val="center"/>
          </w:tcPr>
          <w:p>
            <w:pPr>
              <w:adjustRightInd w:val="0"/>
              <w:snapToGrid w:val="0"/>
              <w:jc w:val="center"/>
              <w:rPr>
                <w:rFonts w:eastAsiaTheme="minorEastAsia"/>
                <w:color w:val="auto"/>
                <w:sz w:val="24"/>
                <w:highlight w:val="none"/>
              </w:rPr>
            </w:pPr>
          </w:p>
        </w:tc>
        <w:tc>
          <w:tcPr>
            <w:tcW w:w="1808" w:type="dxa"/>
            <w:vAlign w:val="center"/>
          </w:tcPr>
          <w:p>
            <w:pPr>
              <w:adjustRightInd w:val="0"/>
              <w:snapToGrid w:val="0"/>
              <w:jc w:val="center"/>
              <w:rPr>
                <w:rFonts w:eastAsiaTheme="minorEastAsia"/>
                <w:color w:val="auto"/>
                <w:sz w:val="24"/>
                <w:highlight w:val="none"/>
              </w:rPr>
            </w:pPr>
          </w:p>
        </w:tc>
        <w:tc>
          <w:tcPr>
            <w:tcW w:w="1809" w:type="dxa"/>
            <w:vAlign w:val="center"/>
          </w:tcPr>
          <w:p>
            <w:pPr>
              <w:adjustRightInd w:val="0"/>
              <w:snapToGrid w:val="0"/>
              <w:jc w:val="center"/>
              <w:rPr>
                <w:rFonts w:eastAsiaTheme="minorEastAsia"/>
                <w:color w:val="auto"/>
                <w:sz w:val="24"/>
                <w:highlight w:val="none"/>
              </w:rPr>
            </w:pPr>
          </w:p>
        </w:tc>
        <w:tc>
          <w:tcPr>
            <w:tcW w:w="2290" w:type="dxa"/>
            <w:vAlign w:val="center"/>
          </w:tcPr>
          <w:p>
            <w:pPr>
              <w:adjustRightInd w:val="0"/>
              <w:snapToGrid w:val="0"/>
              <w:jc w:val="center"/>
              <w:rPr>
                <w:rFonts w:eastAsiaTheme="minorEastAsia"/>
                <w:color w:val="auto"/>
                <w:sz w:val="24"/>
                <w:highlight w:val="none"/>
              </w:rPr>
            </w:pPr>
          </w:p>
        </w:tc>
        <w:tc>
          <w:tcPr>
            <w:tcW w:w="863" w:type="dxa"/>
            <w:vAlign w:val="center"/>
          </w:tcPr>
          <w:p>
            <w:pPr>
              <w:adjustRightInd w:val="0"/>
              <w:snapToGrid w:val="0"/>
              <w:jc w:val="center"/>
              <w:rPr>
                <w:rFonts w:eastAsiaTheme="minorEastAsia"/>
                <w:color w:val="auto"/>
                <w:sz w:val="24"/>
                <w:highlight w:val="none"/>
              </w:rPr>
            </w:pPr>
          </w:p>
        </w:tc>
      </w:tr>
    </w:tbl>
    <w:p>
      <w:pPr>
        <w:tabs>
          <w:tab w:val="left" w:pos="1800"/>
          <w:tab w:val="left" w:pos="5580"/>
        </w:tabs>
        <w:spacing w:line="360" w:lineRule="auto"/>
        <w:ind w:firstLine="360" w:firstLineChars="150"/>
        <w:jc w:val="left"/>
        <w:rPr>
          <w:rFonts w:hint="eastAsia" w:ascii="宋体" w:hAnsi="宋体" w:eastAsia="宋体" w:cs="宋体"/>
          <w:color w:val="auto"/>
          <w:sz w:val="24"/>
          <w:highlight w:val="none"/>
        </w:rPr>
      </w:pPr>
    </w:p>
    <w:p>
      <w:pPr>
        <w:tabs>
          <w:tab w:val="left" w:pos="1800"/>
          <w:tab w:val="left" w:pos="5580"/>
        </w:tabs>
        <w:jc w:val="left"/>
        <w:rPr>
          <w:rFonts w:hint="eastAsia" w:ascii="宋体" w:hAnsi="宋体" w:eastAsia="宋体" w:cs="宋体"/>
          <w:color w:val="auto"/>
          <w:sz w:val="24"/>
          <w:highlight w:val="none"/>
        </w:rPr>
      </w:pPr>
    </w:p>
    <w:p>
      <w:pPr>
        <w:tabs>
          <w:tab w:val="left" w:pos="1800"/>
          <w:tab w:val="left" w:pos="5580"/>
        </w:tabs>
        <w:jc w:val="left"/>
        <w:rPr>
          <w:color w:val="auto"/>
          <w:sz w:val="24"/>
          <w:highlight w:val="none"/>
        </w:rPr>
      </w:pPr>
      <w:r>
        <w:rPr>
          <w:color w:val="auto"/>
          <w:sz w:val="24"/>
          <w:highlight w:val="none"/>
        </w:rPr>
        <w:t>注： “偏离情况”列应据实填写“正偏离”或“负偏离”。</w:t>
      </w:r>
    </w:p>
    <w:p>
      <w:pPr>
        <w:spacing w:line="360" w:lineRule="auto"/>
        <w:rPr>
          <w:rFonts w:eastAsiaTheme="minorEastAsia"/>
          <w:color w:val="auto"/>
          <w:sz w:val="24"/>
          <w:szCs w:val="20"/>
          <w:highlight w:val="none"/>
        </w:rPr>
      </w:pP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_______________</w:t>
      </w:r>
    </w:p>
    <w:p>
      <w:pPr>
        <w:tabs>
          <w:tab w:val="left" w:pos="360"/>
        </w:tabs>
        <w:snapToGrid w:val="0"/>
        <w:spacing w:line="360" w:lineRule="auto"/>
        <w:outlineLvl w:val="1"/>
        <w:rPr>
          <w:rFonts w:hint="eastAsia" w:ascii="宋体" w:hAnsi="宋体" w:eastAsia="宋体" w:cs="宋体"/>
          <w:color w:val="auto"/>
          <w:sz w:val="24"/>
          <w:szCs w:val="20"/>
          <w:highlight w:val="none"/>
        </w:rPr>
      </w:pPr>
      <w:r>
        <w:rPr>
          <w:rFonts w:eastAsiaTheme="minorEastAsia"/>
          <w:color w:val="auto"/>
          <w:sz w:val="24"/>
          <w:szCs w:val="20"/>
          <w:highlight w:val="none"/>
        </w:rPr>
        <w:t xml:space="preserve">日期：____年____月____日 </w:t>
      </w:r>
      <w:r>
        <w:rPr>
          <w:rFonts w:hint="eastAsia" w:ascii="宋体" w:hAnsi="宋体" w:eastAsia="宋体" w:cs="宋体"/>
          <w:color w:val="auto"/>
          <w:sz w:val="24"/>
          <w:szCs w:val="20"/>
          <w:highlight w:val="none"/>
        </w:rPr>
        <w:br w:type="page"/>
      </w: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 xml:space="preserve">  </w:t>
      </w:r>
      <w:bookmarkEnd w:id="753"/>
      <w:bookmarkEnd w:id="754"/>
      <w:bookmarkEnd w:id="755"/>
      <w:bookmarkEnd w:id="756"/>
      <w:bookmarkEnd w:id="757"/>
      <w:bookmarkEnd w:id="758"/>
      <w:bookmarkEnd w:id="759"/>
      <w:bookmarkEnd w:id="760"/>
      <w:bookmarkEnd w:id="761"/>
      <w:bookmarkEnd w:id="762"/>
      <w:bookmarkEnd w:id="763"/>
      <w:bookmarkEnd w:id="764"/>
      <w:bookmarkEnd w:id="765"/>
      <w:r>
        <w:rPr>
          <w:rFonts w:hint="eastAsia" w:ascii="宋体" w:hAnsi="宋体" w:eastAsia="宋体" w:cs="宋体"/>
          <w:color w:val="auto"/>
          <w:sz w:val="24"/>
          <w:highlight w:val="none"/>
        </w:rPr>
        <w:t>采购需求偏离表</w:t>
      </w:r>
    </w:p>
    <w:p>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采购需求偏离表</w:t>
      </w:r>
    </w:p>
    <w:p>
      <w:pPr>
        <w:tabs>
          <w:tab w:val="left" w:pos="1800"/>
          <w:tab w:val="left" w:pos="558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：_______________     项目名称：_______________</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包号：</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482" w:type="dxa"/>
            <w:vAlign w:val="center"/>
          </w:tcPr>
          <w:p>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竞争性磋商文件条目号(页码)</w:t>
            </w:r>
          </w:p>
        </w:tc>
        <w:tc>
          <w:tcPr>
            <w:tcW w:w="2384" w:type="dxa"/>
            <w:vAlign w:val="center"/>
          </w:tcPr>
          <w:p>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竞争性磋商文件要求</w:t>
            </w:r>
          </w:p>
        </w:tc>
        <w:tc>
          <w:tcPr>
            <w:tcW w:w="2126" w:type="dxa"/>
            <w:vAlign w:val="center"/>
          </w:tcPr>
          <w:p>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响应内容</w:t>
            </w:r>
          </w:p>
        </w:tc>
        <w:tc>
          <w:tcPr>
            <w:tcW w:w="1875" w:type="dxa"/>
            <w:vAlign w:val="center"/>
          </w:tcPr>
          <w:p>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偏离情况</w:t>
            </w:r>
          </w:p>
        </w:tc>
        <w:tc>
          <w:tcPr>
            <w:tcW w:w="1009" w:type="dxa"/>
            <w:vAlign w:val="center"/>
          </w:tcPr>
          <w:p>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auto"/>
                <w:sz w:val="24"/>
                <w:highlight w:val="none"/>
              </w:rPr>
            </w:pPr>
          </w:p>
        </w:tc>
        <w:tc>
          <w:tcPr>
            <w:tcW w:w="1482" w:type="dxa"/>
            <w:vAlign w:val="center"/>
          </w:tcPr>
          <w:p>
            <w:pPr>
              <w:adjustRightInd w:val="0"/>
              <w:snapToGrid w:val="0"/>
              <w:jc w:val="center"/>
              <w:rPr>
                <w:rFonts w:hint="eastAsia" w:ascii="宋体" w:hAnsi="宋体" w:eastAsia="宋体" w:cs="宋体"/>
                <w:color w:val="auto"/>
                <w:sz w:val="24"/>
                <w:highlight w:val="none"/>
              </w:rPr>
            </w:pPr>
          </w:p>
        </w:tc>
        <w:tc>
          <w:tcPr>
            <w:tcW w:w="2384" w:type="dxa"/>
            <w:vAlign w:val="center"/>
          </w:tcPr>
          <w:p>
            <w:pPr>
              <w:adjustRightInd w:val="0"/>
              <w:snapToGrid w:val="0"/>
              <w:jc w:val="center"/>
              <w:rPr>
                <w:rFonts w:hint="eastAsia" w:ascii="宋体" w:hAnsi="宋体" w:eastAsia="宋体" w:cs="宋体"/>
                <w:color w:val="auto"/>
                <w:sz w:val="24"/>
                <w:highlight w:val="none"/>
              </w:rPr>
            </w:pPr>
          </w:p>
        </w:tc>
        <w:tc>
          <w:tcPr>
            <w:tcW w:w="2126" w:type="dxa"/>
            <w:vAlign w:val="center"/>
          </w:tcPr>
          <w:p>
            <w:pPr>
              <w:adjustRightInd w:val="0"/>
              <w:snapToGrid w:val="0"/>
              <w:jc w:val="center"/>
              <w:rPr>
                <w:rFonts w:hint="eastAsia" w:ascii="宋体" w:hAnsi="宋体" w:eastAsia="宋体" w:cs="宋体"/>
                <w:color w:val="auto"/>
                <w:sz w:val="24"/>
                <w:highlight w:val="none"/>
              </w:rPr>
            </w:pPr>
          </w:p>
        </w:tc>
        <w:tc>
          <w:tcPr>
            <w:tcW w:w="1875" w:type="dxa"/>
            <w:vAlign w:val="center"/>
          </w:tcPr>
          <w:p>
            <w:pPr>
              <w:adjustRightInd w:val="0"/>
              <w:snapToGrid w:val="0"/>
              <w:jc w:val="center"/>
              <w:rPr>
                <w:rFonts w:hint="eastAsia" w:ascii="宋体" w:hAnsi="宋体" w:eastAsia="宋体" w:cs="宋体"/>
                <w:color w:val="auto"/>
                <w:sz w:val="24"/>
                <w:highlight w:val="none"/>
              </w:rPr>
            </w:pPr>
          </w:p>
        </w:tc>
        <w:tc>
          <w:tcPr>
            <w:tcW w:w="1009" w:type="dxa"/>
            <w:vAlign w:val="center"/>
          </w:tcPr>
          <w:p>
            <w:pPr>
              <w:adjustRightInd w:val="0"/>
              <w:snapToGrid w:val="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auto"/>
                <w:sz w:val="24"/>
                <w:highlight w:val="none"/>
              </w:rPr>
            </w:pPr>
          </w:p>
        </w:tc>
        <w:tc>
          <w:tcPr>
            <w:tcW w:w="1482" w:type="dxa"/>
            <w:vAlign w:val="center"/>
          </w:tcPr>
          <w:p>
            <w:pPr>
              <w:adjustRightInd w:val="0"/>
              <w:snapToGrid w:val="0"/>
              <w:jc w:val="center"/>
              <w:rPr>
                <w:rFonts w:hint="eastAsia" w:ascii="宋体" w:hAnsi="宋体" w:eastAsia="宋体" w:cs="宋体"/>
                <w:color w:val="auto"/>
                <w:sz w:val="24"/>
                <w:highlight w:val="none"/>
              </w:rPr>
            </w:pPr>
          </w:p>
        </w:tc>
        <w:tc>
          <w:tcPr>
            <w:tcW w:w="2384" w:type="dxa"/>
            <w:vAlign w:val="center"/>
          </w:tcPr>
          <w:p>
            <w:pPr>
              <w:adjustRightInd w:val="0"/>
              <w:snapToGrid w:val="0"/>
              <w:jc w:val="center"/>
              <w:rPr>
                <w:rFonts w:hint="eastAsia" w:ascii="宋体" w:hAnsi="宋体" w:eastAsia="宋体" w:cs="宋体"/>
                <w:color w:val="auto"/>
                <w:sz w:val="24"/>
                <w:highlight w:val="none"/>
              </w:rPr>
            </w:pPr>
          </w:p>
        </w:tc>
        <w:tc>
          <w:tcPr>
            <w:tcW w:w="2126" w:type="dxa"/>
            <w:vAlign w:val="center"/>
          </w:tcPr>
          <w:p>
            <w:pPr>
              <w:adjustRightInd w:val="0"/>
              <w:snapToGrid w:val="0"/>
              <w:jc w:val="center"/>
              <w:rPr>
                <w:rFonts w:hint="eastAsia" w:ascii="宋体" w:hAnsi="宋体" w:eastAsia="宋体" w:cs="宋体"/>
                <w:color w:val="auto"/>
                <w:sz w:val="24"/>
                <w:highlight w:val="none"/>
              </w:rPr>
            </w:pPr>
          </w:p>
        </w:tc>
        <w:tc>
          <w:tcPr>
            <w:tcW w:w="1875" w:type="dxa"/>
            <w:vAlign w:val="center"/>
          </w:tcPr>
          <w:p>
            <w:pPr>
              <w:adjustRightInd w:val="0"/>
              <w:snapToGrid w:val="0"/>
              <w:jc w:val="center"/>
              <w:rPr>
                <w:rFonts w:hint="eastAsia" w:ascii="宋体" w:hAnsi="宋体" w:eastAsia="宋体" w:cs="宋体"/>
                <w:color w:val="auto"/>
                <w:sz w:val="24"/>
                <w:highlight w:val="none"/>
              </w:rPr>
            </w:pPr>
          </w:p>
        </w:tc>
        <w:tc>
          <w:tcPr>
            <w:tcW w:w="1009" w:type="dxa"/>
            <w:vAlign w:val="center"/>
          </w:tcPr>
          <w:p>
            <w:pPr>
              <w:adjustRightInd w:val="0"/>
              <w:snapToGrid w:val="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auto"/>
                <w:sz w:val="24"/>
                <w:highlight w:val="none"/>
              </w:rPr>
            </w:pPr>
          </w:p>
        </w:tc>
        <w:tc>
          <w:tcPr>
            <w:tcW w:w="1482" w:type="dxa"/>
            <w:vAlign w:val="center"/>
          </w:tcPr>
          <w:p>
            <w:pPr>
              <w:adjustRightInd w:val="0"/>
              <w:snapToGrid w:val="0"/>
              <w:jc w:val="center"/>
              <w:rPr>
                <w:rFonts w:hint="eastAsia" w:ascii="宋体" w:hAnsi="宋体" w:eastAsia="宋体" w:cs="宋体"/>
                <w:color w:val="auto"/>
                <w:sz w:val="24"/>
                <w:highlight w:val="none"/>
              </w:rPr>
            </w:pPr>
          </w:p>
        </w:tc>
        <w:tc>
          <w:tcPr>
            <w:tcW w:w="2384" w:type="dxa"/>
            <w:vAlign w:val="center"/>
          </w:tcPr>
          <w:p>
            <w:pPr>
              <w:adjustRightInd w:val="0"/>
              <w:snapToGrid w:val="0"/>
              <w:jc w:val="center"/>
              <w:rPr>
                <w:rFonts w:hint="eastAsia" w:ascii="宋体" w:hAnsi="宋体" w:eastAsia="宋体" w:cs="宋体"/>
                <w:color w:val="auto"/>
                <w:sz w:val="24"/>
                <w:highlight w:val="none"/>
              </w:rPr>
            </w:pPr>
          </w:p>
        </w:tc>
        <w:tc>
          <w:tcPr>
            <w:tcW w:w="2126" w:type="dxa"/>
            <w:vAlign w:val="center"/>
          </w:tcPr>
          <w:p>
            <w:pPr>
              <w:adjustRightInd w:val="0"/>
              <w:snapToGrid w:val="0"/>
              <w:jc w:val="center"/>
              <w:rPr>
                <w:rFonts w:hint="eastAsia" w:ascii="宋体" w:hAnsi="宋体" w:eastAsia="宋体" w:cs="宋体"/>
                <w:color w:val="auto"/>
                <w:sz w:val="24"/>
                <w:highlight w:val="none"/>
              </w:rPr>
            </w:pPr>
          </w:p>
        </w:tc>
        <w:tc>
          <w:tcPr>
            <w:tcW w:w="1875" w:type="dxa"/>
            <w:vAlign w:val="center"/>
          </w:tcPr>
          <w:p>
            <w:pPr>
              <w:adjustRightInd w:val="0"/>
              <w:snapToGrid w:val="0"/>
              <w:jc w:val="center"/>
              <w:rPr>
                <w:rFonts w:hint="eastAsia" w:ascii="宋体" w:hAnsi="宋体" w:eastAsia="宋体" w:cs="宋体"/>
                <w:color w:val="auto"/>
                <w:sz w:val="24"/>
                <w:highlight w:val="none"/>
              </w:rPr>
            </w:pPr>
          </w:p>
        </w:tc>
        <w:tc>
          <w:tcPr>
            <w:tcW w:w="1009" w:type="dxa"/>
            <w:vAlign w:val="center"/>
          </w:tcPr>
          <w:p>
            <w:pPr>
              <w:adjustRightInd w:val="0"/>
              <w:snapToGrid w:val="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auto"/>
                <w:sz w:val="24"/>
                <w:highlight w:val="none"/>
              </w:rPr>
            </w:pPr>
          </w:p>
        </w:tc>
        <w:tc>
          <w:tcPr>
            <w:tcW w:w="1482" w:type="dxa"/>
            <w:vAlign w:val="center"/>
          </w:tcPr>
          <w:p>
            <w:pPr>
              <w:adjustRightInd w:val="0"/>
              <w:snapToGrid w:val="0"/>
              <w:jc w:val="center"/>
              <w:rPr>
                <w:rFonts w:hint="eastAsia" w:ascii="宋体" w:hAnsi="宋体" w:eastAsia="宋体" w:cs="宋体"/>
                <w:color w:val="auto"/>
                <w:sz w:val="24"/>
                <w:highlight w:val="none"/>
              </w:rPr>
            </w:pPr>
          </w:p>
        </w:tc>
        <w:tc>
          <w:tcPr>
            <w:tcW w:w="2384" w:type="dxa"/>
            <w:vAlign w:val="center"/>
          </w:tcPr>
          <w:p>
            <w:pPr>
              <w:adjustRightInd w:val="0"/>
              <w:snapToGrid w:val="0"/>
              <w:jc w:val="center"/>
              <w:rPr>
                <w:rFonts w:hint="eastAsia" w:ascii="宋体" w:hAnsi="宋体" w:eastAsia="宋体" w:cs="宋体"/>
                <w:color w:val="auto"/>
                <w:sz w:val="24"/>
                <w:highlight w:val="none"/>
              </w:rPr>
            </w:pPr>
          </w:p>
        </w:tc>
        <w:tc>
          <w:tcPr>
            <w:tcW w:w="2126" w:type="dxa"/>
            <w:vAlign w:val="center"/>
          </w:tcPr>
          <w:p>
            <w:pPr>
              <w:adjustRightInd w:val="0"/>
              <w:snapToGrid w:val="0"/>
              <w:jc w:val="center"/>
              <w:rPr>
                <w:rFonts w:hint="eastAsia" w:ascii="宋体" w:hAnsi="宋体" w:eastAsia="宋体" w:cs="宋体"/>
                <w:color w:val="auto"/>
                <w:sz w:val="24"/>
                <w:highlight w:val="none"/>
              </w:rPr>
            </w:pPr>
          </w:p>
        </w:tc>
        <w:tc>
          <w:tcPr>
            <w:tcW w:w="1875" w:type="dxa"/>
            <w:vAlign w:val="center"/>
          </w:tcPr>
          <w:p>
            <w:pPr>
              <w:adjustRightInd w:val="0"/>
              <w:snapToGrid w:val="0"/>
              <w:jc w:val="center"/>
              <w:rPr>
                <w:rFonts w:hint="eastAsia" w:ascii="宋体" w:hAnsi="宋体" w:eastAsia="宋体" w:cs="宋体"/>
                <w:color w:val="auto"/>
                <w:sz w:val="24"/>
                <w:highlight w:val="none"/>
              </w:rPr>
            </w:pPr>
          </w:p>
        </w:tc>
        <w:tc>
          <w:tcPr>
            <w:tcW w:w="1009" w:type="dxa"/>
            <w:vAlign w:val="center"/>
          </w:tcPr>
          <w:p>
            <w:pPr>
              <w:adjustRightInd w:val="0"/>
              <w:snapToGrid w:val="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auto"/>
                <w:sz w:val="24"/>
                <w:highlight w:val="none"/>
              </w:rPr>
            </w:pPr>
          </w:p>
        </w:tc>
        <w:tc>
          <w:tcPr>
            <w:tcW w:w="1482" w:type="dxa"/>
            <w:vAlign w:val="center"/>
          </w:tcPr>
          <w:p>
            <w:pPr>
              <w:adjustRightInd w:val="0"/>
              <w:snapToGrid w:val="0"/>
              <w:jc w:val="center"/>
              <w:rPr>
                <w:rFonts w:hint="eastAsia" w:ascii="宋体" w:hAnsi="宋体" w:eastAsia="宋体" w:cs="宋体"/>
                <w:color w:val="auto"/>
                <w:sz w:val="24"/>
                <w:highlight w:val="none"/>
              </w:rPr>
            </w:pPr>
          </w:p>
        </w:tc>
        <w:tc>
          <w:tcPr>
            <w:tcW w:w="2384" w:type="dxa"/>
            <w:vAlign w:val="center"/>
          </w:tcPr>
          <w:p>
            <w:pPr>
              <w:adjustRightInd w:val="0"/>
              <w:snapToGrid w:val="0"/>
              <w:jc w:val="center"/>
              <w:rPr>
                <w:rFonts w:hint="eastAsia" w:ascii="宋体" w:hAnsi="宋体" w:eastAsia="宋体" w:cs="宋体"/>
                <w:color w:val="auto"/>
                <w:sz w:val="24"/>
                <w:highlight w:val="none"/>
              </w:rPr>
            </w:pPr>
          </w:p>
        </w:tc>
        <w:tc>
          <w:tcPr>
            <w:tcW w:w="2126" w:type="dxa"/>
            <w:vAlign w:val="center"/>
          </w:tcPr>
          <w:p>
            <w:pPr>
              <w:adjustRightInd w:val="0"/>
              <w:snapToGrid w:val="0"/>
              <w:jc w:val="center"/>
              <w:rPr>
                <w:rFonts w:hint="eastAsia" w:ascii="宋体" w:hAnsi="宋体" w:eastAsia="宋体" w:cs="宋体"/>
                <w:color w:val="auto"/>
                <w:sz w:val="24"/>
                <w:highlight w:val="none"/>
              </w:rPr>
            </w:pPr>
          </w:p>
        </w:tc>
        <w:tc>
          <w:tcPr>
            <w:tcW w:w="1875" w:type="dxa"/>
            <w:vAlign w:val="center"/>
          </w:tcPr>
          <w:p>
            <w:pPr>
              <w:adjustRightInd w:val="0"/>
              <w:snapToGrid w:val="0"/>
              <w:jc w:val="center"/>
              <w:rPr>
                <w:rFonts w:hint="eastAsia" w:ascii="宋体" w:hAnsi="宋体" w:eastAsia="宋体" w:cs="宋体"/>
                <w:color w:val="auto"/>
                <w:sz w:val="24"/>
                <w:highlight w:val="none"/>
              </w:rPr>
            </w:pPr>
          </w:p>
        </w:tc>
        <w:tc>
          <w:tcPr>
            <w:tcW w:w="1009" w:type="dxa"/>
            <w:vAlign w:val="center"/>
          </w:tcPr>
          <w:p>
            <w:pPr>
              <w:adjustRightInd w:val="0"/>
              <w:snapToGrid w:val="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auto"/>
                <w:sz w:val="24"/>
                <w:highlight w:val="none"/>
              </w:rPr>
            </w:pPr>
          </w:p>
        </w:tc>
        <w:tc>
          <w:tcPr>
            <w:tcW w:w="1482" w:type="dxa"/>
            <w:vAlign w:val="center"/>
          </w:tcPr>
          <w:p>
            <w:pPr>
              <w:adjustRightInd w:val="0"/>
              <w:snapToGrid w:val="0"/>
              <w:jc w:val="center"/>
              <w:rPr>
                <w:rFonts w:hint="eastAsia" w:ascii="宋体" w:hAnsi="宋体" w:eastAsia="宋体" w:cs="宋体"/>
                <w:color w:val="auto"/>
                <w:sz w:val="24"/>
                <w:highlight w:val="none"/>
              </w:rPr>
            </w:pPr>
          </w:p>
        </w:tc>
        <w:tc>
          <w:tcPr>
            <w:tcW w:w="2384" w:type="dxa"/>
            <w:vAlign w:val="center"/>
          </w:tcPr>
          <w:p>
            <w:pPr>
              <w:adjustRightInd w:val="0"/>
              <w:snapToGrid w:val="0"/>
              <w:jc w:val="center"/>
              <w:rPr>
                <w:rFonts w:hint="eastAsia" w:ascii="宋体" w:hAnsi="宋体" w:eastAsia="宋体" w:cs="宋体"/>
                <w:color w:val="auto"/>
                <w:sz w:val="24"/>
                <w:highlight w:val="none"/>
              </w:rPr>
            </w:pPr>
          </w:p>
        </w:tc>
        <w:tc>
          <w:tcPr>
            <w:tcW w:w="2126" w:type="dxa"/>
            <w:vAlign w:val="center"/>
          </w:tcPr>
          <w:p>
            <w:pPr>
              <w:adjustRightInd w:val="0"/>
              <w:snapToGrid w:val="0"/>
              <w:jc w:val="center"/>
              <w:rPr>
                <w:rFonts w:hint="eastAsia" w:ascii="宋体" w:hAnsi="宋体" w:eastAsia="宋体" w:cs="宋体"/>
                <w:color w:val="auto"/>
                <w:sz w:val="24"/>
                <w:highlight w:val="none"/>
              </w:rPr>
            </w:pPr>
          </w:p>
        </w:tc>
        <w:tc>
          <w:tcPr>
            <w:tcW w:w="1875" w:type="dxa"/>
            <w:vAlign w:val="center"/>
          </w:tcPr>
          <w:p>
            <w:pPr>
              <w:adjustRightInd w:val="0"/>
              <w:snapToGrid w:val="0"/>
              <w:jc w:val="center"/>
              <w:rPr>
                <w:rFonts w:hint="eastAsia" w:ascii="宋体" w:hAnsi="宋体" w:eastAsia="宋体" w:cs="宋体"/>
                <w:color w:val="auto"/>
                <w:sz w:val="24"/>
                <w:highlight w:val="none"/>
              </w:rPr>
            </w:pPr>
          </w:p>
        </w:tc>
        <w:tc>
          <w:tcPr>
            <w:tcW w:w="1009" w:type="dxa"/>
            <w:vAlign w:val="center"/>
          </w:tcPr>
          <w:p>
            <w:pPr>
              <w:adjustRightInd w:val="0"/>
              <w:snapToGrid w:val="0"/>
              <w:jc w:val="center"/>
              <w:rPr>
                <w:rFonts w:hint="eastAsia" w:ascii="宋体" w:hAnsi="宋体" w:eastAsia="宋体" w:cs="宋体"/>
                <w:color w:val="auto"/>
                <w:sz w:val="24"/>
                <w:highlight w:val="none"/>
              </w:rPr>
            </w:pPr>
          </w:p>
        </w:tc>
      </w:tr>
    </w:tbl>
    <w:p>
      <w:pPr>
        <w:tabs>
          <w:tab w:val="left" w:pos="1800"/>
          <w:tab w:val="left" w:pos="5580"/>
        </w:tabs>
        <w:spacing w:line="360" w:lineRule="auto"/>
        <w:ind w:firstLine="360" w:firstLineChars="150"/>
        <w:jc w:val="left"/>
        <w:rPr>
          <w:rFonts w:hint="eastAsia" w:ascii="宋体" w:hAnsi="宋体" w:eastAsia="宋体" w:cs="宋体"/>
          <w:color w:val="auto"/>
          <w:sz w:val="24"/>
          <w:highlight w:val="none"/>
          <w:u w:val="single"/>
        </w:rPr>
      </w:pPr>
    </w:p>
    <w:p>
      <w:pPr>
        <w:tabs>
          <w:tab w:val="left" w:pos="1800"/>
          <w:tab w:val="left" w:pos="5580"/>
        </w:tabs>
        <w:spacing w:line="360" w:lineRule="auto"/>
        <w:ind w:firstLine="360" w:firstLineChars="150"/>
        <w:jc w:val="left"/>
        <w:rPr>
          <w:rFonts w:hint="eastAsia" w:ascii="宋体" w:hAnsi="宋体" w:eastAsia="宋体" w:cs="宋体"/>
          <w:color w:val="auto"/>
          <w:sz w:val="24"/>
          <w:highlight w:val="none"/>
          <w:u w:val="single"/>
        </w:rPr>
      </w:pPr>
    </w:p>
    <w:p>
      <w:pPr>
        <w:tabs>
          <w:tab w:val="left" w:pos="1800"/>
          <w:tab w:val="left" w:pos="5580"/>
        </w:tabs>
        <w:jc w:val="left"/>
        <w:rPr>
          <w:rFonts w:eastAsiaTheme="minorEastAsia"/>
          <w:color w:val="auto"/>
          <w:sz w:val="24"/>
          <w:highlight w:val="none"/>
        </w:rPr>
      </w:pPr>
      <w:r>
        <w:rPr>
          <w:rFonts w:eastAsiaTheme="minorEastAsia"/>
          <w:color w:val="auto"/>
          <w:sz w:val="24"/>
          <w:highlight w:val="none"/>
        </w:rPr>
        <w:t>注：</w:t>
      </w:r>
    </w:p>
    <w:p>
      <w:pPr>
        <w:tabs>
          <w:tab w:val="left" w:pos="1800"/>
          <w:tab w:val="left" w:pos="5580"/>
        </w:tabs>
        <w:jc w:val="left"/>
        <w:rPr>
          <w:rFonts w:eastAsiaTheme="minorEastAsia"/>
          <w:color w:val="auto"/>
          <w:sz w:val="24"/>
          <w:highlight w:val="none"/>
        </w:rPr>
      </w:pPr>
      <w:r>
        <w:rPr>
          <w:rFonts w:eastAsiaTheme="minorEastAsia"/>
          <w:color w:val="auto"/>
          <w:sz w:val="24"/>
          <w:highlight w:val="none"/>
        </w:rPr>
        <w:t>1. 对竞争性磋商文件中的所有商务、技术要求，除本表所列明的所有偏离外，均视作供应商已对之理解和响应。此表中若无任何文字说明，内容为空白的，</w:t>
      </w:r>
      <w:r>
        <w:rPr>
          <w:rFonts w:eastAsiaTheme="minorEastAsia"/>
          <w:b/>
          <w:color w:val="auto"/>
          <w:sz w:val="24"/>
          <w:highlight w:val="none"/>
        </w:rPr>
        <w:t>响应无效</w:t>
      </w:r>
      <w:r>
        <w:rPr>
          <w:rFonts w:eastAsiaTheme="minorEastAsia"/>
          <w:color w:val="auto"/>
          <w:sz w:val="24"/>
          <w:highlight w:val="none"/>
        </w:rPr>
        <w:t>。</w:t>
      </w:r>
    </w:p>
    <w:p>
      <w:pPr>
        <w:tabs>
          <w:tab w:val="left" w:pos="1800"/>
          <w:tab w:val="left" w:pos="5580"/>
        </w:tabs>
        <w:jc w:val="left"/>
        <w:rPr>
          <w:color w:val="auto"/>
          <w:sz w:val="24"/>
          <w:highlight w:val="none"/>
        </w:rPr>
      </w:pPr>
      <w:r>
        <w:rPr>
          <w:color w:val="auto"/>
          <w:sz w:val="24"/>
          <w:highlight w:val="none"/>
        </w:rPr>
        <w:t>2.“偏离情况”列应据实填写“无偏离”、“正偏离”或“负偏离”。</w:t>
      </w:r>
    </w:p>
    <w:p>
      <w:pPr>
        <w:tabs>
          <w:tab w:val="left" w:pos="1800"/>
          <w:tab w:val="left" w:pos="5580"/>
        </w:tabs>
        <w:jc w:val="left"/>
        <w:rPr>
          <w:rFonts w:eastAsiaTheme="minorEastAsia"/>
          <w:color w:val="auto"/>
          <w:sz w:val="24"/>
          <w:highlight w:val="none"/>
        </w:rPr>
      </w:pPr>
    </w:p>
    <w:p>
      <w:pPr>
        <w:rPr>
          <w:rFonts w:eastAsiaTheme="minorEastAsia"/>
          <w:color w:val="auto"/>
          <w:sz w:val="24"/>
          <w:szCs w:val="20"/>
          <w:highlight w:val="none"/>
        </w:rPr>
      </w:pPr>
    </w:p>
    <w:p>
      <w:pPr>
        <w:autoSpaceDE w:val="0"/>
        <w:autoSpaceDN w:val="0"/>
        <w:adjustRightInd w:val="0"/>
        <w:snapToGrid w:val="0"/>
        <w:spacing w:before="25" w:after="25" w:line="360" w:lineRule="auto"/>
        <w:ind w:right="360"/>
        <w:jc w:val="left"/>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pPr>
        <w:autoSpaceDE w:val="0"/>
        <w:autoSpaceDN w:val="0"/>
        <w:adjustRightInd w:val="0"/>
        <w:snapToGrid w:val="0"/>
        <w:spacing w:before="25" w:after="25" w:line="360" w:lineRule="auto"/>
        <w:ind w:right="360"/>
        <w:jc w:val="left"/>
        <w:rPr>
          <w:rFonts w:hint="eastAsia" w:ascii="宋体" w:hAnsi="宋体" w:eastAsia="宋体" w:cs="宋体"/>
          <w:color w:val="auto"/>
          <w:sz w:val="24"/>
          <w:szCs w:val="20"/>
          <w:highlight w:val="none"/>
        </w:rPr>
      </w:pPr>
      <w:r>
        <w:rPr>
          <w:rFonts w:eastAsiaTheme="minorEastAsia"/>
          <w:color w:val="auto"/>
          <w:sz w:val="24"/>
          <w:szCs w:val="20"/>
          <w:highlight w:val="none"/>
        </w:rPr>
        <w:t>日期：____年____月____日</w:t>
      </w:r>
      <w:r>
        <w:rPr>
          <w:rFonts w:hint="eastAsia" w:ascii="宋体" w:hAnsi="宋体" w:eastAsia="宋体" w:cs="宋体"/>
          <w:color w:val="auto"/>
          <w:sz w:val="24"/>
          <w:szCs w:val="20"/>
          <w:highlight w:val="none"/>
        </w:rPr>
        <w:t xml:space="preserve"> </w:t>
      </w:r>
    </w:p>
    <w:p>
      <w:pPr>
        <w:tabs>
          <w:tab w:val="left" w:pos="360"/>
        </w:tabs>
        <w:snapToGrid w:val="0"/>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br w:type="page"/>
      </w:r>
    </w:p>
    <w:p>
      <w:pPr>
        <w:tabs>
          <w:tab w:val="left" w:pos="360"/>
        </w:tabs>
        <w:snapToGrid w:val="0"/>
        <w:spacing w:line="360" w:lineRule="auto"/>
        <w:outlineLvl w:val="1"/>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竞争性磋商文件要求提供或供应商认为应附的其他材料</w:t>
      </w:r>
    </w:p>
    <w:p>
      <w:pPr>
        <w:widowControl/>
        <w:jc w:val="left"/>
        <w:rPr>
          <w:rFonts w:hint="eastAsia" w:ascii="宋体" w:hAnsi="宋体" w:eastAsia="宋体" w:cs="宋体"/>
          <w:b/>
          <w:color w:val="auto"/>
          <w:sz w:val="36"/>
          <w:szCs w:val="36"/>
          <w:highlight w:val="none"/>
        </w:rPr>
      </w:pPr>
    </w:p>
    <w:p>
      <w:pPr>
        <w:widowControl/>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p>
    <w:p>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 xml:space="preserve"> 最后报价一览表（实质性格式，磋商后提交）</w:t>
      </w:r>
    </w:p>
    <w:p>
      <w:pPr>
        <w:widowControl/>
        <w:jc w:val="left"/>
        <w:rPr>
          <w:rFonts w:hint="eastAsia" w:ascii="宋体" w:hAnsi="宋体" w:eastAsia="宋体" w:cs="宋体"/>
          <w:color w:val="auto"/>
          <w:kern w:val="0"/>
          <w:sz w:val="24"/>
          <w:szCs w:val="20"/>
          <w:highlight w:val="none"/>
        </w:rPr>
      </w:pPr>
    </w:p>
    <w:p>
      <w:pPr>
        <w:spacing w:line="360" w:lineRule="exact"/>
        <w:ind w:firstLine="72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最后报价一览表</w:t>
      </w:r>
    </w:p>
    <w:p>
      <w:pPr>
        <w:tabs>
          <w:tab w:val="left" w:pos="1800"/>
          <w:tab w:val="left" w:pos="5580"/>
        </w:tabs>
        <w:spacing w:line="360" w:lineRule="auto"/>
        <w:jc w:val="left"/>
        <w:rPr>
          <w:rFonts w:hint="eastAsia" w:ascii="宋体" w:hAnsi="宋体" w:eastAsia="宋体" w:cs="宋体"/>
          <w:color w:val="auto"/>
          <w:sz w:val="24"/>
          <w:highlight w:val="none"/>
        </w:rPr>
      </w:pPr>
    </w:p>
    <w:p>
      <w:pPr>
        <w:tabs>
          <w:tab w:val="left" w:pos="1800"/>
          <w:tab w:val="left" w:pos="558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：_______________     项目名称：_______________</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包号：</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___________</w:t>
      </w:r>
    </w:p>
    <w:tbl>
      <w:tblPr>
        <w:tblStyle w:val="45"/>
        <w:tblW w:w="47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73"/>
        <w:gridCol w:w="2316"/>
        <w:gridCol w:w="1720"/>
        <w:gridCol w:w="1535"/>
        <w:gridCol w:w="14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960" w:type="pct"/>
            <w:vMerge w:val="restart"/>
            <w:vAlign w:val="center"/>
          </w:tcPr>
          <w:p>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329" w:type="pct"/>
            <w:vMerge w:val="restart"/>
            <w:vAlign w:val="center"/>
          </w:tcPr>
          <w:p>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供应商名称</w:t>
            </w:r>
          </w:p>
        </w:tc>
        <w:tc>
          <w:tcPr>
            <w:tcW w:w="1868" w:type="pct"/>
            <w:gridSpan w:val="2"/>
            <w:vAlign w:val="center"/>
          </w:tcPr>
          <w:p>
            <w:pPr>
              <w:tabs>
                <w:tab w:val="left" w:pos="5580"/>
              </w:tabs>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最后报价</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元</w:t>
            </w:r>
            <w:r>
              <w:rPr>
                <w:rFonts w:hint="eastAsia" w:ascii="宋体" w:hAnsi="宋体" w:cs="宋体"/>
                <w:b/>
                <w:color w:val="auto"/>
                <w:sz w:val="24"/>
                <w:highlight w:val="none"/>
                <w:lang w:eastAsia="zh-CN"/>
              </w:rPr>
              <w:t>）</w:t>
            </w:r>
          </w:p>
        </w:tc>
        <w:tc>
          <w:tcPr>
            <w:tcW w:w="841" w:type="pct"/>
            <w:vMerge w:val="restart"/>
            <w:vAlign w:val="center"/>
          </w:tcPr>
          <w:p>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其他</w:t>
            </w:r>
          </w:p>
          <w:p>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960" w:type="pct"/>
            <w:vMerge w:val="continue"/>
            <w:vAlign w:val="center"/>
          </w:tcPr>
          <w:p>
            <w:pPr>
              <w:tabs>
                <w:tab w:val="left" w:pos="5580"/>
              </w:tabs>
              <w:jc w:val="center"/>
              <w:rPr>
                <w:rFonts w:hint="eastAsia" w:ascii="宋体" w:hAnsi="宋体" w:eastAsia="宋体" w:cs="宋体"/>
                <w:color w:val="auto"/>
                <w:sz w:val="24"/>
                <w:highlight w:val="none"/>
              </w:rPr>
            </w:pPr>
          </w:p>
        </w:tc>
        <w:tc>
          <w:tcPr>
            <w:tcW w:w="1329" w:type="pct"/>
            <w:vMerge w:val="continue"/>
            <w:vAlign w:val="center"/>
          </w:tcPr>
          <w:p>
            <w:pPr>
              <w:tabs>
                <w:tab w:val="left" w:pos="5580"/>
              </w:tabs>
              <w:jc w:val="center"/>
              <w:rPr>
                <w:rFonts w:hint="eastAsia" w:ascii="宋体" w:hAnsi="宋体" w:eastAsia="宋体" w:cs="宋体"/>
                <w:color w:val="auto"/>
                <w:sz w:val="24"/>
                <w:highlight w:val="none"/>
              </w:rPr>
            </w:pPr>
          </w:p>
        </w:tc>
        <w:tc>
          <w:tcPr>
            <w:tcW w:w="987" w:type="pct"/>
            <w:vAlign w:val="center"/>
          </w:tcPr>
          <w:p>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大写</w:t>
            </w:r>
          </w:p>
        </w:tc>
        <w:tc>
          <w:tcPr>
            <w:tcW w:w="880" w:type="pct"/>
            <w:vAlign w:val="center"/>
          </w:tcPr>
          <w:p>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小写</w:t>
            </w:r>
          </w:p>
        </w:tc>
        <w:tc>
          <w:tcPr>
            <w:tcW w:w="841" w:type="pct"/>
            <w:vMerge w:val="continue"/>
            <w:vAlign w:val="center"/>
          </w:tcPr>
          <w:p>
            <w:pPr>
              <w:tabs>
                <w:tab w:val="left" w:pos="5580"/>
              </w:tabs>
              <w:ind w:firstLine="482"/>
              <w:jc w:val="center"/>
              <w:rPr>
                <w:rFonts w:hint="eastAsia" w:ascii="宋体" w:hAnsi="宋体" w:eastAsia="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960" w:type="pct"/>
            <w:vAlign w:val="center"/>
          </w:tcPr>
          <w:p>
            <w:pPr>
              <w:tabs>
                <w:tab w:val="left" w:pos="5580"/>
              </w:tabs>
              <w:jc w:val="center"/>
              <w:rPr>
                <w:rFonts w:hint="eastAsia" w:ascii="宋体" w:hAnsi="宋体" w:eastAsia="宋体" w:cs="宋体"/>
                <w:color w:val="auto"/>
                <w:sz w:val="24"/>
                <w:highlight w:val="none"/>
              </w:rPr>
            </w:pPr>
          </w:p>
        </w:tc>
        <w:tc>
          <w:tcPr>
            <w:tcW w:w="1329" w:type="pct"/>
            <w:vAlign w:val="center"/>
          </w:tcPr>
          <w:p>
            <w:pPr>
              <w:tabs>
                <w:tab w:val="left" w:pos="5580"/>
              </w:tabs>
              <w:jc w:val="center"/>
              <w:rPr>
                <w:rFonts w:hint="eastAsia" w:ascii="宋体" w:hAnsi="宋体" w:eastAsia="宋体" w:cs="宋体"/>
                <w:color w:val="auto"/>
                <w:sz w:val="24"/>
                <w:highlight w:val="none"/>
              </w:rPr>
            </w:pPr>
          </w:p>
        </w:tc>
        <w:tc>
          <w:tcPr>
            <w:tcW w:w="987" w:type="pct"/>
            <w:vAlign w:val="center"/>
          </w:tcPr>
          <w:p>
            <w:pPr>
              <w:tabs>
                <w:tab w:val="left" w:pos="5580"/>
              </w:tabs>
              <w:jc w:val="center"/>
              <w:rPr>
                <w:rFonts w:hint="eastAsia" w:ascii="宋体" w:hAnsi="宋体" w:eastAsia="宋体" w:cs="宋体"/>
                <w:color w:val="auto"/>
                <w:sz w:val="24"/>
                <w:highlight w:val="none"/>
              </w:rPr>
            </w:pPr>
          </w:p>
        </w:tc>
        <w:tc>
          <w:tcPr>
            <w:tcW w:w="880" w:type="pct"/>
            <w:vAlign w:val="center"/>
          </w:tcPr>
          <w:p>
            <w:pPr>
              <w:tabs>
                <w:tab w:val="left" w:pos="5580"/>
              </w:tabs>
              <w:jc w:val="center"/>
              <w:rPr>
                <w:rFonts w:hint="eastAsia" w:ascii="宋体" w:hAnsi="宋体" w:eastAsia="宋体" w:cs="宋体"/>
                <w:color w:val="auto"/>
                <w:sz w:val="24"/>
                <w:highlight w:val="none"/>
              </w:rPr>
            </w:pPr>
          </w:p>
        </w:tc>
        <w:tc>
          <w:tcPr>
            <w:tcW w:w="841" w:type="pct"/>
            <w:vAlign w:val="center"/>
          </w:tcPr>
          <w:p>
            <w:pPr>
              <w:tabs>
                <w:tab w:val="left" w:pos="5580"/>
              </w:tabs>
              <w:jc w:val="center"/>
              <w:rPr>
                <w:rFonts w:hint="eastAsia" w:ascii="宋体" w:hAnsi="宋体" w:eastAsia="宋体" w:cs="宋体"/>
                <w:color w:val="auto"/>
                <w:sz w:val="24"/>
                <w:highlight w:val="none"/>
              </w:rPr>
            </w:pPr>
          </w:p>
        </w:tc>
      </w:tr>
    </w:tbl>
    <w:p>
      <w:pPr>
        <w:autoSpaceDE w:val="0"/>
        <w:autoSpaceDN w:val="0"/>
        <w:adjustRightInd w:val="0"/>
        <w:jc w:val="left"/>
        <w:rPr>
          <w:rFonts w:hint="eastAsia" w:ascii="宋体" w:hAnsi="宋体" w:eastAsia="宋体" w:cs="宋体"/>
          <w:color w:val="auto"/>
          <w:kern w:val="0"/>
          <w:sz w:val="24"/>
          <w:highlight w:val="none"/>
        </w:rPr>
      </w:pPr>
    </w:p>
    <w:p>
      <w:pPr>
        <w:autoSpaceDE w:val="0"/>
        <w:autoSpaceDN w:val="0"/>
        <w:adjustRightInd w:val="0"/>
        <w:jc w:val="left"/>
        <w:rPr>
          <w:rFonts w:eastAsiaTheme="minorEastAsia"/>
          <w:color w:val="auto"/>
          <w:sz w:val="24"/>
          <w:szCs w:val="20"/>
          <w:highlight w:val="none"/>
        </w:rPr>
      </w:pPr>
      <w:r>
        <w:rPr>
          <w:rFonts w:eastAsiaTheme="minorEastAsia"/>
          <w:color w:val="auto"/>
          <w:kern w:val="0"/>
          <w:sz w:val="24"/>
          <w:highlight w:val="none"/>
        </w:rPr>
        <w:t>注：1</w:t>
      </w:r>
      <w:r>
        <w:rPr>
          <w:rFonts w:eastAsiaTheme="minorEastAsia"/>
          <w:color w:val="auto"/>
          <w:sz w:val="24"/>
          <w:szCs w:val="20"/>
          <w:highlight w:val="none"/>
        </w:rPr>
        <w:t>.此表中，每包的</w:t>
      </w:r>
      <w:r>
        <w:rPr>
          <w:color w:val="auto"/>
          <w:sz w:val="24"/>
          <w:szCs w:val="20"/>
          <w:highlight w:val="none"/>
        </w:rPr>
        <w:t>最后</w:t>
      </w:r>
      <w:r>
        <w:rPr>
          <w:rFonts w:eastAsiaTheme="minorEastAsia"/>
          <w:color w:val="auto"/>
          <w:sz w:val="24"/>
          <w:szCs w:val="20"/>
          <w:highlight w:val="none"/>
        </w:rPr>
        <w:t>报价应和《最后分项报价表》中的总价相一致。</w:t>
      </w:r>
    </w:p>
    <w:p>
      <w:pPr>
        <w:tabs>
          <w:tab w:val="left" w:pos="5580"/>
        </w:tabs>
        <w:ind w:firstLine="480" w:firstLineChars="200"/>
        <w:rPr>
          <w:rFonts w:eastAsiaTheme="minorEastAsia"/>
          <w:color w:val="auto"/>
          <w:sz w:val="24"/>
          <w:szCs w:val="20"/>
          <w:highlight w:val="none"/>
        </w:rPr>
      </w:pPr>
      <w:r>
        <w:rPr>
          <w:rFonts w:eastAsiaTheme="minorEastAsia"/>
          <w:color w:val="auto"/>
          <w:sz w:val="24"/>
          <w:szCs w:val="20"/>
          <w:highlight w:val="none"/>
        </w:rPr>
        <w:t>2.本表必须按包分别填写。</w:t>
      </w:r>
    </w:p>
    <w:p>
      <w:pPr>
        <w:pStyle w:val="187"/>
        <w:ind w:left="642" w:leftChars="227" w:hanging="165" w:hangingChars="69"/>
        <w:rPr>
          <w:rFonts w:ascii="Times New Roman" w:hAnsi="Times New Roman"/>
          <w:color w:val="auto"/>
          <w:sz w:val="24"/>
          <w:szCs w:val="24"/>
          <w:highlight w:val="none"/>
        </w:rPr>
      </w:pPr>
      <w:r>
        <w:rPr>
          <w:rFonts w:ascii="Times New Roman" w:hAnsi="Times New Roman"/>
          <w:color w:val="auto"/>
          <w:sz w:val="24"/>
          <w:szCs w:val="24"/>
          <w:highlight w:val="none"/>
        </w:rPr>
        <w:t>3.</w:t>
      </w:r>
      <w:bookmarkStart w:id="766" w:name="_Hlk137145809"/>
      <w:r>
        <w:rPr>
          <w:rFonts w:ascii="Times New Roman" w:hAnsi="Times New Roman"/>
          <w:color w:val="auto"/>
          <w:sz w:val="24"/>
          <w:szCs w:val="24"/>
          <w:highlight w:val="none"/>
        </w:rPr>
        <w:t>此表无需在响应文件中提交，磋商后供应商按磋商小组要求提交。</w:t>
      </w:r>
      <w:bookmarkEnd w:id="766"/>
    </w:p>
    <w:p>
      <w:pPr>
        <w:tabs>
          <w:tab w:val="left" w:pos="5580"/>
        </w:tabs>
        <w:ind w:firstLine="480" w:firstLineChars="200"/>
        <w:rPr>
          <w:rFonts w:eastAsiaTheme="minorEastAsia"/>
          <w:color w:val="auto"/>
          <w:sz w:val="24"/>
          <w:szCs w:val="20"/>
          <w:highlight w:val="none"/>
        </w:rPr>
      </w:pPr>
    </w:p>
    <w:p>
      <w:pPr>
        <w:autoSpaceDE w:val="0"/>
        <w:autoSpaceDN w:val="0"/>
        <w:adjustRightInd w:val="0"/>
        <w:snapToGrid w:val="0"/>
        <w:spacing w:before="25" w:after="25" w:line="360" w:lineRule="auto"/>
        <w:rPr>
          <w:rFonts w:eastAsiaTheme="minorEastAsia"/>
          <w:color w:val="auto"/>
          <w:sz w:val="24"/>
          <w:highlight w:val="none"/>
          <w:lang w:val="zh-CN"/>
        </w:rPr>
      </w:pP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highlight w:val="none"/>
          <w:lang w:val="zh-CN"/>
        </w:rPr>
        <w:t xml:space="preserve">      </w:t>
      </w: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highlight w:val="none"/>
        </w:rPr>
        <w:t>供应商授权代表签字（或加盖供应商公章）</w:t>
      </w:r>
      <w:r>
        <w:rPr>
          <w:rFonts w:eastAsiaTheme="minorEastAsia"/>
          <w:color w:val="auto"/>
          <w:sz w:val="24"/>
          <w:highlight w:val="none"/>
          <w:lang w:val="zh-CN"/>
        </w:rPr>
        <w:t xml:space="preserve">：___________ </w:t>
      </w:r>
    </w:p>
    <w:p>
      <w:pPr>
        <w:widowControl/>
        <w:jc w:val="left"/>
        <w:rPr>
          <w:rFonts w:hint="eastAsia" w:ascii="宋体" w:hAnsi="宋体" w:eastAsia="宋体" w:cs="宋体"/>
          <w:color w:val="auto"/>
          <w:sz w:val="24"/>
          <w:szCs w:val="20"/>
          <w:highlight w:val="none"/>
        </w:rPr>
      </w:pPr>
      <w:r>
        <w:rPr>
          <w:rFonts w:eastAsiaTheme="minorEastAsia"/>
          <w:color w:val="auto"/>
          <w:sz w:val="24"/>
          <w:szCs w:val="20"/>
          <w:highlight w:val="none"/>
        </w:rPr>
        <w:t>日期：____年____月____日</w:t>
      </w:r>
      <w:r>
        <w:rPr>
          <w:rFonts w:hint="eastAsia" w:ascii="宋体" w:hAnsi="宋体" w:eastAsia="宋体" w:cs="宋体"/>
          <w:color w:val="auto"/>
          <w:sz w:val="24"/>
          <w:szCs w:val="20"/>
          <w:highlight w:val="none"/>
        </w:rPr>
        <w:t xml:space="preserve">   </w:t>
      </w:r>
    </w:p>
    <w:p>
      <w:pPr>
        <w:rPr>
          <w:rFonts w:hint="eastAsia" w:ascii="宋体" w:hAnsi="宋体" w:eastAsia="宋体" w:cs="宋体"/>
          <w:color w:val="auto"/>
          <w:sz w:val="24"/>
          <w:szCs w:val="20"/>
          <w:highlight w:val="none"/>
        </w:rPr>
        <w:sectPr>
          <w:pgSz w:w="11907" w:h="16840"/>
          <w:pgMar w:top="1417" w:right="1134" w:bottom="1417" w:left="1701" w:header="851" w:footer="850" w:gutter="0"/>
          <w:pgNumType w:fmt="decimal"/>
          <w:cols w:space="0" w:num="1"/>
          <w:rtlGutter w:val="0"/>
          <w:docGrid w:linePitch="462" w:charSpace="0"/>
        </w:sectPr>
      </w:pPr>
    </w:p>
    <w:p>
      <w:pPr>
        <w:keepNext w:val="0"/>
        <w:keepLines w:val="0"/>
        <w:widowControl/>
        <w:suppressLineNumbers w:val="0"/>
        <w:jc w:val="left"/>
        <w:rPr>
          <w:rFonts w:eastAsiaTheme="minorEastAsia"/>
          <w:color w:val="auto"/>
          <w:sz w:val="24"/>
          <w:highlight w:val="none"/>
        </w:rPr>
      </w:pPr>
      <w:r>
        <w:rPr>
          <w:rFonts w:hint="eastAsia" w:eastAsiaTheme="minorEastAsia"/>
          <w:color w:val="auto"/>
          <w:sz w:val="24"/>
          <w:highlight w:val="none"/>
          <w:lang w:val="en-US" w:eastAsia="zh-CN"/>
        </w:rPr>
        <w:t>14</w:t>
      </w:r>
      <w:r>
        <w:rPr>
          <w:rFonts w:eastAsiaTheme="minorEastAsia"/>
          <w:color w:val="auto"/>
          <w:sz w:val="24"/>
          <w:highlight w:val="none"/>
        </w:rPr>
        <w:t>最后分项报价表（实质性格式</w:t>
      </w:r>
      <w:r>
        <w:rPr>
          <w:rFonts w:hint="eastAsia" w:eastAsiaTheme="minorEastAsia"/>
          <w:color w:val="auto"/>
          <w:sz w:val="24"/>
          <w:highlight w:val="none"/>
        </w:rPr>
        <w:t>，磋商后提交</w:t>
      </w:r>
      <w:r>
        <w:rPr>
          <w:rFonts w:eastAsiaTheme="minorEastAsia"/>
          <w:color w:val="auto"/>
          <w:sz w:val="24"/>
          <w:highlight w:val="none"/>
        </w:rPr>
        <w:t>）</w:t>
      </w:r>
    </w:p>
    <w:p>
      <w:pPr>
        <w:keepNext w:val="0"/>
        <w:keepLines w:val="0"/>
        <w:widowControl/>
        <w:suppressLineNumbers w:val="0"/>
        <w:jc w:val="center"/>
        <w:rPr>
          <w:rFonts w:hint="eastAsia" w:eastAsiaTheme="minorEastAsia"/>
          <w:color w:val="auto"/>
          <w:sz w:val="24"/>
          <w:highlight w:val="none"/>
          <w:lang w:val="en-US" w:eastAsia="zh-CN"/>
        </w:rPr>
      </w:pPr>
    </w:p>
    <w:p>
      <w:pPr>
        <w:tabs>
          <w:tab w:val="left" w:pos="360"/>
        </w:tabs>
        <w:snapToGrid w:val="0"/>
        <w:spacing w:line="360" w:lineRule="auto"/>
        <w:outlineLvl w:val="1"/>
        <w:rPr>
          <w:rFonts w:hint="eastAsia" w:ascii="宋体" w:hAnsi="宋体" w:eastAsia="宋体" w:cs="宋体"/>
          <w:color w:val="auto"/>
          <w:sz w:val="24"/>
          <w:highlight w:val="none"/>
        </w:rPr>
      </w:pPr>
    </w:p>
    <w:p>
      <w:pPr>
        <w:spacing w:line="36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分项报价表</w:t>
      </w:r>
    </w:p>
    <w:p>
      <w:pPr>
        <w:pStyle w:val="3"/>
        <w:rPr>
          <w:rFonts w:hint="eastAsia"/>
          <w:color w:val="auto"/>
          <w:highlight w:val="none"/>
        </w:rPr>
      </w:pPr>
    </w:p>
    <w:p>
      <w:pPr>
        <w:tabs>
          <w:tab w:val="left" w:pos="1800"/>
          <w:tab w:val="left" w:pos="5580"/>
        </w:tabs>
        <w:rPr>
          <w:rFonts w:eastAsiaTheme="minorEastAsia"/>
          <w:color w:val="auto"/>
          <w:sz w:val="24"/>
          <w:highlight w:val="none"/>
        </w:rPr>
      </w:pPr>
      <w:r>
        <w:rPr>
          <w:rFonts w:eastAsiaTheme="minorEastAsia"/>
          <w:color w:val="auto"/>
          <w:sz w:val="24"/>
          <w:highlight w:val="none"/>
        </w:rPr>
        <w:t>项目编号</w:t>
      </w:r>
      <w:r>
        <w:rPr>
          <w:rFonts w:hint="eastAsia" w:eastAsiaTheme="minorEastAsia"/>
          <w:color w:val="auto"/>
          <w:sz w:val="24"/>
          <w:highlight w:val="none"/>
          <w:lang w:eastAsia="zh-CN"/>
        </w:rPr>
        <w:t>：</w:t>
      </w:r>
      <w:r>
        <w:rPr>
          <w:rFonts w:eastAsiaTheme="minorEastAsia"/>
          <w:color w:val="auto"/>
          <w:sz w:val="24"/>
          <w:highlight w:val="none"/>
        </w:rPr>
        <w:t>_________</w:t>
      </w:r>
      <w:r>
        <w:rPr>
          <w:rFonts w:hint="eastAsia" w:eastAsiaTheme="minorEastAsia"/>
          <w:color w:val="auto"/>
          <w:sz w:val="24"/>
          <w:highlight w:val="none"/>
          <w:lang w:val="en-US" w:eastAsia="zh-CN"/>
        </w:rPr>
        <w:t xml:space="preserve"> </w:t>
      </w:r>
      <w:r>
        <w:rPr>
          <w:rFonts w:eastAsiaTheme="minorEastAsia"/>
          <w:color w:val="auto"/>
          <w:sz w:val="24"/>
          <w:highlight w:val="none"/>
        </w:rPr>
        <w:t>包号：_________ 项目名称：_________</w:t>
      </w:r>
    </w:p>
    <w:tbl>
      <w:tblPr>
        <w:tblStyle w:val="45"/>
        <w:tblpPr w:leftFromText="180" w:rightFromText="180" w:vertAnchor="text" w:horzAnchor="page" w:tblpX="1569" w:tblpY="945"/>
        <w:tblOverlap w:val="never"/>
        <w:tblW w:w="13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79"/>
        <w:gridCol w:w="1080"/>
        <w:gridCol w:w="6029"/>
        <w:gridCol w:w="1215"/>
        <w:gridCol w:w="1215"/>
        <w:gridCol w:w="1215"/>
        <w:gridCol w:w="12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名称</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清单内容</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工程量</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全费用单价（元）</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全房拆除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1.全房整体拆除(砖混结构，框架结构);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2.包含屋内搬运零星杂物等；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3.包含室内地坪以上全部建筑物拆除(屋面、梁、板、柱、门窗、地面等)毗邻建筑物的保护，现场监管，拆下材料码放整齐，拆除后渣土清理平整、洒水、苦盖等；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4.包含基础拆除，回填后的平整；</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全房拆除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1.全房整体拆除(钢结构);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2.包含屋内搬运零星杂物等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3.包含室内地坪以上全部建筑物拆除(屋面、梁、板、柱、门窗、地面等)毗邻建筑物的保护，现场监管，拆下材料码放整齐，拆除后渣土清理平整、洒水、苦盖等；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4.包含基础拆除，回填后的平整；</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简棚拆除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1.彩钢、石棉瓦等无围护结构简棚拆除;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2.包含棚内搬运零星杂物等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3.包含棚内地坪以上全部建筑物拆除(顶棚、梁、板、柱、门窗、地面等)毗邻建筑物的保护，现场监管，拆下材料码放整齐，拆除后渣土清理平整、洒水、苦盖等；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4.包含基础拆除，回填后的平整；</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1.拆除无筋混凝土路面；</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2.风镐拆除；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3.拆除路面厚度：15cm以内;</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4.风镐拆除面层及基层；</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1.拆除无筋混凝土路面</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2.风镐拆除；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3.拆除路面厚度：15cm-25cm;</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4.风镐拆除面层及基层；</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1.拆除无筋混凝土路面</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2.风镐拆除；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3.拆除路面厚度：25cm以上综合考虑;</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4.风镐拆除面层及基层；</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1.机械拆除旧路结构；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2.拆除厚度：15cm以内;</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3.包含毗邻建筑物的保护，现场监管，拆除后渣土清理平整、洒水、苫盖等；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1.机械拆除旧路结构；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2.拆除厚度：15cm-25cm;</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1.机械拆除旧路结构；</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2.拆除厚度：25cm以上综合考虑;</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拆除人行道</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1.拆除步道砖；</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2.人工拆除；</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3.包含毗邻建筑物的保护，现场监管，拆除后渣土清理平整、洒水、苦盖等；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砖砌体拆除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1.整砖墙拆除(包含围墙);</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2.包含毗邻建筑物的保护，现场监管，拆除后渣土清理平整、洒水、苫盖等；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渣土外运</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 包含装车运输；</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回填方</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1.包含回填、夯实；</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2.包含外购土；</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3.按照土地性质达到相应验收标准并验收合格。</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钢筋混凝土拆除</w:t>
            </w:r>
          </w:p>
        </w:tc>
        <w:tc>
          <w:tcPr>
            <w:tcW w:w="6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1.拆除零星钢筋混凝土构件(独立基础等 )</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2.包含毗邻建筑物的保护，现场监管，拆除后渣土清理平整、洒水、苫盖等；</w:t>
            </w:r>
          </w:p>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3.按照土地性质达到相应验收标准并验收合格；</w:t>
            </w:r>
          </w:p>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4.包含渣土外运至正规消纳场所，不含消纳。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61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拆除部分小计（元）</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4"/>
                <w:szCs w:val="24"/>
                <w:highlight w:val="none"/>
                <w:u w:val="none"/>
              </w:rPr>
            </w:pPr>
          </w:p>
        </w:tc>
      </w:tr>
    </w:tbl>
    <w:p>
      <w:pPr>
        <w:pStyle w:val="3"/>
        <w:keepNext/>
        <w:keepLines/>
        <w:pageBreakBefore w:val="0"/>
        <w:widowControl w:val="0"/>
        <w:kinsoku/>
        <w:wordWrap/>
        <w:overflowPunct/>
        <w:topLinePunct w:val="0"/>
        <w:autoSpaceDE w:val="0"/>
        <w:autoSpaceDN w:val="0"/>
        <w:bidi w:val="0"/>
        <w:adjustRightInd w:val="0"/>
        <w:snapToGrid/>
        <w:spacing w:before="0" w:line="240" w:lineRule="auto"/>
        <w:jc w:val="both"/>
        <w:textAlignment w:val="auto"/>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tbl>
      <w:tblPr>
        <w:tblStyle w:val="45"/>
        <w:tblW w:w="115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19"/>
        <w:gridCol w:w="2836"/>
        <w:gridCol w:w="2006"/>
        <w:gridCol w:w="1538"/>
        <w:gridCol w:w="1685"/>
        <w:gridCol w:w="22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工程量</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全费用单价（元）</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小工</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元/工日</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电焊工</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元/工日</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水暖工</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元/工日</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挖掘机(320型)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挖掘机(240型)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挖掘机(65型)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挖掘机破碎(240</w:t>
            </w:r>
          </w:p>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型 )</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十轮自卸车</w:t>
            </w:r>
          </w:p>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(5.6m-5.8m)</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洒水车3t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包含司机、油、水等费用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洒水车10t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包含司机、油、水等费用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洒水车15t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包含司机、油、水等费用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装载机50型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装载机30型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推土机(16型)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货车4.5米</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货车6.5米</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起重机80t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起重机25t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起重机8t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9"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拖车12米</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元/台班</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包含司机、</w:t>
            </w:r>
          </w:p>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吸污车8t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元/车</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包含司机、油、污水处理等费用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吸污车10t</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元/车</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包含司机、油、污水处理等费用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69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零星用工小计（元）</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69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以上两项</w:t>
            </w:r>
            <w:r>
              <w:rPr>
                <w:rFonts w:hint="eastAsia" w:ascii="宋体" w:hAnsi="宋体" w:eastAsia="宋体" w:cs="宋体"/>
                <w:i w:val="0"/>
                <w:iCs w:val="0"/>
                <w:color w:val="auto"/>
                <w:sz w:val="24"/>
                <w:szCs w:val="24"/>
                <w:highlight w:val="none"/>
                <w:u w:val="none"/>
              </w:rPr>
              <w:t>合计（元）</w:t>
            </w:r>
          </w:p>
        </w:tc>
        <w:tc>
          <w:tcPr>
            <w:tcW w:w="1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bl>
    <w:p>
      <w:pPr>
        <w:rPr>
          <w:rFonts w:hint="eastAsia"/>
          <w:color w:val="auto"/>
          <w:highlight w:val="none"/>
          <w:lang w:val="en-US" w:eastAsia="zh-CN"/>
        </w:rPr>
      </w:pPr>
    </w:p>
    <w:p>
      <w:pPr>
        <w:tabs>
          <w:tab w:val="left" w:pos="1800"/>
          <w:tab w:val="left" w:pos="5580"/>
        </w:tabs>
        <w:jc w:val="left"/>
        <w:rPr>
          <w:rFonts w:eastAsiaTheme="minorEastAsia"/>
          <w:color w:val="auto"/>
          <w:sz w:val="24"/>
          <w:highlight w:val="none"/>
        </w:rPr>
      </w:pPr>
      <w:r>
        <w:rPr>
          <w:rFonts w:eastAsiaTheme="minorEastAsia"/>
          <w:color w:val="auto"/>
          <w:sz w:val="24"/>
          <w:highlight w:val="none"/>
        </w:rPr>
        <w:t>注：1.本表应按包分别填写。</w:t>
      </w:r>
    </w:p>
    <w:p>
      <w:pPr>
        <w:tabs>
          <w:tab w:val="left" w:pos="1800"/>
          <w:tab w:val="left" w:pos="5580"/>
        </w:tabs>
        <w:ind w:firstLine="480" w:firstLineChars="200"/>
        <w:jc w:val="left"/>
        <w:rPr>
          <w:rFonts w:hint="eastAsia" w:eastAsiaTheme="minorEastAsia"/>
          <w:color w:val="auto"/>
          <w:sz w:val="24"/>
          <w:highlight w:val="none"/>
        </w:rPr>
      </w:pPr>
      <w:r>
        <w:rPr>
          <w:rFonts w:eastAsiaTheme="minorEastAsia"/>
          <w:color w:val="auto"/>
          <w:sz w:val="24"/>
          <w:highlight w:val="none"/>
        </w:rPr>
        <w:t>2.</w:t>
      </w:r>
      <w:r>
        <w:rPr>
          <w:rFonts w:hint="eastAsia" w:eastAsiaTheme="minorEastAsia"/>
          <w:color w:val="auto"/>
          <w:sz w:val="24"/>
          <w:highlight w:val="none"/>
        </w:rPr>
        <w:t>拆除部分：本工程单价为全费用单价(包含但不限于办理相关正规手续的费用、人工费、材料费、机械费、措施费、管理费、安全文明施工费（达标）、风险费、利润、规费及税金等);具体工程量以实际发生为准。如遇单独发生人工及机械台班或备勤时，执行零星用工。</w:t>
      </w:r>
    </w:p>
    <w:p>
      <w:pPr>
        <w:tabs>
          <w:tab w:val="left" w:pos="1800"/>
          <w:tab w:val="left" w:pos="5580"/>
        </w:tabs>
        <w:ind w:firstLine="480" w:firstLineChars="200"/>
        <w:jc w:val="left"/>
        <w:rPr>
          <w:rFonts w:eastAsiaTheme="minorEastAsia"/>
          <w:color w:val="auto"/>
          <w:sz w:val="24"/>
          <w:highlight w:val="none"/>
        </w:rPr>
      </w:pPr>
      <w:r>
        <w:rPr>
          <w:rFonts w:hint="eastAsia" w:eastAsiaTheme="minorEastAsia"/>
          <w:color w:val="auto"/>
          <w:sz w:val="24"/>
          <w:highlight w:val="none"/>
        </w:rPr>
        <w:t>零星用工部分：以上零工及机械台班为除拆除工程及屋内搬运零星杂物以外单独发生时记取，价格为全费用单价(包含措施费、管理费、安全文明施工费(达标)、风险费、利润、规费及税金等),不再记取其它费用。</w:t>
      </w:r>
      <w:r>
        <w:rPr>
          <w:rFonts w:eastAsiaTheme="minorEastAsia"/>
          <w:color w:val="auto"/>
          <w:sz w:val="24"/>
          <w:highlight w:val="none"/>
        </w:rPr>
        <w:t>。</w:t>
      </w:r>
    </w:p>
    <w:p>
      <w:pPr>
        <w:tabs>
          <w:tab w:val="left" w:pos="1800"/>
          <w:tab w:val="left" w:pos="5580"/>
        </w:tabs>
        <w:ind w:firstLine="480" w:firstLineChars="200"/>
        <w:jc w:val="left"/>
        <w:rPr>
          <w:color w:val="auto"/>
          <w:sz w:val="24"/>
          <w:highlight w:val="none"/>
        </w:rPr>
      </w:pPr>
      <w:r>
        <w:rPr>
          <w:color w:val="auto"/>
          <w:sz w:val="24"/>
          <w:highlight w:val="none"/>
        </w:rPr>
        <w:t>3.此表无需在响应文件中提交，磋商后供应商按磋商小组要求提交。</w:t>
      </w:r>
    </w:p>
    <w:p>
      <w:pPr>
        <w:autoSpaceDE w:val="0"/>
        <w:autoSpaceDN w:val="0"/>
        <w:adjustRightInd w:val="0"/>
        <w:snapToGrid w:val="0"/>
        <w:spacing w:before="25" w:after="25" w:line="360" w:lineRule="auto"/>
        <w:rPr>
          <w:rFonts w:eastAsiaTheme="minorEastAsia"/>
          <w:color w:val="auto"/>
          <w:sz w:val="24"/>
          <w:highlight w:val="none"/>
          <w:lang w:val="zh-CN"/>
        </w:rPr>
      </w:pPr>
      <w:bookmarkStart w:id="767" w:name="_GoBack"/>
      <w:bookmarkEnd w:id="767"/>
      <w:r>
        <w:rPr>
          <w:rFonts w:eastAsiaTheme="minorEastAsia"/>
          <w:color w:val="auto"/>
          <w:kern w:val="0"/>
          <w:sz w:val="24"/>
          <w:highlight w:val="none"/>
        </w:rPr>
        <w:t>供应商授权代表签字（或加盖供应商公章）</w:t>
      </w:r>
      <w:r>
        <w:rPr>
          <w:rFonts w:eastAsiaTheme="minorEastAsia"/>
          <w:color w:val="auto"/>
          <w:sz w:val="24"/>
          <w:highlight w:val="none"/>
          <w:lang w:val="zh-CN"/>
        </w:rPr>
        <w:t xml:space="preserve">：____________ </w:t>
      </w:r>
    </w:p>
    <w:p>
      <w:pPr>
        <w:keepNext w:val="0"/>
        <w:keepLines w:val="0"/>
        <w:widowControl/>
        <w:suppressLineNumbers w:val="0"/>
        <w:jc w:val="both"/>
        <w:rPr>
          <w:rFonts w:hint="eastAsia"/>
          <w:color w:val="auto"/>
          <w:sz w:val="24"/>
          <w:szCs w:val="24"/>
          <w:highlight w:val="none"/>
        </w:rPr>
      </w:pPr>
      <w:r>
        <w:rPr>
          <w:rFonts w:eastAsiaTheme="minorEastAsia"/>
          <w:color w:val="auto"/>
          <w:sz w:val="24"/>
          <w:szCs w:val="20"/>
          <w:highlight w:val="none"/>
        </w:rPr>
        <w:t xml:space="preserve">日期：____年____月____日 </w:t>
      </w:r>
    </w:p>
    <w:sectPr>
      <w:pgSz w:w="16840" w:h="11907" w:orient="landscape"/>
      <w:pgMar w:top="1701" w:right="1417" w:bottom="1134" w:left="1417" w:header="851" w:footer="850" w:gutter="0"/>
      <w:pgNumType w:fmt="decimal"/>
      <w:cols w:space="0" w:num="1"/>
      <w:rtlGutter w:val="0"/>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00" w:usb3="00000000" w:csb0="003E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Nirmala UI">
    <w:panose1 w:val="020B0502040204020203"/>
    <w:charset w:val="00"/>
    <w:family w:val="swiss"/>
    <w:pitch w:val="default"/>
    <w:sig w:usb0="80FF8023" w:usb1="0200004A" w:usb2="00000200" w:usb3="00040000" w:csb0="0000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0"/>
      </w:rPr>
    </w:pPr>
    <w:r>
      <w:fldChar w:fldCharType="begin"/>
    </w:r>
    <w:r>
      <w:rPr>
        <w:rStyle w:val="50"/>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99740931"/>
                            <w:docPartObj>
                              <w:docPartGallery w:val="autotext"/>
                            </w:docPartObj>
                          </w:sdtPr>
                          <w:sdtEndPr>
                            <w:rPr>
                              <w:rFonts w:ascii="Times New Roman"/>
                            </w:rPr>
                          </w:sdtEndPr>
                          <w:sdtContent>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p>
                          <w:pPr>
                            <w:pStyle w:val="2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sdt>
                    <w:sdtPr>
                      <w:id w:val="1199740931"/>
                      <w:docPartObj>
                        <w:docPartGallery w:val="autotext"/>
                      </w:docPartObj>
                    </w:sdtPr>
                    <w:sdtEndPr>
                      <w:rPr>
                        <w:rFonts w:ascii="Times New Roman"/>
                      </w:rPr>
                    </w:sdtEndPr>
                    <w:sdtContent>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p>
                    <w:pPr>
                      <w:pStyle w:val="29"/>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38440998"/>
                            <w:docPartObj>
                              <w:docPartGallery w:val="autotext"/>
                            </w:docPartObj>
                          </w:sdtPr>
                          <w:sdtContent>
                            <w:p>
                              <w:pPr>
                                <w:pStyle w:val="29"/>
                                <w:jc w:val="center"/>
                              </w:pPr>
                              <w:r>
                                <w:fldChar w:fldCharType="begin"/>
                              </w:r>
                              <w:r>
                                <w:instrText xml:space="preserve">PAGE   \* MERGEFORMAT</w:instrText>
                              </w:r>
                              <w:r>
                                <w:fldChar w:fldCharType="separate"/>
                              </w:r>
                              <w:r>
                                <w:rPr>
                                  <w:lang w:val="zh-CN"/>
                                </w:rPr>
                                <w:t>1</w:t>
                              </w:r>
                              <w:r>
                                <w:fldChar w:fldCharType="end"/>
                              </w:r>
                            </w:p>
                          </w:sdtContent>
                        </w:sdt>
                        <w:p>
                          <w:pPr>
                            <w:pStyle w:val="2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sdt>
                    <w:sdtPr>
                      <w:id w:val="738440998"/>
                      <w:docPartObj>
                        <w:docPartGallery w:val="autotext"/>
                      </w:docPartObj>
                    </w:sdtPr>
                    <w:sdtContent>
                      <w:p>
                        <w:pPr>
                          <w:pStyle w:val="29"/>
                          <w:jc w:val="center"/>
                        </w:pPr>
                        <w:r>
                          <w:fldChar w:fldCharType="begin"/>
                        </w:r>
                        <w:r>
                          <w:instrText xml:space="preserve">PAGE   \* MERGEFORMAT</w:instrText>
                        </w:r>
                        <w:r>
                          <w:fldChar w:fldCharType="separate"/>
                        </w:r>
                        <w:r>
                          <w:rPr>
                            <w:lang w:val="zh-CN"/>
                          </w:rPr>
                          <w:t>1</w:t>
                        </w:r>
                        <w:r>
                          <w:fldChar w:fldCharType="end"/>
                        </w:r>
                      </w:p>
                    </w:sdtContent>
                  </w:sdt>
                  <w:p>
                    <w:pPr>
                      <w:pStyle w:val="29"/>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jc w:val="center"/>
                          </w:pPr>
                          <w:r>
                            <w:fldChar w:fldCharType="begin"/>
                          </w:r>
                          <w:r>
                            <w:instrText xml:space="preserve">PAGE   \* MERGEFORMAT</w:instrText>
                          </w:r>
                          <w:r>
                            <w:fldChar w:fldCharType="separate"/>
                          </w:r>
                          <w:r>
                            <w:rPr>
                              <w:lang w:val="zh-CN"/>
                            </w:rP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9"/>
                      <w:jc w:val="center"/>
                    </w:pPr>
                    <w:r>
                      <w:fldChar w:fldCharType="begin"/>
                    </w:r>
                    <w:r>
                      <w:instrText xml:space="preserve">PAGE   \* MERGEFORMAT</w:instrText>
                    </w:r>
                    <w:r>
                      <w:fldChar w:fldCharType="separate"/>
                    </w:r>
                    <w:r>
                      <w:rPr>
                        <w:lang w:val="zh-CN"/>
                      </w:rPr>
                      <w:t>75</w:t>
                    </w:r>
                    <w:r>
                      <w:fldChar w:fldCharType="end"/>
                    </w:r>
                  </w:p>
                </w:txbxContent>
              </v:textbox>
            </v:shape>
          </w:pict>
        </mc:Fallback>
      </mc:AlternateContent>
    </w:r>
  </w:p>
  <w:p>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sz w:val="18"/>
        <w:szCs w:val="18"/>
      </w:rPr>
    </w:pPr>
    <w:r>
      <w:rPr>
        <w:sz w:val="18"/>
        <w:szCs w:val="18"/>
      </w:rPr>
      <w:fldChar w:fldCharType="begin"/>
    </w:r>
    <w:r>
      <w:rPr>
        <w:sz w:val="18"/>
        <w:szCs w:val="18"/>
      </w:rPr>
      <w:instrText xml:space="preserve">PAGE   \* MERGEFORMAT</w:instrText>
    </w:r>
    <w:r>
      <w:rPr>
        <w:sz w:val="18"/>
        <w:szCs w:val="18"/>
      </w:rPr>
      <w:fldChar w:fldCharType="separate"/>
    </w:r>
    <w:r>
      <w:rPr>
        <w:sz w:val="18"/>
        <w:szCs w:val="18"/>
        <w:lang w:val="zh-CN"/>
      </w:rPr>
      <w:t>85</w:t>
    </w:r>
    <w:r>
      <w:rPr>
        <w:sz w:val="18"/>
        <w:szCs w:val="18"/>
        <w:lang w:val="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112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widowControl w:val="0"/>
      <w:pBdr>
        <w:top w:val="none" w:color="auto" w:sz="0" w:space="1"/>
        <w:left w:val="none" w:color="auto" w:sz="0" w:space="4"/>
        <w:bottom w:val="none" w:color="auto" w:sz="0" w:space="1"/>
        <w:right w:val="none" w:color="auto" w:sz="0" w:space="4"/>
        <w:between w:val="none" w:color="auto" w:sz="0" w:space="0"/>
      </w:pBdr>
      <w:snapToGrid w:val="0"/>
      <w:jc w:val="right"/>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4742AE"/>
    <w:multiLevelType w:val="singleLevel"/>
    <w:tmpl w:val="AB4742AE"/>
    <w:lvl w:ilvl="0" w:tentative="0">
      <w:start w:val="1"/>
      <w:numFmt w:val="decimal"/>
      <w:lvlText w:val="%1)"/>
      <w:lvlJc w:val="left"/>
      <w:pPr>
        <w:ind w:left="425" w:hanging="425"/>
      </w:pPr>
      <w:rPr>
        <w:rFonts w:hint="default"/>
      </w:rPr>
    </w:lvl>
  </w:abstractNum>
  <w:abstractNum w:abstractNumId="1">
    <w:nsid w:val="DBA601BB"/>
    <w:multiLevelType w:val="singleLevel"/>
    <w:tmpl w:val="DBA601BB"/>
    <w:lvl w:ilvl="0" w:tentative="0">
      <w:start w:val="1"/>
      <w:numFmt w:val="decimal"/>
      <w:lvlText w:val="%1)"/>
      <w:lvlJc w:val="left"/>
      <w:pPr>
        <w:ind w:left="425" w:hanging="425"/>
      </w:pPr>
      <w:rPr>
        <w:rFonts w:hint="default"/>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9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C"/>
    <w:multiLevelType w:val="multilevel"/>
    <w:tmpl w:val="0000000C"/>
    <w:lvl w:ilvl="0" w:tentative="0">
      <w:start w:val="1"/>
      <w:numFmt w:val="decimal"/>
      <w:lvlText w:val="%1．"/>
      <w:lvlJc w:val="left"/>
      <w:pPr>
        <w:tabs>
          <w:tab w:val="left" w:pos="0"/>
        </w:tabs>
        <w:ind w:left="0" w:firstLine="567"/>
      </w:pPr>
      <w:rPr>
        <w:rFonts w:hint="eastAsia" w:ascii="宋体" w:hAnsi="宋体" w:eastAsia="宋体"/>
      </w:rPr>
    </w:lvl>
    <w:lvl w:ilvl="1" w:tentative="0">
      <w:start w:val="1"/>
      <w:numFmt w:val="lowerLetter"/>
      <w:lvlText w:val="%2)"/>
      <w:lvlJc w:val="left"/>
      <w:pPr>
        <w:tabs>
          <w:tab w:val="left" w:pos="693"/>
        </w:tabs>
        <w:ind w:left="693" w:hanging="420"/>
      </w:pPr>
    </w:lvl>
    <w:lvl w:ilvl="2" w:tentative="0">
      <w:start w:val="1"/>
      <w:numFmt w:val="lowerRoman"/>
      <w:lvlText w:val="%3."/>
      <w:lvlJc w:val="right"/>
      <w:pPr>
        <w:tabs>
          <w:tab w:val="left" w:pos="1113"/>
        </w:tabs>
        <w:ind w:left="1113" w:hanging="420"/>
      </w:pPr>
    </w:lvl>
    <w:lvl w:ilvl="3" w:tentative="0">
      <w:start w:val="1"/>
      <w:numFmt w:val="decimal"/>
      <w:lvlText w:val="%4."/>
      <w:lvlJc w:val="left"/>
      <w:pPr>
        <w:tabs>
          <w:tab w:val="left" w:pos="1533"/>
        </w:tabs>
        <w:ind w:left="1533" w:hanging="420"/>
      </w:pPr>
    </w:lvl>
    <w:lvl w:ilvl="4" w:tentative="0">
      <w:start w:val="1"/>
      <w:numFmt w:val="lowerLetter"/>
      <w:lvlText w:val="%5)"/>
      <w:lvlJc w:val="left"/>
      <w:pPr>
        <w:tabs>
          <w:tab w:val="left" w:pos="1953"/>
        </w:tabs>
        <w:ind w:left="1953" w:hanging="420"/>
      </w:pPr>
    </w:lvl>
    <w:lvl w:ilvl="5" w:tentative="0">
      <w:start w:val="1"/>
      <w:numFmt w:val="lowerRoman"/>
      <w:lvlText w:val="%6."/>
      <w:lvlJc w:val="right"/>
      <w:pPr>
        <w:tabs>
          <w:tab w:val="left" w:pos="2373"/>
        </w:tabs>
        <w:ind w:left="2373" w:hanging="420"/>
      </w:pPr>
    </w:lvl>
    <w:lvl w:ilvl="6" w:tentative="0">
      <w:start w:val="1"/>
      <w:numFmt w:val="decimal"/>
      <w:lvlText w:val="%7."/>
      <w:lvlJc w:val="left"/>
      <w:pPr>
        <w:tabs>
          <w:tab w:val="left" w:pos="2793"/>
        </w:tabs>
        <w:ind w:left="2793" w:hanging="420"/>
      </w:pPr>
    </w:lvl>
    <w:lvl w:ilvl="7" w:tentative="0">
      <w:start w:val="1"/>
      <w:numFmt w:val="lowerLetter"/>
      <w:lvlText w:val="%8)"/>
      <w:lvlJc w:val="left"/>
      <w:pPr>
        <w:tabs>
          <w:tab w:val="left" w:pos="3213"/>
        </w:tabs>
        <w:ind w:left="3213" w:hanging="420"/>
      </w:pPr>
    </w:lvl>
    <w:lvl w:ilvl="8" w:tentative="0">
      <w:start w:val="1"/>
      <w:numFmt w:val="lowerRoman"/>
      <w:lvlText w:val="%9."/>
      <w:lvlJc w:val="right"/>
      <w:pPr>
        <w:tabs>
          <w:tab w:val="left" w:pos="3633"/>
        </w:tabs>
        <w:ind w:left="3633" w:hanging="420"/>
      </w:pPr>
    </w:lvl>
  </w:abstractNum>
  <w:abstractNum w:abstractNumId="5">
    <w:nsid w:val="0000000D"/>
    <w:multiLevelType w:val="multilevel"/>
    <w:tmpl w:val="0000000D"/>
    <w:lvl w:ilvl="0" w:tentative="0">
      <w:start w:val="1"/>
      <w:numFmt w:val="lowerLetter"/>
      <w:pStyle w:val="17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43"/>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9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9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EC0FA9"/>
    <w:multiLevelType w:val="singleLevel"/>
    <w:tmpl w:val="01EC0FA9"/>
    <w:lvl w:ilvl="0" w:tentative="0">
      <w:start w:val="1"/>
      <w:numFmt w:val="decimal"/>
      <w:lvlText w:val="%1)"/>
      <w:lvlJc w:val="left"/>
      <w:pPr>
        <w:ind w:left="425" w:hanging="425"/>
      </w:pPr>
      <w:rPr>
        <w:rFonts w:hint="default"/>
      </w:rPr>
    </w:lvl>
  </w:abstractNum>
  <w:abstractNum w:abstractNumId="12">
    <w:nsid w:val="05975655"/>
    <w:multiLevelType w:val="singleLevel"/>
    <w:tmpl w:val="05975655"/>
    <w:lvl w:ilvl="0" w:tentative="0">
      <w:start w:val="4"/>
      <w:numFmt w:val="decimal"/>
      <w:lvlText w:val="%1."/>
      <w:lvlJc w:val="left"/>
      <w:pPr>
        <w:tabs>
          <w:tab w:val="left" w:pos="312"/>
        </w:tabs>
      </w:pPr>
    </w:lvl>
  </w:abstractNum>
  <w:abstractNum w:abstractNumId="13">
    <w:nsid w:val="07916FCF"/>
    <w:multiLevelType w:val="singleLevel"/>
    <w:tmpl w:val="07916FCF"/>
    <w:lvl w:ilvl="0" w:tentative="0">
      <w:start w:val="7"/>
      <w:numFmt w:val="chineseCounting"/>
      <w:suff w:val="nothing"/>
      <w:lvlText w:val="%1、"/>
      <w:lvlJc w:val="left"/>
      <w:rPr>
        <w:rFonts w:hint="eastAsia"/>
      </w:rPr>
    </w:lvl>
  </w:abstractNum>
  <w:abstractNum w:abstractNumId="14">
    <w:nsid w:val="0E230849"/>
    <w:multiLevelType w:val="multilevel"/>
    <w:tmpl w:val="0E230849"/>
    <w:lvl w:ilvl="0" w:tentative="0">
      <w:start w:val="1"/>
      <w:numFmt w:val="decimal"/>
      <w:pStyle w:val="200"/>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20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5">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192CA77B"/>
    <w:multiLevelType w:val="singleLevel"/>
    <w:tmpl w:val="192CA77B"/>
    <w:lvl w:ilvl="0" w:tentative="0">
      <w:start w:val="1"/>
      <w:numFmt w:val="decimal"/>
      <w:lvlText w:val="%1)"/>
      <w:lvlJc w:val="left"/>
      <w:pPr>
        <w:ind w:left="425" w:hanging="425"/>
      </w:pPr>
      <w:rPr>
        <w:rFonts w:hint="default"/>
      </w:rPr>
    </w:lvl>
  </w:abstractNum>
  <w:abstractNum w:abstractNumId="18">
    <w:nsid w:val="1FA50A80"/>
    <w:multiLevelType w:val="singleLevel"/>
    <w:tmpl w:val="1FA50A80"/>
    <w:lvl w:ilvl="0" w:tentative="0">
      <w:start w:val="2"/>
      <w:numFmt w:val="chineseCounting"/>
      <w:suff w:val="nothing"/>
      <w:lvlText w:val="%1、"/>
      <w:lvlJc w:val="left"/>
      <w:rPr>
        <w:rFonts w:hint="eastAsia"/>
      </w:rPr>
    </w:lvl>
  </w:abstractNum>
  <w:abstractNum w:abstractNumId="19">
    <w:nsid w:val="29D335CD"/>
    <w:multiLevelType w:val="multilevel"/>
    <w:tmpl w:val="29D335CD"/>
    <w:lvl w:ilvl="0" w:tentative="0">
      <w:start w:val="1"/>
      <w:numFmt w:val="decimal"/>
      <w:lvlText w:val="%1．"/>
      <w:lvlJc w:val="left"/>
      <w:pPr>
        <w:tabs>
          <w:tab w:val="left" w:pos="557"/>
        </w:tabs>
        <w:ind w:left="0" w:firstLine="567"/>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1">
    <w:nsid w:val="3EFDE88F"/>
    <w:multiLevelType w:val="singleLevel"/>
    <w:tmpl w:val="3EFDE88F"/>
    <w:lvl w:ilvl="0" w:tentative="0">
      <w:start w:val="1"/>
      <w:numFmt w:val="decimal"/>
      <w:lvlText w:val="%1)"/>
      <w:lvlJc w:val="left"/>
      <w:pPr>
        <w:ind w:left="425" w:hanging="425"/>
      </w:pPr>
      <w:rPr>
        <w:rFonts w:hint="default"/>
      </w:rPr>
    </w:lvl>
  </w:abstractNum>
  <w:abstractNum w:abstractNumId="2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3">
    <w:nsid w:val="70672FEF"/>
    <w:multiLevelType w:val="singleLevel"/>
    <w:tmpl w:val="70672FEF"/>
    <w:lvl w:ilvl="0" w:tentative="0">
      <w:start w:val="1"/>
      <w:numFmt w:val="decimal"/>
      <w:suff w:val="nothing"/>
      <w:lvlText w:val="%1、"/>
      <w:lvlJc w:val="left"/>
    </w:lvl>
  </w:abstractNum>
  <w:abstractNum w:abstractNumId="24">
    <w:nsid w:val="7A133EF3"/>
    <w:multiLevelType w:val="singleLevel"/>
    <w:tmpl w:val="7A133EF3"/>
    <w:lvl w:ilvl="0" w:tentative="0">
      <w:start w:val="2"/>
      <w:numFmt w:val="decimal"/>
      <w:suff w:val="nothing"/>
      <w:lvlText w:val="（%1）"/>
      <w:lvlJc w:val="left"/>
    </w:lvl>
  </w:abstractNum>
  <w:num w:numId="1">
    <w:abstractNumId w:val="7"/>
  </w:num>
  <w:num w:numId="2">
    <w:abstractNumId w:val="10"/>
  </w:num>
  <w:num w:numId="3">
    <w:abstractNumId w:val="3"/>
  </w:num>
  <w:num w:numId="4">
    <w:abstractNumId w:val="8"/>
  </w:num>
  <w:num w:numId="5">
    <w:abstractNumId w:val="6"/>
  </w:num>
  <w:num w:numId="6">
    <w:abstractNumId w:val="5"/>
  </w:num>
  <w:num w:numId="7">
    <w:abstractNumId w:val="14"/>
  </w:num>
  <w:num w:numId="8">
    <w:abstractNumId w:val="12"/>
  </w:num>
  <w:num w:numId="9">
    <w:abstractNumId w:val="13"/>
  </w:num>
  <w:num w:numId="10">
    <w:abstractNumId w:val="23"/>
  </w:num>
  <w:num w:numId="11">
    <w:abstractNumId w:val="9"/>
  </w:num>
  <w:num w:numId="12">
    <w:abstractNumId w:val="2"/>
  </w:num>
  <w:num w:numId="13">
    <w:abstractNumId w:val="15"/>
  </w:num>
  <w:num w:numId="14">
    <w:abstractNumId w:val="18"/>
  </w:num>
  <w:num w:numId="15">
    <w:abstractNumId w:val="16"/>
  </w:num>
  <w:num w:numId="16">
    <w:abstractNumId w:val="24"/>
  </w:num>
  <w:num w:numId="17">
    <w:abstractNumId w:val="17"/>
  </w:num>
  <w:num w:numId="18">
    <w:abstractNumId w:val="0"/>
  </w:num>
  <w:num w:numId="19">
    <w:abstractNumId w:val="1"/>
  </w:num>
  <w:num w:numId="20">
    <w:abstractNumId w:val="21"/>
  </w:num>
  <w:num w:numId="21">
    <w:abstractNumId w:val="11"/>
  </w:num>
  <w:num w:numId="22">
    <w:abstractNumId w:val="19"/>
  </w:num>
  <w:num w:numId="23">
    <w:abstractNumId w:val="4"/>
  </w:num>
  <w:num w:numId="24">
    <w:abstractNumId w:val="2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2VjNTE1NzZiZmVmMTgwNmM4NWVmZDBmYzlkZjIxOG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75B"/>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3DA7"/>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9D4"/>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23C"/>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48E"/>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1F7F7E"/>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0F1"/>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41B"/>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CE7"/>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146"/>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3C0"/>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0F3"/>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E35"/>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5B"/>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6D3"/>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552"/>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078"/>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94C"/>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8E0"/>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406"/>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795"/>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614"/>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08D"/>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38"/>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18"/>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7B"/>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545"/>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E19"/>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06B"/>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035"/>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786"/>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788"/>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536"/>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4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70D"/>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5F8"/>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70"/>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15"/>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5D8"/>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0390C"/>
    <w:rsid w:val="0103164E"/>
    <w:rsid w:val="010351AA"/>
    <w:rsid w:val="01062EEC"/>
    <w:rsid w:val="01127137"/>
    <w:rsid w:val="01205D5C"/>
    <w:rsid w:val="01255120"/>
    <w:rsid w:val="012B4701"/>
    <w:rsid w:val="012D2227"/>
    <w:rsid w:val="012F2443"/>
    <w:rsid w:val="013435B5"/>
    <w:rsid w:val="014A4B87"/>
    <w:rsid w:val="014B08FF"/>
    <w:rsid w:val="014F4893"/>
    <w:rsid w:val="015E4AD6"/>
    <w:rsid w:val="016C0FA1"/>
    <w:rsid w:val="017D4F5C"/>
    <w:rsid w:val="018067FB"/>
    <w:rsid w:val="018B248D"/>
    <w:rsid w:val="01967DCC"/>
    <w:rsid w:val="01997579"/>
    <w:rsid w:val="01A00C4B"/>
    <w:rsid w:val="01A26C71"/>
    <w:rsid w:val="01A52705"/>
    <w:rsid w:val="01BF5575"/>
    <w:rsid w:val="01CA5CC8"/>
    <w:rsid w:val="01E07299"/>
    <w:rsid w:val="01E329A6"/>
    <w:rsid w:val="01EB45BC"/>
    <w:rsid w:val="01F80A87"/>
    <w:rsid w:val="01FD7E4B"/>
    <w:rsid w:val="02025461"/>
    <w:rsid w:val="020F7B7E"/>
    <w:rsid w:val="02117D9A"/>
    <w:rsid w:val="02124B9D"/>
    <w:rsid w:val="02127C2B"/>
    <w:rsid w:val="02186A33"/>
    <w:rsid w:val="021A27AB"/>
    <w:rsid w:val="021D673F"/>
    <w:rsid w:val="021F6013"/>
    <w:rsid w:val="02217FDE"/>
    <w:rsid w:val="0227136C"/>
    <w:rsid w:val="02290C40"/>
    <w:rsid w:val="022C0315"/>
    <w:rsid w:val="022C0730"/>
    <w:rsid w:val="022C24DE"/>
    <w:rsid w:val="023575E5"/>
    <w:rsid w:val="023A2E4D"/>
    <w:rsid w:val="024261A6"/>
    <w:rsid w:val="024617F2"/>
    <w:rsid w:val="02502349"/>
    <w:rsid w:val="02510197"/>
    <w:rsid w:val="02511F45"/>
    <w:rsid w:val="02535CBD"/>
    <w:rsid w:val="02571219"/>
    <w:rsid w:val="02571C51"/>
    <w:rsid w:val="02581525"/>
    <w:rsid w:val="025D08EA"/>
    <w:rsid w:val="02641C78"/>
    <w:rsid w:val="026659F0"/>
    <w:rsid w:val="0273010D"/>
    <w:rsid w:val="02785724"/>
    <w:rsid w:val="027D2D3A"/>
    <w:rsid w:val="027D3A49"/>
    <w:rsid w:val="0284231A"/>
    <w:rsid w:val="02866093"/>
    <w:rsid w:val="029E162E"/>
    <w:rsid w:val="02A66735"/>
    <w:rsid w:val="02B20C36"/>
    <w:rsid w:val="02C80459"/>
    <w:rsid w:val="02D0730E"/>
    <w:rsid w:val="02D54924"/>
    <w:rsid w:val="02D7069C"/>
    <w:rsid w:val="02DA1F3A"/>
    <w:rsid w:val="02DE7C7D"/>
    <w:rsid w:val="02E64D83"/>
    <w:rsid w:val="02E903CF"/>
    <w:rsid w:val="02ED6112"/>
    <w:rsid w:val="02F0175E"/>
    <w:rsid w:val="02F10A9D"/>
    <w:rsid w:val="02FA438B"/>
    <w:rsid w:val="0301396B"/>
    <w:rsid w:val="031511C4"/>
    <w:rsid w:val="03171BF9"/>
    <w:rsid w:val="03190CB5"/>
    <w:rsid w:val="03195159"/>
    <w:rsid w:val="032633D2"/>
    <w:rsid w:val="0328539C"/>
    <w:rsid w:val="032F672A"/>
    <w:rsid w:val="0361265C"/>
    <w:rsid w:val="0365214C"/>
    <w:rsid w:val="03661A20"/>
    <w:rsid w:val="03681C3C"/>
    <w:rsid w:val="037B54CB"/>
    <w:rsid w:val="03936CB9"/>
    <w:rsid w:val="03993BA4"/>
    <w:rsid w:val="03A52548"/>
    <w:rsid w:val="03AA7B5F"/>
    <w:rsid w:val="03C350C4"/>
    <w:rsid w:val="03C74BB5"/>
    <w:rsid w:val="03C86237"/>
    <w:rsid w:val="03C9092D"/>
    <w:rsid w:val="03CC21CB"/>
    <w:rsid w:val="03CE584C"/>
    <w:rsid w:val="03D35492"/>
    <w:rsid w:val="03EC461B"/>
    <w:rsid w:val="040000C7"/>
    <w:rsid w:val="0402496D"/>
    <w:rsid w:val="04041965"/>
    <w:rsid w:val="040A684F"/>
    <w:rsid w:val="04155920"/>
    <w:rsid w:val="041D6583"/>
    <w:rsid w:val="043164D2"/>
    <w:rsid w:val="0432773A"/>
    <w:rsid w:val="043438CC"/>
    <w:rsid w:val="0438160E"/>
    <w:rsid w:val="04387860"/>
    <w:rsid w:val="043A7135"/>
    <w:rsid w:val="04441D61"/>
    <w:rsid w:val="04463D2B"/>
    <w:rsid w:val="044E2BE0"/>
    <w:rsid w:val="045B70AB"/>
    <w:rsid w:val="04714B20"/>
    <w:rsid w:val="047C599F"/>
    <w:rsid w:val="047F0FEB"/>
    <w:rsid w:val="04877EA0"/>
    <w:rsid w:val="048C54B6"/>
    <w:rsid w:val="048E7480"/>
    <w:rsid w:val="04901897"/>
    <w:rsid w:val="04912ACD"/>
    <w:rsid w:val="04974587"/>
    <w:rsid w:val="049D3B67"/>
    <w:rsid w:val="049F51EA"/>
    <w:rsid w:val="04A9250C"/>
    <w:rsid w:val="04AB3B8E"/>
    <w:rsid w:val="04B2316F"/>
    <w:rsid w:val="04B35139"/>
    <w:rsid w:val="04BA0275"/>
    <w:rsid w:val="04BA64C7"/>
    <w:rsid w:val="04CC1D57"/>
    <w:rsid w:val="04D1736D"/>
    <w:rsid w:val="04D23811"/>
    <w:rsid w:val="04D31337"/>
    <w:rsid w:val="04D94B9F"/>
    <w:rsid w:val="04DD3F64"/>
    <w:rsid w:val="04E6106A"/>
    <w:rsid w:val="04E84DE3"/>
    <w:rsid w:val="04EB042F"/>
    <w:rsid w:val="04EB6681"/>
    <w:rsid w:val="04EE11F4"/>
    <w:rsid w:val="04EE7F1F"/>
    <w:rsid w:val="04F30983"/>
    <w:rsid w:val="04F73278"/>
    <w:rsid w:val="04F84557"/>
    <w:rsid w:val="04FE4606"/>
    <w:rsid w:val="05096B07"/>
    <w:rsid w:val="050A5AF1"/>
    <w:rsid w:val="050D65F7"/>
    <w:rsid w:val="050F05C1"/>
    <w:rsid w:val="05107E95"/>
    <w:rsid w:val="05145BD8"/>
    <w:rsid w:val="051668EE"/>
    <w:rsid w:val="051A66FF"/>
    <w:rsid w:val="05277A9F"/>
    <w:rsid w:val="052D1CC0"/>
    <w:rsid w:val="053E2F29"/>
    <w:rsid w:val="05453FE3"/>
    <w:rsid w:val="054B6C6E"/>
    <w:rsid w:val="054B711F"/>
    <w:rsid w:val="055F23F6"/>
    <w:rsid w:val="0575419C"/>
    <w:rsid w:val="057B5C57"/>
    <w:rsid w:val="05812B41"/>
    <w:rsid w:val="05900FD6"/>
    <w:rsid w:val="05AA653C"/>
    <w:rsid w:val="05AD6AC1"/>
    <w:rsid w:val="05AF76AE"/>
    <w:rsid w:val="05C018BB"/>
    <w:rsid w:val="05C56ED2"/>
    <w:rsid w:val="05CD3FD8"/>
    <w:rsid w:val="05D62E8D"/>
    <w:rsid w:val="05D830A9"/>
    <w:rsid w:val="05DD246D"/>
    <w:rsid w:val="05E337FC"/>
    <w:rsid w:val="05E736B7"/>
    <w:rsid w:val="05EC445F"/>
    <w:rsid w:val="05F45C37"/>
    <w:rsid w:val="060914B4"/>
    <w:rsid w:val="060F3C66"/>
    <w:rsid w:val="061340E1"/>
    <w:rsid w:val="06163BD1"/>
    <w:rsid w:val="06190FCC"/>
    <w:rsid w:val="061D0ABC"/>
    <w:rsid w:val="062260D2"/>
    <w:rsid w:val="062F259D"/>
    <w:rsid w:val="064047AA"/>
    <w:rsid w:val="06436049"/>
    <w:rsid w:val="06450013"/>
    <w:rsid w:val="06565D7C"/>
    <w:rsid w:val="06581AF4"/>
    <w:rsid w:val="065A1D10"/>
    <w:rsid w:val="06624721"/>
    <w:rsid w:val="067526A6"/>
    <w:rsid w:val="06764670"/>
    <w:rsid w:val="06782196"/>
    <w:rsid w:val="06783F44"/>
    <w:rsid w:val="067A7CBC"/>
    <w:rsid w:val="06846D8D"/>
    <w:rsid w:val="06905732"/>
    <w:rsid w:val="06930D7E"/>
    <w:rsid w:val="06976AC0"/>
    <w:rsid w:val="06A44D39"/>
    <w:rsid w:val="06B64A6C"/>
    <w:rsid w:val="06BA438A"/>
    <w:rsid w:val="06C11B90"/>
    <w:rsid w:val="06C13B3D"/>
    <w:rsid w:val="06C4362D"/>
    <w:rsid w:val="06C47189"/>
    <w:rsid w:val="06CE1DB6"/>
    <w:rsid w:val="06D01FD2"/>
    <w:rsid w:val="06D3561E"/>
    <w:rsid w:val="06DF2215"/>
    <w:rsid w:val="06E77061"/>
    <w:rsid w:val="06ED4932"/>
    <w:rsid w:val="06F7755F"/>
    <w:rsid w:val="06F856B7"/>
    <w:rsid w:val="06FA2BAB"/>
    <w:rsid w:val="06FF6413"/>
    <w:rsid w:val="07041C7C"/>
    <w:rsid w:val="070457D8"/>
    <w:rsid w:val="070D0B30"/>
    <w:rsid w:val="07100621"/>
    <w:rsid w:val="071719AF"/>
    <w:rsid w:val="071A324D"/>
    <w:rsid w:val="072639A0"/>
    <w:rsid w:val="072917B1"/>
    <w:rsid w:val="072D4D2F"/>
    <w:rsid w:val="07302A71"/>
    <w:rsid w:val="073C1416"/>
    <w:rsid w:val="0768431A"/>
    <w:rsid w:val="076B1CFB"/>
    <w:rsid w:val="076D7821"/>
    <w:rsid w:val="077B0190"/>
    <w:rsid w:val="07807554"/>
    <w:rsid w:val="0790350F"/>
    <w:rsid w:val="07911761"/>
    <w:rsid w:val="079B15B6"/>
    <w:rsid w:val="079E3E7E"/>
    <w:rsid w:val="07AA2823"/>
    <w:rsid w:val="07B54D24"/>
    <w:rsid w:val="07C531B9"/>
    <w:rsid w:val="07C82CA9"/>
    <w:rsid w:val="07CD4764"/>
    <w:rsid w:val="07CF4038"/>
    <w:rsid w:val="07DC0503"/>
    <w:rsid w:val="07F65A68"/>
    <w:rsid w:val="07FB307F"/>
    <w:rsid w:val="07FB4E2D"/>
    <w:rsid w:val="080B2B96"/>
    <w:rsid w:val="08114650"/>
    <w:rsid w:val="08123F24"/>
    <w:rsid w:val="081E0B1B"/>
    <w:rsid w:val="082E5202"/>
    <w:rsid w:val="083420ED"/>
    <w:rsid w:val="08386081"/>
    <w:rsid w:val="08470072"/>
    <w:rsid w:val="084B746C"/>
    <w:rsid w:val="084C38DA"/>
    <w:rsid w:val="084D31AF"/>
    <w:rsid w:val="0854278F"/>
    <w:rsid w:val="08602EE2"/>
    <w:rsid w:val="087F0AFA"/>
    <w:rsid w:val="087F5A5E"/>
    <w:rsid w:val="088C017B"/>
    <w:rsid w:val="08935065"/>
    <w:rsid w:val="08980644"/>
    <w:rsid w:val="08A47272"/>
    <w:rsid w:val="08A54D99"/>
    <w:rsid w:val="08AA0601"/>
    <w:rsid w:val="08B374B6"/>
    <w:rsid w:val="08B84ACC"/>
    <w:rsid w:val="08BA4CE8"/>
    <w:rsid w:val="08BB45BC"/>
    <w:rsid w:val="08C416C3"/>
    <w:rsid w:val="08CE0793"/>
    <w:rsid w:val="08CF1E16"/>
    <w:rsid w:val="08D37B58"/>
    <w:rsid w:val="08D538D0"/>
    <w:rsid w:val="08E21B49"/>
    <w:rsid w:val="08E6788B"/>
    <w:rsid w:val="08E753B1"/>
    <w:rsid w:val="08F24482"/>
    <w:rsid w:val="08F71A98"/>
    <w:rsid w:val="08F875BE"/>
    <w:rsid w:val="08FA3336"/>
    <w:rsid w:val="08FC0E5C"/>
    <w:rsid w:val="08FD6983"/>
    <w:rsid w:val="090E6DE2"/>
    <w:rsid w:val="09173EE8"/>
    <w:rsid w:val="091A12E3"/>
    <w:rsid w:val="091A5787"/>
    <w:rsid w:val="09242161"/>
    <w:rsid w:val="09267C87"/>
    <w:rsid w:val="09297778"/>
    <w:rsid w:val="0935611C"/>
    <w:rsid w:val="09381D91"/>
    <w:rsid w:val="093C0C24"/>
    <w:rsid w:val="093D1475"/>
    <w:rsid w:val="0949606C"/>
    <w:rsid w:val="094E7F51"/>
    <w:rsid w:val="095011A8"/>
    <w:rsid w:val="09570789"/>
    <w:rsid w:val="09581E0B"/>
    <w:rsid w:val="096B5FE2"/>
    <w:rsid w:val="096D3B08"/>
    <w:rsid w:val="097924AD"/>
    <w:rsid w:val="097C3D4B"/>
    <w:rsid w:val="099217C1"/>
    <w:rsid w:val="0992356F"/>
    <w:rsid w:val="099C263F"/>
    <w:rsid w:val="09A45050"/>
    <w:rsid w:val="09A60DC8"/>
    <w:rsid w:val="09B01C47"/>
    <w:rsid w:val="09B434E5"/>
    <w:rsid w:val="09B47989"/>
    <w:rsid w:val="09B94F9F"/>
    <w:rsid w:val="09D122E9"/>
    <w:rsid w:val="09D26061"/>
    <w:rsid w:val="09DD4E88"/>
    <w:rsid w:val="09DF42DA"/>
    <w:rsid w:val="09EB0ED1"/>
    <w:rsid w:val="09EF09C1"/>
    <w:rsid w:val="09F204B1"/>
    <w:rsid w:val="0A075D0B"/>
    <w:rsid w:val="0A0A1357"/>
    <w:rsid w:val="0A173A74"/>
    <w:rsid w:val="0A197D55"/>
    <w:rsid w:val="0A1B7A08"/>
    <w:rsid w:val="0A1E12A6"/>
    <w:rsid w:val="0A20501F"/>
    <w:rsid w:val="0A2166A1"/>
    <w:rsid w:val="0A256191"/>
    <w:rsid w:val="0A2A37A7"/>
    <w:rsid w:val="0A3E36F7"/>
    <w:rsid w:val="0A540824"/>
    <w:rsid w:val="0A656ED5"/>
    <w:rsid w:val="0A6E5D8A"/>
    <w:rsid w:val="0A717628"/>
    <w:rsid w:val="0A7E3AF3"/>
    <w:rsid w:val="0A84735B"/>
    <w:rsid w:val="0AAC240E"/>
    <w:rsid w:val="0ABA0FCF"/>
    <w:rsid w:val="0AC920DC"/>
    <w:rsid w:val="0AC96148"/>
    <w:rsid w:val="0ACA0AE6"/>
    <w:rsid w:val="0ACE4A7B"/>
    <w:rsid w:val="0AD100C7"/>
    <w:rsid w:val="0AD16319"/>
    <w:rsid w:val="0AD55E09"/>
    <w:rsid w:val="0ADD081A"/>
    <w:rsid w:val="0AE61DC4"/>
    <w:rsid w:val="0AEC0F3F"/>
    <w:rsid w:val="0B09160F"/>
    <w:rsid w:val="0B093D05"/>
    <w:rsid w:val="0B133753"/>
    <w:rsid w:val="0B136931"/>
    <w:rsid w:val="0B1526A9"/>
    <w:rsid w:val="0B1B1342"/>
    <w:rsid w:val="0B2074BA"/>
    <w:rsid w:val="0B29700B"/>
    <w:rsid w:val="0B2B3C7B"/>
    <w:rsid w:val="0B2B77D7"/>
    <w:rsid w:val="0B2E376B"/>
    <w:rsid w:val="0B381EF4"/>
    <w:rsid w:val="0B3A3EBE"/>
    <w:rsid w:val="0B3D575C"/>
    <w:rsid w:val="0B416FFB"/>
    <w:rsid w:val="0B464611"/>
    <w:rsid w:val="0B4F7789"/>
    <w:rsid w:val="0B57681E"/>
    <w:rsid w:val="0B582596"/>
    <w:rsid w:val="0B5C3E34"/>
    <w:rsid w:val="0B660C1A"/>
    <w:rsid w:val="0B662F05"/>
    <w:rsid w:val="0B666A61"/>
    <w:rsid w:val="0B6947A3"/>
    <w:rsid w:val="0B696551"/>
    <w:rsid w:val="0B6D4294"/>
    <w:rsid w:val="0B6E3B68"/>
    <w:rsid w:val="0B753148"/>
    <w:rsid w:val="0B815649"/>
    <w:rsid w:val="0B860EB1"/>
    <w:rsid w:val="0B896BF3"/>
    <w:rsid w:val="0BA31A63"/>
    <w:rsid w:val="0BA63302"/>
    <w:rsid w:val="0BA650B0"/>
    <w:rsid w:val="0BAE21B6"/>
    <w:rsid w:val="0BAE5C3A"/>
    <w:rsid w:val="0BB023D2"/>
    <w:rsid w:val="0BB579E9"/>
    <w:rsid w:val="0BB772BD"/>
    <w:rsid w:val="0BBA6DAD"/>
    <w:rsid w:val="0BC1013B"/>
    <w:rsid w:val="0BC32105"/>
    <w:rsid w:val="0BDF6813"/>
    <w:rsid w:val="0BEB6F66"/>
    <w:rsid w:val="0BF26547"/>
    <w:rsid w:val="0BF95B27"/>
    <w:rsid w:val="0C0544CC"/>
    <w:rsid w:val="0C0608D2"/>
    <w:rsid w:val="0C0B13B7"/>
    <w:rsid w:val="0C191D25"/>
    <w:rsid w:val="0C1B5A9E"/>
    <w:rsid w:val="0C201306"/>
    <w:rsid w:val="0C281F69"/>
    <w:rsid w:val="0C28640C"/>
    <w:rsid w:val="0C3703FE"/>
    <w:rsid w:val="0C3A10CD"/>
    <w:rsid w:val="0C3B1C9C"/>
    <w:rsid w:val="0C3C5A14"/>
    <w:rsid w:val="0C3C77C2"/>
    <w:rsid w:val="0C4F1BEB"/>
    <w:rsid w:val="0C525237"/>
    <w:rsid w:val="0C550884"/>
    <w:rsid w:val="0C562F23"/>
    <w:rsid w:val="0C5B0590"/>
    <w:rsid w:val="0C5B233E"/>
    <w:rsid w:val="0C762CD4"/>
    <w:rsid w:val="0C774C9E"/>
    <w:rsid w:val="0C776A4C"/>
    <w:rsid w:val="0C811679"/>
    <w:rsid w:val="0C85560D"/>
    <w:rsid w:val="0C873133"/>
    <w:rsid w:val="0C8E2713"/>
    <w:rsid w:val="0C9F66CF"/>
    <w:rsid w:val="0CAD3111"/>
    <w:rsid w:val="0CB35CD6"/>
    <w:rsid w:val="0CB657C6"/>
    <w:rsid w:val="0CB67574"/>
    <w:rsid w:val="0CBA3508"/>
    <w:rsid w:val="0CBD4DA7"/>
    <w:rsid w:val="0CC92832"/>
    <w:rsid w:val="0CCC323C"/>
    <w:rsid w:val="0CD248D0"/>
    <w:rsid w:val="0CD36378"/>
    <w:rsid w:val="0CE9794A"/>
    <w:rsid w:val="0CEB781F"/>
    <w:rsid w:val="0CEC2F96"/>
    <w:rsid w:val="0CF307C8"/>
    <w:rsid w:val="0CF32576"/>
    <w:rsid w:val="0CF34325"/>
    <w:rsid w:val="0CF4009D"/>
    <w:rsid w:val="0CFB58CF"/>
    <w:rsid w:val="0CFC028F"/>
    <w:rsid w:val="0D093B48"/>
    <w:rsid w:val="0D0A78C0"/>
    <w:rsid w:val="0D1129FD"/>
    <w:rsid w:val="0D1644B7"/>
    <w:rsid w:val="0D1F336B"/>
    <w:rsid w:val="0D2E35AF"/>
    <w:rsid w:val="0D336E17"/>
    <w:rsid w:val="0D3A1F53"/>
    <w:rsid w:val="0D3F3A0E"/>
    <w:rsid w:val="0D4923B3"/>
    <w:rsid w:val="0D4B23B2"/>
    <w:rsid w:val="0D5A65D7"/>
    <w:rsid w:val="0D5D3E94"/>
    <w:rsid w:val="0D646FD0"/>
    <w:rsid w:val="0D6B035F"/>
    <w:rsid w:val="0D6E42F3"/>
    <w:rsid w:val="0D7F3E0A"/>
    <w:rsid w:val="0D892EDB"/>
    <w:rsid w:val="0D8E229F"/>
    <w:rsid w:val="0D991370"/>
    <w:rsid w:val="0D9A6E96"/>
    <w:rsid w:val="0DA16476"/>
    <w:rsid w:val="0DA970D9"/>
    <w:rsid w:val="0DAF0B93"/>
    <w:rsid w:val="0DBF4B4E"/>
    <w:rsid w:val="0DC363ED"/>
    <w:rsid w:val="0DCD726B"/>
    <w:rsid w:val="0DCF4D92"/>
    <w:rsid w:val="0DD00B0A"/>
    <w:rsid w:val="0DE60FCA"/>
    <w:rsid w:val="0DF465A6"/>
    <w:rsid w:val="0DFA5B87"/>
    <w:rsid w:val="0E0607F6"/>
    <w:rsid w:val="0E0D1416"/>
    <w:rsid w:val="0E0D7668"/>
    <w:rsid w:val="0E0E083C"/>
    <w:rsid w:val="0E1C78AB"/>
    <w:rsid w:val="0E1D072F"/>
    <w:rsid w:val="0E236E8B"/>
    <w:rsid w:val="0E250E55"/>
    <w:rsid w:val="0E2D3866"/>
    <w:rsid w:val="0E2D5254"/>
    <w:rsid w:val="0E364E11"/>
    <w:rsid w:val="0E3665B7"/>
    <w:rsid w:val="0E4532A6"/>
    <w:rsid w:val="0E4A08BC"/>
    <w:rsid w:val="0E4D5CB6"/>
    <w:rsid w:val="0E5B4877"/>
    <w:rsid w:val="0E6354DA"/>
    <w:rsid w:val="0E636A64"/>
    <w:rsid w:val="0E6B438E"/>
    <w:rsid w:val="0E76520D"/>
    <w:rsid w:val="0E880A30"/>
    <w:rsid w:val="0E8A2A67"/>
    <w:rsid w:val="0E8C2C83"/>
    <w:rsid w:val="0E941B37"/>
    <w:rsid w:val="0E9658AF"/>
    <w:rsid w:val="0EA7186A"/>
    <w:rsid w:val="0EAA3109"/>
    <w:rsid w:val="0EAC0C2F"/>
    <w:rsid w:val="0EAF071F"/>
    <w:rsid w:val="0EB16245"/>
    <w:rsid w:val="0EBC4BEA"/>
    <w:rsid w:val="0EBE6BB4"/>
    <w:rsid w:val="0EC35F79"/>
    <w:rsid w:val="0EC51CF1"/>
    <w:rsid w:val="0EC75A69"/>
    <w:rsid w:val="0ED62150"/>
    <w:rsid w:val="0EDB1514"/>
    <w:rsid w:val="0EDD34DE"/>
    <w:rsid w:val="0EE228A3"/>
    <w:rsid w:val="0EF600FC"/>
    <w:rsid w:val="0EF95E3E"/>
    <w:rsid w:val="0EFE5203"/>
    <w:rsid w:val="0F026AA1"/>
    <w:rsid w:val="0F032819"/>
    <w:rsid w:val="0F072309"/>
    <w:rsid w:val="0F130CAE"/>
    <w:rsid w:val="0F1C7EDF"/>
    <w:rsid w:val="0F274759"/>
    <w:rsid w:val="0F2B249C"/>
    <w:rsid w:val="0F2E3D3A"/>
    <w:rsid w:val="0F3D21CF"/>
    <w:rsid w:val="0F403A6D"/>
    <w:rsid w:val="0F486C53"/>
    <w:rsid w:val="0F5C08A7"/>
    <w:rsid w:val="0F6C03BE"/>
    <w:rsid w:val="0F825E34"/>
    <w:rsid w:val="0F9A317D"/>
    <w:rsid w:val="0FA364D6"/>
    <w:rsid w:val="0FAC2EB1"/>
    <w:rsid w:val="0FB0474F"/>
    <w:rsid w:val="0FBD6E6C"/>
    <w:rsid w:val="0FC30926"/>
    <w:rsid w:val="0FC401FA"/>
    <w:rsid w:val="0FE268D2"/>
    <w:rsid w:val="0FEA33CD"/>
    <w:rsid w:val="0FF52AA9"/>
    <w:rsid w:val="0FFE267E"/>
    <w:rsid w:val="100D1BA1"/>
    <w:rsid w:val="10101691"/>
    <w:rsid w:val="10156CA8"/>
    <w:rsid w:val="10196798"/>
    <w:rsid w:val="101E3DAE"/>
    <w:rsid w:val="102869DB"/>
    <w:rsid w:val="102962AF"/>
    <w:rsid w:val="102D2243"/>
    <w:rsid w:val="10415B61"/>
    <w:rsid w:val="104B4477"/>
    <w:rsid w:val="105E41AB"/>
    <w:rsid w:val="1074577C"/>
    <w:rsid w:val="107734BE"/>
    <w:rsid w:val="107D7DFA"/>
    <w:rsid w:val="108654B0"/>
    <w:rsid w:val="108C51BC"/>
    <w:rsid w:val="108D683E"/>
    <w:rsid w:val="108F25B6"/>
    <w:rsid w:val="10937656"/>
    <w:rsid w:val="10991687"/>
    <w:rsid w:val="109A0F5B"/>
    <w:rsid w:val="10AC13BA"/>
    <w:rsid w:val="10B169D0"/>
    <w:rsid w:val="10B1714E"/>
    <w:rsid w:val="10B4201D"/>
    <w:rsid w:val="10DE353E"/>
    <w:rsid w:val="10E16B8A"/>
    <w:rsid w:val="10F90377"/>
    <w:rsid w:val="10F92125"/>
    <w:rsid w:val="10FB5E9E"/>
    <w:rsid w:val="10FE598E"/>
    <w:rsid w:val="11074842"/>
    <w:rsid w:val="1111746F"/>
    <w:rsid w:val="11154534"/>
    <w:rsid w:val="11196324"/>
    <w:rsid w:val="112C6057"/>
    <w:rsid w:val="112F3D99"/>
    <w:rsid w:val="11391A49"/>
    <w:rsid w:val="113F222E"/>
    <w:rsid w:val="11401B02"/>
    <w:rsid w:val="114333A1"/>
    <w:rsid w:val="11496C09"/>
    <w:rsid w:val="115A7068"/>
    <w:rsid w:val="116003F7"/>
    <w:rsid w:val="11665A0D"/>
    <w:rsid w:val="117F087D"/>
    <w:rsid w:val="118F65E6"/>
    <w:rsid w:val="119C1F50"/>
    <w:rsid w:val="11A55E09"/>
    <w:rsid w:val="11A622AD"/>
    <w:rsid w:val="11A7392F"/>
    <w:rsid w:val="11A976A8"/>
    <w:rsid w:val="11B83D8F"/>
    <w:rsid w:val="11C52438"/>
    <w:rsid w:val="11CC3396"/>
    <w:rsid w:val="11D72467"/>
    <w:rsid w:val="11D81D3B"/>
    <w:rsid w:val="11DA1F57"/>
    <w:rsid w:val="11DD1A47"/>
    <w:rsid w:val="11E20E0C"/>
    <w:rsid w:val="11F823DD"/>
    <w:rsid w:val="12042B30"/>
    <w:rsid w:val="12103BCB"/>
    <w:rsid w:val="12152F8F"/>
    <w:rsid w:val="121A2353"/>
    <w:rsid w:val="1222745A"/>
    <w:rsid w:val="12266F4A"/>
    <w:rsid w:val="12280F14"/>
    <w:rsid w:val="122B4561"/>
    <w:rsid w:val="12301B77"/>
    <w:rsid w:val="12323B41"/>
    <w:rsid w:val="1235718D"/>
    <w:rsid w:val="12367B5C"/>
    <w:rsid w:val="12393718"/>
    <w:rsid w:val="124949E7"/>
    <w:rsid w:val="12577104"/>
    <w:rsid w:val="127001C5"/>
    <w:rsid w:val="1272218F"/>
    <w:rsid w:val="12747B4B"/>
    <w:rsid w:val="12752385"/>
    <w:rsid w:val="127A1044"/>
    <w:rsid w:val="12A52565"/>
    <w:rsid w:val="12AA36D7"/>
    <w:rsid w:val="12C10A21"/>
    <w:rsid w:val="12C14EC5"/>
    <w:rsid w:val="12C66037"/>
    <w:rsid w:val="12CF75E2"/>
    <w:rsid w:val="12D70244"/>
    <w:rsid w:val="12D746E8"/>
    <w:rsid w:val="12D93FBD"/>
    <w:rsid w:val="12DC585B"/>
    <w:rsid w:val="12E51861"/>
    <w:rsid w:val="12E806A4"/>
    <w:rsid w:val="12EB3CF0"/>
    <w:rsid w:val="12F07F48"/>
    <w:rsid w:val="12FD414F"/>
    <w:rsid w:val="12FF65AD"/>
    <w:rsid w:val="13040F8F"/>
    <w:rsid w:val="1305241F"/>
    <w:rsid w:val="13070B2A"/>
    <w:rsid w:val="13117BFA"/>
    <w:rsid w:val="131507C5"/>
    <w:rsid w:val="1319085D"/>
    <w:rsid w:val="132C67E2"/>
    <w:rsid w:val="133B6A25"/>
    <w:rsid w:val="133D454B"/>
    <w:rsid w:val="13561AB1"/>
    <w:rsid w:val="135D2E40"/>
    <w:rsid w:val="136A2E67"/>
    <w:rsid w:val="136C4E31"/>
    <w:rsid w:val="13781A27"/>
    <w:rsid w:val="137B1518"/>
    <w:rsid w:val="13824654"/>
    <w:rsid w:val="1384217A"/>
    <w:rsid w:val="13857CA0"/>
    <w:rsid w:val="13904FC3"/>
    <w:rsid w:val="13906D71"/>
    <w:rsid w:val="13A520F1"/>
    <w:rsid w:val="13A75E69"/>
    <w:rsid w:val="13AA7707"/>
    <w:rsid w:val="13AB3BAB"/>
    <w:rsid w:val="13AC347F"/>
    <w:rsid w:val="13AE71F7"/>
    <w:rsid w:val="13BA2040"/>
    <w:rsid w:val="13C17624"/>
    <w:rsid w:val="13C407C9"/>
    <w:rsid w:val="13C44C6D"/>
    <w:rsid w:val="13CE1647"/>
    <w:rsid w:val="13E1581F"/>
    <w:rsid w:val="13E31587"/>
    <w:rsid w:val="13E61E9D"/>
    <w:rsid w:val="13E7095B"/>
    <w:rsid w:val="13EB044B"/>
    <w:rsid w:val="13EB3FA7"/>
    <w:rsid w:val="13F54C25"/>
    <w:rsid w:val="13F86E7F"/>
    <w:rsid w:val="13FF5CA5"/>
    <w:rsid w:val="1404150D"/>
    <w:rsid w:val="140908D1"/>
    <w:rsid w:val="141A2ADF"/>
    <w:rsid w:val="142179C9"/>
    <w:rsid w:val="14270D58"/>
    <w:rsid w:val="142C45C0"/>
    <w:rsid w:val="14302302"/>
    <w:rsid w:val="14382F65"/>
    <w:rsid w:val="143A6CDD"/>
    <w:rsid w:val="143D67CD"/>
    <w:rsid w:val="14423DE3"/>
    <w:rsid w:val="14430A9C"/>
    <w:rsid w:val="14496F20"/>
    <w:rsid w:val="144B713C"/>
    <w:rsid w:val="14587163"/>
    <w:rsid w:val="145D29CB"/>
    <w:rsid w:val="146855F8"/>
    <w:rsid w:val="146B50E8"/>
    <w:rsid w:val="146D2C0E"/>
    <w:rsid w:val="14740441"/>
    <w:rsid w:val="147815B3"/>
    <w:rsid w:val="14787805"/>
    <w:rsid w:val="14863CD0"/>
    <w:rsid w:val="148E372C"/>
    <w:rsid w:val="149363ED"/>
    <w:rsid w:val="149C34F4"/>
    <w:rsid w:val="14A95C11"/>
    <w:rsid w:val="14B051F1"/>
    <w:rsid w:val="14B05CE9"/>
    <w:rsid w:val="14B22D17"/>
    <w:rsid w:val="14BC5944"/>
    <w:rsid w:val="14BE346A"/>
    <w:rsid w:val="14C111AC"/>
    <w:rsid w:val="14C50C9C"/>
    <w:rsid w:val="14C60571"/>
    <w:rsid w:val="14C8078D"/>
    <w:rsid w:val="14D013EF"/>
    <w:rsid w:val="14D56A06"/>
    <w:rsid w:val="14DB5D52"/>
    <w:rsid w:val="14EC447B"/>
    <w:rsid w:val="14EF0F4F"/>
    <w:rsid w:val="15086DDB"/>
    <w:rsid w:val="150D2643"/>
    <w:rsid w:val="15127C5A"/>
    <w:rsid w:val="152359C3"/>
    <w:rsid w:val="15237771"/>
    <w:rsid w:val="152D05F0"/>
    <w:rsid w:val="152F6116"/>
    <w:rsid w:val="15393438"/>
    <w:rsid w:val="154047C7"/>
    <w:rsid w:val="154C6CC8"/>
    <w:rsid w:val="15510782"/>
    <w:rsid w:val="1552393D"/>
    <w:rsid w:val="155344FA"/>
    <w:rsid w:val="155C2B0B"/>
    <w:rsid w:val="15604521"/>
    <w:rsid w:val="156758B0"/>
    <w:rsid w:val="156A53A0"/>
    <w:rsid w:val="156C2EC6"/>
    <w:rsid w:val="156E6AFD"/>
    <w:rsid w:val="15791A87"/>
    <w:rsid w:val="15853F88"/>
    <w:rsid w:val="15897F1C"/>
    <w:rsid w:val="15A9236C"/>
    <w:rsid w:val="15AA1C40"/>
    <w:rsid w:val="15B34F99"/>
    <w:rsid w:val="15B900D5"/>
    <w:rsid w:val="15BF56EC"/>
    <w:rsid w:val="15CC7E09"/>
    <w:rsid w:val="15D22960"/>
    <w:rsid w:val="15D32F45"/>
    <w:rsid w:val="15D373E9"/>
    <w:rsid w:val="15D54F0F"/>
    <w:rsid w:val="15D75342"/>
    <w:rsid w:val="15DD2016"/>
    <w:rsid w:val="15DD3DC4"/>
    <w:rsid w:val="15DD5B72"/>
    <w:rsid w:val="15E11B06"/>
    <w:rsid w:val="15E433A4"/>
    <w:rsid w:val="15F35395"/>
    <w:rsid w:val="16007AB2"/>
    <w:rsid w:val="160752E5"/>
    <w:rsid w:val="161D68B6"/>
    <w:rsid w:val="16297009"/>
    <w:rsid w:val="163A2FC4"/>
    <w:rsid w:val="163F05DA"/>
    <w:rsid w:val="163F682C"/>
    <w:rsid w:val="16502966"/>
    <w:rsid w:val="165E4F6A"/>
    <w:rsid w:val="1663620B"/>
    <w:rsid w:val="166718DF"/>
    <w:rsid w:val="167D1103"/>
    <w:rsid w:val="16810BF3"/>
    <w:rsid w:val="16840E59"/>
    <w:rsid w:val="1695629F"/>
    <w:rsid w:val="1699418F"/>
    <w:rsid w:val="169C5A2D"/>
    <w:rsid w:val="169D3553"/>
    <w:rsid w:val="169F551D"/>
    <w:rsid w:val="16A14DF1"/>
    <w:rsid w:val="16A82EF8"/>
    <w:rsid w:val="16A9014A"/>
    <w:rsid w:val="16AA639C"/>
    <w:rsid w:val="16AB2114"/>
    <w:rsid w:val="16B32D77"/>
    <w:rsid w:val="16B5089D"/>
    <w:rsid w:val="16B9038D"/>
    <w:rsid w:val="16BE1E47"/>
    <w:rsid w:val="16C531D6"/>
    <w:rsid w:val="16C84A74"/>
    <w:rsid w:val="16DA0303"/>
    <w:rsid w:val="16E15B36"/>
    <w:rsid w:val="16E178E4"/>
    <w:rsid w:val="16F2389F"/>
    <w:rsid w:val="16F77107"/>
    <w:rsid w:val="16FE3FF2"/>
    <w:rsid w:val="170A6E3A"/>
    <w:rsid w:val="171B2DF6"/>
    <w:rsid w:val="171F21BA"/>
    <w:rsid w:val="172577D0"/>
    <w:rsid w:val="17343EB7"/>
    <w:rsid w:val="173C0FBE"/>
    <w:rsid w:val="1752685E"/>
    <w:rsid w:val="17555BDC"/>
    <w:rsid w:val="17563E2E"/>
    <w:rsid w:val="17571954"/>
    <w:rsid w:val="1763654B"/>
    <w:rsid w:val="17771FF6"/>
    <w:rsid w:val="17780248"/>
    <w:rsid w:val="17836BED"/>
    <w:rsid w:val="178D35C8"/>
    <w:rsid w:val="179130B8"/>
    <w:rsid w:val="17935082"/>
    <w:rsid w:val="17946704"/>
    <w:rsid w:val="179B5CE4"/>
    <w:rsid w:val="179E3A27"/>
    <w:rsid w:val="17AC6144"/>
    <w:rsid w:val="17AC7EF2"/>
    <w:rsid w:val="17B60D70"/>
    <w:rsid w:val="17C36FE9"/>
    <w:rsid w:val="17CE7E68"/>
    <w:rsid w:val="17CF1E32"/>
    <w:rsid w:val="17E51656"/>
    <w:rsid w:val="17F93E0B"/>
    <w:rsid w:val="180715CC"/>
    <w:rsid w:val="180F222F"/>
    <w:rsid w:val="1811244B"/>
    <w:rsid w:val="18115FA7"/>
    <w:rsid w:val="1821090A"/>
    <w:rsid w:val="18253800"/>
    <w:rsid w:val="183028D1"/>
    <w:rsid w:val="18365A0D"/>
    <w:rsid w:val="183F0D66"/>
    <w:rsid w:val="183F2B14"/>
    <w:rsid w:val="18493992"/>
    <w:rsid w:val="184C5231"/>
    <w:rsid w:val="18506ACF"/>
    <w:rsid w:val="18561C0B"/>
    <w:rsid w:val="18567E5D"/>
    <w:rsid w:val="185D743E"/>
    <w:rsid w:val="18621A28"/>
    <w:rsid w:val="1869193F"/>
    <w:rsid w:val="18695DE3"/>
    <w:rsid w:val="18736C61"/>
    <w:rsid w:val="187A3B4C"/>
    <w:rsid w:val="188350F6"/>
    <w:rsid w:val="1888270D"/>
    <w:rsid w:val="18891FE1"/>
    <w:rsid w:val="188C1AE9"/>
    <w:rsid w:val="188C387F"/>
    <w:rsid w:val="18980476"/>
    <w:rsid w:val="18A230A3"/>
    <w:rsid w:val="18B43502"/>
    <w:rsid w:val="18BC5F12"/>
    <w:rsid w:val="18CD45C3"/>
    <w:rsid w:val="18CE20EA"/>
    <w:rsid w:val="18DC0363"/>
    <w:rsid w:val="18E84F59"/>
    <w:rsid w:val="18F25DD8"/>
    <w:rsid w:val="18F27B86"/>
    <w:rsid w:val="18FE652B"/>
    <w:rsid w:val="19067AD5"/>
    <w:rsid w:val="190E24E6"/>
    <w:rsid w:val="190F698A"/>
    <w:rsid w:val="192561AE"/>
    <w:rsid w:val="19263CD4"/>
    <w:rsid w:val="192D5062"/>
    <w:rsid w:val="19324427"/>
    <w:rsid w:val="19393A07"/>
    <w:rsid w:val="193E2DCB"/>
    <w:rsid w:val="194D1260"/>
    <w:rsid w:val="194E7425"/>
    <w:rsid w:val="195F2D42"/>
    <w:rsid w:val="19650367"/>
    <w:rsid w:val="19670574"/>
    <w:rsid w:val="19722A75"/>
    <w:rsid w:val="197762DD"/>
    <w:rsid w:val="197D7D98"/>
    <w:rsid w:val="198339EA"/>
    <w:rsid w:val="19856C4C"/>
    <w:rsid w:val="19996254"/>
    <w:rsid w:val="19A30E80"/>
    <w:rsid w:val="19A54BF8"/>
    <w:rsid w:val="19AA66B3"/>
    <w:rsid w:val="19B56660"/>
    <w:rsid w:val="19B94B48"/>
    <w:rsid w:val="19BC1F42"/>
    <w:rsid w:val="19C5529B"/>
    <w:rsid w:val="19CA1B0A"/>
    <w:rsid w:val="19D4058C"/>
    <w:rsid w:val="19D83220"/>
    <w:rsid w:val="19E35721"/>
    <w:rsid w:val="19F8741E"/>
    <w:rsid w:val="19FD67E3"/>
    <w:rsid w:val="19FE255B"/>
    <w:rsid w:val="1A0A7151"/>
    <w:rsid w:val="1A1678A4"/>
    <w:rsid w:val="1A2521DD"/>
    <w:rsid w:val="1A270FBF"/>
    <w:rsid w:val="1A274CAF"/>
    <w:rsid w:val="1A330456"/>
    <w:rsid w:val="1A3B555D"/>
    <w:rsid w:val="1A5328A6"/>
    <w:rsid w:val="1A54439E"/>
    <w:rsid w:val="1A5605E9"/>
    <w:rsid w:val="1A580DA4"/>
    <w:rsid w:val="1A587EBD"/>
    <w:rsid w:val="1A5D1977"/>
    <w:rsid w:val="1A6333FE"/>
    <w:rsid w:val="1A69031C"/>
    <w:rsid w:val="1A6B4094"/>
    <w:rsid w:val="1A732F49"/>
    <w:rsid w:val="1A78230D"/>
    <w:rsid w:val="1A7A2A9E"/>
    <w:rsid w:val="1A7A312C"/>
    <w:rsid w:val="1A7D7923"/>
    <w:rsid w:val="1A7E1B84"/>
    <w:rsid w:val="1A8860E5"/>
    <w:rsid w:val="1A916CD3"/>
    <w:rsid w:val="1AA80E44"/>
    <w:rsid w:val="1AB377E9"/>
    <w:rsid w:val="1AB62E35"/>
    <w:rsid w:val="1AB71087"/>
    <w:rsid w:val="1ABA0B77"/>
    <w:rsid w:val="1ABA46D4"/>
    <w:rsid w:val="1ABC044C"/>
    <w:rsid w:val="1AC664F2"/>
    <w:rsid w:val="1AC830B4"/>
    <w:rsid w:val="1AD35795"/>
    <w:rsid w:val="1AD5150D"/>
    <w:rsid w:val="1ADE4866"/>
    <w:rsid w:val="1AE16104"/>
    <w:rsid w:val="1AE35187"/>
    <w:rsid w:val="1AE94FB9"/>
    <w:rsid w:val="1AF57E02"/>
    <w:rsid w:val="1AF71484"/>
    <w:rsid w:val="1B0818FD"/>
    <w:rsid w:val="1B0D0CA7"/>
    <w:rsid w:val="1B157B5C"/>
    <w:rsid w:val="1B18764C"/>
    <w:rsid w:val="1B244243"/>
    <w:rsid w:val="1B2D1F35"/>
    <w:rsid w:val="1B2D30F7"/>
    <w:rsid w:val="1B375D24"/>
    <w:rsid w:val="1B391A9C"/>
    <w:rsid w:val="1B3B1CB8"/>
    <w:rsid w:val="1B3C158C"/>
    <w:rsid w:val="1B3F107D"/>
    <w:rsid w:val="1B416BA3"/>
    <w:rsid w:val="1B4A0093"/>
    <w:rsid w:val="1B506DE6"/>
    <w:rsid w:val="1B5508A0"/>
    <w:rsid w:val="1B570174"/>
    <w:rsid w:val="1B574618"/>
    <w:rsid w:val="1B6D1746"/>
    <w:rsid w:val="1B6F1962"/>
    <w:rsid w:val="1B762CF0"/>
    <w:rsid w:val="1B7B5BD7"/>
    <w:rsid w:val="1B7F1479"/>
    <w:rsid w:val="1B8B6070"/>
    <w:rsid w:val="1B9A34CD"/>
    <w:rsid w:val="1B9B4505"/>
    <w:rsid w:val="1BA3785E"/>
    <w:rsid w:val="1BAA299A"/>
    <w:rsid w:val="1BAA4748"/>
    <w:rsid w:val="1BB47375"/>
    <w:rsid w:val="1BB76E65"/>
    <w:rsid w:val="1BC03F6C"/>
    <w:rsid w:val="1BC3580A"/>
    <w:rsid w:val="1BC7354C"/>
    <w:rsid w:val="1BE063BC"/>
    <w:rsid w:val="1BE20386"/>
    <w:rsid w:val="1BE55780"/>
    <w:rsid w:val="1BE91714"/>
    <w:rsid w:val="1C0C71B1"/>
    <w:rsid w:val="1C1442B7"/>
    <w:rsid w:val="1C1D009D"/>
    <w:rsid w:val="1C250273"/>
    <w:rsid w:val="1C27223D"/>
    <w:rsid w:val="1C2F10F1"/>
    <w:rsid w:val="1C3F7586"/>
    <w:rsid w:val="1C455CA5"/>
    <w:rsid w:val="1C475483"/>
    <w:rsid w:val="1C4E1577"/>
    <w:rsid w:val="1C4F52EF"/>
    <w:rsid w:val="1C5D17BA"/>
    <w:rsid w:val="1C5E5533"/>
    <w:rsid w:val="1C715266"/>
    <w:rsid w:val="1C7865F4"/>
    <w:rsid w:val="1C7D3C0B"/>
    <w:rsid w:val="1C8036FB"/>
    <w:rsid w:val="1C821221"/>
    <w:rsid w:val="1C8651B5"/>
    <w:rsid w:val="1C8A6328"/>
    <w:rsid w:val="1C9B22E3"/>
    <w:rsid w:val="1CA13D9D"/>
    <w:rsid w:val="1CA4563B"/>
    <w:rsid w:val="1CB87339"/>
    <w:rsid w:val="1CB92E0C"/>
    <w:rsid w:val="1CBF5FD1"/>
    <w:rsid w:val="1CCE26B8"/>
    <w:rsid w:val="1CD04682"/>
    <w:rsid w:val="1CE57D39"/>
    <w:rsid w:val="1CE75528"/>
    <w:rsid w:val="1D0E6F59"/>
    <w:rsid w:val="1D126A49"/>
    <w:rsid w:val="1D1C1676"/>
    <w:rsid w:val="1D1D0F4A"/>
    <w:rsid w:val="1D2C69D2"/>
    <w:rsid w:val="1D306ECF"/>
    <w:rsid w:val="1D3249F5"/>
    <w:rsid w:val="1D350989"/>
    <w:rsid w:val="1D4806BC"/>
    <w:rsid w:val="1D497F91"/>
    <w:rsid w:val="1D4D182F"/>
    <w:rsid w:val="1D4D7A81"/>
    <w:rsid w:val="1D5726AE"/>
    <w:rsid w:val="1D5F5A06"/>
    <w:rsid w:val="1D5F77B4"/>
    <w:rsid w:val="1D70376F"/>
    <w:rsid w:val="1D715DDD"/>
    <w:rsid w:val="1D78751A"/>
    <w:rsid w:val="1D790876"/>
    <w:rsid w:val="1D7B2840"/>
    <w:rsid w:val="1D7C3EC2"/>
    <w:rsid w:val="1D8316F5"/>
    <w:rsid w:val="1D894E59"/>
    <w:rsid w:val="1D8D60CF"/>
    <w:rsid w:val="1D951428"/>
    <w:rsid w:val="1D970CFC"/>
    <w:rsid w:val="1D9F5E03"/>
    <w:rsid w:val="1DA84CB7"/>
    <w:rsid w:val="1DC55869"/>
    <w:rsid w:val="1DE5415D"/>
    <w:rsid w:val="1DE859FC"/>
    <w:rsid w:val="1DEC54EC"/>
    <w:rsid w:val="1DFB128B"/>
    <w:rsid w:val="1E0C793C"/>
    <w:rsid w:val="1E0F11DA"/>
    <w:rsid w:val="1E1660C5"/>
    <w:rsid w:val="1E2A6014"/>
    <w:rsid w:val="1E2F7187"/>
    <w:rsid w:val="1E366767"/>
    <w:rsid w:val="1E3B5B2B"/>
    <w:rsid w:val="1E44482B"/>
    <w:rsid w:val="1E570B35"/>
    <w:rsid w:val="1E601A36"/>
    <w:rsid w:val="1E76533C"/>
    <w:rsid w:val="1E9A1E75"/>
    <w:rsid w:val="1E9D0594"/>
    <w:rsid w:val="1EA27958"/>
    <w:rsid w:val="1EAA4A5F"/>
    <w:rsid w:val="1EB3600A"/>
    <w:rsid w:val="1EB853CE"/>
    <w:rsid w:val="1EC43D73"/>
    <w:rsid w:val="1ED57D2E"/>
    <w:rsid w:val="1EDA17E8"/>
    <w:rsid w:val="1EDF6DFF"/>
    <w:rsid w:val="1EE44415"/>
    <w:rsid w:val="1EE53CE9"/>
    <w:rsid w:val="1EEE7042"/>
    <w:rsid w:val="1EFA44D7"/>
    <w:rsid w:val="1F022AED"/>
    <w:rsid w:val="1F0E1492"/>
    <w:rsid w:val="1F2760B0"/>
    <w:rsid w:val="1F2962CC"/>
    <w:rsid w:val="1F2D1304"/>
    <w:rsid w:val="1F303A5C"/>
    <w:rsid w:val="1F374545"/>
    <w:rsid w:val="1F3B51F5"/>
    <w:rsid w:val="1F443106"/>
    <w:rsid w:val="1F4D1FBA"/>
    <w:rsid w:val="1F5E41C7"/>
    <w:rsid w:val="1F6966C8"/>
    <w:rsid w:val="1F6D440A"/>
    <w:rsid w:val="1F6D61B8"/>
    <w:rsid w:val="1F7C464D"/>
    <w:rsid w:val="1F7C63FB"/>
    <w:rsid w:val="1F86727A"/>
    <w:rsid w:val="1F8F4381"/>
    <w:rsid w:val="1F941997"/>
    <w:rsid w:val="1F944560"/>
    <w:rsid w:val="1F9A2D26"/>
    <w:rsid w:val="1F9F20EA"/>
    <w:rsid w:val="1FA6126F"/>
    <w:rsid w:val="1FAB4F33"/>
    <w:rsid w:val="1FBC0EEE"/>
    <w:rsid w:val="1FD9384E"/>
    <w:rsid w:val="1FE30229"/>
    <w:rsid w:val="1FE83A91"/>
    <w:rsid w:val="1FFE1506"/>
    <w:rsid w:val="200A3A07"/>
    <w:rsid w:val="200B777F"/>
    <w:rsid w:val="202076CF"/>
    <w:rsid w:val="20210D51"/>
    <w:rsid w:val="202F346E"/>
    <w:rsid w:val="20344F28"/>
    <w:rsid w:val="2039253E"/>
    <w:rsid w:val="20450EE3"/>
    <w:rsid w:val="204F1D62"/>
    <w:rsid w:val="205253AE"/>
    <w:rsid w:val="20547378"/>
    <w:rsid w:val="205B4263"/>
    <w:rsid w:val="20607ACB"/>
    <w:rsid w:val="20692E24"/>
    <w:rsid w:val="207B66B3"/>
    <w:rsid w:val="207E61A3"/>
    <w:rsid w:val="20937EA1"/>
    <w:rsid w:val="20943C19"/>
    <w:rsid w:val="20A42459"/>
    <w:rsid w:val="20A91472"/>
    <w:rsid w:val="20AA62CB"/>
    <w:rsid w:val="20AD0837"/>
    <w:rsid w:val="20AE4CDA"/>
    <w:rsid w:val="20B41BC5"/>
    <w:rsid w:val="20B47E17"/>
    <w:rsid w:val="20C20786"/>
    <w:rsid w:val="20CA3197"/>
    <w:rsid w:val="20CF69FF"/>
    <w:rsid w:val="20D364EF"/>
    <w:rsid w:val="20D36794"/>
    <w:rsid w:val="20E24984"/>
    <w:rsid w:val="20E57FD0"/>
    <w:rsid w:val="20EE157B"/>
    <w:rsid w:val="20F52909"/>
    <w:rsid w:val="20F546B7"/>
    <w:rsid w:val="20F63F8C"/>
    <w:rsid w:val="211014F1"/>
    <w:rsid w:val="2116462E"/>
    <w:rsid w:val="21182154"/>
    <w:rsid w:val="2147425C"/>
    <w:rsid w:val="214B077B"/>
    <w:rsid w:val="21521B0A"/>
    <w:rsid w:val="21584C46"/>
    <w:rsid w:val="215B115F"/>
    <w:rsid w:val="215D400B"/>
    <w:rsid w:val="21621621"/>
    <w:rsid w:val="216E6218"/>
    <w:rsid w:val="218A3F2C"/>
    <w:rsid w:val="218D2B42"/>
    <w:rsid w:val="218E68BA"/>
    <w:rsid w:val="21921F06"/>
    <w:rsid w:val="21946573"/>
    <w:rsid w:val="21951EAF"/>
    <w:rsid w:val="2197576F"/>
    <w:rsid w:val="219A0DBB"/>
    <w:rsid w:val="21AB746C"/>
    <w:rsid w:val="21AD0AEE"/>
    <w:rsid w:val="21B31E7D"/>
    <w:rsid w:val="21B77BBF"/>
    <w:rsid w:val="21BA76AF"/>
    <w:rsid w:val="21CD2F3E"/>
    <w:rsid w:val="21CE6CB6"/>
    <w:rsid w:val="21D818E3"/>
    <w:rsid w:val="21DA1AFF"/>
    <w:rsid w:val="21DF0EC4"/>
    <w:rsid w:val="21E87D78"/>
    <w:rsid w:val="21ED538F"/>
    <w:rsid w:val="21F04E7F"/>
    <w:rsid w:val="220A4192"/>
    <w:rsid w:val="220B3A67"/>
    <w:rsid w:val="220F17A9"/>
    <w:rsid w:val="221072CF"/>
    <w:rsid w:val="22177991"/>
    <w:rsid w:val="22317971"/>
    <w:rsid w:val="223B434C"/>
    <w:rsid w:val="224F1BA5"/>
    <w:rsid w:val="22506F39"/>
    <w:rsid w:val="225673D8"/>
    <w:rsid w:val="22625D7D"/>
    <w:rsid w:val="229C5194"/>
    <w:rsid w:val="22A068A5"/>
    <w:rsid w:val="22A939AB"/>
    <w:rsid w:val="22AC349C"/>
    <w:rsid w:val="22B81E40"/>
    <w:rsid w:val="22D622C7"/>
    <w:rsid w:val="22EC1AEA"/>
    <w:rsid w:val="22F34C27"/>
    <w:rsid w:val="22F92EA7"/>
    <w:rsid w:val="22F97D63"/>
    <w:rsid w:val="230010F2"/>
    <w:rsid w:val="23072480"/>
    <w:rsid w:val="23081FEA"/>
    <w:rsid w:val="230A01C2"/>
    <w:rsid w:val="230D0EE5"/>
    <w:rsid w:val="230D784D"/>
    <w:rsid w:val="23103A2A"/>
    <w:rsid w:val="23144B9D"/>
    <w:rsid w:val="23216259"/>
    <w:rsid w:val="23256DAA"/>
    <w:rsid w:val="232A616E"/>
    <w:rsid w:val="23305E7B"/>
    <w:rsid w:val="23307C29"/>
    <w:rsid w:val="23331173"/>
    <w:rsid w:val="233A0AA7"/>
    <w:rsid w:val="233D0598"/>
    <w:rsid w:val="233F7E6C"/>
    <w:rsid w:val="23474F72"/>
    <w:rsid w:val="234B6811"/>
    <w:rsid w:val="234C07DB"/>
    <w:rsid w:val="234C4337"/>
    <w:rsid w:val="234E4553"/>
    <w:rsid w:val="23503B28"/>
    <w:rsid w:val="2364568C"/>
    <w:rsid w:val="236773C3"/>
    <w:rsid w:val="236830D0"/>
    <w:rsid w:val="2377537C"/>
    <w:rsid w:val="2378512C"/>
    <w:rsid w:val="237C10C0"/>
    <w:rsid w:val="237D6BE6"/>
    <w:rsid w:val="23807901"/>
    <w:rsid w:val="23897791"/>
    <w:rsid w:val="238C6E29"/>
    <w:rsid w:val="23950C20"/>
    <w:rsid w:val="239E00B4"/>
    <w:rsid w:val="23A41577"/>
    <w:rsid w:val="23A6613D"/>
    <w:rsid w:val="23A67EEB"/>
    <w:rsid w:val="23B00D6A"/>
    <w:rsid w:val="23B87C1E"/>
    <w:rsid w:val="23BE3486"/>
    <w:rsid w:val="23BF0FAD"/>
    <w:rsid w:val="23CD36CA"/>
    <w:rsid w:val="23CE2F9E"/>
    <w:rsid w:val="23CF7104"/>
    <w:rsid w:val="23D34A58"/>
    <w:rsid w:val="23D84719"/>
    <w:rsid w:val="23DB6AD3"/>
    <w:rsid w:val="23DD1433"/>
    <w:rsid w:val="23E32EED"/>
    <w:rsid w:val="23E34C9B"/>
    <w:rsid w:val="23E80503"/>
    <w:rsid w:val="23E9602A"/>
    <w:rsid w:val="23F21382"/>
    <w:rsid w:val="23F46EA8"/>
    <w:rsid w:val="23FE1AD5"/>
    <w:rsid w:val="240769FB"/>
    <w:rsid w:val="240D3AC6"/>
    <w:rsid w:val="240D7F6A"/>
    <w:rsid w:val="2414500B"/>
    <w:rsid w:val="24155071"/>
    <w:rsid w:val="24253506"/>
    <w:rsid w:val="24294678"/>
    <w:rsid w:val="242D23BA"/>
    <w:rsid w:val="243E45C7"/>
    <w:rsid w:val="244119C2"/>
    <w:rsid w:val="24444D6C"/>
    <w:rsid w:val="244871F4"/>
    <w:rsid w:val="244905A6"/>
    <w:rsid w:val="244D0366"/>
    <w:rsid w:val="24561911"/>
    <w:rsid w:val="24577437"/>
    <w:rsid w:val="246A716A"/>
    <w:rsid w:val="246D0A09"/>
    <w:rsid w:val="246D6C5B"/>
    <w:rsid w:val="247D50F0"/>
    <w:rsid w:val="2480698E"/>
    <w:rsid w:val="248C70E1"/>
    <w:rsid w:val="24912949"/>
    <w:rsid w:val="24A26904"/>
    <w:rsid w:val="24A51F50"/>
    <w:rsid w:val="24A7216D"/>
    <w:rsid w:val="24A93D28"/>
    <w:rsid w:val="24B623B0"/>
    <w:rsid w:val="24B86128"/>
    <w:rsid w:val="24BE74B6"/>
    <w:rsid w:val="24C30629"/>
    <w:rsid w:val="24C34ACD"/>
    <w:rsid w:val="24C7636B"/>
    <w:rsid w:val="24CC3981"/>
    <w:rsid w:val="24D26ABE"/>
    <w:rsid w:val="24D80578"/>
    <w:rsid w:val="24D82326"/>
    <w:rsid w:val="24E011DB"/>
    <w:rsid w:val="24E52C95"/>
    <w:rsid w:val="24E649A4"/>
    <w:rsid w:val="24F44E2B"/>
    <w:rsid w:val="24F46A34"/>
    <w:rsid w:val="24FB6014"/>
    <w:rsid w:val="250A26FB"/>
    <w:rsid w:val="250C6474"/>
    <w:rsid w:val="251371A5"/>
    <w:rsid w:val="251E74A4"/>
    <w:rsid w:val="251F7F55"/>
    <w:rsid w:val="253432D4"/>
    <w:rsid w:val="25357778"/>
    <w:rsid w:val="254479BB"/>
    <w:rsid w:val="25457290"/>
    <w:rsid w:val="25592B45"/>
    <w:rsid w:val="25592D3B"/>
    <w:rsid w:val="255D409B"/>
    <w:rsid w:val="255F65A3"/>
    <w:rsid w:val="256516E0"/>
    <w:rsid w:val="256718FC"/>
    <w:rsid w:val="256811AE"/>
    <w:rsid w:val="25755DC7"/>
    <w:rsid w:val="25787665"/>
    <w:rsid w:val="25826736"/>
    <w:rsid w:val="25861D82"/>
    <w:rsid w:val="25900E53"/>
    <w:rsid w:val="25A0096A"/>
    <w:rsid w:val="25A16BBC"/>
    <w:rsid w:val="25A42208"/>
    <w:rsid w:val="25A77F4A"/>
    <w:rsid w:val="25C32FD6"/>
    <w:rsid w:val="25CB59E7"/>
    <w:rsid w:val="25CE54D7"/>
    <w:rsid w:val="25D23219"/>
    <w:rsid w:val="25DF76E4"/>
    <w:rsid w:val="25E46AA9"/>
    <w:rsid w:val="25E76599"/>
    <w:rsid w:val="25F82554"/>
    <w:rsid w:val="25FF38E2"/>
    <w:rsid w:val="26025181"/>
    <w:rsid w:val="26040EF9"/>
    <w:rsid w:val="26094761"/>
    <w:rsid w:val="260E1D77"/>
    <w:rsid w:val="261F3F85"/>
    <w:rsid w:val="26211AAB"/>
    <w:rsid w:val="262E41C8"/>
    <w:rsid w:val="26323CB8"/>
    <w:rsid w:val="263A2B6C"/>
    <w:rsid w:val="263A491A"/>
    <w:rsid w:val="264735B6"/>
    <w:rsid w:val="26551754"/>
    <w:rsid w:val="26655E3B"/>
    <w:rsid w:val="26663961"/>
    <w:rsid w:val="267B565F"/>
    <w:rsid w:val="267E0CAB"/>
    <w:rsid w:val="2685203A"/>
    <w:rsid w:val="26A050C5"/>
    <w:rsid w:val="26A56238"/>
    <w:rsid w:val="26A76454"/>
    <w:rsid w:val="26AF70B6"/>
    <w:rsid w:val="26B172D2"/>
    <w:rsid w:val="26BE19EF"/>
    <w:rsid w:val="26C708A4"/>
    <w:rsid w:val="26CD39E1"/>
    <w:rsid w:val="26D905D7"/>
    <w:rsid w:val="26D97AE9"/>
    <w:rsid w:val="26DC3C24"/>
    <w:rsid w:val="26EA00EF"/>
    <w:rsid w:val="26EB3E67"/>
    <w:rsid w:val="26ED7BDF"/>
    <w:rsid w:val="26EF3957"/>
    <w:rsid w:val="26F92A28"/>
    <w:rsid w:val="270A69E3"/>
    <w:rsid w:val="270F5DA7"/>
    <w:rsid w:val="27127645"/>
    <w:rsid w:val="27206206"/>
    <w:rsid w:val="27233601"/>
    <w:rsid w:val="27303202"/>
    <w:rsid w:val="27363334"/>
    <w:rsid w:val="273852FE"/>
    <w:rsid w:val="273B6B9C"/>
    <w:rsid w:val="27457A1B"/>
    <w:rsid w:val="274719E5"/>
    <w:rsid w:val="27533EE6"/>
    <w:rsid w:val="27554102"/>
    <w:rsid w:val="275B0FEC"/>
    <w:rsid w:val="27624129"/>
    <w:rsid w:val="27743E5C"/>
    <w:rsid w:val="27767BD4"/>
    <w:rsid w:val="27787DF0"/>
    <w:rsid w:val="277D5407"/>
    <w:rsid w:val="27843CE5"/>
    <w:rsid w:val="27893DAB"/>
    <w:rsid w:val="27930786"/>
    <w:rsid w:val="27A40BE5"/>
    <w:rsid w:val="27A50B7C"/>
    <w:rsid w:val="27A961FC"/>
    <w:rsid w:val="27B5694E"/>
    <w:rsid w:val="27BB7CDD"/>
    <w:rsid w:val="27D56FF1"/>
    <w:rsid w:val="27DA4607"/>
    <w:rsid w:val="27EB2370"/>
    <w:rsid w:val="27EE3C0E"/>
    <w:rsid w:val="27FA6A57"/>
    <w:rsid w:val="27FB5F98"/>
    <w:rsid w:val="28013942"/>
    <w:rsid w:val="280671AA"/>
    <w:rsid w:val="283830DC"/>
    <w:rsid w:val="284B2E0F"/>
    <w:rsid w:val="284D4DD9"/>
    <w:rsid w:val="284E28FF"/>
    <w:rsid w:val="285A74F6"/>
    <w:rsid w:val="28620159"/>
    <w:rsid w:val="28665E9B"/>
    <w:rsid w:val="28687E65"/>
    <w:rsid w:val="286A598B"/>
    <w:rsid w:val="287405B8"/>
    <w:rsid w:val="28766B82"/>
    <w:rsid w:val="2879797C"/>
    <w:rsid w:val="287A36F4"/>
    <w:rsid w:val="287F0D0A"/>
    <w:rsid w:val="288527C5"/>
    <w:rsid w:val="28884063"/>
    <w:rsid w:val="289C366A"/>
    <w:rsid w:val="28AA222B"/>
    <w:rsid w:val="28AC5FA3"/>
    <w:rsid w:val="28AE2CB1"/>
    <w:rsid w:val="28C606E7"/>
    <w:rsid w:val="28CA642A"/>
    <w:rsid w:val="28D82F98"/>
    <w:rsid w:val="28E3573D"/>
    <w:rsid w:val="28F039B6"/>
    <w:rsid w:val="28FB65E3"/>
    <w:rsid w:val="291122AA"/>
    <w:rsid w:val="291B4ED7"/>
    <w:rsid w:val="291C47AB"/>
    <w:rsid w:val="292C0E92"/>
    <w:rsid w:val="29310257"/>
    <w:rsid w:val="29424212"/>
    <w:rsid w:val="2942529C"/>
    <w:rsid w:val="294C5091"/>
    <w:rsid w:val="294D2BB7"/>
    <w:rsid w:val="29514455"/>
    <w:rsid w:val="29534671"/>
    <w:rsid w:val="295757E3"/>
    <w:rsid w:val="295D54F0"/>
    <w:rsid w:val="29600B3C"/>
    <w:rsid w:val="298011DE"/>
    <w:rsid w:val="298313A8"/>
    <w:rsid w:val="298A7967"/>
    <w:rsid w:val="298E38FB"/>
    <w:rsid w:val="29934A6D"/>
    <w:rsid w:val="299A404E"/>
    <w:rsid w:val="299E3412"/>
    <w:rsid w:val="29A924E3"/>
    <w:rsid w:val="29AE2ACE"/>
    <w:rsid w:val="29AF561F"/>
    <w:rsid w:val="29B570DA"/>
    <w:rsid w:val="29B669AE"/>
    <w:rsid w:val="29C15A7E"/>
    <w:rsid w:val="29CC61D1"/>
    <w:rsid w:val="29CE5AA6"/>
    <w:rsid w:val="29D35706"/>
    <w:rsid w:val="29DA6B40"/>
    <w:rsid w:val="29DB4666"/>
    <w:rsid w:val="29DD218D"/>
    <w:rsid w:val="29E03A2B"/>
    <w:rsid w:val="29E259F5"/>
    <w:rsid w:val="29F3300C"/>
    <w:rsid w:val="29F574D6"/>
    <w:rsid w:val="29F86FC6"/>
    <w:rsid w:val="29FB0865"/>
    <w:rsid w:val="29FD638B"/>
    <w:rsid w:val="2A0616E3"/>
    <w:rsid w:val="2A0E2346"/>
    <w:rsid w:val="2A151926"/>
    <w:rsid w:val="2A157B78"/>
    <w:rsid w:val="2A187669"/>
    <w:rsid w:val="2A307D13"/>
    <w:rsid w:val="2A337FFE"/>
    <w:rsid w:val="2A475858"/>
    <w:rsid w:val="2A522B7B"/>
    <w:rsid w:val="2A524929"/>
    <w:rsid w:val="2A585CB7"/>
    <w:rsid w:val="2A5B68EF"/>
    <w:rsid w:val="2A6C3C54"/>
    <w:rsid w:val="2A70047E"/>
    <w:rsid w:val="2A8820F8"/>
    <w:rsid w:val="2A8A2314"/>
    <w:rsid w:val="2A8B1BE9"/>
    <w:rsid w:val="2A9E7B6E"/>
    <w:rsid w:val="2AA119FC"/>
    <w:rsid w:val="2AA607D0"/>
    <w:rsid w:val="2AA66A22"/>
    <w:rsid w:val="2AAE58D7"/>
    <w:rsid w:val="2AB63109"/>
    <w:rsid w:val="2ABA427C"/>
    <w:rsid w:val="2AC1385C"/>
    <w:rsid w:val="2AC375D4"/>
    <w:rsid w:val="2AC54659"/>
    <w:rsid w:val="2AD43590"/>
    <w:rsid w:val="2AE13EFE"/>
    <w:rsid w:val="2AE5579D"/>
    <w:rsid w:val="2AED4651"/>
    <w:rsid w:val="2AFB4FC0"/>
    <w:rsid w:val="2AFE685E"/>
    <w:rsid w:val="2B12230A"/>
    <w:rsid w:val="2B1A4D1A"/>
    <w:rsid w:val="2B200583"/>
    <w:rsid w:val="2B204A27"/>
    <w:rsid w:val="2B2A1401"/>
    <w:rsid w:val="2B391645"/>
    <w:rsid w:val="2B4D50F0"/>
    <w:rsid w:val="2B5B5A5F"/>
    <w:rsid w:val="2B620B9B"/>
    <w:rsid w:val="2B720BE3"/>
    <w:rsid w:val="2B7B3A0B"/>
    <w:rsid w:val="2B7F799F"/>
    <w:rsid w:val="2B85488A"/>
    <w:rsid w:val="2B911481"/>
    <w:rsid w:val="2BA015F2"/>
    <w:rsid w:val="2BAA42F0"/>
    <w:rsid w:val="2BAD5B8F"/>
    <w:rsid w:val="2BB275D3"/>
    <w:rsid w:val="2BB94533"/>
    <w:rsid w:val="2BC5737C"/>
    <w:rsid w:val="2BC74EA2"/>
    <w:rsid w:val="2BCA042B"/>
    <w:rsid w:val="2BD87820"/>
    <w:rsid w:val="2BDA4BD6"/>
    <w:rsid w:val="2BDB6BA0"/>
    <w:rsid w:val="2BE94E19"/>
    <w:rsid w:val="2BEE0681"/>
    <w:rsid w:val="2BF8505C"/>
    <w:rsid w:val="2BFA7026"/>
    <w:rsid w:val="2BFE4CDD"/>
    <w:rsid w:val="2C0003B4"/>
    <w:rsid w:val="2C0C4FAB"/>
    <w:rsid w:val="2C11436F"/>
    <w:rsid w:val="2C212804"/>
    <w:rsid w:val="2C22657D"/>
    <w:rsid w:val="2C2916B9"/>
    <w:rsid w:val="2C2B5431"/>
    <w:rsid w:val="2C300C99"/>
    <w:rsid w:val="2C365B84"/>
    <w:rsid w:val="2C3818FC"/>
    <w:rsid w:val="2C414C55"/>
    <w:rsid w:val="2C5524AE"/>
    <w:rsid w:val="2C5524B3"/>
    <w:rsid w:val="2C5D65DB"/>
    <w:rsid w:val="2C622E1D"/>
    <w:rsid w:val="2C626979"/>
    <w:rsid w:val="2C6646BB"/>
    <w:rsid w:val="2C7566AC"/>
    <w:rsid w:val="2C7A0167"/>
    <w:rsid w:val="2C901738"/>
    <w:rsid w:val="2C970D19"/>
    <w:rsid w:val="2C9C00DD"/>
    <w:rsid w:val="2C9C63F3"/>
    <w:rsid w:val="2C9F1802"/>
    <w:rsid w:val="2CA90A4C"/>
    <w:rsid w:val="2CAB0320"/>
    <w:rsid w:val="2CAB47C4"/>
    <w:rsid w:val="2CB52F4D"/>
    <w:rsid w:val="2CBA67B5"/>
    <w:rsid w:val="2CBC077F"/>
    <w:rsid w:val="2CBF3DCB"/>
    <w:rsid w:val="2CC118F2"/>
    <w:rsid w:val="2CC3566A"/>
    <w:rsid w:val="2CC633AC"/>
    <w:rsid w:val="2CC6515A"/>
    <w:rsid w:val="2CC82C80"/>
    <w:rsid w:val="2CCA2E9C"/>
    <w:rsid w:val="2CCB6C14"/>
    <w:rsid w:val="2CCD473A"/>
    <w:rsid w:val="2CCE2260"/>
    <w:rsid w:val="2CE51A84"/>
    <w:rsid w:val="2D0B7C88"/>
    <w:rsid w:val="2D102879"/>
    <w:rsid w:val="2D1660E1"/>
    <w:rsid w:val="2D1A7254"/>
    <w:rsid w:val="2D2068C0"/>
    <w:rsid w:val="2D340315"/>
    <w:rsid w:val="2D3E1194"/>
    <w:rsid w:val="2D406CBA"/>
    <w:rsid w:val="2D450775"/>
    <w:rsid w:val="2D482013"/>
    <w:rsid w:val="2D574004"/>
    <w:rsid w:val="2D744BB6"/>
    <w:rsid w:val="2D811081"/>
    <w:rsid w:val="2D8F19F0"/>
    <w:rsid w:val="2D9214E0"/>
    <w:rsid w:val="2D9E60D7"/>
    <w:rsid w:val="2DA01E4F"/>
    <w:rsid w:val="2DA07759"/>
    <w:rsid w:val="2DA70645"/>
    <w:rsid w:val="2DA84860"/>
    <w:rsid w:val="2DAA4A7C"/>
    <w:rsid w:val="2DAA682A"/>
    <w:rsid w:val="2DAD00C8"/>
    <w:rsid w:val="2DC0604D"/>
    <w:rsid w:val="2DE57862"/>
    <w:rsid w:val="2DE75388"/>
    <w:rsid w:val="2DF81343"/>
    <w:rsid w:val="2DFA0E8F"/>
    <w:rsid w:val="2DFD4BAB"/>
    <w:rsid w:val="2DFF6B75"/>
    <w:rsid w:val="2E183793"/>
    <w:rsid w:val="2E220AB6"/>
    <w:rsid w:val="2E224612"/>
    <w:rsid w:val="2E262354"/>
    <w:rsid w:val="2E2760CC"/>
    <w:rsid w:val="2E293BF2"/>
    <w:rsid w:val="2E2C5491"/>
    <w:rsid w:val="2E2E745B"/>
    <w:rsid w:val="2E3A5DFF"/>
    <w:rsid w:val="2E3C1B78"/>
    <w:rsid w:val="2E3D144C"/>
    <w:rsid w:val="2E400F3C"/>
    <w:rsid w:val="2E474078"/>
    <w:rsid w:val="2E5C5D76"/>
    <w:rsid w:val="2E7007E6"/>
    <w:rsid w:val="2E813A2E"/>
    <w:rsid w:val="2E8250B1"/>
    <w:rsid w:val="2E8928E3"/>
    <w:rsid w:val="2E8B665B"/>
    <w:rsid w:val="2E8D6146"/>
    <w:rsid w:val="2E913546"/>
    <w:rsid w:val="2E935510"/>
    <w:rsid w:val="2E951288"/>
    <w:rsid w:val="2E9A689E"/>
    <w:rsid w:val="2EAB0AAB"/>
    <w:rsid w:val="2EAB4607"/>
    <w:rsid w:val="2EAD65D1"/>
    <w:rsid w:val="2EB76F86"/>
    <w:rsid w:val="2EC21951"/>
    <w:rsid w:val="2EC658E5"/>
    <w:rsid w:val="2EC765F3"/>
    <w:rsid w:val="2EC76F67"/>
    <w:rsid w:val="2ED95618"/>
    <w:rsid w:val="2EE144CD"/>
    <w:rsid w:val="2EE63891"/>
    <w:rsid w:val="2EE6563F"/>
    <w:rsid w:val="2EE87609"/>
    <w:rsid w:val="2EE95130"/>
    <w:rsid w:val="2EEA0214"/>
    <w:rsid w:val="2EF02962"/>
    <w:rsid w:val="2EF22236"/>
    <w:rsid w:val="2EF44200"/>
    <w:rsid w:val="2EF91817"/>
    <w:rsid w:val="2EFE0BDB"/>
    <w:rsid w:val="2F012479"/>
    <w:rsid w:val="2F0F103A"/>
    <w:rsid w:val="2F1228D8"/>
    <w:rsid w:val="2F1515E2"/>
    <w:rsid w:val="2F155F25"/>
    <w:rsid w:val="2F173372"/>
    <w:rsid w:val="2F1C3757"/>
    <w:rsid w:val="2F260132"/>
    <w:rsid w:val="2F326AD7"/>
    <w:rsid w:val="2F33106A"/>
    <w:rsid w:val="2F3E191F"/>
    <w:rsid w:val="2F452CAE"/>
    <w:rsid w:val="2F4D1B62"/>
    <w:rsid w:val="2F4D3910"/>
    <w:rsid w:val="2F522CD5"/>
    <w:rsid w:val="2F5702EB"/>
    <w:rsid w:val="2F57653D"/>
    <w:rsid w:val="2F5A7DDB"/>
    <w:rsid w:val="2F5B427F"/>
    <w:rsid w:val="2F603644"/>
    <w:rsid w:val="2F61521A"/>
    <w:rsid w:val="2F6A6270"/>
    <w:rsid w:val="2F77273B"/>
    <w:rsid w:val="2F7964B4"/>
    <w:rsid w:val="2F805A94"/>
    <w:rsid w:val="2F827A5E"/>
    <w:rsid w:val="2F8310E0"/>
    <w:rsid w:val="2F8337D6"/>
    <w:rsid w:val="2F8A06C1"/>
    <w:rsid w:val="2F8A6913"/>
    <w:rsid w:val="2F974B8C"/>
    <w:rsid w:val="2FA34A9D"/>
    <w:rsid w:val="2FA8323D"/>
    <w:rsid w:val="2FA84FEB"/>
    <w:rsid w:val="2FAE4BCA"/>
    <w:rsid w:val="2FAF6379"/>
    <w:rsid w:val="2FBB6ACC"/>
    <w:rsid w:val="2FCC2A87"/>
    <w:rsid w:val="2FDB733F"/>
    <w:rsid w:val="2FDE27BA"/>
    <w:rsid w:val="2FE1745E"/>
    <w:rsid w:val="2FE36023"/>
    <w:rsid w:val="2FE40EB6"/>
    <w:rsid w:val="2FE73D65"/>
    <w:rsid w:val="2FE853E7"/>
    <w:rsid w:val="2FEC3129"/>
    <w:rsid w:val="2FF65D56"/>
    <w:rsid w:val="3005243D"/>
    <w:rsid w:val="302208F9"/>
    <w:rsid w:val="302723B3"/>
    <w:rsid w:val="3029612C"/>
    <w:rsid w:val="302E54F0"/>
    <w:rsid w:val="30336FAA"/>
    <w:rsid w:val="3034687E"/>
    <w:rsid w:val="30475DB2"/>
    <w:rsid w:val="304C3BC8"/>
    <w:rsid w:val="30640F12"/>
    <w:rsid w:val="307B44AD"/>
    <w:rsid w:val="308B2942"/>
    <w:rsid w:val="308E3854"/>
    <w:rsid w:val="30915A7F"/>
    <w:rsid w:val="30917C31"/>
    <w:rsid w:val="309218A9"/>
    <w:rsid w:val="3095731D"/>
    <w:rsid w:val="30986E0D"/>
    <w:rsid w:val="30A05CC2"/>
    <w:rsid w:val="30A23EB5"/>
    <w:rsid w:val="30AA08EF"/>
    <w:rsid w:val="30AB6B41"/>
    <w:rsid w:val="30AE6631"/>
    <w:rsid w:val="30BD4AC6"/>
    <w:rsid w:val="30BD6874"/>
    <w:rsid w:val="30C3032E"/>
    <w:rsid w:val="30CE6CD3"/>
    <w:rsid w:val="30D50061"/>
    <w:rsid w:val="30D81900"/>
    <w:rsid w:val="30ED7159"/>
    <w:rsid w:val="30F46739"/>
    <w:rsid w:val="30FE760C"/>
    <w:rsid w:val="30FF6E8C"/>
    <w:rsid w:val="31140B8A"/>
    <w:rsid w:val="311566B0"/>
    <w:rsid w:val="311741D6"/>
    <w:rsid w:val="312566B9"/>
    <w:rsid w:val="31271F3F"/>
    <w:rsid w:val="31293F09"/>
    <w:rsid w:val="312E32CE"/>
    <w:rsid w:val="313F28C7"/>
    <w:rsid w:val="314825E1"/>
    <w:rsid w:val="314F1BC2"/>
    <w:rsid w:val="315076E8"/>
    <w:rsid w:val="31540F86"/>
    <w:rsid w:val="315C7E3B"/>
    <w:rsid w:val="315E0057"/>
    <w:rsid w:val="31605B7D"/>
    <w:rsid w:val="316136A3"/>
    <w:rsid w:val="316A69FC"/>
    <w:rsid w:val="31723B02"/>
    <w:rsid w:val="318178A1"/>
    <w:rsid w:val="319474F1"/>
    <w:rsid w:val="319C292D"/>
    <w:rsid w:val="31A0241D"/>
    <w:rsid w:val="31A6555A"/>
    <w:rsid w:val="31C854D0"/>
    <w:rsid w:val="31D65E3F"/>
    <w:rsid w:val="31DB5204"/>
    <w:rsid w:val="31E83DC4"/>
    <w:rsid w:val="31EC5663"/>
    <w:rsid w:val="31EC7411"/>
    <w:rsid w:val="31EE13DB"/>
    <w:rsid w:val="31F12C79"/>
    <w:rsid w:val="31F6203D"/>
    <w:rsid w:val="31F75DB5"/>
    <w:rsid w:val="3203475A"/>
    <w:rsid w:val="320F30FF"/>
    <w:rsid w:val="320F75A3"/>
    <w:rsid w:val="32180206"/>
    <w:rsid w:val="3220530C"/>
    <w:rsid w:val="32496611"/>
    <w:rsid w:val="32513718"/>
    <w:rsid w:val="325154C6"/>
    <w:rsid w:val="32607DFF"/>
    <w:rsid w:val="32621481"/>
    <w:rsid w:val="326A2A2B"/>
    <w:rsid w:val="326E42CA"/>
    <w:rsid w:val="327C0469"/>
    <w:rsid w:val="327F64D7"/>
    <w:rsid w:val="328E671A"/>
    <w:rsid w:val="32904240"/>
    <w:rsid w:val="329D4BAF"/>
    <w:rsid w:val="32A45F3D"/>
    <w:rsid w:val="32A97FF2"/>
    <w:rsid w:val="32C4038E"/>
    <w:rsid w:val="32CB34CA"/>
    <w:rsid w:val="32D06D32"/>
    <w:rsid w:val="32D3237F"/>
    <w:rsid w:val="32DA195F"/>
    <w:rsid w:val="32DD144F"/>
    <w:rsid w:val="32E0684A"/>
    <w:rsid w:val="32E14A9C"/>
    <w:rsid w:val="32E225C2"/>
    <w:rsid w:val="32E4633A"/>
    <w:rsid w:val="32EB653A"/>
    <w:rsid w:val="32F80037"/>
    <w:rsid w:val="3301513E"/>
    <w:rsid w:val="33093FF2"/>
    <w:rsid w:val="331309CD"/>
    <w:rsid w:val="331A61FF"/>
    <w:rsid w:val="331B37CB"/>
    <w:rsid w:val="331F7372"/>
    <w:rsid w:val="33323549"/>
    <w:rsid w:val="333F7A14"/>
    <w:rsid w:val="33462B51"/>
    <w:rsid w:val="334868C9"/>
    <w:rsid w:val="334D3EDF"/>
    <w:rsid w:val="335C05C6"/>
    <w:rsid w:val="33631954"/>
    <w:rsid w:val="33680D19"/>
    <w:rsid w:val="336851BD"/>
    <w:rsid w:val="337C6572"/>
    <w:rsid w:val="33884F17"/>
    <w:rsid w:val="338D69D1"/>
    <w:rsid w:val="33A51F6D"/>
    <w:rsid w:val="33A53D1B"/>
    <w:rsid w:val="33B00175"/>
    <w:rsid w:val="33B91574"/>
    <w:rsid w:val="33B95A18"/>
    <w:rsid w:val="33C85C5B"/>
    <w:rsid w:val="33D740F0"/>
    <w:rsid w:val="33DE0FDB"/>
    <w:rsid w:val="33DE722D"/>
    <w:rsid w:val="33E40A75"/>
    <w:rsid w:val="33EC7B9C"/>
    <w:rsid w:val="33FF7918"/>
    <w:rsid w:val="340B78F6"/>
    <w:rsid w:val="34132844"/>
    <w:rsid w:val="34140EA1"/>
    <w:rsid w:val="341D09B6"/>
    <w:rsid w:val="3422536C"/>
    <w:rsid w:val="342A06C4"/>
    <w:rsid w:val="34321327"/>
    <w:rsid w:val="343E1A7A"/>
    <w:rsid w:val="343E5A24"/>
    <w:rsid w:val="34545741"/>
    <w:rsid w:val="34560C04"/>
    <w:rsid w:val="34592D57"/>
    <w:rsid w:val="346040E6"/>
    <w:rsid w:val="34605E94"/>
    <w:rsid w:val="34637732"/>
    <w:rsid w:val="346516FC"/>
    <w:rsid w:val="34784F8C"/>
    <w:rsid w:val="347A51A8"/>
    <w:rsid w:val="34806536"/>
    <w:rsid w:val="34873421"/>
    <w:rsid w:val="348A1163"/>
    <w:rsid w:val="349B511E"/>
    <w:rsid w:val="34A264AC"/>
    <w:rsid w:val="34A42225"/>
    <w:rsid w:val="34A71D15"/>
    <w:rsid w:val="34B33D14"/>
    <w:rsid w:val="34B561E0"/>
    <w:rsid w:val="34BA1A48"/>
    <w:rsid w:val="34BD32E6"/>
    <w:rsid w:val="34C16F72"/>
    <w:rsid w:val="34C861EB"/>
    <w:rsid w:val="34CE1050"/>
    <w:rsid w:val="34E645EB"/>
    <w:rsid w:val="34E72111"/>
    <w:rsid w:val="34E97C37"/>
    <w:rsid w:val="34F52A80"/>
    <w:rsid w:val="34FC3E0F"/>
    <w:rsid w:val="350031D3"/>
    <w:rsid w:val="3518051D"/>
    <w:rsid w:val="351A24E7"/>
    <w:rsid w:val="351F5D4F"/>
    <w:rsid w:val="35243365"/>
    <w:rsid w:val="3529097C"/>
    <w:rsid w:val="352B0250"/>
    <w:rsid w:val="35337105"/>
    <w:rsid w:val="353F1F4D"/>
    <w:rsid w:val="3546508A"/>
    <w:rsid w:val="354C01C6"/>
    <w:rsid w:val="35531555"/>
    <w:rsid w:val="356F3B81"/>
    <w:rsid w:val="357122BA"/>
    <w:rsid w:val="357563ED"/>
    <w:rsid w:val="3575771D"/>
    <w:rsid w:val="357A3162"/>
    <w:rsid w:val="357A353D"/>
    <w:rsid w:val="357F67EE"/>
    <w:rsid w:val="358D4A67"/>
    <w:rsid w:val="3598340C"/>
    <w:rsid w:val="359E4EC6"/>
    <w:rsid w:val="35AA386B"/>
    <w:rsid w:val="35AE0871"/>
    <w:rsid w:val="35B446E9"/>
    <w:rsid w:val="35BC34A2"/>
    <w:rsid w:val="35BE2E72"/>
    <w:rsid w:val="35CF32D1"/>
    <w:rsid w:val="35DC154A"/>
    <w:rsid w:val="35DC59EE"/>
    <w:rsid w:val="35DC779C"/>
    <w:rsid w:val="35E14DB3"/>
    <w:rsid w:val="35F03248"/>
    <w:rsid w:val="35F22391"/>
    <w:rsid w:val="35FB2318"/>
    <w:rsid w:val="36070CBD"/>
    <w:rsid w:val="360A4309"/>
    <w:rsid w:val="360B1E2F"/>
    <w:rsid w:val="360D3DFA"/>
    <w:rsid w:val="360D5BA8"/>
    <w:rsid w:val="361A2073"/>
    <w:rsid w:val="362178A5"/>
    <w:rsid w:val="362A0508"/>
    <w:rsid w:val="362A49AB"/>
    <w:rsid w:val="362F3D70"/>
    <w:rsid w:val="362F5B1E"/>
    <w:rsid w:val="36315D3A"/>
    <w:rsid w:val="363E2205"/>
    <w:rsid w:val="36484E32"/>
    <w:rsid w:val="364D2448"/>
    <w:rsid w:val="3656754F"/>
    <w:rsid w:val="365D19CC"/>
    <w:rsid w:val="36603F29"/>
    <w:rsid w:val="36730100"/>
    <w:rsid w:val="3677219B"/>
    <w:rsid w:val="36780954"/>
    <w:rsid w:val="368A544A"/>
    <w:rsid w:val="36900240"/>
    <w:rsid w:val="36987B67"/>
    <w:rsid w:val="36A209E6"/>
    <w:rsid w:val="36AB22DE"/>
    <w:rsid w:val="36AC716F"/>
    <w:rsid w:val="36B14785"/>
    <w:rsid w:val="36B85B13"/>
    <w:rsid w:val="36BA5D2F"/>
    <w:rsid w:val="36C02C1A"/>
    <w:rsid w:val="36CA3A99"/>
    <w:rsid w:val="36D14E27"/>
    <w:rsid w:val="36D30B9F"/>
    <w:rsid w:val="36D44917"/>
    <w:rsid w:val="36DB7A54"/>
    <w:rsid w:val="36DF6329"/>
    <w:rsid w:val="36E36908"/>
    <w:rsid w:val="36E56B24"/>
    <w:rsid w:val="36EE7787"/>
    <w:rsid w:val="36F402F3"/>
    <w:rsid w:val="37074CED"/>
    <w:rsid w:val="37180CA8"/>
    <w:rsid w:val="37184804"/>
    <w:rsid w:val="371B42F4"/>
    <w:rsid w:val="371D006C"/>
    <w:rsid w:val="373158C6"/>
    <w:rsid w:val="37357164"/>
    <w:rsid w:val="373A1000"/>
    <w:rsid w:val="37411C50"/>
    <w:rsid w:val="37441A9D"/>
    <w:rsid w:val="3747333B"/>
    <w:rsid w:val="374E46CA"/>
    <w:rsid w:val="375A4E1C"/>
    <w:rsid w:val="375B2943"/>
    <w:rsid w:val="375C6DE7"/>
    <w:rsid w:val="376B702A"/>
    <w:rsid w:val="376E6B1A"/>
    <w:rsid w:val="377C4D93"/>
    <w:rsid w:val="3781684D"/>
    <w:rsid w:val="378557A7"/>
    <w:rsid w:val="378B147A"/>
    <w:rsid w:val="37991DE9"/>
    <w:rsid w:val="37992FD8"/>
    <w:rsid w:val="379C259E"/>
    <w:rsid w:val="37A61E10"/>
    <w:rsid w:val="37A75B88"/>
    <w:rsid w:val="37B22EAA"/>
    <w:rsid w:val="37B3452D"/>
    <w:rsid w:val="37BA58BB"/>
    <w:rsid w:val="37BF7375"/>
    <w:rsid w:val="37C64260"/>
    <w:rsid w:val="37C8447C"/>
    <w:rsid w:val="37D01583"/>
    <w:rsid w:val="37D54D69"/>
    <w:rsid w:val="37DC1CD5"/>
    <w:rsid w:val="37DE77FC"/>
    <w:rsid w:val="37E40B8A"/>
    <w:rsid w:val="37F54B45"/>
    <w:rsid w:val="37F76B0F"/>
    <w:rsid w:val="3801173C"/>
    <w:rsid w:val="38033706"/>
    <w:rsid w:val="38163439"/>
    <w:rsid w:val="38207E14"/>
    <w:rsid w:val="383B2EA0"/>
    <w:rsid w:val="383C6EB2"/>
    <w:rsid w:val="38726196"/>
    <w:rsid w:val="38765C86"/>
    <w:rsid w:val="38787C50"/>
    <w:rsid w:val="388D2FD0"/>
    <w:rsid w:val="38910D12"/>
    <w:rsid w:val="3894435E"/>
    <w:rsid w:val="38A30A45"/>
    <w:rsid w:val="38A8605B"/>
    <w:rsid w:val="38B13162"/>
    <w:rsid w:val="38BF587F"/>
    <w:rsid w:val="38D66725"/>
    <w:rsid w:val="38E30E42"/>
    <w:rsid w:val="38E452E6"/>
    <w:rsid w:val="38EE1CC0"/>
    <w:rsid w:val="38EF3C8A"/>
    <w:rsid w:val="38F1355F"/>
    <w:rsid w:val="38F372D7"/>
    <w:rsid w:val="38F90665"/>
    <w:rsid w:val="390029CB"/>
    <w:rsid w:val="390908A8"/>
    <w:rsid w:val="391A2AB5"/>
    <w:rsid w:val="391B682D"/>
    <w:rsid w:val="3925145A"/>
    <w:rsid w:val="392576AC"/>
    <w:rsid w:val="393618B9"/>
    <w:rsid w:val="39382F3B"/>
    <w:rsid w:val="393B1E1B"/>
    <w:rsid w:val="394538AA"/>
    <w:rsid w:val="39461AFC"/>
    <w:rsid w:val="395B4E7C"/>
    <w:rsid w:val="39697599"/>
    <w:rsid w:val="39700927"/>
    <w:rsid w:val="3971644D"/>
    <w:rsid w:val="397204BA"/>
    <w:rsid w:val="39736669"/>
    <w:rsid w:val="39754190"/>
    <w:rsid w:val="39763A64"/>
    <w:rsid w:val="397A79F8"/>
    <w:rsid w:val="3980268B"/>
    <w:rsid w:val="398268AC"/>
    <w:rsid w:val="39882115"/>
    <w:rsid w:val="398C3287"/>
    <w:rsid w:val="3995213C"/>
    <w:rsid w:val="399F2FBB"/>
    <w:rsid w:val="39B527DE"/>
    <w:rsid w:val="39BD1693"/>
    <w:rsid w:val="39BD78E5"/>
    <w:rsid w:val="39C26CA9"/>
    <w:rsid w:val="39C742BF"/>
    <w:rsid w:val="39D4535A"/>
    <w:rsid w:val="39D72754"/>
    <w:rsid w:val="39DF3CFF"/>
    <w:rsid w:val="39DF5AAD"/>
    <w:rsid w:val="39E15381"/>
    <w:rsid w:val="39E76710"/>
    <w:rsid w:val="39F01A68"/>
    <w:rsid w:val="39F2758E"/>
    <w:rsid w:val="39F827D8"/>
    <w:rsid w:val="39F96B6F"/>
    <w:rsid w:val="39FC040D"/>
    <w:rsid w:val="39FE23D7"/>
    <w:rsid w:val="3A0177D1"/>
    <w:rsid w:val="3A033549"/>
    <w:rsid w:val="3A1439A9"/>
    <w:rsid w:val="3A184B1B"/>
    <w:rsid w:val="3A217E73"/>
    <w:rsid w:val="3A255BB6"/>
    <w:rsid w:val="3A27298D"/>
    <w:rsid w:val="3A3758E9"/>
    <w:rsid w:val="3A39340F"/>
    <w:rsid w:val="3A3C2EFF"/>
    <w:rsid w:val="3A451DB4"/>
    <w:rsid w:val="3A5913BB"/>
    <w:rsid w:val="3A6D130B"/>
    <w:rsid w:val="3A6F5083"/>
    <w:rsid w:val="3A704957"/>
    <w:rsid w:val="3A7461F5"/>
    <w:rsid w:val="3A7B57D6"/>
    <w:rsid w:val="3A830AE3"/>
    <w:rsid w:val="3A836438"/>
    <w:rsid w:val="3A887EF3"/>
    <w:rsid w:val="3A8A5A19"/>
    <w:rsid w:val="3A8B353F"/>
    <w:rsid w:val="3A9B1F64"/>
    <w:rsid w:val="3A9C596E"/>
    <w:rsid w:val="3A9D23F4"/>
    <w:rsid w:val="3AAA60BB"/>
    <w:rsid w:val="3AAA7E69"/>
    <w:rsid w:val="3AAB598F"/>
    <w:rsid w:val="3AAC3BE1"/>
    <w:rsid w:val="3AB375B9"/>
    <w:rsid w:val="3AB46F3A"/>
    <w:rsid w:val="3AB900AC"/>
    <w:rsid w:val="3ABB02C8"/>
    <w:rsid w:val="3AC52EF5"/>
    <w:rsid w:val="3ACF5B21"/>
    <w:rsid w:val="3AD15273"/>
    <w:rsid w:val="3AD76784"/>
    <w:rsid w:val="3AD83B2E"/>
    <w:rsid w:val="3ADF6BB1"/>
    <w:rsid w:val="3AFB06C4"/>
    <w:rsid w:val="3B003F2D"/>
    <w:rsid w:val="3B023801"/>
    <w:rsid w:val="3B051543"/>
    <w:rsid w:val="3B191D09"/>
    <w:rsid w:val="3B286FE0"/>
    <w:rsid w:val="3B313993"/>
    <w:rsid w:val="3B381919"/>
    <w:rsid w:val="3B404329"/>
    <w:rsid w:val="3B443774"/>
    <w:rsid w:val="3B47390A"/>
    <w:rsid w:val="3B49379E"/>
    <w:rsid w:val="3B5F50F7"/>
    <w:rsid w:val="3B710987"/>
    <w:rsid w:val="3B732951"/>
    <w:rsid w:val="3B7641EF"/>
    <w:rsid w:val="3B781D15"/>
    <w:rsid w:val="3B844B5E"/>
    <w:rsid w:val="3B914B85"/>
    <w:rsid w:val="3BA40D5C"/>
    <w:rsid w:val="3BAC19BF"/>
    <w:rsid w:val="3BB32D4D"/>
    <w:rsid w:val="3BC431AC"/>
    <w:rsid w:val="3BC46D08"/>
    <w:rsid w:val="3BC96A15"/>
    <w:rsid w:val="3BCB6780"/>
    <w:rsid w:val="3BD553B9"/>
    <w:rsid w:val="3BE13D5E"/>
    <w:rsid w:val="3BEE1FD7"/>
    <w:rsid w:val="3BEE647B"/>
    <w:rsid w:val="3BF13876"/>
    <w:rsid w:val="3BF35840"/>
    <w:rsid w:val="3BF770DE"/>
    <w:rsid w:val="3BFA4E20"/>
    <w:rsid w:val="3C047A4D"/>
    <w:rsid w:val="3C0D6901"/>
    <w:rsid w:val="3C153A08"/>
    <w:rsid w:val="3C1557B6"/>
    <w:rsid w:val="3C1E0B0E"/>
    <w:rsid w:val="3C221C81"/>
    <w:rsid w:val="3C237ED3"/>
    <w:rsid w:val="3C320116"/>
    <w:rsid w:val="3C3245BA"/>
    <w:rsid w:val="3C3A521C"/>
    <w:rsid w:val="3C3C2D43"/>
    <w:rsid w:val="3C3C71E7"/>
    <w:rsid w:val="3C3F0A85"/>
    <w:rsid w:val="3C4147FD"/>
    <w:rsid w:val="3C461E13"/>
    <w:rsid w:val="3C4D6CFE"/>
    <w:rsid w:val="3C5462DE"/>
    <w:rsid w:val="3C553E04"/>
    <w:rsid w:val="3C5A766D"/>
    <w:rsid w:val="3C5C5193"/>
    <w:rsid w:val="3C601127"/>
    <w:rsid w:val="3C616C4D"/>
    <w:rsid w:val="3C6B7ACC"/>
    <w:rsid w:val="3C7544A7"/>
    <w:rsid w:val="3C7C5835"/>
    <w:rsid w:val="3C7E335B"/>
    <w:rsid w:val="3C836BC3"/>
    <w:rsid w:val="3C885F88"/>
    <w:rsid w:val="3C8E444E"/>
    <w:rsid w:val="3C964B49"/>
    <w:rsid w:val="3CA134EE"/>
    <w:rsid w:val="3CA60B04"/>
    <w:rsid w:val="3CA803D8"/>
    <w:rsid w:val="3CB274A9"/>
    <w:rsid w:val="3CB32C89"/>
    <w:rsid w:val="3CC316B6"/>
    <w:rsid w:val="3CCC056A"/>
    <w:rsid w:val="3CDC62D4"/>
    <w:rsid w:val="3CE33B06"/>
    <w:rsid w:val="3CE55188"/>
    <w:rsid w:val="3CE8111C"/>
    <w:rsid w:val="3CFE26EE"/>
    <w:rsid w:val="3D0A2E41"/>
    <w:rsid w:val="3D1141CF"/>
    <w:rsid w:val="3D141F11"/>
    <w:rsid w:val="3D17730C"/>
    <w:rsid w:val="3D1B6DFC"/>
    <w:rsid w:val="3D2C2DB7"/>
    <w:rsid w:val="3D323C3E"/>
    <w:rsid w:val="3D3305EA"/>
    <w:rsid w:val="3D3D6D72"/>
    <w:rsid w:val="3D3E2AEA"/>
    <w:rsid w:val="3D4520CB"/>
    <w:rsid w:val="3D4B0261"/>
    <w:rsid w:val="3D516798"/>
    <w:rsid w:val="3D5347E8"/>
    <w:rsid w:val="3D632551"/>
    <w:rsid w:val="3D6407A3"/>
    <w:rsid w:val="3D695DB9"/>
    <w:rsid w:val="3D6C5F71"/>
    <w:rsid w:val="3D74475E"/>
    <w:rsid w:val="3D793B23"/>
    <w:rsid w:val="3D7F382F"/>
    <w:rsid w:val="3D826E7B"/>
    <w:rsid w:val="3D864BBD"/>
    <w:rsid w:val="3D8E3A72"/>
    <w:rsid w:val="3D8E5820"/>
    <w:rsid w:val="3D8E75CE"/>
    <w:rsid w:val="3D944E21"/>
    <w:rsid w:val="3D98044D"/>
    <w:rsid w:val="3DA2751D"/>
    <w:rsid w:val="3DA57163"/>
    <w:rsid w:val="3DA908AC"/>
    <w:rsid w:val="3DB64D77"/>
    <w:rsid w:val="3DC456E6"/>
    <w:rsid w:val="3DCC00F6"/>
    <w:rsid w:val="3DCF430B"/>
    <w:rsid w:val="3DD516A1"/>
    <w:rsid w:val="3DDF42CD"/>
    <w:rsid w:val="3DF53AF1"/>
    <w:rsid w:val="3DF77869"/>
    <w:rsid w:val="3DFA1107"/>
    <w:rsid w:val="3E09134A"/>
    <w:rsid w:val="3E151A9D"/>
    <w:rsid w:val="3E170C82"/>
    <w:rsid w:val="3E1F6D76"/>
    <w:rsid w:val="3E216694"/>
    <w:rsid w:val="3E287A22"/>
    <w:rsid w:val="3E345210"/>
    <w:rsid w:val="3E3F2FBE"/>
    <w:rsid w:val="3E41232F"/>
    <w:rsid w:val="3E442382"/>
    <w:rsid w:val="3E483C21"/>
    <w:rsid w:val="3E5E3444"/>
    <w:rsid w:val="3E726EF0"/>
    <w:rsid w:val="3E772758"/>
    <w:rsid w:val="3E7C32E9"/>
    <w:rsid w:val="3E8409D1"/>
    <w:rsid w:val="3E852C4C"/>
    <w:rsid w:val="3E8E6D68"/>
    <w:rsid w:val="3EC11C25"/>
    <w:rsid w:val="3EC60FE9"/>
    <w:rsid w:val="3EC82FB3"/>
    <w:rsid w:val="3ED23E32"/>
    <w:rsid w:val="3ED6747E"/>
    <w:rsid w:val="3EE576C2"/>
    <w:rsid w:val="3EE6343A"/>
    <w:rsid w:val="3EE651E8"/>
    <w:rsid w:val="3EE80F60"/>
    <w:rsid w:val="3EEF0540"/>
    <w:rsid w:val="3EEF6792"/>
    <w:rsid w:val="3EFA6952"/>
    <w:rsid w:val="3EFB0C93"/>
    <w:rsid w:val="3F0103E1"/>
    <w:rsid w:val="3F0538C0"/>
    <w:rsid w:val="3F165ACD"/>
    <w:rsid w:val="3F275F2C"/>
    <w:rsid w:val="3F32667F"/>
    <w:rsid w:val="3F434E80"/>
    <w:rsid w:val="3F454604"/>
    <w:rsid w:val="3F45637A"/>
    <w:rsid w:val="3F536D21"/>
    <w:rsid w:val="3F5B5BD6"/>
    <w:rsid w:val="3F606EC9"/>
    <w:rsid w:val="3F620D12"/>
    <w:rsid w:val="3F6820A1"/>
    <w:rsid w:val="3F6C393F"/>
    <w:rsid w:val="3F6F51DD"/>
    <w:rsid w:val="3F6F78D3"/>
    <w:rsid w:val="3F732F1F"/>
    <w:rsid w:val="3F7647BE"/>
    <w:rsid w:val="3F84512C"/>
    <w:rsid w:val="3F854A01"/>
    <w:rsid w:val="3F8F587F"/>
    <w:rsid w:val="3FA27361"/>
    <w:rsid w:val="3FA36D96"/>
    <w:rsid w:val="3FAB1E6C"/>
    <w:rsid w:val="3FAC01DF"/>
    <w:rsid w:val="3FAE3EA9"/>
    <w:rsid w:val="3FB157F6"/>
    <w:rsid w:val="3FB159C8"/>
    <w:rsid w:val="3FB6105E"/>
    <w:rsid w:val="3FB82B02"/>
    <w:rsid w:val="3FB928FC"/>
    <w:rsid w:val="3FBD5CCA"/>
    <w:rsid w:val="3FC03C8B"/>
    <w:rsid w:val="3FC1012F"/>
    <w:rsid w:val="3FC217B1"/>
    <w:rsid w:val="3FC27A03"/>
    <w:rsid w:val="3FE1257F"/>
    <w:rsid w:val="3FE45BCB"/>
    <w:rsid w:val="3FF34060"/>
    <w:rsid w:val="3FF5F3AE"/>
    <w:rsid w:val="3FFB2188"/>
    <w:rsid w:val="3FFD6C8D"/>
    <w:rsid w:val="400224F5"/>
    <w:rsid w:val="40041AB9"/>
    <w:rsid w:val="40055B41"/>
    <w:rsid w:val="401069C0"/>
    <w:rsid w:val="401144E6"/>
    <w:rsid w:val="4013025E"/>
    <w:rsid w:val="401364B0"/>
    <w:rsid w:val="40376833"/>
    <w:rsid w:val="403D352D"/>
    <w:rsid w:val="40477F08"/>
    <w:rsid w:val="40490124"/>
    <w:rsid w:val="40503261"/>
    <w:rsid w:val="40532D51"/>
    <w:rsid w:val="40552625"/>
    <w:rsid w:val="40572841"/>
    <w:rsid w:val="405C7E57"/>
    <w:rsid w:val="405F16F6"/>
    <w:rsid w:val="40672358"/>
    <w:rsid w:val="406C796F"/>
    <w:rsid w:val="40703903"/>
    <w:rsid w:val="407C5E04"/>
    <w:rsid w:val="407D1B7C"/>
    <w:rsid w:val="40836B4B"/>
    <w:rsid w:val="409332DC"/>
    <w:rsid w:val="40953369"/>
    <w:rsid w:val="40956EC5"/>
    <w:rsid w:val="409969B6"/>
    <w:rsid w:val="409A272E"/>
    <w:rsid w:val="40AE6BA7"/>
    <w:rsid w:val="40B51316"/>
    <w:rsid w:val="40B530C4"/>
    <w:rsid w:val="40BC26A4"/>
    <w:rsid w:val="40C1415E"/>
    <w:rsid w:val="40C357E1"/>
    <w:rsid w:val="40F167F2"/>
    <w:rsid w:val="40FC5196"/>
    <w:rsid w:val="41061B71"/>
    <w:rsid w:val="410B53D9"/>
    <w:rsid w:val="411A73CB"/>
    <w:rsid w:val="41263FC1"/>
    <w:rsid w:val="41273B47"/>
    <w:rsid w:val="412B15D8"/>
    <w:rsid w:val="412F10C8"/>
    <w:rsid w:val="41320BB8"/>
    <w:rsid w:val="41326E0A"/>
    <w:rsid w:val="413466DE"/>
    <w:rsid w:val="413B1FBD"/>
    <w:rsid w:val="413C37E5"/>
    <w:rsid w:val="4151103E"/>
    <w:rsid w:val="41526B64"/>
    <w:rsid w:val="415648A7"/>
    <w:rsid w:val="416A0352"/>
    <w:rsid w:val="416B795B"/>
    <w:rsid w:val="416C40CA"/>
    <w:rsid w:val="41760AA5"/>
    <w:rsid w:val="417E1176"/>
    <w:rsid w:val="418807D8"/>
    <w:rsid w:val="418F6D56"/>
    <w:rsid w:val="41911D83"/>
    <w:rsid w:val="41AC44C7"/>
    <w:rsid w:val="41B34EA6"/>
    <w:rsid w:val="41B82E6B"/>
    <w:rsid w:val="41BE244C"/>
    <w:rsid w:val="41C37A62"/>
    <w:rsid w:val="41C45CB4"/>
    <w:rsid w:val="41C757A4"/>
    <w:rsid w:val="41CA0DF1"/>
    <w:rsid w:val="41CA7043"/>
    <w:rsid w:val="41CC6917"/>
    <w:rsid w:val="41CE268F"/>
    <w:rsid w:val="41D37CA5"/>
    <w:rsid w:val="41DB1250"/>
    <w:rsid w:val="41E40104"/>
    <w:rsid w:val="41E53E7C"/>
    <w:rsid w:val="41E55C2A"/>
    <w:rsid w:val="42024A2E"/>
    <w:rsid w:val="42093900"/>
    <w:rsid w:val="420C4BA9"/>
    <w:rsid w:val="420F2CA7"/>
    <w:rsid w:val="4218552E"/>
    <w:rsid w:val="4235270E"/>
    <w:rsid w:val="423746D8"/>
    <w:rsid w:val="423B0B3A"/>
    <w:rsid w:val="423F17DF"/>
    <w:rsid w:val="42424E2B"/>
    <w:rsid w:val="424B1F31"/>
    <w:rsid w:val="42552DB0"/>
    <w:rsid w:val="425C413F"/>
    <w:rsid w:val="425F59DD"/>
    <w:rsid w:val="427A2817"/>
    <w:rsid w:val="427B20EB"/>
    <w:rsid w:val="427D5E63"/>
    <w:rsid w:val="42815953"/>
    <w:rsid w:val="428B4A24"/>
    <w:rsid w:val="428E62C2"/>
    <w:rsid w:val="429733C9"/>
    <w:rsid w:val="429A07C3"/>
    <w:rsid w:val="42A41642"/>
    <w:rsid w:val="42A930FC"/>
    <w:rsid w:val="42AB0C22"/>
    <w:rsid w:val="42AB6E74"/>
    <w:rsid w:val="42B048F2"/>
    <w:rsid w:val="42BA70B7"/>
    <w:rsid w:val="42BD2703"/>
    <w:rsid w:val="42BF647C"/>
    <w:rsid w:val="42C43A92"/>
    <w:rsid w:val="42C57F36"/>
    <w:rsid w:val="42CD0A98"/>
    <w:rsid w:val="42CD2946"/>
    <w:rsid w:val="42CE66BF"/>
    <w:rsid w:val="42D00689"/>
    <w:rsid w:val="42D068DB"/>
    <w:rsid w:val="42D53EF1"/>
    <w:rsid w:val="42D57A4D"/>
    <w:rsid w:val="42EB7271"/>
    <w:rsid w:val="42F17338"/>
    <w:rsid w:val="42F500EF"/>
    <w:rsid w:val="43000F6E"/>
    <w:rsid w:val="43030A5E"/>
    <w:rsid w:val="43081BD1"/>
    <w:rsid w:val="43171E14"/>
    <w:rsid w:val="431A0C09"/>
    <w:rsid w:val="431C1B20"/>
    <w:rsid w:val="431E7646"/>
    <w:rsid w:val="432033BE"/>
    <w:rsid w:val="4320516C"/>
    <w:rsid w:val="43250AEC"/>
    <w:rsid w:val="43304997"/>
    <w:rsid w:val="433956D2"/>
    <w:rsid w:val="433E55F2"/>
    <w:rsid w:val="434B5F61"/>
    <w:rsid w:val="43650DD1"/>
    <w:rsid w:val="436D237B"/>
    <w:rsid w:val="437454B8"/>
    <w:rsid w:val="43811983"/>
    <w:rsid w:val="43AD4526"/>
    <w:rsid w:val="43AF029E"/>
    <w:rsid w:val="43BB4E95"/>
    <w:rsid w:val="43C024AB"/>
    <w:rsid w:val="43C04259"/>
    <w:rsid w:val="43CD6976"/>
    <w:rsid w:val="43D224C1"/>
    <w:rsid w:val="43DD305D"/>
    <w:rsid w:val="43DD4E0B"/>
    <w:rsid w:val="43E3619A"/>
    <w:rsid w:val="43F32881"/>
    <w:rsid w:val="43F700E9"/>
    <w:rsid w:val="43FA4B5E"/>
    <w:rsid w:val="43FB34E3"/>
    <w:rsid w:val="44054362"/>
    <w:rsid w:val="44110F59"/>
    <w:rsid w:val="441A7E0D"/>
    <w:rsid w:val="44337121"/>
    <w:rsid w:val="444068EF"/>
    <w:rsid w:val="4441183E"/>
    <w:rsid w:val="444E3F5B"/>
    <w:rsid w:val="445552E9"/>
    <w:rsid w:val="4456696C"/>
    <w:rsid w:val="445B7548"/>
    <w:rsid w:val="446A2417"/>
    <w:rsid w:val="44775260"/>
    <w:rsid w:val="44817E8C"/>
    <w:rsid w:val="4484797D"/>
    <w:rsid w:val="448C6831"/>
    <w:rsid w:val="448D2824"/>
    <w:rsid w:val="449556E6"/>
    <w:rsid w:val="449E5144"/>
    <w:rsid w:val="44A1408B"/>
    <w:rsid w:val="44A8366B"/>
    <w:rsid w:val="44AD0C81"/>
    <w:rsid w:val="44B14061"/>
    <w:rsid w:val="44B32407"/>
    <w:rsid w:val="44BA514C"/>
    <w:rsid w:val="44C55076"/>
    <w:rsid w:val="44CD1324"/>
    <w:rsid w:val="44D501D8"/>
    <w:rsid w:val="44D97CC8"/>
    <w:rsid w:val="44DF2E05"/>
    <w:rsid w:val="44E26451"/>
    <w:rsid w:val="44E27264"/>
    <w:rsid w:val="44E623E5"/>
    <w:rsid w:val="44E87F0C"/>
    <w:rsid w:val="45014B29"/>
    <w:rsid w:val="451A3E3D"/>
    <w:rsid w:val="451C7BB5"/>
    <w:rsid w:val="45280308"/>
    <w:rsid w:val="452A22D2"/>
    <w:rsid w:val="453E7AC9"/>
    <w:rsid w:val="453F3B2A"/>
    <w:rsid w:val="454D5FC1"/>
    <w:rsid w:val="45570BED"/>
    <w:rsid w:val="455E1F7C"/>
    <w:rsid w:val="455F7AA2"/>
    <w:rsid w:val="456F14C8"/>
    <w:rsid w:val="4577303D"/>
    <w:rsid w:val="45795008"/>
    <w:rsid w:val="457B0D80"/>
    <w:rsid w:val="457B2B2E"/>
    <w:rsid w:val="45800D0C"/>
    <w:rsid w:val="45815C6A"/>
    <w:rsid w:val="458A3479"/>
    <w:rsid w:val="458C46DB"/>
    <w:rsid w:val="459260C9"/>
    <w:rsid w:val="4592661E"/>
    <w:rsid w:val="459736E0"/>
    <w:rsid w:val="459B4F7E"/>
    <w:rsid w:val="459D408E"/>
    <w:rsid w:val="45A73923"/>
    <w:rsid w:val="45AA3413"/>
    <w:rsid w:val="45B63B66"/>
    <w:rsid w:val="45C5024D"/>
    <w:rsid w:val="45D3296A"/>
    <w:rsid w:val="45D71D2E"/>
    <w:rsid w:val="45D93CF8"/>
    <w:rsid w:val="45DB181E"/>
    <w:rsid w:val="45E0774E"/>
    <w:rsid w:val="45E5444B"/>
    <w:rsid w:val="45E561F9"/>
    <w:rsid w:val="46001285"/>
    <w:rsid w:val="46054AED"/>
    <w:rsid w:val="460A3EB2"/>
    <w:rsid w:val="46141881"/>
    <w:rsid w:val="46190056"/>
    <w:rsid w:val="46207231"/>
    <w:rsid w:val="46220C4E"/>
    <w:rsid w:val="462211FB"/>
    <w:rsid w:val="46276812"/>
    <w:rsid w:val="462C02CC"/>
    <w:rsid w:val="4631338D"/>
    <w:rsid w:val="46357180"/>
    <w:rsid w:val="463B050F"/>
    <w:rsid w:val="46470C62"/>
    <w:rsid w:val="465D2233"/>
    <w:rsid w:val="466C691A"/>
    <w:rsid w:val="469552DD"/>
    <w:rsid w:val="46983DA2"/>
    <w:rsid w:val="469F45FA"/>
    <w:rsid w:val="46A460B4"/>
    <w:rsid w:val="46AC6D17"/>
    <w:rsid w:val="46B75DE7"/>
    <w:rsid w:val="46BA7686"/>
    <w:rsid w:val="46BE3145"/>
    <w:rsid w:val="46C6427C"/>
    <w:rsid w:val="46C93D6D"/>
    <w:rsid w:val="46CD560B"/>
    <w:rsid w:val="46D00C57"/>
    <w:rsid w:val="46E2098A"/>
    <w:rsid w:val="46ED1809"/>
    <w:rsid w:val="46FA3F26"/>
    <w:rsid w:val="46FA5CD4"/>
    <w:rsid w:val="47017063"/>
    <w:rsid w:val="47041DF5"/>
    <w:rsid w:val="47044DA5"/>
    <w:rsid w:val="47086643"/>
    <w:rsid w:val="470B6133"/>
    <w:rsid w:val="470F6FCE"/>
    <w:rsid w:val="471072A6"/>
    <w:rsid w:val="4712301E"/>
    <w:rsid w:val="471C20EE"/>
    <w:rsid w:val="472F1E22"/>
    <w:rsid w:val="473F5DDD"/>
    <w:rsid w:val="47402B7F"/>
    <w:rsid w:val="475F022D"/>
    <w:rsid w:val="477912EF"/>
    <w:rsid w:val="4780267D"/>
    <w:rsid w:val="47867568"/>
    <w:rsid w:val="478A34FC"/>
    <w:rsid w:val="478B2DD0"/>
    <w:rsid w:val="47946129"/>
    <w:rsid w:val="47A0687C"/>
    <w:rsid w:val="47B10A89"/>
    <w:rsid w:val="47B16CDB"/>
    <w:rsid w:val="47B84B17"/>
    <w:rsid w:val="47BC567F"/>
    <w:rsid w:val="47C22C96"/>
    <w:rsid w:val="47C54534"/>
    <w:rsid w:val="47CD5197"/>
    <w:rsid w:val="47D44777"/>
    <w:rsid w:val="47D77DC3"/>
    <w:rsid w:val="47E0136E"/>
    <w:rsid w:val="47E66258"/>
    <w:rsid w:val="47F210A1"/>
    <w:rsid w:val="47FB61A8"/>
    <w:rsid w:val="48082673"/>
    <w:rsid w:val="480908C5"/>
    <w:rsid w:val="480E2158"/>
    <w:rsid w:val="48111527"/>
    <w:rsid w:val="4814136D"/>
    <w:rsid w:val="481903DC"/>
    <w:rsid w:val="481B23A6"/>
    <w:rsid w:val="48217291"/>
    <w:rsid w:val="48223734"/>
    <w:rsid w:val="482F19AD"/>
    <w:rsid w:val="483B0352"/>
    <w:rsid w:val="483E6094"/>
    <w:rsid w:val="484336AB"/>
    <w:rsid w:val="48435459"/>
    <w:rsid w:val="48547666"/>
    <w:rsid w:val="4856518C"/>
    <w:rsid w:val="485B6C46"/>
    <w:rsid w:val="486E697A"/>
    <w:rsid w:val="486F624E"/>
    <w:rsid w:val="487D4E0F"/>
    <w:rsid w:val="48853CC3"/>
    <w:rsid w:val="48873598"/>
    <w:rsid w:val="488A3088"/>
    <w:rsid w:val="488E4926"/>
    <w:rsid w:val="489111E4"/>
    <w:rsid w:val="4893018E"/>
    <w:rsid w:val="48943F06"/>
    <w:rsid w:val="48945CB4"/>
    <w:rsid w:val="489F6B33"/>
    <w:rsid w:val="48A028AB"/>
    <w:rsid w:val="48A203D1"/>
    <w:rsid w:val="48A979B2"/>
    <w:rsid w:val="48AA54D8"/>
    <w:rsid w:val="48AB372A"/>
    <w:rsid w:val="48B63E7D"/>
    <w:rsid w:val="48B819A3"/>
    <w:rsid w:val="48B9571B"/>
    <w:rsid w:val="48C12F4D"/>
    <w:rsid w:val="48C20A74"/>
    <w:rsid w:val="48C42A3E"/>
    <w:rsid w:val="48D76366"/>
    <w:rsid w:val="48E704DA"/>
    <w:rsid w:val="48F21359"/>
    <w:rsid w:val="48FD1AAC"/>
    <w:rsid w:val="49063FB4"/>
    <w:rsid w:val="491E2F1F"/>
    <w:rsid w:val="491F7C74"/>
    <w:rsid w:val="492E6109"/>
    <w:rsid w:val="49470F79"/>
    <w:rsid w:val="495A5150"/>
    <w:rsid w:val="495C67D2"/>
    <w:rsid w:val="495E6D91"/>
    <w:rsid w:val="49635DB3"/>
    <w:rsid w:val="496658A3"/>
    <w:rsid w:val="496E4757"/>
    <w:rsid w:val="49793828"/>
    <w:rsid w:val="497C50C6"/>
    <w:rsid w:val="497C6F3A"/>
    <w:rsid w:val="498D1081"/>
    <w:rsid w:val="49956188"/>
    <w:rsid w:val="49961194"/>
    <w:rsid w:val="49971F00"/>
    <w:rsid w:val="49980CEF"/>
    <w:rsid w:val="499F2B63"/>
    <w:rsid w:val="49A168DB"/>
    <w:rsid w:val="49A40179"/>
    <w:rsid w:val="49A563CB"/>
    <w:rsid w:val="49BF6D61"/>
    <w:rsid w:val="49C03205"/>
    <w:rsid w:val="49CA4084"/>
    <w:rsid w:val="49CA7BE0"/>
    <w:rsid w:val="49CD76D0"/>
    <w:rsid w:val="49D547D7"/>
    <w:rsid w:val="49DC3DB7"/>
    <w:rsid w:val="49DC5B65"/>
    <w:rsid w:val="49DF11B1"/>
    <w:rsid w:val="49E35145"/>
    <w:rsid w:val="49EC224C"/>
    <w:rsid w:val="49F11610"/>
    <w:rsid w:val="49F7474D"/>
    <w:rsid w:val="4A0155CC"/>
    <w:rsid w:val="4A0330F2"/>
    <w:rsid w:val="4A0550BC"/>
    <w:rsid w:val="4A084BAC"/>
    <w:rsid w:val="4A0F5F3A"/>
    <w:rsid w:val="4A161077"/>
    <w:rsid w:val="4A2C2648"/>
    <w:rsid w:val="4A34774F"/>
    <w:rsid w:val="4A3634C7"/>
    <w:rsid w:val="4A404346"/>
    <w:rsid w:val="4A527BD5"/>
    <w:rsid w:val="4A58343D"/>
    <w:rsid w:val="4A5971B6"/>
    <w:rsid w:val="4A712751"/>
    <w:rsid w:val="4A743FEF"/>
    <w:rsid w:val="4A835FE1"/>
    <w:rsid w:val="4A862CA8"/>
    <w:rsid w:val="4A9F106C"/>
    <w:rsid w:val="4AB3549B"/>
    <w:rsid w:val="4AC42881"/>
    <w:rsid w:val="4AC960E9"/>
    <w:rsid w:val="4ACD36E9"/>
    <w:rsid w:val="4AD36F68"/>
    <w:rsid w:val="4ADD1B95"/>
    <w:rsid w:val="4ADD7DE7"/>
    <w:rsid w:val="4ADF3B5F"/>
    <w:rsid w:val="4AE178D7"/>
    <w:rsid w:val="4AE42F23"/>
    <w:rsid w:val="4AE922E8"/>
    <w:rsid w:val="4AEC1DD8"/>
    <w:rsid w:val="4AF13892"/>
    <w:rsid w:val="4AF225DA"/>
    <w:rsid w:val="4AF84C20"/>
    <w:rsid w:val="4AFB201B"/>
    <w:rsid w:val="4B0709C0"/>
    <w:rsid w:val="4B116B67"/>
    <w:rsid w:val="4B180E1F"/>
    <w:rsid w:val="4B1A6945"/>
    <w:rsid w:val="4B294DDA"/>
    <w:rsid w:val="4B2C0426"/>
    <w:rsid w:val="4B427C4A"/>
    <w:rsid w:val="4B481704"/>
    <w:rsid w:val="4B4B2D51"/>
    <w:rsid w:val="4B6141D4"/>
    <w:rsid w:val="4B65373A"/>
    <w:rsid w:val="4B661B8A"/>
    <w:rsid w:val="4B700C5B"/>
    <w:rsid w:val="4B7047B7"/>
    <w:rsid w:val="4B7342A7"/>
    <w:rsid w:val="4B78366B"/>
    <w:rsid w:val="4B814C16"/>
    <w:rsid w:val="4B8B15F1"/>
    <w:rsid w:val="4B906C07"/>
    <w:rsid w:val="4B95421D"/>
    <w:rsid w:val="4B9C37FE"/>
    <w:rsid w:val="4BA426B2"/>
    <w:rsid w:val="4BA95F1B"/>
    <w:rsid w:val="4BB70638"/>
    <w:rsid w:val="4BBE19C6"/>
    <w:rsid w:val="4BC36FDC"/>
    <w:rsid w:val="4BD74836"/>
    <w:rsid w:val="4BE34F89"/>
    <w:rsid w:val="4BEA4569"/>
    <w:rsid w:val="4BEB208F"/>
    <w:rsid w:val="4BEF7DD1"/>
    <w:rsid w:val="4BF076A6"/>
    <w:rsid w:val="4BF70A34"/>
    <w:rsid w:val="4BF70BFA"/>
    <w:rsid w:val="4BF90C50"/>
    <w:rsid w:val="4BFB49C8"/>
    <w:rsid w:val="4C0373D9"/>
    <w:rsid w:val="4C0575F5"/>
    <w:rsid w:val="4C06511B"/>
    <w:rsid w:val="4C0D64AA"/>
    <w:rsid w:val="4C1C049B"/>
    <w:rsid w:val="4C24147D"/>
    <w:rsid w:val="4C303F46"/>
    <w:rsid w:val="4C324162"/>
    <w:rsid w:val="4C3B3017"/>
    <w:rsid w:val="4C417F01"/>
    <w:rsid w:val="4C485734"/>
    <w:rsid w:val="4C52210E"/>
    <w:rsid w:val="4C577725"/>
    <w:rsid w:val="4C6267F5"/>
    <w:rsid w:val="4C773AC3"/>
    <w:rsid w:val="4C9444D5"/>
    <w:rsid w:val="4CA3296A"/>
    <w:rsid w:val="4CBC75CC"/>
    <w:rsid w:val="4CC76658"/>
    <w:rsid w:val="4CD34D9C"/>
    <w:rsid w:val="4CD64AED"/>
    <w:rsid w:val="4CDD5E7C"/>
    <w:rsid w:val="4CE76CFB"/>
    <w:rsid w:val="4CEF5BAF"/>
    <w:rsid w:val="4CF5766A"/>
    <w:rsid w:val="4CFB538C"/>
    <w:rsid w:val="4D00163A"/>
    <w:rsid w:val="4D021D86"/>
    <w:rsid w:val="4D1675E0"/>
    <w:rsid w:val="4D1F6494"/>
    <w:rsid w:val="4D265A75"/>
    <w:rsid w:val="4D2C295F"/>
    <w:rsid w:val="4D317F76"/>
    <w:rsid w:val="4D341814"/>
    <w:rsid w:val="4D3D4B6D"/>
    <w:rsid w:val="4D4001B9"/>
    <w:rsid w:val="4D4203D5"/>
    <w:rsid w:val="4D425B8B"/>
    <w:rsid w:val="4D471547"/>
    <w:rsid w:val="4D5F65A9"/>
    <w:rsid w:val="4D616AAD"/>
    <w:rsid w:val="4D64034B"/>
    <w:rsid w:val="4D6C7200"/>
    <w:rsid w:val="4D722A68"/>
    <w:rsid w:val="4D730F37"/>
    <w:rsid w:val="4D782049"/>
    <w:rsid w:val="4D7E765F"/>
    <w:rsid w:val="4D812CAB"/>
    <w:rsid w:val="4D8409ED"/>
    <w:rsid w:val="4D891B60"/>
    <w:rsid w:val="4D902EEE"/>
    <w:rsid w:val="4D924EB8"/>
    <w:rsid w:val="4D930C30"/>
    <w:rsid w:val="4D980290"/>
    <w:rsid w:val="4D9C5D37"/>
    <w:rsid w:val="4DA1334D"/>
    <w:rsid w:val="4DA92202"/>
    <w:rsid w:val="4DC1754C"/>
    <w:rsid w:val="4DC62DB4"/>
    <w:rsid w:val="4DD0778F"/>
    <w:rsid w:val="4DDF3E76"/>
    <w:rsid w:val="4DE80F7C"/>
    <w:rsid w:val="4DED0341"/>
    <w:rsid w:val="4DED20EF"/>
    <w:rsid w:val="4DF25957"/>
    <w:rsid w:val="4DF84B76"/>
    <w:rsid w:val="4DFC4A28"/>
    <w:rsid w:val="4E0D09E3"/>
    <w:rsid w:val="4E0F475B"/>
    <w:rsid w:val="4E1753BE"/>
    <w:rsid w:val="4E2B2C17"/>
    <w:rsid w:val="4E2B70BB"/>
    <w:rsid w:val="4E2F2707"/>
    <w:rsid w:val="4E311C06"/>
    <w:rsid w:val="4E353A96"/>
    <w:rsid w:val="4E3B5550"/>
    <w:rsid w:val="4E4B32B9"/>
    <w:rsid w:val="4E4D0DDF"/>
    <w:rsid w:val="4E50267E"/>
    <w:rsid w:val="4E546612"/>
    <w:rsid w:val="4E65437B"/>
    <w:rsid w:val="4E6D76D3"/>
    <w:rsid w:val="4E791BD4"/>
    <w:rsid w:val="4E7C16C5"/>
    <w:rsid w:val="4E86609F"/>
    <w:rsid w:val="4E8B5756"/>
    <w:rsid w:val="4E922C96"/>
    <w:rsid w:val="4E946A0E"/>
    <w:rsid w:val="4E9609D8"/>
    <w:rsid w:val="4E962786"/>
    <w:rsid w:val="4EAA4484"/>
    <w:rsid w:val="4EAA6232"/>
    <w:rsid w:val="4EAC3D58"/>
    <w:rsid w:val="4EAD1B4A"/>
    <w:rsid w:val="4EB250E6"/>
    <w:rsid w:val="4EC2357B"/>
    <w:rsid w:val="4EC512BE"/>
    <w:rsid w:val="4EC70B92"/>
    <w:rsid w:val="4EDE5EDB"/>
    <w:rsid w:val="4EEF1E97"/>
    <w:rsid w:val="4EF43951"/>
    <w:rsid w:val="4EFB083B"/>
    <w:rsid w:val="4EFE20DA"/>
    <w:rsid w:val="4F0F5BE3"/>
    <w:rsid w:val="4F204746"/>
    <w:rsid w:val="4F231B40"/>
    <w:rsid w:val="4F2F6737"/>
    <w:rsid w:val="4F38383D"/>
    <w:rsid w:val="4F3A75B6"/>
    <w:rsid w:val="4F3F5187"/>
    <w:rsid w:val="4F42290E"/>
    <w:rsid w:val="4F4246BC"/>
    <w:rsid w:val="4F4E4E0F"/>
    <w:rsid w:val="4F5166AD"/>
    <w:rsid w:val="4F5A37B4"/>
    <w:rsid w:val="4F5B752C"/>
    <w:rsid w:val="4F5F0DCA"/>
    <w:rsid w:val="4F6B6FE2"/>
    <w:rsid w:val="4F6C34E7"/>
    <w:rsid w:val="4FA476D9"/>
    <w:rsid w:val="4FB235F0"/>
    <w:rsid w:val="4FB37368"/>
    <w:rsid w:val="4FB8672C"/>
    <w:rsid w:val="4FBA4253"/>
    <w:rsid w:val="4FCE5F50"/>
    <w:rsid w:val="4FD712A8"/>
    <w:rsid w:val="4FF43C08"/>
    <w:rsid w:val="500368F2"/>
    <w:rsid w:val="5005393F"/>
    <w:rsid w:val="500B71A4"/>
    <w:rsid w:val="501F67AB"/>
    <w:rsid w:val="50245B70"/>
    <w:rsid w:val="50267B3A"/>
    <w:rsid w:val="502838B2"/>
    <w:rsid w:val="503009B9"/>
    <w:rsid w:val="503264DF"/>
    <w:rsid w:val="50354221"/>
    <w:rsid w:val="50395ABF"/>
    <w:rsid w:val="50463D38"/>
    <w:rsid w:val="504708B1"/>
    <w:rsid w:val="504D3319"/>
    <w:rsid w:val="505521CD"/>
    <w:rsid w:val="50591CBD"/>
    <w:rsid w:val="505C355C"/>
    <w:rsid w:val="50697A27"/>
    <w:rsid w:val="50707007"/>
    <w:rsid w:val="50767BF3"/>
    <w:rsid w:val="507B7E86"/>
    <w:rsid w:val="50812FC2"/>
    <w:rsid w:val="50827466"/>
    <w:rsid w:val="50923421"/>
    <w:rsid w:val="509251CF"/>
    <w:rsid w:val="50940F47"/>
    <w:rsid w:val="50942CF5"/>
    <w:rsid w:val="50947199"/>
    <w:rsid w:val="509947B0"/>
    <w:rsid w:val="50AA2519"/>
    <w:rsid w:val="50B25872"/>
    <w:rsid w:val="50BC3FFA"/>
    <w:rsid w:val="50C07F8E"/>
    <w:rsid w:val="50C744A8"/>
    <w:rsid w:val="50CF1F80"/>
    <w:rsid w:val="50D43A3A"/>
    <w:rsid w:val="50D47596"/>
    <w:rsid w:val="50D6330E"/>
    <w:rsid w:val="50DD6DAD"/>
    <w:rsid w:val="50E7551B"/>
    <w:rsid w:val="50F6575E"/>
    <w:rsid w:val="50F7067A"/>
    <w:rsid w:val="510065DD"/>
    <w:rsid w:val="51012489"/>
    <w:rsid w:val="510559A1"/>
    <w:rsid w:val="510F05CE"/>
    <w:rsid w:val="51167BAE"/>
    <w:rsid w:val="51220301"/>
    <w:rsid w:val="512C5624"/>
    <w:rsid w:val="513149E8"/>
    <w:rsid w:val="51422D5A"/>
    <w:rsid w:val="51477D68"/>
    <w:rsid w:val="514B3CFC"/>
    <w:rsid w:val="514E10F6"/>
    <w:rsid w:val="515F3303"/>
    <w:rsid w:val="516E3547"/>
    <w:rsid w:val="517001D3"/>
    <w:rsid w:val="517174DB"/>
    <w:rsid w:val="518965D2"/>
    <w:rsid w:val="519805C3"/>
    <w:rsid w:val="519A07DF"/>
    <w:rsid w:val="51A4737F"/>
    <w:rsid w:val="51AA02F7"/>
    <w:rsid w:val="51AE6039"/>
    <w:rsid w:val="51B20F46"/>
    <w:rsid w:val="51BD44CE"/>
    <w:rsid w:val="51C23892"/>
    <w:rsid w:val="51C770FB"/>
    <w:rsid w:val="51CE2237"/>
    <w:rsid w:val="51D33CF1"/>
    <w:rsid w:val="51D6733E"/>
    <w:rsid w:val="51D830B6"/>
    <w:rsid w:val="51DA0BDC"/>
    <w:rsid w:val="51DC2BA6"/>
    <w:rsid w:val="51E50882"/>
    <w:rsid w:val="51E71283"/>
    <w:rsid w:val="51EC090F"/>
    <w:rsid w:val="521F097C"/>
    <w:rsid w:val="52232583"/>
    <w:rsid w:val="522956BF"/>
    <w:rsid w:val="522D3402"/>
    <w:rsid w:val="52327519"/>
    <w:rsid w:val="52392A40"/>
    <w:rsid w:val="523F1387"/>
    <w:rsid w:val="52422029"/>
    <w:rsid w:val="525564B4"/>
    <w:rsid w:val="52592449"/>
    <w:rsid w:val="525E7A5F"/>
    <w:rsid w:val="526112FD"/>
    <w:rsid w:val="52630BD1"/>
    <w:rsid w:val="526861E8"/>
    <w:rsid w:val="526B217C"/>
    <w:rsid w:val="52741030"/>
    <w:rsid w:val="52903990"/>
    <w:rsid w:val="52976ACD"/>
    <w:rsid w:val="529A65BD"/>
    <w:rsid w:val="52A01E26"/>
    <w:rsid w:val="52CB49C9"/>
    <w:rsid w:val="52DC0984"/>
    <w:rsid w:val="52E15F9A"/>
    <w:rsid w:val="52E31D12"/>
    <w:rsid w:val="52E635B0"/>
    <w:rsid w:val="52F061DD"/>
    <w:rsid w:val="52F263F9"/>
    <w:rsid w:val="52F507C3"/>
    <w:rsid w:val="53004672"/>
    <w:rsid w:val="530A729F"/>
    <w:rsid w:val="53193986"/>
    <w:rsid w:val="53220A8C"/>
    <w:rsid w:val="532A7941"/>
    <w:rsid w:val="5334256E"/>
    <w:rsid w:val="53394028"/>
    <w:rsid w:val="533B7DA0"/>
    <w:rsid w:val="533E519B"/>
    <w:rsid w:val="534053B7"/>
    <w:rsid w:val="53422EDD"/>
    <w:rsid w:val="534C5B09"/>
    <w:rsid w:val="535844AE"/>
    <w:rsid w:val="535E4FF9"/>
    <w:rsid w:val="535E75EB"/>
    <w:rsid w:val="536B389A"/>
    <w:rsid w:val="53715570"/>
    <w:rsid w:val="53733096"/>
    <w:rsid w:val="537506AF"/>
    <w:rsid w:val="53803A05"/>
    <w:rsid w:val="538F59F6"/>
    <w:rsid w:val="53980D4F"/>
    <w:rsid w:val="539B083F"/>
    <w:rsid w:val="53A414A2"/>
    <w:rsid w:val="53BA6F17"/>
    <w:rsid w:val="53D004E8"/>
    <w:rsid w:val="53D0673A"/>
    <w:rsid w:val="53D33B35"/>
    <w:rsid w:val="53E06252"/>
    <w:rsid w:val="53E75832"/>
    <w:rsid w:val="53EC4BF7"/>
    <w:rsid w:val="53EE096F"/>
    <w:rsid w:val="53F87A3F"/>
    <w:rsid w:val="53FA37B7"/>
    <w:rsid w:val="53FF2B7C"/>
    <w:rsid w:val="540208BE"/>
    <w:rsid w:val="540C7047"/>
    <w:rsid w:val="54181E8F"/>
    <w:rsid w:val="541D1254"/>
    <w:rsid w:val="54210D44"/>
    <w:rsid w:val="54212AF2"/>
    <w:rsid w:val="54240834"/>
    <w:rsid w:val="54244390"/>
    <w:rsid w:val="542D4487"/>
    <w:rsid w:val="542E16B3"/>
    <w:rsid w:val="543D5452"/>
    <w:rsid w:val="544113E6"/>
    <w:rsid w:val="5449029B"/>
    <w:rsid w:val="545E3D46"/>
    <w:rsid w:val="546E385E"/>
    <w:rsid w:val="5479292E"/>
    <w:rsid w:val="548B2661"/>
    <w:rsid w:val="54931516"/>
    <w:rsid w:val="549459BA"/>
    <w:rsid w:val="54992FD0"/>
    <w:rsid w:val="54A31759"/>
    <w:rsid w:val="54A84FC1"/>
    <w:rsid w:val="54A91C1A"/>
    <w:rsid w:val="54A97330"/>
    <w:rsid w:val="54B3645A"/>
    <w:rsid w:val="54B41BB8"/>
    <w:rsid w:val="54BB2F47"/>
    <w:rsid w:val="54BE0FF4"/>
    <w:rsid w:val="54C3004D"/>
    <w:rsid w:val="54C94F38"/>
    <w:rsid w:val="54D1276A"/>
    <w:rsid w:val="54DB5397"/>
    <w:rsid w:val="54DC110F"/>
    <w:rsid w:val="54F2189F"/>
    <w:rsid w:val="54F2623D"/>
    <w:rsid w:val="54FC530D"/>
    <w:rsid w:val="55012924"/>
    <w:rsid w:val="55025CFB"/>
    <w:rsid w:val="55040901"/>
    <w:rsid w:val="550D3076"/>
    <w:rsid w:val="550F5041"/>
    <w:rsid w:val="550F6DEF"/>
    <w:rsid w:val="5512068D"/>
    <w:rsid w:val="55195EBF"/>
    <w:rsid w:val="551C775D"/>
    <w:rsid w:val="55202DAA"/>
    <w:rsid w:val="552935EB"/>
    <w:rsid w:val="552A1E7A"/>
    <w:rsid w:val="55342CF9"/>
    <w:rsid w:val="55346855"/>
    <w:rsid w:val="553625CD"/>
    <w:rsid w:val="553E5926"/>
    <w:rsid w:val="55466588"/>
    <w:rsid w:val="554B707B"/>
    <w:rsid w:val="555B64D8"/>
    <w:rsid w:val="556B42F2"/>
    <w:rsid w:val="556F3D31"/>
    <w:rsid w:val="55710F60"/>
    <w:rsid w:val="5583158B"/>
    <w:rsid w:val="559519EA"/>
    <w:rsid w:val="55A439DB"/>
    <w:rsid w:val="55A501C1"/>
    <w:rsid w:val="55A57753"/>
    <w:rsid w:val="55A734CB"/>
    <w:rsid w:val="55AF2380"/>
    <w:rsid w:val="55BE6E7F"/>
    <w:rsid w:val="55C0633B"/>
    <w:rsid w:val="55C23E61"/>
    <w:rsid w:val="55C4407D"/>
    <w:rsid w:val="55C951EF"/>
    <w:rsid w:val="55DD513F"/>
    <w:rsid w:val="55EA5EF0"/>
    <w:rsid w:val="55EC35D4"/>
    <w:rsid w:val="55EF09CE"/>
    <w:rsid w:val="55F83D27"/>
    <w:rsid w:val="56010E2D"/>
    <w:rsid w:val="560A5808"/>
    <w:rsid w:val="560C40E8"/>
    <w:rsid w:val="56130B60"/>
    <w:rsid w:val="561641AD"/>
    <w:rsid w:val="56170651"/>
    <w:rsid w:val="56210428"/>
    <w:rsid w:val="562E599A"/>
    <w:rsid w:val="56312D95"/>
    <w:rsid w:val="5637484F"/>
    <w:rsid w:val="56393476"/>
    <w:rsid w:val="563F3703"/>
    <w:rsid w:val="565A22EB"/>
    <w:rsid w:val="565C2507"/>
    <w:rsid w:val="56666EE2"/>
    <w:rsid w:val="56777341"/>
    <w:rsid w:val="56786C15"/>
    <w:rsid w:val="568B6949"/>
    <w:rsid w:val="5697353F"/>
    <w:rsid w:val="569F41A2"/>
    <w:rsid w:val="56A31EE4"/>
    <w:rsid w:val="56A812A9"/>
    <w:rsid w:val="56AF6ADB"/>
    <w:rsid w:val="56BC2FA6"/>
    <w:rsid w:val="56CB4F97"/>
    <w:rsid w:val="56CF2CD9"/>
    <w:rsid w:val="56D976B4"/>
    <w:rsid w:val="56DF05DE"/>
    <w:rsid w:val="56E12A0D"/>
    <w:rsid w:val="56E524FD"/>
    <w:rsid w:val="56E9366F"/>
    <w:rsid w:val="56EB388B"/>
    <w:rsid w:val="570010E5"/>
    <w:rsid w:val="570F1328"/>
    <w:rsid w:val="5712706A"/>
    <w:rsid w:val="57160908"/>
    <w:rsid w:val="57172725"/>
    <w:rsid w:val="57184206"/>
    <w:rsid w:val="572823EA"/>
    <w:rsid w:val="57323268"/>
    <w:rsid w:val="57411DB1"/>
    <w:rsid w:val="57482A8C"/>
    <w:rsid w:val="5753390A"/>
    <w:rsid w:val="57540114"/>
    <w:rsid w:val="575B631B"/>
    <w:rsid w:val="57633422"/>
    <w:rsid w:val="57664CC0"/>
    <w:rsid w:val="576F1DC6"/>
    <w:rsid w:val="57723665"/>
    <w:rsid w:val="57783371"/>
    <w:rsid w:val="577C44E3"/>
    <w:rsid w:val="578754CF"/>
    <w:rsid w:val="578F4217"/>
    <w:rsid w:val="579D2DD8"/>
    <w:rsid w:val="57A203EE"/>
    <w:rsid w:val="57A31A70"/>
    <w:rsid w:val="57A777B2"/>
    <w:rsid w:val="57AB227C"/>
    <w:rsid w:val="57B65C47"/>
    <w:rsid w:val="57B7551B"/>
    <w:rsid w:val="57B91294"/>
    <w:rsid w:val="57B952D3"/>
    <w:rsid w:val="57C152F2"/>
    <w:rsid w:val="57D61E46"/>
    <w:rsid w:val="57D85BBE"/>
    <w:rsid w:val="57E9601D"/>
    <w:rsid w:val="57EA3B43"/>
    <w:rsid w:val="57EA769F"/>
    <w:rsid w:val="57F10A2D"/>
    <w:rsid w:val="57F56770"/>
    <w:rsid w:val="57F8000E"/>
    <w:rsid w:val="57FB18AC"/>
    <w:rsid w:val="57FB365A"/>
    <w:rsid w:val="57FC6189"/>
    <w:rsid w:val="57FD5624"/>
    <w:rsid w:val="58005114"/>
    <w:rsid w:val="58006EC2"/>
    <w:rsid w:val="581F1A3E"/>
    <w:rsid w:val="58256929"/>
    <w:rsid w:val="58296419"/>
    <w:rsid w:val="583354EA"/>
    <w:rsid w:val="583F3E8F"/>
    <w:rsid w:val="58533496"/>
    <w:rsid w:val="585A2A77"/>
    <w:rsid w:val="58694A68"/>
    <w:rsid w:val="586C27AA"/>
    <w:rsid w:val="58782EFD"/>
    <w:rsid w:val="587D49B7"/>
    <w:rsid w:val="5886561A"/>
    <w:rsid w:val="58896EB8"/>
    <w:rsid w:val="58A04049"/>
    <w:rsid w:val="58A80DA5"/>
    <w:rsid w:val="58AC6D86"/>
    <w:rsid w:val="58B101BD"/>
    <w:rsid w:val="58BB721B"/>
    <w:rsid w:val="58BE3005"/>
    <w:rsid w:val="58C63C68"/>
    <w:rsid w:val="58CB74D0"/>
    <w:rsid w:val="58D5034F"/>
    <w:rsid w:val="58DA7713"/>
    <w:rsid w:val="58E16CF4"/>
    <w:rsid w:val="58E32A6C"/>
    <w:rsid w:val="58EB6FBF"/>
    <w:rsid w:val="58F05EF3"/>
    <w:rsid w:val="59142684"/>
    <w:rsid w:val="59457283"/>
    <w:rsid w:val="595219A0"/>
    <w:rsid w:val="595B0854"/>
    <w:rsid w:val="595B39D6"/>
    <w:rsid w:val="595E20F3"/>
    <w:rsid w:val="596040BD"/>
    <w:rsid w:val="59771406"/>
    <w:rsid w:val="597B0EF6"/>
    <w:rsid w:val="597E4B39"/>
    <w:rsid w:val="598002BB"/>
    <w:rsid w:val="598558D1"/>
    <w:rsid w:val="5996188C"/>
    <w:rsid w:val="59967ADE"/>
    <w:rsid w:val="5999312B"/>
    <w:rsid w:val="59A65848"/>
    <w:rsid w:val="59AA17DC"/>
    <w:rsid w:val="59AA5338"/>
    <w:rsid w:val="59AC10B0"/>
    <w:rsid w:val="59B461B6"/>
    <w:rsid w:val="59B61F2F"/>
    <w:rsid w:val="59C503C4"/>
    <w:rsid w:val="59CA57BE"/>
    <w:rsid w:val="59CA7788"/>
    <w:rsid w:val="59CC3500"/>
    <w:rsid w:val="59CC52AE"/>
    <w:rsid w:val="59D14FBA"/>
    <w:rsid w:val="59DD395F"/>
    <w:rsid w:val="59DE4FE1"/>
    <w:rsid w:val="59EF3692"/>
    <w:rsid w:val="59F760A3"/>
    <w:rsid w:val="59FD7B5D"/>
    <w:rsid w:val="5A0F163F"/>
    <w:rsid w:val="5A144CFE"/>
    <w:rsid w:val="5A1D1FAE"/>
    <w:rsid w:val="5A2275C4"/>
    <w:rsid w:val="5A2447F3"/>
    <w:rsid w:val="5A292701"/>
    <w:rsid w:val="5A2A6479"/>
    <w:rsid w:val="5A380B96"/>
    <w:rsid w:val="5A3927FA"/>
    <w:rsid w:val="5A4412E8"/>
    <w:rsid w:val="5A584D94"/>
    <w:rsid w:val="5A5F25C6"/>
    <w:rsid w:val="5A623E64"/>
    <w:rsid w:val="5A6574B1"/>
    <w:rsid w:val="5A6E0A5B"/>
    <w:rsid w:val="5A70032F"/>
    <w:rsid w:val="5A736072"/>
    <w:rsid w:val="5A7C4F26"/>
    <w:rsid w:val="5A7D47FA"/>
    <w:rsid w:val="5A81253D"/>
    <w:rsid w:val="5A842C73"/>
    <w:rsid w:val="5A845B89"/>
    <w:rsid w:val="5A971D60"/>
    <w:rsid w:val="5A9A53AC"/>
    <w:rsid w:val="5AA93841"/>
    <w:rsid w:val="5AAC3332"/>
    <w:rsid w:val="5AAC50E0"/>
    <w:rsid w:val="5AAE2C06"/>
    <w:rsid w:val="5ABD553F"/>
    <w:rsid w:val="5AC155B8"/>
    <w:rsid w:val="5AC20862"/>
    <w:rsid w:val="5ACB1A0A"/>
    <w:rsid w:val="5ACB4E94"/>
    <w:rsid w:val="5AD20FEA"/>
    <w:rsid w:val="5AD47DDE"/>
    <w:rsid w:val="5ADA7E9F"/>
    <w:rsid w:val="5AEC58C8"/>
    <w:rsid w:val="5AED7BD2"/>
    <w:rsid w:val="5AF0321E"/>
    <w:rsid w:val="5AF50835"/>
    <w:rsid w:val="5B046CCA"/>
    <w:rsid w:val="5B060C94"/>
    <w:rsid w:val="5B1213E7"/>
    <w:rsid w:val="5B157129"/>
    <w:rsid w:val="5B1C2265"/>
    <w:rsid w:val="5B21162A"/>
    <w:rsid w:val="5B4F263B"/>
    <w:rsid w:val="5B500161"/>
    <w:rsid w:val="5B555421"/>
    <w:rsid w:val="5B5E462C"/>
    <w:rsid w:val="5B7200D7"/>
    <w:rsid w:val="5B7F53BF"/>
    <w:rsid w:val="5B8874CC"/>
    <w:rsid w:val="5B8A71CF"/>
    <w:rsid w:val="5B90055D"/>
    <w:rsid w:val="5B920779"/>
    <w:rsid w:val="5B9731F0"/>
    <w:rsid w:val="5BA30291"/>
    <w:rsid w:val="5BA67D81"/>
    <w:rsid w:val="5BAA161F"/>
    <w:rsid w:val="5BB24978"/>
    <w:rsid w:val="5BB71F8E"/>
    <w:rsid w:val="5BC87CF7"/>
    <w:rsid w:val="5BCA7F13"/>
    <w:rsid w:val="5BD14DFE"/>
    <w:rsid w:val="5BD7618C"/>
    <w:rsid w:val="5BE64901"/>
    <w:rsid w:val="5BF1724E"/>
    <w:rsid w:val="5BF46D3E"/>
    <w:rsid w:val="5C0A6562"/>
    <w:rsid w:val="5C0C4088"/>
    <w:rsid w:val="5C237623"/>
    <w:rsid w:val="5C277114"/>
    <w:rsid w:val="5C2C297C"/>
    <w:rsid w:val="5C317F92"/>
    <w:rsid w:val="5C375E11"/>
    <w:rsid w:val="5C3929A3"/>
    <w:rsid w:val="5C563555"/>
    <w:rsid w:val="5C606182"/>
    <w:rsid w:val="5C653798"/>
    <w:rsid w:val="5C6A5252"/>
    <w:rsid w:val="5C777C09"/>
    <w:rsid w:val="5C797243"/>
    <w:rsid w:val="5C7C0570"/>
    <w:rsid w:val="5C7F0CFE"/>
    <w:rsid w:val="5C8C44F1"/>
    <w:rsid w:val="5C8E2CEF"/>
    <w:rsid w:val="5C8E7193"/>
    <w:rsid w:val="5CB07109"/>
    <w:rsid w:val="5CC91F79"/>
    <w:rsid w:val="5CC93D27"/>
    <w:rsid w:val="5CE62B2B"/>
    <w:rsid w:val="5CE9261B"/>
    <w:rsid w:val="5CED3EB9"/>
    <w:rsid w:val="5CEE5E83"/>
    <w:rsid w:val="5CFA0384"/>
    <w:rsid w:val="5D072AA1"/>
    <w:rsid w:val="5D096819"/>
    <w:rsid w:val="5D0B4022"/>
    <w:rsid w:val="5D0B433F"/>
    <w:rsid w:val="5D0D6309"/>
    <w:rsid w:val="5D156F6C"/>
    <w:rsid w:val="5D2B2C34"/>
    <w:rsid w:val="5D3E4715"/>
    <w:rsid w:val="5D46181B"/>
    <w:rsid w:val="5D4D2BAA"/>
    <w:rsid w:val="5D4F6922"/>
    <w:rsid w:val="5D6D0B56"/>
    <w:rsid w:val="5D74628C"/>
    <w:rsid w:val="5D746389"/>
    <w:rsid w:val="5D7719D5"/>
    <w:rsid w:val="5D7A7717"/>
    <w:rsid w:val="5D812854"/>
    <w:rsid w:val="5DA028B8"/>
    <w:rsid w:val="5DA30A1C"/>
    <w:rsid w:val="5DAA0F2B"/>
    <w:rsid w:val="5DB524FD"/>
    <w:rsid w:val="5DB93D9B"/>
    <w:rsid w:val="5DBB5D65"/>
    <w:rsid w:val="5DBC388C"/>
    <w:rsid w:val="5DBC7D30"/>
    <w:rsid w:val="5DCD3CEB"/>
    <w:rsid w:val="5DD706C5"/>
    <w:rsid w:val="5DD76917"/>
    <w:rsid w:val="5DE0757A"/>
    <w:rsid w:val="5DE27796"/>
    <w:rsid w:val="5DE3706A"/>
    <w:rsid w:val="5DE63491"/>
    <w:rsid w:val="5DEA664B"/>
    <w:rsid w:val="5DED1C97"/>
    <w:rsid w:val="5DF41277"/>
    <w:rsid w:val="5DFB2606"/>
    <w:rsid w:val="5E113BD7"/>
    <w:rsid w:val="5E190CDE"/>
    <w:rsid w:val="5E1B1E99"/>
    <w:rsid w:val="5E225DE5"/>
    <w:rsid w:val="5E22681F"/>
    <w:rsid w:val="5E227B93"/>
    <w:rsid w:val="5E2558D5"/>
    <w:rsid w:val="5E2A4C99"/>
    <w:rsid w:val="5E367E7E"/>
    <w:rsid w:val="5E3F359D"/>
    <w:rsid w:val="5E47584B"/>
    <w:rsid w:val="5E4E6BDA"/>
    <w:rsid w:val="5E541D16"/>
    <w:rsid w:val="5E5427AC"/>
    <w:rsid w:val="5E5D0BCB"/>
    <w:rsid w:val="5E5D506F"/>
    <w:rsid w:val="5E604B5F"/>
    <w:rsid w:val="5E6463FD"/>
    <w:rsid w:val="5E675658"/>
    <w:rsid w:val="5E677C9B"/>
    <w:rsid w:val="5E6C52B2"/>
    <w:rsid w:val="5E765DF7"/>
    <w:rsid w:val="5E79177D"/>
    <w:rsid w:val="5E8343A9"/>
    <w:rsid w:val="5E9A264D"/>
    <w:rsid w:val="5E9B7945"/>
    <w:rsid w:val="5EA06D09"/>
    <w:rsid w:val="5EA376F9"/>
    <w:rsid w:val="5EB42AA9"/>
    <w:rsid w:val="5EB804F7"/>
    <w:rsid w:val="5EC450EE"/>
    <w:rsid w:val="5ED74E21"/>
    <w:rsid w:val="5EDA221B"/>
    <w:rsid w:val="5EDC2437"/>
    <w:rsid w:val="5EDF5A84"/>
    <w:rsid w:val="5EE575A7"/>
    <w:rsid w:val="5EF944CD"/>
    <w:rsid w:val="5EFF1C82"/>
    <w:rsid w:val="5F073306"/>
    <w:rsid w:val="5F1871E8"/>
    <w:rsid w:val="5F1D7871"/>
    <w:rsid w:val="5F221E14"/>
    <w:rsid w:val="5F49114F"/>
    <w:rsid w:val="5F4F0E5B"/>
    <w:rsid w:val="5F577D10"/>
    <w:rsid w:val="5F5A335C"/>
    <w:rsid w:val="5F5F73B9"/>
    <w:rsid w:val="5F681F1D"/>
    <w:rsid w:val="5F6B7317"/>
    <w:rsid w:val="5F6E6162"/>
    <w:rsid w:val="5F70492E"/>
    <w:rsid w:val="5F773F0E"/>
    <w:rsid w:val="5F797C86"/>
    <w:rsid w:val="5F8F74AA"/>
    <w:rsid w:val="5F9E767D"/>
    <w:rsid w:val="5FA840C8"/>
    <w:rsid w:val="5FAB1E0A"/>
    <w:rsid w:val="5FC353A5"/>
    <w:rsid w:val="5FC609F2"/>
    <w:rsid w:val="5FC829BC"/>
    <w:rsid w:val="5FDA624B"/>
    <w:rsid w:val="5FE80968"/>
    <w:rsid w:val="5FEF619A"/>
    <w:rsid w:val="5FF217E7"/>
    <w:rsid w:val="5FF612D7"/>
    <w:rsid w:val="5FFF5CB2"/>
    <w:rsid w:val="600301D6"/>
    <w:rsid w:val="600357A2"/>
    <w:rsid w:val="60146320"/>
    <w:rsid w:val="601C4AB5"/>
    <w:rsid w:val="60275934"/>
    <w:rsid w:val="60566219"/>
    <w:rsid w:val="606326E4"/>
    <w:rsid w:val="606C77EB"/>
    <w:rsid w:val="60732927"/>
    <w:rsid w:val="60786190"/>
    <w:rsid w:val="608C5797"/>
    <w:rsid w:val="608F5287"/>
    <w:rsid w:val="60934D78"/>
    <w:rsid w:val="609B5A17"/>
    <w:rsid w:val="60A2320D"/>
    <w:rsid w:val="60AA3E6F"/>
    <w:rsid w:val="60AD570E"/>
    <w:rsid w:val="60AF1486"/>
    <w:rsid w:val="60AF76D8"/>
    <w:rsid w:val="60B66CB8"/>
    <w:rsid w:val="60BA67A8"/>
    <w:rsid w:val="60BE791B"/>
    <w:rsid w:val="60C03693"/>
    <w:rsid w:val="60C07B37"/>
    <w:rsid w:val="60CF36F6"/>
    <w:rsid w:val="60D61108"/>
    <w:rsid w:val="60EE010F"/>
    <w:rsid w:val="610572F8"/>
    <w:rsid w:val="610712C2"/>
    <w:rsid w:val="61113EEE"/>
    <w:rsid w:val="61271964"/>
    <w:rsid w:val="612C3F1D"/>
    <w:rsid w:val="612E2CF2"/>
    <w:rsid w:val="613D2F35"/>
    <w:rsid w:val="6142054C"/>
    <w:rsid w:val="6146003C"/>
    <w:rsid w:val="61497B2C"/>
    <w:rsid w:val="614E5143"/>
    <w:rsid w:val="615D0EE2"/>
    <w:rsid w:val="61776447"/>
    <w:rsid w:val="617A7CE6"/>
    <w:rsid w:val="61907509"/>
    <w:rsid w:val="61926DDD"/>
    <w:rsid w:val="61930DA7"/>
    <w:rsid w:val="619A3EE4"/>
    <w:rsid w:val="61B9080E"/>
    <w:rsid w:val="61C471B3"/>
    <w:rsid w:val="61CE1DDF"/>
    <w:rsid w:val="61D05B58"/>
    <w:rsid w:val="61D218D0"/>
    <w:rsid w:val="61D70C94"/>
    <w:rsid w:val="61DA2B98"/>
    <w:rsid w:val="61E84C4F"/>
    <w:rsid w:val="61E92058"/>
    <w:rsid w:val="61EB2991"/>
    <w:rsid w:val="61FB0F5E"/>
    <w:rsid w:val="62165C60"/>
    <w:rsid w:val="62187A9E"/>
    <w:rsid w:val="621C0D9D"/>
    <w:rsid w:val="62233ED9"/>
    <w:rsid w:val="62261C1B"/>
    <w:rsid w:val="62267D49"/>
    <w:rsid w:val="623B4E4B"/>
    <w:rsid w:val="623B56C7"/>
    <w:rsid w:val="624125B1"/>
    <w:rsid w:val="62562501"/>
    <w:rsid w:val="62572B69"/>
    <w:rsid w:val="625B7B17"/>
    <w:rsid w:val="62685D90"/>
    <w:rsid w:val="626F35C2"/>
    <w:rsid w:val="62782477"/>
    <w:rsid w:val="627A3652"/>
    <w:rsid w:val="627D7A8D"/>
    <w:rsid w:val="629152E7"/>
    <w:rsid w:val="62960B4F"/>
    <w:rsid w:val="6296136D"/>
    <w:rsid w:val="629D3C8C"/>
    <w:rsid w:val="62A212A2"/>
    <w:rsid w:val="62A3501A"/>
    <w:rsid w:val="62AC0373"/>
    <w:rsid w:val="62AD7C47"/>
    <w:rsid w:val="62AF39BF"/>
    <w:rsid w:val="62B80AC5"/>
    <w:rsid w:val="62B86D17"/>
    <w:rsid w:val="62BB2364"/>
    <w:rsid w:val="62BE3C02"/>
    <w:rsid w:val="62C236F2"/>
    <w:rsid w:val="62CF4061"/>
    <w:rsid w:val="62D578C9"/>
    <w:rsid w:val="62D84CC4"/>
    <w:rsid w:val="62D96C8E"/>
    <w:rsid w:val="62EE2739"/>
    <w:rsid w:val="62F112F2"/>
    <w:rsid w:val="62F31AFE"/>
    <w:rsid w:val="62FB30A8"/>
    <w:rsid w:val="63043D0B"/>
    <w:rsid w:val="630E6937"/>
    <w:rsid w:val="631877B6"/>
    <w:rsid w:val="632618ED"/>
    <w:rsid w:val="632779F9"/>
    <w:rsid w:val="632B74E9"/>
    <w:rsid w:val="632C3261"/>
    <w:rsid w:val="632F68AE"/>
    <w:rsid w:val="63332842"/>
    <w:rsid w:val="63344A56"/>
    <w:rsid w:val="633640E0"/>
    <w:rsid w:val="63381C06"/>
    <w:rsid w:val="633D546F"/>
    <w:rsid w:val="634E142A"/>
    <w:rsid w:val="634E31D8"/>
    <w:rsid w:val="635032AD"/>
    <w:rsid w:val="63512CC8"/>
    <w:rsid w:val="63554566"/>
    <w:rsid w:val="635D341B"/>
    <w:rsid w:val="635F7193"/>
    <w:rsid w:val="636C365E"/>
    <w:rsid w:val="63701BCE"/>
    <w:rsid w:val="637846F9"/>
    <w:rsid w:val="637F5A87"/>
    <w:rsid w:val="638906B4"/>
    <w:rsid w:val="63901A42"/>
    <w:rsid w:val="63911317"/>
    <w:rsid w:val="63936E3D"/>
    <w:rsid w:val="63A252D2"/>
    <w:rsid w:val="63AB687C"/>
    <w:rsid w:val="63B23767"/>
    <w:rsid w:val="63B75221"/>
    <w:rsid w:val="63BA261B"/>
    <w:rsid w:val="63BF5E84"/>
    <w:rsid w:val="63E91153"/>
    <w:rsid w:val="63FC2C34"/>
    <w:rsid w:val="63FF0976"/>
    <w:rsid w:val="6408782B"/>
    <w:rsid w:val="640F6E0B"/>
    <w:rsid w:val="641C6E32"/>
    <w:rsid w:val="64243F39"/>
    <w:rsid w:val="64265F03"/>
    <w:rsid w:val="64283A29"/>
    <w:rsid w:val="64346872"/>
    <w:rsid w:val="644D348F"/>
    <w:rsid w:val="64552344"/>
    <w:rsid w:val="6457430E"/>
    <w:rsid w:val="646A2293"/>
    <w:rsid w:val="646A4041"/>
    <w:rsid w:val="646D58E0"/>
    <w:rsid w:val="647749B0"/>
    <w:rsid w:val="64914FA0"/>
    <w:rsid w:val="64925346"/>
    <w:rsid w:val="64AC28AC"/>
    <w:rsid w:val="64D12312"/>
    <w:rsid w:val="64D37E39"/>
    <w:rsid w:val="64E21E2A"/>
    <w:rsid w:val="64E831B8"/>
    <w:rsid w:val="64EF2799"/>
    <w:rsid w:val="64F32289"/>
    <w:rsid w:val="64F34037"/>
    <w:rsid w:val="65037FF2"/>
    <w:rsid w:val="65055B18"/>
    <w:rsid w:val="6509385A"/>
    <w:rsid w:val="650B0CCD"/>
    <w:rsid w:val="650C2823"/>
    <w:rsid w:val="650F4BE9"/>
    <w:rsid w:val="651144BD"/>
    <w:rsid w:val="65183A9D"/>
    <w:rsid w:val="651B533C"/>
    <w:rsid w:val="65242442"/>
    <w:rsid w:val="652A150D"/>
    <w:rsid w:val="652C579B"/>
    <w:rsid w:val="65336B29"/>
    <w:rsid w:val="65402FF4"/>
    <w:rsid w:val="65426D6C"/>
    <w:rsid w:val="65442AE4"/>
    <w:rsid w:val="65444892"/>
    <w:rsid w:val="6545060B"/>
    <w:rsid w:val="65466915"/>
    <w:rsid w:val="6549634D"/>
    <w:rsid w:val="654E167A"/>
    <w:rsid w:val="654F3237"/>
    <w:rsid w:val="65516FAF"/>
    <w:rsid w:val="655A5E64"/>
    <w:rsid w:val="65622F6B"/>
    <w:rsid w:val="65640A91"/>
    <w:rsid w:val="65646CE3"/>
    <w:rsid w:val="6565045D"/>
    <w:rsid w:val="6569254B"/>
    <w:rsid w:val="65695A9D"/>
    <w:rsid w:val="656C3DE9"/>
    <w:rsid w:val="656E190F"/>
    <w:rsid w:val="656E5DB3"/>
    <w:rsid w:val="65735178"/>
    <w:rsid w:val="65744A4C"/>
    <w:rsid w:val="65870C23"/>
    <w:rsid w:val="65980916"/>
    <w:rsid w:val="65AD68DC"/>
    <w:rsid w:val="65B23EF2"/>
    <w:rsid w:val="65BB267B"/>
    <w:rsid w:val="65BD2897"/>
    <w:rsid w:val="65C23A09"/>
    <w:rsid w:val="65CD2ADA"/>
    <w:rsid w:val="65D271BD"/>
    <w:rsid w:val="65F242EE"/>
    <w:rsid w:val="65F52031"/>
    <w:rsid w:val="65FE0EE5"/>
    <w:rsid w:val="65FF4C5D"/>
    <w:rsid w:val="660B1854"/>
    <w:rsid w:val="660D2ED6"/>
    <w:rsid w:val="660E4EA0"/>
    <w:rsid w:val="661204ED"/>
    <w:rsid w:val="66216982"/>
    <w:rsid w:val="6623094C"/>
    <w:rsid w:val="662446C4"/>
    <w:rsid w:val="662E109F"/>
    <w:rsid w:val="6635067F"/>
    <w:rsid w:val="664408C2"/>
    <w:rsid w:val="6646463A"/>
    <w:rsid w:val="66636F9A"/>
    <w:rsid w:val="66652D12"/>
    <w:rsid w:val="66663E1B"/>
    <w:rsid w:val="666F3B91"/>
    <w:rsid w:val="66707909"/>
    <w:rsid w:val="667747F4"/>
    <w:rsid w:val="66811B16"/>
    <w:rsid w:val="668313EA"/>
    <w:rsid w:val="668533B4"/>
    <w:rsid w:val="66976C44"/>
    <w:rsid w:val="66B94E0C"/>
    <w:rsid w:val="66BA2932"/>
    <w:rsid w:val="66C537B1"/>
    <w:rsid w:val="66C832A1"/>
    <w:rsid w:val="66D41C46"/>
    <w:rsid w:val="66D439F4"/>
    <w:rsid w:val="66DB1B7A"/>
    <w:rsid w:val="66E66D60"/>
    <w:rsid w:val="66F36F7D"/>
    <w:rsid w:val="66F44096"/>
    <w:rsid w:val="66F75934"/>
    <w:rsid w:val="66F83B86"/>
    <w:rsid w:val="66F95B50"/>
    <w:rsid w:val="66FD119D"/>
    <w:rsid w:val="66FD73EF"/>
    <w:rsid w:val="67006EDF"/>
    <w:rsid w:val="6703077D"/>
    <w:rsid w:val="670C13E0"/>
    <w:rsid w:val="67193AFD"/>
    <w:rsid w:val="6723497B"/>
    <w:rsid w:val="6726154F"/>
    <w:rsid w:val="672C3830"/>
    <w:rsid w:val="672D3EC7"/>
    <w:rsid w:val="672E75A8"/>
    <w:rsid w:val="67362901"/>
    <w:rsid w:val="673D3C8F"/>
    <w:rsid w:val="67401089"/>
    <w:rsid w:val="6740552D"/>
    <w:rsid w:val="67452B44"/>
    <w:rsid w:val="674566A0"/>
    <w:rsid w:val="674A63AC"/>
    <w:rsid w:val="6755412D"/>
    <w:rsid w:val="675B4115"/>
    <w:rsid w:val="676E209B"/>
    <w:rsid w:val="67746F85"/>
    <w:rsid w:val="677B0314"/>
    <w:rsid w:val="6784366C"/>
    <w:rsid w:val="678A0557"/>
    <w:rsid w:val="67915D89"/>
    <w:rsid w:val="67982C74"/>
    <w:rsid w:val="679C6C08"/>
    <w:rsid w:val="679D64DC"/>
    <w:rsid w:val="67A21D44"/>
    <w:rsid w:val="67A71109"/>
    <w:rsid w:val="67AC671F"/>
    <w:rsid w:val="67B37AAD"/>
    <w:rsid w:val="67B53479"/>
    <w:rsid w:val="67B57CC9"/>
    <w:rsid w:val="67CE2B39"/>
    <w:rsid w:val="67D16185"/>
    <w:rsid w:val="67D30150"/>
    <w:rsid w:val="67D53EC8"/>
    <w:rsid w:val="67D619EE"/>
    <w:rsid w:val="67DD0FCE"/>
    <w:rsid w:val="67DD4B2A"/>
    <w:rsid w:val="67F02AB0"/>
    <w:rsid w:val="67F729B8"/>
    <w:rsid w:val="68016A6B"/>
    <w:rsid w:val="680622D3"/>
    <w:rsid w:val="680B5B3B"/>
    <w:rsid w:val="681A7B2C"/>
    <w:rsid w:val="681E586F"/>
    <w:rsid w:val="682269E1"/>
    <w:rsid w:val="68303B5A"/>
    <w:rsid w:val="6838144E"/>
    <w:rsid w:val="683926A8"/>
    <w:rsid w:val="68464DC5"/>
    <w:rsid w:val="684921C0"/>
    <w:rsid w:val="684C2FFA"/>
    <w:rsid w:val="684D1CB0"/>
    <w:rsid w:val="684D7F02"/>
    <w:rsid w:val="684E77D6"/>
    <w:rsid w:val="68525518"/>
    <w:rsid w:val="68534DEC"/>
    <w:rsid w:val="685A617B"/>
    <w:rsid w:val="686B482C"/>
    <w:rsid w:val="686F60CA"/>
    <w:rsid w:val="687E630D"/>
    <w:rsid w:val="6888718C"/>
    <w:rsid w:val="688A2F04"/>
    <w:rsid w:val="68906041"/>
    <w:rsid w:val="689478DF"/>
    <w:rsid w:val="68953657"/>
    <w:rsid w:val="689B6EBF"/>
    <w:rsid w:val="689C2C37"/>
    <w:rsid w:val="68AA7398"/>
    <w:rsid w:val="68AC79F0"/>
    <w:rsid w:val="68B166E3"/>
    <w:rsid w:val="68B25FB7"/>
    <w:rsid w:val="68B608B5"/>
    <w:rsid w:val="68BC5088"/>
    <w:rsid w:val="68C63810"/>
    <w:rsid w:val="68CA77A4"/>
    <w:rsid w:val="68E63EB3"/>
    <w:rsid w:val="68FD36D6"/>
    <w:rsid w:val="690D143F"/>
    <w:rsid w:val="6917406C"/>
    <w:rsid w:val="69194288"/>
    <w:rsid w:val="691B590A"/>
    <w:rsid w:val="692707DC"/>
    <w:rsid w:val="69344C1E"/>
    <w:rsid w:val="693764BC"/>
    <w:rsid w:val="69397BE2"/>
    <w:rsid w:val="69431305"/>
    <w:rsid w:val="69513A22"/>
    <w:rsid w:val="696E6382"/>
    <w:rsid w:val="697F233D"/>
    <w:rsid w:val="69847953"/>
    <w:rsid w:val="698931BC"/>
    <w:rsid w:val="699102C2"/>
    <w:rsid w:val="69934F73"/>
    <w:rsid w:val="699833FF"/>
    <w:rsid w:val="699D6C67"/>
    <w:rsid w:val="69A41DA4"/>
    <w:rsid w:val="69AA4EE0"/>
    <w:rsid w:val="69AB1384"/>
    <w:rsid w:val="69AE49D0"/>
    <w:rsid w:val="69B12712"/>
    <w:rsid w:val="69B83AA1"/>
    <w:rsid w:val="69BA4D36"/>
    <w:rsid w:val="69C61FAC"/>
    <w:rsid w:val="69C77840"/>
    <w:rsid w:val="69D65CD5"/>
    <w:rsid w:val="69D72179"/>
    <w:rsid w:val="69DF2DDC"/>
    <w:rsid w:val="69FA5E67"/>
    <w:rsid w:val="6A022F6E"/>
    <w:rsid w:val="6A097E59"/>
    <w:rsid w:val="6A1A2066"/>
    <w:rsid w:val="6A331379"/>
    <w:rsid w:val="6A425119"/>
    <w:rsid w:val="6A4610AD"/>
    <w:rsid w:val="6A4E412B"/>
    <w:rsid w:val="6A682DD1"/>
    <w:rsid w:val="6A6908F7"/>
    <w:rsid w:val="6A6B0B13"/>
    <w:rsid w:val="6A6D488B"/>
    <w:rsid w:val="6A707176"/>
    <w:rsid w:val="6A773014"/>
    <w:rsid w:val="6A7A48B2"/>
    <w:rsid w:val="6A7D0E05"/>
    <w:rsid w:val="6A815C41"/>
    <w:rsid w:val="6A883473"/>
    <w:rsid w:val="6A892D47"/>
    <w:rsid w:val="6A935974"/>
    <w:rsid w:val="6AA74E35"/>
    <w:rsid w:val="6AA933EA"/>
    <w:rsid w:val="6AAD48E8"/>
    <w:rsid w:val="6AB22AA1"/>
    <w:rsid w:val="6AB44268"/>
    <w:rsid w:val="6ABC311D"/>
    <w:rsid w:val="6AC76CD4"/>
    <w:rsid w:val="6ACA51B0"/>
    <w:rsid w:val="6AD279A3"/>
    <w:rsid w:val="6ADA35A3"/>
    <w:rsid w:val="6AE82164"/>
    <w:rsid w:val="6AED1528"/>
    <w:rsid w:val="6AFE54E3"/>
    <w:rsid w:val="6B014FD4"/>
    <w:rsid w:val="6B146AB5"/>
    <w:rsid w:val="6B19231D"/>
    <w:rsid w:val="6B1D005F"/>
    <w:rsid w:val="6B215765"/>
    <w:rsid w:val="6B286A04"/>
    <w:rsid w:val="6B2C02A3"/>
    <w:rsid w:val="6B454EC0"/>
    <w:rsid w:val="6B460C38"/>
    <w:rsid w:val="6B4D1FC7"/>
    <w:rsid w:val="6B5477F9"/>
    <w:rsid w:val="6B6F018F"/>
    <w:rsid w:val="6B715CB5"/>
    <w:rsid w:val="6B731BA9"/>
    <w:rsid w:val="6B740B23"/>
    <w:rsid w:val="6B741C4A"/>
    <w:rsid w:val="6B797260"/>
    <w:rsid w:val="6B80239C"/>
    <w:rsid w:val="6B8249E2"/>
    <w:rsid w:val="6B8754D9"/>
    <w:rsid w:val="6B893098"/>
    <w:rsid w:val="6B8F0831"/>
    <w:rsid w:val="6B947BF6"/>
    <w:rsid w:val="6B96396E"/>
    <w:rsid w:val="6BA37E39"/>
    <w:rsid w:val="6BBB1626"/>
    <w:rsid w:val="6BBD0EFB"/>
    <w:rsid w:val="6BBD714D"/>
    <w:rsid w:val="6BC26511"/>
    <w:rsid w:val="6BC95AF1"/>
    <w:rsid w:val="6BCB7ABB"/>
    <w:rsid w:val="6BD46244"/>
    <w:rsid w:val="6BDA7CFF"/>
    <w:rsid w:val="6BDD1F4A"/>
    <w:rsid w:val="6BE0108D"/>
    <w:rsid w:val="6BE446D9"/>
    <w:rsid w:val="6BEE5558"/>
    <w:rsid w:val="6BEF307E"/>
    <w:rsid w:val="6BFB1A23"/>
    <w:rsid w:val="6C07486C"/>
    <w:rsid w:val="6C0905E4"/>
    <w:rsid w:val="6C0E1756"/>
    <w:rsid w:val="6C1A634D"/>
    <w:rsid w:val="6C203B9C"/>
    <w:rsid w:val="6C264CF2"/>
    <w:rsid w:val="6C2C0612"/>
    <w:rsid w:val="6C47110C"/>
    <w:rsid w:val="6C496C9B"/>
    <w:rsid w:val="6C4C227F"/>
    <w:rsid w:val="6C4E249B"/>
    <w:rsid w:val="6C515AE7"/>
    <w:rsid w:val="6C5D448C"/>
    <w:rsid w:val="6C691082"/>
    <w:rsid w:val="6C6A4FA4"/>
    <w:rsid w:val="6C6B0957"/>
    <w:rsid w:val="6C7A503E"/>
    <w:rsid w:val="6C7F2654"/>
    <w:rsid w:val="6C832144"/>
    <w:rsid w:val="6C861C34"/>
    <w:rsid w:val="6C944351"/>
    <w:rsid w:val="6C9500C9"/>
    <w:rsid w:val="6C951E77"/>
    <w:rsid w:val="6C9854C4"/>
    <w:rsid w:val="6CA02C98"/>
    <w:rsid w:val="6CAD0F6F"/>
    <w:rsid w:val="6CB57E24"/>
    <w:rsid w:val="6CB95B66"/>
    <w:rsid w:val="6CBF5146"/>
    <w:rsid w:val="6CC369E5"/>
    <w:rsid w:val="6CC4450B"/>
    <w:rsid w:val="6CC62031"/>
    <w:rsid w:val="6CD24E7A"/>
    <w:rsid w:val="6CDE381E"/>
    <w:rsid w:val="6CE30E35"/>
    <w:rsid w:val="6CE40709"/>
    <w:rsid w:val="6D033285"/>
    <w:rsid w:val="6D056FFD"/>
    <w:rsid w:val="6D0843F7"/>
    <w:rsid w:val="6D1014FE"/>
    <w:rsid w:val="6D140FEE"/>
    <w:rsid w:val="6D147240"/>
    <w:rsid w:val="6D176D30"/>
    <w:rsid w:val="6D192AA9"/>
    <w:rsid w:val="6D1F0F57"/>
    <w:rsid w:val="6D2B6338"/>
    <w:rsid w:val="6D2D0302"/>
    <w:rsid w:val="6D413DAD"/>
    <w:rsid w:val="6D4A0EB4"/>
    <w:rsid w:val="6D4B0788"/>
    <w:rsid w:val="6D4D62AE"/>
    <w:rsid w:val="6D521372"/>
    <w:rsid w:val="6D54763D"/>
    <w:rsid w:val="6D57537F"/>
    <w:rsid w:val="6D5E04BB"/>
    <w:rsid w:val="6D602485"/>
    <w:rsid w:val="6D6F4477"/>
    <w:rsid w:val="6D741A8D"/>
    <w:rsid w:val="6D751DD0"/>
    <w:rsid w:val="6D8A305E"/>
    <w:rsid w:val="6D8B6DD7"/>
    <w:rsid w:val="6D920165"/>
    <w:rsid w:val="6D9E4D5C"/>
    <w:rsid w:val="6D9E6B0A"/>
    <w:rsid w:val="6DA34120"/>
    <w:rsid w:val="6DA73C10"/>
    <w:rsid w:val="6DAE1443"/>
    <w:rsid w:val="6DB1683D"/>
    <w:rsid w:val="6DB4457F"/>
    <w:rsid w:val="6DB97DE8"/>
    <w:rsid w:val="6DBB76BC"/>
    <w:rsid w:val="6DBE53FE"/>
    <w:rsid w:val="6DBE7D59"/>
    <w:rsid w:val="6DC5678C"/>
    <w:rsid w:val="6DCC18C9"/>
    <w:rsid w:val="6DD62748"/>
    <w:rsid w:val="6DE85FD7"/>
    <w:rsid w:val="6DEA1D4F"/>
    <w:rsid w:val="6DEA61F3"/>
    <w:rsid w:val="6DEC3D19"/>
    <w:rsid w:val="6DEF55B7"/>
    <w:rsid w:val="6DFA71CB"/>
    <w:rsid w:val="6E032E11"/>
    <w:rsid w:val="6E0A23F1"/>
    <w:rsid w:val="6E0C7F17"/>
    <w:rsid w:val="6E1119D2"/>
    <w:rsid w:val="6E1312A6"/>
    <w:rsid w:val="6E375FBF"/>
    <w:rsid w:val="6E3B6A4F"/>
    <w:rsid w:val="6E405E13"/>
    <w:rsid w:val="6E4476B1"/>
    <w:rsid w:val="6E4E6782"/>
    <w:rsid w:val="6E4F6D17"/>
    <w:rsid w:val="6E510020"/>
    <w:rsid w:val="6E526272"/>
    <w:rsid w:val="6E52668F"/>
    <w:rsid w:val="6E5F273D"/>
    <w:rsid w:val="6E625D89"/>
    <w:rsid w:val="6E66587A"/>
    <w:rsid w:val="6E677844"/>
    <w:rsid w:val="6E7837FF"/>
    <w:rsid w:val="6E8201DA"/>
    <w:rsid w:val="6E8421A4"/>
    <w:rsid w:val="6E851A78"/>
    <w:rsid w:val="6E8E6B7E"/>
    <w:rsid w:val="6E9323E7"/>
    <w:rsid w:val="6E95615F"/>
    <w:rsid w:val="6E957F0D"/>
    <w:rsid w:val="6E963C85"/>
    <w:rsid w:val="6E970129"/>
    <w:rsid w:val="6E9817AB"/>
    <w:rsid w:val="6EA840E4"/>
    <w:rsid w:val="6EAB5982"/>
    <w:rsid w:val="6EB8711E"/>
    <w:rsid w:val="6EC30F1E"/>
    <w:rsid w:val="6EC95E08"/>
    <w:rsid w:val="6ED07197"/>
    <w:rsid w:val="6ED529FF"/>
    <w:rsid w:val="6ED547AD"/>
    <w:rsid w:val="6EDC3D8E"/>
    <w:rsid w:val="6EDD18B4"/>
    <w:rsid w:val="6EE113A4"/>
    <w:rsid w:val="6EEB2223"/>
    <w:rsid w:val="6EED1AF7"/>
    <w:rsid w:val="6EF4232C"/>
    <w:rsid w:val="6EFE1F56"/>
    <w:rsid w:val="6EFF7A7C"/>
    <w:rsid w:val="6F0B01CF"/>
    <w:rsid w:val="6F103A37"/>
    <w:rsid w:val="6F191059"/>
    <w:rsid w:val="6F280D81"/>
    <w:rsid w:val="6F286FD3"/>
    <w:rsid w:val="6F321C00"/>
    <w:rsid w:val="6F363189"/>
    <w:rsid w:val="6F3E67F6"/>
    <w:rsid w:val="6F433E0D"/>
    <w:rsid w:val="6F4436E1"/>
    <w:rsid w:val="6F5778B8"/>
    <w:rsid w:val="6F5E0C47"/>
    <w:rsid w:val="6F631DB9"/>
    <w:rsid w:val="6F7246F2"/>
    <w:rsid w:val="6F771D08"/>
    <w:rsid w:val="6F773AB6"/>
    <w:rsid w:val="6F7B5355"/>
    <w:rsid w:val="6F800BBD"/>
    <w:rsid w:val="6F8D7959"/>
    <w:rsid w:val="6F991421"/>
    <w:rsid w:val="6F9C7D05"/>
    <w:rsid w:val="6FD40F09"/>
    <w:rsid w:val="6FE32EFA"/>
    <w:rsid w:val="6FE50A20"/>
    <w:rsid w:val="6FF375E1"/>
    <w:rsid w:val="70111815"/>
    <w:rsid w:val="701D01BA"/>
    <w:rsid w:val="70206203"/>
    <w:rsid w:val="70216130"/>
    <w:rsid w:val="70221C74"/>
    <w:rsid w:val="7027728A"/>
    <w:rsid w:val="70291255"/>
    <w:rsid w:val="702F152F"/>
    <w:rsid w:val="7036127C"/>
    <w:rsid w:val="70404BA8"/>
    <w:rsid w:val="70475406"/>
    <w:rsid w:val="70495D35"/>
    <w:rsid w:val="70512559"/>
    <w:rsid w:val="70513D47"/>
    <w:rsid w:val="705B5186"/>
    <w:rsid w:val="70673B2B"/>
    <w:rsid w:val="7075449A"/>
    <w:rsid w:val="707D6EAA"/>
    <w:rsid w:val="708741CD"/>
    <w:rsid w:val="70904454"/>
    <w:rsid w:val="70950698"/>
    <w:rsid w:val="70A628A5"/>
    <w:rsid w:val="70A73F27"/>
    <w:rsid w:val="70AB3A18"/>
    <w:rsid w:val="70AD3C34"/>
    <w:rsid w:val="70B5302E"/>
    <w:rsid w:val="70B7060E"/>
    <w:rsid w:val="70C40F7D"/>
    <w:rsid w:val="70C42D2B"/>
    <w:rsid w:val="70CE3BAA"/>
    <w:rsid w:val="70D54F38"/>
    <w:rsid w:val="70DA254F"/>
    <w:rsid w:val="70DD5B9B"/>
    <w:rsid w:val="70E433CD"/>
    <w:rsid w:val="70E94540"/>
    <w:rsid w:val="70F84783"/>
    <w:rsid w:val="70FA04FB"/>
    <w:rsid w:val="71033854"/>
    <w:rsid w:val="7113780F"/>
    <w:rsid w:val="712437CA"/>
    <w:rsid w:val="71267542"/>
    <w:rsid w:val="713E2ADE"/>
    <w:rsid w:val="713F0604"/>
    <w:rsid w:val="7141437C"/>
    <w:rsid w:val="7141612A"/>
    <w:rsid w:val="71445C1A"/>
    <w:rsid w:val="715045BF"/>
    <w:rsid w:val="715C7408"/>
    <w:rsid w:val="71722787"/>
    <w:rsid w:val="71816E6E"/>
    <w:rsid w:val="718304F0"/>
    <w:rsid w:val="71836742"/>
    <w:rsid w:val="7189187F"/>
    <w:rsid w:val="71942548"/>
    <w:rsid w:val="71950224"/>
    <w:rsid w:val="71973F9C"/>
    <w:rsid w:val="71997D14"/>
    <w:rsid w:val="719C7804"/>
    <w:rsid w:val="71AA3CCF"/>
    <w:rsid w:val="71AF7537"/>
    <w:rsid w:val="71D7083C"/>
    <w:rsid w:val="71D77955"/>
    <w:rsid w:val="71DE1BCB"/>
    <w:rsid w:val="71E202CA"/>
    <w:rsid w:val="71E21F50"/>
    <w:rsid w:val="71E847F7"/>
    <w:rsid w:val="71ED0060"/>
    <w:rsid w:val="71F31B1A"/>
    <w:rsid w:val="71FE226D"/>
    <w:rsid w:val="72007D93"/>
    <w:rsid w:val="72062ED0"/>
    <w:rsid w:val="720930EC"/>
    <w:rsid w:val="720E0702"/>
    <w:rsid w:val="72115575"/>
    <w:rsid w:val="72154FF2"/>
    <w:rsid w:val="721750DD"/>
    <w:rsid w:val="72192C03"/>
    <w:rsid w:val="721D014D"/>
    <w:rsid w:val="7222556D"/>
    <w:rsid w:val="72227D09"/>
    <w:rsid w:val="722872EA"/>
    <w:rsid w:val="723D0FE7"/>
    <w:rsid w:val="72402885"/>
    <w:rsid w:val="72477770"/>
    <w:rsid w:val="724A3704"/>
    <w:rsid w:val="724C4D86"/>
    <w:rsid w:val="725105EF"/>
    <w:rsid w:val="725400DF"/>
    <w:rsid w:val="72556331"/>
    <w:rsid w:val="72565C05"/>
    <w:rsid w:val="725B76BF"/>
    <w:rsid w:val="727442DD"/>
    <w:rsid w:val="727A7B45"/>
    <w:rsid w:val="72907369"/>
    <w:rsid w:val="72936E59"/>
    <w:rsid w:val="729B22F4"/>
    <w:rsid w:val="72A72905"/>
    <w:rsid w:val="72AC3A77"/>
    <w:rsid w:val="72AE660D"/>
    <w:rsid w:val="72B50ED2"/>
    <w:rsid w:val="72B648F6"/>
    <w:rsid w:val="72BB1F0C"/>
    <w:rsid w:val="72BF7C4E"/>
    <w:rsid w:val="72C214EC"/>
    <w:rsid w:val="72C709CD"/>
    <w:rsid w:val="72CE60E3"/>
    <w:rsid w:val="72D54D7C"/>
    <w:rsid w:val="72D8486C"/>
    <w:rsid w:val="72E01973"/>
    <w:rsid w:val="72E256EB"/>
    <w:rsid w:val="72E70F53"/>
    <w:rsid w:val="72EC0317"/>
    <w:rsid w:val="72F378F8"/>
    <w:rsid w:val="72F62F44"/>
    <w:rsid w:val="72FA2A34"/>
    <w:rsid w:val="72FD0776"/>
    <w:rsid w:val="73005B71"/>
    <w:rsid w:val="73076EFF"/>
    <w:rsid w:val="73104006"/>
    <w:rsid w:val="731F693F"/>
    <w:rsid w:val="73225876"/>
    <w:rsid w:val="73287302"/>
    <w:rsid w:val="732B6982"/>
    <w:rsid w:val="734343DB"/>
    <w:rsid w:val="734654E4"/>
    <w:rsid w:val="734B14E2"/>
    <w:rsid w:val="734F0FD2"/>
    <w:rsid w:val="73577E87"/>
    <w:rsid w:val="735E7467"/>
    <w:rsid w:val="7363682B"/>
    <w:rsid w:val="736507F6"/>
    <w:rsid w:val="73685BF0"/>
    <w:rsid w:val="736B1B84"/>
    <w:rsid w:val="736D3206"/>
    <w:rsid w:val="736E51D0"/>
    <w:rsid w:val="737E3665"/>
    <w:rsid w:val="73813156"/>
    <w:rsid w:val="73905147"/>
    <w:rsid w:val="73970283"/>
    <w:rsid w:val="73AA445A"/>
    <w:rsid w:val="73AB1F81"/>
    <w:rsid w:val="73AD7AA7"/>
    <w:rsid w:val="73AF7CC3"/>
    <w:rsid w:val="73B057E9"/>
    <w:rsid w:val="73B16901"/>
    <w:rsid w:val="73BA21C4"/>
    <w:rsid w:val="73BB0416"/>
    <w:rsid w:val="73BC418E"/>
    <w:rsid w:val="73BE4482"/>
    <w:rsid w:val="73C117A4"/>
    <w:rsid w:val="73DD4830"/>
    <w:rsid w:val="73DE4104"/>
    <w:rsid w:val="73F41B79"/>
    <w:rsid w:val="73F6144E"/>
    <w:rsid w:val="73F73418"/>
    <w:rsid w:val="73FC458A"/>
    <w:rsid w:val="740022CC"/>
    <w:rsid w:val="74161AF0"/>
    <w:rsid w:val="74177616"/>
    <w:rsid w:val="741B2C62"/>
    <w:rsid w:val="742C4E6F"/>
    <w:rsid w:val="742C597A"/>
    <w:rsid w:val="74404DBF"/>
    <w:rsid w:val="74424693"/>
    <w:rsid w:val="74561EEC"/>
    <w:rsid w:val="745A5E80"/>
    <w:rsid w:val="746F2FAE"/>
    <w:rsid w:val="74734C4D"/>
    <w:rsid w:val="74842EFD"/>
    <w:rsid w:val="749649DF"/>
    <w:rsid w:val="749858D8"/>
    <w:rsid w:val="7499002B"/>
    <w:rsid w:val="74BF5CE3"/>
    <w:rsid w:val="74CE5F27"/>
    <w:rsid w:val="74D53D0D"/>
    <w:rsid w:val="74DD616A"/>
    <w:rsid w:val="74DF1EE2"/>
    <w:rsid w:val="74E25E76"/>
    <w:rsid w:val="74F02341"/>
    <w:rsid w:val="74FF2584"/>
    <w:rsid w:val="750556C0"/>
    <w:rsid w:val="75057917"/>
    <w:rsid w:val="75134281"/>
    <w:rsid w:val="751853F4"/>
    <w:rsid w:val="751956F6"/>
    <w:rsid w:val="751F2C26"/>
    <w:rsid w:val="75243D99"/>
    <w:rsid w:val="75267B11"/>
    <w:rsid w:val="75371D1E"/>
    <w:rsid w:val="753D12FE"/>
    <w:rsid w:val="753D30AC"/>
    <w:rsid w:val="75410DEE"/>
    <w:rsid w:val="7544443B"/>
    <w:rsid w:val="75461F61"/>
    <w:rsid w:val="75497CA3"/>
    <w:rsid w:val="754D1541"/>
    <w:rsid w:val="754E7067"/>
    <w:rsid w:val="755A5A0C"/>
    <w:rsid w:val="75656951"/>
    <w:rsid w:val="75680129"/>
    <w:rsid w:val="756D3991"/>
    <w:rsid w:val="75703482"/>
    <w:rsid w:val="75761C28"/>
    <w:rsid w:val="758111EB"/>
    <w:rsid w:val="75812F99"/>
    <w:rsid w:val="7581743D"/>
    <w:rsid w:val="75840CDB"/>
    <w:rsid w:val="75846F2D"/>
    <w:rsid w:val="758D7B90"/>
    <w:rsid w:val="75932CCC"/>
    <w:rsid w:val="759A22AD"/>
    <w:rsid w:val="75A153E9"/>
    <w:rsid w:val="75AD59C6"/>
    <w:rsid w:val="75B55338"/>
    <w:rsid w:val="75C31CAF"/>
    <w:rsid w:val="75D22EF4"/>
    <w:rsid w:val="75D237F5"/>
    <w:rsid w:val="75DF5F11"/>
    <w:rsid w:val="75E55C1E"/>
    <w:rsid w:val="75E8126A"/>
    <w:rsid w:val="75F220E9"/>
    <w:rsid w:val="760616F0"/>
    <w:rsid w:val="76165DD7"/>
    <w:rsid w:val="761756AB"/>
    <w:rsid w:val="761B163F"/>
    <w:rsid w:val="761E6A3A"/>
    <w:rsid w:val="762229CE"/>
    <w:rsid w:val="76236746"/>
    <w:rsid w:val="762E5A44"/>
    <w:rsid w:val="764566BC"/>
    <w:rsid w:val="765406AD"/>
    <w:rsid w:val="76634D94"/>
    <w:rsid w:val="766E5C13"/>
    <w:rsid w:val="7677439C"/>
    <w:rsid w:val="768C7E47"/>
    <w:rsid w:val="768F5B89"/>
    <w:rsid w:val="76946CFC"/>
    <w:rsid w:val="769D2054"/>
    <w:rsid w:val="76A96C4B"/>
    <w:rsid w:val="76AE4262"/>
    <w:rsid w:val="76B850E0"/>
    <w:rsid w:val="76C84BF7"/>
    <w:rsid w:val="76C9109B"/>
    <w:rsid w:val="76CF41D8"/>
    <w:rsid w:val="76D37824"/>
    <w:rsid w:val="76D637B8"/>
    <w:rsid w:val="76DE1A76"/>
    <w:rsid w:val="76E71522"/>
    <w:rsid w:val="76F51E90"/>
    <w:rsid w:val="76FB4FCD"/>
    <w:rsid w:val="76FD2AF3"/>
    <w:rsid w:val="77071BC4"/>
    <w:rsid w:val="771340C5"/>
    <w:rsid w:val="771B11CB"/>
    <w:rsid w:val="7722255A"/>
    <w:rsid w:val="77297D8C"/>
    <w:rsid w:val="772E53A2"/>
    <w:rsid w:val="772F69C9"/>
    <w:rsid w:val="773F310C"/>
    <w:rsid w:val="774150D6"/>
    <w:rsid w:val="77420E4E"/>
    <w:rsid w:val="77456248"/>
    <w:rsid w:val="77493F8A"/>
    <w:rsid w:val="774A385E"/>
    <w:rsid w:val="776A70E9"/>
    <w:rsid w:val="77756B2D"/>
    <w:rsid w:val="777A4144"/>
    <w:rsid w:val="777D3C34"/>
    <w:rsid w:val="777D59E2"/>
    <w:rsid w:val="7782124A"/>
    <w:rsid w:val="778E7BEF"/>
    <w:rsid w:val="7791148D"/>
    <w:rsid w:val="77935205"/>
    <w:rsid w:val="77A5169F"/>
    <w:rsid w:val="77B04009"/>
    <w:rsid w:val="77B533CE"/>
    <w:rsid w:val="77B84C6C"/>
    <w:rsid w:val="77C90C27"/>
    <w:rsid w:val="77E912C9"/>
    <w:rsid w:val="77F75794"/>
    <w:rsid w:val="77FC0FFD"/>
    <w:rsid w:val="78056103"/>
    <w:rsid w:val="78061E7B"/>
    <w:rsid w:val="780A196C"/>
    <w:rsid w:val="780B7492"/>
    <w:rsid w:val="78160310"/>
    <w:rsid w:val="78191BAF"/>
    <w:rsid w:val="78212811"/>
    <w:rsid w:val="782567A5"/>
    <w:rsid w:val="78267E28"/>
    <w:rsid w:val="78306EF8"/>
    <w:rsid w:val="7831514A"/>
    <w:rsid w:val="783B1B25"/>
    <w:rsid w:val="783E1615"/>
    <w:rsid w:val="78414C61"/>
    <w:rsid w:val="78434E7D"/>
    <w:rsid w:val="784D1858"/>
    <w:rsid w:val="785726D7"/>
    <w:rsid w:val="78593B74"/>
    <w:rsid w:val="785B5D23"/>
    <w:rsid w:val="786D5A56"/>
    <w:rsid w:val="786F5C73"/>
    <w:rsid w:val="78711F84"/>
    <w:rsid w:val="78715547"/>
    <w:rsid w:val="787212BF"/>
    <w:rsid w:val="7874104B"/>
    <w:rsid w:val="787E1A12"/>
    <w:rsid w:val="787E5EB6"/>
    <w:rsid w:val="78915BE9"/>
    <w:rsid w:val="78991168"/>
    <w:rsid w:val="78AF42C1"/>
    <w:rsid w:val="78B11DE7"/>
    <w:rsid w:val="78B638A1"/>
    <w:rsid w:val="78B90C9C"/>
    <w:rsid w:val="78BD078C"/>
    <w:rsid w:val="78C47284"/>
    <w:rsid w:val="78C55892"/>
    <w:rsid w:val="78C57641"/>
    <w:rsid w:val="78CA10FB"/>
    <w:rsid w:val="78CE2999"/>
    <w:rsid w:val="78D37FAF"/>
    <w:rsid w:val="78D50FD5"/>
    <w:rsid w:val="78D6184E"/>
    <w:rsid w:val="78DB3308"/>
    <w:rsid w:val="78DD498A"/>
    <w:rsid w:val="78E574FC"/>
    <w:rsid w:val="78F072EC"/>
    <w:rsid w:val="78F148D9"/>
    <w:rsid w:val="78F41E38"/>
    <w:rsid w:val="78FB3062"/>
    <w:rsid w:val="790243F1"/>
    <w:rsid w:val="790A14F7"/>
    <w:rsid w:val="790A771D"/>
    <w:rsid w:val="79116D2A"/>
    <w:rsid w:val="791D56CF"/>
    <w:rsid w:val="791E4FA3"/>
    <w:rsid w:val="792151BF"/>
    <w:rsid w:val="792A3948"/>
    <w:rsid w:val="792B7DEB"/>
    <w:rsid w:val="792F0F5E"/>
    <w:rsid w:val="79304A06"/>
    <w:rsid w:val="793B3DA7"/>
    <w:rsid w:val="794013BD"/>
    <w:rsid w:val="7940316B"/>
    <w:rsid w:val="795804B5"/>
    <w:rsid w:val="795A247F"/>
    <w:rsid w:val="795D5ACB"/>
    <w:rsid w:val="79660E24"/>
    <w:rsid w:val="796706F8"/>
    <w:rsid w:val="79674B9C"/>
    <w:rsid w:val="796926C2"/>
    <w:rsid w:val="796E5F2A"/>
    <w:rsid w:val="79823784"/>
    <w:rsid w:val="79907C4E"/>
    <w:rsid w:val="79927E6B"/>
    <w:rsid w:val="79B002F1"/>
    <w:rsid w:val="79B03D8F"/>
    <w:rsid w:val="79B379F6"/>
    <w:rsid w:val="79B652A3"/>
    <w:rsid w:val="79B7342D"/>
    <w:rsid w:val="79BC0A44"/>
    <w:rsid w:val="79C45B4A"/>
    <w:rsid w:val="79C773E8"/>
    <w:rsid w:val="79CD6CC2"/>
    <w:rsid w:val="79CE4C1B"/>
    <w:rsid w:val="79D044EF"/>
    <w:rsid w:val="79DD09BA"/>
    <w:rsid w:val="79DF0BD6"/>
    <w:rsid w:val="79E166FC"/>
    <w:rsid w:val="79F3642F"/>
    <w:rsid w:val="79FE72AE"/>
    <w:rsid w:val="7A1545F8"/>
    <w:rsid w:val="7A252A8D"/>
    <w:rsid w:val="7A2B3E1B"/>
    <w:rsid w:val="7A3F3423"/>
    <w:rsid w:val="7A401675"/>
    <w:rsid w:val="7A4D3724"/>
    <w:rsid w:val="7A552C46"/>
    <w:rsid w:val="7A6F1F5A"/>
    <w:rsid w:val="7A772BBC"/>
    <w:rsid w:val="7A8377B3"/>
    <w:rsid w:val="7A886B78"/>
    <w:rsid w:val="7A8C48BA"/>
    <w:rsid w:val="7A8E57D9"/>
    <w:rsid w:val="7A910122"/>
    <w:rsid w:val="7A9C2623"/>
    <w:rsid w:val="7AB43E11"/>
    <w:rsid w:val="7AB931D5"/>
    <w:rsid w:val="7AC1208A"/>
    <w:rsid w:val="7ACD6C80"/>
    <w:rsid w:val="7AD534EC"/>
    <w:rsid w:val="7AD63D87"/>
    <w:rsid w:val="7AD95625"/>
    <w:rsid w:val="7AD973D3"/>
    <w:rsid w:val="7ADF157C"/>
    <w:rsid w:val="7AE00762"/>
    <w:rsid w:val="7AE30252"/>
    <w:rsid w:val="7AEC5358"/>
    <w:rsid w:val="7AEF309B"/>
    <w:rsid w:val="7AF20495"/>
    <w:rsid w:val="7AF91823"/>
    <w:rsid w:val="7B0C1557"/>
    <w:rsid w:val="7B1228E5"/>
    <w:rsid w:val="7B1448AF"/>
    <w:rsid w:val="7B25086A"/>
    <w:rsid w:val="7B2C0C07"/>
    <w:rsid w:val="7B327E63"/>
    <w:rsid w:val="7B3311D9"/>
    <w:rsid w:val="7B3665D4"/>
    <w:rsid w:val="7B552FBE"/>
    <w:rsid w:val="7B5829EE"/>
    <w:rsid w:val="7B5B603A"/>
    <w:rsid w:val="7B5E3DA9"/>
    <w:rsid w:val="7B6540F3"/>
    <w:rsid w:val="7B670E83"/>
    <w:rsid w:val="7B6C0247"/>
    <w:rsid w:val="7B6C6499"/>
    <w:rsid w:val="7B8268F0"/>
    <w:rsid w:val="7B8C08E9"/>
    <w:rsid w:val="7B8E2585"/>
    <w:rsid w:val="7B9B28DB"/>
    <w:rsid w:val="7BA619AB"/>
    <w:rsid w:val="7BAE0860"/>
    <w:rsid w:val="7BAE3AB5"/>
    <w:rsid w:val="7BB10350"/>
    <w:rsid w:val="7BB35E76"/>
    <w:rsid w:val="7BBD346C"/>
    <w:rsid w:val="7BBF2A6D"/>
    <w:rsid w:val="7BC1432F"/>
    <w:rsid w:val="7BC63DFB"/>
    <w:rsid w:val="7BD04C7A"/>
    <w:rsid w:val="7BDF0A19"/>
    <w:rsid w:val="7BDF6C6B"/>
    <w:rsid w:val="7BE14791"/>
    <w:rsid w:val="7BE67FFA"/>
    <w:rsid w:val="7BFA5853"/>
    <w:rsid w:val="7BFE17E7"/>
    <w:rsid w:val="7BFF730D"/>
    <w:rsid w:val="7C136915"/>
    <w:rsid w:val="7C1C7EBF"/>
    <w:rsid w:val="7C1F52BA"/>
    <w:rsid w:val="7C29438A"/>
    <w:rsid w:val="7C2B0102"/>
    <w:rsid w:val="7C350F81"/>
    <w:rsid w:val="7C3C40BE"/>
    <w:rsid w:val="7C444D20"/>
    <w:rsid w:val="7C466CEA"/>
    <w:rsid w:val="7C4B60AF"/>
    <w:rsid w:val="7C4F2043"/>
    <w:rsid w:val="7C55517F"/>
    <w:rsid w:val="7C5A2796"/>
    <w:rsid w:val="7C5C4760"/>
    <w:rsid w:val="7C6158D2"/>
    <w:rsid w:val="7C683105"/>
    <w:rsid w:val="7C72188D"/>
    <w:rsid w:val="7C7A6994"/>
    <w:rsid w:val="7C8E41ED"/>
    <w:rsid w:val="7C947A56"/>
    <w:rsid w:val="7C9A0DE4"/>
    <w:rsid w:val="7C9C4B5C"/>
    <w:rsid w:val="7CA83501"/>
    <w:rsid w:val="7CB93960"/>
    <w:rsid w:val="7CBC6FAC"/>
    <w:rsid w:val="7CEF5025"/>
    <w:rsid w:val="7CF90201"/>
    <w:rsid w:val="7CFD1A9F"/>
    <w:rsid w:val="7D0B583E"/>
    <w:rsid w:val="7D0D7808"/>
    <w:rsid w:val="7D1312C2"/>
    <w:rsid w:val="7D140B97"/>
    <w:rsid w:val="7D180687"/>
    <w:rsid w:val="7D180C99"/>
    <w:rsid w:val="7D28412D"/>
    <w:rsid w:val="7D2C5EE0"/>
    <w:rsid w:val="7D2D1C58"/>
    <w:rsid w:val="7D2E7EAA"/>
    <w:rsid w:val="7D3923AB"/>
    <w:rsid w:val="7D470F6C"/>
    <w:rsid w:val="7D472D1A"/>
    <w:rsid w:val="7D5D42EC"/>
    <w:rsid w:val="7D6513F2"/>
    <w:rsid w:val="7D746249"/>
    <w:rsid w:val="7D755AD9"/>
    <w:rsid w:val="7D7D673C"/>
    <w:rsid w:val="7D80622C"/>
    <w:rsid w:val="7D831878"/>
    <w:rsid w:val="7D8950E1"/>
    <w:rsid w:val="7D9121E7"/>
    <w:rsid w:val="7D913F95"/>
    <w:rsid w:val="7D9341B1"/>
    <w:rsid w:val="7D943A85"/>
    <w:rsid w:val="7D9615AC"/>
    <w:rsid w:val="7D9C3E74"/>
    <w:rsid w:val="7DAC497B"/>
    <w:rsid w:val="7DBA34EC"/>
    <w:rsid w:val="7DC9372F"/>
    <w:rsid w:val="7DCC1C46"/>
    <w:rsid w:val="7DD30A52"/>
    <w:rsid w:val="7DD520D4"/>
    <w:rsid w:val="7DDE5443"/>
    <w:rsid w:val="7DE31DF5"/>
    <w:rsid w:val="7DE60785"/>
    <w:rsid w:val="7DF2712A"/>
    <w:rsid w:val="7DFB58B2"/>
    <w:rsid w:val="7E01736D"/>
    <w:rsid w:val="7E0230E5"/>
    <w:rsid w:val="7E026C41"/>
    <w:rsid w:val="7E097FCF"/>
    <w:rsid w:val="7E244E09"/>
    <w:rsid w:val="7E260B81"/>
    <w:rsid w:val="7E266DD3"/>
    <w:rsid w:val="7E2C3CBE"/>
    <w:rsid w:val="7E307C52"/>
    <w:rsid w:val="7E33504C"/>
    <w:rsid w:val="7E406C79"/>
    <w:rsid w:val="7E4454AB"/>
    <w:rsid w:val="7E490D14"/>
    <w:rsid w:val="7E492AC2"/>
    <w:rsid w:val="7E53749D"/>
    <w:rsid w:val="7E551467"/>
    <w:rsid w:val="7E6F60A7"/>
    <w:rsid w:val="7E7044F2"/>
    <w:rsid w:val="7E747B3F"/>
    <w:rsid w:val="7E7C2F7A"/>
    <w:rsid w:val="7E834226"/>
    <w:rsid w:val="7E8D6E52"/>
    <w:rsid w:val="7E924469"/>
    <w:rsid w:val="7E926217"/>
    <w:rsid w:val="7E953F59"/>
    <w:rsid w:val="7EAB1087"/>
    <w:rsid w:val="7EB42631"/>
    <w:rsid w:val="7EB75C7D"/>
    <w:rsid w:val="7EBC14E6"/>
    <w:rsid w:val="7EC76812"/>
    <w:rsid w:val="7ECB7038"/>
    <w:rsid w:val="7ED700CE"/>
    <w:rsid w:val="7EEC1DCB"/>
    <w:rsid w:val="7EFE565A"/>
    <w:rsid w:val="7F032C71"/>
    <w:rsid w:val="7F1B7FBA"/>
    <w:rsid w:val="7F1E3F4E"/>
    <w:rsid w:val="7F286B7B"/>
    <w:rsid w:val="7F3EBB27"/>
    <w:rsid w:val="7F453289"/>
    <w:rsid w:val="7F511C2E"/>
    <w:rsid w:val="7F525799"/>
    <w:rsid w:val="7F5D6825"/>
    <w:rsid w:val="7F651B7D"/>
    <w:rsid w:val="7F6A2CF0"/>
    <w:rsid w:val="7F6A7194"/>
    <w:rsid w:val="7F6C2F0C"/>
    <w:rsid w:val="7F6D458E"/>
    <w:rsid w:val="7F75049E"/>
    <w:rsid w:val="7F770381"/>
    <w:rsid w:val="7F7731D8"/>
    <w:rsid w:val="7F7E679B"/>
    <w:rsid w:val="7F7F453B"/>
    <w:rsid w:val="7F8C2C66"/>
    <w:rsid w:val="7F954211"/>
    <w:rsid w:val="7F985AAF"/>
    <w:rsid w:val="7F9B734D"/>
    <w:rsid w:val="7FA2692E"/>
    <w:rsid w:val="7FAA7590"/>
    <w:rsid w:val="7FAC253D"/>
    <w:rsid w:val="7FBB79EF"/>
    <w:rsid w:val="7FBC59F2"/>
    <w:rsid w:val="7FCA19E0"/>
    <w:rsid w:val="7FD4460D"/>
    <w:rsid w:val="7FD55335"/>
    <w:rsid w:val="7FEC1957"/>
    <w:rsid w:val="7FF07699"/>
    <w:rsid w:val="7FF151BF"/>
    <w:rsid w:val="7FF532F0"/>
    <w:rsid w:val="7FF627D5"/>
    <w:rsid w:val="DEFB861C"/>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239"/>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240"/>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24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242"/>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243"/>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24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autoRedefine/>
    <w:semiHidden/>
    <w:unhideWhenUsed/>
    <w:qFormat/>
    <w:uiPriority w:val="1"/>
  </w:style>
  <w:style w:type="table" w:default="1" w:styleId="45">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rmal Indent"/>
    <w:basedOn w:val="1"/>
    <w:link w:val="72"/>
    <w:autoRedefine/>
    <w:qFormat/>
    <w:uiPriority w:val="0"/>
    <w:pPr>
      <w:autoSpaceDE w:val="0"/>
      <w:autoSpaceDN w:val="0"/>
      <w:adjustRightInd w:val="0"/>
      <w:ind w:firstLine="420"/>
      <w:jc w:val="left"/>
    </w:pPr>
    <w:rPr>
      <w:rFonts w:ascii="宋体"/>
      <w:sz w:val="24"/>
    </w:r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45"/>
    <w:autoRedefine/>
    <w:qFormat/>
    <w:uiPriority w:val="0"/>
    <w:pPr>
      <w:shd w:val="clear" w:color="auto" w:fill="000080"/>
    </w:pPr>
  </w:style>
  <w:style w:type="paragraph" w:styleId="15">
    <w:name w:val="annotation text"/>
    <w:basedOn w:val="1"/>
    <w:link w:val="191"/>
    <w:autoRedefine/>
    <w:qFormat/>
    <w:uiPriority w:val="99"/>
    <w:pPr>
      <w:jc w:val="left"/>
    </w:pPr>
  </w:style>
  <w:style w:type="paragraph" w:styleId="16">
    <w:name w:val="Body Text 3"/>
    <w:basedOn w:val="1"/>
    <w:link w:val="246"/>
    <w:autoRedefine/>
    <w:qFormat/>
    <w:uiPriority w:val="0"/>
    <w:pPr>
      <w:spacing w:after="120"/>
    </w:pPr>
    <w:rPr>
      <w:sz w:val="16"/>
      <w:szCs w:val="16"/>
    </w:rPr>
  </w:style>
  <w:style w:type="paragraph" w:styleId="17">
    <w:name w:val="Body Text"/>
    <w:basedOn w:val="1"/>
    <w:link w:val="247"/>
    <w:autoRedefine/>
    <w:qFormat/>
    <w:uiPriority w:val="0"/>
    <w:pPr>
      <w:tabs>
        <w:tab w:val="left" w:pos="567"/>
      </w:tabs>
      <w:spacing w:before="120" w:line="22" w:lineRule="atLeast"/>
    </w:pPr>
    <w:rPr>
      <w:rFonts w:ascii="宋体" w:hAnsi="宋体"/>
      <w:sz w:val="24"/>
    </w:rPr>
  </w:style>
  <w:style w:type="paragraph" w:styleId="18">
    <w:name w:val="Body Text Indent"/>
    <w:basedOn w:val="1"/>
    <w:link w:val="77"/>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index 4"/>
    <w:next w:val="1"/>
    <w:autoRedefine/>
    <w:qFormat/>
    <w:uiPriority w:val="0"/>
    <w:pPr>
      <w:widowControl w:val="0"/>
      <w:ind w:left="600" w:leftChars="600"/>
      <w:jc w:val="both"/>
    </w:pPr>
    <w:rPr>
      <w:rFonts w:ascii="Times New Roman" w:hAnsi="Times New Roman" w:eastAsia="宋体" w:cs="Times New Roman"/>
      <w:kern w:val="2"/>
      <w:sz w:val="21"/>
      <w:szCs w:val="24"/>
      <w:lang w:val="en-US" w:eastAsia="zh-CN" w:bidi="ar-SA"/>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211"/>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248"/>
    <w:autoRedefine/>
    <w:qFormat/>
    <w:uiPriority w:val="0"/>
    <w:pPr>
      <w:ind w:left="100" w:leftChars="2500"/>
    </w:pPr>
    <w:rPr>
      <w:rFonts w:ascii="仿宋_GB2312" w:hAnsi="宋体" w:eastAsia="仿宋_GB2312"/>
      <w:color w:val="000000"/>
      <w:sz w:val="24"/>
    </w:rPr>
  </w:style>
  <w:style w:type="paragraph" w:styleId="27">
    <w:name w:val="Body Text Indent 2"/>
    <w:basedOn w:val="1"/>
    <w:link w:val="249"/>
    <w:autoRedefine/>
    <w:qFormat/>
    <w:uiPriority w:val="0"/>
    <w:pPr>
      <w:ind w:firstLine="480" w:firstLineChars="200"/>
    </w:pPr>
    <w:rPr>
      <w:rFonts w:ascii="仿宋_GB2312" w:eastAsia="仿宋_GB2312"/>
      <w:sz w:val="24"/>
    </w:rPr>
  </w:style>
  <w:style w:type="paragraph" w:styleId="28">
    <w:name w:val="Balloon Text"/>
    <w:basedOn w:val="1"/>
    <w:link w:val="250"/>
    <w:autoRedefine/>
    <w:qFormat/>
    <w:uiPriority w:val="0"/>
    <w:rPr>
      <w:sz w:val="18"/>
      <w:szCs w:val="18"/>
    </w:rPr>
  </w:style>
  <w:style w:type="paragraph" w:styleId="29">
    <w:name w:val="footer"/>
    <w:basedOn w:val="1"/>
    <w:link w:val="178"/>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autoRedefine/>
    <w:qFormat/>
    <w:uiPriority w:val="99"/>
    <w:pPr>
      <w:widowControl w:val="0"/>
      <w:jc w:val="both"/>
    </w:pPr>
    <w:rPr>
      <w:rFonts w:ascii="Arial" w:hAnsi="Arial" w:cs="Arial"/>
      <w:kern w:val="1"/>
      <w:sz w:val="21"/>
      <w:szCs w:val="24"/>
      <w:lang w:val="en-US" w:eastAsia="zh-CN" w:bidi="ar-SA"/>
    </w:rPr>
  </w:style>
  <w:style w:type="paragraph" w:styleId="31">
    <w:name w:val="header"/>
    <w:basedOn w:val="1"/>
    <w:link w:val="86"/>
    <w:autoRedefine/>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autoRedefine/>
    <w:qFormat/>
    <w:uiPriority w:val="0"/>
    <w:pPr>
      <w:ind w:left="1260" w:leftChars="600"/>
    </w:pPr>
  </w:style>
  <w:style w:type="paragraph" w:styleId="34">
    <w:name w:val="toc 6"/>
    <w:basedOn w:val="1"/>
    <w:next w:val="1"/>
    <w:autoRedefine/>
    <w:qFormat/>
    <w:uiPriority w:val="0"/>
    <w:pPr>
      <w:ind w:left="2100" w:leftChars="1000"/>
    </w:pPr>
  </w:style>
  <w:style w:type="paragraph" w:styleId="35">
    <w:name w:val="Body Text Indent 3"/>
    <w:basedOn w:val="1"/>
    <w:link w:val="25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autoRedefine/>
    <w:qFormat/>
    <w:uiPriority w:val="39"/>
    <w:pPr>
      <w:tabs>
        <w:tab w:val="right" w:leader="dot" w:pos="8937"/>
      </w:tabs>
      <w:spacing w:line="312" w:lineRule="auto"/>
      <w:ind w:left="420" w:leftChars="200"/>
    </w:pPr>
  </w:style>
  <w:style w:type="paragraph" w:styleId="37">
    <w:name w:val="toc 9"/>
    <w:basedOn w:val="1"/>
    <w:next w:val="1"/>
    <w:autoRedefine/>
    <w:qFormat/>
    <w:uiPriority w:val="0"/>
    <w:pPr>
      <w:ind w:left="3360" w:leftChars="1600"/>
    </w:pPr>
  </w:style>
  <w:style w:type="paragraph" w:styleId="38">
    <w:name w:val="HTML Preformatted"/>
    <w:basedOn w:val="1"/>
    <w:link w:val="25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autoRedefine/>
    <w:qFormat/>
    <w:uiPriority w:val="0"/>
    <w:rPr>
      <w:szCs w:val="20"/>
    </w:rPr>
  </w:style>
  <w:style w:type="paragraph" w:styleId="41">
    <w:name w:val="Title"/>
    <w:basedOn w:val="1"/>
    <w:link w:val="197"/>
    <w:autoRedefine/>
    <w:qFormat/>
    <w:uiPriority w:val="0"/>
    <w:pPr>
      <w:jc w:val="center"/>
      <w:outlineLvl w:val="0"/>
    </w:pPr>
    <w:rPr>
      <w:b/>
      <w:sz w:val="32"/>
      <w:szCs w:val="20"/>
    </w:rPr>
  </w:style>
  <w:style w:type="paragraph" w:styleId="42">
    <w:name w:val="annotation subject"/>
    <w:basedOn w:val="15"/>
    <w:next w:val="15"/>
    <w:link w:val="253"/>
    <w:autoRedefine/>
    <w:qFormat/>
    <w:uiPriority w:val="0"/>
    <w:rPr>
      <w:b/>
      <w:bCs/>
    </w:rPr>
  </w:style>
  <w:style w:type="paragraph" w:styleId="43">
    <w:name w:val="Body Text First Indent"/>
    <w:basedOn w:val="17"/>
    <w:qFormat/>
    <w:uiPriority w:val="0"/>
    <w:pPr>
      <w:spacing w:after="120" w:line="240" w:lineRule="auto"/>
      <w:ind w:firstLine="420" w:firstLineChars="100"/>
    </w:pPr>
    <w:rPr>
      <w:sz w:val="21"/>
    </w:rPr>
  </w:style>
  <w:style w:type="paragraph" w:styleId="44">
    <w:name w:val="Body Text First Indent 2"/>
    <w:basedOn w:val="18"/>
    <w:link w:val="254"/>
    <w:autoRedefine/>
    <w:qFormat/>
    <w:uiPriority w:val="0"/>
    <w:pPr>
      <w:spacing w:after="120" w:line="480" w:lineRule="exact"/>
      <w:ind w:left="420" w:leftChars="200" w:firstLine="420" w:firstLineChars="200"/>
    </w:pPr>
    <w:rPr>
      <w:szCs w:val="20"/>
    </w:rPr>
  </w:style>
  <w:style w:type="table" w:styleId="46">
    <w:name w:val="Table Grid"/>
    <w:basedOn w:val="45"/>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autoRedefine/>
    <w:qFormat/>
    <w:uiPriority w:val="0"/>
    <w:rPr>
      <w:b/>
      <w:bCs/>
    </w:rPr>
  </w:style>
  <w:style w:type="character" w:styleId="50">
    <w:name w:val="page number"/>
    <w:basedOn w:val="48"/>
    <w:autoRedefine/>
    <w:qFormat/>
    <w:uiPriority w:val="0"/>
  </w:style>
  <w:style w:type="character" w:styleId="51">
    <w:name w:val="FollowedHyperlink"/>
    <w:autoRedefine/>
    <w:qFormat/>
    <w:uiPriority w:val="0"/>
    <w:rPr>
      <w:color w:val="800080"/>
      <w:u w:val="single"/>
    </w:rPr>
  </w:style>
  <w:style w:type="character" w:styleId="52">
    <w:name w:val="Emphasis"/>
    <w:autoRedefine/>
    <w:qFormat/>
    <w:uiPriority w:val="0"/>
    <w:rPr>
      <w:color w:val="CC0033"/>
    </w:rPr>
  </w:style>
  <w:style w:type="character" w:styleId="53">
    <w:name w:val="HTML Definition"/>
    <w:basedOn w:val="48"/>
    <w:autoRedefine/>
    <w:qFormat/>
    <w:uiPriority w:val="0"/>
  </w:style>
  <w:style w:type="character" w:styleId="54">
    <w:name w:val="HTML Acronym"/>
    <w:basedOn w:val="48"/>
    <w:autoRedefine/>
    <w:qFormat/>
    <w:uiPriority w:val="0"/>
  </w:style>
  <w:style w:type="character" w:styleId="55">
    <w:name w:val="HTML Variable"/>
    <w:basedOn w:val="48"/>
    <w:autoRedefine/>
    <w:qFormat/>
    <w:uiPriority w:val="0"/>
  </w:style>
  <w:style w:type="character" w:styleId="56">
    <w:name w:val="Hyperlink"/>
    <w:autoRedefine/>
    <w:qFormat/>
    <w:uiPriority w:val="99"/>
    <w:rPr>
      <w:color w:val="0000FF"/>
      <w:u w:val="single"/>
    </w:rPr>
  </w:style>
  <w:style w:type="character" w:styleId="57">
    <w:name w:val="HTML Code"/>
    <w:basedOn w:val="48"/>
    <w:autoRedefine/>
    <w:qFormat/>
    <w:uiPriority w:val="0"/>
    <w:rPr>
      <w:rFonts w:ascii="Courier New" w:hAnsi="Courier New"/>
      <w:sz w:val="20"/>
    </w:rPr>
  </w:style>
  <w:style w:type="character" w:styleId="58">
    <w:name w:val="annotation reference"/>
    <w:autoRedefine/>
    <w:qFormat/>
    <w:uiPriority w:val="99"/>
    <w:rPr>
      <w:sz w:val="21"/>
      <w:szCs w:val="21"/>
    </w:rPr>
  </w:style>
  <w:style w:type="character" w:styleId="59">
    <w:name w:val="HTML Cite"/>
    <w:autoRedefine/>
    <w:qFormat/>
    <w:uiPriority w:val="0"/>
    <w:rPr>
      <w:i/>
      <w:iCs/>
    </w:rPr>
  </w:style>
  <w:style w:type="paragraph" w:customStyle="1" w:styleId="60">
    <w:name w:val="正文1"/>
    <w:basedOn w:val="1"/>
    <w:next w:val="1"/>
    <w:autoRedefine/>
    <w:qFormat/>
    <w:uiPriority w:val="99"/>
    <w:pPr>
      <w:tabs>
        <w:tab w:val="left" w:pos="480"/>
      </w:tabs>
      <w:spacing w:line="500" w:lineRule="exact"/>
      <w:ind w:left="359" w:hanging="359" w:hangingChars="171"/>
    </w:pPr>
    <w:rPr>
      <w:rFonts w:ascii="黑体" w:hAnsi="宋体" w:cs="黑体"/>
      <w:szCs w:val="21"/>
    </w:rPr>
  </w:style>
  <w:style w:type="paragraph" w:customStyle="1" w:styleId="61">
    <w:name w:val="_Style 2"/>
    <w:basedOn w:val="1"/>
    <w:next w:val="1"/>
    <w:autoRedefine/>
    <w:qFormat/>
    <w:uiPriority w:val="0"/>
    <w:pPr>
      <w:ind w:firstLine="420" w:firstLineChars="200"/>
    </w:pPr>
  </w:style>
  <w:style w:type="paragraph" w:customStyle="1" w:styleId="62">
    <w:name w:val="样式 小四"/>
    <w:autoRedefine/>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63">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64">
    <w:name w:val="标题 2 字符"/>
    <w:link w:val="3"/>
    <w:autoRedefine/>
    <w:qFormat/>
    <w:uiPriority w:val="0"/>
    <w:rPr>
      <w:rFonts w:ascii="Arial" w:hAnsi="Arial" w:eastAsia="黑体"/>
      <w:b/>
      <w:sz w:val="30"/>
      <w:lang w:val="en-US" w:eastAsia="zh-CN" w:bidi="ar-SA"/>
    </w:rPr>
  </w:style>
  <w:style w:type="character" w:customStyle="1" w:styleId="65">
    <w:name w:val="标题 3 字符"/>
    <w:link w:val="4"/>
    <w:autoRedefine/>
    <w:qFormat/>
    <w:uiPriority w:val="0"/>
    <w:rPr>
      <w:rFonts w:ascii="宋体" w:eastAsia="宋体"/>
      <w:b/>
      <w:sz w:val="24"/>
      <w:u w:val="single"/>
      <w:lang w:val="en-US" w:eastAsia="zh-CN" w:bidi="ar-SA"/>
    </w:rPr>
  </w:style>
  <w:style w:type="character" w:customStyle="1" w:styleId="66">
    <w:name w:val="c21"/>
    <w:autoRedefine/>
    <w:qFormat/>
    <w:uiPriority w:val="0"/>
    <w:rPr>
      <w:rFonts w:hint="default" w:ascii="ˎ̥" w:hAnsi="ˎ̥"/>
      <w:color w:val="000000"/>
      <w:sz w:val="20"/>
      <w:szCs w:val="20"/>
      <w:u w:val="none"/>
    </w:rPr>
  </w:style>
  <w:style w:type="character" w:customStyle="1" w:styleId="67">
    <w:name w:val="title4"/>
    <w:autoRedefine/>
    <w:qFormat/>
    <w:uiPriority w:val="0"/>
    <w:rPr>
      <w:b/>
      <w:bCs/>
      <w:color w:val="1D87B3"/>
      <w:sz w:val="15"/>
      <w:szCs w:val="15"/>
    </w:rPr>
  </w:style>
  <w:style w:type="character" w:customStyle="1" w:styleId="68">
    <w:name w:val="标题 2 Char Char"/>
    <w:autoRedefine/>
    <w:qFormat/>
    <w:uiPriority w:val="0"/>
    <w:rPr>
      <w:rFonts w:ascii="Arial" w:hAnsi="Arial" w:eastAsia="黑体"/>
      <w:b/>
      <w:bCs/>
      <w:kern w:val="2"/>
      <w:sz w:val="32"/>
      <w:szCs w:val="32"/>
      <w:lang w:val="en-US" w:eastAsia="zh-CN" w:bidi="ar-SA"/>
    </w:rPr>
  </w:style>
  <w:style w:type="character" w:customStyle="1" w:styleId="69">
    <w:name w:val="black1"/>
    <w:autoRedefine/>
    <w:qFormat/>
    <w:uiPriority w:val="0"/>
    <w:rPr>
      <w:color w:val="000000"/>
    </w:rPr>
  </w:style>
  <w:style w:type="character" w:customStyle="1" w:styleId="70">
    <w:name w:val="street-address"/>
    <w:basedOn w:val="48"/>
    <w:autoRedefine/>
    <w:qFormat/>
    <w:uiPriority w:val="0"/>
  </w:style>
  <w:style w:type="character" w:customStyle="1" w:styleId="71">
    <w:name w:val="locality"/>
    <w:basedOn w:val="48"/>
    <w:autoRedefine/>
    <w:qFormat/>
    <w:uiPriority w:val="0"/>
  </w:style>
  <w:style w:type="character" w:customStyle="1" w:styleId="72">
    <w:name w:val="正文缩进 字符"/>
    <w:link w:val="12"/>
    <w:autoRedefine/>
    <w:qFormat/>
    <w:uiPriority w:val="0"/>
    <w:rPr>
      <w:rFonts w:ascii="宋体" w:eastAsia="宋体"/>
      <w:kern w:val="2"/>
      <w:sz w:val="24"/>
      <w:szCs w:val="24"/>
      <w:lang w:val="en-US" w:eastAsia="zh-CN" w:bidi="ar-SA"/>
    </w:rPr>
  </w:style>
  <w:style w:type="character" w:customStyle="1" w:styleId="73">
    <w:name w:val="正文文本缩进 Char1"/>
    <w:link w:val="74"/>
    <w:autoRedefine/>
    <w:qFormat/>
    <w:uiPriority w:val="0"/>
    <w:rPr>
      <w:rFonts w:ascii="宋体" w:hAnsi="宋体" w:eastAsia="宋体"/>
      <w:sz w:val="24"/>
      <w:szCs w:val="24"/>
      <w:lang w:bidi="ar-SA"/>
    </w:rPr>
  </w:style>
  <w:style w:type="paragraph" w:customStyle="1" w:styleId="74">
    <w:name w:val="正文文本缩进1"/>
    <w:basedOn w:val="1"/>
    <w:link w:val="73"/>
    <w:autoRedefine/>
    <w:qFormat/>
    <w:uiPriority w:val="0"/>
    <w:pPr>
      <w:spacing w:line="480" w:lineRule="exact"/>
      <w:ind w:firstLine="480" w:firstLineChars="200"/>
    </w:pPr>
    <w:rPr>
      <w:rFonts w:ascii="宋体" w:hAnsi="宋体"/>
      <w:kern w:val="0"/>
      <w:sz w:val="24"/>
    </w:rPr>
  </w:style>
  <w:style w:type="character" w:customStyle="1" w:styleId="75">
    <w:name w:val="Char Char11"/>
    <w:autoRedefine/>
    <w:qFormat/>
    <w:uiPriority w:val="0"/>
    <w:rPr>
      <w:rFonts w:ascii="宋体" w:eastAsia="宋体"/>
      <w:b/>
      <w:sz w:val="24"/>
      <w:u w:val="single"/>
      <w:lang w:val="en-US" w:eastAsia="zh-CN" w:bidi="ar-SA"/>
    </w:rPr>
  </w:style>
  <w:style w:type="character" w:customStyle="1" w:styleId="76">
    <w:name w:val="txt"/>
    <w:basedOn w:val="48"/>
    <w:autoRedefine/>
    <w:qFormat/>
    <w:uiPriority w:val="0"/>
  </w:style>
  <w:style w:type="character" w:customStyle="1" w:styleId="77">
    <w:name w:val="正文文本缩进 字符"/>
    <w:link w:val="18"/>
    <w:autoRedefine/>
    <w:qFormat/>
    <w:uiPriority w:val="0"/>
    <w:rPr>
      <w:rFonts w:eastAsia="宋体"/>
      <w:kern w:val="2"/>
      <w:sz w:val="24"/>
      <w:szCs w:val="24"/>
      <w:lang w:val="en-US" w:eastAsia="zh-CN" w:bidi="ar-SA"/>
    </w:rPr>
  </w:style>
  <w:style w:type="character" w:customStyle="1" w:styleId="78">
    <w:name w:val="正文缩进 Char Char"/>
    <w:link w:val="79"/>
    <w:autoRedefine/>
    <w:qFormat/>
    <w:uiPriority w:val="0"/>
    <w:rPr>
      <w:rFonts w:ascii="宋体" w:eastAsia="宋体"/>
      <w:snapToGrid w:val="0"/>
      <w:color w:val="000000"/>
      <w:kern w:val="28"/>
      <w:sz w:val="28"/>
      <w:lang w:bidi="ar-SA"/>
    </w:rPr>
  </w:style>
  <w:style w:type="paragraph" w:customStyle="1" w:styleId="79">
    <w:name w:val="正文缩进1"/>
    <w:basedOn w:val="1"/>
    <w:link w:val="78"/>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80">
    <w:name w:val="普通文字1 Char1"/>
    <w:autoRedefine/>
    <w:qFormat/>
    <w:uiPriority w:val="0"/>
    <w:rPr>
      <w:rFonts w:ascii="宋体" w:hAnsi="Courier New" w:eastAsia="宋体"/>
      <w:kern w:val="2"/>
      <w:sz w:val="21"/>
      <w:lang w:val="en-US" w:eastAsia="zh-CN" w:bidi="ar-SA"/>
    </w:rPr>
  </w:style>
  <w:style w:type="character" w:customStyle="1" w:styleId="81">
    <w:name w:val="chanpin1"/>
    <w:autoRedefine/>
    <w:qFormat/>
    <w:uiPriority w:val="0"/>
    <w:rPr>
      <w:rFonts w:hint="default" w:ascii="ˎ̥" w:hAnsi="ˎ̥"/>
      <w:color w:val="000000"/>
      <w:sz w:val="20"/>
      <w:szCs w:val="20"/>
      <w:u w:val="none"/>
    </w:rPr>
  </w:style>
  <w:style w:type="character" w:customStyle="1" w:styleId="82">
    <w:name w:val="列出段落 字符"/>
    <w:link w:val="83"/>
    <w:autoRedefine/>
    <w:qFormat/>
    <w:uiPriority w:val="34"/>
    <w:rPr>
      <w:rFonts w:ascii="Calibri" w:hAnsi="Calibri" w:eastAsia="宋体"/>
      <w:kern w:val="2"/>
      <w:sz w:val="21"/>
      <w:szCs w:val="22"/>
      <w:lang w:val="en-US" w:eastAsia="zh-CN" w:bidi="ar-SA"/>
    </w:rPr>
  </w:style>
  <w:style w:type="paragraph" w:styleId="83">
    <w:name w:val="List Paragraph"/>
    <w:basedOn w:val="1"/>
    <w:link w:val="82"/>
    <w:autoRedefine/>
    <w:qFormat/>
    <w:uiPriority w:val="34"/>
    <w:pPr>
      <w:ind w:firstLine="420" w:firstLineChars="200"/>
    </w:pPr>
    <w:rPr>
      <w:rFonts w:ascii="Calibri" w:hAnsi="Calibri"/>
      <w:szCs w:val="22"/>
    </w:rPr>
  </w:style>
  <w:style w:type="character" w:customStyle="1" w:styleId="84">
    <w:name w:val="标题 3 Char Char"/>
    <w:autoRedefine/>
    <w:qFormat/>
    <w:uiPriority w:val="0"/>
    <w:rPr>
      <w:rFonts w:eastAsia="宋体"/>
      <w:b/>
      <w:bCs/>
      <w:kern w:val="2"/>
      <w:sz w:val="32"/>
      <w:szCs w:val="32"/>
      <w:lang w:val="en-US" w:eastAsia="zh-CN" w:bidi="ar-SA"/>
    </w:rPr>
  </w:style>
  <w:style w:type="character" w:customStyle="1" w:styleId="85">
    <w:name w:val="段1 Char"/>
    <w:autoRedefine/>
    <w:qFormat/>
    <w:uiPriority w:val="0"/>
    <w:rPr>
      <w:rFonts w:ascii="宋体" w:eastAsia="宋体"/>
      <w:sz w:val="24"/>
      <w:lang w:val="en-US" w:eastAsia="zh-CN" w:bidi="ar-SA"/>
    </w:rPr>
  </w:style>
  <w:style w:type="character" w:customStyle="1" w:styleId="86">
    <w:name w:val="页眉 字符"/>
    <w:link w:val="31"/>
    <w:autoRedefine/>
    <w:qFormat/>
    <w:uiPriority w:val="99"/>
    <w:rPr>
      <w:rFonts w:eastAsia="宋体"/>
      <w:kern w:val="2"/>
      <w:sz w:val="18"/>
      <w:szCs w:val="18"/>
      <w:lang w:val="en-US" w:eastAsia="zh-CN" w:bidi="ar-SA"/>
    </w:rPr>
  </w:style>
  <w:style w:type="character" w:customStyle="1" w:styleId="87">
    <w:name w:val="chanpin拷贝"/>
    <w:basedOn w:val="48"/>
    <w:autoRedefine/>
    <w:qFormat/>
    <w:uiPriority w:val="0"/>
  </w:style>
  <w:style w:type="character" w:customStyle="1" w:styleId="88">
    <w:name w:val="纯文本 Char1"/>
    <w:autoRedefine/>
    <w:qFormat/>
    <w:uiPriority w:val="0"/>
    <w:rPr>
      <w:rFonts w:ascii="宋体" w:hAnsi="Courier New" w:eastAsia="宋体"/>
      <w:kern w:val="2"/>
      <w:sz w:val="21"/>
      <w:lang w:val="en-US" w:eastAsia="zh-CN" w:bidi="ar-SA"/>
    </w:rPr>
  </w:style>
  <w:style w:type="character" w:customStyle="1" w:styleId="89">
    <w:name w:val="apple-style-span"/>
    <w:autoRedefine/>
    <w:qFormat/>
    <w:uiPriority w:val="0"/>
    <w:rPr>
      <w:rFonts w:cs="Times New Roman"/>
    </w:rPr>
  </w:style>
  <w:style w:type="paragraph" w:customStyle="1" w:styleId="90">
    <w:name w:val="二级条标题"/>
    <w:basedOn w:val="91"/>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91">
    <w:name w:val="一级条标题"/>
    <w:basedOn w:val="92"/>
    <w:next w:val="1"/>
    <w:autoRedefine/>
    <w:qFormat/>
    <w:uiPriority w:val="0"/>
    <w:pPr>
      <w:numPr>
        <w:ilvl w:val="1"/>
      </w:numPr>
      <w:tabs>
        <w:tab w:val="left" w:pos="360"/>
        <w:tab w:val="left" w:pos="840"/>
      </w:tabs>
      <w:ind w:left="0" w:hanging="840"/>
      <w:outlineLvl w:val="1"/>
    </w:pPr>
  </w:style>
  <w:style w:type="paragraph" w:customStyle="1" w:styleId="92">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93">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4">
    <w:name w:val="字元 字元"/>
    <w:basedOn w:val="1"/>
    <w:autoRedefine/>
    <w:qFormat/>
    <w:uiPriority w:val="0"/>
    <w:rPr>
      <w:rFonts w:ascii="Tahoma" w:hAnsi="Tahoma"/>
      <w:sz w:val="24"/>
      <w:szCs w:val="20"/>
    </w:rPr>
  </w:style>
  <w:style w:type="paragraph" w:customStyle="1" w:styleId="95">
    <w:name w:val="Char3 Char Char Char"/>
    <w:basedOn w:val="1"/>
    <w:autoRedefine/>
    <w:qFormat/>
    <w:uiPriority w:val="0"/>
    <w:rPr>
      <w:rFonts w:ascii="Tahoma" w:hAnsi="Tahoma"/>
      <w:sz w:val="24"/>
      <w:szCs w:val="20"/>
    </w:rPr>
  </w:style>
  <w:style w:type="paragraph" w:customStyle="1" w:styleId="96">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97">
    <w:name w:val="项目编号2"/>
    <w:basedOn w:val="98"/>
    <w:autoRedefine/>
    <w:qFormat/>
    <w:uiPriority w:val="0"/>
    <w:pPr>
      <w:numPr>
        <w:numId w:val="2"/>
      </w:numPr>
    </w:pPr>
  </w:style>
  <w:style w:type="paragraph" w:customStyle="1" w:styleId="98">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99">
    <w:name w:val="图中文字"/>
    <w:basedOn w:val="1"/>
    <w:autoRedefine/>
    <w:qFormat/>
    <w:uiPriority w:val="0"/>
    <w:pPr>
      <w:adjustRightInd w:val="0"/>
      <w:snapToGrid w:val="0"/>
      <w:spacing w:line="0" w:lineRule="atLeast"/>
      <w:jc w:val="center"/>
    </w:pPr>
    <w:rPr>
      <w:sz w:val="24"/>
      <w:szCs w:val="20"/>
    </w:rPr>
  </w:style>
  <w:style w:type="paragraph" w:customStyle="1" w:styleId="100">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1">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2">
    <w:name w:val="Char2"/>
    <w:basedOn w:val="1"/>
    <w:autoRedefine/>
    <w:qFormat/>
    <w:uiPriority w:val="0"/>
    <w:rPr>
      <w:rFonts w:ascii="Tahoma" w:hAnsi="Tahoma"/>
      <w:sz w:val="24"/>
      <w:szCs w:val="20"/>
    </w:rPr>
  </w:style>
  <w:style w:type="paragraph" w:customStyle="1" w:styleId="103">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6">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8">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0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10">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1">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12">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3">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6">
    <w:name w:val="font8"/>
    <w:basedOn w:val="1"/>
    <w:autoRedefine/>
    <w:qFormat/>
    <w:uiPriority w:val="0"/>
    <w:pPr>
      <w:widowControl/>
      <w:spacing w:before="100" w:beforeAutospacing="1" w:after="100" w:afterAutospacing="1"/>
      <w:jc w:val="left"/>
    </w:pPr>
    <w:rPr>
      <w:kern w:val="0"/>
      <w:sz w:val="36"/>
      <w:szCs w:val="36"/>
    </w:rPr>
  </w:style>
  <w:style w:type="paragraph" w:customStyle="1" w:styleId="117">
    <w:name w:val="Char"/>
    <w:basedOn w:val="1"/>
    <w:autoRedefine/>
    <w:qFormat/>
    <w:uiPriority w:val="0"/>
    <w:pPr>
      <w:tabs>
        <w:tab w:val="left" w:pos="360"/>
      </w:tabs>
    </w:pPr>
    <w:rPr>
      <w:sz w:val="24"/>
    </w:rPr>
  </w:style>
  <w:style w:type="paragraph" w:customStyle="1" w:styleId="118">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19">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0">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1">
    <w:name w:val="Char Char1"/>
    <w:basedOn w:val="14"/>
    <w:autoRedefine/>
    <w:qFormat/>
    <w:uiPriority w:val="0"/>
    <w:rPr>
      <w:rFonts w:ascii="Tahoma" w:hAnsi="Tahoma"/>
      <w:sz w:val="24"/>
    </w:rPr>
  </w:style>
  <w:style w:type="paragraph" w:customStyle="1" w:styleId="122">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3">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26">
    <w:name w:val="Char1 Char Char Char1"/>
    <w:basedOn w:val="1"/>
    <w:autoRedefine/>
    <w:qFormat/>
    <w:uiPriority w:val="0"/>
    <w:rPr>
      <w:rFonts w:ascii="Tahoma" w:hAnsi="Tahoma" w:cs="仿宋_GB2312"/>
      <w:sz w:val="24"/>
      <w:szCs w:val="28"/>
    </w:rPr>
  </w:style>
  <w:style w:type="paragraph" w:customStyle="1" w:styleId="127">
    <w:name w:val="四级条标题"/>
    <w:basedOn w:val="128"/>
    <w:next w:val="1"/>
    <w:autoRedefine/>
    <w:qFormat/>
    <w:uiPriority w:val="0"/>
    <w:pPr>
      <w:numPr>
        <w:ilvl w:val="4"/>
      </w:numPr>
      <w:tabs>
        <w:tab w:val="left" w:pos="360"/>
        <w:tab w:val="left" w:pos="840"/>
      </w:tabs>
      <w:ind w:left="0" w:hanging="840"/>
      <w:outlineLvl w:val="4"/>
    </w:pPr>
  </w:style>
  <w:style w:type="paragraph" w:customStyle="1" w:styleId="128">
    <w:name w:val="三级条标题"/>
    <w:basedOn w:val="90"/>
    <w:next w:val="1"/>
    <w:autoRedefine/>
    <w:qFormat/>
    <w:uiPriority w:val="0"/>
    <w:pPr>
      <w:numPr>
        <w:ilvl w:val="3"/>
        <w:numId w:val="1"/>
      </w:numPr>
      <w:ind w:left="0" w:hanging="840"/>
      <w:outlineLvl w:val="3"/>
    </w:pPr>
  </w:style>
  <w:style w:type="paragraph" w:customStyle="1" w:styleId="129">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0">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31">
    <w:name w:val="List Paragraph1"/>
    <w:basedOn w:val="1"/>
    <w:autoRedefine/>
    <w:qFormat/>
    <w:uiPriority w:val="0"/>
    <w:pPr>
      <w:ind w:firstLine="420" w:firstLineChars="200"/>
    </w:pPr>
    <w:rPr>
      <w:rFonts w:ascii="Calibri" w:hAnsi="Calibri"/>
      <w:szCs w:val="22"/>
    </w:rPr>
  </w:style>
  <w:style w:type="paragraph" w:customStyle="1" w:styleId="132">
    <w:name w:val="项目符号1"/>
    <w:basedOn w:val="133"/>
    <w:autoRedefine/>
    <w:qFormat/>
    <w:uiPriority w:val="0"/>
    <w:pPr>
      <w:ind w:left="-25" w:firstLine="0"/>
    </w:pPr>
  </w:style>
  <w:style w:type="paragraph" w:customStyle="1" w:styleId="133">
    <w:name w:val="正文文本样式"/>
    <w:basedOn w:val="1"/>
    <w:autoRedefine/>
    <w:qFormat/>
    <w:uiPriority w:val="0"/>
    <w:pPr>
      <w:spacing w:line="360" w:lineRule="auto"/>
      <w:ind w:firstLine="482"/>
    </w:pPr>
    <w:rPr>
      <w:rFonts w:cs="宋体"/>
      <w:sz w:val="24"/>
      <w:szCs w:val="20"/>
    </w:rPr>
  </w:style>
  <w:style w:type="paragraph" w:customStyle="1" w:styleId="134">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5">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36">
    <w:name w:val="五级条标题"/>
    <w:basedOn w:val="127"/>
    <w:next w:val="1"/>
    <w:autoRedefine/>
    <w:qFormat/>
    <w:uiPriority w:val="0"/>
    <w:pPr>
      <w:numPr>
        <w:ilvl w:val="5"/>
      </w:numPr>
      <w:ind w:left="0" w:hanging="840"/>
      <w:outlineLvl w:val="5"/>
    </w:pPr>
  </w:style>
  <w:style w:type="paragraph" w:customStyle="1" w:styleId="137">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8">
    <w:name w:val="文档正文"/>
    <w:basedOn w:val="1"/>
    <w:autoRedefine/>
    <w:qFormat/>
    <w:uiPriority w:val="0"/>
    <w:pPr>
      <w:snapToGrid w:val="0"/>
      <w:spacing w:before="120" w:after="120" w:line="180" w:lineRule="auto"/>
    </w:pPr>
    <w:rPr>
      <w:rFonts w:ascii="Arial" w:hAnsi="Arial"/>
      <w:szCs w:val="20"/>
    </w:rPr>
  </w:style>
  <w:style w:type="paragraph" w:customStyle="1" w:styleId="139">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0">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1">
    <w:name w:val="Char Char Char1 Char"/>
    <w:basedOn w:val="1"/>
    <w:autoRedefine/>
    <w:qFormat/>
    <w:uiPriority w:val="0"/>
    <w:rPr>
      <w:rFonts w:ascii="Tahoma" w:hAnsi="Tahoma"/>
      <w:sz w:val="24"/>
      <w:szCs w:val="20"/>
    </w:rPr>
  </w:style>
  <w:style w:type="paragraph" w:customStyle="1" w:styleId="142">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3">
    <w:name w:val="1名"/>
    <w:basedOn w:val="1"/>
    <w:autoRedefine/>
    <w:qFormat/>
    <w:uiPriority w:val="0"/>
    <w:pPr>
      <w:numPr>
        <w:ilvl w:val="0"/>
        <w:numId w:val="5"/>
      </w:numPr>
      <w:spacing w:before="120"/>
    </w:pPr>
    <w:rPr>
      <w:rFonts w:ascii="宋体"/>
      <w:sz w:val="28"/>
      <w:szCs w:val="20"/>
    </w:rPr>
  </w:style>
  <w:style w:type="paragraph" w:customStyle="1" w:styleId="144">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5">
    <w:name w:val="Char Char Char1 Char1"/>
    <w:basedOn w:val="1"/>
    <w:autoRedefine/>
    <w:qFormat/>
    <w:uiPriority w:val="0"/>
    <w:rPr>
      <w:rFonts w:ascii="Tahoma" w:hAnsi="Tahoma"/>
      <w:sz w:val="24"/>
      <w:szCs w:val="20"/>
    </w:rPr>
  </w:style>
  <w:style w:type="paragraph" w:customStyle="1" w:styleId="146">
    <w:name w:val="Char Char Char Char Char Char Char Char Char Char"/>
    <w:basedOn w:val="1"/>
    <w:autoRedefine/>
    <w:qFormat/>
    <w:uiPriority w:val="0"/>
  </w:style>
  <w:style w:type="paragraph" w:customStyle="1" w:styleId="147">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48">
    <w:name w:val="Char1"/>
    <w:basedOn w:val="1"/>
    <w:autoRedefine/>
    <w:qFormat/>
    <w:uiPriority w:val="0"/>
    <w:pPr>
      <w:tabs>
        <w:tab w:val="left" w:pos="360"/>
      </w:tabs>
    </w:pPr>
    <w:rPr>
      <w:sz w:val="24"/>
    </w:rPr>
  </w:style>
  <w:style w:type="paragraph" w:customStyle="1" w:styleId="149">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1">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2">
    <w:name w:val="默认段落字体 Para Char Char Char Char"/>
    <w:basedOn w:val="1"/>
    <w:autoRedefine/>
    <w:qFormat/>
    <w:uiPriority w:val="0"/>
    <w:rPr>
      <w:rFonts w:ascii="Arial" w:hAnsi="Arial" w:cs="Arial"/>
      <w:szCs w:val="21"/>
    </w:rPr>
  </w:style>
  <w:style w:type="paragraph" w:customStyle="1" w:styleId="153">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5">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6">
    <w:name w:val="Char Char Char"/>
    <w:basedOn w:val="1"/>
    <w:autoRedefine/>
    <w:qFormat/>
    <w:uiPriority w:val="0"/>
    <w:rPr>
      <w:rFonts w:ascii="Tahoma" w:hAnsi="Tahoma"/>
      <w:sz w:val="24"/>
      <w:szCs w:val="20"/>
    </w:rPr>
  </w:style>
  <w:style w:type="paragraph" w:customStyle="1" w:styleId="157">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8">
    <w:name w:val="缺省文本"/>
    <w:basedOn w:val="1"/>
    <w:autoRedefine/>
    <w:qFormat/>
    <w:uiPriority w:val="0"/>
    <w:pPr>
      <w:autoSpaceDE w:val="0"/>
      <w:autoSpaceDN w:val="0"/>
      <w:adjustRightInd w:val="0"/>
      <w:jc w:val="left"/>
    </w:pPr>
    <w:rPr>
      <w:kern w:val="0"/>
      <w:sz w:val="24"/>
    </w:rPr>
  </w:style>
  <w:style w:type="paragraph" w:customStyle="1" w:styleId="159">
    <w:name w:val="Char Char Char1"/>
    <w:basedOn w:val="1"/>
    <w:autoRedefine/>
    <w:qFormat/>
    <w:uiPriority w:val="0"/>
    <w:rPr>
      <w:rFonts w:ascii="Tahoma" w:hAnsi="Tahoma"/>
      <w:sz w:val="24"/>
      <w:szCs w:val="20"/>
    </w:rPr>
  </w:style>
  <w:style w:type="paragraph" w:customStyle="1" w:styleId="16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61">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2">
    <w:name w:val="样式2"/>
    <w:basedOn w:val="40"/>
    <w:autoRedefine/>
    <w:qFormat/>
    <w:uiPriority w:val="0"/>
    <w:pPr>
      <w:spacing w:line="360" w:lineRule="auto"/>
      <w:jc w:val="center"/>
    </w:pPr>
    <w:rPr>
      <w:sz w:val="24"/>
    </w:rPr>
  </w:style>
  <w:style w:type="paragraph" w:customStyle="1" w:styleId="16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5">
    <w:name w:val="正文 + 楷体_GB2312"/>
    <w:basedOn w:val="1"/>
    <w:autoRedefine/>
    <w:qFormat/>
    <w:uiPriority w:val="0"/>
    <w:pPr>
      <w:widowControl/>
      <w:jc w:val="left"/>
    </w:pPr>
    <w:rPr>
      <w:rFonts w:ascii="楷体_GB2312" w:eastAsia="楷体_GB2312" w:cs="Arial"/>
      <w:kern w:val="0"/>
      <w:sz w:val="24"/>
    </w:rPr>
  </w:style>
  <w:style w:type="paragraph" w:customStyle="1" w:styleId="166">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7">
    <w:name w:val="1 Char Char Char Char"/>
    <w:basedOn w:val="1"/>
    <w:autoRedefine/>
    <w:qFormat/>
    <w:uiPriority w:val="0"/>
    <w:rPr>
      <w:rFonts w:ascii="Tahoma" w:hAnsi="Tahoma"/>
      <w:sz w:val="24"/>
      <w:szCs w:val="20"/>
    </w:rPr>
  </w:style>
  <w:style w:type="paragraph" w:customStyle="1" w:styleId="168">
    <w:name w:val="列出段落1"/>
    <w:basedOn w:val="1"/>
    <w:autoRedefine/>
    <w:qFormat/>
    <w:uiPriority w:val="0"/>
    <w:pPr>
      <w:ind w:firstLine="420" w:firstLineChars="200"/>
    </w:pPr>
    <w:rPr>
      <w:rFonts w:ascii="Calibri" w:hAnsi="Calibri"/>
      <w:szCs w:val="22"/>
    </w:rPr>
  </w:style>
  <w:style w:type="paragraph" w:customStyle="1" w:styleId="16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
    <w:name w:val="字元 字元1"/>
    <w:basedOn w:val="1"/>
    <w:autoRedefine/>
    <w:qFormat/>
    <w:uiPriority w:val="0"/>
    <w:rPr>
      <w:rFonts w:ascii="Tahoma" w:hAnsi="Tahoma"/>
      <w:sz w:val="24"/>
      <w:szCs w:val="20"/>
    </w:rPr>
  </w:style>
  <w:style w:type="paragraph" w:customStyle="1" w:styleId="17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72">
    <w:name w:val="项目编号3"/>
    <w:basedOn w:val="133"/>
    <w:autoRedefine/>
    <w:qFormat/>
    <w:uiPriority w:val="0"/>
    <w:pPr>
      <w:numPr>
        <w:ilvl w:val="0"/>
        <w:numId w:val="6"/>
      </w:numPr>
    </w:pPr>
  </w:style>
  <w:style w:type="paragraph" w:customStyle="1" w:styleId="173">
    <w:name w:val="Char21"/>
    <w:basedOn w:val="1"/>
    <w:autoRedefine/>
    <w:qFormat/>
    <w:uiPriority w:val="0"/>
    <w:rPr>
      <w:rFonts w:ascii="Tahoma" w:hAnsi="Tahoma"/>
      <w:sz w:val="24"/>
      <w:szCs w:val="20"/>
    </w:rPr>
  </w:style>
  <w:style w:type="paragraph" w:customStyle="1" w:styleId="174">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75">
    <w:name w:val="Char Char Char Char Char Char Char Char Char Char1"/>
    <w:basedOn w:val="1"/>
    <w:autoRedefine/>
    <w:qFormat/>
    <w:uiPriority w:val="0"/>
    <w:rPr>
      <w:rFonts w:ascii="宋体" w:hAnsi="宋体" w:cs="Courier New"/>
      <w:sz w:val="32"/>
      <w:szCs w:val="32"/>
    </w:rPr>
  </w:style>
  <w:style w:type="paragraph" w:customStyle="1" w:styleId="176">
    <w:name w:val="正文文本样式 加粗"/>
    <w:basedOn w:val="133"/>
    <w:autoRedefine/>
    <w:qFormat/>
    <w:uiPriority w:val="0"/>
    <w:rPr>
      <w:b/>
    </w:rPr>
  </w:style>
  <w:style w:type="paragraph" w:customStyle="1" w:styleId="177">
    <w:name w:val="Char2 Char Char Char Char Char Char"/>
    <w:basedOn w:val="1"/>
    <w:autoRedefine/>
    <w:qFormat/>
    <w:uiPriority w:val="0"/>
    <w:pPr>
      <w:widowControl/>
      <w:spacing w:line="400" w:lineRule="exact"/>
      <w:jc w:val="center"/>
    </w:pPr>
  </w:style>
  <w:style w:type="character" w:customStyle="1" w:styleId="178">
    <w:name w:val="页脚 字符"/>
    <w:link w:val="29"/>
    <w:autoRedefine/>
    <w:qFormat/>
    <w:uiPriority w:val="99"/>
    <w:rPr>
      <w:rFonts w:ascii="宋体" w:eastAsia="宋体"/>
      <w:sz w:val="18"/>
      <w:lang w:val="en-US" w:eastAsia="zh-CN" w:bidi="ar-SA"/>
    </w:rPr>
  </w:style>
  <w:style w:type="paragraph" w:customStyle="1" w:styleId="179">
    <w:name w:val="Char Char4"/>
    <w:basedOn w:val="1"/>
    <w:autoRedefine/>
    <w:qFormat/>
    <w:uiPriority w:val="0"/>
    <w:pPr>
      <w:widowControl/>
      <w:spacing w:line="400" w:lineRule="exact"/>
      <w:jc w:val="center"/>
    </w:pPr>
  </w:style>
  <w:style w:type="paragraph" w:customStyle="1" w:styleId="180">
    <w:name w:val="Char3 Char Char Char1"/>
    <w:basedOn w:val="1"/>
    <w:autoRedefine/>
    <w:qFormat/>
    <w:uiPriority w:val="0"/>
    <w:rPr>
      <w:rFonts w:ascii="Tahoma" w:hAnsi="Tahoma"/>
      <w:sz w:val="24"/>
      <w:szCs w:val="20"/>
    </w:rPr>
  </w:style>
  <w:style w:type="paragraph" w:styleId="181">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2">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83">
    <w:name w:val="中等深浅网格 1 - 强调文字颜色 2 Char"/>
    <w:link w:val="184"/>
    <w:autoRedefine/>
    <w:qFormat/>
    <w:uiPriority w:val="0"/>
    <w:rPr>
      <w:kern w:val="2"/>
      <w:sz w:val="21"/>
      <w:szCs w:val="24"/>
      <w:lang w:val="zh-CN" w:eastAsia="zh-CN"/>
    </w:rPr>
  </w:style>
  <w:style w:type="paragraph" w:customStyle="1" w:styleId="184">
    <w:name w:val="1"/>
    <w:link w:val="183"/>
    <w:autoRedefine/>
    <w:qFormat/>
    <w:uiPriority w:val="0"/>
    <w:rPr>
      <w:rFonts w:ascii="Times New Roman" w:hAnsi="Times New Roman" w:eastAsia="宋体" w:cs="Times New Roman"/>
      <w:kern w:val="2"/>
      <w:sz w:val="21"/>
      <w:szCs w:val="24"/>
      <w:lang w:val="zh-CN" w:eastAsia="zh-CN" w:bidi="ar-SA"/>
    </w:rPr>
  </w:style>
  <w:style w:type="paragraph" w:customStyle="1" w:styleId="185">
    <w:name w:val="图文"/>
    <w:basedOn w:val="1"/>
    <w:autoRedefine/>
    <w:qFormat/>
    <w:uiPriority w:val="0"/>
    <w:pPr>
      <w:adjustRightInd w:val="0"/>
      <w:snapToGrid w:val="0"/>
      <w:spacing w:after="50" w:line="360" w:lineRule="auto"/>
    </w:pPr>
    <w:rPr>
      <w:sz w:val="24"/>
    </w:rPr>
  </w:style>
  <w:style w:type="paragraph" w:customStyle="1" w:styleId="186">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87">
    <w:name w:val="正文表格"/>
    <w:basedOn w:val="1"/>
    <w:link w:val="188"/>
    <w:autoRedefine/>
    <w:qFormat/>
    <w:uiPriority w:val="0"/>
    <w:pPr>
      <w:adjustRightInd w:val="0"/>
      <w:snapToGrid w:val="0"/>
      <w:jc w:val="left"/>
    </w:pPr>
    <w:rPr>
      <w:rFonts w:ascii="宋体" w:hAnsi="宋体"/>
      <w:color w:val="000000"/>
      <w:szCs w:val="21"/>
    </w:rPr>
  </w:style>
  <w:style w:type="character" w:customStyle="1" w:styleId="188">
    <w:name w:val="正文表格 Char"/>
    <w:link w:val="187"/>
    <w:autoRedefine/>
    <w:qFormat/>
    <w:uiPriority w:val="0"/>
    <w:rPr>
      <w:rFonts w:ascii="宋体" w:hAnsi="宋体"/>
      <w:color w:val="000000"/>
      <w:kern w:val="2"/>
      <w:sz w:val="21"/>
      <w:szCs w:val="21"/>
    </w:rPr>
  </w:style>
  <w:style w:type="paragraph" w:customStyle="1" w:styleId="189">
    <w:name w:val="正文重点"/>
    <w:basedOn w:val="1"/>
    <w:link w:val="190"/>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90">
    <w:name w:val="正文重点 Char"/>
    <w:link w:val="189"/>
    <w:autoRedefine/>
    <w:qFormat/>
    <w:uiPriority w:val="0"/>
    <w:rPr>
      <w:b/>
      <w:sz w:val="24"/>
    </w:rPr>
  </w:style>
  <w:style w:type="character" w:customStyle="1" w:styleId="191">
    <w:name w:val="批注文字 字符1"/>
    <w:link w:val="15"/>
    <w:autoRedefine/>
    <w:qFormat/>
    <w:uiPriority w:val="99"/>
    <w:rPr>
      <w:kern w:val="2"/>
      <w:sz w:val="21"/>
      <w:szCs w:val="24"/>
    </w:rPr>
  </w:style>
  <w:style w:type="paragraph" w:customStyle="1" w:styleId="192">
    <w:name w:val="标题1-附件"/>
    <w:basedOn w:val="2"/>
    <w:autoRedefine/>
    <w:qFormat/>
    <w:uiPriority w:val="0"/>
    <w:pPr>
      <w:jc w:val="left"/>
    </w:pPr>
    <w:rPr>
      <w:sz w:val="24"/>
      <w:szCs w:val="24"/>
    </w:rPr>
  </w:style>
  <w:style w:type="paragraph" w:customStyle="1" w:styleId="193">
    <w:name w:val="正文小标题"/>
    <w:basedOn w:val="1"/>
    <w:next w:val="12"/>
    <w:link w:val="194"/>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4">
    <w:name w:val="正文小标题 Char"/>
    <w:link w:val="193"/>
    <w:autoRedefine/>
    <w:qFormat/>
    <w:uiPriority w:val="0"/>
    <w:rPr>
      <w:rFonts w:ascii="宋体" w:hAnsi="宋体"/>
      <w:b/>
      <w:i/>
      <w:color w:val="FF0000"/>
      <w:kern w:val="2"/>
      <w:sz w:val="24"/>
    </w:rPr>
  </w:style>
  <w:style w:type="paragraph" w:customStyle="1" w:styleId="195">
    <w:name w:val="正文大标题"/>
    <w:basedOn w:val="193"/>
    <w:next w:val="12"/>
    <w:link w:val="196"/>
    <w:autoRedefine/>
    <w:qFormat/>
    <w:uiPriority w:val="0"/>
    <w:pPr>
      <w:jc w:val="center"/>
    </w:pPr>
    <w:rPr>
      <w:i w:val="0"/>
      <w:color w:val="000000"/>
      <w:sz w:val="28"/>
      <w:szCs w:val="21"/>
    </w:rPr>
  </w:style>
  <w:style w:type="character" w:customStyle="1" w:styleId="196">
    <w:name w:val="正文大标题 Char"/>
    <w:link w:val="195"/>
    <w:autoRedefine/>
    <w:qFormat/>
    <w:uiPriority w:val="0"/>
    <w:rPr>
      <w:rFonts w:ascii="宋体" w:hAnsi="宋体"/>
      <w:b/>
      <w:color w:val="000000"/>
      <w:kern w:val="2"/>
      <w:sz w:val="28"/>
      <w:szCs w:val="21"/>
    </w:rPr>
  </w:style>
  <w:style w:type="character" w:customStyle="1" w:styleId="197">
    <w:name w:val="标题 字符"/>
    <w:link w:val="41"/>
    <w:autoRedefine/>
    <w:qFormat/>
    <w:uiPriority w:val="0"/>
    <w:rPr>
      <w:b/>
      <w:kern w:val="2"/>
      <w:sz w:val="32"/>
    </w:rPr>
  </w:style>
  <w:style w:type="paragraph" w:customStyle="1" w:styleId="198">
    <w:name w:val="注释"/>
    <w:basedOn w:val="1"/>
    <w:link w:val="199"/>
    <w:autoRedefine/>
    <w:qFormat/>
    <w:uiPriority w:val="0"/>
    <w:pPr>
      <w:adjustRightInd w:val="0"/>
      <w:snapToGrid w:val="0"/>
      <w:ind w:left="420" w:hanging="420" w:hangingChars="200"/>
      <w:jc w:val="left"/>
    </w:pPr>
    <w:rPr>
      <w:rFonts w:ascii="宋体" w:hAnsi="宋体"/>
      <w:szCs w:val="21"/>
    </w:rPr>
  </w:style>
  <w:style w:type="character" w:customStyle="1" w:styleId="199">
    <w:name w:val="注释 Char"/>
    <w:link w:val="198"/>
    <w:autoRedefine/>
    <w:qFormat/>
    <w:uiPriority w:val="0"/>
    <w:rPr>
      <w:rFonts w:ascii="宋体" w:hAnsi="宋体"/>
      <w:kern w:val="2"/>
      <w:sz w:val="21"/>
      <w:szCs w:val="21"/>
    </w:rPr>
  </w:style>
  <w:style w:type="paragraph" w:customStyle="1" w:styleId="20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0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0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03">
    <w:name w:val="批注文字 字符"/>
    <w:autoRedefine/>
    <w:qFormat/>
    <w:uiPriority w:val="99"/>
    <w:rPr>
      <w:rFonts w:ascii="Times New Roman" w:hAnsi="Times New Roman" w:eastAsia="宋体" w:cs="Times New Roman"/>
      <w:sz w:val="24"/>
      <w:lang w:val="en-US" w:eastAsia="zh-CN" w:bidi="ar-SA"/>
    </w:rPr>
  </w:style>
  <w:style w:type="character" w:customStyle="1" w:styleId="20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05">
    <w:name w:val="表格1"/>
    <w:basedOn w:val="1"/>
    <w:autoRedefine/>
    <w:qFormat/>
    <w:uiPriority w:val="0"/>
    <w:pPr>
      <w:ind w:firstLine="480" w:firstLineChars="200"/>
      <w:jc w:val="center"/>
    </w:pPr>
    <w:rPr>
      <w:sz w:val="24"/>
      <w:szCs w:val="20"/>
    </w:rPr>
  </w:style>
  <w:style w:type="character" w:customStyle="1" w:styleId="206">
    <w:name w:val="纯文本 字符1"/>
    <w:autoRedefine/>
    <w:qFormat/>
    <w:uiPriority w:val="0"/>
    <w:rPr>
      <w:rFonts w:ascii="宋体" w:hAnsi="Courier New"/>
    </w:rPr>
  </w:style>
  <w:style w:type="character" w:customStyle="1" w:styleId="207">
    <w:name w:val="bjh-p"/>
    <w:autoRedefine/>
    <w:qFormat/>
    <w:uiPriority w:val="0"/>
  </w:style>
  <w:style w:type="paragraph" w:customStyle="1" w:styleId="20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09">
    <w:name w:val="正文格式 Char"/>
    <w:link w:val="210"/>
    <w:autoRedefine/>
    <w:qFormat/>
    <w:locked/>
    <w:uiPriority w:val="0"/>
    <w:rPr>
      <w:rFonts w:ascii="宋体" w:hAnsi="宋体"/>
      <w:sz w:val="24"/>
      <w:szCs w:val="24"/>
      <w:lang w:val="en-GB"/>
    </w:rPr>
  </w:style>
  <w:style w:type="paragraph" w:customStyle="1" w:styleId="210">
    <w:name w:val="正文格式"/>
    <w:basedOn w:val="1"/>
    <w:link w:val="209"/>
    <w:autoRedefine/>
    <w:qFormat/>
    <w:uiPriority w:val="0"/>
    <w:pPr>
      <w:spacing w:beforeLines="50" w:line="360" w:lineRule="auto"/>
      <w:ind w:firstLine="480" w:firstLineChars="200"/>
    </w:pPr>
    <w:rPr>
      <w:rFonts w:ascii="宋体" w:hAnsi="宋体"/>
      <w:kern w:val="0"/>
      <w:sz w:val="24"/>
      <w:lang w:val="en-GB"/>
    </w:rPr>
  </w:style>
  <w:style w:type="character" w:customStyle="1" w:styleId="211">
    <w:name w:val="纯文本 字符2"/>
    <w:basedOn w:val="48"/>
    <w:link w:val="24"/>
    <w:autoRedefine/>
    <w:qFormat/>
    <w:uiPriority w:val="0"/>
    <w:rPr>
      <w:rFonts w:hint="eastAsia" w:ascii="宋体" w:hAnsi="Courier New" w:eastAsia="宋体" w:cs="宋体"/>
      <w:kern w:val="2"/>
      <w:sz w:val="21"/>
    </w:rPr>
  </w:style>
  <w:style w:type="character" w:customStyle="1" w:styleId="212">
    <w:name w:val="标题 3 Char"/>
    <w:autoRedefine/>
    <w:qFormat/>
    <w:uiPriority w:val="0"/>
    <w:rPr>
      <w:rFonts w:ascii="宋体" w:eastAsia="宋体"/>
      <w:b/>
      <w:sz w:val="24"/>
      <w:u w:val="single"/>
      <w:lang w:val="en-US" w:eastAsia="zh-CN" w:bidi="ar-SA"/>
    </w:rPr>
  </w:style>
  <w:style w:type="character" w:customStyle="1" w:styleId="213">
    <w:name w:val="正文缩进 Char"/>
    <w:autoRedefine/>
    <w:qFormat/>
    <w:uiPriority w:val="0"/>
    <w:rPr>
      <w:rFonts w:ascii="宋体" w:eastAsia="宋体"/>
      <w:kern w:val="2"/>
      <w:sz w:val="24"/>
      <w:szCs w:val="24"/>
      <w:lang w:val="en-US" w:eastAsia="zh-CN" w:bidi="ar-SA"/>
    </w:rPr>
  </w:style>
  <w:style w:type="character" w:customStyle="1" w:styleId="214">
    <w:name w:val="Char Char111"/>
    <w:autoRedefine/>
    <w:qFormat/>
    <w:uiPriority w:val="0"/>
    <w:rPr>
      <w:rFonts w:ascii="宋体" w:eastAsia="宋体"/>
      <w:b/>
      <w:sz w:val="24"/>
      <w:u w:val="single"/>
      <w:lang w:val="en-US" w:eastAsia="zh-CN" w:bidi="ar-SA"/>
    </w:rPr>
  </w:style>
  <w:style w:type="character" w:customStyle="1" w:styleId="215">
    <w:name w:val="正文文本缩进 Char"/>
    <w:autoRedefine/>
    <w:qFormat/>
    <w:uiPriority w:val="0"/>
    <w:rPr>
      <w:rFonts w:eastAsia="宋体"/>
      <w:kern w:val="2"/>
      <w:sz w:val="24"/>
      <w:szCs w:val="24"/>
      <w:lang w:val="en-US" w:eastAsia="zh-CN" w:bidi="ar-SA"/>
    </w:rPr>
  </w:style>
  <w:style w:type="character" w:customStyle="1" w:styleId="216">
    <w:name w:val="列出段落 Char"/>
    <w:autoRedefine/>
    <w:qFormat/>
    <w:uiPriority w:val="0"/>
    <w:rPr>
      <w:rFonts w:ascii="Calibri" w:hAnsi="Calibri" w:eastAsia="宋体"/>
      <w:kern w:val="2"/>
      <w:sz w:val="21"/>
      <w:szCs w:val="22"/>
      <w:lang w:val="en-US" w:eastAsia="zh-CN" w:bidi="ar-SA"/>
    </w:rPr>
  </w:style>
  <w:style w:type="character" w:customStyle="1" w:styleId="217">
    <w:name w:val="页眉 Char"/>
    <w:autoRedefine/>
    <w:qFormat/>
    <w:uiPriority w:val="0"/>
    <w:rPr>
      <w:rFonts w:eastAsia="宋体"/>
      <w:kern w:val="2"/>
      <w:sz w:val="18"/>
      <w:szCs w:val="18"/>
      <w:lang w:val="en-US" w:eastAsia="zh-CN" w:bidi="ar-SA"/>
    </w:rPr>
  </w:style>
  <w:style w:type="character" w:customStyle="1" w:styleId="218">
    <w:name w:val="标题 2 Char"/>
    <w:autoRedefine/>
    <w:qFormat/>
    <w:uiPriority w:val="0"/>
    <w:rPr>
      <w:rFonts w:ascii="Arial" w:hAnsi="Arial" w:eastAsia="黑体"/>
      <w:b/>
      <w:sz w:val="30"/>
      <w:lang w:val="en-US" w:eastAsia="zh-CN" w:bidi="ar-SA"/>
    </w:rPr>
  </w:style>
  <w:style w:type="paragraph" w:customStyle="1" w:styleId="219">
    <w:name w:val="字元 字元2"/>
    <w:basedOn w:val="1"/>
    <w:autoRedefine/>
    <w:qFormat/>
    <w:uiPriority w:val="0"/>
    <w:rPr>
      <w:rFonts w:ascii="Tahoma" w:hAnsi="Tahoma"/>
      <w:sz w:val="24"/>
      <w:szCs w:val="20"/>
    </w:rPr>
  </w:style>
  <w:style w:type="paragraph" w:customStyle="1" w:styleId="220">
    <w:name w:val="Char3 Char Char Char2"/>
    <w:basedOn w:val="1"/>
    <w:autoRedefine/>
    <w:qFormat/>
    <w:uiPriority w:val="0"/>
    <w:rPr>
      <w:rFonts w:ascii="Tahoma" w:hAnsi="Tahoma"/>
      <w:sz w:val="24"/>
      <w:szCs w:val="20"/>
    </w:rPr>
  </w:style>
  <w:style w:type="paragraph" w:customStyle="1" w:styleId="221">
    <w:name w:val="正文文本缩进2"/>
    <w:basedOn w:val="1"/>
    <w:autoRedefine/>
    <w:qFormat/>
    <w:uiPriority w:val="0"/>
    <w:pPr>
      <w:spacing w:line="480" w:lineRule="exact"/>
      <w:ind w:firstLine="480" w:firstLineChars="200"/>
    </w:pPr>
    <w:rPr>
      <w:rFonts w:ascii="宋体" w:hAnsi="宋体"/>
      <w:kern w:val="0"/>
      <w:sz w:val="24"/>
      <w:lang w:val="zh-CN" w:eastAsia="zh-CN"/>
    </w:rPr>
  </w:style>
  <w:style w:type="paragraph" w:customStyle="1" w:styleId="222">
    <w:name w:val="Char3"/>
    <w:basedOn w:val="1"/>
    <w:autoRedefine/>
    <w:qFormat/>
    <w:uiPriority w:val="0"/>
    <w:pPr>
      <w:tabs>
        <w:tab w:val="left" w:pos="360"/>
      </w:tabs>
    </w:pPr>
    <w:rPr>
      <w:sz w:val="24"/>
    </w:rPr>
  </w:style>
  <w:style w:type="paragraph" w:customStyle="1" w:styleId="223">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2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5">
    <w:name w:val="列出段落2"/>
    <w:basedOn w:val="1"/>
    <w:autoRedefine/>
    <w:qFormat/>
    <w:uiPriority w:val="0"/>
    <w:pPr>
      <w:ind w:firstLine="420" w:firstLineChars="200"/>
    </w:pPr>
    <w:rPr>
      <w:rFonts w:ascii="Calibri" w:hAnsi="Calibri"/>
      <w:szCs w:val="22"/>
    </w:rPr>
  </w:style>
  <w:style w:type="paragraph" w:customStyle="1" w:styleId="226">
    <w:name w:val="Char Char Char1 Char2"/>
    <w:basedOn w:val="1"/>
    <w:autoRedefine/>
    <w:qFormat/>
    <w:uiPriority w:val="0"/>
    <w:rPr>
      <w:rFonts w:ascii="Tahoma" w:hAnsi="Tahoma"/>
      <w:sz w:val="24"/>
      <w:szCs w:val="20"/>
    </w:rPr>
  </w:style>
  <w:style w:type="paragraph" w:customStyle="1" w:styleId="227">
    <w:name w:val="Char Char Char2"/>
    <w:basedOn w:val="1"/>
    <w:autoRedefine/>
    <w:qFormat/>
    <w:uiPriority w:val="0"/>
    <w:rPr>
      <w:rFonts w:ascii="Tahoma" w:hAnsi="Tahoma"/>
      <w:sz w:val="24"/>
      <w:szCs w:val="20"/>
    </w:rPr>
  </w:style>
  <w:style w:type="paragraph" w:customStyle="1" w:styleId="228">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29">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0">
    <w:name w:val="Revision"/>
    <w:autoRedefine/>
    <w:qFormat/>
    <w:uiPriority w:val="0"/>
    <w:rPr>
      <w:rFonts w:ascii="Times New Roman" w:hAnsi="Times New Roman" w:eastAsia="宋体" w:cs="Times New Roman"/>
      <w:kern w:val="2"/>
      <w:sz w:val="21"/>
      <w:szCs w:val="24"/>
      <w:lang w:val="en-US" w:eastAsia="zh-CN" w:bidi="ar-SA"/>
    </w:rPr>
  </w:style>
  <w:style w:type="paragraph" w:customStyle="1" w:styleId="231">
    <w:name w:val="Char22"/>
    <w:basedOn w:val="1"/>
    <w:autoRedefine/>
    <w:qFormat/>
    <w:uiPriority w:val="0"/>
    <w:rPr>
      <w:rFonts w:ascii="Tahoma" w:hAnsi="Tahoma"/>
      <w:sz w:val="24"/>
      <w:szCs w:val="20"/>
    </w:rPr>
  </w:style>
  <w:style w:type="paragraph" w:customStyle="1" w:styleId="232">
    <w:name w:val="Char Char Char Char Char Char Char Char Char Char2"/>
    <w:basedOn w:val="1"/>
    <w:autoRedefine/>
    <w:qFormat/>
    <w:uiPriority w:val="0"/>
    <w:rPr>
      <w:rFonts w:ascii="宋体" w:hAnsi="宋体" w:cs="Courier New"/>
      <w:sz w:val="32"/>
      <w:szCs w:val="32"/>
    </w:rPr>
  </w:style>
  <w:style w:type="paragraph" w:customStyle="1" w:styleId="233">
    <w:name w:val="Char2 Char Char Char Char Char Char1"/>
    <w:basedOn w:val="1"/>
    <w:autoRedefine/>
    <w:qFormat/>
    <w:uiPriority w:val="0"/>
    <w:pPr>
      <w:widowControl/>
      <w:spacing w:line="400" w:lineRule="exact"/>
      <w:jc w:val="center"/>
    </w:pPr>
  </w:style>
  <w:style w:type="character" w:customStyle="1" w:styleId="234">
    <w:name w:val="页脚 Char"/>
    <w:autoRedefine/>
    <w:qFormat/>
    <w:uiPriority w:val="0"/>
    <w:rPr>
      <w:rFonts w:ascii="宋体" w:eastAsia="宋体"/>
      <w:sz w:val="18"/>
      <w:lang w:val="en-US" w:eastAsia="zh-CN" w:bidi="ar-SA"/>
    </w:rPr>
  </w:style>
  <w:style w:type="paragraph" w:customStyle="1" w:styleId="235">
    <w:name w:val="Char Char41"/>
    <w:basedOn w:val="1"/>
    <w:autoRedefine/>
    <w:qFormat/>
    <w:uiPriority w:val="0"/>
    <w:pPr>
      <w:widowControl/>
      <w:spacing w:line="400" w:lineRule="exact"/>
      <w:jc w:val="center"/>
    </w:pPr>
  </w:style>
  <w:style w:type="character" w:customStyle="1" w:styleId="236">
    <w:name w:val="批注文字 Char"/>
    <w:autoRedefine/>
    <w:qFormat/>
    <w:uiPriority w:val="99"/>
    <w:rPr>
      <w:kern w:val="2"/>
      <w:sz w:val="21"/>
      <w:szCs w:val="24"/>
    </w:rPr>
  </w:style>
  <w:style w:type="character" w:customStyle="1" w:styleId="237">
    <w:name w:val="标题 Char"/>
    <w:autoRedefine/>
    <w:qFormat/>
    <w:uiPriority w:val="0"/>
    <w:rPr>
      <w:b/>
      <w:kern w:val="2"/>
      <w:sz w:val="32"/>
    </w:rPr>
  </w:style>
  <w:style w:type="character" w:customStyle="1" w:styleId="238">
    <w:name w:val="标题 1 字符"/>
    <w:basedOn w:val="48"/>
    <w:link w:val="2"/>
    <w:autoRedefine/>
    <w:qFormat/>
    <w:uiPriority w:val="0"/>
    <w:rPr>
      <w:rFonts w:ascii="宋体"/>
      <w:b/>
      <w:kern w:val="44"/>
      <w:sz w:val="32"/>
    </w:rPr>
  </w:style>
  <w:style w:type="character" w:customStyle="1" w:styleId="239">
    <w:name w:val="标题 4 字符"/>
    <w:basedOn w:val="48"/>
    <w:link w:val="5"/>
    <w:autoRedefine/>
    <w:qFormat/>
    <w:uiPriority w:val="0"/>
    <w:rPr>
      <w:rFonts w:ascii="Arial" w:hAnsi="Arial" w:eastAsia="黑体"/>
      <w:b/>
      <w:sz w:val="28"/>
    </w:rPr>
  </w:style>
  <w:style w:type="character" w:customStyle="1" w:styleId="240">
    <w:name w:val="标题 5 字符"/>
    <w:basedOn w:val="48"/>
    <w:link w:val="6"/>
    <w:autoRedefine/>
    <w:qFormat/>
    <w:uiPriority w:val="0"/>
    <w:rPr>
      <w:b/>
      <w:sz w:val="28"/>
    </w:rPr>
  </w:style>
  <w:style w:type="character" w:customStyle="1" w:styleId="241">
    <w:name w:val="标题 6 字符"/>
    <w:basedOn w:val="48"/>
    <w:link w:val="7"/>
    <w:autoRedefine/>
    <w:qFormat/>
    <w:uiPriority w:val="0"/>
    <w:rPr>
      <w:rFonts w:ascii="Arial" w:hAnsi="Arial" w:eastAsia="黑体"/>
      <w:b/>
      <w:sz w:val="24"/>
    </w:rPr>
  </w:style>
  <w:style w:type="character" w:customStyle="1" w:styleId="242">
    <w:name w:val="标题 7 字符"/>
    <w:basedOn w:val="48"/>
    <w:link w:val="8"/>
    <w:autoRedefine/>
    <w:qFormat/>
    <w:uiPriority w:val="0"/>
    <w:rPr>
      <w:b/>
      <w:sz w:val="24"/>
    </w:rPr>
  </w:style>
  <w:style w:type="character" w:customStyle="1" w:styleId="243">
    <w:name w:val="标题 8 字符"/>
    <w:basedOn w:val="48"/>
    <w:link w:val="9"/>
    <w:autoRedefine/>
    <w:qFormat/>
    <w:uiPriority w:val="0"/>
    <w:rPr>
      <w:rFonts w:ascii="Arial" w:hAnsi="Arial" w:eastAsia="黑体"/>
      <w:sz w:val="24"/>
    </w:rPr>
  </w:style>
  <w:style w:type="character" w:customStyle="1" w:styleId="244">
    <w:name w:val="标题 9 字符"/>
    <w:basedOn w:val="48"/>
    <w:link w:val="10"/>
    <w:autoRedefine/>
    <w:qFormat/>
    <w:uiPriority w:val="0"/>
    <w:rPr>
      <w:rFonts w:ascii="Arial" w:hAnsi="Arial" w:eastAsia="黑体"/>
      <w:sz w:val="21"/>
    </w:rPr>
  </w:style>
  <w:style w:type="character" w:customStyle="1" w:styleId="245">
    <w:name w:val="文档结构图 字符"/>
    <w:basedOn w:val="48"/>
    <w:link w:val="14"/>
    <w:autoRedefine/>
    <w:qFormat/>
    <w:uiPriority w:val="0"/>
    <w:rPr>
      <w:kern w:val="2"/>
      <w:sz w:val="21"/>
      <w:szCs w:val="24"/>
      <w:shd w:val="clear" w:color="auto" w:fill="000080"/>
    </w:rPr>
  </w:style>
  <w:style w:type="character" w:customStyle="1" w:styleId="246">
    <w:name w:val="正文文本 3 字符"/>
    <w:basedOn w:val="48"/>
    <w:link w:val="16"/>
    <w:autoRedefine/>
    <w:qFormat/>
    <w:uiPriority w:val="0"/>
    <w:rPr>
      <w:kern w:val="2"/>
      <w:sz w:val="16"/>
      <w:szCs w:val="16"/>
    </w:rPr>
  </w:style>
  <w:style w:type="character" w:customStyle="1" w:styleId="247">
    <w:name w:val="正文文本 字符"/>
    <w:basedOn w:val="48"/>
    <w:link w:val="17"/>
    <w:autoRedefine/>
    <w:qFormat/>
    <w:uiPriority w:val="0"/>
    <w:rPr>
      <w:rFonts w:ascii="宋体" w:hAnsi="宋体"/>
      <w:kern w:val="2"/>
      <w:sz w:val="24"/>
      <w:szCs w:val="24"/>
    </w:rPr>
  </w:style>
  <w:style w:type="character" w:customStyle="1" w:styleId="248">
    <w:name w:val="日期 字符"/>
    <w:basedOn w:val="48"/>
    <w:link w:val="26"/>
    <w:autoRedefine/>
    <w:qFormat/>
    <w:uiPriority w:val="0"/>
    <w:rPr>
      <w:rFonts w:ascii="仿宋_GB2312" w:hAnsi="宋体" w:eastAsia="仿宋_GB2312"/>
      <w:color w:val="000000"/>
      <w:kern w:val="2"/>
      <w:sz w:val="24"/>
      <w:szCs w:val="24"/>
    </w:rPr>
  </w:style>
  <w:style w:type="character" w:customStyle="1" w:styleId="249">
    <w:name w:val="正文文本缩进 2 字符"/>
    <w:basedOn w:val="48"/>
    <w:link w:val="27"/>
    <w:autoRedefine/>
    <w:qFormat/>
    <w:uiPriority w:val="0"/>
    <w:rPr>
      <w:rFonts w:ascii="仿宋_GB2312" w:eastAsia="仿宋_GB2312"/>
      <w:kern w:val="2"/>
      <w:sz w:val="24"/>
      <w:szCs w:val="24"/>
    </w:rPr>
  </w:style>
  <w:style w:type="character" w:customStyle="1" w:styleId="250">
    <w:name w:val="批注框文本 字符"/>
    <w:basedOn w:val="48"/>
    <w:link w:val="28"/>
    <w:autoRedefine/>
    <w:qFormat/>
    <w:uiPriority w:val="0"/>
    <w:rPr>
      <w:kern w:val="2"/>
      <w:sz w:val="18"/>
      <w:szCs w:val="18"/>
    </w:rPr>
  </w:style>
  <w:style w:type="character" w:customStyle="1" w:styleId="251">
    <w:name w:val="正文文本缩进 3 字符"/>
    <w:basedOn w:val="48"/>
    <w:link w:val="35"/>
    <w:autoRedefine/>
    <w:qFormat/>
    <w:uiPriority w:val="0"/>
    <w:rPr>
      <w:rFonts w:ascii="宋体"/>
      <w:sz w:val="24"/>
    </w:rPr>
  </w:style>
  <w:style w:type="character" w:customStyle="1" w:styleId="252">
    <w:name w:val="HTML 预设格式 字符"/>
    <w:basedOn w:val="48"/>
    <w:link w:val="38"/>
    <w:autoRedefine/>
    <w:qFormat/>
    <w:uiPriority w:val="0"/>
    <w:rPr>
      <w:rFonts w:ascii="宋体" w:hAnsi="宋体" w:cs="宋体"/>
      <w:sz w:val="24"/>
      <w:szCs w:val="24"/>
    </w:rPr>
  </w:style>
  <w:style w:type="character" w:customStyle="1" w:styleId="253">
    <w:name w:val="批注主题 字符"/>
    <w:basedOn w:val="203"/>
    <w:link w:val="42"/>
    <w:autoRedefine/>
    <w:qFormat/>
    <w:uiPriority w:val="0"/>
    <w:rPr>
      <w:rFonts w:ascii="Times New Roman" w:hAnsi="Times New Roman" w:eastAsia="宋体" w:cs="Times New Roman"/>
      <w:b/>
      <w:bCs/>
      <w:kern w:val="2"/>
      <w:sz w:val="21"/>
      <w:szCs w:val="24"/>
      <w:lang w:val="en-US" w:eastAsia="zh-CN" w:bidi="ar-SA"/>
    </w:rPr>
  </w:style>
  <w:style w:type="character" w:customStyle="1" w:styleId="254">
    <w:name w:val="正文首行缩进 2 字符"/>
    <w:basedOn w:val="77"/>
    <w:link w:val="44"/>
    <w:autoRedefine/>
    <w:qFormat/>
    <w:uiPriority w:val="0"/>
    <w:rPr>
      <w:rFonts w:eastAsia="宋体"/>
      <w:kern w:val="2"/>
      <w:sz w:val="24"/>
      <w:szCs w:val="24"/>
      <w:lang w:val="en-US" w:eastAsia="zh-CN" w:bidi="ar-SA"/>
    </w:rPr>
  </w:style>
  <w:style w:type="paragraph" w:customStyle="1" w:styleId="255">
    <w:name w:val="图例"/>
    <w:basedOn w:val="1"/>
    <w:autoRedefine/>
    <w:qFormat/>
    <w:uiPriority w:val="0"/>
    <w:pPr>
      <w:spacing w:before="120" w:after="120" w:line="360" w:lineRule="auto"/>
      <w:jc w:val="center"/>
    </w:pPr>
    <w:rPr>
      <w:rFonts w:eastAsia="仿宋_GB2312"/>
      <w:b/>
      <w:sz w:val="24"/>
      <w:szCs w:val="20"/>
    </w:rPr>
  </w:style>
  <w:style w:type="paragraph" w:customStyle="1" w:styleId="256">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57">
    <w:name w:val="Table Normal"/>
    <w:autoRedefine/>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8">
    <w:name w:val="样式 标题 2 + Times New Roman 四号 非加粗 段前: 5 磅 段后: 0 磅 行距: 固定值 20..."/>
    <w:basedOn w:val="3"/>
    <w:autoRedefine/>
    <w:qFormat/>
    <w:uiPriority w:val="99"/>
    <w:pPr>
      <w:spacing w:beforeLines="50" w:afterLines="50" w:line="360" w:lineRule="auto"/>
    </w:pPr>
    <w:rPr>
      <w:rFonts w:ascii="宋体" w:hAnsi="Times New Roman" w:cs="宋体"/>
      <w:b w:val="0"/>
      <w:sz w:val="28"/>
      <w:szCs w:val="20"/>
    </w:rPr>
  </w:style>
  <w:style w:type="paragraph" w:customStyle="1" w:styleId="259">
    <w:name w:val="样式 标题 3 + (中文) 黑体 小四 非加粗 段前: 7.8 磅 段后: 0 磅 行距: 固定值 20 磅"/>
    <w:basedOn w:val="4"/>
    <w:autoRedefine/>
    <w:qFormat/>
    <w:uiPriority w:val="0"/>
    <w:pPr>
      <w:spacing w:beforeLines="50" w:afterLines="50" w:line="360" w:lineRule="auto"/>
    </w:pPr>
    <w:rPr>
      <w:rFonts w:ascii="宋体"/>
      <w:b w:val="0"/>
      <w:sz w:val="24"/>
      <w:szCs w:val="20"/>
    </w:rPr>
  </w:style>
  <w:style w:type="paragraph" w:customStyle="1" w:styleId="260">
    <w:name w:val="msolistparagraph"/>
    <w:basedOn w:val="1"/>
    <w:autoRedefine/>
    <w:qFormat/>
    <w:uiPriority w:val="0"/>
    <w:pPr>
      <w:ind w:firstLine="420" w:firstLineChars="200"/>
    </w:pPr>
  </w:style>
  <w:style w:type="paragraph" w:customStyle="1" w:styleId="261">
    <w:name w:val="目录文字"/>
    <w:autoRedefine/>
    <w:qFormat/>
    <w:uiPriority w:val="0"/>
    <w:pPr>
      <w:widowControl/>
      <w:spacing w:line="480" w:lineRule="auto"/>
      <w:jc w:val="left"/>
    </w:pPr>
    <w:rPr>
      <w:rFonts w:ascii="宋体" w:hAnsi="宋体" w:eastAsia="宋体" w:cs="Times New Roman"/>
      <w:kern w:val="0"/>
      <w:sz w:val="24"/>
      <w:szCs w:val="20"/>
      <w:lang w:val="en-US" w:eastAsia="zh-CN" w:bidi="ar-SA"/>
    </w:rPr>
  </w:style>
  <w:style w:type="paragraph" w:customStyle="1" w:styleId="262">
    <w:name w:val="Body text|2"/>
    <w:basedOn w:val="1"/>
    <w:autoRedefine/>
    <w:qFormat/>
    <w:uiPriority w:val="0"/>
    <w:pPr>
      <w:spacing w:line="382" w:lineRule="exact"/>
      <w:ind w:left="1800"/>
      <w:jc w:val="left"/>
    </w:pPr>
    <w:rPr>
      <w:rFonts w:ascii="宋体" w:hAnsi="宋体" w:cs="宋体"/>
      <w:kern w:val="0"/>
      <w:sz w:val="18"/>
      <w:szCs w:val="18"/>
      <w:lang w:val="zh-TW" w:eastAsia="zh-TW" w:bidi="zh-TW"/>
    </w:rPr>
  </w:style>
  <w:style w:type="paragraph" w:customStyle="1" w:styleId="263">
    <w:name w:val="Body text|1"/>
    <w:basedOn w:val="1"/>
    <w:autoRedefine/>
    <w:qFormat/>
    <w:uiPriority w:val="0"/>
    <w:pPr>
      <w:spacing w:line="480" w:lineRule="auto"/>
      <w:ind w:firstLine="380"/>
      <w:jc w:val="left"/>
    </w:pPr>
    <w:rPr>
      <w:rFonts w:ascii="宋体" w:hAnsi="宋体" w:cs="宋体"/>
      <w:kern w:val="0"/>
      <w:sz w:val="20"/>
      <w:szCs w:val="20"/>
      <w:lang w:val="zh-TW" w:eastAsia="zh-TW" w:bidi="zh-TW"/>
    </w:rPr>
  </w:style>
  <w:style w:type="paragraph" w:customStyle="1" w:styleId="264">
    <w:name w:val="Body text|3"/>
    <w:basedOn w:val="1"/>
    <w:autoRedefine/>
    <w:qFormat/>
    <w:uiPriority w:val="0"/>
    <w:pPr>
      <w:ind w:left="530"/>
      <w:jc w:val="left"/>
    </w:pPr>
    <w:rPr>
      <w:rFonts w:ascii="Calibri" w:hAnsi="Calibri"/>
      <w:color w:val="0000FF"/>
      <w:kern w:val="0"/>
      <w:sz w:val="22"/>
      <w:szCs w:val="22"/>
      <w:lang w:val="zh-TW" w:eastAsia="zh-TW" w:bidi="zh-TW"/>
    </w:rPr>
  </w:style>
  <w:style w:type="paragraph" w:customStyle="1" w:styleId="265">
    <w:name w:val="Header or footer|1"/>
    <w:basedOn w:val="1"/>
    <w:autoRedefine/>
    <w:qFormat/>
    <w:uiPriority w:val="0"/>
    <w:pPr>
      <w:jc w:val="left"/>
    </w:pPr>
    <w:rPr>
      <w:rFonts w:ascii="宋体" w:hAnsi="宋体" w:cs="宋体"/>
      <w:kern w:val="0"/>
      <w:sz w:val="20"/>
      <w:szCs w:val="20"/>
      <w:lang w:val="zh-TW" w:eastAsia="zh-TW" w:bidi="zh-TW"/>
    </w:rPr>
  </w:style>
  <w:style w:type="paragraph" w:customStyle="1" w:styleId="266">
    <w:name w:val="无间隔1"/>
    <w:autoRedefine/>
    <w:qFormat/>
    <w:uiPriority w:val="0"/>
    <w:rPr>
      <w:rFonts w:ascii="Times New Roman" w:hAnsi="Times New Roman" w:eastAsia="宋体" w:cs="Times New Roman"/>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100</Pages>
  <Words>44208</Words>
  <Characters>47657</Characters>
  <Lines>202</Lines>
  <Paragraphs>57</Paragraphs>
  <TotalTime>5</TotalTime>
  <ScaleCrop>false</ScaleCrop>
  <LinksUpToDate>false</LinksUpToDate>
  <CharactersWithSpaces>49402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2022-03-28T18:53:00Z</dcterms:created>
  <dc:creator>Yin Hao</dc:creator>
  <cp:lastModifiedBy>Piggy</cp:lastModifiedBy>
  <cp:lastPrinted>2022-06-20T10:19:00Z</cp:lastPrinted>
  <dcterms:modified xsi:type="dcterms:W3CDTF">2024-06-17T08:04:05Z</dcterms:modified>
  <dc:title>02年杜范本稿</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B196972313054D4789BB25DBD05B5736</vt:lpwstr>
  </property>
  <property fmtid="{D5CDD505-2E9C-101B-9397-08002B2CF9AE}" pid="4" name="commondata">
    <vt:lpwstr>eyJoZGlkIjoiNjg5NDQ1NjQyNzM2ZDZiYjI2NWYxMmFhZjdjYjk5ZDIifQ==</vt:lpwstr>
  </property>
</Properties>
</file>