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F24811">
      <w:pPr>
        <w:pStyle w:val="2"/>
        <w:keepNext/>
        <w:keepLines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480" w:lineRule="auto"/>
        <w:jc w:val="center"/>
        <w:textAlignment w:val="auto"/>
        <w:rPr>
          <w:rFonts w:hint="eastAsia" w:ascii="仿宋" w:hAnsi="仿宋" w:eastAsia="仿宋" w:cs="仿宋"/>
          <w:sz w:val="40"/>
          <w:szCs w:val="40"/>
        </w:rPr>
      </w:pPr>
      <w:bookmarkStart w:id="0" w:name="_Toc28359022"/>
      <w:bookmarkStart w:id="1" w:name="_Toc35393809"/>
      <w:r>
        <w:rPr>
          <w:rFonts w:hint="eastAsia" w:ascii="仿宋" w:hAnsi="仿宋" w:eastAsia="仿宋" w:cs="仿宋"/>
          <w:sz w:val="40"/>
          <w:szCs w:val="40"/>
          <w:lang w:eastAsia="zh-CN"/>
        </w:rPr>
        <w:t>节约用水宣传与节水展馆运维-北京公共交通设施节水宣传</w:t>
      </w:r>
      <w:r>
        <w:rPr>
          <w:rFonts w:hint="eastAsia" w:ascii="仿宋" w:hAnsi="仿宋" w:eastAsia="仿宋" w:cs="仿宋"/>
          <w:sz w:val="40"/>
          <w:szCs w:val="40"/>
        </w:rPr>
        <w:t>中标结果公告</w:t>
      </w:r>
      <w:bookmarkEnd w:id="0"/>
      <w:bookmarkEnd w:id="1"/>
    </w:p>
    <w:p w14:paraId="737F5020"/>
    <w:p w14:paraId="0E5F05D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ascii="黑体" w:hAnsi="黑体" w:eastAsia="黑体"/>
          <w:b w:val="0"/>
          <w:bCs w:val="0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</w:t>
      </w:r>
      <w:r>
        <w:rPr>
          <w:rFonts w:hint="eastAsia" w:ascii="仿宋" w:hAnsi="仿宋" w:eastAsia="仿宋"/>
          <w:sz w:val="28"/>
          <w:szCs w:val="28"/>
          <w:lang w:eastAsia="zh-CN"/>
        </w:rPr>
        <w:t>11000025210200115175-XM001</w:t>
      </w:r>
    </w:p>
    <w:p w14:paraId="124FBC1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黑体" w:hAnsi="黑体" w:eastAsia="黑体"/>
          <w:sz w:val="28"/>
          <w:szCs w:val="28"/>
          <w:u w:val="single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仿宋" w:hAnsi="仿宋" w:eastAsia="仿宋"/>
          <w:sz w:val="28"/>
          <w:szCs w:val="28"/>
          <w:lang w:eastAsia="zh-CN"/>
        </w:rPr>
        <w:t>节约用水宣传与节水展馆运维-北京公共交通设施节水宣传</w:t>
      </w:r>
    </w:p>
    <w:p w14:paraId="614FE9A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三、中标（成交）信息</w:t>
      </w:r>
      <w:bookmarkStart w:id="14" w:name="_GoBack"/>
      <w:bookmarkEnd w:id="14"/>
    </w:p>
    <w:p w14:paraId="118DC4A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供应商名称：北京社众广告传媒有限公司</w:t>
      </w:r>
    </w:p>
    <w:p w14:paraId="3B9748C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供应商地址：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北京市通州区中山大街59号院1号楼29层2905</w:t>
      </w:r>
    </w:p>
    <w:p w14:paraId="69334E6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中标金额：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74.6</w:t>
      </w:r>
      <w:r>
        <w:rPr>
          <w:rFonts w:hint="eastAsia" w:ascii="仿宋" w:hAnsi="仿宋" w:eastAsia="仿宋"/>
          <w:sz w:val="28"/>
          <w:szCs w:val="28"/>
        </w:rPr>
        <w:t>万元</w:t>
      </w:r>
    </w:p>
    <w:p w14:paraId="03FB5867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 w:cs="Times New Roman"/>
          <w:kern w:val="2"/>
          <w:sz w:val="28"/>
          <w:szCs w:val="28"/>
          <w:lang w:val="en-US" w:eastAsia="zh-CN" w:bidi="ar-SA"/>
        </w:rPr>
        <w:t>四、</w:t>
      </w:r>
      <w:r>
        <w:rPr>
          <w:rFonts w:hint="eastAsia" w:ascii="黑体" w:hAnsi="黑体" w:eastAsia="黑体"/>
          <w:sz w:val="28"/>
          <w:szCs w:val="28"/>
        </w:rPr>
        <w:t>主要标的信息</w:t>
      </w:r>
    </w:p>
    <w:p w14:paraId="58CC8A5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="仿宋" w:hAnsi="仿宋" w:eastAsia="仿宋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/>
          <w:kern w:val="0"/>
          <w:sz w:val="28"/>
          <w:szCs w:val="28"/>
          <w:lang w:val="en-US" w:eastAsia="zh-CN"/>
        </w:rPr>
        <w:t>标的</w:t>
      </w:r>
      <w:r>
        <w:rPr>
          <w:rFonts w:hint="eastAsia" w:ascii="仿宋" w:hAnsi="仿宋" w:eastAsia="仿宋"/>
          <w:kern w:val="0"/>
          <w:sz w:val="28"/>
          <w:szCs w:val="28"/>
        </w:rPr>
        <w:t>名称：</w:t>
      </w:r>
      <w:r>
        <w:rPr>
          <w:rFonts w:hint="eastAsia" w:ascii="仿宋" w:hAnsi="仿宋" w:eastAsia="仿宋"/>
          <w:kern w:val="0"/>
          <w:sz w:val="28"/>
          <w:szCs w:val="28"/>
          <w:lang w:eastAsia="zh-CN"/>
        </w:rPr>
        <w:t>北京公共交通设施节水宣传</w:t>
      </w:r>
    </w:p>
    <w:p w14:paraId="5183BC0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服务范围：为采购人提供地铁扶梯及公交站台的节水公益宣传广告牌板面设计、制作、投放及维护等服务。</w:t>
      </w:r>
    </w:p>
    <w:p w14:paraId="70FDC8AC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服务要求：详见采购文件。</w:t>
      </w:r>
    </w:p>
    <w:p w14:paraId="49C7C00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合同履行期限：自合同生效之日起4个月（首次广告牌拟定于2025年3月21日前完成投放，具体以采购人实际要求为准）。</w:t>
      </w:r>
    </w:p>
    <w:p w14:paraId="214833C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服务标准：详见采购文件。</w:t>
      </w:r>
    </w:p>
    <w:p w14:paraId="305F952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五、评审专家（单一来源采购人员）名单：</w:t>
      </w:r>
    </w:p>
    <w:p w14:paraId="4AF2530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default" w:ascii="黑体" w:hAnsi="黑体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kern w:val="0"/>
          <w:sz w:val="28"/>
          <w:szCs w:val="28"/>
          <w:lang w:val="en-US" w:eastAsia="zh-CN"/>
        </w:rPr>
        <w:t>高飞、闫惠新、罗桂英、朱江、刘施昊</w:t>
      </w:r>
    </w:p>
    <w:p w14:paraId="7AF9B706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ascii="华文仿宋" w:hAnsi="华文仿宋" w:eastAsia="华文仿宋" w:cs="宋体"/>
          <w:kern w:val="0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六、</w:t>
      </w:r>
      <w:r>
        <w:rPr>
          <w:rFonts w:hint="eastAsia" w:ascii="黑体" w:hAnsi="黑体" w:eastAsia="黑体"/>
          <w:sz w:val="28"/>
          <w:szCs w:val="28"/>
        </w:rPr>
        <w:t>代理服务收费标准及金额：</w:t>
      </w:r>
    </w:p>
    <w:p w14:paraId="18B1AC81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="华文仿宋" w:hAnsi="华文仿宋" w:eastAsia="华文仿宋" w:cs="宋体"/>
          <w:kern w:val="0"/>
          <w:sz w:val="28"/>
          <w:szCs w:val="28"/>
        </w:rPr>
      </w:pPr>
      <w:r>
        <w:rPr>
          <w:rFonts w:hint="eastAsia" w:ascii="华文仿宋" w:hAnsi="华文仿宋" w:eastAsia="华文仿宋" w:cs="宋体"/>
          <w:kern w:val="0"/>
          <w:sz w:val="28"/>
          <w:szCs w:val="28"/>
        </w:rPr>
        <w:t>收费标准：代理费以中标/成交额为基数，采用“差额定率累进法”计取。（代理服务收费标准详见附件2）</w:t>
      </w:r>
    </w:p>
    <w:p w14:paraId="55D10CC7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ascii="华文仿宋" w:hAnsi="华文仿宋" w:eastAsia="华文仿宋" w:cs="宋体"/>
          <w:kern w:val="0"/>
          <w:sz w:val="28"/>
          <w:szCs w:val="28"/>
        </w:rPr>
      </w:pPr>
      <w:r>
        <w:rPr>
          <w:rFonts w:hint="eastAsia" w:ascii="华文仿宋" w:hAnsi="华文仿宋" w:eastAsia="华文仿宋" w:cs="宋体"/>
          <w:kern w:val="0"/>
          <w:sz w:val="28"/>
          <w:szCs w:val="28"/>
        </w:rPr>
        <w:t>代理服务费总额：1</w:t>
      </w:r>
      <w:r>
        <w:rPr>
          <w:rFonts w:hint="eastAsia" w:ascii="华文仿宋" w:hAnsi="华文仿宋" w:eastAsia="华文仿宋" w:cs="宋体"/>
          <w:kern w:val="0"/>
          <w:sz w:val="28"/>
          <w:szCs w:val="28"/>
          <w:lang w:val="en-US" w:eastAsia="zh-CN"/>
        </w:rPr>
        <w:t>.</w:t>
      </w:r>
      <w:r>
        <w:rPr>
          <w:rFonts w:hint="eastAsia" w:ascii="华文仿宋" w:hAnsi="华文仿宋" w:eastAsia="华文仿宋" w:cs="宋体"/>
          <w:kern w:val="0"/>
          <w:sz w:val="28"/>
          <w:szCs w:val="28"/>
        </w:rPr>
        <w:t>119万元</w:t>
      </w:r>
    </w:p>
    <w:p w14:paraId="0A8FCB6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七、公告期限</w:t>
      </w:r>
    </w:p>
    <w:p w14:paraId="164A67F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3AAD899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351A666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1.中标供应商评审总得分：85.8分。</w:t>
      </w:r>
    </w:p>
    <w:p w14:paraId="009E1FF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2.</w:t>
      </w:r>
      <w:r>
        <w:rPr>
          <w:rFonts w:hint="eastAsia" w:ascii="仿宋" w:hAnsi="仿宋" w:eastAsia="仿宋"/>
          <w:sz w:val="28"/>
          <w:szCs w:val="28"/>
        </w:rPr>
        <w:t>本次公告信息在中国政府采购网、北京市政府采购网发布。</w:t>
      </w:r>
    </w:p>
    <w:p w14:paraId="25CB57E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4AE88472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700" w:firstLineChars="250"/>
        <w:textAlignment w:val="auto"/>
        <w:rPr>
          <w:rFonts w:ascii="仿宋" w:hAnsi="仿宋" w:eastAsia="仿宋" w:cs="宋体"/>
          <w:b w:val="0"/>
          <w:sz w:val="28"/>
          <w:szCs w:val="28"/>
        </w:rPr>
      </w:pPr>
      <w:bookmarkStart w:id="2" w:name="_Toc35393641"/>
      <w:bookmarkStart w:id="3" w:name="_Toc28359023"/>
      <w:bookmarkStart w:id="4" w:name="_Toc35393810"/>
      <w:bookmarkStart w:id="5" w:name="_Toc28359100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0BB86D4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840" w:firstLineChars="300"/>
        <w:textAlignment w:val="auto"/>
        <w:rPr>
          <w:rFonts w:ascii="仿宋" w:hAnsi="仿宋" w:eastAsia="仿宋"/>
          <w:sz w:val="28"/>
          <w:szCs w:val="28"/>
          <w:u w:val="single"/>
        </w:rPr>
      </w:pPr>
      <w:bookmarkStart w:id="6" w:name="_Toc28359024"/>
      <w:bookmarkStart w:id="7" w:name="_Toc28359101"/>
      <w:bookmarkStart w:id="8" w:name="_Toc35393642"/>
      <w:bookmarkStart w:id="9" w:name="_Toc35393811"/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北京市节水用水管理事务中心</w:t>
      </w:r>
    </w:p>
    <w:p w14:paraId="623EE19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840" w:firstLineChars="300"/>
        <w:textAlignment w:val="auto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地  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北京市海淀区恩济庄46号C区</w:t>
      </w:r>
    </w:p>
    <w:p w14:paraId="6275D22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840" w:firstLineChars="300"/>
        <w:textAlignment w:val="auto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阴亚军 010-55523838</w:t>
      </w:r>
    </w:p>
    <w:p w14:paraId="5FC6868A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840" w:firstLineChars="300"/>
        <w:textAlignment w:val="auto"/>
        <w:rPr>
          <w:rFonts w:ascii="仿宋" w:hAnsi="仿宋" w:eastAsia="仿宋" w:cs="宋体"/>
          <w:b w:val="0"/>
          <w:sz w:val="28"/>
          <w:szCs w:val="28"/>
        </w:rPr>
      </w:pPr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 w14:paraId="7197B70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840" w:firstLineChars="300"/>
        <w:textAlignment w:val="auto"/>
        <w:rPr>
          <w:rFonts w:ascii="仿宋" w:hAnsi="仿宋" w:eastAsia="仿宋"/>
          <w:sz w:val="28"/>
          <w:szCs w:val="28"/>
          <w:u w:val="single"/>
        </w:rPr>
      </w:pPr>
      <w:bookmarkStart w:id="10" w:name="_Toc28359025"/>
      <w:bookmarkStart w:id="11" w:name="_Toc28359102"/>
      <w:bookmarkStart w:id="12" w:name="_Toc35393643"/>
      <w:bookmarkStart w:id="13" w:name="_Toc35393812"/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北京博睿丰工程咨询有限公司</w:t>
      </w:r>
    </w:p>
    <w:p w14:paraId="1516871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840" w:firstLineChars="300"/>
        <w:textAlignment w:val="auto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地  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北京市顺义区林河南大街9号院9号楼2层262室</w:t>
      </w:r>
    </w:p>
    <w:p w14:paraId="19BE788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840" w:firstLineChars="300"/>
        <w:textAlignment w:val="auto"/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孙萌、赵毛鹅、于辉、李博、路璐、王鑫磊、金文玲、王海霞、梅春霞、赵星梅 010-61409078、18301256721</w:t>
      </w:r>
    </w:p>
    <w:p w14:paraId="783B668D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840" w:firstLineChars="300"/>
        <w:textAlignment w:val="auto"/>
        <w:rPr>
          <w:rFonts w:ascii="仿宋" w:hAnsi="仿宋" w:eastAsia="仿宋" w:cs="宋体"/>
          <w:b w:val="0"/>
          <w:sz w:val="28"/>
          <w:szCs w:val="28"/>
        </w:rPr>
      </w:pPr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 w14:paraId="2C34FB4E">
      <w:pPr>
        <w:pStyle w:val="5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840" w:firstLineChars="300"/>
        <w:textAlignment w:val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sz w:val="28"/>
          <w:szCs w:val="28"/>
          <w:u w:val="single"/>
        </w:rPr>
        <w:t>孙萌、赵毛鹅、于辉、李博、路璐、王鑫磊、金文玲、王海霞、梅春霞、赵星梅</w:t>
      </w:r>
    </w:p>
    <w:p w14:paraId="5CA6818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840" w:firstLineChars="300"/>
        <w:textAlignment w:val="auto"/>
        <w:rPr>
          <w:rFonts w:hint="eastAsia"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电   话：</w:t>
      </w:r>
      <w:r>
        <w:rPr>
          <w:rFonts w:hint="eastAsia" w:ascii="仿宋" w:hAnsi="仿宋" w:eastAsia="仿宋"/>
          <w:sz w:val="28"/>
          <w:szCs w:val="28"/>
          <w:u w:val="single"/>
        </w:rPr>
        <w:t>010-61409078、18301256721</w:t>
      </w:r>
    </w:p>
    <w:p w14:paraId="65E701C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 w14:paraId="08220D1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1.采购文件；</w:t>
      </w:r>
    </w:p>
    <w:p w14:paraId="32530E3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2.代理服务费收费标准表；</w:t>
      </w:r>
    </w:p>
    <w:p w14:paraId="32BCE342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</w:p>
    <w:tbl>
      <w:tblPr>
        <w:tblStyle w:val="10"/>
        <w:tblW w:w="5000" w:type="pct"/>
        <w:jc w:val="center"/>
        <w:tblCellSpacing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206"/>
        <w:gridCol w:w="1114"/>
        <w:gridCol w:w="1114"/>
        <w:gridCol w:w="1114"/>
      </w:tblGrid>
      <w:tr w14:paraId="1B7D61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00" w:hRule="atLeast"/>
          <w:tblCellSpacing w:w="0" w:type="dxa"/>
          <w:jc w:val="center"/>
        </w:trPr>
        <w:tc>
          <w:tcPr>
            <w:tcW w:w="4508" w:type="dxa"/>
            <w:vMerge w:val="restart"/>
            <w:tcBorders>
              <w:tl2br w:val="outset" w:color="auto" w:sz="6" w:space="0"/>
            </w:tcBorders>
            <w:vAlign w:val="center"/>
          </w:tcPr>
          <w:p w14:paraId="039FE328">
            <w:pPr>
              <w:widowControl/>
              <w:spacing w:line="440" w:lineRule="exact"/>
              <w:jc w:val="right"/>
              <w:rPr>
                <w:rFonts w:ascii="华文仿宋" w:hAnsi="华文仿宋" w:eastAsia="华文仿宋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 xml:space="preserve">      </w:t>
            </w:r>
            <w:r>
              <w:rPr>
                <w:rFonts w:hint="eastAsia" w:ascii="华文仿宋" w:hAnsi="华文仿宋" w:eastAsia="华文仿宋" w:cs="宋体"/>
                <w:bCs/>
                <w:kern w:val="0"/>
                <w:sz w:val="28"/>
                <w:szCs w:val="28"/>
              </w:rPr>
              <w:t xml:space="preserve">项目类别  </w:t>
            </w:r>
          </w:p>
          <w:p w14:paraId="319D7815">
            <w:pPr>
              <w:spacing w:line="440" w:lineRule="exact"/>
              <w:ind w:left="840" w:hanging="840" w:hangingChars="300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bCs/>
                <w:kern w:val="0"/>
                <w:sz w:val="28"/>
                <w:szCs w:val="28"/>
              </w:rPr>
              <w:t>中标(成交)金额(万元)</w:t>
            </w:r>
          </w:p>
        </w:tc>
        <w:tc>
          <w:tcPr>
            <w:tcW w:w="964" w:type="dxa"/>
            <w:gridSpan w:val="3"/>
            <w:vAlign w:val="center"/>
          </w:tcPr>
          <w:p w14:paraId="0BE67966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bCs/>
                <w:kern w:val="0"/>
                <w:sz w:val="28"/>
                <w:szCs w:val="28"/>
              </w:rPr>
              <w:t>标准费率（%）</w:t>
            </w:r>
          </w:p>
        </w:tc>
      </w:tr>
      <w:tr w14:paraId="2DA564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  <w:tblCellSpacing w:w="0" w:type="dxa"/>
          <w:jc w:val="center"/>
        </w:trPr>
        <w:tc>
          <w:tcPr>
            <w:tcW w:w="4508" w:type="dxa"/>
            <w:vMerge w:val="continue"/>
            <w:tcBorders>
              <w:tl2br w:val="outset" w:color="auto" w:sz="6" w:space="0"/>
            </w:tcBorders>
            <w:vAlign w:val="center"/>
          </w:tcPr>
          <w:p w14:paraId="2EC6989F">
            <w:pPr>
              <w:widowControl/>
              <w:spacing w:line="440" w:lineRule="exact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</w:p>
        </w:tc>
        <w:tc>
          <w:tcPr>
            <w:tcW w:w="964" w:type="dxa"/>
            <w:vAlign w:val="center"/>
          </w:tcPr>
          <w:p w14:paraId="74E6E8B3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bCs/>
                <w:kern w:val="0"/>
                <w:sz w:val="28"/>
                <w:szCs w:val="28"/>
              </w:rPr>
              <w:t>货物</w:t>
            </w:r>
          </w:p>
        </w:tc>
        <w:tc>
          <w:tcPr>
            <w:tcW w:w="964" w:type="dxa"/>
            <w:vAlign w:val="center"/>
          </w:tcPr>
          <w:p w14:paraId="1466F5E0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bCs/>
                <w:kern w:val="0"/>
                <w:sz w:val="28"/>
                <w:szCs w:val="28"/>
              </w:rPr>
              <w:t>服务</w:t>
            </w:r>
          </w:p>
        </w:tc>
        <w:tc>
          <w:tcPr>
            <w:tcW w:w="964" w:type="dxa"/>
            <w:vAlign w:val="center"/>
          </w:tcPr>
          <w:p w14:paraId="06287A7C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bCs/>
                <w:kern w:val="0"/>
                <w:sz w:val="28"/>
                <w:szCs w:val="28"/>
              </w:rPr>
              <w:t>工程</w:t>
            </w:r>
          </w:p>
        </w:tc>
      </w:tr>
      <w:tr w14:paraId="60470D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  <w:tblCellSpacing w:w="0" w:type="dxa"/>
          <w:jc w:val="center"/>
        </w:trPr>
        <w:tc>
          <w:tcPr>
            <w:tcW w:w="4508" w:type="dxa"/>
            <w:vAlign w:val="center"/>
          </w:tcPr>
          <w:p w14:paraId="28FDC2B2">
            <w:pPr>
              <w:widowControl/>
              <w:spacing w:line="440" w:lineRule="exact"/>
              <w:ind w:firstLine="560" w:firstLineChars="200"/>
              <w:jc w:val="left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100以下</w:t>
            </w:r>
          </w:p>
        </w:tc>
        <w:tc>
          <w:tcPr>
            <w:tcW w:w="964" w:type="dxa"/>
            <w:vAlign w:val="center"/>
          </w:tcPr>
          <w:p w14:paraId="158FF6C4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1.5</w:t>
            </w:r>
          </w:p>
        </w:tc>
        <w:tc>
          <w:tcPr>
            <w:tcW w:w="964" w:type="dxa"/>
            <w:vAlign w:val="center"/>
          </w:tcPr>
          <w:p w14:paraId="2E61522F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1.5</w:t>
            </w:r>
          </w:p>
        </w:tc>
        <w:tc>
          <w:tcPr>
            <w:tcW w:w="964" w:type="dxa"/>
            <w:vAlign w:val="center"/>
          </w:tcPr>
          <w:p w14:paraId="47D79A29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1.0</w:t>
            </w:r>
          </w:p>
        </w:tc>
      </w:tr>
      <w:tr w14:paraId="374D54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  <w:tblCellSpacing w:w="0" w:type="dxa"/>
          <w:jc w:val="center"/>
        </w:trPr>
        <w:tc>
          <w:tcPr>
            <w:tcW w:w="4508" w:type="dxa"/>
            <w:vAlign w:val="center"/>
          </w:tcPr>
          <w:p w14:paraId="0C39FF2C">
            <w:pPr>
              <w:widowControl/>
              <w:spacing w:line="440" w:lineRule="exact"/>
              <w:ind w:firstLine="560" w:firstLineChars="200"/>
              <w:jc w:val="left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100—500</w:t>
            </w:r>
          </w:p>
        </w:tc>
        <w:tc>
          <w:tcPr>
            <w:tcW w:w="964" w:type="dxa"/>
            <w:vAlign w:val="center"/>
          </w:tcPr>
          <w:p w14:paraId="15981AA4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1.1</w:t>
            </w:r>
          </w:p>
        </w:tc>
        <w:tc>
          <w:tcPr>
            <w:tcW w:w="964" w:type="dxa"/>
            <w:vAlign w:val="center"/>
          </w:tcPr>
          <w:p w14:paraId="7B064A51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0.8</w:t>
            </w:r>
          </w:p>
        </w:tc>
        <w:tc>
          <w:tcPr>
            <w:tcW w:w="964" w:type="dxa"/>
            <w:vAlign w:val="center"/>
          </w:tcPr>
          <w:p w14:paraId="19621891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0.7</w:t>
            </w:r>
          </w:p>
        </w:tc>
      </w:tr>
      <w:tr w14:paraId="074E3E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  <w:tblCellSpacing w:w="0" w:type="dxa"/>
          <w:jc w:val="center"/>
        </w:trPr>
        <w:tc>
          <w:tcPr>
            <w:tcW w:w="4508" w:type="dxa"/>
            <w:vAlign w:val="center"/>
          </w:tcPr>
          <w:p w14:paraId="2014979C">
            <w:pPr>
              <w:widowControl/>
              <w:spacing w:line="440" w:lineRule="exact"/>
              <w:ind w:firstLine="560" w:firstLineChars="200"/>
              <w:jc w:val="left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500—1000</w:t>
            </w:r>
          </w:p>
        </w:tc>
        <w:tc>
          <w:tcPr>
            <w:tcW w:w="964" w:type="dxa"/>
            <w:vAlign w:val="center"/>
          </w:tcPr>
          <w:p w14:paraId="1B772E95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0.8</w:t>
            </w:r>
          </w:p>
        </w:tc>
        <w:tc>
          <w:tcPr>
            <w:tcW w:w="964" w:type="dxa"/>
            <w:vAlign w:val="center"/>
          </w:tcPr>
          <w:p w14:paraId="43F271A9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0.45</w:t>
            </w:r>
          </w:p>
        </w:tc>
        <w:tc>
          <w:tcPr>
            <w:tcW w:w="964" w:type="dxa"/>
            <w:vAlign w:val="center"/>
          </w:tcPr>
          <w:p w14:paraId="14A679DF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0.55</w:t>
            </w:r>
          </w:p>
        </w:tc>
      </w:tr>
      <w:tr w14:paraId="37F898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  <w:tblCellSpacing w:w="0" w:type="dxa"/>
          <w:jc w:val="center"/>
        </w:trPr>
        <w:tc>
          <w:tcPr>
            <w:tcW w:w="4508" w:type="dxa"/>
            <w:vAlign w:val="center"/>
          </w:tcPr>
          <w:p w14:paraId="09DEE8C1">
            <w:pPr>
              <w:widowControl/>
              <w:spacing w:line="440" w:lineRule="exact"/>
              <w:ind w:firstLine="560" w:firstLineChars="200"/>
              <w:jc w:val="left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1000—5000</w:t>
            </w:r>
          </w:p>
        </w:tc>
        <w:tc>
          <w:tcPr>
            <w:tcW w:w="964" w:type="dxa"/>
            <w:vAlign w:val="center"/>
          </w:tcPr>
          <w:p w14:paraId="3C52963F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0.5</w:t>
            </w:r>
          </w:p>
        </w:tc>
        <w:tc>
          <w:tcPr>
            <w:tcW w:w="964" w:type="dxa"/>
            <w:vAlign w:val="center"/>
          </w:tcPr>
          <w:p w14:paraId="0AF1DF04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0.25</w:t>
            </w:r>
          </w:p>
        </w:tc>
        <w:tc>
          <w:tcPr>
            <w:tcW w:w="964" w:type="dxa"/>
            <w:vAlign w:val="center"/>
          </w:tcPr>
          <w:p w14:paraId="5462FE0B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0.35</w:t>
            </w:r>
          </w:p>
        </w:tc>
      </w:tr>
      <w:tr w14:paraId="7503D8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  <w:tblCellSpacing w:w="0" w:type="dxa"/>
          <w:jc w:val="center"/>
        </w:trPr>
        <w:tc>
          <w:tcPr>
            <w:tcW w:w="4508" w:type="dxa"/>
            <w:vAlign w:val="center"/>
          </w:tcPr>
          <w:p w14:paraId="186116BE">
            <w:pPr>
              <w:widowControl/>
              <w:spacing w:line="440" w:lineRule="exact"/>
              <w:ind w:firstLine="560" w:firstLineChars="200"/>
              <w:jc w:val="left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5000—10000</w:t>
            </w:r>
          </w:p>
        </w:tc>
        <w:tc>
          <w:tcPr>
            <w:tcW w:w="964" w:type="dxa"/>
            <w:vAlign w:val="center"/>
          </w:tcPr>
          <w:p w14:paraId="7AFD91D5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0.25</w:t>
            </w:r>
          </w:p>
        </w:tc>
        <w:tc>
          <w:tcPr>
            <w:tcW w:w="964" w:type="dxa"/>
            <w:vAlign w:val="center"/>
          </w:tcPr>
          <w:p w14:paraId="30E02220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0.1</w:t>
            </w:r>
          </w:p>
        </w:tc>
        <w:tc>
          <w:tcPr>
            <w:tcW w:w="964" w:type="dxa"/>
            <w:vAlign w:val="center"/>
          </w:tcPr>
          <w:p w14:paraId="7A217E58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0.2</w:t>
            </w:r>
          </w:p>
        </w:tc>
      </w:tr>
      <w:tr w14:paraId="7BFE9E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  <w:tblCellSpacing w:w="0" w:type="dxa"/>
          <w:jc w:val="center"/>
        </w:trPr>
        <w:tc>
          <w:tcPr>
            <w:tcW w:w="4508" w:type="dxa"/>
            <w:vAlign w:val="center"/>
          </w:tcPr>
          <w:p w14:paraId="72828717">
            <w:pPr>
              <w:widowControl/>
              <w:spacing w:line="440" w:lineRule="exact"/>
              <w:ind w:firstLine="560" w:firstLineChars="200"/>
              <w:jc w:val="left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10000—50000</w:t>
            </w:r>
          </w:p>
        </w:tc>
        <w:tc>
          <w:tcPr>
            <w:tcW w:w="964" w:type="dxa"/>
            <w:vAlign w:val="center"/>
          </w:tcPr>
          <w:p w14:paraId="3D7C5D05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0.05</w:t>
            </w:r>
          </w:p>
        </w:tc>
        <w:tc>
          <w:tcPr>
            <w:tcW w:w="964" w:type="dxa"/>
            <w:vAlign w:val="center"/>
          </w:tcPr>
          <w:p w14:paraId="1B9ED2AF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0.05</w:t>
            </w:r>
          </w:p>
        </w:tc>
        <w:tc>
          <w:tcPr>
            <w:tcW w:w="964" w:type="dxa"/>
            <w:vAlign w:val="center"/>
          </w:tcPr>
          <w:p w14:paraId="06FF241F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0.05</w:t>
            </w:r>
          </w:p>
        </w:tc>
      </w:tr>
      <w:tr w14:paraId="5BDA67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  <w:tblCellSpacing w:w="0" w:type="dxa"/>
          <w:jc w:val="center"/>
        </w:trPr>
        <w:tc>
          <w:tcPr>
            <w:tcW w:w="4508" w:type="dxa"/>
            <w:vAlign w:val="center"/>
          </w:tcPr>
          <w:p w14:paraId="33650A29">
            <w:pPr>
              <w:widowControl/>
              <w:spacing w:line="440" w:lineRule="exact"/>
              <w:ind w:firstLine="560" w:firstLineChars="200"/>
              <w:jc w:val="left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50000—1000000</w:t>
            </w:r>
          </w:p>
        </w:tc>
        <w:tc>
          <w:tcPr>
            <w:tcW w:w="964" w:type="dxa"/>
            <w:vAlign w:val="center"/>
          </w:tcPr>
          <w:p w14:paraId="56178D59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0.035</w:t>
            </w:r>
          </w:p>
        </w:tc>
        <w:tc>
          <w:tcPr>
            <w:tcW w:w="964" w:type="dxa"/>
            <w:vAlign w:val="center"/>
          </w:tcPr>
          <w:p w14:paraId="2BEB69CF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0.035</w:t>
            </w:r>
          </w:p>
        </w:tc>
        <w:tc>
          <w:tcPr>
            <w:tcW w:w="964" w:type="dxa"/>
            <w:vAlign w:val="center"/>
          </w:tcPr>
          <w:p w14:paraId="70E74B30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0.035</w:t>
            </w:r>
          </w:p>
        </w:tc>
      </w:tr>
    </w:tbl>
    <w:p w14:paraId="1DE35974">
      <w:pPr>
        <w:rPr>
          <w:rFonts w:ascii="华文仿宋" w:hAnsi="华文仿宋" w:eastAsia="华文仿宋" w:cs="宋体"/>
          <w:kern w:val="0"/>
          <w:sz w:val="28"/>
          <w:szCs w:val="28"/>
        </w:rPr>
      </w:pPr>
      <w:r>
        <w:rPr>
          <w:rFonts w:ascii="华文仿宋" w:hAnsi="华文仿宋" w:eastAsia="华文仿宋" w:cs="宋体"/>
          <w:kern w:val="0"/>
          <w:sz w:val="28"/>
          <w:szCs w:val="28"/>
        </w:rPr>
        <w:br w:type="page"/>
      </w:r>
    </w:p>
    <w:p w14:paraId="111332FB">
      <w:pPr>
        <w:jc w:val="left"/>
        <w:rPr>
          <w:rFonts w:hint="default" w:ascii="华文仿宋" w:hAnsi="华文仿宋" w:eastAsia="华文仿宋" w:cs="宋体"/>
          <w:kern w:val="0"/>
          <w:sz w:val="28"/>
          <w:szCs w:val="28"/>
          <w:lang w:val="en-US" w:eastAsia="zh-CN"/>
        </w:rPr>
      </w:pPr>
      <w:r>
        <w:rPr>
          <w:rFonts w:hint="default" w:ascii="华文仿宋" w:hAnsi="华文仿宋" w:eastAsia="华文仿宋" w:cs="宋体"/>
          <w:kern w:val="0"/>
          <w:sz w:val="28"/>
          <w:szCs w:val="28"/>
          <w:lang w:val="en-US" w:eastAsia="zh-C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-514350</wp:posOffset>
            </wp:positionH>
            <wp:positionV relativeFrom="paragraph">
              <wp:posOffset>430530</wp:posOffset>
            </wp:positionV>
            <wp:extent cx="6125210" cy="8666480"/>
            <wp:effectExtent l="0" t="0" r="8890" b="1270"/>
            <wp:wrapNone/>
            <wp:docPr id="1" name="图片 1" descr="中标企业声明函_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中标企业声明函_0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25210" cy="8666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华文仿宋" w:hAnsi="华文仿宋" w:eastAsia="华文仿宋" w:cs="宋体"/>
          <w:kern w:val="0"/>
          <w:sz w:val="28"/>
          <w:szCs w:val="28"/>
          <w:lang w:val="en-US" w:eastAsia="zh-CN"/>
        </w:rPr>
        <w:t>3.中小企业声明函</w:t>
      </w:r>
    </w:p>
    <w:sectPr>
      <w:pgSz w:w="11906" w:h="16838"/>
      <w:pgMar w:top="1610" w:right="1689" w:bottom="1610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FmZWIzNDg2MmIzZjExOTIzMmViNTBmYTMwYTk0ZWYifQ=="/>
  </w:docVars>
  <w:rsids>
    <w:rsidRoot w:val="005C6E4A"/>
    <w:rsid w:val="001A1BD2"/>
    <w:rsid w:val="0031310C"/>
    <w:rsid w:val="003E5486"/>
    <w:rsid w:val="00573302"/>
    <w:rsid w:val="00596425"/>
    <w:rsid w:val="005C6E4A"/>
    <w:rsid w:val="00715322"/>
    <w:rsid w:val="009D4C50"/>
    <w:rsid w:val="00A1563B"/>
    <w:rsid w:val="00AA51AD"/>
    <w:rsid w:val="00AB42AC"/>
    <w:rsid w:val="00B1126F"/>
    <w:rsid w:val="00CB3AF6"/>
    <w:rsid w:val="00DE0EE3"/>
    <w:rsid w:val="00E00B59"/>
    <w:rsid w:val="00E152A3"/>
    <w:rsid w:val="06FC2DC7"/>
    <w:rsid w:val="09725483"/>
    <w:rsid w:val="0D9F6B17"/>
    <w:rsid w:val="12614094"/>
    <w:rsid w:val="1D79525A"/>
    <w:rsid w:val="207811BD"/>
    <w:rsid w:val="211B3035"/>
    <w:rsid w:val="24317BBD"/>
    <w:rsid w:val="24625BDC"/>
    <w:rsid w:val="2593679E"/>
    <w:rsid w:val="35C73A5F"/>
    <w:rsid w:val="3AC5774B"/>
    <w:rsid w:val="3C9C1A33"/>
    <w:rsid w:val="3D370922"/>
    <w:rsid w:val="444544EF"/>
    <w:rsid w:val="4ACC7BE6"/>
    <w:rsid w:val="4F7505EE"/>
    <w:rsid w:val="51590067"/>
    <w:rsid w:val="5D591C96"/>
    <w:rsid w:val="5DDC5CDC"/>
    <w:rsid w:val="67423369"/>
    <w:rsid w:val="73946961"/>
    <w:rsid w:val="769207A2"/>
    <w:rsid w:val="7A875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4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5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2">
    <w:name w:val="Default Paragraph Font"/>
    <w:autoRedefine/>
    <w:semiHidden/>
    <w:unhideWhenUsed/>
    <w:qFormat/>
    <w:uiPriority w:val="1"/>
  </w:style>
  <w:style w:type="table" w:default="1" w:styleId="10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20"/>
    <w:autoRedefine/>
    <w:semiHidden/>
    <w:unhideWhenUsed/>
    <w:qFormat/>
    <w:uiPriority w:val="99"/>
    <w:pPr>
      <w:jc w:val="left"/>
    </w:pPr>
  </w:style>
  <w:style w:type="paragraph" w:styleId="5">
    <w:name w:val="Plain Text"/>
    <w:basedOn w:val="1"/>
    <w:link w:val="17"/>
    <w:autoRedefine/>
    <w:qFormat/>
    <w:uiPriority w:val="99"/>
    <w:rPr>
      <w:rFonts w:ascii="宋体" w:hAnsi="Courier New" w:eastAsiaTheme="minorEastAsia" w:cstheme="minorBidi"/>
      <w:szCs w:val="22"/>
    </w:rPr>
  </w:style>
  <w:style w:type="paragraph" w:styleId="6">
    <w:name w:val="Balloon Text"/>
    <w:basedOn w:val="1"/>
    <w:link w:val="22"/>
    <w:autoRedefine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9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8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annotation subject"/>
    <w:basedOn w:val="4"/>
    <w:next w:val="4"/>
    <w:link w:val="21"/>
    <w:autoRedefine/>
    <w:semiHidden/>
    <w:unhideWhenUsed/>
    <w:qFormat/>
    <w:uiPriority w:val="99"/>
    <w:rPr>
      <w:b/>
      <w:bCs/>
    </w:rPr>
  </w:style>
  <w:style w:type="table" w:styleId="11">
    <w:name w:val="Table Grid"/>
    <w:basedOn w:val="10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annotation reference"/>
    <w:basedOn w:val="12"/>
    <w:autoRedefine/>
    <w:semiHidden/>
    <w:unhideWhenUsed/>
    <w:qFormat/>
    <w:uiPriority w:val="99"/>
    <w:rPr>
      <w:sz w:val="21"/>
      <w:szCs w:val="21"/>
    </w:rPr>
  </w:style>
  <w:style w:type="character" w:customStyle="1" w:styleId="14">
    <w:name w:val="标题 1 Char"/>
    <w:basedOn w:val="12"/>
    <w:link w:val="2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5">
    <w:name w:val="标题 2 Char"/>
    <w:basedOn w:val="12"/>
    <w:link w:val="3"/>
    <w:autoRedefine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16">
    <w:name w:val="纯文本 字符"/>
    <w:basedOn w:val="12"/>
    <w:autoRedefine/>
    <w:semiHidden/>
    <w:qFormat/>
    <w:uiPriority w:val="99"/>
    <w:rPr>
      <w:rFonts w:hAnsi="Courier New" w:cs="Courier New" w:asciiTheme="minorEastAsia"/>
      <w:szCs w:val="21"/>
    </w:rPr>
  </w:style>
  <w:style w:type="character" w:customStyle="1" w:styleId="17">
    <w:name w:val="纯文本 Char"/>
    <w:basedOn w:val="12"/>
    <w:link w:val="5"/>
    <w:autoRedefine/>
    <w:qFormat/>
    <w:uiPriority w:val="0"/>
    <w:rPr>
      <w:rFonts w:ascii="宋体" w:hAnsi="Courier New"/>
    </w:rPr>
  </w:style>
  <w:style w:type="character" w:customStyle="1" w:styleId="18">
    <w:name w:val="页眉 Char"/>
    <w:basedOn w:val="12"/>
    <w:link w:val="8"/>
    <w:autoRedefine/>
    <w:qFormat/>
    <w:uiPriority w:val="99"/>
    <w:rPr>
      <w:kern w:val="2"/>
      <w:sz w:val="18"/>
      <w:szCs w:val="18"/>
    </w:rPr>
  </w:style>
  <w:style w:type="character" w:customStyle="1" w:styleId="19">
    <w:name w:val="页脚 Char"/>
    <w:basedOn w:val="12"/>
    <w:link w:val="7"/>
    <w:autoRedefine/>
    <w:qFormat/>
    <w:uiPriority w:val="99"/>
    <w:rPr>
      <w:kern w:val="2"/>
      <w:sz w:val="18"/>
      <w:szCs w:val="18"/>
    </w:rPr>
  </w:style>
  <w:style w:type="character" w:customStyle="1" w:styleId="20">
    <w:name w:val="批注文字 Char"/>
    <w:basedOn w:val="12"/>
    <w:link w:val="4"/>
    <w:autoRedefine/>
    <w:semiHidden/>
    <w:qFormat/>
    <w:uiPriority w:val="99"/>
    <w:rPr>
      <w:kern w:val="2"/>
      <w:sz w:val="21"/>
      <w:szCs w:val="21"/>
    </w:rPr>
  </w:style>
  <w:style w:type="character" w:customStyle="1" w:styleId="21">
    <w:name w:val="批注主题 Char"/>
    <w:basedOn w:val="20"/>
    <w:link w:val="9"/>
    <w:autoRedefine/>
    <w:semiHidden/>
    <w:qFormat/>
    <w:uiPriority w:val="99"/>
    <w:rPr>
      <w:b/>
      <w:bCs/>
      <w:kern w:val="2"/>
      <w:sz w:val="21"/>
      <w:szCs w:val="21"/>
    </w:rPr>
  </w:style>
  <w:style w:type="character" w:customStyle="1" w:styleId="22">
    <w:name w:val="批注框文本 Char"/>
    <w:basedOn w:val="12"/>
    <w:link w:val="6"/>
    <w:autoRedefine/>
    <w:semiHidden/>
    <w:qFormat/>
    <w:uiPriority w:val="99"/>
    <w:rPr>
      <w:kern w:val="2"/>
      <w:sz w:val="18"/>
      <w:szCs w:val="18"/>
    </w:rPr>
  </w:style>
  <w:style w:type="character" w:customStyle="1" w:styleId="23">
    <w:name w:val="ng-star-inserted"/>
    <w:basedOn w:val="12"/>
    <w:autoRedefine/>
    <w:qFormat/>
    <w:uiPriority w:val="0"/>
  </w:style>
  <w:style w:type="paragraph" w:customStyle="1" w:styleId="24">
    <w:name w:val="_Style 41"/>
    <w:basedOn w:val="1"/>
    <w:next w:val="1"/>
    <w:autoRedefine/>
    <w:qFormat/>
    <w:uiPriority w:val="0"/>
    <w:pPr>
      <w:ind w:firstLine="420" w:firstLineChars="200"/>
    </w:pPr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781</Words>
  <Characters>987</Characters>
  <Lines>7</Lines>
  <Paragraphs>2</Paragraphs>
  <TotalTime>0</TotalTime>
  <ScaleCrop>false</ScaleCrop>
  <LinksUpToDate>false</LinksUpToDate>
  <CharactersWithSpaces>1016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2023-08-10T02:10:00Z</dcterms:created>
  <dc:creator>萌 孙</dc:creator>
  <cp:lastModifiedBy>孙萌</cp:lastModifiedBy>
  <dcterms:modified xsi:type="dcterms:W3CDTF">2025-03-18T05:53:05Z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511AA98D6FDA4A0098194861A6494CE0_13</vt:lpwstr>
  </property>
  <property fmtid="{D5CDD505-2E9C-101B-9397-08002B2CF9AE}" pid="4" name="KSOTemplateDocerSaveRecord">
    <vt:lpwstr>eyJoZGlkIjoiZjFmZWIzNDg2MmIzZjExOTIzMmViNTBmYTMwYTk0ZWYiLCJ1c2VySWQiOiIzODU0OTM4MDEifQ==</vt:lpwstr>
  </property>
</Properties>
</file>