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BDC40B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成交结果公告</w:t>
      </w:r>
      <w:bookmarkEnd w:id="0"/>
      <w:bookmarkEnd w:id="1"/>
    </w:p>
    <w:p w14:paraId="72D24254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项目编号：11000026210200175609-XM001</w:t>
      </w:r>
    </w:p>
    <w:p w14:paraId="2619202F">
      <w:pPr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项目名称：改善办学保障条件-首都师范大学北一区学生公寓修缮工程</w:t>
      </w:r>
    </w:p>
    <w:p w14:paraId="7CDA7347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三、中标（成交）信息</w:t>
      </w:r>
    </w:p>
    <w:p w14:paraId="3C31DB9E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供应商名称：北京中盛天宇装饰工程有限公司</w:t>
      </w:r>
    </w:p>
    <w:p w14:paraId="7040D489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供应商地址：北京市大兴区经济开发区盛坊路1号3幢6层608室</w:t>
      </w:r>
    </w:p>
    <w:p w14:paraId="56E23B22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中标（成交）金额：4,300,000.00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元人民币</w:t>
      </w:r>
    </w:p>
    <w:p w14:paraId="647114CB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18"/>
        <w:tblW w:w="854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47"/>
      </w:tblGrid>
      <w:tr w14:paraId="1BB481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47" w:type="dxa"/>
          </w:tcPr>
          <w:p w14:paraId="0E599BDD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工程类</w:t>
            </w:r>
          </w:p>
        </w:tc>
      </w:tr>
      <w:tr w14:paraId="574BA3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47" w:type="dxa"/>
          </w:tcPr>
          <w:p w14:paraId="27FAEFD0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名称：学生公寓修缮</w:t>
            </w:r>
          </w:p>
          <w:p w14:paraId="18184EC9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施工范围：公寓修缮工程</w:t>
            </w:r>
          </w:p>
          <w:p w14:paraId="4A301BE8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施工工期：</w:t>
            </w:r>
            <w:bookmarkStart w:id="14" w:name="_GoBack"/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2026年7月6日至8月22日</w:t>
            </w:r>
          </w:p>
          <w:bookmarkEnd w:id="14"/>
          <w:p w14:paraId="6ED1952A"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项目经理：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田宝振</w:t>
            </w:r>
          </w:p>
          <w:p w14:paraId="275BD878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执业证书信息：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一级建造师，注册编号：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京1412017201833078</w:t>
            </w:r>
          </w:p>
        </w:tc>
      </w:tr>
    </w:tbl>
    <w:p w14:paraId="3E6A28E8">
      <w:pPr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五、评审专家（单一来源采购人员）名单：董博</w:t>
      </w:r>
      <w:r>
        <w:rPr>
          <w:rFonts w:hint="eastAsia" w:ascii="黑体" w:hAnsi="黑体" w:eastAsia="黑体"/>
          <w:sz w:val="28"/>
          <w:szCs w:val="28"/>
          <w:lang w:eastAsia="zh-CN"/>
        </w:rPr>
        <w:t>、宋会卿、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曹书华</w:t>
      </w:r>
    </w:p>
    <w:p w14:paraId="248129B7">
      <w:pPr>
        <w:rPr>
          <w:rFonts w:hint="default" w:ascii="黑体" w:hAnsi="黑体" w:eastAsia="仿宋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r>
        <w:rPr>
          <w:rFonts w:hint="eastAsia" w:ascii="仿宋" w:hAnsi="仿宋" w:eastAsia="仿宋" w:cs="Times New Roman"/>
          <w:kern w:val="0"/>
          <w:sz w:val="28"/>
          <w:szCs w:val="28"/>
        </w:rPr>
        <w:t>采用差额累进方式计算服务费</w:t>
      </w:r>
      <w:r>
        <w:rPr>
          <w:rFonts w:hint="eastAsia" w:ascii="仿宋" w:hAnsi="仿宋" w:eastAsia="仿宋" w:cs="Times New Roman"/>
          <w:kern w:val="0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Times New Roman"/>
          <w:kern w:val="0"/>
          <w:sz w:val="28"/>
          <w:szCs w:val="28"/>
          <w:lang w:val="en-US" w:eastAsia="zh-CN"/>
        </w:rPr>
        <w:t>金额：29790元人民币</w:t>
      </w:r>
    </w:p>
    <w:p w14:paraId="4681986F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7E2593CF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76D201B9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3BA4250E">
      <w:pPr>
        <w:spacing w:line="360" w:lineRule="auto"/>
        <w:rPr>
          <w:rFonts w:ascii="仿宋" w:hAnsi="仿宋" w:eastAsia="仿宋" w:cs="仿宋"/>
          <w:sz w:val="24"/>
          <w:szCs w:val="24"/>
          <w:highlight w:val="none"/>
          <w:u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u w:val="none"/>
        </w:rPr>
        <w:t>采购代理机构按照如下标准下浮</w:t>
      </w:r>
      <w:r>
        <w:rPr>
          <w:rFonts w:hint="eastAsia" w:ascii="仿宋" w:hAnsi="仿宋" w:eastAsia="仿宋" w:cs="仿宋"/>
          <w:sz w:val="24"/>
          <w:szCs w:val="24"/>
          <w:highlight w:val="none"/>
          <w:u w:val="none"/>
          <w:lang w:val="en-US" w:eastAsia="zh-CN"/>
        </w:rPr>
        <w:t>1</w:t>
      </w:r>
      <w:r>
        <w:rPr>
          <w:rFonts w:hint="eastAsia" w:ascii="仿宋" w:hAnsi="仿宋" w:eastAsia="仿宋" w:cs="仿宋"/>
          <w:sz w:val="24"/>
          <w:szCs w:val="24"/>
          <w:highlight w:val="none"/>
          <w:u w:val="none"/>
        </w:rPr>
        <w:t>0%，采用差额累进方式计算服务费。</w:t>
      </w:r>
    </w:p>
    <w:p w14:paraId="4992D4E8">
      <w:pPr>
        <w:spacing w:line="360" w:lineRule="auto"/>
        <w:ind w:firstLine="480" w:firstLineChars="200"/>
        <w:rPr>
          <w:rFonts w:ascii="仿宋" w:hAnsi="仿宋" w:eastAsia="仿宋" w:cs="仿宋"/>
          <w:sz w:val="24"/>
          <w:szCs w:val="24"/>
          <w:highlight w:val="none"/>
          <w:u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u w:val="none"/>
        </w:rPr>
        <w:t>具体标准见下表：</w:t>
      </w:r>
    </w:p>
    <w:tbl>
      <w:tblPr>
        <w:tblStyle w:val="17"/>
        <w:tblW w:w="8400" w:type="dxa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12"/>
        <w:gridCol w:w="1983"/>
        <w:gridCol w:w="1802"/>
        <w:gridCol w:w="1803"/>
      </w:tblGrid>
      <w:tr w14:paraId="3C65EB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5" w:hRule="atLeast"/>
        </w:trPr>
        <w:tc>
          <w:tcPr>
            <w:tcW w:w="281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61815C">
            <w:pPr>
              <w:spacing w:line="360" w:lineRule="auto"/>
              <w:ind w:firstLine="1275"/>
              <w:rPr>
                <w:rFonts w:ascii="仿宋" w:hAnsi="仿宋" w:eastAsia="仿宋" w:cs="仿宋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highlight w:val="none"/>
                <w:u w:val="non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488950</wp:posOffset>
                      </wp:positionH>
                      <wp:positionV relativeFrom="paragraph">
                        <wp:posOffset>-6350</wp:posOffset>
                      </wp:positionV>
                      <wp:extent cx="1207135" cy="1258570"/>
                      <wp:effectExtent l="3175" t="3175" r="8890" b="14605"/>
                      <wp:wrapNone/>
                      <wp:docPr id="2" name="Lin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207135" cy="125857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o:spid="_x0000_s1026" o:spt="20" style="position:absolute;left:0pt;flip:x y;margin-left:38.5pt;margin-top:-0.5pt;height:99.1pt;width:95.05pt;z-index:251660288;mso-width-relative:page;mso-height-relative:page;" filled="f" stroked="t" coordsize="21600,21600" o:gfxdata="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6z1RidQA&#10;AAAJAQAADwAAAAAAAAABACAAAAAiAAAAZHJzL2Rvd25yZXYueG1sUEsBAhQAFAAAAAgAh07iQBHk&#10;oczqAQAA9QMAAA4AAAAAAAAAAQAgAAAAIwEAAGRycy9lMm9Eb2MueG1sUEsFBgAAAAAGAAYAWQEA&#10;AH8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highlight w:val="none"/>
                <w:u w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-114300</wp:posOffset>
                      </wp:positionH>
                      <wp:positionV relativeFrom="paragraph">
                        <wp:posOffset>-6350</wp:posOffset>
                      </wp:positionV>
                      <wp:extent cx="5715" cy="5715"/>
                      <wp:effectExtent l="0" t="0" r="0" b="0"/>
                      <wp:wrapNone/>
                      <wp:docPr id="3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" cy="571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" o:spid="_x0000_s1026" o:spt="20" style="position:absolute;left:0pt;margin-left:-9pt;margin-top:-0.5pt;height:0.45pt;width:0.45pt;z-index:251659264;mso-width-relative:page;mso-height-relative:page;" filled="f" stroked="t" coordsize="21600,21600" o:gfxdata="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GYOcd/VAAAACAEAAA8AAAAAAAAAAQAgAAAA&#10;IgAAAGRycy9kb3ducmV2LnhtbFBLAQIUABQAAAAIAIdO4kCx4fAY1QEAANsDAAAOAAAAAAAAAAEA&#10;IAAAACQBAABkcnMvZTJvRG9jLnhtbFBLBQYAAAAABgAGAFkBAABr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u w:val="none"/>
              </w:rPr>
              <w:t>服</w:t>
            </w:r>
          </w:p>
          <w:p w14:paraId="0EEA7DE7">
            <w:pPr>
              <w:spacing w:line="360" w:lineRule="auto"/>
              <w:ind w:firstLine="210" w:firstLineChars="100"/>
              <w:rPr>
                <w:rFonts w:ascii="仿宋" w:hAnsi="仿宋" w:eastAsia="仿宋" w:cs="仿宋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highlight w:val="none"/>
                <w:u w:val="non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97790</wp:posOffset>
                      </wp:positionV>
                      <wp:extent cx="1778635" cy="998220"/>
                      <wp:effectExtent l="2540" t="4445" r="9525" b="6985"/>
                      <wp:wrapNone/>
                      <wp:docPr id="4" name="Lin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778635" cy="99822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4" o:spid="_x0000_s1026" o:spt="20" style="position:absolute;left:0pt;flip:x y;margin-left:-3.15pt;margin-top:7.7pt;height:78.6pt;width:140.05pt;z-index:251661312;mso-width-relative:page;mso-height-relative:page;" filled="f" stroked="t" coordsize="21600,21600" o:gfxdata="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dQ5MT9IAAAAJ&#10;AQAADwAAAAAAAAABACAAAAAiAAAAZHJzL2Rvd25yZXYueG1sUEsBAhQAFAAAAAgAh07iQCKnt0rp&#10;AQAA9AMAAA4AAAAAAAAAAQAgAAAAIQEAAGRycy9lMm9Eb2MueG1sUEsFBgAAAAAGAAYAWQEAAHwF&#10;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u w:val="none"/>
              </w:rPr>
              <w:t>费　　　　　务</w:t>
            </w:r>
          </w:p>
          <w:p w14:paraId="22822D0B">
            <w:pPr>
              <w:spacing w:line="360" w:lineRule="auto"/>
              <w:ind w:firstLine="1200" w:firstLineChars="500"/>
              <w:rPr>
                <w:rFonts w:ascii="仿宋" w:hAnsi="仿宋" w:eastAsia="仿宋" w:cs="仿宋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u w:val="none"/>
              </w:rPr>
              <w:t>　　　类</w:t>
            </w:r>
          </w:p>
          <w:p w14:paraId="5E818C2E">
            <w:pPr>
              <w:spacing w:line="360" w:lineRule="auto"/>
              <w:ind w:firstLine="1200" w:firstLineChars="500"/>
              <w:rPr>
                <w:rFonts w:ascii="仿宋" w:hAnsi="仿宋" w:eastAsia="仿宋" w:cs="仿宋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u w:val="none"/>
              </w:rPr>
              <w:t>率　　　型</w:t>
            </w:r>
          </w:p>
          <w:p w14:paraId="31590703">
            <w:pPr>
              <w:spacing w:line="360" w:lineRule="auto"/>
              <w:ind w:firstLine="1200" w:firstLineChars="500"/>
              <w:rPr>
                <w:rFonts w:ascii="仿宋" w:hAnsi="仿宋" w:eastAsia="仿宋" w:cs="仿宋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u w:val="none"/>
              </w:rPr>
              <w:t>　　　　</w:t>
            </w:r>
          </w:p>
          <w:p w14:paraId="485ED26E">
            <w:pPr>
              <w:spacing w:line="360" w:lineRule="auto"/>
              <w:rPr>
                <w:rFonts w:ascii="仿宋" w:hAnsi="仿宋" w:eastAsia="仿宋" w:cs="仿宋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u w:val="none"/>
              </w:rPr>
              <w:t>计费基数（万元）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BE288E">
            <w:pPr>
              <w:spacing w:line="360" w:lineRule="auto"/>
              <w:jc w:val="center"/>
              <w:rPr>
                <w:rFonts w:ascii="仿宋" w:hAnsi="仿宋" w:eastAsia="仿宋" w:cs="仿宋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u w:val="none"/>
              </w:rPr>
              <w:t>货物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ED1DEC">
            <w:pPr>
              <w:spacing w:line="360" w:lineRule="auto"/>
              <w:jc w:val="center"/>
              <w:rPr>
                <w:rFonts w:ascii="仿宋" w:hAnsi="仿宋" w:eastAsia="仿宋" w:cs="仿宋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u w:val="none"/>
              </w:rPr>
              <w:t>服务</w:t>
            </w:r>
          </w:p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23D42909">
            <w:pPr>
              <w:spacing w:line="360" w:lineRule="auto"/>
              <w:jc w:val="center"/>
              <w:rPr>
                <w:rFonts w:ascii="仿宋" w:hAnsi="仿宋" w:eastAsia="仿宋" w:cs="仿宋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u w:val="none"/>
              </w:rPr>
              <w:t>工程</w:t>
            </w:r>
          </w:p>
        </w:tc>
      </w:tr>
      <w:tr w14:paraId="36CA7F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281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2982B5">
            <w:pPr>
              <w:spacing w:line="360" w:lineRule="auto"/>
              <w:jc w:val="center"/>
              <w:rPr>
                <w:rFonts w:ascii="仿宋" w:hAnsi="仿宋" w:eastAsia="仿宋" w:cs="仿宋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u w:val="none"/>
              </w:rPr>
              <w:t>100以下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110A6B">
            <w:pPr>
              <w:spacing w:line="360" w:lineRule="auto"/>
              <w:jc w:val="center"/>
              <w:rPr>
                <w:rFonts w:ascii="仿宋" w:hAnsi="仿宋" w:eastAsia="仿宋" w:cs="仿宋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u w:val="none"/>
              </w:rPr>
              <w:t>1.5%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7B3216">
            <w:pPr>
              <w:spacing w:line="360" w:lineRule="auto"/>
              <w:jc w:val="center"/>
              <w:rPr>
                <w:rFonts w:ascii="仿宋" w:hAnsi="仿宋" w:eastAsia="仿宋" w:cs="仿宋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u w:val="none"/>
              </w:rPr>
              <w:t>1.5%</w:t>
            </w:r>
          </w:p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4E5324A0">
            <w:pPr>
              <w:spacing w:line="360" w:lineRule="auto"/>
              <w:jc w:val="center"/>
              <w:rPr>
                <w:rFonts w:ascii="仿宋" w:hAnsi="仿宋" w:eastAsia="仿宋" w:cs="仿宋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u w:val="none"/>
              </w:rPr>
              <w:t>1.0%</w:t>
            </w:r>
          </w:p>
        </w:tc>
      </w:tr>
      <w:tr w14:paraId="4A114A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281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EDEDA1">
            <w:pPr>
              <w:spacing w:line="360" w:lineRule="auto"/>
              <w:jc w:val="center"/>
              <w:rPr>
                <w:rFonts w:ascii="仿宋" w:hAnsi="仿宋" w:eastAsia="仿宋" w:cs="仿宋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u w:val="none"/>
              </w:rPr>
              <w:t>100-500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085FCF">
            <w:pPr>
              <w:spacing w:line="360" w:lineRule="auto"/>
              <w:jc w:val="center"/>
              <w:rPr>
                <w:rFonts w:ascii="仿宋" w:hAnsi="仿宋" w:eastAsia="仿宋" w:cs="仿宋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u w:val="none"/>
              </w:rPr>
              <w:t>1.1%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58332D">
            <w:pPr>
              <w:spacing w:line="360" w:lineRule="auto"/>
              <w:jc w:val="center"/>
              <w:rPr>
                <w:rFonts w:ascii="仿宋" w:hAnsi="仿宋" w:eastAsia="仿宋" w:cs="仿宋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u w:val="none"/>
              </w:rPr>
              <w:t>0.8%</w:t>
            </w:r>
          </w:p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01EC64D5">
            <w:pPr>
              <w:spacing w:line="360" w:lineRule="auto"/>
              <w:jc w:val="center"/>
              <w:rPr>
                <w:rFonts w:ascii="仿宋" w:hAnsi="仿宋" w:eastAsia="仿宋" w:cs="仿宋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u w:val="none"/>
              </w:rPr>
              <w:t>0.7%</w:t>
            </w:r>
          </w:p>
        </w:tc>
      </w:tr>
    </w:tbl>
    <w:p w14:paraId="08F35E86">
      <w:pPr>
        <w:rPr>
          <w:rFonts w:hint="default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北京中盛天宇装饰工程有限公</w:t>
      </w:r>
      <w:r>
        <w:rPr>
          <w:rFonts w:hint="eastAsia" w:ascii="仿宋" w:hAnsi="仿宋" w:eastAsia="仿宋" w:cs="Times New Roman"/>
          <w:sz w:val="28"/>
          <w:szCs w:val="28"/>
        </w:rPr>
        <w:t>司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综合得分：93.44</w:t>
      </w:r>
    </w:p>
    <w:p w14:paraId="1AAA8652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12195A16">
      <w:pPr>
        <w:pStyle w:val="4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28359100"/>
      <w:bookmarkStart w:id="3" w:name="_Toc28359023"/>
      <w:bookmarkStart w:id="4" w:name="_Toc35393641"/>
      <w:bookmarkStart w:id="5" w:name="_Toc3539381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47DC89E4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首都师范大学</w:t>
      </w:r>
    </w:p>
    <w:p w14:paraId="29DCC488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北京市海淀区西三环北路105号</w:t>
      </w:r>
    </w:p>
    <w:p w14:paraId="19802654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010-68903026</w:t>
      </w:r>
    </w:p>
    <w:p w14:paraId="065823E4"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6" w:name="_Toc28359024"/>
      <w:bookmarkStart w:id="7" w:name="_Toc28359101"/>
      <w:bookmarkStart w:id="8" w:name="_Toc35393811"/>
      <w:bookmarkStart w:id="9" w:name="_Toc35393642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2.采购代理机构信息（如有）</w:t>
      </w:r>
      <w:bookmarkEnd w:id="6"/>
      <w:bookmarkEnd w:id="7"/>
      <w:bookmarkEnd w:id="8"/>
      <w:bookmarkEnd w:id="9"/>
    </w:p>
    <w:p w14:paraId="4CF0C937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中技国际招标有限公司</w:t>
      </w:r>
    </w:p>
    <w:p w14:paraId="7266E749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北京市丰台区西营街1号院通用时代中心C座9层</w:t>
      </w:r>
    </w:p>
    <w:p w14:paraId="15929557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010-81168489</w:t>
      </w:r>
    </w:p>
    <w:p w14:paraId="09748414"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35393812"/>
      <w:bookmarkStart w:id="11" w:name="_Toc35393643"/>
      <w:bookmarkStart w:id="12" w:name="_Toc28359025"/>
      <w:bookmarkStart w:id="13" w:name="_Toc2835910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06E71996">
      <w:pPr>
        <w:pStyle w:val="7"/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张杰浩</w:t>
      </w:r>
    </w:p>
    <w:p w14:paraId="146017FC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>010-81168489</w:t>
      </w:r>
    </w:p>
    <w:p w14:paraId="080B140C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683742E1">
      <w:pPr>
        <w:ind w:firstLine="420" w:firstLineChars="200"/>
        <w:rPr>
          <w:rFonts w:ascii="仿宋" w:hAnsi="仿宋" w:eastAsia="仿宋" w:cs="宋体"/>
          <w:kern w:val="0"/>
          <w:sz w:val="28"/>
          <w:szCs w:val="28"/>
        </w:rPr>
      </w:pPr>
      <w:r>
        <w:drawing>
          <wp:inline distT="0" distB="0" distL="114300" distR="114300">
            <wp:extent cx="5266690" cy="7621905"/>
            <wp:effectExtent l="0" t="0" r="3810" b="1079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621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E88BAC">
      <w:pPr>
        <w:rPr>
          <w:rFonts w:ascii="仿宋" w:hAnsi="仿宋" w:eastAsia="仿宋" w:cs="宋体"/>
          <w:kern w:val="0"/>
          <w:sz w:val="28"/>
          <w:szCs w:val="28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969663037"/>
    </w:sdtPr>
    <w:sdtContent>
      <w:p w14:paraId="238707F6">
        <w:pPr>
          <w:pStyle w:val="10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36463B66">
    <w:pPr>
      <w:pStyle w:val="1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094"/>
    <w:rsid w:val="000312DE"/>
    <w:rsid w:val="0005737B"/>
    <w:rsid w:val="000726D8"/>
    <w:rsid w:val="000A6769"/>
    <w:rsid w:val="000D3B95"/>
    <w:rsid w:val="000D5040"/>
    <w:rsid w:val="000D6508"/>
    <w:rsid w:val="00110BD8"/>
    <w:rsid w:val="00151C8B"/>
    <w:rsid w:val="00244094"/>
    <w:rsid w:val="00246690"/>
    <w:rsid w:val="002F4172"/>
    <w:rsid w:val="00322E12"/>
    <w:rsid w:val="003D04C7"/>
    <w:rsid w:val="00430D5D"/>
    <w:rsid w:val="00445621"/>
    <w:rsid w:val="004B0417"/>
    <w:rsid w:val="004F0CA3"/>
    <w:rsid w:val="004F449A"/>
    <w:rsid w:val="005902A4"/>
    <w:rsid w:val="006939FC"/>
    <w:rsid w:val="0079663A"/>
    <w:rsid w:val="007E2D83"/>
    <w:rsid w:val="0080774A"/>
    <w:rsid w:val="00877C6E"/>
    <w:rsid w:val="008974EE"/>
    <w:rsid w:val="008A1192"/>
    <w:rsid w:val="008A2FE7"/>
    <w:rsid w:val="0090581E"/>
    <w:rsid w:val="00966F02"/>
    <w:rsid w:val="009A15C7"/>
    <w:rsid w:val="00A30F31"/>
    <w:rsid w:val="00A3374C"/>
    <w:rsid w:val="00C37A88"/>
    <w:rsid w:val="00C52F06"/>
    <w:rsid w:val="00C61BBE"/>
    <w:rsid w:val="00C95981"/>
    <w:rsid w:val="00D26832"/>
    <w:rsid w:val="00DA7067"/>
    <w:rsid w:val="00DC09FA"/>
    <w:rsid w:val="00E457B7"/>
    <w:rsid w:val="00E702D6"/>
    <w:rsid w:val="00E75E92"/>
    <w:rsid w:val="00ED7C2A"/>
    <w:rsid w:val="00EE3266"/>
    <w:rsid w:val="00F53A4B"/>
    <w:rsid w:val="04AF7FE7"/>
    <w:rsid w:val="217C6D52"/>
    <w:rsid w:val="236B763E"/>
    <w:rsid w:val="48645AFB"/>
    <w:rsid w:val="64063AB3"/>
    <w:rsid w:val="64DB6CED"/>
    <w:rsid w:val="796C15B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24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25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9">
    <w:name w:val="Default Paragraph Font"/>
    <w:semiHidden/>
    <w:unhideWhenUsed/>
    <w:uiPriority w:val="1"/>
  </w:style>
  <w:style w:type="table" w:default="1" w:styleId="1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"/>
    <w:basedOn w:val="1"/>
    <w:qFormat/>
    <w:uiPriority w:val="0"/>
    <w:pPr>
      <w:spacing w:after="120"/>
    </w:pPr>
  </w:style>
  <w:style w:type="paragraph" w:styleId="5">
    <w:name w:val="annotation text"/>
    <w:basedOn w:val="1"/>
    <w:link w:val="26"/>
    <w:semiHidden/>
    <w:unhideWhenUsed/>
    <w:qFormat/>
    <w:uiPriority w:val="99"/>
    <w:pPr>
      <w:jc w:val="left"/>
    </w:pPr>
  </w:style>
  <w:style w:type="paragraph" w:styleId="6">
    <w:name w:val="toc 3"/>
    <w:basedOn w:val="1"/>
    <w:next w:val="1"/>
    <w:unhideWhenUsed/>
    <w:qFormat/>
    <w:uiPriority w:val="39"/>
    <w:pPr>
      <w:widowControl/>
      <w:spacing w:after="100" w:line="259" w:lineRule="auto"/>
      <w:ind w:left="44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7">
    <w:name w:val="Plain Text"/>
    <w:basedOn w:val="1"/>
    <w:link w:val="27"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Date"/>
    <w:basedOn w:val="1"/>
    <w:next w:val="1"/>
    <w:link w:val="28"/>
    <w:qFormat/>
    <w:uiPriority w:val="0"/>
    <w:pPr>
      <w:adjustRightInd w:val="0"/>
      <w:spacing w:line="360" w:lineRule="atLeast"/>
      <w:textAlignment w:val="baseline"/>
    </w:pPr>
    <w:rPr>
      <w:rFonts w:ascii="宋体" w:cs="宋体"/>
      <w:kern w:val="0"/>
      <w:sz w:val="24"/>
      <w:szCs w:val="24"/>
    </w:rPr>
  </w:style>
  <w:style w:type="paragraph" w:styleId="9">
    <w:name w:val="Balloon Text"/>
    <w:basedOn w:val="1"/>
    <w:link w:val="29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oc 1"/>
    <w:basedOn w:val="1"/>
    <w:next w:val="1"/>
    <w:unhideWhenUsed/>
    <w:qFormat/>
    <w:uiPriority w:val="39"/>
    <w:pPr>
      <w:widowControl/>
      <w:spacing w:after="100" w:line="259" w:lineRule="auto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3">
    <w:name w:val="toc 2"/>
    <w:basedOn w:val="1"/>
    <w:next w:val="1"/>
    <w:unhideWhenUsed/>
    <w:qFormat/>
    <w:uiPriority w:val="39"/>
    <w:pPr>
      <w:widowControl/>
      <w:spacing w:after="100" w:line="259" w:lineRule="auto"/>
      <w:ind w:left="22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4">
    <w:name w:val="Body Text 2"/>
    <w:basedOn w:val="1"/>
    <w:link w:val="30"/>
    <w:qFormat/>
    <w:uiPriority w:val="0"/>
    <w:pPr>
      <w:spacing w:after="120" w:line="480" w:lineRule="auto"/>
    </w:pPr>
  </w:style>
  <w:style w:type="paragraph" w:styleId="1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6">
    <w:name w:val="annotation subject"/>
    <w:basedOn w:val="5"/>
    <w:next w:val="5"/>
    <w:link w:val="31"/>
    <w:semiHidden/>
    <w:unhideWhenUsed/>
    <w:qFormat/>
    <w:uiPriority w:val="99"/>
    <w:rPr>
      <w:b/>
      <w:bCs/>
    </w:rPr>
  </w:style>
  <w:style w:type="table" w:styleId="18">
    <w:name w:val="Table Grid"/>
    <w:basedOn w:val="17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0">
    <w:name w:val="Hyperlink"/>
    <w:basedOn w:val="19"/>
    <w:unhideWhenUsed/>
    <w:qFormat/>
    <w:uiPriority w:val="99"/>
    <w:rPr>
      <w:color w:val="0000FF" w:themeColor="hyperlink"/>
      <w:u w:val="single"/>
    </w:rPr>
  </w:style>
  <w:style w:type="character" w:styleId="21">
    <w:name w:val="annotation reference"/>
    <w:basedOn w:val="19"/>
    <w:semiHidden/>
    <w:unhideWhenUsed/>
    <w:qFormat/>
    <w:uiPriority w:val="99"/>
    <w:rPr>
      <w:sz w:val="21"/>
      <w:szCs w:val="21"/>
    </w:rPr>
  </w:style>
  <w:style w:type="character" w:customStyle="1" w:styleId="22">
    <w:name w:val="页眉 Char"/>
    <w:basedOn w:val="19"/>
    <w:link w:val="11"/>
    <w:qFormat/>
    <w:uiPriority w:val="99"/>
    <w:rPr>
      <w:sz w:val="18"/>
      <w:szCs w:val="18"/>
    </w:rPr>
  </w:style>
  <w:style w:type="character" w:customStyle="1" w:styleId="23">
    <w:name w:val="页脚 Char"/>
    <w:basedOn w:val="19"/>
    <w:link w:val="10"/>
    <w:qFormat/>
    <w:uiPriority w:val="99"/>
    <w:rPr>
      <w:sz w:val="18"/>
      <w:szCs w:val="18"/>
    </w:rPr>
  </w:style>
  <w:style w:type="character" w:customStyle="1" w:styleId="24">
    <w:name w:val="标题 1 Char"/>
    <w:basedOn w:val="19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5">
    <w:name w:val="标题 2 Char"/>
    <w:basedOn w:val="19"/>
    <w:link w:val="4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6">
    <w:name w:val="批注文字 Char"/>
    <w:basedOn w:val="19"/>
    <w:link w:val="5"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27">
    <w:name w:val="纯文本 Char"/>
    <w:basedOn w:val="19"/>
    <w:link w:val="7"/>
    <w:qFormat/>
    <w:uiPriority w:val="0"/>
    <w:rPr>
      <w:rFonts w:ascii="宋体" w:hAnsi="Courier New"/>
    </w:rPr>
  </w:style>
  <w:style w:type="character" w:customStyle="1" w:styleId="28">
    <w:name w:val="日期 Char"/>
    <w:basedOn w:val="19"/>
    <w:link w:val="8"/>
    <w:qFormat/>
    <w:uiPriority w:val="0"/>
    <w:rPr>
      <w:rFonts w:ascii="宋体" w:hAnsi="Times New Roman" w:eastAsia="宋体" w:cs="宋体"/>
      <w:kern w:val="0"/>
      <w:sz w:val="24"/>
      <w:szCs w:val="24"/>
    </w:rPr>
  </w:style>
  <w:style w:type="character" w:customStyle="1" w:styleId="29">
    <w:name w:val="批注框文本 Char"/>
    <w:basedOn w:val="19"/>
    <w:link w:val="9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0">
    <w:name w:val="正文文本 2 Char"/>
    <w:basedOn w:val="19"/>
    <w:link w:val="14"/>
    <w:qFormat/>
    <w:uiPriority w:val="0"/>
    <w:rPr>
      <w:rFonts w:ascii="Times New Roman" w:hAnsi="Times New Roman" w:eastAsia="宋体" w:cs="Times New Roman"/>
      <w:szCs w:val="21"/>
    </w:rPr>
  </w:style>
  <w:style w:type="character" w:customStyle="1" w:styleId="31">
    <w:name w:val="批注主题 Char"/>
    <w:basedOn w:val="26"/>
    <w:link w:val="16"/>
    <w:semiHidden/>
    <w:qFormat/>
    <w:uiPriority w:val="99"/>
    <w:rPr>
      <w:rFonts w:ascii="Times New Roman" w:hAnsi="Times New Roman" w:eastAsia="宋体" w:cs="Times New Roman"/>
      <w:b/>
      <w:bCs/>
      <w:szCs w:val="21"/>
    </w:rPr>
  </w:style>
  <w:style w:type="character" w:customStyle="1" w:styleId="32">
    <w:name w:val="纯文本 字符"/>
    <w:basedOn w:val="19"/>
    <w:semiHidden/>
    <w:qFormat/>
    <w:uiPriority w:val="99"/>
    <w:rPr>
      <w:rFonts w:hAnsi="Courier New" w:cs="Courier New" w:asciiTheme="minorEastAsia"/>
      <w:szCs w:val="21"/>
    </w:rPr>
  </w:style>
  <w:style w:type="paragraph" w:styleId="33">
    <w:name w:val="List Paragraph"/>
    <w:basedOn w:val="1"/>
    <w:qFormat/>
    <w:uiPriority w:val="34"/>
    <w:pPr>
      <w:ind w:firstLine="420" w:firstLineChars="200"/>
    </w:pPr>
  </w:style>
  <w:style w:type="paragraph" w:customStyle="1" w:styleId="34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35">
    <w:name w:val="TOC 标题1"/>
    <w:basedOn w:val="3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366091" w:themeColor="accent1" w:themeShade="BF"/>
      <w:kern w:val="0"/>
      <w:sz w:val="32"/>
      <w:szCs w:val="32"/>
    </w:rPr>
  </w:style>
  <w:style w:type="paragraph" w:customStyle="1" w:styleId="36">
    <w:name w:val="TOC Heading"/>
    <w:basedOn w:val="3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66091" w:themeColor="accent1" w:themeShade="BF"/>
      <w:kern w:val="0"/>
      <w:sz w:val="28"/>
      <w:szCs w:val="28"/>
    </w:rPr>
  </w:style>
  <w:style w:type="character" w:customStyle="1" w:styleId="37">
    <w:name w:val="qowt-font10-gbk"/>
    <w:basedOn w:val="1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3</Pages>
  <Words>352</Words>
  <Characters>426</Characters>
  <Lines>57</Lines>
  <Paragraphs>16</Paragraphs>
  <TotalTime>20</TotalTime>
  <ScaleCrop>false</ScaleCrop>
  <LinksUpToDate>false</LinksUpToDate>
  <CharactersWithSpaces>441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2020-03-18T03:22:00Z</dcterms:created>
  <dc:creator>赵璧</dc:creator>
  <cp:lastModifiedBy>吴家豪</cp:lastModifiedBy>
  <cp:lastPrinted>2020-03-23T07:37:00Z</cp:lastPrinted>
  <dcterms:modified xsi:type="dcterms:W3CDTF">2026-06-29T02:11:28Z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eyJoZGlkIjoiZWJmMDc0OWUzNGMzMWUzMzIzNjliY2Q3OTIyMzQ2MGMiLCJ1c2VySWQiOiI3MjA0MzczMDQifQ==</vt:lpwstr>
  </property>
  <property fmtid="{D5CDD505-2E9C-101B-9397-08002B2CF9AE}" pid="4" name="ICV">
    <vt:lpwstr>86E507326E9143D08CBDFFC654603B08_13</vt:lpwstr>
  </property>
</Properties>
</file>