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6922FE">
      <w:pPr>
        <w:keepNext w:val="0"/>
        <w:keepLines w:val="0"/>
        <w:pageBreakBefore w:val="0"/>
        <w:tabs>
          <w:tab w:val="left" w:pos="0"/>
        </w:tabs>
        <w:kinsoku/>
        <w:overflowPunct/>
        <w:topLinePunct w:val="0"/>
        <w:autoSpaceDE w:val="0"/>
        <w:autoSpaceDN w:val="0"/>
        <w:bidi w:val="0"/>
        <w:adjustRightInd w:val="0"/>
        <w:snapToGrid/>
        <w:spacing w:before="0" w:beforeAutospacing="0" w:after="0" w:afterAutospacing="0" w:line="360" w:lineRule="auto"/>
        <w:jc w:val="center"/>
        <w:textAlignment w:val="auto"/>
        <w:outlineLvl w:val="9"/>
        <w:rPr>
          <w:rFonts w:hint="default" w:ascii="Times New Roman" w:hAnsi="Times New Roman" w:eastAsia="宋体" w:cs="Times New Roman"/>
          <w:b/>
          <w:bCs/>
          <w:sz w:val="28"/>
          <w:szCs w:val="28"/>
        </w:rPr>
      </w:pPr>
      <w:bookmarkStart w:id="0" w:name="_Toc35393809"/>
      <w:bookmarkStart w:id="1" w:name="_Toc28359022"/>
      <w:r>
        <w:rPr>
          <w:rFonts w:hint="eastAsia" w:ascii="Times New Roman" w:hAnsi="Times New Roman" w:eastAsia="宋体" w:cs="Times New Roman"/>
          <w:b/>
          <w:bCs/>
          <w:sz w:val="28"/>
          <w:szCs w:val="28"/>
          <w:lang w:eastAsia="zh-CN"/>
        </w:rPr>
        <w:t>民政绩效管理服务（第1、2包）</w:t>
      </w:r>
      <w:r>
        <w:rPr>
          <w:rFonts w:hint="default" w:ascii="Times New Roman" w:hAnsi="Times New Roman" w:eastAsia="宋体" w:cs="Times New Roman"/>
          <w:b/>
          <w:bCs/>
          <w:sz w:val="28"/>
          <w:szCs w:val="28"/>
        </w:rPr>
        <w:t>成交</w:t>
      </w:r>
      <w:r>
        <w:rPr>
          <w:rFonts w:hint="eastAsia" w:ascii="Times New Roman" w:hAnsi="Times New Roman" w:eastAsia="宋体" w:cs="Times New Roman"/>
          <w:b/>
          <w:bCs/>
          <w:sz w:val="28"/>
          <w:szCs w:val="28"/>
          <w:lang w:val="en-US" w:eastAsia="zh-CN"/>
        </w:rPr>
        <w:t>公</w:t>
      </w:r>
      <w:r>
        <w:rPr>
          <w:rFonts w:hint="default" w:ascii="Times New Roman" w:hAnsi="Times New Roman" w:eastAsia="宋体" w:cs="Times New Roman"/>
          <w:b/>
          <w:bCs/>
          <w:sz w:val="28"/>
          <w:szCs w:val="28"/>
        </w:rPr>
        <w:t>告</w:t>
      </w:r>
      <w:bookmarkEnd w:id="0"/>
      <w:bookmarkEnd w:id="1"/>
    </w:p>
    <w:p w14:paraId="31C11FB9">
      <w:pPr>
        <w:keepNext w:val="0"/>
        <w:keepLines w:val="0"/>
        <w:pageBreakBefore w:val="0"/>
        <w:kinsoku/>
        <w:overflowPunct/>
        <w:topLinePunct w:val="0"/>
        <w:bidi w:val="0"/>
        <w:snapToGrid/>
        <w:spacing w:beforeAutospacing="0" w:afterAutospacing="0" w:line="360" w:lineRule="auto"/>
        <w:textAlignment w:val="auto"/>
        <w:outlineLvl w:val="9"/>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一、项目编号：BJJQ-</w:t>
      </w:r>
      <w:r>
        <w:rPr>
          <w:rFonts w:hint="eastAsia" w:ascii="Times New Roman" w:hAnsi="Times New Roman" w:eastAsia="宋体" w:cs="Times New Roman"/>
          <w:sz w:val="24"/>
          <w:szCs w:val="24"/>
          <w:lang w:eastAsia="zh-CN"/>
        </w:rPr>
        <w:t>2026-445/</w:t>
      </w:r>
      <w:r>
        <w:rPr>
          <w:rFonts w:hint="eastAsia" w:ascii="Times New Roman" w:hAnsi="Times New Roman" w:eastAsia="宋体" w:cs="Times New Roman"/>
          <w:sz w:val="24"/>
          <w:szCs w:val="24"/>
          <w:lang w:val="en-US" w:eastAsia="zh-CN"/>
        </w:rPr>
        <w:t>01、</w:t>
      </w:r>
      <w:r>
        <w:rPr>
          <w:rFonts w:hint="default" w:ascii="Times New Roman" w:hAnsi="Times New Roman" w:eastAsia="宋体" w:cs="Times New Roman"/>
          <w:sz w:val="24"/>
          <w:szCs w:val="24"/>
        </w:rPr>
        <w:t>02</w:t>
      </w:r>
    </w:p>
    <w:p w14:paraId="73241E6F">
      <w:pPr>
        <w:keepNext w:val="0"/>
        <w:keepLines w:val="0"/>
        <w:pageBreakBefore w:val="0"/>
        <w:kinsoku/>
        <w:overflowPunct/>
        <w:topLinePunct w:val="0"/>
        <w:bidi w:val="0"/>
        <w:snapToGrid/>
        <w:spacing w:beforeAutospacing="0" w:afterAutospacing="0" w:line="360" w:lineRule="auto"/>
        <w:textAlignment w:val="auto"/>
        <w:outlineLvl w:val="9"/>
        <w:rPr>
          <w:rFonts w:hint="eastAsia" w:ascii="Times New Roman" w:hAnsi="Times New Roman" w:eastAsia="宋体" w:cs="Times New Roman"/>
          <w:sz w:val="24"/>
          <w:szCs w:val="24"/>
          <w:u w:val="single"/>
          <w:lang w:eastAsia="zh-CN"/>
        </w:rPr>
      </w:pPr>
      <w:r>
        <w:rPr>
          <w:rFonts w:hint="default" w:ascii="Times New Roman" w:hAnsi="Times New Roman" w:eastAsia="宋体" w:cs="Times New Roman"/>
          <w:sz w:val="24"/>
          <w:szCs w:val="24"/>
        </w:rPr>
        <w:t>二、项目名称：</w:t>
      </w:r>
      <w:r>
        <w:rPr>
          <w:rFonts w:hint="eastAsia" w:ascii="Times New Roman" w:hAnsi="Times New Roman" w:eastAsia="宋体" w:cs="Times New Roman"/>
          <w:sz w:val="24"/>
          <w:szCs w:val="24"/>
          <w:lang w:eastAsia="zh-CN"/>
        </w:rPr>
        <w:t>民政绩效管理服务（第1、2包）</w:t>
      </w:r>
    </w:p>
    <w:p w14:paraId="5B5E4915">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三、成交信息</w:t>
      </w:r>
    </w:p>
    <w:tbl>
      <w:tblPr>
        <w:tblStyle w:val="12"/>
        <w:tblW w:w="51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2205"/>
        <w:gridCol w:w="1284"/>
        <w:gridCol w:w="3351"/>
        <w:gridCol w:w="1917"/>
        <w:gridCol w:w="888"/>
      </w:tblGrid>
      <w:tr w14:paraId="1AA47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0" w:type="pct"/>
            <w:vAlign w:val="center"/>
          </w:tcPr>
          <w:p w14:paraId="5500D82C">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default" w:ascii="Times New Roman" w:hAnsi="Times New Roman" w:eastAsia="宋体" w:cs="Times New Roman"/>
                <w:b/>
                <w:bCs/>
                <w:sz w:val="22"/>
                <w:szCs w:val="22"/>
                <w:vertAlign w:val="baseline"/>
                <w:lang w:val="en-US" w:eastAsia="zh-CN"/>
              </w:rPr>
              <w:t>包号</w:t>
            </w:r>
          </w:p>
        </w:tc>
        <w:tc>
          <w:tcPr>
            <w:tcW w:w="1069" w:type="pct"/>
            <w:vAlign w:val="center"/>
          </w:tcPr>
          <w:p w14:paraId="18C3CB88">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default" w:ascii="Times New Roman" w:hAnsi="Times New Roman" w:eastAsia="宋体" w:cs="Times New Roman"/>
                <w:b/>
                <w:bCs/>
                <w:sz w:val="22"/>
                <w:szCs w:val="22"/>
                <w:vertAlign w:val="baseline"/>
                <w:lang w:val="en-US" w:eastAsia="zh-CN"/>
              </w:rPr>
              <w:t>供应商名称</w:t>
            </w:r>
          </w:p>
        </w:tc>
        <w:tc>
          <w:tcPr>
            <w:tcW w:w="622" w:type="pct"/>
            <w:vAlign w:val="center"/>
          </w:tcPr>
          <w:p w14:paraId="4239061F">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default" w:ascii="Times New Roman" w:hAnsi="Times New Roman" w:eastAsia="宋体" w:cs="Times New Roman"/>
                <w:b/>
                <w:bCs/>
                <w:sz w:val="22"/>
                <w:szCs w:val="22"/>
                <w:vertAlign w:val="baseline"/>
                <w:lang w:val="en-US" w:eastAsia="zh-CN"/>
              </w:rPr>
              <w:t>统一社会</w:t>
            </w:r>
          </w:p>
          <w:p w14:paraId="767E9568">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default" w:ascii="Times New Roman" w:hAnsi="Times New Roman" w:eastAsia="宋体" w:cs="Times New Roman"/>
                <w:b/>
                <w:bCs/>
                <w:sz w:val="22"/>
                <w:szCs w:val="22"/>
                <w:vertAlign w:val="baseline"/>
                <w:lang w:val="en-US" w:eastAsia="zh-CN"/>
              </w:rPr>
              <w:t>信用代码</w:t>
            </w:r>
          </w:p>
        </w:tc>
        <w:tc>
          <w:tcPr>
            <w:tcW w:w="1625" w:type="pct"/>
            <w:vAlign w:val="center"/>
          </w:tcPr>
          <w:p w14:paraId="6AABE42E">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default" w:ascii="Times New Roman" w:hAnsi="Times New Roman" w:eastAsia="宋体" w:cs="Times New Roman"/>
                <w:b/>
                <w:bCs/>
                <w:sz w:val="22"/>
                <w:szCs w:val="22"/>
                <w:vertAlign w:val="baseline"/>
                <w:lang w:val="en-US" w:eastAsia="zh-CN"/>
              </w:rPr>
              <w:t>地址</w:t>
            </w:r>
          </w:p>
        </w:tc>
        <w:tc>
          <w:tcPr>
            <w:tcW w:w="930" w:type="pct"/>
            <w:vAlign w:val="center"/>
          </w:tcPr>
          <w:p w14:paraId="551D8B9F">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default" w:ascii="Times New Roman" w:hAnsi="Times New Roman" w:eastAsia="宋体" w:cs="Times New Roman"/>
                <w:b/>
                <w:bCs/>
                <w:sz w:val="22"/>
                <w:szCs w:val="22"/>
                <w:vertAlign w:val="baseline"/>
                <w:lang w:val="en-US" w:eastAsia="zh-CN"/>
              </w:rPr>
              <w:t>成交金额</w:t>
            </w:r>
          </w:p>
        </w:tc>
        <w:tc>
          <w:tcPr>
            <w:tcW w:w="430" w:type="pct"/>
            <w:vAlign w:val="center"/>
          </w:tcPr>
          <w:p w14:paraId="45121EB1">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sz w:val="22"/>
                <w:szCs w:val="22"/>
                <w:vertAlign w:val="baseline"/>
                <w:lang w:val="en-US" w:eastAsia="zh-CN"/>
              </w:rPr>
            </w:pPr>
            <w:r>
              <w:rPr>
                <w:rFonts w:hint="eastAsia" w:ascii="Times New Roman" w:hAnsi="Times New Roman" w:eastAsia="宋体" w:cs="Times New Roman"/>
                <w:b/>
                <w:bCs/>
                <w:sz w:val="22"/>
                <w:szCs w:val="22"/>
                <w:vertAlign w:val="baseline"/>
                <w:lang w:val="en-US" w:eastAsia="zh-CN"/>
              </w:rPr>
              <w:t>评审得分</w:t>
            </w:r>
          </w:p>
        </w:tc>
      </w:tr>
      <w:tr w14:paraId="5A3B4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320" w:type="pct"/>
            <w:vAlign w:val="center"/>
          </w:tcPr>
          <w:p w14:paraId="115EEA57">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sz w:val="22"/>
                <w:szCs w:val="22"/>
                <w:vertAlign w:val="baseline"/>
                <w:lang w:val="en-US" w:eastAsia="zh-CN"/>
              </w:rPr>
              <w:t>0</w:t>
            </w:r>
            <w:r>
              <w:rPr>
                <w:rFonts w:hint="eastAsia" w:ascii="Times New Roman" w:hAnsi="Times New Roman" w:eastAsia="宋体" w:cs="Times New Roman"/>
                <w:sz w:val="22"/>
                <w:szCs w:val="22"/>
                <w:vertAlign w:val="baseline"/>
                <w:lang w:val="en-US" w:eastAsia="zh-CN"/>
              </w:rPr>
              <w:t>1</w:t>
            </w:r>
          </w:p>
        </w:tc>
        <w:tc>
          <w:tcPr>
            <w:tcW w:w="1069" w:type="pct"/>
            <w:vAlign w:val="center"/>
          </w:tcPr>
          <w:p w14:paraId="3E7A32ED">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highlight w:val="none"/>
                <w:vertAlign w:val="baseline"/>
                <w:lang w:val="en-US" w:eastAsia="zh-CN"/>
              </w:rPr>
            </w:pPr>
            <w:r>
              <w:rPr>
                <w:rFonts w:hint="default" w:ascii="Times New Roman" w:hAnsi="Times New Roman" w:eastAsia="宋体" w:cs="Times New Roman"/>
                <w:sz w:val="22"/>
                <w:szCs w:val="22"/>
                <w:highlight w:val="none"/>
                <w:vertAlign w:val="baseline"/>
                <w:lang w:val="en-US" w:eastAsia="zh-CN"/>
              </w:rPr>
              <w:t>北京金凯伟业咨询有限公司</w:t>
            </w:r>
          </w:p>
        </w:tc>
        <w:tc>
          <w:tcPr>
            <w:tcW w:w="622" w:type="pct"/>
            <w:vAlign w:val="center"/>
          </w:tcPr>
          <w:p w14:paraId="7706F540">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highlight w:val="none"/>
                <w:vertAlign w:val="baseline"/>
                <w:lang w:val="en-US" w:eastAsia="zh-CN"/>
              </w:rPr>
            </w:pPr>
            <w:r>
              <w:rPr>
                <w:rFonts w:hint="default" w:ascii="Times New Roman" w:hAnsi="Times New Roman" w:eastAsia="宋体" w:cs="Times New Roman"/>
                <w:sz w:val="22"/>
                <w:szCs w:val="22"/>
                <w:highlight w:val="none"/>
                <w:vertAlign w:val="baseline"/>
                <w:lang w:val="en-US" w:eastAsia="zh-CN"/>
              </w:rPr>
              <w:t>91110105791613515X</w:t>
            </w:r>
          </w:p>
        </w:tc>
        <w:tc>
          <w:tcPr>
            <w:tcW w:w="1625" w:type="pct"/>
            <w:vAlign w:val="center"/>
          </w:tcPr>
          <w:p w14:paraId="4E865C11">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highlight w:val="none"/>
                <w:vertAlign w:val="baseline"/>
                <w:lang w:val="en-US" w:eastAsia="zh-CN"/>
              </w:rPr>
            </w:pPr>
            <w:r>
              <w:rPr>
                <w:rFonts w:hint="default" w:ascii="Times New Roman" w:hAnsi="Times New Roman" w:eastAsia="宋体" w:cs="Times New Roman"/>
                <w:sz w:val="22"/>
                <w:szCs w:val="22"/>
                <w:highlight w:val="none"/>
                <w:vertAlign w:val="baseline"/>
                <w:lang w:val="en-US" w:eastAsia="zh-CN"/>
              </w:rPr>
              <w:t>北京市朝阳区阜通东大街6号院3号楼24层2811室</w:t>
            </w:r>
          </w:p>
        </w:tc>
        <w:tc>
          <w:tcPr>
            <w:tcW w:w="930" w:type="pct"/>
            <w:vAlign w:val="center"/>
          </w:tcPr>
          <w:p w14:paraId="5104F292">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￥388,500.00</w:t>
            </w:r>
          </w:p>
        </w:tc>
        <w:tc>
          <w:tcPr>
            <w:tcW w:w="430" w:type="pct"/>
            <w:vAlign w:val="center"/>
          </w:tcPr>
          <w:p w14:paraId="048415C7">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90.56</w:t>
            </w:r>
          </w:p>
        </w:tc>
      </w:tr>
      <w:tr w14:paraId="7E9C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320" w:type="pct"/>
            <w:vAlign w:val="center"/>
          </w:tcPr>
          <w:p w14:paraId="35BEE4CC">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bookmarkStart w:id="2" w:name="_GoBack" w:colFirst="2" w:colLast="3"/>
            <w:r>
              <w:rPr>
                <w:rFonts w:hint="eastAsia" w:ascii="Times New Roman" w:hAnsi="Times New Roman" w:eastAsia="宋体" w:cs="Times New Roman"/>
                <w:sz w:val="22"/>
                <w:szCs w:val="22"/>
                <w:vertAlign w:val="baseline"/>
                <w:lang w:val="en-US" w:eastAsia="zh-CN"/>
              </w:rPr>
              <w:t>02</w:t>
            </w:r>
          </w:p>
        </w:tc>
        <w:tc>
          <w:tcPr>
            <w:tcW w:w="1069" w:type="pct"/>
            <w:vAlign w:val="center"/>
          </w:tcPr>
          <w:p w14:paraId="4AA5361D">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highlight w:val="none"/>
                <w:vertAlign w:val="baseli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北京中育才会计师事务所有限公司</w:t>
            </w:r>
          </w:p>
        </w:tc>
        <w:tc>
          <w:tcPr>
            <w:tcW w:w="622" w:type="pct"/>
            <w:vAlign w:val="center"/>
          </w:tcPr>
          <w:p w14:paraId="262A73AD">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highlight w:val="none"/>
                <w:vertAlign w:val="baseline"/>
                <w:lang w:val="en-US" w:eastAsia="zh-CN"/>
              </w:rPr>
            </w:pPr>
            <w:r>
              <w:rPr>
                <w:rFonts w:hint="default" w:ascii="Times New Roman" w:hAnsi="Times New Roman" w:eastAsia="宋体" w:cs="Times New Roman"/>
                <w:sz w:val="22"/>
                <w:szCs w:val="22"/>
                <w:highlight w:val="none"/>
                <w:vertAlign w:val="baseline"/>
                <w:lang w:val="en-US" w:eastAsia="zh-CN"/>
              </w:rPr>
              <w:t>9111010270036258X3</w:t>
            </w:r>
          </w:p>
        </w:tc>
        <w:tc>
          <w:tcPr>
            <w:tcW w:w="1625" w:type="pct"/>
            <w:vAlign w:val="center"/>
          </w:tcPr>
          <w:p w14:paraId="49D610E6">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highlight w:val="none"/>
                <w:vertAlign w:val="baseline"/>
                <w:lang w:val="en-US" w:eastAsia="zh-CN"/>
              </w:rPr>
            </w:pPr>
            <w:r>
              <w:rPr>
                <w:rFonts w:hint="default" w:ascii="Times New Roman" w:hAnsi="Times New Roman" w:eastAsia="宋体" w:cs="Times New Roman"/>
                <w:sz w:val="22"/>
                <w:szCs w:val="22"/>
                <w:highlight w:val="none"/>
                <w:vertAlign w:val="baseline"/>
                <w:lang w:val="en-US" w:eastAsia="zh-CN"/>
              </w:rPr>
              <w:t>北京市西城区白广路7号6幢三层3326</w:t>
            </w:r>
          </w:p>
        </w:tc>
        <w:tc>
          <w:tcPr>
            <w:tcW w:w="930" w:type="pct"/>
            <w:vAlign w:val="center"/>
          </w:tcPr>
          <w:p w14:paraId="4D3B987B">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￥289,690.00</w:t>
            </w:r>
          </w:p>
        </w:tc>
        <w:tc>
          <w:tcPr>
            <w:tcW w:w="430" w:type="pct"/>
            <w:vAlign w:val="center"/>
          </w:tcPr>
          <w:p w14:paraId="732A5398">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sz w:val="22"/>
                <w:szCs w:val="22"/>
                <w:vertAlign w:val="baseline"/>
                <w:lang w:val="en-US" w:eastAsia="zh-CN"/>
              </w:rPr>
            </w:pPr>
            <w:r>
              <w:rPr>
                <w:rFonts w:hint="default" w:ascii="Times New Roman" w:hAnsi="Times New Roman" w:eastAsia="宋体" w:cs="Times New Roman"/>
                <w:i w:val="0"/>
                <w:iCs w:val="0"/>
                <w:color w:val="000000"/>
                <w:kern w:val="0"/>
                <w:sz w:val="24"/>
                <w:szCs w:val="24"/>
                <w:u w:val="none"/>
                <w:lang w:val="en-US" w:eastAsia="zh-CN" w:bidi="ar"/>
              </w:rPr>
              <w:t>90.95</w:t>
            </w:r>
          </w:p>
        </w:tc>
      </w:tr>
      <w:bookmarkEnd w:id="2"/>
    </w:tbl>
    <w:p w14:paraId="15B47A26">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四、主要标的信息</w:t>
      </w:r>
    </w:p>
    <w:tbl>
      <w:tblPr>
        <w:tblStyle w:val="11"/>
        <w:tblW w:w="51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5"/>
      </w:tblGrid>
      <w:tr w14:paraId="0E971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54D8FB43">
            <w:pPr>
              <w:keepNext w:val="0"/>
              <w:keepLines w:val="0"/>
              <w:pageBreakBefore w:val="0"/>
              <w:kinsoku/>
              <w:overflowPunct/>
              <w:topLinePunct w:val="0"/>
              <w:bidi w:val="0"/>
              <w:snapToGrid/>
              <w:spacing w:beforeAutospacing="0" w:afterAutospacing="0" w:line="360" w:lineRule="auto"/>
              <w:jc w:val="center"/>
              <w:textAlignment w:val="auto"/>
              <w:outlineLvl w:val="9"/>
              <w:rPr>
                <w:rFonts w:hint="default" w:ascii="Times New Roman" w:hAnsi="Times New Roman" w:eastAsia="宋体" w:cs="Times New Roman"/>
                <w:b/>
                <w:bCs/>
                <w:kern w:val="0"/>
                <w:sz w:val="22"/>
                <w:szCs w:val="22"/>
              </w:rPr>
            </w:pPr>
            <w:r>
              <w:rPr>
                <w:rFonts w:hint="default" w:ascii="Times New Roman" w:hAnsi="Times New Roman" w:eastAsia="宋体" w:cs="Times New Roman"/>
                <w:b/>
                <w:bCs/>
                <w:kern w:val="0"/>
                <w:sz w:val="22"/>
                <w:szCs w:val="22"/>
              </w:rPr>
              <w:t>服务类</w:t>
            </w:r>
          </w:p>
        </w:tc>
      </w:tr>
      <w:tr w14:paraId="5EFFC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4D1EB6A0">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名称：民政绩效管理服务（第</w:t>
            </w:r>
            <w:r>
              <w:rPr>
                <w:rFonts w:hint="default" w:ascii="Times New Roman" w:hAnsi="Times New Roman" w:eastAsia="宋体" w:cs="Times New Roman"/>
                <w:kern w:val="0"/>
                <w:sz w:val="22"/>
                <w:szCs w:val="22"/>
                <w:lang w:val="en-US" w:eastAsia="zh-CN"/>
              </w:rPr>
              <w:t>1</w:t>
            </w:r>
            <w:r>
              <w:rPr>
                <w:rFonts w:hint="default" w:ascii="Times New Roman" w:hAnsi="Times New Roman" w:eastAsia="宋体" w:cs="Times New Roman"/>
                <w:kern w:val="0"/>
                <w:sz w:val="22"/>
                <w:szCs w:val="22"/>
              </w:rPr>
              <w:t>包）</w:t>
            </w:r>
          </w:p>
          <w:p w14:paraId="33B10721">
            <w:pPr>
              <w:keepNext w:val="0"/>
              <w:keepLines w:val="0"/>
              <w:pageBreakBefore w:val="0"/>
              <w:kinsoku/>
              <w:overflowPunct/>
              <w:topLinePunct w:val="0"/>
              <w:bidi w:val="0"/>
              <w:snapToGrid/>
              <w:spacing w:beforeAutospacing="0" w:afterAutospacing="0" w:line="360" w:lineRule="auto"/>
              <w:textAlignment w:val="auto"/>
              <w:outlineLvl w:val="9"/>
              <w:rPr>
                <w:rFonts w:hint="eastAsia" w:ascii="Times New Roman" w:hAnsi="Times New Roman" w:eastAsia="宋体" w:cs="Times New Roman"/>
                <w:kern w:val="0"/>
                <w:sz w:val="22"/>
                <w:szCs w:val="22"/>
                <w:lang w:eastAsia="zh-CN"/>
              </w:rPr>
            </w:pPr>
            <w:r>
              <w:rPr>
                <w:rFonts w:hint="default" w:ascii="Times New Roman" w:hAnsi="Times New Roman" w:eastAsia="宋体" w:cs="Times New Roman"/>
                <w:kern w:val="0"/>
                <w:sz w:val="22"/>
                <w:szCs w:val="22"/>
              </w:rPr>
              <w:t>服务范围</w:t>
            </w:r>
            <w:r>
              <w:rPr>
                <w:rFonts w:hint="eastAsia" w:ascii="Times New Roman" w:hAnsi="Times New Roman" w:eastAsia="宋体" w:cs="Times New Roman"/>
                <w:kern w:val="0"/>
                <w:sz w:val="22"/>
                <w:szCs w:val="22"/>
                <w:lang w:eastAsia="zh-CN"/>
              </w:rPr>
              <w:t>、</w:t>
            </w:r>
            <w:r>
              <w:rPr>
                <w:rFonts w:hint="default" w:ascii="Times New Roman" w:hAnsi="Times New Roman" w:eastAsia="宋体" w:cs="Times New Roman"/>
                <w:kern w:val="0"/>
                <w:sz w:val="22"/>
                <w:szCs w:val="22"/>
              </w:rPr>
              <w:t>服务要求：贯彻落实中央和北京市关于全面实施预算绩效管理的有关要求，为进一步加强局预算绩效管理，提高资金使用效益，探索构建“全方位、全过程、全覆盖、全成本”的预算绩效管理体系，拟委托开展部门预算和转移支付绩效目标审核</w:t>
            </w:r>
            <w:r>
              <w:rPr>
                <w:rFonts w:hint="default" w:ascii="Times New Roman" w:hAnsi="Times New Roman" w:eastAsia="宋体" w:cs="Times New Roman"/>
                <w:kern w:val="0"/>
                <w:sz w:val="22"/>
                <w:szCs w:val="22"/>
                <w:lang w:eastAsia="zh-CN"/>
              </w:rPr>
              <w:t>、</w:t>
            </w:r>
            <w:r>
              <w:rPr>
                <w:rFonts w:hint="default" w:ascii="Times New Roman" w:hAnsi="Times New Roman" w:eastAsia="宋体" w:cs="Times New Roman"/>
                <w:kern w:val="0"/>
                <w:sz w:val="22"/>
                <w:szCs w:val="22"/>
              </w:rPr>
              <w:t>部门重点绩效评价</w:t>
            </w:r>
            <w:r>
              <w:rPr>
                <w:rFonts w:hint="default" w:ascii="Times New Roman" w:hAnsi="Times New Roman" w:eastAsia="宋体" w:cs="Times New Roman"/>
                <w:kern w:val="0"/>
                <w:sz w:val="22"/>
                <w:szCs w:val="22"/>
                <w:lang w:eastAsia="zh-CN"/>
              </w:rPr>
              <w:t>、</w:t>
            </w:r>
            <w:r>
              <w:rPr>
                <w:rFonts w:hint="default" w:ascii="Times New Roman" w:hAnsi="Times New Roman" w:eastAsia="宋体" w:cs="Times New Roman"/>
                <w:kern w:val="0"/>
                <w:sz w:val="22"/>
                <w:szCs w:val="22"/>
              </w:rPr>
              <w:t>成本绩效分析</w:t>
            </w:r>
            <w:r>
              <w:rPr>
                <w:rFonts w:hint="default" w:ascii="Times New Roman" w:hAnsi="Times New Roman" w:eastAsia="宋体" w:cs="Times New Roman"/>
                <w:kern w:val="0"/>
                <w:sz w:val="22"/>
                <w:szCs w:val="22"/>
                <w:lang w:eastAsia="zh-CN"/>
              </w:rPr>
              <w:t>所需辅助性</w:t>
            </w:r>
            <w:r>
              <w:rPr>
                <w:rFonts w:hint="default" w:ascii="Times New Roman" w:hAnsi="Times New Roman" w:eastAsia="宋体" w:cs="Times New Roman"/>
                <w:kern w:val="0"/>
                <w:sz w:val="22"/>
                <w:szCs w:val="22"/>
              </w:rPr>
              <w:t>工作。</w:t>
            </w:r>
          </w:p>
          <w:p w14:paraId="4B4144E8">
            <w:pPr>
              <w:keepNext w:val="0"/>
              <w:keepLines w:val="0"/>
              <w:pageBreakBefore w:val="0"/>
              <w:kinsoku/>
              <w:overflowPunct/>
              <w:topLinePunct w:val="0"/>
              <w:bidi w:val="0"/>
              <w:snapToGrid/>
              <w:spacing w:beforeAutospacing="0" w:afterAutospacing="0" w:line="360" w:lineRule="auto"/>
              <w:textAlignment w:val="auto"/>
              <w:outlineLvl w:val="9"/>
              <w:rPr>
                <w:rFonts w:hint="eastAsia" w:ascii="Times New Roman" w:hAnsi="Times New Roman" w:eastAsia="宋体" w:cs="Times New Roman"/>
                <w:kern w:val="0"/>
                <w:sz w:val="22"/>
                <w:szCs w:val="22"/>
                <w:u w:val="single"/>
                <w:lang w:eastAsia="zh-CN"/>
              </w:rPr>
            </w:pPr>
            <w:r>
              <w:rPr>
                <w:rFonts w:hint="default" w:ascii="Times New Roman" w:hAnsi="Times New Roman" w:eastAsia="宋体" w:cs="Times New Roman"/>
                <w:kern w:val="0"/>
                <w:sz w:val="22"/>
                <w:szCs w:val="22"/>
              </w:rPr>
              <w:t>服务时间：</w:t>
            </w:r>
            <w:r>
              <w:rPr>
                <w:rFonts w:hint="default" w:ascii="Times New Roman" w:hAnsi="Times New Roman" w:eastAsia="宋体" w:cs="Times New Roman"/>
                <w:kern w:val="0"/>
                <w:sz w:val="22"/>
                <w:szCs w:val="22"/>
                <w:lang w:eastAsia="zh-CN"/>
              </w:rPr>
              <w:t>自合同生效之日起至2027年12月6日</w:t>
            </w:r>
            <w:r>
              <w:rPr>
                <w:rFonts w:hint="eastAsia" w:ascii="Times New Roman" w:hAnsi="Times New Roman" w:eastAsia="宋体" w:cs="Times New Roman"/>
                <w:kern w:val="0"/>
                <w:sz w:val="22"/>
                <w:szCs w:val="22"/>
                <w:lang w:eastAsia="zh-CN"/>
              </w:rPr>
              <w:t>。</w:t>
            </w:r>
          </w:p>
          <w:p w14:paraId="6E4B9642">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服务标准：详见</w:t>
            </w:r>
            <w:r>
              <w:rPr>
                <w:rFonts w:hint="eastAsia" w:ascii="Times New Roman" w:hAnsi="Times New Roman" w:eastAsia="宋体" w:cs="Times New Roman"/>
                <w:kern w:val="0"/>
                <w:sz w:val="22"/>
                <w:szCs w:val="22"/>
                <w:lang w:val="en-US" w:eastAsia="zh-CN"/>
              </w:rPr>
              <w:t>竞争性磋商文件。</w:t>
            </w:r>
          </w:p>
        </w:tc>
      </w:tr>
      <w:tr w14:paraId="2203C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6556A6BB">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名称：民政绩效管理服务（第</w:t>
            </w:r>
            <w:r>
              <w:rPr>
                <w:rFonts w:hint="eastAsia" w:ascii="Times New Roman" w:hAnsi="Times New Roman" w:eastAsia="宋体" w:cs="Times New Roman"/>
                <w:kern w:val="0"/>
                <w:sz w:val="22"/>
                <w:szCs w:val="22"/>
                <w:lang w:val="en-US" w:eastAsia="zh-CN"/>
              </w:rPr>
              <w:t>2</w:t>
            </w:r>
            <w:r>
              <w:rPr>
                <w:rFonts w:hint="default" w:ascii="Times New Roman" w:hAnsi="Times New Roman" w:eastAsia="宋体" w:cs="Times New Roman"/>
                <w:kern w:val="0"/>
                <w:sz w:val="22"/>
                <w:szCs w:val="22"/>
              </w:rPr>
              <w:t>包）</w:t>
            </w:r>
          </w:p>
          <w:p w14:paraId="4F64C30E">
            <w:pPr>
              <w:keepNext w:val="0"/>
              <w:keepLines w:val="0"/>
              <w:pageBreakBefore w:val="0"/>
              <w:kinsoku/>
              <w:overflowPunct/>
              <w:topLinePunct w:val="0"/>
              <w:bidi w:val="0"/>
              <w:snapToGrid/>
              <w:spacing w:beforeAutospacing="0" w:afterAutospacing="0" w:line="360" w:lineRule="auto"/>
              <w:textAlignment w:val="auto"/>
              <w:outlineLvl w:val="9"/>
              <w:rPr>
                <w:rFonts w:hint="eastAsia" w:ascii="Times New Roman" w:hAnsi="Times New Roman" w:eastAsia="宋体" w:cs="Times New Roman"/>
                <w:kern w:val="0"/>
                <w:sz w:val="22"/>
                <w:szCs w:val="22"/>
                <w:lang w:eastAsia="zh-CN"/>
              </w:rPr>
            </w:pPr>
            <w:r>
              <w:rPr>
                <w:rFonts w:hint="default" w:ascii="Times New Roman" w:hAnsi="Times New Roman" w:eastAsia="宋体" w:cs="Times New Roman"/>
                <w:kern w:val="0"/>
                <w:sz w:val="22"/>
                <w:szCs w:val="22"/>
              </w:rPr>
              <w:t>服务范围</w:t>
            </w:r>
            <w:r>
              <w:rPr>
                <w:rFonts w:hint="eastAsia" w:ascii="Times New Roman" w:hAnsi="Times New Roman" w:eastAsia="宋体" w:cs="Times New Roman"/>
                <w:kern w:val="0"/>
                <w:sz w:val="22"/>
                <w:szCs w:val="22"/>
                <w:lang w:eastAsia="zh-CN"/>
              </w:rPr>
              <w:t>、</w:t>
            </w:r>
            <w:r>
              <w:rPr>
                <w:rFonts w:hint="default" w:ascii="Times New Roman" w:hAnsi="Times New Roman" w:eastAsia="宋体" w:cs="Times New Roman"/>
                <w:kern w:val="0"/>
                <w:sz w:val="22"/>
                <w:szCs w:val="22"/>
              </w:rPr>
              <w:t>服务要求：贯彻落实中央和北京市关于全面实施预算绩效管理的有关要求，为进一步加强局预算绩效管理，提高资金使用效益，探索构建“全方位、全过程、全覆盖、全成本”的预算绩效管理体系，拟委托开展部门整体绩效评价</w:t>
            </w:r>
            <w:r>
              <w:rPr>
                <w:rFonts w:hint="default" w:ascii="Times New Roman" w:hAnsi="Times New Roman" w:eastAsia="宋体" w:cs="Times New Roman"/>
                <w:kern w:val="0"/>
                <w:sz w:val="22"/>
                <w:szCs w:val="22"/>
                <w:lang w:eastAsia="zh-CN"/>
              </w:rPr>
              <w:t>、中央和北京市转移支付资金绩效评价结果复核和重点绩效评价所需辅助性工作</w:t>
            </w:r>
            <w:r>
              <w:rPr>
                <w:rFonts w:hint="default" w:ascii="Times New Roman" w:hAnsi="Times New Roman" w:eastAsia="宋体" w:cs="Times New Roman"/>
                <w:kern w:val="0"/>
                <w:sz w:val="22"/>
                <w:szCs w:val="22"/>
              </w:rPr>
              <w:t>。</w:t>
            </w:r>
          </w:p>
          <w:p w14:paraId="5F43FB0F">
            <w:pPr>
              <w:keepNext w:val="0"/>
              <w:keepLines w:val="0"/>
              <w:pageBreakBefore w:val="0"/>
              <w:kinsoku/>
              <w:overflowPunct/>
              <w:topLinePunct w:val="0"/>
              <w:bidi w:val="0"/>
              <w:snapToGrid/>
              <w:spacing w:beforeAutospacing="0" w:afterAutospacing="0" w:line="360" w:lineRule="auto"/>
              <w:textAlignment w:val="auto"/>
              <w:outlineLvl w:val="9"/>
              <w:rPr>
                <w:rFonts w:hint="eastAsia" w:ascii="Times New Roman" w:hAnsi="Times New Roman" w:eastAsia="宋体" w:cs="Times New Roman"/>
                <w:kern w:val="0"/>
                <w:sz w:val="22"/>
                <w:szCs w:val="22"/>
                <w:u w:val="single"/>
                <w:lang w:eastAsia="zh-CN"/>
              </w:rPr>
            </w:pPr>
            <w:r>
              <w:rPr>
                <w:rFonts w:hint="default" w:ascii="Times New Roman" w:hAnsi="Times New Roman" w:eastAsia="宋体" w:cs="Times New Roman"/>
                <w:kern w:val="0"/>
                <w:sz w:val="22"/>
                <w:szCs w:val="22"/>
              </w:rPr>
              <w:t>服务时间：自合同生效之日起至202</w:t>
            </w:r>
            <w:r>
              <w:rPr>
                <w:rFonts w:hint="default" w:ascii="Times New Roman" w:hAnsi="Times New Roman" w:eastAsia="宋体" w:cs="Times New Roman"/>
                <w:kern w:val="0"/>
                <w:sz w:val="22"/>
                <w:szCs w:val="22"/>
                <w:lang w:val="en-US" w:eastAsia="zh-CN"/>
              </w:rPr>
              <w:t>7</w:t>
            </w:r>
            <w:r>
              <w:rPr>
                <w:rFonts w:hint="default" w:ascii="Times New Roman" w:hAnsi="Times New Roman" w:eastAsia="宋体" w:cs="Times New Roman"/>
                <w:kern w:val="0"/>
                <w:sz w:val="22"/>
                <w:szCs w:val="22"/>
              </w:rPr>
              <w:t>年</w:t>
            </w:r>
            <w:r>
              <w:rPr>
                <w:rFonts w:hint="default" w:ascii="Times New Roman" w:hAnsi="Times New Roman" w:eastAsia="宋体" w:cs="Times New Roman"/>
                <w:kern w:val="0"/>
                <w:sz w:val="22"/>
                <w:szCs w:val="22"/>
                <w:lang w:val="en-US" w:eastAsia="zh-CN"/>
              </w:rPr>
              <w:t>12</w:t>
            </w:r>
            <w:r>
              <w:rPr>
                <w:rFonts w:hint="default" w:ascii="Times New Roman" w:hAnsi="Times New Roman" w:eastAsia="宋体" w:cs="Times New Roman"/>
                <w:kern w:val="0"/>
                <w:sz w:val="22"/>
                <w:szCs w:val="22"/>
              </w:rPr>
              <w:t>月</w:t>
            </w:r>
            <w:r>
              <w:rPr>
                <w:rFonts w:hint="default" w:ascii="Times New Roman" w:hAnsi="Times New Roman" w:eastAsia="宋体" w:cs="Times New Roman"/>
                <w:kern w:val="0"/>
                <w:sz w:val="22"/>
                <w:szCs w:val="22"/>
                <w:lang w:val="en-US" w:eastAsia="zh-CN"/>
              </w:rPr>
              <w:t>6</w:t>
            </w:r>
            <w:r>
              <w:rPr>
                <w:rFonts w:hint="default" w:ascii="Times New Roman" w:hAnsi="Times New Roman" w:eastAsia="宋体" w:cs="Times New Roman"/>
                <w:kern w:val="0"/>
                <w:sz w:val="22"/>
                <w:szCs w:val="22"/>
              </w:rPr>
              <w:t>日止</w:t>
            </w:r>
            <w:r>
              <w:rPr>
                <w:rFonts w:hint="eastAsia" w:ascii="Times New Roman" w:hAnsi="Times New Roman" w:eastAsia="宋体" w:cs="Times New Roman"/>
                <w:kern w:val="0"/>
                <w:sz w:val="22"/>
                <w:szCs w:val="22"/>
                <w:lang w:eastAsia="zh-CN"/>
              </w:rPr>
              <w:t>。</w:t>
            </w:r>
          </w:p>
          <w:p w14:paraId="4A06B432">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kern w:val="0"/>
                <w:sz w:val="22"/>
                <w:szCs w:val="22"/>
              </w:rPr>
            </w:pPr>
            <w:r>
              <w:rPr>
                <w:rFonts w:hint="default" w:ascii="Times New Roman" w:hAnsi="Times New Roman" w:eastAsia="宋体" w:cs="Times New Roman"/>
                <w:kern w:val="0"/>
                <w:sz w:val="22"/>
                <w:szCs w:val="22"/>
              </w:rPr>
              <w:t>服务标准：详见</w:t>
            </w:r>
            <w:r>
              <w:rPr>
                <w:rFonts w:hint="eastAsia" w:ascii="Times New Roman" w:hAnsi="Times New Roman" w:eastAsia="宋体" w:cs="Times New Roman"/>
                <w:kern w:val="0"/>
                <w:sz w:val="22"/>
                <w:szCs w:val="22"/>
                <w:lang w:val="en-US" w:eastAsia="zh-CN"/>
              </w:rPr>
              <w:t>竞争性磋商文件。</w:t>
            </w:r>
          </w:p>
        </w:tc>
      </w:tr>
    </w:tbl>
    <w:p w14:paraId="217C33AD">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五、评审专家名单：张鹏江</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rPr>
        <w:t>韦秀峰</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rPr>
        <w:t>崔二维</w:t>
      </w:r>
    </w:p>
    <w:p w14:paraId="202806D1">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六、代理服务收费标准及金</w:t>
      </w:r>
      <w:r>
        <w:rPr>
          <w:rFonts w:hint="default" w:ascii="Times New Roman" w:hAnsi="Times New Roman" w:eastAsia="宋体" w:cs="Times New Roman"/>
          <w:sz w:val="24"/>
          <w:szCs w:val="24"/>
          <w:highlight w:val="none"/>
        </w:rPr>
        <w:t>额</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合计1.0569万元（第1包：0.5994</w:t>
      </w:r>
      <w:r>
        <w:rPr>
          <w:rFonts w:hint="eastAsia" w:ascii="Times New Roman" w:hAnsi="Times New Roman" w:eastAsia="宋体" w:cs="Times New Roman"/>
          <w:color w:val="auto"/>
          <w:sz w:val="24"/>
          <w:szCs w:val="24"/>
          <w:highlight w:val="none"/>
          <w:lang w:val="en-US" w:eastAsia="zh-CN"/>
        </w:rPr>
        <w:t>万元，第2包：0.4575</w:t>
      </w:r>
      <w:r>
        <w:rPr>
          <w:rFonts w:hint="eastAsia" w:ascii="Times New Roman" w:hAnsi="Times New Roman" w:eastAsia="宋体" w:cs="Times New Roman"/>
          <w:color w:val="auto"/>
          <w:sz w:val="24"/>
          <w:szCs w:val="24"/>
          <w:highlight w:val="none"/>
          <w:lang w:val="en-US" w:eastAsia="zh-CN"/>
        </w:rPr>
        <w:t>万元）</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sz w:val="24"/>
          <w:szCs w:val="24"/>
          <w:highlight w:val="none"/>
        </w:rPr>
        <w:t>收费标准详见</w:t>
      </w:r>
      <w:r>
        <w:rPr>
          <w:rFonts w:hint="eastAsia" w:ascii="Times New Roman" w:hAnsi="Times New Roman" w:eastAsia="宋体" w:cs="Times New Roman"/>
          <w:sz w:val="24"/>
          <w:szCs w:val="24"/>
          <w:highlight w:val="none"/>
          <w:lang w:val="en-US" w:eastAsia="zh-CN"/>
        </w:rPr>
        <w:t>竞争性</w:t>
      </w:r>
      <w:r>
        <w:rPr>
          <w:rFonts w:hint="default" w:ascii="Times New Roman" w:hAnsi="Times New Roman" w:eastAsia="宋体" w:cs="Times New Roman"/>
          <w:sz w:val="24"/>
          <w:szCs w:val="24"/>
          <w:highlight w:val="none"/>
        </w:rPr>
        <w:t>磋商文件。</w:t>
      </w:r>
    </w:p>
    <w:p w14:paraId="1E374D93">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七、公告期限</w:t>
      </w:r>
    </w:p>
    <w:p w14:paraId="0C43FBC6">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自本公告发布之日起1个工作日。</w:t>
      </w:r>
    </w:p>
    <w:p w14:paraId="3F91BD34">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八、其他补充事宜</w:t>
      </w:r>
    </w:p>
    <w:p w14:paraId="44A3C732">
      <w:pPr>
        <w:keepNext w:val="0"/>
        <w:keepLines w:val="0"/>
        <w:pageBreakBefore w:val="0"/>
        <w:kinsoku/>
        <w:wordWrap w:val="0"/>
        <w:overflowPunct/>
        <w:topLinePunct w:val="0"/>
        <w:bidi w:val="0"/>
        <w:snapToGrid/>
        <w:spacing w:beforeAutospacing="0" w:afterAutospacing="0" w:line="360" w:lineRule="auto"/>
        <w:ind w:firstLine="480" w:firstLineChars="200"/>
        <w:jc w:val="left"/>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8.1本公告同时在中国政府采购网（http://www.ccgp.gov.cn）、北京市政府采购网（http://www.ccgp-beijing.gov.cn/）</w:t>
      </w:r>
      <w:r>
        <w:rPr>
          <w:rFonts w:hint="eastAsia" w:ascii="Times New Roman" w:hAnsi="Times New Roman" w:eastAsia="宋体" w:cs="Times New Roman"/>
          <w:sz w:val="24"/>
          <w:szCs w:val="24"/>
          <w:lang w:val="en-US" w:eastAsia="zh-CN"/>
        </w:rPr>
        <w:t>发布</w:t>
      </w:r>
      <w:r>
        <w:rPr>
          <w:rFonts w:hint="default" w:ascii="Times New Roman" w:hAnsi="Times New Roman" w:eastAsia="宋体" w:cs="Times New Roman"/>
          <w:sz w:val="24"/>
          <w:szCs w:val="24"/>
        </w:rPr>
        <w:t>。</w:t>
      </w:r>
    </w:p>
    <w:p w14:paraId="62C8661D">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8.2采购代理机构项目编号：BJJQ-</w:t>
      </w:r>
      <w:r>
        <w:rPr>
          <w:rFonts w:hint="eastAsia" w:ascii="Times New Roman" w:hAnsi="Times New Roman" w:eastAsia="宋体" w:cs="Times New Roman"/>
          <w:sz w:val="24"/>
          <w:szCs w:val="24"/>
          <w:lang w:eastAsia="zh-CN"/>
        </w:rPr>
        <w:t>2026-445/</w:t>
      </w:r>
      <w:r>
        <w:rPr>
          <w:rFonts w:hint="eastAsia" w:ascii="Times New Roman" w:hAnsi="Times New Roman" w:eastAsia="宋体" w:cs="Times New Roman"/>
          <w:sz w:val="24"/>
          <w:szCs w:val="24"/>
          <w:lang w:val="en-US" w:eastAsia="zh-CN"/>
        </w:rPr>
        <w:t>01、</w:t>
      </w:r>
      <w:r>
        <w:rPr>
          <w:rFonts w:hint="default" w:ascii="Times New Roman" w:hAnsi="Times New Roman" w:eastAsia="宋体" w:cs="Times New Roman"/>
          <w:sz w:val="24"/>
          <w:szCs w:val="24"/>
        </w:rPr>
        <w:t>02</w:t>
      </w:r>
    </w:p>
    <w:p w14:paraId="0BA2E285">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九、凡对本次公告内容提出询问，请按以下方式联系。</w:t>
      </w:r>
    </w:p>
    <w:p w14:paraId="2B496CAF">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1.采购人信息</w:t>
      </w:r>
    </w:p>
    <w:p w14:paraId="3FABC5AD">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名    称：北京市民政局</w:t>
      </w:r>
    </w:p>
    <w:p w14:paraId="307DCA1C">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地    址：北京市通州区留庄路4号</w:t>
      </w:r>
    </w:p>
    <w:p w14:paraId="734A98EF">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 xml:space="preserve">联系方式：010-55522278 </w:t>
      </w:r>
    </w:p>
    <w:p w14:paraId="292BC170">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2.采购代理机构信息</w:t>
      </w:r>
    </w:p>
    <w:p w14:paraId="043B13FD">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名    称：北京汇诚金桥国际招标咨询有限公司</w:t>
      </w:r>
    </w:p>
    <w:p w14:paraId="123A4ABC">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地    址：北京市东城区朝内大街南竹杆胡同6号北京INN3号楼9层</w:t>
      </w:r>
    </w:p>
    <w:p w14:paraId="45BC2D0C">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联系方式：贾洋、王秋凌，010-65173825</w:t>
      </w:r>
    </w:p>
    <w:p w14:paraId="4A18068A">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3.项目联系方式</w:t>
      </w:r>
    </w:p>
    <w:p w14:paraId="6DD2F2FB">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项目联系人：</w:t>
      </w:r>
      <w:r>
        <w:rPr>
          <w:rFonts w:hint="eastAsia" w:ascii="Times New Roman" w:hAnsi="Times New Roman" w:eastAsia="宋体" w:cs="Times New Roman"/>
          <w:kern w:val="0"/>
          <w:sz w:val="24"/>
          <w:szCs w:val="24"/>
          <w:lang w:val="en-US" w:eastAsia="zh-CN"/>
        </w:rPr>
        <w:t>贾洋</w:t>
      </w:r>
      <w:r>
        <w:rPr>
          <w:rFonts w:hint="default" w:ascii="Times New Roman" w:hAnsi="Times New Roman" w:eastAsia="宋体" w:cs="Times New Roman"/>
          <w:kern w:val="0"/>
          <w:sz w:val="24"/>
          <w:szCs w:val="24"/>
        </w:rPr>
        <w:t>、王秋凌</w:t>
      </w:r>
    </w:p>
    <w:p w14:paraId="48CC4576">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电      话：010-65173825</w:t>
      </w:r>
    </w:p>
    <w:p w14:paraId="5362EA62">
      <w:pPr>
        <w:keepNext w:val="0"/>
        <w:keepLines w:val="0"/>
        <w:pageBreakBefore w:val="0"/>
        <w:kinsoku/>
        <w:overflowPunct/>
        <w:topLinePunct w:val="0"/>
        <w:bidi w:val="0"/>
        <w:snapToGrid/>
        <w:spacing w:beforeAutospacing="0" w:afterAutospacing="0"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rPr>
        <w:t>十、附件</w:t>
      </w:r>
    </w:p>
    <w:p w14:paraId="6C529D55">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1.采购文件</w:t>
      </w:r>
    </w:p>
    <w:p w14:paraId="6747F80D">
      <w:pPr>
        <w:keepNext w:val="0"/>
        <w:keepLines w:val="0"/>
        <w:pageBreakBefore w:val="0"/>
        <w:kinsoku/>
        <w:overflowPunct/>
        <w:topLinePunct w:val="0"/>
        <w:bidi w:val="0"/>
        <w:snapToGrid/>
        <w:spacing w:beforeAutospacing="0" w:afterAutospacing="0" w:line="360" w:lineRule="auto"/>
        <w:ind w:firstLine="480" w:firstLineChars="200"/>
        <w:textAlignment w:val="auto"/>
        <w:outlineLvl w:val="9"/>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2.中小企业声明函</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WRlMDc5ZmI4OGJkMzU2ZmQ2ZGJkNGUwMGUzZjkyMTMifQ=="/>
  </w:docVars>
  <w:rsids>
    <w:rsidRoot w:val="004D1179"/>
    <w:rsid w:val="00051475"/>
    <w:rsid w:val="00276863"/>
    <w:rsid w:val="002E2237"/>
    <w:rsid w:val="0041710E"/>
    <w:rsid w:val="00422A1B"/>
    <w:rsid w:val="004D1179"/>
    <w:rsid w:val="006608AB"/>
    <w:rsid w:val="00705D10"/>
    <w:rsid w:val="00721F31"/>
    <w:rsid w:val="00765FA9"/>
    <w:rsid w:val="0077059A"/>
    <w:rsid w:val="007F65BC"/>
    <w:rsid w:val="009C2459"/>
    <w:rsid w:val="009E442F"/>
    <w:rsid w:val="00A42D63"/>
    <w:rsid w:val="00A83878"/>
    <w:rsid w:val="00AE5856"/>
    <w:rsid w:val="00AF1351"/>
    <w:rsid w:val="00B33BC6"/>
    <w:rsid w:val="00B469DD"/>
    <w:rsid w:val="00C61709"/>
    <w:rsid w:val="00D62758"/>
    <w:rsid w:val="00DA630C"/>
    <w:rsid w:val="00E36599"/>
    <w:rsid w:val="00FA634B"/>
    <w:rsid w:val="00FE498C"/>
    <w:rsid w:val="01514167"/>
    <w:rsid w:val="01E943A0"/>
    <w:rsid w:val="025A0025"/>
    <w:rsid w:val="02B82105"/>
    <w:rsid w:val="045A77D7"/>
    <w:rsid w:val="046D395F"/>
    <w:rsid w:val="058C5071"/>
    <w:rsid w:val="062C0CFF"/>
    <w:rsid w:val="06C069D5"/>
    <w:rsid w:val="082C3238"/>
    <w:rsid w:val="08DD4F7E"/>
    <w:rsid w:val="09686808"/>
    <w:rsid w:val="098C2D10"/>
    <w:rsid w:val="09F50A27"/>
    <w:rsid w:val="0BE004D6"/>
    <w:rsid w:val="0D230FC8"/>
    <w:rsid w:val="0E611762"/>
    <w:rsid w:val="0EA217C7"/>
    <w:rsid w:val="0F53554E"/>
    <w:rsid w:val="110A4DCF"/>
    <w:rsid w:val="14086F62"/>
    <w:rsid w:val="14261483"/>
    <w:rsid w:val="15FF5C91"/>
    <w:rsid w:val="1610623E"/>
    <w:rsid w:val="165C118C"/>
    <w:rsid w:val="16933BA9"/>
    <w:rsid w:val="1783099B"/>
    <w:rsid w:val="18E2051C"/>
    <w:rsid w:val="1A2E0D57"/>
    <w:rsid w:val="1B9F67E5"/>
    <w:rsid w:val="1BC93F92"/>
    <w:rsid w:val="1C0C0233"/>
    <w:rsid w:val="1DA21F28"/>
    <w:rsid w:val="1E842F20"/>
    <w:rsid w:val="1F196DB1"/>
    <w:rsid w:val="1F2B2044"/>
    <w:rsid w:val="1F3D7BE3"/>
    <w:rsid w:val="1F5D3872"/>
    <w:rsid w:val="20250E4F"/>
    <w:rsid w:val="20753DC1"/>
    <w:rsid w:val="222114DC"/>
    <w:rsid w:val="22ED721C"/>
    <w:rsid w:val="256A441E"/>
    <w:rsid w:val="256E2403"/>
    <w:rsid w:val="25D41F0B"/>
    <w:rsid w:val="271A2658"/>
    <w:rsid w:val="28767174"/>
    <w:rsid w:val="28947EC4"/>
    <w:rsid w:val="29222225"/>
    <w:rsid w:val="2A0B4F4C"/>
    <w:rsid w:val="2AFD7B09"/>
    <w:rsid w:val="2CE658F2"/>
    <w:rsid w:val="2D236933"/>
    <w:rsid w:val="2DFD5625"/>
    <w:rsid w:val="2EBC2204"/>
    <w:rsid w:val="2EEE5D39"/>
    <w:rsid w:val="2F912ACC"/>
    <w:rsid w:val="30955C68"/>
    <w:rsid w:val="3185449F"/>
    <w:rsid w:val="31E67ED6"/>
    <w:rsid w:val="323A4620"/>
    <w:rsid w:val="32C33E29"/>
    <w:rsid w:val="336D09B6"/>
    <w:rsid w:val="336D45D4"/>
    <w:rsid w:val="34FE2F4C"/>
    <w:rsid w:val="35200172"/>
    <w:rsid w:val="35610116"/>
    <w:rsid w:val="35A8384C"/>
    <w:rsid w:val="39123DEA"/>
    <w:rsid w:val="399900AF"/>
    <w:rsid w:val="39B61C3E"/>
    <w:rsid w:val="39FA1197"/>
    <w:rsid w:val="3A4F76E5"/>
    <w:rsid w:val="3A702832"/>
    <w:rsid w:val="3C5E715D"/>
    <w:rsid w:val="3CF53810"/>
    <w:rsid w:val="3DCE30EC"/>
    <w:rsid w:val="3EB95566"/>
    <w:rsid w:val="3EF71DB5"/>
    <w:rsid w:val="40DC3479"/>
    <w:rsid w:val="41A421AE"/>
    <w:rsid w:val="41F52311"/>
    <w:rsid w:val="41F60795"/>
    <w:rsid w:val="41FD3881"/>
    <w:rsid w:val="423052E0"/>
    <w:rsid w:val="436332AB"/>
    <w:rsid w:val="43B41225"/>
    <w:rsid w:val="45DE6E06"/>
    <w:rsid w:val="45E57CF9"/>
    <w:rsid w:val="47C3256A"/>
    <w:rsid w:val="491E7057"/>
    <w:rsid w:val="4BA40904"/>
    <w:rsid w:val="4C2537F3"/>
    <w:rsid w:val="4CC55DC1"/>
    <w:rsid w:val="4D1E2254"/>
    <w:rsid w:val="4FE44C13"/>
    <w:rsid w:val="51BF02E3"/>
    <w:rsid w:val="529D410E"/>
    <w:rsid w:val="558772CD"/>
    <w:rsid w:val="55EF77D0"/>
    <w:rsid w:val="56AE3395"/>
    <w:rsid w:val="570C1BF9"/>
    <w:rsid w:val="57830B89"/>
    <w:rsid w:val="584B45E2"/>
    <w:rsid w:val="589D6304"/>
    <w:rsid w:val="5A937A8D"/>
    <w:rsid w:val="5AB171AB"/>
    <w:rsid w:val="5B9F666D"/>
    <w:rsid w:val="5BDD2EE5"/>
    <w:rsid w:val="5D6B74D4"/>
    <w:rsid w:val="5EB629D1"/>
    <w:rsid w:val="5F1A4D0E"/>
    <w:rsid w:val="60177B46"/>
    <w:rsid w:val="60C90799"/>
    <w:rsid w:val="62126873"/>
    <w:rsid w:val="636369CE"/>
    <w:rsid w:val="64732B1B"/>
    <w:rsid w:val="68587AA5"/>
    <w:rsid w:val="68E72104"/>
    <w:rsid w:val="69054339"/>
    <w:rsid w:val="69183C37"/>
    <w:rsid w:val="6A3353BA"/>
    <w:rsid w:val="6ACB3DDC"/>
    <w:rsid w:val="6AEA2D28"/>
    <w:rsid w:val="6BD73442"/>
    <w:rsid w:val="6CC448DE"/>
    <w:rsid w:val="6D011914"/>
    <w:rsid w:val="6DDF5E6C"/>
    <w:rsid w:val="6E4A0A40"/>
    <w:rsid w:val="6E7623D2"/>
    <w:rsid w:val="70744BA6"/>
    <w:rsid w:val="71067B98"/>
    <w:rsid w:val="71272B08"/>
    <w:rsid w:val="717958C4"/>
    <w:rsid w:val="730D3A7C"/>
    <w:rsid w:val="73390E72"/>
    <w:rsid w:val="737C169B"/>
    <w:rsid w:val="74792510"/>
    <w:rsid w:val="754E726F"/>
    <w:rsid w:val="76461B81"/>
    <w:rsid w:val="77737259"/>
    <w:rsid w:val="78846BD7"/>
    <w:rsid w:val="797E553D"/>
    <w:rsid w:val="798927D7"/>
    <w:rsid w:val="79AD70BA"/>
    <w:rsid w:val="7A11742F"/>
    <w:rsid w:val="7B91113D"/>
    <w:rsid w:val="7DBF4FA6"/>
    <w:rsid w:val="7FA46D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16"/>
    <w:autoRedefine/>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17"/>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19"/>
    <w:autoRedefine/>
    <w:semiHidden/>
    <w:qFormat/>
    <w:uiPriority w:val="99"/>
    <w:pPr>
      <w:jc w:val="left"/>
    </w:pPr>
    <w:rPr>
      <w:rFonts w:ascii="Times New Roman" w:hAnsi="Times New Roman" w:eastAsia="宋体"/>
      <w:szCs w:val="24"/>
    </w:rPr>
  </w:style>
  <w:style w:type="paragraph" w:styleId="5">
    <w:name w:val="Body Text"/>
    <w:basedOn w:val="1"/>
    <w:next w:val="6"/>
    <w:autoRedefine/>
    <w:qFormat/>
    <w:uiPriority w:val="0"/>
    <w:pPr>
      <w:spacing w:after="120"/>
    </w:pPr>
  </w:style>
  <w:style w:type="paragraph" w:customStyle="1" w:styleId="6">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paragraph" w:styleId="7">
    <w:name w:val="Plain Text"/>
    <w:basedOn w:val="1"/>
    <w:link w:val="18"/>
    <w:autoRedefine/>
    <w:qFormat/>
    <w:uiPriority w:val="99"/>
    <w:rPr>
      <w:rFonts w:ascii="宋体" w:hAnsi="Courier New"/>
    </w:rPr>
  </w:style>
  <w:style w:type="paragraph" w:styleId="8">
    <w:name w:val="Balloon Text"/>
    <w:basedOn w:val="1"/>
    <w:link w:val="20"/>
    <w:autoRedefine/>
    <w:semiHidden/>
    <w:qFormat/>
    <w:uiPriority w:val="99"/>
    <w:rPr>
      <w:sz w:val="18"/>
      <w:szCs w:val="18"/>
    </w:rPr>
  </w:style>
  <w:style w:type="paragraph" w:styleId="9">
    <w:name w:val="footer"/>
    <w:basedOn w:val="1"/>
    <w:link w:val="22"/>
    <w:autoRedefine/>
    <w:unhideWhenUsed/>
    <w:qFormat/>
    <w:uiPriority w:val="99"/>
    <w:pPr>
      <w:tabs>
        <w:tab w:val="center" w:pos="4153"/>
        <w:tab w:val="right" w:pos="8306"/>
      </w:tabs>
      <w:snapToGrid w:val="0"/>
      <w:jc w:val="left"/>
    </w:pPr>
    <w:rPr>
      <w:sz w:val="18"/>
      <w:szCs w:val="18"/>
    </w:rPr>
  </w:style>
  <w:style w:type="paragraph" w:styleId="10">
    <w:name w:val="header"/>
    <w:basedOn w:val="1"/>
    <w:link w:val="21"/>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autoRedefine/>
    <w:semiHidden/>
    <w:qFormat/>
    <w:uiPriority w:val="99"/>
    <w:rPr>
      <w:rFonts w:cs="Times New Roman"/>
      <w:sz w:val="21"/>
      <w:szCs w:val="21"/>
    </w:rPr>
  </w:style>
  <w:style w:type="paragraph" w:customStyle="1" w:styleId="15">
    <w:name w:val="正文文本1"/>
    <w:basedOn w:val="1"/>
    <w:autoRedefine/>
    <w:qFormat/>
    <w:uiPriority w:val="0"/>
    <w:pPr>
      <w:widowControl/>
      <w:spacing w:line="360" w:lineRule="auto"/>
    </w:pPr>
    <w:rPr>
      <w:color w:val="FF0000"/>
    </w:rPr>
  </w:style>
  <w:style w:type="character" w:customStyle="1" w:styleId="16">
    <w:name w:val="标题 1 字符"/>
    <w:link w:val="2"/>
    <w:autoRedefine/>
    <w:qFormat/>
    <w:locked/>
    <w:uiPriority w:val="99"/>
    <w:rPr>
      <w:rFonts w:ascii="宋体" w:hAnsi="宋体" w:eastAsia="宋体" w:cs="宋体"/>
      <w:b/>
      <w:bCs/>
      <w:kern w:val="36"/>
      <w:sz w:val="48"/>
      <w:szCs w:val="48"/>
    </w:rPr>
  </w:style>
  <w:style w:type="character" w:customStyle="1" w:styleId="17">
    <w:name w:val="标题 2 字符"/>
    <w:link w:val="3"/>
    <w:autoRedefine/>
    <w:qFormat/>
    <w:locked/>
    <w:uiPriority w:val="99"/>
    <w:rPr>
      <w:rFonts w:ascii="宋体" w:hAnsi="宋体" w:eastAsia="宋体" w:cs="宋体"/>
      <w:b/>
      <w:bCs/>
      <w:kern w:val="0"/>
      <w:sz w:val="36"/>
      <w:szCs w:val="36"/>
    </w:rPr>
  </w:style>
  <w:style w:type="character" w:customStyle="1" w:styleId="18">
    <w:name w:val="纯文本 字符"/>
    <w:link w:val="7"/>
    <w:autoRedefine/>
    <w:qFormat/>
    <w:locked/>
    <w:uiPriority w:val="99"/>
    <w:rPr>
      <w:rFonts w:ascii="宋体" w:hAnsi="Courier New" w:cs="Times New Roman"/>
    </w:rPr>
  </w:style>
  <w:style w:type="character" w:customStyle="1" w:styleId="19">
    <w:name w:val="批注文字 字符"/>
    <w:basedOn w:val="13"/>
    <w:link w:val="4"/>
    <w:autoRedefine/>
    <w:semiHidden/>
    <w:qFormat/>
    <w:uiPriority w:val="99"/>
  </w:style>
  <w:style w:type="character" w:customStyle="1" w:styleId="20">
    <w:name w:val="批注框文本 字符"/>
    <w:link w:val="8"/>
    <w:autoRedefine/>
    <w:semiHidden/>
    <w:qFormat/>
    <w:uiPriority w:val="99"/>
    <w:rPr>
      <w:sz w:val="0"/>
      <w:szCs w:val="0"/>
    </w:rPr>
  </w:style>
  <w:style w:type="character" w:customStyle="1" w:styleId="21">
    <w:name w:val="页眉 字符"/>
    <w:link w:val="10"/>
    <w:autoRedefine/>
    <w:qFormat/>
    <w:uiPriority w:val="99"/>
    <w:rPr>
      <w:sz w:val="18"/>
      <w:szCs w:val="18"/>
    </w:rPr>
  </w:style>
  <w:style w:type="character" w:customStyle="1" w:styleId="22">
    <w:name w:val="页脚 字符"/>
    <w:link w:val="9"/>
    <w:autoRedefine/>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857</Words>
  <Characters>1049</Characters>
  <Lines>5</Lines>
  <Paragraphs>1</Paragraphs>
  <TotalTime>0</TotalTime>
  <ScaleCrop>false</ScaleCrop>
  <LinksUpToDate>false</LinksUpToDate>
  <CharactersWithSpaces>1072</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代理</cp:lastModifiedBy>
  <cp:lastPrinted>2023-03-14T03:02:00Z</cp:lastPrinted>
  <dcterms:modified xsi:type="dcterms:W3CDTF">2026-07-08T07:23:28Z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1ADED94070CE4980A6EB8A5B43913309</vt:lpwstr>
  </property>
  <property fmtid="{D5CDD505-2E9C-101B-9397-08002B2CF9AE}" pid="4" name="KSOTemplateDocerSaveRecord">
    <vt:lpwstr>eyJoZGlkIjoiMTgyY2Y5Y2UxZjkwY2NiYzg1MTM4ZmQzOTFhYWJhY2IiLCJ1c2VySWQiOiI0MTQ1OTQ5MTUifQ==</vt:lpwstr>
  </property>
</Properties>
</file>