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5"/>
        <w:rPr>
          <w:rFonts w:hint="eastAsia" w:ascii="宋体" w:hAnsi="宋体" w:cs="宋体"/>
          <w:b/>
          <w:bCs/>
          <w:sz w:val="60"/>
          <w:szCs w:val="60"/>
        </w:rPr>
      </w:pPr>
    </w:p>
    <w:p>
      <w:pPr>
        <w:pStyle w:val="6"/>
        <w:rPr>
          <w:rFonts w:hint="eastAsia"/>
        </w:rPr>
      </w:pPr>
    </w:p>
    <w:p>
      <w:pPr>
        <w:pStyle w:val="6"/>
        <w:rPr>
          <w:rFonts w:hint="eastAsia"/>
        </w:rPr>
      </w:pPr>
    </w:p>
    <w:p>
      <w:pPr>
        <w:spacing w:line="360" w:lineRule="auto"/>
        <w:jc w:val="center"/>
        <w:rPr>
          <w:rFonts w:hint="eastAsia" w:ascii="宋体" w:hAnsi="宋体" w:cs="宋体"/>
          <w:b/>
          <w:bCs/>
          <w:sz w:val="60"/>
          <w:szCs w:val="60"/>
        </w:rPr>
      </w:pPr>
      <w:r>
        <w:rPr>
          <w:rFonts w:hint="eastAsia" w:ascii="宋体" w:hAnsi="宋体" w:cs="宋体"/>
          <w:b/>
          <w:bCs/>
          <w:color w:val="auto"/>
          <w:sz w:val="60"/>
          <w:szCs w:val="60"/>
        </w:rPr>
        <w:t>2026年街道社区公共文化设施无线网络服务项目</w:t>
      </w:r>
      <w:r>
        <w:rPr>
          <w:rFonts w:hint="eastAsia" w:ascii="宋体" w:hAnsi="宋体" w:cs="宋体"/>
          <w:b/>
          <w:bCs/>
          <w:sz w:val="60"/>
          <w:szCs w:val="60"/>
        </w:rPr>
        <w:t>公开招标文件</w:t>
      </w:r>
    </w:p>
    <w:p>
      <w:pPr>
        <w:spacing w:line="360" w:lineRule="auto"/>
        <w:jc w:val="center"/>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307" w:rightChars="-146" w:hanging="1478" w:hangingChars="462"/>
        <w:jc w:val="left"/>
        <w:rPr>
          <w:rFonts w:hint="eastAsia" w:ascii="宋体" w:hAnsi="宋体" w:cs="宋体"/>
          <w:bCs/>
          <w:color w:val="auto"/>
          <w:sz w:val="32"/>
          <w:szCs w:val="32"/>
        </w:rPr>
      </w:pPr>
      <w:r>
        <w:rPr>
          <w:rFonts w:hint="eastAsia" w:ascii="宋体" w:hAnsi="宋体" w:cs="宋体"/>
          <w:bCs/>
          <w:sz w:val="32"/>
          <w:szCs w:val="32"/>
        </w:rPr>
        <w:t>项目名称：</w:t>
      </w:r>
      <w:r>
        <w:rPr>
          <w:rFonts w:hint="eastAsia" w:ascii="宋体" w:hAnsi="宋体" w:cs="宋体"/>
          <w:bCs/>
          <w:color w:val="auto"/>
          <w:sz w:val="32"/>
          <w:szCs w:val="32"/>
        </w:rPr>
        <w:t>2026年街道社区公共文化设施无线网络服务项目</w:t>
      </w:r>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color w:val="auto"/>
          <w:sz w:val="32"/>
          <w:szCs w:val="32"/>
        </w:rPr>
        <w:t>项目编号</w:t>
      </w:r>
      <w:r>
        <w:rPr>
          <w:rFonts w:hint="eastAsia" w:ascii="宋体" w:hAnsi="宋体" w:cs="宋体"/>
          <w:bCs/>
          <w:color w:val="auto"/>
          <w:sz w:val="32"/>
          <w:szCs w:val="32"/>
          <w:lang w:val="en-US" w:eastAsia="zh-CN"/>
        </w:rPr>
        <w:t>/包号</w:t>
      </w:r>
      <w:r>
        <w:rPr>
          <w:rFonts w:hint="eastAsia" w:ascii="宋体" w:hAnsi="宋体" w:cs="宋体"/>
          <w:bCs/>
          <w:color w:val="auto"/>
          <w:sz w:val="32"/>
          <w:szCs w:val="32"/>
        </w:rPr>
        <w:t>：11010726210200020404-XM001</w:t>
      </w:r>
      <w:r>
        <w:rPr>
          <w:rFonts w:hint="eastAsia" w:ascii="宋体" w:hAnsi="宋体" w:cs="宋体"/>
          <w:bCs/>
          <w:color w:val="auto"/>
          <w:sz w:val="32"/>
          <w:szCs w:val="32"/>
          <w:lang w:val="en-US" w:eastAsia="zh-CN"/>
        </w:rPr>
        <w:t>/01</w:t>
      </w:r>
    </w:p>
    <w:p>
      <w:pPr>
        <w:tabs>
          <w:tab w:val="left" w:pos="3240"/>
          <w:tab w:val="left" w:pos="3420"/>
        </w:tabs>
        <w:spacing w:line="360" w:lineRule="auto"/>
        <w:ind w:firstLine="640" w:firstLineChars="200"/>
        <w:jc w:val="left"/>
        <w:rPr>
          <w:rFonts w:hint="eastAsia" w:ascii="宋体" w:hAnsi="宋体" w:cs="宋体"/>
          <w:bCs/>
          <w:color w:val="auto"/>
          <w:sz w:val="32"/>
          <w:szCs w:val="32"/>
        </w:rPr>
      </w:pPr>
      <w:r>
        <w:rPr>
          <w:rFonts w:hint="eastAsia" w:ascii="宋体" w:hAnsi="宋体" w:cs="宋体"/>
          <w:bCs/>
          <w:color w:val="auto"/>
          <w:sz w:val="32"/>
          <w:szCs w:val="32"/>
        </w:rPr>
        <w:t>采 购 人：北京市石景山区文化和旅游局</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0" w:name="_Toc11889"/>
      <w:bookmarkStart w:id="1" w:name="_Toc99301418"/>
      <w:r>
        <w:rPr>
          <w:rFonts w:hint="eastAsia" w:ascii="宋体" w:hAnsi="宋体" w:cs="宋体"/>
          <w:b/>
          <w:color w:val="auto"/>
          <w:sz w:val="36"/>
          <w:szCs w:val="36"/>
        </w:rPr>
        <w:t>目     录</w:t>
      </w:r>
      <w:bookmarkEnd w:id="0"/>
      <w:bookmarkEnd w:id="1"/>
    </w:p>
    <w:p>
      <w:pPr>
        <w:rPr>
          <w:rFonts w:hint="eastAsia" w:ascii="宋体" w:hAnsi="宋体" w:cs="宋体"/>
        </w:rPr>
      </w:pPr>
    </w:p>
    <w:p>
      <w:pPr>
        <w:rPr>
          <w:rFonts w:hint="eastAsia" w:ascii="宋体" w:hAnsi="宋体" w:cs="宋体"/>
        </w:rPr>
      </w:pPr>
    </w:p>
    <w:p>
      <w:pPr>
        <w:rPr>
          <w:rFonts w:hint="eastAsia" w:ascii="宋体" w:hAnsi="宋体" w:cs="宋体"/>
        </w:rPr>
      </w:pPr>
    </w:p>
    <w:p>
      <w:pPr>
        <w:pStyle w:val="35"/>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fldChar w:fldCharType="begin"/>
      </w:r>
      <w:r>
        <w:instrText xml:space="preserve"> PAGEREF _Toc26602 \h </w:instrText>
      </w:r>
      <w:r>
        <w:fldChar w:fldCharType="separate"/>
      </w:r>
      <w:r>
        <w:t>2</w:t>
      </w:r>
      <w:r>
        <w:rPr>
          <w:rFonts w:hint="eastAsia"/>
          <w:lang w:val="en-US" w:eastAsia="zh-CN"/>
        </w:rPr>
        <w:t>2</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fldChar w:fldCharType="begin"/>
      </w:r>
      <w:r>
        <w:instrText xml:space="preserve"> PAGEREF _Toc5513 \h </w:instrText>
      </w:r>
      <w:r>
        <w:fldChar w:fldCharType="separate"/>
      </w:r>
      <w:r>
        <w:t>2</w:t>
      </w:r>
      <w:r>
        <w:rPr>
          <w:rFonts w:hint="eastAsia"/>
          <w:lang w:val="en-US" w:eastAsia="zh-CN"/>
        </w:rPr>
        <w:t>4</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2</w:t>
      </w:r>
    </w:p>
    <w:p>
      <w:pPr>
        <w:pStyle w:val="35"/>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4</w:t>
      </w:r>
      <w:r>
        <w:fldChar w:fldCharType="end"/>
      </w:r>
      <w:r>
        <w:rPr>
          <w:rFonts w:hint="eastAsia"/>
          <w:lang w:val="en-US" w:eastAsia="zh-CN"/>
        </w:rPr>
        <w:t>2</w:t>
      </w:r>
    </w:p>
    <w:p>
      <w:pPr>
        <w:pStyle w:val="35"/>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5</w:t>
      </w:r>
      <w:r>
        <w:fldChar w:fldCharType="end"/>
      </w:r>
      <w:r>
        <w:rPr>
          <w:rFonts w:hint="eastAsia"/>
          <w:lang w:val="en-US" w:eastAsia="zh-CN"/>
        </w:rPr>
        <w:t>1</w:t>
      </w:r>
    </w:p>
    <w:p>
      <w:pPr>
        <w:pStyle w:val="35"/>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2" w:name="_Toc10929"/>
      <w:r>
        <w:rPr>
          <w:rFonts w:hint="eastAsia" w:ascii="宋体" w:hAnsi="宋体" w:cs="宋体"/>
          <w:b/>
          <w:sz w:val="36"/>
          <w:szCs w:val="36"/>
        </w:rPr>
        <w:t>第一章   投标邀请</w:t>
      </w:r>
      <w:bookmarkEnd w:id="2"/>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color w:val="auto"/>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color w:val="auto"/>
          <w:sz w:val="24"/>
          <w:u w:val="single"/>
        </w:rPr>
        <w:t>11010726210200020404-XM001</w:t>
      </w:r>
    </w:p>
    <w:p>
      <w:pPr>
        <w:numPr>
          <w:ilvl w:val="0"/>
          <w:numId w:val="9"/>
        </w:num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2026年街道社区公共文化设施无线网络服务项目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color w:val="auto"/>
          <w:sz w:val="24"/>
          <w:u w:val="single"/>
          <w:lang w:val="en-US" w:eastAsia="zh-CN"/>
        </w:rPr>
        <w:t>173.55</w:t>
      </w:r>
      <w:r>
        <w:rPr>
          <w:rFonts w:hint="eastAsia" w:ascii="宋体" w:hAnsi="宋体" w:cs="宋体"/>
          <w:color w:val="auto"/>
          <w:sz w:val="24"/>
        </w:rPr>
        <w:t>万元、项目最高限价：</w:t>
      </w:r>
      <w:r>
        <w:rPr>
          <w:rFonts w:hint="eastAsia" w:ascii="宋体" w:hAnsi="宋体" w:cs="宋体"/>
          <w:color w:val="auto"/>
          <w:sz w:val="24"/>
          <w:u w:val="single"/>
          <w:lang w:val="en-US" w:eastAsia="zh-CN"/>
        </w:rPr>
        <w:t>173.55</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8"/>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color w:val="auto"/>
                <w:sz w:val="24"/>
              </w:rPr>
            </w:pPr>
            <w:r>
              <w:rPr>
                <w:rFonts w:hint="eastAsia" w:ascii="宋体" w:hAnsi="宋体" w:cs="宋体"/>
                <w:bCs/>
                <w:color w:val="auto"/>
                <w:sz w:val="24"/>
              </w:rPr>
              <w:t>01</w:t>
            </w:r>
          </w:p>
        </w:tc>
        <w:tc>
          <w:tcPr>
            <w:tcW w:w="1673"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eastAsia="zh-CN"/>
              </w:rPr>
              <w:t>无线网络服务</w:t>
            </w:r>
          </w:p>
        </w:tc>
        <w:tc>
          <w:tcPr>
            <w:tcW w:w="1507" w:type="dxa"/>
            <w:vAlign w:val="center"/>
          </w:tcPr>
          <w:p>
            <w:pPr>
              <w:spacing w:line="360" w:lineRule="auto"/>
              <w:jc w:val="center"/>
              <w:rPr>
                <w:rFonts w:hint="eastAsia" w:ascii="宋体" w:hAnsi="宋体" w:cs="宋体"/>
                <w:bCs/>
                <w:color w:val="auto"/>
                <w:sz w:val="24"/>
              </w:rPr>
            </w:pPr>
            <w:r>
              <w:rPr>
                <w:rFonts w:hint="eastAsia" w:ascii="宋体" w:hAnsi="宋体" w:cs="宋体"/>
                <w:color w:val="auto"/>
                <w:kern w:val="0"/>
                <w:sz w:val="24"/>
                <w:lang w:val="en-US" w:eastAsia="zh-CN" w:bidi="ar"/>
              </w:rPr>
              <w:t>173.55</w:t>
            </w:r>
          </w:p>
        </w:tc>
        <w:tc>
          <w:tcPr>
            <w:tcW w:w="973"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val="en-US" w:eastAsia="zh-CN"/>
              </w:rPr>
              <w:t>1</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2"/>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sz w:val="24"/>
          <w:lang w:eastAsia="zh-CN"/>
        </w:rPr>
        <w:t>中标人</w:t>
      </w:r>
      <w:r>
        <w:rPr>
          <w:rFonts w:hint="eastAsia" w:ascii="宋体" w:hAnsi="宋体" w:cs="宋体"/>
          <w:color w:val="auto"/>
          <w:sz w:val="24"/>
        </w:rPr>
        <w:t>完成所有点位施工后，提供为期12个月服务。</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5"/>
        <w:spacing w:before="0" w:line="360" w:lineRule="auto"/>
        <w:jc w:val="left"/>
        <w:rPr>
          <w:rFonts w:hint="eastAsia" w:ascii="宋体" w:hAnsi="宋体" w:eastAsia="宋体" w:cs="宋体"/>
          <w:sz w:val="24"/>
          <w:szCs w:val="24"/>
        </w:rPr>
      </w:pPr>
      <w:bookmarkStart w:id="3" w:name="_Toc28359003"/>
      <w:bookmarkStart w:id="4" w:name="_Toc35393791"/>
      <w:bookmarkStart w:id="5" w:name="_Toc28359080"/>
      <w:bookmarkStart w:id="6" w:name="_Toc35393622"/>
      <w:r>
        <w:rPr>
          <w:rFonts w:hint="eastAsia" w:ascii="宋体" w:hAnsi="宋体" w:eastAsia="宋体" w:cs="宋体"/>
          <w:sz w:val="24"/>
          <w:szCs w:val="24"/>
        </w:rPr>
        <w:t>二、申请人的资格要求（须同时满足）</w:t>
      </w:r>
      <w:bookmarkEnd w:id="3"/>
      <w:bookmarkEnd w:id="4"/>
      <w:bookmarkEnd w:id="5"/>
      <w:bookmarkEnd w:id="6"/>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7" w:name="_Toc35393623"/>
      <w:bookmarkStart w:id="8" w:name="_Toc35393792"/>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rPr>
      </w:pP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lang w:val="en-US" w:eastAsia="zh-CN"/>
        </w:rPr>
        <w:t xml:space="preserve"> </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：提供的货物全部由符合政策要求的中小/小微企业制造、服务全部由符合政策要求的</w:t>
      </w:r>
      <w:r>
        <w:rPr>
          <w:rFonts w:hint="eastAsia" w:ascii="宋体" w:hAnsi="宋体" w:cs="宋体"/>
          <w:color w:val="auto"/>
          <w:sz w:val="24"/>
        </w:rPr>
        <w:t>中小/小微企业承接。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7"/>
      <w:bookmarkEnd w:id="8"/>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9</w:t>
      </w:r>
      <w:r>
        <w:rPr>
          <w:rFonts w:hint="eastAsia" w:ascii="宋体" w:hAnsi="宋体" w:cs="宋体"/>
          <w:color w:val="auto"/>
          <w:sz w:val="24"/>
          <w:u w:val="single"/>
        </w:rPr>
        <w:t>月</w:t>
      </w:r>
      <w:r>
        <w:rPr>
          <w:rFonts w:hint="eastAsia" w:ascii="宋体" w:hAnsi="宋体" w:cs="宋体"/>
          <w:color w:val="auto"/>
          <w:sz w:val="24"/>
          <w:u w:val="single"/>
          <w:lang w:val="en-US" w:eastAsia="zh-CN"/>
        </w:rPr>
        <w:t>1</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9</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7</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9" w:name="_Toc28359082"/>
      <w:bookmarkStart w:id="10" w:name="_Toc28359005"/>
      <w:bookmarkStart w:id="11" w:name="_Toc35393624"/>
      <w:bookmarkStart w:id="12" w:name="_Toc35393793"/>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w:t>
      </w:r>
      <w:r>
        <w:rPr>
          <w:rFonts w:hint="eastAsia" w:ascii="宋体" w:hAnsi="宋体" w:cs="宋体"/>
          <w:sz w:val="24"/>
          <w:lang w:eastAsia="zh-CN" w:bidi="ar"/>
        </w:rPr>
        <w:t>投标人</w:t>
      </w:r>
      <w:r>
        <w:rPr>
          <w:rFonts w:hint="eastAsia" w:ascii="宋体" w:hAnsi="宋体" w:cs="宋体"/>
          <w:sz w:val="24"/>
          <w:lang w:bidi="ar"/>
        </w:rPr>
        <w:t>使用CA 数字证书或电子营业执照登录北京市政府采购电子交易平 台获取电子版招标文件。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5"/>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9"/>
      <w:bookmarkEnd w:id="10"/>
      <w:r>
        <w:rPr>
          <w:rFonts w:hint="eastAsia" w:ascii="宋体" w:hAnsi="宋体" w:eastAsia="宋体" w:cs="宋体"/>
          <w:sz w:val="24"/>
          <w:szCs w:val="24"/>
        </w:rPr>
        <w:t>截止时间、开标时间和地点</w:t>
      </w:r>
      <w:bookmarkEnd w:id="11"/>
      <w:bookmarkEnd w:id="12"/>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9</w:t>
      </w:r>
      <w:r>
        <w:rPr>
          <w:rFonts w:hint="eastAsia" w:ascii="宋体" w:hAnsi="宋体" w:cs="宋体"/>
          <w:color w:val="auto"/>
          <w:sz w:val="24"/>
          <w:u w:val="single"/>
        </w:rPr>
        <w:t>月</w:t>
      </w:r>
      <w:r>
        <w:rPr>
          <w:rFonts w:hint="eastAsia" w:ascii="宋体" w:hAnsi="宋体" w:cs="宋体"/>
          <w:color w:val="auto"/>
          <w:sz w:val="24"/>
          <w:u w:val="single"/>
          <w:lang w:val="en-US" w:eastAsia="zh-CN"/>
        </w:rPr>
        <w:t>21</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5"/>
        <w:spacing w:before="0" w:line="360" w:lineRule="auto"/>
        <w:jc w:val="left"/>
        <w:rPr>
          <w:rFonts w:hint="eastAsia" w:ascii="宋体" w:hAnsi="宋体" w:eastAsia="宋体" w:cs="宋体"/>
          <w:sz w:val="24"/>
          <w:szCs w:val="24"/>
        </w:rPr>
      </w:pPr>
      <w:bookmarkStart w:id="13" w:name="_Toc28359007"/>
      <w:bookmarkStart w:id="14" w:name="_Toc35393625"/>
      <w:bookmarkStart w:id="15" w:name="_Toc28359084"/>
      <w:bookmarkStart w:id="16" w:name="_Toc35393794"/>
      <w:r>
        <w:rPr>
          <w:rFonts w:hint="eastAsia" w:ascii="宋体" w:hAnsi="宋体" w:eastAsia="宋体" w:cs="宋体"/>
          <w:sz w:val="24"/>
          <w:szCs w:val="24"/>
        </w:rPr>
        <w:t>五、公告期限</w:t>
      </w:r>
      <w:bookmarkEnd w:id="13"/>
      <w:bookmarkEnd w:id="14"/>
      <w:bookmarkEnd w:id="15"/>
      <w:bookmarkEnd w:id="16"/>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5"/>
        <w:spacing w:before="0" w:line="360" w:lineRule="auto"/>
        <w:jc w:val="left"/>
        <w:rPr>
          <w:rFonts w:hint="eastAsia" w:ascii="宋体" w:hAnsi="宋体" w:eastAsia="宋体" w:cs="宋体"/>
          <w:sz w:val="24"/>
          <w:szCs w:val="24"/>
        </w:rPr>
      </w:pPr>
      <w:bookmarkStart w:id="17" w:name="_Toc35393795"/>
      <w:bookmarkStart w:id="18" w:name="_Toc35393626"/>
      <w:r>
        <w:rPr>
          <w:rFonts w:hint="eastAsia" w:ascii="宋体" w:hAnsi="宋体" w:eastAsia="宋体" w:cs="宋体"/>
          <w:sz w:val="24"/>
          <w:szCs w:val="24"/>
        </w:rPr>
        <w:t>六、其他补充事宜</w:t>
      </w:r>
      <w:bookmarkEnd w:id="17"/>
      <w:bookmarkEnd w:id="18"/>
    </w:p>
    <w:p>
      <w:pPr>
        <w:widowControl/>
        <w:adjustRightInd w:val="0"/>
        <w:snapToGrid w:val="0"/>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asciiTheme="minorEastAsia" w:hAnsiTheme="minorEastAsia" w:eastAsiaTheme="minorEastAsia"/>
          <w:color w:val="auto"/>
          <w:sz w:val="24"/>
        </w:rPr>
        <w:t>《中华人民共和国政府采购法》、《中华人民共和国政府采购法实施条例》、</w:t>
      </w:r>
      <w:r>
        <w:rPr>
          <w:rFonts w:hint="eastAsia" w:ascii="宋体" w:hAnsi="宋体" w:eastAsia="宋体" w:cs="宋体"/>
          <w:i w:val="0"/>
          <w:caps w:val="0"/>
          <w:color w:val="000000"/>
          <w:spacing w:val="0"/>
          <w:sz w:val="24"/>
          <w:szCs w:val="24"/>
          <w:shd w:val="clear" w:fill="FFFFFF"/>
        </w:rPr>
        <w:t>中华人民共和国财政部令第</w:t>
      </w:r>
      <w:r>
        <w:rPr>
          <w:rFonts w:hint="eastAsia" w:ascii="宋体" w:hAnsi="宋体" w:cs="宋体"/>
          <w:i w:val="0"/>
          <w:caps w:val="0"/>
          <w:color w:val="000000"/>
          <w:spacing w:val="0"/>
          <w:sz w:val="24"/>
          <w:szCs w:val="24"/>
          <w:shd w:val="clear" w:fill="FFFFFF"/>
          <w:lang w:val="en-US" w:eastAsia="zh-CN"/>
        </w:rPr>
        <w:t>87</w:t>
      </w:r>
      <w:r>
        <w:rPr>
          <w:rFonts w:hint="eastAsia" w:ascii="宋体" w:hAnsi="宋体" w:eastAsia="宋体" w:cs="宋体"/>
          <w:i w:val="0"/>
          <w:caps w:val="0"/>
          <w:color w:val="000000"/>
          <w:spacing w:val="0"/>
          <w:sz w:val="24"/>
          <w:szCs w:val="24"/>
          <w:shd w:val="clear" w:fill="FFFFFF"/>
        </w:rPr>
        <w:t>号</w:t>
      </w:r>
      <w:r>
        <w:rPr>
          <w:rFonts w:hint="eastAsia" w:asciiTheme="minorEastAsia" w:hAnsiTheme="minorEastAsia" w:eastAsiaTheme="minorEastAsia"/>
          <w:color w:val="auto"/>
          <w:sz w:val="24"/>
        </w:rPr>
        <w:t>《政府采购货物和服务招标投标管理办法》</w:t>
      </w:r>
      <w:r>
        <w:rPr>
          <w:rFonts w:hint="eastAsia" w:asciiTheme="minorEastAsia" w:hAnsiTheme="minorEastAsia" w:eastAsiaTheme="minorEastAsia"/>
          <w:color w:val="auto"/>
          <w:sz w:val="24"/>
          <w:lang w:eastAsia="zh-CN"/>
        </w:rPr>
        <w:t>、</w:t>
      </w:r>
      <w:r>
        <w:rPr>
          <w:rFonts w:hint="eastAsia" w:ascii="宋体" w:hAnsi="宋体" w:eastAsia="宋体" w:cs="宋体"/>
          <w:i w:val="0"/>
          <w:caps w:val="0"/>
          <w:color w:val="000000"/>
          <w:spacing w:val="0"/>
          <w:sz w:val="24"/>
          <w:szCs w:val="24"/>
          <w:shd w:val="clear" w:fill="FFFFFF"/>
        </w:rPr>
        <w:t>中华人民共和国财政部令第94号《政府采购质疑和投诉办法》</w:t>
      </w:r>
      <w:r>
        <w:rPr>
          <w:rFonts w:hint="eastAsia" w:ascii="宋体" w:hAnsi="宋体" w:eastAsia="宋体" w:cs="宋体"/>
          <w:i w:val="0"/>
          <w:caps w:val="0"/>
          <w:color w:val="000000"/>
          <w:spacing w:val="0"/>
          <w:sz w:val="24"/>
          <w:szCs w:val="24"/>
          <w:shd w:val="clear" w:fill="FFFFFF"/>
          <w:lang w:eastAsia="zh-CN"/>
        </w:rPr>
        <w:t>、中华人民共和国财政部令第101号《政府采购信息发布管理办法》、</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中华人民共和国财政部令第102号《政府购买服务管理办法》</w:t>
      </w:r>
      <w:r>
        <w:rPr>
          <w:rFonts w:hint="eastAsia" w:asciiTheme="minorEastAsia" w:hAnsiTheme="minorEastAsia" w:eastAsiaTheme="minorEastAsia"/>
          <w:color w:val="auto"/>
          <w:sz w:val="24"/>
          <w:lang w:eastAsia="zh-CN"/>
        </w:rPr>
        <w:t>、</w:t>
      </w:r>
      <w:r>
        <w:rPr>
          <w:rFonts w:asciiTheme="minorEastAsia" w:hAnsiTheme="minorEastAsia" w:eastAsiaTheme="minorEastAsia"/>
          <w:color w:val="auto"/>
          <w:sz w:val="24"/>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w:t>
      </w:r>
      <w:r>
        <w:rPr>
          <w:rFonts w:hint="eastAsia" w:asciiTheme="minorEastAsia" w:hAnsiTheme="minorEastAsia" w:eastAsiaTheme="minorEastAsia"/>
          <w:color w:val="auto"/>
          <w:sz w:val="24"/>
        </w:rPr>
        <w:t>、</w:t>
      </w:r>
      <w:r>
        <w:rPr>
          <w:rFonts w:ascii="宋体" w:hAnsi="宋体"/>
          <w:color w:val="auto"/>
          <w:sz w:val="24"/>
        </w:rPr>
        <w:t>《政府采购促进中小企业发展管理办法》（财库[2020]46号）</w:t>
      </w:r>
      <w:r>
        <w:rPr>
          <w:rFonts w:hint="eastAsia" w:ascii="宋体" w:hAnsi="宋体"/>
          <w:color w:val="auto"/>
          <w:sz w:val="24"/>
        </w:rPr>
        <w:t>、</w:t>
      </w:r>
      <w:r>
        <w:rPr>
          <w:rFonts w:hint="eastAsia" w:asciiTheme="minorEastAsia" w:hAnsiTheme="minorEastAsia" w:eastAsiaTheme="minorEastAsia"/>
          <w:color w:val="auto"/>
          <w:sz w:val="24"/>
        </w:rPr>
        <w:t>北京市石景山区财政局《转发北京市财政局 中国人民银行营业管理部关于推进政府采购合同线上融资有关工作的通知》</w:t>
      </w:r>
      <w:r>
        <w:rPr>
          <w:rFonts w:hint="eastAsia" w:asciiTheme="minorEastAsia" w:hAnsiTheme="minorEastAsia" w:eastAsiaTheme="minorEastAsia"/>
          <w:color w:val="auto"/>
          <w:sz w:val="24"/>
          <w:lang w:eastAsia="zh-CN"/>
        </w:rPr>
        <w:t>、</w:t>
      </w:r>
      <w:r>
        <w:rPr>
          <w:rFonts w:hint="eastAsia" w:ascii="宋体" w:hAnsi="宋体"/>
          <w:color w:val="auto"/>
          <w:sz w:val="24"/>
        </w:rPr>
        <w:t>《财政部关于推动解决政府采购异常低价问题的通知》（财办库〔2026〕2号）</w:t>
      </w:r>
      <w:r>
        <w:rPr>
          <w:rFonts w:hint="eastAsia" w:ascii="宋体" w:hAnsi="宋体"/>
          <w:color w:val="auto"/>
          <w:sz w:val="24"/>
          <w:lang w:eastAsia="zh-CN"/>
        </w:rPr>
        <w:t>、《国务院办公厅关于在政府采购中实施本国产品标准及相关政策的通知》（国办发〔2025〕34号）、《关于贯彻落实&lt;国务院办公厅关于在政府采购中实施本国产品标准及相关政策的通知&gt;的意见》（财库〔2025〕30号）、</w:t>
      </w:r>
      <w:r>
        <w:rPr>
          <w:rFonts w:hint="eastAsia" w:asciiTheme="minorEastAsia" w:hAnsiTheme="minorEastAsia" w:eastAsiaTheme="minorEastAsia"/>
          <w:color w:val="auto"/>
          <w:sz w:val="24"/>
          <w:lang w:eastAsia="zh-CN"/>
        </w:rPr>
        <w:t>北京市财政局《关于转发财政部在政府采购中实施本国产品标准和解决异常低价问题有关事项的通知》（京财采购〔2026〕211号）</w:t>
      </w:r>
      <w:r>
        <w:rPr>
          <w:rFonts w:hint="eastAsia" w:asciiTheme="minorEastAsia" w:hAnsiTheme="minorEastAsia" w:eastAsiaTheme="minorEastAsia"/>
          <w:color w:val="auto"/>
          <w:sz w:val="24"/>
        </w:rPr>
        <w:t>及其它相关法律法规。</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8"/>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w:t>
      </w:r>
      <w:r>
        <w:rPr>
          <w:rFonts w:hint="eastAsia" w:cs="宋体"/>
          <w:spacing w:val="-1"/>
          <w:lang w:eastAsia="zh-CN"/>
        </w:rPr>
        <w:t>投标人</w:t>
      </w:r>
      <w:r>
        <w:rPr>
          <w:rFonts w:hint="eastAsia" w:cs="宋体"/>
          <w:spacing w:val="-1"/>
        </w:rPr>
        <w:t>认真学习北京市政府采购电子交易</w:t>
      </w:r>
      <w:r>
        <w:rPr>
          <w:rFonts w:hint="eastAsia" w:cs="宋体"/>
          <w:spacing w:val="9"/>
        </w:rPr>
        <w:t xml:space="preserve"> </w:t>
      </w:r>
      <w:r>
        <w:rPr>
          <w:rFonts w:hint="eastAsia" w:cs="宋体"/>
          <w:spacing w:val="-1"/>
        </w:rPr>
        <w:t>平台发布的相关操作手册（</w:t>
      </w:r>
      <w:r>
        <w:rPr>
          <w:rFonts w:hint="eastAsia" w:cs="宋体"/>
          <w:spacing w:val="-1"/>
          <w:lang w:eastAsia="zh-CN"/>
        </w:rPr>
        <w:t>投标人</w:t>
      </w:r>
      <w:r>
        <w:rPr>
          <w:rFonts w:hint="eastAsia" w:cs="宋体"/>
          <w:spacing w:val="-1"/>
        </w:rPr>
        <w:t>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8"/>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8"/>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8"/>
        <w:spacing w:before="11" w:line="360" w:lineRule="auto"/>
        <w:ind w:left="14" w:right="175" w:firstLine="469"/>
        <w:rPr>
          <w:rFonts w:hint="eastAsia" w:cs="宋体"/>
        </w:rPr>
      </w:pPr>
      <w:r>
        <w:rPr>
          <w:rFonts w:hint="eastAsia" w:cs="宋体"/>
          <w:spacing w:val="3"/>
          <w:lang w:eastAsia="zh-CN"/>
        </w:rPr>
        <w:t>投标人</w:t>
      </w:r>
      <w:r>
        <w:rPr>
          <w:rFonts w:hint="eastAsia" w:cs="宋体"/>
          <w:spacing w:val="3"/>
        </w:rPr>
        <w:t>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8"/>
        <w:spacing w:before="15" w:line="360" w:lineRule="auto"/>
        <w:ind w:left="498"/>
        <w:rPr>
          <w:rFonts w:hint="eastAsia" w:cs="宋体"/>
        </w:rPr>
      </w:pPr>
      <w:r>
        <w:rPr>
          <w:rFonts w:hint="eastAsia" w:cs="宋体"/>
          <w:spacing w:val="3"/>
        </w:rPr>
        <w:t>3.2 注册</w:t>
      </w:r>
    </w:p>
    <w:p>
      <w:pPr>
        <w:pStyle w:val="18"/>
        <w:spacing w:before="174" w:line="360" w:lineRule="auto"/>
        <w:ind w:left="5" w:firstLine="479"/>
        <w:rPr>
          <w:rFonts w:hint="eastAsia" w:cs="宋体"/>
        </w:rPr>
      </w:pPr>
      <w:r>
        <w:rPr>
          <w:rFonts w:hint="eastAsia" w:cs="宋体"/>
          <w:spacing w:val="4"/>
          <w:lang w:eastAsia="zh-CN"/>
        </w:rPr>
        <w:t>投标人</w:t>
      </w:r>
      <w:r>
        <w:rPr>
          <w:rFonts w:hint="eastAsia" w:cs="宋体"/>
          <w:spacing w:val="4"/>
        </w:rPr>
        <w:t>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8"/>
        <w:spacing w:before="9" w:line="360" w:lineRule="auto"/>
        <w:ind w:left="498"/>
        <w:rPr>
          <w:rFonts w:hint="eastAsia" w:cs="宋体"/>
        </w:rPr>
      </w:pPr>
      <w:r>
        <w:rPr>
          <w:rFonts w:hint="eastAsia" w:cs="宋体"/>
          <w:spacing w:val="1"/>
        </w:rPr>
        <w:t>3.3 驱动、客户端下载</w:t>
      </w:r>
    </w:p>
    <w:p>
      <w:pPr>
        <w:pStyle w:val="18"/>
        <w:spacing w:before="180" w:line="360" w:lineRule="auto"/>
        <w:ind w:left="7" w:right="55" w:firstLine="477"/>
        <w:rPr>
          <w:rFonts w:hint="eastAsia" w:cs="宋体"/>
        </w:rPr>
      </w:pPr>
      <w:r>
        <w:rPr>
          <w:rFonts w:hint="eastAsia" w:cs="宋体"/>
          <w:spacing w:val="3"/>
          <w:lang w:eastAsia="zh-CN"/>
        </w:rPr>
        <w:t>投标人</w:t>
      </w:r>
      <w:r>
        <w:rPr>
          <w:rFonts w:hint="eastAsia" w:cs="宋体"/>
          <w:spacing w:val="3"/>
        </w:rPr>
        <w:t>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8"/>
        <w:spacing w:before="13" w:line="360" w:lineRule="auto"/>
        <w:ind w:left="6" w:firstLine="478"/>
        <w:rPr>
          <w:rFonts w:hint="eastAsia" w:cs="宋体"/>
        </w:rPr>
      </w:pPr>
      <w:r>
        <w:rPr>
          <w:rFonts w:hint="eastAsia" w:cs="宋体"/>
          <w:spacing w:val="4"/>
          <w:lang w:eastAsia="zh-CN"/>
        </w:rPr>
        <w:t>投标人</w:t>
      </w:r>
      <w:r>
        <w:rPr>
          <w:rFonts w:hint="eastAsia" w:cs="宋体"/>
          <w:spacing w:val="4"/>
        </w:rPr>
        <w:t>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8"/>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8"/>
        <w:spacing w:before="177" w:line="360" w:lineRule="auto"/>
        <w:ind w:left="7" w:right="2" w:firstLine="477"/>
        <w:rPr>
          <w:rFonts w:hint="eastAsia" w:cs="宋体"/>
        </w:rPr>
      </w:pPr>
      <w:r>
        <w:rPr>
          <w:rFonts w:hint="eastAsia" w:cs="宋体"/>
          <w:spacing w:val="-1"/>
          <w:lang w:eastAsia="zh-CN"/>
        </w:rPr>
        <w:t>投标人</w:t>
      </w:r>
      <w:r>
        <w:rPr>
          <w:rFonts w:hint="eastAsia" w:cs="宋体"/>
          <w:spacing w:val="-1"/>
        </w:rPr>
        <w:t>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8"/>
        <w:spacing w:before="10" w:line="360" w:lineRule="auto"/>
        <w:ind w:left="5" w:right="1" w:firstLine="479"/>
        <w:rPr>
          <w:rFonts w:hint="eastAsia" w:cs="宋体"/>
        </w:rPr>
      </w:pPr>
      <w:r>
        <w:rPr>
          <w:rFonts w:hint="eastAsia" w:cs="宋体"/>
          <w:spacing w:val="-1"/>
          <w:lang w:eastAsia="zh-CN"/>
        </w:rPr>
        <w:t>投标人</w:t>
      </w:r>
      <w:r>
        <w:rPr>
          <w:rFonts w:hint="eastAsia" w:cs="宋体"/>
          <w:spacing w:val="-1"/>
        </w:rPr>
        <w:t>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w:t>
      </w:r>
      <w:r>
        <w:rPr>
          <w:rFonts w:hint="eastAsia" w:cs="宋体"/>
          <w:spacing w:val="-2"/>
          <w:lang w:eastAsia="zh-CN"/>
        </w:rPr>
        <w:t>投标人</w:t>
      </w:r>
      <w:r>
        <w:rPr>
          <w:rFonts w:hint="eastAsia" w:cs="宋体"/>
          <w:spacing w:val="-2"/>
        </w:rPr>
        <w:t>无</w:t>
      </w:r>
      <w:r>
        <w:rPr>
          <w:rFonts w:hint="eastAsia" w:cs="宋体"/>
          <w:spacing w:val="-1"/>
        </w:rPr>
        <w:t>法提交相应包的电子投标文件。</w:t>
      </w:r>
    </w:p>
    <w:p>
      <w:pPr>
        <w:pStyle w:val="18"/>
        <w:spacing w:before="11" w:line="360" w:lineRule="auto"/>
        <w:ind w:left="498"/>
        <w:rPr>
          <w:rFonts w:hint="eastAsia" w:cs="宋体"/>
        </w:rPr>
      </w:pPr>
      <w:r>
        <w:rPr>
          <w:rFonts w:hint="eastAsia" w:cs="宋体"/>
          <w:spacing w:val="1"/>
        </w:rPr>
        <w:t>3.5 编制电子投标文件</w:t>
      </w:r>
    </w:p>
    <w:p>
      <w:pPr>
        <w:pStyle w:val="18"/>
        <w:spacing w:before="178" w:line="360" w:lineRule="auto"/>
        <w:ind w:right="2"/>
        <w:jc w:val="left"/>
        <w:rPr>
          <w:rFonts w:hint="eastAsia" w:cs="宋体"/>
        </w:rPr>
      </w:pPr>
      <w:r>
        <w:rPr>
          <w:rFonts w:hint="eastAsia" w:cs="宋体"/>
          <w:spacing w:val="-1"/>
          <w:lang w:eastAsia="zh-CN"/>
        </w:rPr>
        <w:t>投标人</w:t>
      </w:r>
      <w:r>
        <w:rPr>
          <w:rFonts w:hint="eastAsia" w:cs="宋体"/>
          <w:spacing w:val="-1"/>
        </w:rPr>
        <w:t>应使用电子投标客户端编制电子投标</w:t>
      </w:r>
      <w:r>
        <w:rPr>
          <w:rFonts w:hint="eastAsia" w:cs="宋体"/>
          <w:spacing w:val="-2"/>
        </w:rPr>
        <w:t>文件并进行线上投标，</w:t>
      </w:r>
      <w:r>
        <w:rPr>
          <w:rFonts w:hint="eastAsia" w:cs="宋体"/>
          <w:spacing w:val="-2"/>
          <w:lang w:eastAsia="zh-CN"/>
        </w:rPr>
        <w:t>投标人</w:t>
      </w:r>
      <w:r>
        <w:rPr>
          <w:rFonts w:hint="eastAsia" w:cs="宋体"/>
          <w:spacing w:val="-2"/>
        </w:rPr>
        <w:t>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8"/>
        <w:spacing w:before="15" w:line="360" w:lineRule="auto"/>
        <w:ind w:left="498"/>
        <w:rPr>
          <w:rFonts w:hint="eastAsia" w:cs="宋体"/>
        </w:rPr>
      </w:pPr>
      <w:r>
        <w:rPr>
          <w:rFonts w:hint="eastAsia" w:cs="宋体"/>
          <w:spacing w:val="1"/>
        </w:rPr>
        <w:t>3.6 提交电子投标文件</w:t>
      </w:r>
    </w:p>
    <w:p>
      <w:pPr>
        <w:pStyle w:val="18"/>
        <w:spacing w:before="176" w:line="360" w:lineRule="auto"/>
        <w:ind w:left="4" w:right="192" w:firstLine="480"/>
        <w:rPr>
          <w:rFonts w:hint="eastAsia" w:cs="宋体"/>
        </w:rPr>
      </w:pPr>
      <w:r>
        <w:rPr>
          <w:rFonts w:hint="eastAsia" w:cs="宋体"/>
          <w:spacing w:val="-1"/>
          <w:lang w:eastAsia="zh-CN"/>
        </w:rPr>
        <w:t>投标人</w:t>
      </w:r>
      <w:r>
        <w:rPr>
          <w:rFonts w:hint="eastAsia" w:cs="宋体"/>
          <w:spacing w:val="-1"/>
        </w:rPr>
        <w:t>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8"/>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8"/>
        <w:spacing w:before="175" w:line="360" w:lineRule="auto"/>
        <w:ind w:left="4" w:right="192" w:firstLine="480"/>
        <w:rPr>
          <w:rFonts w:hint="eastAsia" w:hAnsi="宋体" w:cs="宋体"/>
          <w:bCs/>
        </w:rPr>
      </w:pPr>
      <w:r>
        <w:rPr>
          <w:rFonts w:hint="eastAsia" w:cs="宋体"/>
          <w:spacing w:val="-1"/>
          <w:lang w:eastAsia="zh-CN"/>
        </w:rPr>
        <w:t>投标人</w:t>
      </w:r>
      <w:r>
        <w:rPr>
          <w:rFonts w:hint="eastAsia" w:cs="宋体"/>
          <w:spacing w:val="-1"/>
        </w:rPr>
        <w:t>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19" w:name="_Toc28359085"/>
      <w:bookmarkStart w:id="20" w:name="_Toc35393796"/>
      <w:bookmarkStart w:id="21" w:name="_Toc28359008"/>
      <w:bookmarkStart w:id="22" w:name="_Toc35393627"/>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19"/>
      <w:bookmarkEnd w:id="20"/>
      <w:bookmarkEnd w:id="21"/>
      <w:bookmarkEnd w:id="22"/>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3" w:name="_Toc28359086"/>
      <w:bookmarkStart w:id="24" w:name="_Toc28359009"/>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名    称：</w:t>
      </w:r>
      <w:r>
        <w:rPr>
          <w:rFonts w:hint="eastAsia" w:ascii="宋体" w:hAnsi="宋体" w:cs="宋体"/>
          <w:bCs/>
          <w:color w:val="auto"/>
          <w:sz w:val="24"/>
          <w:u w:val="single"/>
        </w:rPr>
        <w:t>北京市石景山区文化和旅游局</w:t>
      </w:r>
      <w:r>
        <w:rPr>
          <w:rFonts w:hint="eastAsia" w:ascii="宋体" w:hAnsi="宋体" w:cs="宋体"/>
          <w:color w:val="auto"/>
          <w:sz w:val="24"/>
        </w:rPr>
        <w:t xml:space="preserve"> </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北京市石景山区实兴大街30号院17号楼4层</w:t>
      </w:r>
    </w:p>
    <w:p>
      <w:pPr>
        <w:spacing w:line="360" w:lineRule="auto"/>
        <w:ind w:firstLine="480" w:firstLineChars="200"/>
        <w:jc w:val="left"/>
        <w:rPr>
          <w:rFonts w:hint="eastAsia" w:ascii="宋体" w:hAnsi="宋体" w:cs="宋体"/>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eastAsia="zh-CN"/>
        </w:rPr>
        <w:t>齐家卉</w:t>
      </w:r>
      <w:r>
        <w:rPr>
          <w:rFonts w:hint="eastAsia" w:ascii="宋体" w:hAnsi="宋体" w:cs="宋体"/>
          <w:color w:val="auto"/>
          <w:sz w:val="24"/>
          <w:u w:val="single"/>
          <w:lang w:val="en-US" w:eastAsia="zh-CN"/>
        </w:rPr>
        <w:t>010-68806453</w:t>
      </w:r>
    </w:p>
    <w:p>
      <w:pPr>
        <w:spacing w:line="360" w:lineRule="auto"/>
        <w:ind w:firstLine="482" w:firstLineChars="200"/>
        <w:jc w:val="left"/>
        <w:rPr>
          <w:rFonts w:hint="eastAsia" w:ascii="宋体" w:hAnsi="宋体" w:cs="宋体"/>
          <w:b/>
          <w:color w:val="auto"/>
          <w:sz w:val="24"/>
        </w:rPr>
      </w:pPr>
      <w:r>
        <w:rPr>
          <w:rFonts w:hint="eastAsia" w:ascii="宋体" w:hAnsi="宋体" w:cs="宋体"/>
          <w:b/>
          <w:color w:val="auto"/>
          <w:sz w:val="24"/>
        </w:rPr>
        <w:t>2.采购代理机构信息</w:t>
      </w:r>
      <w:bookmarkEnd w:id="23"/>
      <w:bookmarkEnd w:id="24"/>
    </w:p>
    <w:p>
      <w:pPr>
        <w:spacing w:line="360" w:lineRule="auto"/>
        <w:ind w:firstLine="480" w:firstLineChars="200"/>
        <w:jc w:val="left"/>
        <w:rPr>
          <w:rFonts w:hint="eastAsia" w:ascii="宋体" w:hAnsi="宋体" w:cs="宋体"/>
          <w:color w:val="auto"/>
          <w:sz w:val="24"/>
        </w:rPr>
      </w:pPr>
      <w:bookmarkStart w:id="25" w:name="_Toc28359010"/>
      <w:bookmarkStart w:id="26" w:name="_Toc28359087"/>
      <w:r>
        <w:rPr>
          <w:rFonts w:hint="eastAsia" w:ascii="宋体" w:hAnsi="宋体" w:cs="宋体"/>
          <w:color w:val="auto"/>
          <w:sz w:val="24"/>
        </w:rPr>
        <w:t>名    称：</w:t>
      </w:r>
      <w:r>
        <w:rPr>
          <w:rFonts w:hint="eastAsia" w:ascii="宋体" w:hAnsi="宋体" w:cs="宋体"/>
          <w:bCs/>
          <w:color w:val="auto"/>
          <w:sz w:val="24"/>
          <w:u w:val="single"/>
        </w:rPr>
        <w:t>北京市石景山区政府采购中心</w:t>
      </w:r>
    </w:p>
    <w:p>
      <w:pPr>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bCs/>
          <w:color w:val="auto"/>
          <w:sz w:val="24"/>
          <w:u w:val="single"/>
        </w:rPr>
        <w:t>北京市石景山区京原西街6号院3号楼7层</w:t>
      </w:r>
    </w:p>
    <w:p>
      <w:pPr>
        <w:spacing w:line="360" w:lineRule="auto"/>
        <w:ind w:firstLine="480" w:firstLineChars="200"/>
        <w:rPr>
          <w:rFonts w:hint="eastAsia" w:ascii="宋体" w:hAnsi="宋体" w:cs="宋体"/>
          <w:bCs/>
          <w:color w:val="auto"/>
          <w:sz w:val="24"/>
          <w:u w:val="single"/>
        </w:rPr>
      </w:pPr>
      <w:r>
        <w:rPr>
          <w:rFonts w:hint="eastAsia" w:ascii="宋体" w:hAnsi="宋体" w:cs="宋体"/>
          <w:color w:val="auto"/>
          <w:sz w:val="24"/>
        </w:rPr>
        <w:t>联系方式：</w:t>
      </w:r>
      <w:r>
        <w:rPr>
          <w:rFonts w:hint="eastAsia" w:ascii="宋体" w:hAnsi="宋体" w:cs="宋体"/>
          <w:color w:val="auto"/>
          <w:sz w:val="24"/>
          <w:u w:val="single"/>
          <w:lang w:val="en-US" w:eastAsia="zh-CN"/>
        </w:rPr>
        <w:t>010-</w:t>
      </w:r>
      <w:r>
        <w:rPr>
          <w:rFonts w:hint="eastAsia" w:ascii="宋体" w:hAnsi="宋体" w:cs="宋体"/>
          <w:bCs/>
          <w:color w:val="auto"/>
          <w:sz w:val="24"/>
          <w:u w:val="single"/>
        </w:rPr>
        <w:t>81927379</w:t>
      </w:r>
    </w:p>
    <w:p>
      <w:pPr>
        <w:spacing w:line="360" w:lineRule="auto"/>
        <w:ind w:firstLine="482" w:firstLineChars="200"/>
        <w:rPr>
          <w:rFonts w:hint="eastAsia" w:ascii="宋体" w:hAnsi="宋体" w:cs="宋体"/>
          <w:b/>
          <w:color w:val="auto"/>
          <w:sz w:val="24"/>
          <w:u w:val="single"/>
        </w:rPr>
      </w:pPr>
      <w:r>
        <w:rPr>
          <w:rFonts w:hint="eastAsia" w:ascii="宋体" w:hAnsi="宋体" w:cs="宋体"/>
          <w:b/>
          <w:color w:val="auto"/>
          <w:sz w:val="24"/>
        </w:rPr>
        <w:t>3.项目联系方式</w:t>
      </w:r>
      <w:bookmarkEnd w:id="25"/>
      <w:bookmarkEnd w:id="26"/>
    </w:p>
    <w:p>
      <w:pPr>
        <w:pStyle w:val="28"/>
        <w:spacing w:line="360" w:lineRule="auto"/>
        <w:ind w:firstLine="480" w:firstLineChars="200"/>
        <w:rPr>
          <w:rFonts w:hAnsi="宋体" w:cs="宋体"/>
          <w:color w:val="auto"/>
          <w:sz w:val="24"/>
          <w:szCs w:val="24"/>
          <w:u w:val="single"/>
          <w:lang w:bidi="ar"/>
        </w:rPr>
      </w:pPr>
      <w:r>
        <w:rPr>
          <w:rFonts w:hAnsi="宋体" w:cs="宋体"/>
          <w:color w:val="auto"/>
          <w:sz w:val="24"/>
          <w:szCs w:val="24"/>
        </w:rPr>
        <w:t>项目联系人：</w:t>
      </w:r>
      <w:r>
        <w:rPr>
          <w:rFonts w:hint="eastAsia" w:ascii="宋体" w:hAnsi="宋体" w:cs="宋体"/>
          <w:color w:val="auto"/>
          <w:sz w:val="24"/>
          <w:u w:val="single"/>
          <w:lang w:eastAsia="zh-CN"/>
        </w:rPr>
        <w:t>朱彦超</w:t>
      </w:r>
    </w:p>
    <w:p>
      <w:pPr>
        <w:pStyle w:val="28"/>
        <w:spacing w:line="360" w:lineRule="auto"/>
        <w:ind w:firstLine="480" w:firstLineChars="200"/>
        <w:rPr>
          <w:rFonts w:hint="eastAsia" w:hAnsi="宋体" w:cs="宋体"/>
          <w:bCs/>
          <w:color w:val="auto"/>
          <w:sz w:val="24"/>
          <w:szCs w:val="24"/>
          <w:u w:val="single"/>
          <w:lang w:val="en-US" w:eastAsia="zh-CN"/>
        </w:rPr>
      </w:pPr>
      <w:r>
        <w:rPr>
          <w:rFonts w:hAnsi="宋体" w:cs="宋体"/>
          <w:color w:val="auto"/>
          <w:sz w:val="24"/>
          <w:szCs w:val="24"/>
        </w:rPr>
        <w:t>电      话：</w:t>
      </w:r>
      <w:r>
        <w:rPr>
          <w:rFonts w:hint="eastAsia" w:hAnsi="宋体" w:cs="宋体"/>
          <w:color w:val="auto"/>
          <w:sz w:val="24"/>
          <w:szCs w:val="24"/>
          <w:u w:val="single"/>
          <w:lang w:val="en-US" w:eastAsia="zh-CN"/>
        </w:rPr>
        <w:t>010-</w:t>
      </w:r>
      <w:r>
        <w:rPr>
          <w:rFonts w:hint="eastAsia" w:hAnsi="宋体" w:cs="宋体"/>
          <w:bCs/>
          <w:color w:val="auto"/>
          <w:sz w:val="24"/>
          <w:szCs w:val="24"/>
          <w:u w:val="single"/>
          <w:lang w:val="en-US" w:eastAsia="zh-CN"/>
        </w:rPr>
        <w:t>81927379</w:t>
      </w:r>
    </w:p>
    <w:p>
      <w:pPr>
        <w:pStyle w:val="28"/>
        <w:spacing w:line="360" w:lineRule="auto"/>
        <w:ind w:firstLine="480" w:firstLineChars="200"/>
        <w:rPr>
          <w:rFonts w:hint="eastAsia" w:hAnsi="宋体" w:cs="宋体"/>
          <w:bCs/>
          <w:color w:val="000000"/>
          <w:sz w:val="24"/>
          <w:szCs w:val="24"/>
          <w:u w:val="single"/>
          <w:lang w:val="en-US" w:eastAsia="zh-CN"/>
        </w:rPr>
      </w:pPr>
    </w:p>
    <w:p>
      <w:pPr>
        <w:spacing w:before="76" w:line="360" w:lineRule="auto"/>
        <w:ind w:right="58"/>
        <w:jc w:val="center"/>
        <w:rPr>
          <w:rFonts w:hint="eastAsia" w:ascii="宋体" w:hAnsi="宋体" w:cs="宋体"/>
          <w:spacing w:val="-12"/>
          <w:sz w:val="24"/>
        </w:rPr>
      </w:pPr>
    </w:p>
    <w:p>
      <w:pPr>
        <w:pStyle w:val="5"/>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7" w:name="_Toc226965856"/>
      <w:bookmarkStart w:id="28" w:name="_Toc265228423"/>
      <w:bookmarkStart w:id="29" w:name="_Toc305158854"/>
      <w:bookmarkStart w:id="30" w:name="_Toc264969275"/>
      <w:bookmarkStart w:id="31" w:name="_Toc127151777"/>
      <w:bookmarkStart w:id="32" w:name="_Toc127161488"/>
      <w:bookmarkStart w:id="33" w:name="_Toc15240"/>
      <w:bookmarkStart w:id="34" w:name="_Toc353825548"/>
      <w:bookmarkStart w:id="35" w:name="_Toc195842950"/>
      <w:bookmarkStart w:id="36" w:name="_Toc512937850"/>
      <w:bookmarkStart w:id="37" w:name="_Toc150774783"/>
      <w:bookmarkStart w:id="38" w:name="_Toc305158928"/>
      <w:bookmarkStart w:id="39" w:name="_Toc353873938"/>
      <w:r>
        <w:rPr>
          <w:rFonts w:hint="eastAsia" w:ascii="宋体" w:hAnsi="宋体" w:cs="宋体"/>
          <w:b/>
          <w:sz w:val="36"/>
          <w:szCs w:val="36"/>
        </w:rPr>
        <w:t>第二章   投标人须知</w:t>
      </w:r>
      <w:bookmarkEnd w:id="27"/>
      <w:bookmarkEnd w:id="28"/>
      <w:bookmarkEnd w:id="29"/>
      <w:bookmarkEnd w:id="30"/>
      <w:bookmarkEnd w:id="31"/>
      <w:bookmarkEnd w:id="32"/>
      <w:bookmarkEnd w:id="33"/>
      <w:bookmarkEnd w:id="34"/>
      <w:bookmarkEnd w:id="35"/>
      <w:bookmarkEnd w:id="36"/>
      <w:bookmarkEnd w:id="37"/>
      <w:bookmarkEnd w:id="38"/>
      <w:bookmarkEnd w:id="39"/>
    </w:p>
    <w:p>
      <w:pPr>
        <w:pStyle w:val="5"/>
        <w:tabs>
          <w:tab w:val="center" w:pos="4592"/>
          <w:tab w:val="left" w:pos="7860"/>
        </w:tabs>
        <w:spacing w:before="0" w:line="360" w:lineRule="auto"/>
        <w:rPr>
          <w:rFonts w:hint="eastAsia" w:ascii="宋体" w:hAnsi="宋体" w:eastAsia="宋体" w:cs="宋体"/>
          <w:sz w:val="28"/>
        </w:rPr>
      </w:pPr>
      <w:bookmarkStart w:id="40" w:name="_Toc164608788"/>
      <w:bookmarkStart w:id="41" w:name="_Toc150774724"/>
      <w:bookmarkStart w:id="42" w:name="_Toc520356144"/>
      <w:bookmarkStart w:id="43" w:name="_Toc151193907"/>
      <w:bookmarkStart w:id="44" w:name="_Toc151193833"/>
      <w:bookmarkStart w:id="45" w:name="_Toc226965792"/>
      <w:bookmarkStart w:id="46" w:name="_Toc151193689"/>
      <w:bookmarkStart w:id="47" w:name="_Toc127151519"/>
      <w:bookmarkStart w:id="48" w:name="_Toc151190146"/>
      <w:bookmarkStart w:id="49" w:name="_Toc164608633"/>
      <w:bookmarkStart w:id="50" w:name="_Toc226965709"/>
      <w:bookmarkStart w:id="51" w:name="_Toc151193617"/>
      <w:bookmarkStart w:id="52" w:name="_Toc151193761"/>
      <w:bookmarkStart w:id="53" w:name="_Toc164229360"/>
      <w:bookmarkStart w:id="54" w:name="_Toc226337215"/>
      <w:bookmarkStart w:id="55" w:name="_Toc142311021"/>
      <w:bookmarkStart w:id="56" w:name="_Toc150509270"/>
      <w:bookmarkStart w:id="57" w:name="_Toc150480757"/>
      <w:bookmarkStart w:id="58" w:name="_Toc164351613"/>
      <w:bookmarkStart w:id="59" w:name="_Toc195842884"/>
      <w:bookmarkStart w:id="60" w:name="_Toc127151720"/>
      <w:bookmarkStart w:id="61" w:name="_Toc164229214"/>
      <w:bookmarkStart w:id="62" w:name="_Toc226309763"/>
      <w:bookmarkStart w:id="63" w:name="_Toc127161433"/>
      <w:bookmarkStart w:id="64" w:name="_Toc149720812"/>
      <w:bookmarkStart w:id="65" w:name="_Toc150774619"/>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项目属性：</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服务</w:t>
            </w:r>
          </w:p>
          <w:p>
            <w:pPr>
              <w:jc w:val="left"/>
            </w:pPr>
            <w:r>
              <w:rPr>
                <w:rFonts w:hAnsi="宋体" w:cs="宋体"/>
                <w:color w:val="auto"/>
                <w:sz w:val="24"/>
                <w:szCs w:val="24"/>
              </w:rPr>
              <w:t>□</w:t>
            </w:r>
            <w:r>
              <w:rPr>
                <w:rFonts w:hint="eastAsia" w:ascii="宋体" w:hAnsi="宋体" w:cs="宋体"/>
                <w:color w:val="auto"/>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int="eastAsia" w:ascii="宋体" w:hAnsi="宋体" w:cs="宋体"/>
                <w:szCs w:val="21"/>
              </w:rPr>
              <w:t>■</w:t>
            </w:r>
            <w:r>
              <w:rPr>
                <w:rFonts w:hAnsi="宋体" w:cs="宋体"/>
                <w:sz w:val="24"/>
                <w:szCs w:val="24"/>
              </w:rPr>
              <w:t>关于核心产品本项目不适用。</w:t>
            </w:r>
          </w:p>
          <w:p>
            <w:pPr>
              <w:pStyle w:val="28"/>
              <w:adjustRightInd w:val="0"/>
              <w:snapToGrid w:val="0"/>
              <w:rPr>
                <w:rFonts w:hAnsi="宋体" w:cs="宋体"/>
                <w:color w:val="auto"/>
                <w:sz w:val="24"/>
                <w:szCs w:val="24"/>
              </w:rPr>
            </w:pPr>
            <w:r>
              <w:rPr>
                <w:rFonts w:hAnsi="宋体" w:cs="宋体"/>
                <w:sz w:val="24"/>
                <w:szCs w:val="24"/>
              </w:rPr>
              <w:t>□本项目</w:t>
            </w:r>
            <w:r>
              <w:rPr>
                <w:rFonts w:hint="eastAsia" w:hAnsi="宋体" w:cs="宋体"/>
                <w:color w:val="auto"/>
                <w:sz w:val="24"/>
                <w:u w:val="single"/>
                <w:lang w:val="en-US" w:eastAsia="zh-CN"/>
              </w:rPr>
              <w:t xml:space="preserve">   </w:t>
            </w:r>
            <w:r>
              <w:rPr>
                <w:rFonts w:hAnsi="宋体" w:cs="宋体"/>
                <w:color w:val="auto"/>
                <w:sz w:val="24"/>
                <w:szCs w:val="24"/>
              </w:rPr>
              <w:t>包为单一产品采购项目。</w:t>
            </w:r>
          </w:p>
          <w:p>
            <w:pPr>
              <w:jc w:val="left"/>
              <w:rPr>
                <w:rFonts w:hint="eastAsia" w:ascii="宋体" w:hAnsi="宋体" w:cs="宋体"/>
                <w:sz w:val="24"/>
              </w:rPr>
            </w:pPr>
            <w:r>
              <w:rPr>
                <w:rFonts w:hint="eastAsia" w:ascii="宋体" w:hAnsi="宋体" w:cs="宋体"/>
                <w:color w:val="auto"/>
                <w:sz w:val="24"/>
              </w:rPr>
              <w:t>□本项目</w:t>
            </w:r>
            <w:r>
              <w:rPr>
                <w:rFonts w:hint="eastAsia" w:ascii="宋体" w:hAnsi="宋体" w:cs="宋体"/>
                <w:color w:val="auto"/>
                <w:sz w:val="24"/>
                <w:u w:val="single"/>
                <w:lang w:val="en-US" w:eastAsia="zh-CN"/>
              </w:rPr>
              <w:t xml:space="preserve">   </w:t>
            </w:r>
            <w:r>
              <w:rPr>
                <w:rFonts w:hint="eastAsia" w:ascii="宋体" w:hAnsi="宋体" w:cs="宋体"/>
                <w:color w:val="auto"/>
                <w:sz w:val="24"/>
              </w:rPr>
              <w:t>包为非单一产品采购项目，核心产品为：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不组织</w:t>
            </w:r>
          </w:p>
          <w:p>
            <w:pPr>
              <w:jc w:val="left"/>
              <w:rPr>
                <w:rFonts w:hint="eastAsia" w:ascii="宋体" w:hAnsi="宋体" w:cs="宋体"/>
                <w:bCs/>
                <w:sz w:val="24"/>
              </w:rPr>
            </w:pPr>
            <w:r>
              <w:rPr>
                <w:rFonts w:hint="eastAsia" w:ascii="宋体" w:hAnsi="宋体" w:cs="宋体"/>
                <w:sz w:val="24"/>
              </w:rPr>
              <w:t>□组织，考察时间：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年</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月</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日</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lang w:bidi="ar"/>
              </w:rPr>
              <w:t>分</w:t>
            </w:r>
          </w:p>
          <w:p>
            <w:pPr>
              <w:pStyle w:val="28"/>
              <w:adjustRightInd w:val="0"/>
              <w:snapToGrid w:val="0"/>
              <w:rPr>
                <w:rFonts w:hAnsi="宋体" w:cs="宋体"/>
                <w:sz w:val="24"/>
                <w:szCs w:val="24"/>
              </w:rPr>
            </w:pPr>
            <w:r>
              <w:rPr>
                <w:rFonts w:hAnsi="宋体" w:cs="宋体"/>
                <w:sz w:val="24"/>
              </w:rPr>
              <w:t>考察地点：</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u w:val="single"/>
              </w:rPr>
              <w:t xml:space="preserve">    </w:t>
            </w:r>
            <w:r>
              <w:rPr>
                <w:rFonts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sz w:val="24"/>
              </w:rPr>
            </w:pPr>
            <w:r>
              <w:rPr>
                <w:rFonts w:hint="eastAsia" w:ascii="宋体" w:hAnsi="宋体" w:cs="宋体"/>
                <w:sz w:val="24"/>
              </w:rPr>
              <w:t>□不召开</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召开，召开时间</w:t>
            </w:r>
            <w:r>
              <w:rPr>
                <w:rFonts w:hint="eastAsia" w:ascii="宋体" w:hAnsi="宋体" w:cs="宋体"/>
                <w:color w:val="auto"/>
                <w:sz w:val="24"/>
              </w:rPr>
              <w:t>：</w:t>
            </w:r>
            <w:r>
              <w:rPr>
                <w:rFonts w:hint="eastAsia" w:ascii="宋体" w:hAnsi="宋体" w:cs="宋体"/>
                <w:color w:val="auto"/>
                <w:sz w:val="24"/>
                <w:u w:val="single"/>
                <w:lang w:val="en-US" w:eastAsia="zh-CN"/>
              </w:rPr>
              <w:t>2026</w:t>
            </w:r>
            <w:r>
              <w:rPr>
                <w:rFonts w:hint="eastAsia" w:ascii="宋体" w:hAnsi="宋体" w:cs="宋体"/>
                <w:color w:val="auto"/>
                <w:sz w:val="24"/>
                <w:lang w:bidi="ar"/>
              </w:rPr>
              <w:t>年</w:t>
            </w:r>
            <w:r>
              <w:rPr>
                <w:rFonts w:hint="eastAsia" w:ascii="宋体" w:hAnsi="宋体" w:cs="宋体"/>
                <w:color w:val="auto"/>
                <w:sz w:val="24"/>
                <w:u w:val="single"/>
                <w:lang w:val="en-US" w:eastAsia="zh-CN"/>
              </w:rPr>
              <w:t>9</w:t>
            </w:r>
            <w:r>
              <w:rPr>
                <w:rFonts w:hint="eastAsia" w:ascii="宋体" w:hAnsi="宋体" w:cs="宋体"/>
                <w:color w:val="auto"/>
                <w:sz w:val="24"/>
                <w:lang w:bidi="ar"/>
              </w:rPr>
              <w:t>月</w:t>
            </w:r>
            <w:r>
              <w:rPr>
                <w:rFonts w:hint="eastAsia" w:ascii="宋体" w:hAnsi="宋体" w:cs="宋体"/>
                <w:color w:val="auto"/>
                <w:sz w:val="24"/>
                <w:u w:val="single"/>
                <w:lang w:val="en-US" w:eastAsia="zh-CN"/>
              </w:rPr>
              <w:t>8</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sz w:val="24"/>
                <w:lang w:bidi="ar"/>
              </w:rPr>
              <w:t>分</w:t>
            </w:r>
          </w:p>
          <w:p>
            <w:pPr>
              <w:jc w:val="left"/>
              <w:rPr>
                <w:rFonts w:hint="eastAsia" w:ascii="宋体" w:hAnsi="宋体" w:cs="宋体"/>
                <w:sz w:val="24"/>
              </w:rPr>
            </w:pPr>
            <w:r>
              <w:rPr>
                <w:rFonts w:hint="eastAsia" w:ascii="宋体" w:hAnsi="宋体" w:cs="宋体"/>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469"/>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bCs/>
                      <w:sz w:val="24"/>
                      <w:lang w:eastAsia="zh-CN"/>
                    </w:rPr>
                    <w:t>包号</w:t>
                  </w:r>
                </w:p>
              </w:tc>
              <w:tc>
                <w:tcPr>
                  <w:tcW w:w="24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0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color w:val="auto"/>
                      <w:sz w:val="24"/>
                      <w:lang w:val="en-US" w:eastAsia="zh-CN"/>
                    </w:rPr>
                  </w:pPr>
                  <w:r>
                    <w:rPr>
                      <w:rFonts w:hint="eastAsia" w:ascii="宋体" w:hAnsi="宋体" w:cs="宋体"/>
                      <w:bCs/>
                      <w:color w:val="auto"/>
                      <w:sz w:val="24"/>
                      <w:lang w:val="en-US" w:eastAsia="zh-CN"/>
                    </w:rPr>
                    <w:t>01</w:t>
                  </w:r>
                </w:p>
              </w:tc>
              <w:tc>
                <w:tcPr>
                  <w:tcW w:w="24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u w:val="single"/>
                      <w:lang w:eastAsia="zh-CN"/>
                    </w:rPr>
                  </w:pPr>
                  <w:r>
                    <w:rPr>
                      <w:rFonts w:hint="eastAsia" w:ascii="宋体" w:hAnsi="宋体" w:cs="宋体"/>
                      <w:color w:val="auto"/>
                      <w:sz w:val="24"/>
                      <w:u w:val="single"/>
                      <w:lang w:eastAsia="zh-CN"/>
                    </w:rPr>
                    <w:t>无线网络服务</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信息传输业</w:t>
                  </w:r>
                </w:p>
              </w:tc>
            </w:tr>
          </w:tbl>
          <w:p>
            <w:pPr>
              <w:pStyle w:val="22"/>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6"/>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6"/>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6"/>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6"/>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6"/>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6"/>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6"/>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637号）。有需求的投标人，可按上述通知要求办理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240" w:beforeLines="100" w:after="240" w:afterLines="100"/>
        <w:jc w:val="center"/>
        <w:rPr>
          <w:b/>
          <w:sz w:val="28"/>
          <w:szCs w:val="28"/>
        </w:rPr>
      </w:pPr>
      <w:bookmarkStart w:id="66" w:name="_Toc353873932"/>
      <w:bookmarkStart w:id="67" w:name="_Toc195842882"/>
      <w:bookmarkStart w:id="68" w:name="_Toc264969207"/>
      <w:bookmarkStart w:id="69" w:name="_Toc226337213"/>
      <w:bookmarkStart w:id="70" w:name="_Toc353825542"/>
      <w:bookmarkStart w:id="71" w:name="_Toc142311019"/>
      <w:bookmarkStart w:id="72" w:name="_Toc265228355"/>
      <w:bookmarkStart w:id="73" w:name="_Toc150480755"/>
      <w:bookmarkStart w:id="74" w:name="_Toc305158785"/>
      <w:bookmarkStart w:id="75" w:name="_Toc127151517"/>
      <w:bookmarkStart w:id="76" w:name="_Toc150774722"/>
      <w:bookmarkStart w:id="77" w:name="_Toc226965790"/>
      <w:bookmarkStart w:id="78" w:name="_Toc353873662"/>
      <w:bookmarkStart w:id="79" w:name="_Toc305158859"/>
      <w:r>
        <w:rPr>
          <w:b/>
          <w:sz w:val="28"/>
          <w:szCs w:val="28"/>
        </w:rPr>
        <w:t>投标人须知</w:t>
      </w:r>
    </w:p>
    <w:p>
      <w:pPr>
        <w:pStyle w:val="5"/>
        <w:tabs>
          <w:tab w:val="center" w:pos="4592"/>
          <w:tab w:val="left" w:pos="7860"/>
        </w:tabs>
        <w:spacing w:before="0" w:line="360" w:lineRule="auto"/>
        <w:jc w:val="left"/>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一   说  明</w:t>
      </w:r>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r>
        <w:rPr>
          <w:sz w:val="24"/>
        </w:rPr>
        <w:t>采购人、采购代理机构、投标人、联合体</w:t>
      </w:r>
    </w:p>
    <w:p>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lang w:eastAsia="zh-CN"/>
        </w:rPr>
        <w:t>投标人</w:t>
      </w:r>
      <w:r>
        <w:rPr>
          <w:sz w:val="24"/>
        </w:rPr>
        <w:t>”、“申请人”）：指向采购人提供货物、工程或者服务的法人、其他组织或者自然人。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w:t>
      </w:r>
      <w:r>
        <w:rPr>
          <w:rFonts w:hint="eastAsia"/>
          <w:sz w:val="24"/>
          <w:lang w:eastAsia="zh-CN"/>
        </w:rPr>
        <w:t>投标人</w:t>
      </w:r>
      <w:r>
        <w:rPr>
          <w:sz w:val="24"/>
        </w:rPr>
        <w:t>的身份共同参加政府采购。</w:t>
      </w:r>
    </w:p>
    <w:p>
      <w:pPr>
        <w:numPr>
          <w:ilvl w:val="0"/>
          <w:numId w:val="10"/>
        </w:numPr>
        <w:tabs>
          <w:tab w:val="left" w:pos="360"/>
          <w:tab w:val="clear" w:pos="900"/>
        </w:tabs>
        <w:snapToGrid w:val="0"/>
        <w:spacing w:line="360" w:lineRule="auto"/>
        <w:ind w:left="357" w:hanging="357"/>
        <w:outlineLvl w:val="1"/>
        <w:rPr>
          <w:sz w:val="24"/>
        </w:rPr>
      </w:pPr>
      <w:r>
        <w:rPr>
          <w:sz w:val="24"/>
        </w:rPr>
        <w:t>资金来源、项目属性、科研仪器设备采购、核心产品</w:t>
      </w:r>
    </w:p>
    <w:p>
      <w:pPr>
        <w:numPr>
          <w:ilvl w:val="1"/>
          <w:numId w:val="10"/>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p>
    <w:p>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1080" w:hanging="720"/>
        <w:rPr>
          <w:sz w:val="24"/>
        </w:rPr>
      </w:pPr>
      <w:r>
        <w:rPr>
          <w:sz w:val="24"/>
        </w:rPr>
        <w:t>采购本国货物、工程和服务</w:t>
      </w:r>
    </w:p>
    <w:p>
      <w:pPr>
        <w:numPr>
          <w:ilvl w:val="2"/>
          <w:numId w:val="10"/>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10"/>
        </w:numPr>
        <w:tabs>
          <w:tab w:val="left" w:pos="2014"/>
        </w:tabs>
        <w:snapToGrid w:val="0"/>
        <w:spacing w:line="360" w:lineRule="auto"/>
        <w:rPr>
          <w:sz w:val="24"/>
        </w:rPr>
      </w:pPr>
      <w:r>
        <w:rPr>
          <w:sz w:val="24"/>
        </w:rPr>
        <w:t>本项目如接受非本国货物、工程、服务参与投标，则具体要求见第五章《采购需求》。</w:t>
      </w:r>
    </w:p>
    <w:p>
      <w:pPr>
        <w:numPr>
          <w:ilvl w:val="2"/>
          <w:numId w:val="10"/>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10"/>
        </w:numPr>
        <w:tabs>
          <w:tab w:val="left" w:pos="1080"/>
          <w:tab w:val="left" w:pos="2014"/>
        </w:tabs>
        <w:snapToGrid w:val="0"/>
        <w:spacing w:line="360" w:lineRule="auto"/>
        <w:ind w:left="1080" w:hanging="720"/>
        <w:rPr>
          <w:sz w:val="24"/>
        </w:rPr>
      </w:pPr>
      <w:r>
        <w:rPr>
          <w:rFonts w:hint="eastAsia"/>
          <w:sz w:val="24"/>
        </w:rPr>
        <w:t>本国产品</w:t>
      </w:r>
    </w:p>
    <w:p>
      <w:pPr>
        <w:tabs>
          <w:tab w:val="left" w:pos="900"/>
          <w:tab w:val="left" w:pos="1080"/>
          <w:tab w:val="left" w:pos="1589"/>
        </w:tabs>
        <w:snapToGrid w:val="0"/>
        <w:spacing w:line="360" w:lineRule="auto"/>
        <w:ind w:left="1080"/>
        <w:rPr>
          <w:sz w:val="24"/>
        </w:rPr>
      </w:pPr>
      <w:bookmarkStart w:id="80"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80"/>
      <w:r>
        <w:rPr>
          <w:rFonts w:hint="eastAsia"/>
          <w:sz w:val="24"/>
        </w:rPr>
        <w:t>，落实本国产品</w:t>
      </w:r>
      <w:r>
        <w:rPr>
          <w:rFonts w:hint="eastAsia"/>
          <w:sz w:val="24"/>
          <w:lang w:eastAsia="zh-CN"/>
        </w:rPr>
        <w:t>标准</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rFonts w:hint="eastAsia"/>
          <w:sz w:val="24"/>
          <w:lang w:eastAsia="zh-CN"/>
        </w:rPr>
        <w:t>投标人</w:t>
      </w:r>
      <w:r>
        <w:rPr>
          <w:sz w:val="24"/>
        </w:rPr>
        <w:t>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sz w:val="24"/>
        </w:rPr>
        <w:t>在货物采购项目中，</w:t>
      </w:r>
      <w:r>
        <w:rPr>
          <w:rFonts w:hint="eastAsia"/>
          <w:sz w:val="24"/>
          <w:lang w:eastAsia="zh-CN"/>
        </w:rPr>
        <w:t>投标人</w:t>
      </w:r>
      <w:r>
        <w:rPr>
          <w:sz w:val="24"/>
        </w:rPr>
        <w:t>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104"/>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小微企业价格评审优惠的政策调整：见第四章《评标程序、评标方法和评标标准》。</w:t>
      </w:r>
    </w:p>
    <w:p>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10"/>
        </w:numPr>
        <w:tabs>
          <w:tab w:val="left" w:pos="1080"/>
          <w:tab w:val="left" w:pos="2014"/>
        </w:tabs>
        <w:snapToGrid w:val="0"/>
        <w:spacing w:line="360" w:lineRule="auto"/>
        <w:ind w:left="1080" w:hanging="720"/>
        <w:rPr>
          <w:sz w:val="24"/>
        </w:rPr>
      </w:pPr>
      <w:r>
        <w:rPr>
          <w:sz w:val="24"/>
        </w:rPr>
        <w:t>正版软件</w:t>
      </w:r>
    </w:p>
    <w:p>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sz w:val="24"/>
        </w:rPr>
      </w:pPr>
      <w:r>
        <w:rPr>
          <w:rFonts w:eastAsiaTheme="minorEastAsia"/>
          <w:sz w:val="24"/>
        </w:rPr>
        <w:t>网络安全专用产品</w:t>
      </w:r>
    </w:p>
    <w:p>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0"/>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w:t>
      </w:r>
      <w:r>
        <w:rPr>
          <w:rFonts w:hint="eastAsia"/>
          <w:sz w:val="24"/>
          <w:lang w:eastAsia="zh-CN"/>
        </w:rPr>
        <w:t>投标人</w:t>
      </w:r>
      <w:r>
        <w:rPr>
          <w:sz w:val="24"/>
        </w:rPr>
        <w:t>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sz w:val="24"/>
        </w:rPr>
      </w:pPr>
      <w:r>
        <w:rPr>
          <w:sz w:val="24"/>
        </w:rPr>
        <w:t>采购需求标准</w:t>
      </w:r>
    </w:p>
    <w:p>
      <w:pPr>
        <w:numPr>
          <w:ilvl w:val="2"/>
          <w:numId w:val="10"/>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10"/>
        </w:numPr>
        <w:tabs>
          <w:tab w:val="left" w:pos="2014"/>
        </w:tabs>
        <w:snapToGrid w:val="0"/>
        <w:spacing w:line="360" w:lineRule="auto"/>
        <w:rPr>
          <w:sz w:val="24"/>
        </w:rPr>
      </w:pPr>
      <w:bookmarkStart w:id="81" w:name="_Hlk164953935"/>
      <w:r>
        <w:rPr>
          <w:sz w:val="24"/>
        </w:rPr>
        <w:t xml:space="preserve">其他政府采购需求标准 </w:t>
      </w:r>
    </w:p>
    <w:bookmarkEnd w:id="81"/>
    <w:p>
      <w:pPr>
        <w:tabs>
          <w:tab w:val="left" w:pos="900"/>
          <w:tab w:val="left" w:pos="1980"/>
        </w:tabs>
        <w:snapToGrid w:val="0"/>
        <w:spacing w:line="360" w:lineRule="auto"/>
        <w:ind w:left="1980"/>
        <w:rPr>
          <w:sz w:val="24"/>
        </w:rPr>
      </w:pPr>
      <w:bookmarkStart w:id="82" w:name="_Hlk164955325"/>
      <w:r>
        <w:rPr>
          <w:sz w:val="24"/>
        </w:rPr>
        <w:t>为贯彻落实《深化政府采购制度改革方案》有关要求，推动政府采购需求标准建设</w:t>
      </w:r>
      <w:bookmarkEnd w:id="82"/>
      <w:r>
        <w:rPr>
          <w:sz w:val="24"/>
        </w:rPr>
        <w:t>，财政部门会同有关部门制定发布的其他政府采购需求标准，本项目如涉及，则具体要求见第五章《采购需求》。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p>
    <w:p>
      <w:pPr>
        <w:pStyle w:val="5"/>
        <w:spacing w:before="0" w:line="360" w:lineRule="auto"/>
        <w:rPr>
          <w:rFonts w:ascii="Times New Roman" w:hAnsi="Times New Roman" w:eastAsia="宋体"/>
          <w:sz w:val="28"/>
        </w:rPr>
      </w:pPr>
      <w:r>
        <w:rPr>
          <w:rFonts w:ascii="Times New Roman" w:hAnsi="Times New Roman" w:eastAsia="宋体"/>
          <w:sz w:val="28"/>
        </w:rPr>
        <w:t>二   招标文件</w:t>
      </w:r>
    </w:p>
    <w:p>
      <w:pPr>
        <w:numPr>
          <w:ilvl w:val="0"/>
          <w:numId w:val="10"/>
        </w:numPr>
        <w:tabs>
          <w:tab w:val="left" w:pos="360"/>
        </w:tabs>
        <w:snapToGrid w:val="0"/>
        <w:spacing w:line="360" w:lineRule="auto"/>
        <w:ind w:left="357" w:hanging="357"/>
        <w:outlineLvl w:val="1"/>
        <w:rPr>
          <w:sz w:val="24"/>
        </w:rPr>
      </w:pPr>
      <w:r>
        <w:rPr>
          <w:sz w:val="24"/>
        </w:rPr>
        <w:t>招标文件构成</w:t>
      </w:r>
    </w:p>
    <w:p>
      <w:pPr>
        <w:numPr>
          <w:ilvl w:val="1"/>
          <w:numId w:val="10"/>
        </w:numPr>
        <w:tabs>
          <w:tab w:val="left" w:pos="1080"/>
          <w:tab w:val="left" w:pos="2014"/>
        </w:tabs>
        <w:snapToGrid w:val="0"/>
        <w:spacing w:line="360" w:lineRule="auto"/>
        <w:ind w:left="1080" w:hanging="720"/>
        <w:rPr>
          <w:sz w:val="24"/>
        </w:rPr>
      </w:pPr>
      <w:r>
        <w:rPr>
          <w:sz w:val="24"/>
        </w:rPr>
        <w:t>招标文件包括以下部分：</w:t>
      </w:r>
    </w:p>
    <w:p>
      <w:pPr>
        <w:numPr>
          <w:ilvl w:val="0"/>
          <w:numId w:val="8"/>
        </w:numPr>
        <w:tabs>
          <w:tab w:val="left" w:pos="1980"/>
          <w:tab w:val="left" w:pos="2520"/>
        </w:tabs>
        <w:snapToGrid w:val="0"/>
        <w:spacing w:line="360" w:lineRule="auto"/>
        <w:ind w:left="1440" w:firstLine="5"/>
        <w:rPr>
          <w:sz w:val="24"/>
        </w:rPr>
      </w:pPr>
      <w:r>
        <w:rPr>
          <w:sz w:val="24"/>
        </w:rPr>
        <w:t>投标邀请</w:t>
      </w:r>
    </w:p>
    <w:p>
      <w:pPr>
        <w:numPr>
          <w:ilvl w:val="0"/>
          <w:numId w:val="8"/>
        </w:numPr>
        <w:tabs>
          <w:tab w:val="left" w:pos="1980"/>
          <w:tab w:val="left" w:pos="2520"/>
        </w:tabs>
        <w:snapToGrid w:val="0"/>
        <w:spacing w:line="360" w:lineRule="auto"/>
        <w:ind w:left="1440" w:firstLine="5"/>
        <w:rPr>
          <w:sz w:val="24"/>
        </w:rPr>
      </w:pPr>
      <w:r>
        <w:rPr>
          <w:sz w:val="24"/>
        </w:rPr>
        <w:t>投标人须知</w:t>
      </w:r>
    </w:p>
    <w:p>
      <w:pPr>
        <w:numPr>
          <w:ilvl w:val="0"/>
          <w:numId w:val="8"/>
        </w:numPr>
        <w:tabs>
          <w:tab w:val="left" w:pos="1980"/>
          <w:tab w:val="left" w:pos="2520"/>
        </w:tabs>
        <w:snapToGrid w:val="0"/>
        <w:spacing w:line="360" w:lineRule="auto"/>
        <w:ind w:left="1440" w:firstLine="5"/>
        <w:rPr>
          <w:sz w:val="24"/>
        </w:rPr>
      </w:pPr>
      <w:r>
        <w:rPr>
          <w:sz w:val="24"/>
        </w:rPr>
        <w:t>资格审查</w:t>
      </w:r>
    </w:p>
    <w:p>
      <w:pPr>
        <w:numPr>
          <w:ilvl w:val="0"/>
          <w:numId w:val="8"/>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8"/>
        </w:numPr>
        <w:tabs>
          <w:tab w:val="left" w:pos="1980"/>
          <w:tab w:val="left" w:pos="2520"/>
        </w:tabs>
        <w:snapToGrid w:val="0"/>
        <w:spacing w:line="360" w:lineRule="auto"/>
        <w:ind w:left="1440" w:firstLine="5"/>
        <w:rPr>
          <w:sz w:val="24"/>
        </w:rPr>
      </w:pPr>
      <w:r>
        <w:rPr>
          <w:sz w:val="24"/>
        </w:rPr>
        <w:t>采购需求</w:t>
      </w:r>
    </w:p>
    <w:p>
      <w:pPr>
        <w:numPr>
          <w:ilvl w:val="0"/>
          <w:numId w:val="8"/>
        </w:numPr>
        <w:tabs>
          <w:tab w:val="left" w:pos="1980"/>
          <w:tab w:val="left" w:pos="2520"/>
        </w:tabs>
        <w:snapToGrid w:val="0"/>
        <w:spacing w:line="360" w:lineRule="auto"/>
        <w:ind w:left="1440" w:firstLine="5"/>
        <w:rPr>
          <w:sz w:val="24"/>
        </w:rPr>
      </w:pPr>
      <w:r>
        <w:rPr>
          <w:sz w:val="24"/>
        </w:rPr>
        <w:t>拟签订的合同文本</w:t>
      </w:r>
    </w:p>
    <w:p>
      <w:pPr>
        <w:numPr>
          <w:ilvl w:val="0"/>
          <w:numId w:val="8"/>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p>
    <w:p>
      <w:pPr>
        <w:pStyle w:val="5"/>
        <w:spacing w:before="0" w:line="360" w:lineRule="auto"/>
        <w:rPr>
          <w:rFonts w:ascii="Times New Roman" w:hAnsi="Times New Roman" w:eastAsia="宋体"/>
          <w:sz w:val="28"/>
        </w:rPr>
      </w:pPr>
      <w:r>
        <w:rPr>
          <w:rFonts w:ascii="Times New Roman" w:hAnsi="Times New Roman" w:eastAsia="宋体"/>
          <w:sz w:val="28"/>
        </w:rPr>
        <w:t>三   投标文件的编制</w:t>
      </w:r>
    </w:p>
    <w:p>
      <w:pPr>
        <w:numPr>
          <w:ilvl w:val="0"/>
          <w:numId w:val="10"/>
        </w:numPr>
        <w:tabs>
          <w:tab w:val="left" w:pos="360"/>
        </w:tabs>
        <w:snapToGrid w:val="0"/>
        <w:spacing w:line="360" w:lineRule="auto"/>
        <w:ind w:left="357" w:hanging="357"/>
        <w:outlineLvl w:val="1"/>
        <w:rPr>
          <w:sz w:val="24"/>
        </w:rPr>
      </w:pPr>
      <w:r>
        <w:rPr>
          <w:sz w:val="24"/>
        </w:rPr>
        <w:t>投标范围、投标文件中计量单位的使用及投标语言</w:t>
      </w:r>
    </w:p>
    <w:p>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r>
        <w:rPr>
          <w:sz w:val="24"/>
        </w:rPr>
        <w:t>投标文件构成</w:t>
      </w:r>
    </w:p>
    <w:p>
      <w:pPr>
        <w:numPr>
          <w:ilvl w:val="1"/>
          <w:numId w:val="10"/>
        </w:numPr>
        <w:tabs>
          <w:tab w:val="left" w:pos="1080"/>
          <w:tab w:val="left" w:pos="2014"/>
        </w:tabs>
        <w:snapToGrid w:val="0"/>
        <w:spacing w:line="360" w:lineRule="auto"/>
        <w:ind w:left="1077" w:hanging="720"/>
        <w:rPr>
          <w:sz w:val="24"/>
        </w:rPr>
      </w:pPr>
      <w:r>
        <w:rPr>
          <w:sz w:val="24"/>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sz w:val="24"/>
        </w:rPr>
      </w:pPr>
      <w:r>
        <w:rPr>
          <w:sz w:val="24"/>
        </w:rPr>
        <w:t>投标人认为应附的其他材料。</w:t>
      </w:r>
    </w:p>
    <w:p>
      <w:pPr>
        <w:numPr>
          <w:ilvl w:val="0"/>
          <w:numId w:val="10"/>
        </w:numPr>
        <w:tabs>
          <w:tab w:val="left" w:pos="360"/>
        </w:tabs>
        <w:snapToGrid w:val="0"/>
        <w:spacing w:line="360" w:lineRule="auto"/>
        <w:ind w:left="357" w:hanging="357"/>
        <w:outlineLvl w:val="1"/>
        <w:rPr>
          <w:sz w:val="24"/>
        </w:rPr>
      </w:pPr>
      <w:r>
        <w:rPr>
          <w:sz w:val="24"/>
        </w:rPr>
        <w:t>投标报价</w:t>
      </w:r>
    </w:p>
    <w:p>
      <w:pPr>
        <w:numPr>
          <w:ilvl w:val="1"/>
          <w:numId w:val="10"/>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10"/>
        </w:numPr>
        <w:snapToGrid w:val="0"/>
        <w:spacing w:line="360" w:lineRule="auto"/>
        <w:rPr>
          <w:sz w:val="24"/>
        </w:rPr>
      </w:pPr>
      <w:r>
        <w:rPr>
          <w:sz w:val="24"/>
        </w:rPr>
        <w:t xml:space="preserve">按照招标文件要求完成本项目的全部相关费用。 </w:t>
      </w:r>
    </w:p>
    <w:p>
      <w:pPr>
        <w:numPr>
          <w:ilvl w:val="1"/>
          <w:numId w:val="10"/>
        </w:numPr>
        <w:tabs>
          <w:tab w:val="left" w:pos="1080"/>
          <w:tab w:val="left" w:pos="2014"/>
        </w:tabs>
        <w:snapToGrid w:val="0"/>
        <w:spacing w:line="360" w:lineRule="auto"/>
        <w:ind w:left="1077" w:hanging="720"/>
        <w:rPr>
          <w:sz w:val="24"/>
        </w:rPr>
      </w:pPr>
      <w:r>
        <w:rPr>
          <w:sz w:val="24"/>
        </w:rPr>
        <w:t>采购人不得向</w:t>
      </w:r>
      <w:r>
        <w:rPr>
          <w:rFonts w:hint="eastAsia"/>
          <w:sz w:val="24"/>
          <w:lang w:eastAsia="zh-CN"/>
        </w:rPr>
        <w:t>投标人</w:t>
      </w:r>
      <w:r>
        <w:rPr>
          <w:sz w:val="24"/>
        </w:rPr>
        <w:t>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r>
        <w:rPr>
          <w:sz w:val="24"/>
        </w:rPr>
        <w:t>投标保证金</w:t>
      </w:r>
      <w:r>
        <w:rPr>
          <w:rFonts w:hint="eastAsia"/>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sz w:val="24"/>
        </w:rPr>
      </w:pPr>
      <w:r>
        <w:rPr>
          <w:sz w:val="24"/>
        </w:rPr>
        <w:t>投标有效期</w:t>
      </w:r>
    </w:p>
    <w:p>
      <w:pPr>
        <w:numPr>
          <w:ilvl w:val="1"/>
          <w:numId w:val="10"/>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83" w:name="_Toc142311035"/>
      <w:bookmarkStart w:id="84" w:name="_Toc164608802"/>
      <w:bookmarkStart w:id="85" w:name="_Toc151193847"/>
      <w:bookmarkStart w:id="86" w:name="_Toc164608647"/>
      <w:bookmarkStart w:id="87" w:name="_Toc226965806"/>
      <w:bookmarkStart w:id="88" w:name="_Toc127151533"/>
      <w:bookmarkStart w:id="89" w:name="_Toc149720826"/>
      <w:bookmarkStart w:id="90" w:name="_Toc150774633"/>
      <w:bookmarkStart w:id="91" w:name="_Toc151193921"/>
      <w:bookmarkStart w:id="92" w:name="_Toc164229374"/>
      <w:bookmarkStart w:id="93" w:name="_Toc127151734"/>
      <w:bookmarkStart w:id="94" w:name="_Toc305158801"/>
      <w:bookmarkStart w:id="95" w:name="_Toc520356158"/>
      <w:bookmarkStart w:id="96" w:name="_Toc226309777"/>
      <w:bookmarkStart w:id="97" w:name="_Toc226965723"/>
      <w:bookmarkStart w:id="98" w:name="_Toc150774738"/>
      <w:bookmarkStart w:id="99" w:name="_Toc150480771"/>
      <w:bookmarkStart w:id="100" w:name="_Toc127161447"/>
      <w:bookmarkStart w:id="101" w:name="_Toc151193703"/>
      <w:bookmarkStart w:id="102" w:name="_Toc264969223"/>
      <w:bookmarkStart w:id="103" w:name="_Toc195842898"/>
      <w:bookmarkStart w:id="104" w:name="_Toc164229228"/>
      <w:bookmarkStart w:id="105" w:name="_Toc151190160"/>
      <w:bookmarkStart w:id="106" w:name="_Toc151193775"/>
      <w:bookmarkStart w:id="107" w:name="_Toc226337229"/>
      <w:bookmarkStart w:id="108" w:name="_Toc151193631"/>
      <w:bookmarkStart w:id="109" w:name="_Toc305158875"/>
      <w:bookmarkStart w:id="110" w:name="_Toc150509284"/>
      <w:bookmarkStart w:id="111" w:name="_Toc164351627"/>
      <w:bookmarkStart w:id="112" w:name="_Toc265228371"/>
      <w:r>
        <w:rPr>
          <w:sz w:val="24"/>
        </w:rPr>
        <w:t>投标文件的签署</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sz w:val="24"/>
        </w:rPr>
        <w:t>、盖章</w:t>
      </w:r>
    </w:p>
    <w:p>
      <w:pPr>
        <w:numPr>
          <w:ilvl w:val="1"/>
          <w:numId w:val="10"/>
        </w:numPr>
        <w:tabs>
          <w:tab w:val="left" w:pos="1080"/>
          <w:tab w:val="left" w:pos="2014"/>
        </w:tabs>
        <w:snapToGrid w:val="0"/>
        <w:spacing w:line="360" w:lineRule="auto"/>
        <w:ind w:left="1077" w:hanging="720"/>
        <w:rPr>
          <w:sz w:val="24"/>
        </w:rPr>
      </w:pPr>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p>
    <w:p>
      <w:pPr>
        <w:numPr>
          <w:ilvl w:val="0"/>
          <w:numId w:val="10"/>
        </w:numPr>
        <w:tabs>
          <w:tab w:val="left" w:pos="360"/>
        </w:tabs>
        <w:snapToGrid w:val="0"/>
        <w:spacing w:line="360" w:lineRule="auto"/>
        <w:ind w:left="357" w:hanging="357"/>
        <w:outlineLvl w:val="1"/>
        <w:rPr>
          <w:sz w:val="24"/>
        </w:rPr>
      </w:pPr>
      <w:r>
        <w:rPr>
          <w:sz w:val="24"/>
        </w:rPr>
        <w:t>投标文件的提交</w:t>
      </w:r>
    </w:p>
    <w:p>
      <w:pPr>
        <w:numPr>
          <w:ilvl w:val="1"/>
          <w:numId w:val="10"/>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w:t>
      </w:r>
      <w:r>
        <w:rPr>
          <w:rFonts w:hint="eastAsia"/>
          <w:sz w:val="24"/>
          <w:lang w:eastAsia="zh-CN"/>
        </w:rPr>
        <w:t>投标人</w:t>
      </w:r>
      <w:r>
        <w:rPr>
          <w:sz w:val="24"/>
        </w:rPr>
        <w:t>操作手册要求编制、生成并提交电子投标文件。</w:t>
      </w:r>
    </w:p>
    <w:p>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sz w:val="24"/>
        </w:rPr>
      </w:pPr>
      <w:r>
        <w:rPr>
          <w:sz w:val="24"/>
        </w:rPr>
        <w:t>投标截止时间</w:t>
      </w:r>
    </w:p>
    <w:p>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r>
        <w:rPr>
          <w:sz w:val="24"/>
        </w:rPr>
        <w:t>投标文件的修改与撤回</w:t>
      </w:r>
    </w:p>
    <w:p>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r>
        <w:rPr>
          <w:rFonts w:ascii="Times New Roman" w:hAnsi="Times New Roman" w:eastAsia="宋体"/>
          <w:sz w:val="28"/>
        </w:rPr>
        <w:t>五   开标、资格审查及评标</w:t>
      </w:r>
    </w:p>
    <w:p>
      <w:pPr>
        <w:numPr>
          <w:ilvl w:val="0"/>
          <w:numId w:val="10"/>
        </w:numPr>
        <w:tabs>
          <w:tab w:val="left" w:pos="360"/>
        </w:tabs>
        <w:snapToGrid w:val="0"/>
        <w:spacing w:line="360" w:lineRule="auto"/>
        <w:ind w:left="357" w:hanging="357"/>
        <w:outlineLvl w:val="1"/>
        <w:rPr>
          <w:sz w:val="24"/>
        </w:rPr>
      </w:pPr>
      <w:r>
        <w:rPr>
          <w:sz w:val="24"/>
        </w:rPr>
        <w:t>开标</w:t>
      </w:r>
    </w:p>
    <w:p>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113" w:name="_Hlk167284562"/>
      <w:r>
        <w:rPr>
          <w:sz w:val="24"/>
        </w:rPr>
        <w:t>《投标人须知资料表》</w:t>
      </w:r>
      <w:bookmarkEnd w:id="113"/>
      <w:r>
        <w:rPr>
          <w:sz w:val="24"/>
        </w:rPr>
        <w:t>规定的时间内对投标文件进行解密，因非系统原因导致的解密失败，视为</w:t>
      </w:r>
      <w:r>
        <w:rPr>
          <w:b/>
          <w:sz w:val="24"/>
        </w:rPr>
        <w:t>投标无效</w:t>
      </w:r>
      <w:r>
        <w:rPr>
          <w:sz w:val="24"/>
        </w:rPr>
        <w:t>。</w:t>
      </w:r>
    </w:p>
    <w:p>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114" w:name="_Hlk143533942"/>
      <w:r>
        <w:rPr>
          <w:sz w:val="24"/>
        </w:rPr>
        <w:t>投标人未在规定时间内提出疑义或确认一览表的，视同认可开标结果。</w:t>
      </w:r>
      <w:bookmarkEnd w:id="114"/>
    </w:p>
    <w:p>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10"/>
        </w:numPr>
        <w:tabs>
          <w:tab w:val="left" w:pos="1080"/>
          <w:tab w:val="left" w:pos="2014"/>
        </w:tabs>
        <w:snapToGrid w:val="0"/>
        <w:spacing w:line="360" w:lineRule="auto"/>
        <w:ind w:left="1077" w:hanging="720"/>
        <w:rPr>
          <w:sz w:val="24"/>
        </w:rPr>
      </w:pPr>
      <w:r>
        <w:rPr>
          <w:sz w:val="24"/>
        </w:rPr>
        <w:t>投标人不足3家的，不予开标。</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1077" w:hanging="720"/>
        <w:rPr>
          <w:sz w:val="24"/>
        </w:rPr>
      </w:pPr>
      <w:r>
        <w:rPr>
          <w:sz w:val="24"/>
        </w:rPr>
        <w:t>见第三章《资格审查》。</w:t>
      </w:r>
    </w:p>
    <w:p>
      <w:pPr>
        <w:numPr>
          <w:ilvl w:val="0"/>
          <w:numId w:val="10"/>
        </w:numPr>
        <w:tabs>
          <w:tab w:val="left" w:pos="360"/>
        </w:tabs>
        <w:snapToGrid w:val="0"/>
        <w:spacing w:line="360" w:lineRule="auto"/>
        <w:ind w:left="357" w:hanging="357"/>
        <w:outlineLvl w:val="1"/>
        <w:rPr>
          <w:sz w:val="24"/>
        </w:rPr>
      </w:pPr>
      <w:r>
        <w:rPr>
          <w:sz w:val="24"/>
        </w:rPr>
        <w:t>评标委员会</w:t>
      </w:r>
    </w:p>
    <w:p>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p>
    <w:p>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r>
        <w:rPr>
          <w:rFonts w:ascii="Times New Roman" w:hAnsi="Times New Roman" w:eastAsia="宋体"/>
          <w:sz w:val="28"/>
        </w:rPr>
        <w:t>六   确定中标</w:t>
      </w:r>
    </w:p>
    <w:p>
      <w:pPr>
        <w:numPr>
          <w:ilvl w:val="0"/>
          <w:numId w:val="10"/>
        </w:numPr>
        <w:tabs>
          <w:tab w:val="left" w:pos="360"/>
        </w:tabs>
        <w:snapToGrid w:val="0"/>
        <w:spacing w:line="360" w:lineRule="auto"/>
        <w:ind w:left="357" w:hanging="357"/>
        <w:outlineLvl w:val="1"/>
        <w:rPr>
          <w:sz w:val="24"/>
        </w:rPr>
      </w:pPr>
      <w:r>
        <w:rPr>
          <w:sz w:val="24"/>
        </w:rPr>
        <w:t>确定中标人</w:t>
      </w:r>
    </w:p>
    <w:p>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sz w:val="24"/>
        </w:rPr>
      </w:pPr>
      <w:r>
        <w:rPr>
          <w:sz w:val="24"/>
        </w:rPr>
        <w:t>中标公告与中标通知书</w:t>
      </w:r>
    </w:p>
    <w:p>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sz w:val="24"/>
        </w:rPr>
      </w:pPr>
      <w:r>
        <w:rPr>
          <w:sz w:val="24"/>
        </w:rPr>
        <w:t>中标通知书对采购人和中标</w:t>
      </w:r>
      <w:r>
        <w:rPr>
          <w:rFonts w:hint="eastAsia"/>
          <w:sz w:val="24"/>
          <w:lang w:eastAsia="zh-CN"/>
        </w:rPr>
        <w:t>投标人</w:t>
      </w:r>
      <w:r>
        <w:rPr>
          <w:sz w:val="24"/>
        </w:rPr>
        <w:t>均具有法律效力。中标通知书发出后，采购人改变中标结果的，或者中标</w:t>
      </w:r>
      <w:r>
        <w:rPr>
          <w:rFonts w:hint="eastAsia"/>
          <w:sz w:val="24"/>
          <w:lang w:eastAsia="zh-CN"/>
        </w:rPr>
        <w:t>投标人</w:t>
      </w:r>
      <w:r>
        <w:rPr>
          <w:sz w:val="24"/>
        </w:rPr>
        <w:t>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w:t>
      </w:r>
      <w:r>
        <w:rPr>
          <w:rFonts w:hint="eastAsia"/>
          <w:sz w:val="24"/>
          <w:lang w:eastAsia="zh-CN"/>
        </w:rPr>
        <w:t>投标人</w:t>
      </w:r>
      <w:r>
        <w:rPr>
          <w:sz w:val="24"/>
        </w:rPr>
        <w:t>或者对招标文件作实质响应的</w:t>
      </w:r>
      <w:r>
        <w:rPr>
          <w:rFonts w:hint="eastAsia"/>
          <w:sz w:val="24"/>
          <w:lang w:eastAsia="zh-CN"/>
        </w:rPr>
        <w:t>投标人</w:t>
      </w:r>
      <w:r>
        <w:rPr>
          <w:sz w:val="24"/>
        </w:rPr>
        <w:t>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1077" w:hanging="720"/>
        <w:rPr>
          <w:sz w:val="24"/>
        </w:rPr>
      </w:pPr>
      <w:r>
        <w:rPr>
          <w:sz w:val="24"/>
        </w:rPr>
        <w:t>废标后，采购人将废标理由书面通知所有投标人。</w:t>
      </w:r>
    </w:p>
    <w:p>
      <w:pPr>
        <w:numPr>
          <w:ilvl w:val="0"/>
          <w:numId w:val="10"/>
        </w:numPr>
        <w:tabs>
          <w:tab w:val="left" w:pos="360"/>
        </w:tabs>
        <w:snapToGrid w:val="0"/>
        <w:spacing w:line="360" w:lineRule="auto"/>
        <w:ind w:left="357" w:hanging="357"/>
        <w:outlineLvl w:val="1"/>
        <w:rPr>
          <w:sz w:val="24"/>
        </w:rPr>
      </w:pPr>
      <w:r>
        <w:rPr>
          <w:sz w:val="24"/>
        </w:rPr>
        <w:t>签订合同</w:t>
      </w:r>
    </w:p>
    <w:p>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10"/>
        </w:numPr>
        <w:tabs>
          <w:tab w:val="left" w:pos="1080"/>
          <w:tab w:val="left" w:pos="2014"/>
        </w:tabs>
        <w:snapToGrid w:val="0"/>
        <w:spacing w:line="360" w:lineRule="auto"/>
        <w:ind w:left="1077" w:hanging="720"/>
        <w:rPr>
          <w:sz w:val="24"/>
        </w:rPr>
      </w:pPr>
      <w:r>
        <w:rPr>
          <w:sz w:val="24"/>
        </w:rPr>
        <w:t>政府采购合同不能转包。</w:t>
      </w:r>
    </w:p>
    <w:p>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w:t>
      </w:r>
      <w:r>
        <w:rPr>
          <w:rFonts w:hint="eastAsia"/>
          <w:sz w:val="24"/>
          <w:lang w:eastAsia="zh-CN"/>
        </w:rPr>
        <w:t>投标人</w:t>
      </w:r>
      <w:r>
        <w:rPr>
          <w:sz w:val="24"/>
        </w:rPr>
        <w:t>就分包项目承担责任。</w:t>
      </w:r>
    </w:p>
    <w:p>
      <w:pPr>
        <w:numPr>
          <w:ilvl w:val="1"/>
          <w:numId w:val="10"/>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1077" w:hanging="720"/>
        <w:rPr>
          <w:sz w:val="24"/>
        </w:rPr>
      </w:pPr>
      <w:r>
        <w:rPr>
          <w:sz w:val="24"/>
        </w:rPr>
        <w:t>询问</w:t>
      </w:r>
    </w:p>
    <w:p>
      <w:pPr>
        <w:numPr>
          <w:ilvl w:val="2"/>
          <w:numId w:val="10"/>
        </w:numPr>
        <w:snapToGrid w:val="0"/>
        <w:spacing w:line="360" w:lineRule="auto"/>
        <w:rPr>
          <w:sz w:val="24"/>
        </w:rPr>
      </w:pPr>
      <w:bookmarkStart w:id="115"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115"/>
    </w:p>
    <w:p>
      <w:pPr>
        <w:numPr>
          <w:ilvl w:val="2"/>
          <w:numId w:val="10"/>
        </w:numPr>
        <w:snapToGrid w:val="0"/>
        <w:spacing w:line="360" w:lineRule="auto"/>
        <w:rPr>
          <w:sz w:val="24"/>
        </w:rPr>
      </w:pPr>
      <w:r>
        <w:rPr>
          <w:sz w:val="24"/>
        </w:rPr>
        <w:t>采购人或采购代理机构对</w:t>
      </w:r>
      <w:r>
        <w:rPr>
          <w:rFonts w:hint="eastAsia"/>
          <w:sz w:val="24"/>
          <w:lang w:eastAsia="zh-CN"/>
        </w:rPr>
        <w:t>投标人</w:t>
      </w:r>
      <w:r>
        <w:rPr>
          <w:sz w:val="24"/>
        </w:rPr>
        <w:t>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10"/>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sz w:val="24"/>
        </w:rPr>
      </w:pPr>
      <w:r>
        <w:rPr>
          <w:sz w:val="24"/>
        </w:rPr>
        <w:t>代理费</w:t>
      </w:r>
    </w:p>
    <w:p>
      <w:pPr>
        <w:numPr>
          <w:ilvl w:val="1"/>
          <w:numId w:val="10"/>
        </w:numPr>
        <w:tabs>
          <w:tab w:val="left" w:pos="1080"/>
          <w:tab w:val="left" w:pos="2014"/>
        </w:tabs>
        <w:snapToGrid w:val="0"/>
        <w:spacing w:line="360" w:lineRule="auto"/>
        <w:ind w:left="1077" w:hanging="720"/>
        <w:rPr>
          <w:sz w:val="24"/>
        </w:rPr>
      </w:pPr>
      <w:r>
        <w:rPr>
          <w:rFonts w:hint="eastAsia"/>
          <w:sz w:val="24"/>
          <w:lang w:eastAsia="zh-CN"/>
        </w:rPr>
        <w:t>不收取代理费</w:t>
      </w:r>
      <w:r>
        <w:rPr>
          <w:sz w:val="24"/>
        </w:rPr>
        <w:t>。</w:t>
      </w:r>
    </w:p>
    <w:bookmarkEnd w:id="66"/>
    <w:bookmarkEnd w:id="67"/>
    <w:bookmarkEnd w:id="68"/>
    <w:bookmarkEnd w:id="69"/>
    <w:bookmarkEnd w:id="70"/>
    <w:bookmarkEnd w:id="71"/>
    <w:bookmarkEnd w:id="72"/>
    <w:bookmarkEnd w:id="73"/>
    <w:bookmarkEnd w:id="74"/>
    <w:bookmarkEnd w:id="75"/>
    <w:bookmarkEnd w:id="76"/>
    <w:bookmarkEnd w:id="77"/>
    <w:bookmarkEnd w:id="78"/>
    <w:bookmarkEnd w:id="79"/>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sz w:val="36"/>
          <w:szCs w:val="36"/>
        </w:rPr>
      </w:pPr>
      <w:bookmarkStart w:id="116" w:name="_Toc150480792"/>
      <w:bookmarkStart w:id="117" w:name="_Toc142311056"/>
      <w:bookmarkStart w:id="118" w:name="_Toc265228392"/>
      <w:bookmarkStart w:id="119" w:name="_Toc127151554"/>
      <w:bookmarkStart w:id="120" w:name="_Toc264969244"/>
      <w:bookmarkStart w:id="121" w:name="_Toc226965827"/>
      <w:bookmarkStart w:id="122" w:name="_Toc305158822"/>
      <w:bookmarkStart w:id="123" w:name="_Toc150774759"/>
      <w:bookmarkStart w:id="124" w:name="_Toc226337250"/>
      <w:bookmarkStart w:id="125" w:name="_Toc353873664"/>
      <w:bookmarkStart w:id="126" w:name="_Toc353873934"/>
      <w:bookmarkStart w:id="127" w:name="_Toc353825544"/>
      <w:bookmarkStart w:id="128" w:name="_Toc305158896"/>
      <w:bookmarkStart w:id="129" w:name="_Toc26602"/>
      <w:r>
        <w:rPr>
          <w:rFonts w:hint="eastAsia" w:ascii="宋体" w:hAnsi="宋体" w:cs="宋体"/>
          <w:b/>
          <w:sz w:val="36"/>
          <w:szCs w:val="36"/>
        </w:rPr>
        <w:t xml:space="preserve">第三章   </w:t>
      </w:r>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cs="宋体"/>
          <w:b/>
          <w:sz w:val="36"/>
          <w:szCs w:val="36"/>
        </w:rPr>
        <w:t>资格审查</w:t>
      </w:r>
      <w:bookmarkEnd w:id="129"/>
      <w:bookmarkStart w:id="130" w:name="_Toc487900382"/>
    </w:p>
    <w:p>
      <w:pPr>
        <w:tabs>
          <w:tab w:val="left" w:pos="360"/>
          <w:tab w:val="left" w:pos="900"/>
        </w:tabs>
        <w:snapToGrid w:val="0"/>
        <w:spacing w:line="360" w:lineRule="auto"/>
        <w:jc w:val="center"/>
        <w:outlineLvl w:val="1"/>
        <w:rPr>
          <w:rFonts w:hint="eastAsia" w:ascii="宋体" w:hAnsi="宋体" w:cs="宋体"/>
          <w:b/>
          <w:sz w:val="24"/>
        </w:rPr>
      </w:pPr>
      <w:bookmarkStart w:id="131" w:name="_Toc99301422"/>
      <w:r>
        <w:rPr>
          <w:rFonts w:hint="eastAsia" w:ascii="宋体" w:hAnsi="宋体" w:cs="宋体"/>
          <w:b/>
          <w:sz w:val="24"/>
        </w:rPr>
        <w:t>一、资格审查程序</w:t>
      </w:r>
      <w:bookmarkEnd w:id="131"/>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2"/>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numPr>
          <w:ilvl w:val="0"/>
          <w:numId w:val="13"/>
        </w:num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资格审查要求</w:t>
      </w:r>
    </w:p>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7" w:hRule="atLeast"/>
        </w:trPr>
        <w:tc>
          <w:tcPr>
            <w:tcW w:w="725" w:type="dxa"/>
            <w:vAlign w:val="top"/>
          </w:tcPr>
          <w:p>
            <w:pPr>
              <w:pStyle w:val="266"/>
              <w:autoSpaceDE w:val="0"/>
              <w:autoSpaceDN w:val="0"/>
              <w:spacing w:before="252" w:line="201" w:lineRule="auto"/>
              <w:ind w:left="364" w:left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105" w:type="dxa"/>
            <w:vAlign w:val="top"/>
          </w:tcPr>
          <w:p>
            <w:pPr>
              <w:autoSpaceDE w:val="0"/>
              <w:autoSpaceDN w:val="0"/>
              <w:spacing w:before="42" w:line="189" w:lineRule="auto"/>
              <w:ind w:left="108" w:leftChars="0" w:right="105" w:rightChars="0"/>
              <w:jc w:val="both"/>
              <w:rPr>
                <w:rFonts w:hint="eastAsia" w:ascii="宋体" w:hAnsi="宋体" w:cs="宋体"/>
                <w:color w:val="auto"/>
                <w:spacing w:val="-2"/>
                <w:sz w:val="24"/>
                <w:lang w:eastAsia="zh-CN"/>
              </w:rPr>
            </w:pPr>
            <w:r>
              <w:rPr>
                <w:rFonts w:hint="eastAsia" w:ascii="宋体" w:hAnsi="宋体" w:eastAsia="宋体" w:cs="宋体"/>
                <w:spacing w:val="11"/>
                <w:sz w:val="24"/>
                <w:szCs w:val="24"/>
              </w:rPr>
              <w:t>本项目的特定资</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格要求</w:t>
            </w:r>
          </w:p>
        </w:tc>
        <w:tc>
          <w:tcPr>
            <w:tcW w:w="4819" w:type="dxa"/>
            <w:vAlign w:val="top"/>
          </w:tcPr>
          <w:p>
            <w:pPr>
              <w:autoSpaceDE w:val="0"/>
              <w:autoSpaceDN w:val="0"/>
              <w:spacing w:before="217" w:line="200" w:lineRule="auto"/>
              <w:ind w:left="113" w:leftChars="0"/>
              <w:jc w:val="both"/>
              <w:rPr>
                <w:rFonts w:hint="eastAsia" w:ascii="宋体" w:hAnsi="宋体" w:cs="宋体"/>
                <w:color w:val="auto"/>
                <w:spacing w:val="2"/>
                <w:sz w:val="24"/>
                <w:lang w:eastAsia="zh-CN"/>
              </w:rPr>
            </w:pPr>
            <w:r>
              <w:rPr>
                <w:rFonts w:hint="eastAsia" w:ascii="宋体" w:hAnsi="宋体" w:eastAsia="宋体" w:cs="宋体"/>
                <w:sz w:val="24"/>
                <w:szCs w:val="24"/>
              </w:rPr>
              <w:t>如有，见第一章《投标邀请》</w:t>
            </w:r>
          </w:p>
        </w:tc>
        <w:tc>
          <w:tcPr>
            <w:tcW w:w="1643" w:type="dxa"/>
            <w:vAlign w:val="top"/>
          </w:tcPr>
          <w:p>
            <w:pPr>
              <w:pStyle w:val="266"/>
              <w:autoSpaceDE w:val="0"/>
              <w:autoSpaceDN w:val="0"/>
              <w:jc w:val="both"/>
              <w:rPr>
                <w:rFonts w:hint="eastAsia" w:ascii="宋体" w:hAnsi="宋体" w:eastAsia="宋体" w:cs="宋体"/>
                <w:spacing w:val="1"/>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9" w:hRule="atLeast"/>
        </w:trPr>
        <w:tc>
          <w:tcPr>
            <w:tcW w:w="725" w:type="dxa"/>
            <w:vAlign w:val="top"/>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44" w:left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2105" w:type="dxa"/>
            <w:vAlign w:val="top"/>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5" w:rightChars="0"/>
              <w:textAlignment w:val="auto"/>
              <w:outlineLvl w:val="9"/>
              <w:rPr>
                <w:rFonts w:hint="eastAsia" w:ascii="宋体" w:hAnsi="宋体" w:cs="宋体"/>
                <w:color w:val="auto"/>
                <w:spacing w:val="11"/>
                <w:sz w:val="24"/>
                <w:lang w:eastAsia="en-US"/>
              </w:rPr>
            </w:pPr>
            <w:r>
              <w:rPr>
                <w:rFonts w:hint="eastAsia" w:ascii="宋体" w:hAnsi="宋体" w:cs="宋体"/>
                <w:color w:val="auto"/>
                <w:spacing w:val="11"/>
                <w:sz w:val="24"/>
                <w:lang w:eastAsia="en-US"/>
              </w:rPr>
              <w:t>政府购买服务承</w:t>
            </w:r>
            <w:r>
              <w:rPr>
                <w:rFonts w:hint="eastAsia" w:ascii="宋体" w:hAnsi="宋体" w:cs="宋体"/>
                <w:color w:val="auto"/>
                <w:spacing w:val="2"/>
                <w:sz w:val="24"/>
                <w:lang w:eastAsia="en-US"/>
              </w:rPr>
              <w:t xml:space="preserve"> </w:t>
            </w:r>
            <w:r>
              <w:rPr>
                <w:rFonts w:hint="eastAsia" w:ascii="宋体" w:hAnsi="宋体" w:cs="宋体"/>
                <w:color w:val="auto"/>
                <w:spacing w:val="-2"/>
                <w:sz w:val="24"/>
                <w:lang w:eastAsia="en-US"/>
              </w:rPr>
              <w:t>接主体的要求</w:t>
            </w:r>
          </w:p>
        </w:tc>
        <w:tc>
          <w:tcPr>
            <w:tcW w:w="4819" w:type="dxa"/>
            <w:vAlign w:val="top"/>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2" w:rightChars="0" w:firstLine="4" w:firstLineChars="0"/>
              <w:textAlignment w:val="auto"/>
              <w:outlineLvl w:val="9"/>
              <w:rPr>
                <w:rFonts w:hint="eastAsia" w:ascii="宋体" w:hAnsi="宋体" w:cs="宋体"/>
                <w:spacing w:val="-1"/>
                <w:sz w:val="24"/>
                <w:lang w:eastAsia="en-US"/>
              </w:rPr>
            </w:pPr>
            <w:r>
              <w:rPr>
                <w:rFonts w:hint="eastAsia" w:ascii="宋体" w:hAnsi="宋体" w:cs="宋体"/>
                <w:spacing w:val="-1"/>
                <w:sz w:val="24"/>
                <w:lang w:eastAsia="en-US"/>
              </w:rPr>
              <w:t>本项目属于政府购买服务，投标人不属于</w:t>
            </w:r>
            <w:r>
              <w:rPr>
                <w:rFonts w:hint="eastAsia" w:ascii="宋体" w:hAnsi="宋体" w:cs="宋体"/>
                <w:sz w:val="24"/>
                <w:lang w:eastAsia="en-US"/>
              </w:rPr>
              <w:t>公益一类事业单位</w:t>
            </w:r>
            <w:r>
              <w:rPr>
                <w:rFonts w:hint="eastAsia" w:ascii="宋体" w:hAnsi="宋体" w:cs="宋体"/>
                <w:spacing w:val="-30"/>
                <w:sz w:val="24"/>
                <w:lang w:eastAsia="en-US"/>
              </w:rPr>
              <w:t xml:space="preserve"> </w:t>
            </w:r>
            <w:r>
              <w:rPr>
                <w:rFonts w:hint="eastAsia" w:ascii="宋体" w:hAnsi="宋体" w:cs="宋体"/>
                <w:sz w:val="24"/>
                <w:lang w:eastAsia="en-US"/>
              </w:rPr>
              <w:t xml:space="preserve">、使用事业编制且由财政 </w:t>
            </w:r>
            <w:r>
              <w:rPr>
                <w:rFonts w:hint="eastAsia" w:ascii="宋体" w:hAnsi="宋体" w:cs="宋体"/>
                <w:spacing w:val="-1"/>
                <w:sz w:val="24"/>
                <w:lang w:eastAsia="en-US"/>
              </w:rPr>
              <w:t>拨款保障的群团组织。</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p>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1"/>
                <w:sz w:val="24"/>
                <w:lang w:eastAsia="en-US"/>
              </w:rPr>
              <w:t>文件格式》</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09"/>
              <w:textAlignment w:val="auto"/>
              <w:outlineLvl w:val="9"/>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 xml:space="preserve"> </w:t>
            </w:r>
            <w:r>
              <w:rPr>
                <w:rFonts w:hint="eastAsia" w:ascii="宋体" w:hAnsi="宋体" w:eastAsia="宋体" w:cs="宋体"/>
                <w:spacing w:val="1"/>
                <w:sz w:val="24"/>
                <w:szCs w:val="24"/>
                <w:lang w:eastAsia="zh-CN"/>
              </w:rPr>
              <w:t>1-2投标</w:t>
            </w:r>
          </w:p>
          <w:p>
            <w:pPr>
              <w:keepNext w:val="0"/>
              <w:keepLines w:val="0"/>
              <w:pageBreakBefore w:val="0"/>
              <w:widowControl w:val="0"/>
              <w:kinsoku/>
              <w:wordWrap/>
              <w:overflowPunct/>
              <w:topLinePunct w:val="0"/>
              <w:autoSpaceDE w:val="0"/>
              <w:autoSpaceDN w:val="0"/>
              <w:bidi w:val="0"/>
              <w:adjustRightInd/>
              <w:snapToGrid/>
              <w:spacing w:line="240" w:lineRule="atLeast"/>
              <w:ind w:left="222"/>
              <w:textAlignment w:val="auto"/>
              <w:outlineLvl w:val="9"/>
              <w:rPr>
                <w:rFonts w:hint="eastAsia" w:ascii="宋体" w:hAnsi="宋体" w:cs="宋体"/>
                <w:sz w:val="24"/>
                <w:lang w:eastAsia="en-US"/>
              </w:rPr>
            </w:pPr>
            <w:r>
              <w:rPr>
                <w:rFonts w:hint="eastAsia" w:ascii="宋体" w:hAnsi="宋体" w:cs="宋体"/>
                <w:spacing w:val="-1"/>
                <w:sz w:val="24"/>
                <w:lang w:eastAsia="en-US"/>
              </w:rPr>
              <w:t>人资格声明</w:t>
            </w:r>
          </w:p>
          <w:p>
            <w:pPr>
              <w:keepNext w:val="0"/>
              <w:keepLines w:val="0"/>
              <w:pageBreakBefore w:val="0"/>
              <w:widowControl w:val="0"/>
              <w:kinsoku/>
              <w:wordWrap/>
              <w:overflowPunct/>
              <w:topLinePunct w:val="0"/>
              <w:autoSpaceDE w:val="0"/>
              <w:autoSpaceDN w:val="0"/>
              <w:bidi w:val="0"/>
              <w:adjustRightInd/>
              <w:snapToGrid/>
              <w:spacing w:line="240" w:lineRule="atLeast"/>
              <w:ind w:left="591" w:leftChars="0"/>
              <w:textAlignment w:val="auto"/>
              <w:outlineLvl w:val="9"/>
              <w:rPr>
                <w:rFonts w:hint="eastAsia" w:ascii="宋体" w:hAnsi="宋体" w:cs="宋体"/>
                <w:spacing w:val="41"/>
                <w:sz w:val="24"/>
                <w:lang w:eastAsia="en-US"/>
              </w:rPr>
            </w:pPr>
            <w:r>
              <w:rPr>
                <w:rFonts w:hint="eastAsia" w:ascii="宋体" w:hAnsi="宋体" w:cs="宋体"/>
                <w:spacing w:val="41"/>
                <w:sz w:val="24"/>
                <w:lang w:eastAsia="en-US"/>
              </w:rPr>
              <w:t>书</w:t>
            </w:r>
            <w:r>
              <w:rPr>
                <w:rFonts w:hint="eastAsia" w:ascii="宋体" w:hAnsi="宋体" w:cs="宋体"/>
                <w:spacing w:val="-52"/>
                <w:sz w:val="24"/>
                <w:lang w:eastAsia="en-US"/>
              </w:rPr>
              <w:t xml:space="preserve"> </w:t>
            </w:r>
            <w:r>
              <w:rPr>
                <w:rFonts w:hint="eastAsia" w:ascii="宋体" w:hAnsi="宋体" w:cs="宋体"/>
                <w:spacing w:val="41"/>
                <w:sz w:val="24"/>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pStyle w:val="6"/>
        <w:numPr>
          <w:ilvl w:val="0"/>
          <w:numId w:val="0"/>
        </w:numPr>
        <w:rPr>
          <w:rFonts w:hint="eastAsia"/>
        </w:rPr>
      </w:pP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130"/>
    <w:p>
      <w:pPr>
        <w:rPr>
          <w:rFonts w:ascii="Arial"/>
        </w:rPr>
      </w:pPr>
      <w:bookmarkStart w:id="132" w:name="_Hlt487972895"/>
      <w:bookmarkEnd w:id="132"/>
      <w:bookmarkStart w:id="133" w:name="_Toc127151779"/>
      <w:bookmarkStart w:id="134" w:name="_Toc226965858"/>
      <w:bookmarkStart w:id="135" w:name="_Toc353873940"/>
      <w:bookmarkStart w:id="136" w:name="_Toc127161490"/>
      <w:bookmarkStart w:id="137" w:name="_Toc353825550"/>
    </w:p>
    <w:p>
      <w:pPr>
        <w:pStyle w:val="2"/>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138" w:name="_Toc5513"/>
      <w:r>
        <w:rPr>
          <w:rFonts w:hint="eastAsia" w:ascii="宋体" w:hAnsi="宋体" w:cs="宋体"/>
          <w:b/>
          <w:sz w:val="36"/>
          <w:szCs w:val="36"/>
        </w:rPr>
        <w:t xml:space="preserve">第四章   </w:t>
      </w:r>
      <w:bookmarkEnd w:id="133"/>
      <w:bookmarkEnd w:id="134"/>
      <w:bookmarkEnd w:id="135"/>
      <w:bookmarkEnd w:id="136"/>
      <w:bookmarkEnd w:id="137"/>
      <w:bookmarkStart w:id="139" w:name="_Hlt164229061"/>
      <w:bookmarkEnd w:id="139"/>
      <w:r>
        <w:rPr>
          <w:rFonts w:hint="eastAsia" w:ascii="宋体" w:hAnsi="宋体" w:cs="宋体"/>
          <w:b/>
          <w:sz w:val="36"/>
          <w:szCs w:val="36"/>
        </w:rPr>
        <w:t>评标程序、评标方法和评标标准</w:t>
      </w:r>
      <w:bookmarkEnd w:id="138"/>
    </w:p>
    <w:p>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pPr>
        <w:numPr>
          <w:ilvl w:val="0"/>
          <w:numId w:val="14"/>
        </w:numPr>
        <w:tabs>
          <w:tab w:val="left" w:pos="360"/>
        </w:tabs>
        <w:snapToGrid w:val="0"/>
        <w:spacing w:line="360" w:lineRule="auto"/>
        <w:outlineLvl w:val="1"/>
        <w:rPr>
          <w:sz w:val="24"/>
        </w:rPr>
      </w:pPr>
      <w:r>
        <w:rPr>
          <w:sz w:val="24"/>
        </w:rPr>
        <w:t>投标文件的符合性审查</w:t>
      </w:r>
    </w:p>
    <w:p>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p>
    <w:p>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5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49" w:type="dxa"/>
            <w:shd w:val="clear" w:color="auto" w:fill="auto"/>
            <w:vAlign w:val="center"/>
          </w:tcPr>
          <w:p>
            <w:pPr>
              <w:widowControl/>
              <w:jc w:val="center"/>
              <w:rPr>
                <w:b/>
                <w:color w:val="000000"/>
                <w:kern w:val="0"/>
                <w:sz w:val="24"/>
              </w:rPr>
            </w:pPr>
            <w:r>
              <w:rPr>
                <w:b/>
                <w:color w:val="000000"/>
                <w:kern w:val="0"/>
                <w:sz w:val="24"/>
              </w:rPr>
              <w:t>序号</w:t>
            </w:r>
          </w:p>
        </w:tc>
        <w:tc>
          <w:tcPr>
            <w:tcW w:w="1812" w:type="dxa"/>
            <w:shd w:val="clear" w:color="auto" w:fill="auto"/>
            <w:vAlign w:val="center"/>
          </w:tcPr>
          <w:p>
            <w:pPr>
              <w:widowControl/>
              <w:jc w:val="center"/>
              <w:rPr>
                <w:b/>
                <w:color w:val="000000"/>
                <w:kern w:val="0"/>
                <w:sz w:val="24"/>
              </w:rPr>
            </w:pPr>
            <w:r>
              <w:rPr>
                <w:b/>
                <w:color w:val="000000"/>
                <w:kern w:val="0"/>
                <w:sz w:val="24"/>
              </w:rPr>
              <w:t>审查因素</w:t>
            </w:r>
          </w:p>
        </w:tc>
        <w:tc>
          <w:tcPr>
            <w:tcW w:w="6727" w:type="dxa"/>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1</w:t>
            </w:r>
          </w:p>
        </w:tc>
        <w:tc>
          <w:tcPr>
            <w:tcW w:w="1812" w:type="dxa"/>
            <w:shd w:val="clear" w:color="auto" w:fill="auto"/>
            <w:vAlign w:val="center"/>
          </w:tcPr>
          <w:p>
            <w:pPr>
              <w:widowControl/>
              <w:jc w:val="left"/>
              <w:rPr>
                <w:color w:val="000000"/>
                <w:kern w:val="0"/>
                <w:sz w:val="24"/>
              </w:rPr>
            </w:pPr>
            <w:r>
              <w:rPr>
                <w:color w:val="000000"/>
                <w:kern w:val="0"/>
                <w:sz w:val="24"/>
              </w:rPr>
              <w:t>授权委托书</w:t>
            </w:r>
          </w:p>
        </w:tc>
        <w:tc>
          <w:tcPr>
            <w:tcW w:w="6727" w:type="dxa"/>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2</w:t>
            </w:r>
          </w:p>
        </w:tc>
        <w:tc>
          <w:tcPr>
            <w:tcW w:w="1812" w:type="dxa"/>
            <w:shd w:val="clear" w:color="auto" w:fill="auto"/>
            <w:vAlign w:val="center"/>
          </w:tcPr>
          <w:p>
            <w:pPr>
              <w:widowControl/>
              <w:jc w:val="left"/>
              <w:rPr>
                <w:color w:val="000000"/>
                <w:kern w:val="0"/>
                <w:sz w:val="24"/>
              </w:rPr>
            </w:pPr>
            <w:r>
              <w:rPr>
                <w:color w:val="000000"/>
                <w:kern w:val="0"/>
                <w:sz w:val="24"/>
              </w:rPr>
              <w:t>投标完整性</w:t>
            </w:r>
          </w:p>
        </w:tc>
        <w:tc>
          <w:tcPr>
            <w:tcW w:w="6727" w:type="dxa"/>
            <w:shd w:val="clear" w:color="auto" w:fill="auto"/>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3</w:t>
            </w:r>
          </w:p>
        </w:tc>
        <w:tc>
          <w:tcPr>
            <w:tcW w:w="1812" w:type="dxa"/>
            <w:shd w:val="clear" w:color="auto" w:fill="auto"/>
            <w:vAlign w:val="center"/>
          </w:tcPr>
          <w:p>
            <w:pPr>
              <w:widowControl/>
              <w:jc w:val="left"/>
              <w:rPr>
                <w:color w:val="000000"/>
                <w:kern w:val="0"/>
                <w:sz w:val="24"/>
              </w:rPr>
            </w:pPr>
            <w:r>
              <w:rPr>
                <w:color w:val="000000"/>
                <w:kern w:val="0"/>
                <w:sz w:val="24"/>
              </w:rPr>
              <w:t>投标报价</w:t>
            </w:r>
          </w:p>
        </w:tc>
        <w:tc>
          <w:tcPr>
            <w:tcW w:w="6727" w:type="dxa"/>
            <w:shd w:val="clear" w:color="auto" w:fill="auto"/>
            <w:vAlign w:val="center"/>
          </w:tcPr>
          <w:p>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4</w:t>
            </w:r>
          </w:p>
        </w:tc>
        <w:tc>
          <w:tcPr>
            <w:tcW w:w="1812" w:type="dxa"/>
            <w:shd w:val="clear" w:color="auto" w:fill="auto"/>
            <w:vAlign w:val="center"/>
          </w:tcPr>
          <w:p>
            <w:pPr>
              <w:widowControl/>
              <w:jc w:val="left"/>
              <w:rPr>
                <w:color w:val="000000"/>
                <w:kern w:val="0"/>
                <w:sz w:val="24"/>
              </w:rPr>
            </w:pPr>
            <w:r>
              <w:rPr>
                <w:color w:val="000000"/>
                <w:kern w:val="0"/>
                <w:sz w:val="24"/>
              </w:rPr>
              <w:t>报价唯一性</w:t>
            </w:r>
          </w:p>
        </w:tc>
        <w:tc>
          <w:tcPr>
            <w:tcW w:w="6727" w:type="dxa"/>
            <w:shd w:val="clear" w:color="auto" w:fill="auto"/>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5</w:t>
            </w:r>
          </w:p>
        </w:tc>
        <w:tc>
          <w:tcPr>
            <w:tcW w:w="1812" w:type="dxa"/>
            <w:shd w:val="clear" w:color="auto" w:fill="auto"/>
            <w:vAlign w:val="center"/>
          </w:tcPr>
          <w:p>
            <w:pPr>
              <w:widowControl/>
              <w:jc w:val="left"/>
              <w:rPr>
                <w:color w:val="000000"/>
                <w:kern w:val="0"/>
                <w:sz w:val="24"/>
              </w:rPr>
            </w:pPr>
            <w:r>
              <w:rPr>
                <w:color w:val="000000"/>
                <w:kern w:val="0"/>
                <w:sz w:val="24"/>
              </w:rPr>
              <w:t>投标有效期</w:t>
            </w:r>
          </w:p>
        </w:tc>
        <w:tc>
          <w:tcPr>
            <w:tcW w:w="6727" w:type="dxa"/>
            <w:shd w:val="clear" w:color="auto" w:fill="auto"/>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6</w:t>
            </w:r>
          </w:p>
        </w:tc>
        <w:tc>
          <w:tcPr>
            <w:tcW w:w="1812" w:type="dxa"/>
            <w:shd w:val="clear" w:color="auto" w:fill="auto"/>
            <w:vAlign w:val="center"/>
          </w:tcPr>
          <w:p>
            <w:pPr>
              <w:widowControl/>
              <w:jc w:val="left"/>
              <w:rPr>
                <w:color w:val="000000"/>
                <w:kern w:val="0"/>
                <w:sz w:val="24"/>
              </w:rPr>
            </w:pPr>
            <w:r>
              <w:rPr>
                <w:color w:val="000000"/>
                <w:kern w:val="0"/>
                <w:sz w:val="24"/>
              </w:rPr>
              <w:t>实质性格式</w:t>
            </w:r>
          </w:p>
        </w:tc>
        <w:tc>
          <w:tcPr>
            <w:tcW w:w="6727" w:type="dxa"/>
            <w:shd w:val="clear" w:color="auto" w:fill="auto"/>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7</w:t>
            </w:r>
          </w:p>
        </w:tc>
        <w:tc>
          <w:tcPr>
            <w:tcW w:w="1812" w:type="dxa"/>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7" w:type="dxa"/>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rFonts w:hint="eastAsia"/>
                <w:color w:val="000000"/>
                <w:kern w:val="0"/>
                <w:sz w:val="24"/>
                <w:lang w:val="en-US" w:eastAsia="zh-CN"/>
              </w:rPr>
              <w:t>8</w:t>
            </w:r>
          </w:p>
        </w:tc>
        <w:tc>
          <w:tcPr>
            <w:tcW w:w="1812" w:type="dxa"/>
            <w:shd w:val="clear" w:color="auto" w:fill="auto"/>
            <w:vAlign w:val="center"/>
          </w:tcPr>
          <w:p>
            <w:pPr>
              <w:widowControl/>
              <w:jc w:val="left"/>
              <w:rPr>
                <w:color w:val="000000"/>
                <w:kern w:val="0"/>
                <w:sz w:val="24"/>
              </w:rPr>
            </w:pPr>
            <w:r>
              <w:rPr>
                <w:color w:val="000000"/>
                <w:kern w:val="0"/>
                <w:sz w:val="24"/>
              </w:rPr>
              <w:t>报价的修正（如有）</w:t>
            </w:r>
          </w:p>
        </w:tc>
        <w:tc>
          <w:tcPr>
            <w:tcW w:w="6727" w:type="dxa"/>
            <w:shd w:val="clear" w:color="auto" w:fill="auto"/>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rFonts w:hint="eastAsia"/>
                <w:color w:val="000000"/>
                <w:kern w:val="0"/>
                <w:sz w:val="24"/>
                <w:lang w:val="en-US" w:eastAsia="zh-CN"/>
              </w:rPr>
              <w:t>9</w:t>
            </w:r>
          </w:p>
        </w:tc>
        <w:tc>
          <w:tcPr>
            <w:tcW w:w="1812" w:type="dxa"/>
            <w:shd w:val="clear" w:color="auto" w:fill="auto"/>
            <w:vAlign w:val="center"/>
          </w:tcPr>
          <w:p>
            <w:pPr>
              <w:widowControl/>
              <w:jc w:val="left"/>
              <w:rPr>
                <w:color w:val="000000"/>
                <w:kern w:val="0"/>
                <w:sz w:val="24"/>
              </w:rPr>
            </w:pPr>
            <w:r>
              <w:rPr>
                <w:color w:val="000000"/>
                <w:kern w:val="0"/>
                <w:sz w:val="24"/>
              </w:rPr>
              <w:t>公平竞争</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color w:val="000000"/>
                <w:kern w:val="0"/>
                <w:sz w:val="24"/>
              </w:rPr>
            </w:pPr>
            <w:r>
              <w:rPr>
                <w:color w:val="000000"/>
                <w:kern w:val="0"/>
                <w:sz w:val="24"/>
              </w:rPr>
              <w:t>1</w:t>
            </w:r>
            <w:r>
              <w:rPr>
                <w:rFonts w:hint="eastAsia"/>
                <w:color w:val="000000"/>
                <w:kern w:val="0"/>
                <w:sz w:val="24"/>
                <w:lang w:val="en-US" w:eastAsia="zh-CN"/>
              </w:rPr>
              <w:t>0</w:t>
            </w:r>
          </w:p>
        </w:tc>
        <w:tc>
          <w:tcPr>
            <w:tcW w:w="1812" w:type="dxa"/>
            <w:shd w:val="clear" w:color="auto" w:fill="auto"/>
            <w:vAlign w:val="center"/>
          </w:tcPr>
          <w:p>
            <w:pPr>
              <w:widowControl/>
              <w:jc w:val="left"/>
              <w:rPr>
                <w:color w:val="000000"/>
                <w:kern w:val="0"/>
                <w:sz w:val="24"/>
              </w:rPr>
            </w:pPr>
            <w:r>
              <w:rPr>
                <w:color w:val="000000"/>
                <w:kern w:val="0"/>
                <w:sz w:val="24"/>
              </w:rPr>
              <w:t>串通投标</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1</w:t>
            </w:r>
          </w:p>
        </w:tc>
        <w:tc>
          <w:tcPr>
            <w:tcW w:w="1812" w:type="dxa"/>
            <w:shd w:val="clear" w:color="auto" w:fill="auto"/>
            <w:vAlign w:val="center"/>
          </w:tcPr>
          <w:p>
            <w:pPr>
              <w:widowControl/>
              <w:jc w:val="left"/>
              <w:rPr>
                <w:color w:val="000000"/>
                <w:kern w:val="0"/>
                <w:sz w:val="24"/>
              </w:rPr>
            </w:pPr>
            <w:r>
              <w:rPr>
                <w:color w:val="000000"/>
                <w:kern w:val="0"/>
                <w:sz w:val="24"/>
              </w:rPr>
              <w:t>附加条件</w:t>
            </w:r>
          </w:p>
        </w:tc>
        <w:tc>
          <w:tcPr>
            <w:tcW w:w="6727" w:type="dxa"/>
            <w:shd w:val="clear" w:color="auto" w:fill="auto"/>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9" w:type="dxa"/>
            <w:shd w:val="clear" w:color="auto" w:fill="auto"/>
            <w:vAlign w:val="center"/>
          </w:tcPr>
          <w:p>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2</w:t>
            </w:r>
          </w:p>
        </w:tc>
        <w:tc>
          <w:tcPr>
            <w:tcW w:w="1812" w:type="dxa"/>
            <w:shd w:val="clear" w:color="auto" w:fill="auto"/>
            <w:vAlign w:val="center"/>
          </w:tcPr>
          <w:p>
            <w:pPr>
              <w:widowControl/>
              <w:jc w:val="left"/>
              <w:rPr>
                <w:color w:val="000000"/>
                <w:kern w:val="0"/>
                <w:sz w:val="24"/>
              </w:rPr>
            </w:pPr>
            <w:r>
              <w:rPr>
                <w:color w:val="000000"/>
                <w:kern w:val="0"/>
                <w:sz w:val="24"/>
              </w:rPr>
              <w:t>其他无效情形</w:t>
            </w:r>
          </w:p>
        </w:tc>
        <w:tc>
          <w:tcPr>
            <w:tcW w:w="6727"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pPr>
        <w:numPr>
          <w:ilvl w:val="0"/>
          <w:numId w:val="14"/>
        </w:numPr>
        <w:tabs>
          <w:tab w:val="left" w:pos="360"/>
        </w:tabs>
        <w:snapToGrid w:val="0"/>
        <w:spacing w:line="360" w:lineRule="auto"/>
        <w:outlineLvl w:val="1"/>
        <w:rPr>
          <w:sz w:val="24"/>
        </w:rPr>
      </w:pPr>
      <w:r>
        <w:rPr>
          <w:sz w:val="24"/>
        </w:rPr>
        <w:t>投标文件有关事项的澄清或者说明</w:t>
      </w:r>
    </w:p>
    <w:p>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140" w:name="_Hlk144225607"/>
      <w:r>
        <w:rPr>
          <w:color w:val="000000"/>
          <w:sz w:val="24"/>
          <w:szCs w:val="20"/>
        </w:rPr>
        <w:t>若投标人为事业单位或其他组织或分支机构，可为单位负责人</w:t>
      </w:r>
      <w:bookmarkEnd w:id="140"/>
      <w:r>
        <w:rPr>
          <w:sz w:val="24"/>
        </w:rPr>
        <w:t>）或其授权的代表签字。投标人的澄清、说明或者补正不得超出投标文件的范围或者改变投标文件的实质性内容。澄清文件将作为投标文件内容的一部分。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sz w:val="24"/>
        </w:rPr>
      </w:pPr>
      <w:bookmarkStart w:id="141" w:name="_Hlk220085436"/>
      <w:r>
        <w:rPr>
          <w:rFonts w:hint="eastAsia"/>
          <w:sz w:val="24"/>
        </w:rPr>
        <w:t>异常低价处理</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w:t>
      </w:r>
      <w:r>
        <w:rPr>
          <w:rFonts w:hint="eastAsia"/>
          <w:sz w:val="24"/>
          <w:lang w:eastAsia="zh-CN"/>
        </w:rPr>
        <w:t>投标人</w:t>
      </w:r>
      <w:r>
        <w:rPr>
          <w:rFonts w:hint="eastAsia"/>
          <w:sz w:val="24"/>
        </w:rPr>
        <w:t>投标（响应）报价平均值</w:t>
      </w:r>
      <w:r>
        <w:rPr>
          <w:rFonts w:hint="eastAsia"/>
          <w:sz w:val="24"/>
          <w:lang w:val="en-US" w:eastAsia="zh-CN"/>
        </w:rPr>
        <w:t>50</w:t>
      </w:r>
      <w:r>
        <w:rPr>
          <w:rFonts w:hint="eastAsia"/>
          <w:sz w:val="24"/>
        </w:rPr>
        <w:t>%的，即投标（响应）报价&lt;全部通过符合性审查</w:t>
      </w:r>
      <w:r>
        <w:rPr>
          <w:rFonts w:hint="eastAsia"/>
          <w:sz w:val="24"/>
          <w:lang w:eastAsia="zh-CN"/>
        </w:rPr>
        <w:t>投标人</w:t>
      </w:r>
      <w:r>
        <w:rPr>
          <w:rFonts w:hint="eastAsia"/>
          <w:sz w:val="24"/>
        </w:rPr>
        <w:t>投标（响应）报价平均值×</w:t>
      </w:r>
      <w:r>
        <w:rPr>
          <w:rFonts w:hint="eastAsia"/>
          <w:sz w:val="24"/>
          <w:lang w:val="en-US" w:eastAsia="zh-CN"/>
        </w:rPr>
        <w:t>50</w:t>
      </w:r>
      <w:r>
        <w:rPr>
          <w:rFonts w:hint="eastAsia"/>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w:t>
      </w:r>
      <w:r>
        <w:rPr>
          <w:rFonts w:hint="eastAsia"/>
          <w:sz w:val="24"/>
          <w:lang w:eastAsia="zh-CN"/>
        </w:rPr>
        <w:t>投标人</w:t>
      </w:r>
      <w:r>
        <w:rPr>
          <w:rFonts w:hint="eastAsia"/>
          <w:sz w:val="24"/>
        </w:rPr>
        <w:t>投标（响应）报价</w:t>
      </w:r>
      <w:r>
        <w:rPr>
          <w:rFonts w:hint="eastAsia"/>
          <w:sz w:val="24"/>
          <w:lang w:val="en-US" w:eastAsia="zh-CN"/>
        </w:rPr>
        <w:t>50</w:t>
      </w:r>
      <w:r>
        <w:rPr>
          <w:rFonts w:hint="eastAsia"/>
          <w:sz w:val="24"/>
        </w:rPr>
        <w:t>%的，即投标（响应）报价&lt;通过符合性审查的次低报价</w:t>
      </w:r>
      <w:r>
        <w:rPr>
          <w:rFonts w:hint="eastAsia"/>
          <w:sz w:val="24"/>
          <w:lang w:eastAsia="zh-CN"/>
        </w:rPr>
        <w:t>投标人</w:t>
      </w:r>
      <w:r>
        <w:rPr>
          <w:rFonts w:hint="eastAsia"/>
          <w:sz w:val="24"/>
        </w:rPr>
        <w:t>投标（响应）报价×</w:t>
      </w:r>
      <w:r>
        <w:rPr>
          <w:rFonts w:hint="eastAsia"/>
          <w:sz w:val="24"/>
          <w:lang w:val="en-US" w:eastAsia="zh-CN"/>
        </w:rPr>
        <w:t>50</w:t>
      </w:r>
      <w:r>
        <w:rPr>
          <w:rFonts w:hint="eastAsia"/>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sz w:val="24"/>
          <w:lang w:val="en-US" w:eastAsia="zh-CN"/>
        </w:rPr>
        <w:t>45</w:t>
      </w:r>
      <w:r>
        <w:rPr>
          <w:rFonts w:hint="eastAsia"/>
          <w:sz w:val="24"/>
        </w:rPr>
        <w:t>%的，即投标（响应）报价&lt;采购项目最高限价×</w:t>
      </w:r>
      <w:r>
        <w:rPr>
          <w:rFonts w:hint="eastAsia"/>
          <w:sz w:val="24"/>
          <w:lang w:val="en-US" w:eastAsia="zh-CN"/>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w:t>
      </w:r>
      <w:r>
        <w:rPr>
          <w:rFonts w:hint="eastAsia"/>
          <w:sz w:val="24"/>
          <w:lang w:eastAsia="zh-CN"/>
        </w:rPr>
        <w:t>投标人</w:t>
      </w:r>
      <w:r>
        <w:rPr>
          <w:rFonts w:hint="eastAsia"/>
          <w:sz w:val="24"/>
        </w:rPr>
        <w:t>报价过低，有可能影响产品质量或者不能诚信履约的其他情形。</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w:t>
      </w:r>
      <w:r>
        <w:rPr>
          <w:rFonts w:hint="eastAsia"/>
          <w:sz w:val="24"/>
          <w:lang w:eastAsia="zh-CN"/>
        </w:rPr>
        <w:t>投标人</w:t>
      </w:r>
      <w:r>
        <w:rPr>
          <w:sz w:val="24"/>
        </w:rPr>
        <w:t>在评审现场合理的时间内对投标（响应）价格作出解释，提供项目具体成本测算等与报价合理性相关的书面说明及必要的证明材料，包括但不限于原材料成本、人工成本、制造费用等，给予相关</w:t>
      </w:r>
      <w:r>
        <w:rPr>
          <w:rFonts w:hint="eastAsia"/>
          <w:sz w:val="24"/>
          <w:lang w:eastAsia="zh-CN"/>
        </w:rPr>
        <w:t>投标人</w:t>
      </w:r>
      <w:r>
        <w:rPr>
          <w:sz w:val="24"/>
        </w:rPr>
        <w:t>的合理时间一般不少于30分钟。其中，属于第</w:t>
      </w:r>
      <w:r>
        <w:rPr>
          <w:rFonts w:hint="eastAsia"/>
          <w:sz w:val="24"/>
        </w:rPr>
        <w:t>（</w:t>
      </w:r>
      <w:r>
        <w:rPr>
          <w:sz w:val="24"/>
        </w:rPr>
        <w:t>3</w:t>
      </w:r>
      <w:r>
        <w:rPr>
          <w:rFonts w:hint="eastAsia"/>
          <w:sz w:val="24"/>
        </w:rPr>
        <w:t>）</w:t>
      </w:r>
      <w:r>
        <w:rPr>
          <w:sz w:val="24"/>
        </w:rPr>
        <w:t>项情形，</w:t>
      </w:r>
      <w:r>
        <w:rPr>
          <w:rFonts w:hint="eastAsia"/>
          <w:sz w:val="24"/>
          <w:lang w:eastAsia="zh-CN"/>
        </w:rPr>
        <w:t>投标人</w:t>
      </w:r>
      <w:r>
        <w:rPr>
          <w:sz w:val="24"/>
        </w:rPr>
        <w:t>已随投标（响应）文件一并提交相关书面说明及必要的证明材料的，在评审现场可不再重复提交。</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sz w:val="24"/>
          <w:lang w:eastAsia="zh-CN"/>
        </w:rPr>
        <w:t>投标人</w:t>
      </w:r>
      <w:r>
        <w:rPr>
          <w:sz w:val="24"/>
        </w:rPr>
        <w:t>不能提供书面说明、证明材料，或者提供的书面说明、证明材料不能证明其报价合理性的，评审委员会应当将其作为</w:t>
      </w:r>
      <w:r>
        <w:rPr>
          <w:b/>
          <w:bCs/>
          <w:sz w:val="24"/>
        </w:rPr>
        <w:t>无效投标（响应）</w:t>
      </w:r>
      <w:r>
        <w:rPr>
          <w:sz w:val="24"/>
        </w:rPr>
        <w:t>处理。</w:t>
      </w:r>
    </w:p>
    <w:p>
      <w:pPr>
        <w:numPr>
          <w:ilvl w:val="2"/>
          <w:numId w:val="14"/>
        </w:numPr>
        <w:tabs>
          <w:tab w:val="left" w:pos="1134"/>
          <w:tab w:val="left" w:pos="1276"/>
          <w:tab w:val="left" w:pos="1560"/>
          <w:tab w:val="left" w:pos="1701"/>
          <w:tab w:val="clear" w:pos="1980"/>
        </w:tabs>
        <w:snapToGrid w:val="0"/>
        <w:spacing w:line="360" w:lineRule="auto"/>
        <w:ind w:left="1843" w:hanging="709"/>
        <w:rPr>
          <w:sz w:val="24"/>
        </w:rPr>
      </w:pPr>
      <w:bookmarkStart w:id="142" w:name="_Hlk190337965"/>
      <w:r>
        <w:rPr>
          <w:rFonts w:hint="eastAsia"/>
          <w:color w:val="000000"/>
          <w:sz w:val="24"/>
        </w:rPr>
        <w:t xml:space="preserve"> </w:t>
      </w:r>
      <w:r>
        <w:rPr>
          <w:rFonts w:hint="eastAsia"/>
          <w:sz w:val="24"/>
        </w:rPr>
        <w:t>上述投标（响应）报价指按照本章2.4修正后的报价</w:t>
      </w:r>
      <w:bookmarkEnd w:id="142"/>
      <w:r>
        <w:rPr>
          <w:rFonts w:hint="eastAsia"/>
          <w:sz w:val="24"/>
        </w:rPr>
        <w:t>。</w:t>
      </w:r>
    </w:p>
    <w:bookmarkEnd w:id="141"/>
    <w:p>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sz w:val="24"/>
          <w:szCs w:val="24"/>
        </w:rPr>
        <w:t>■</w:t>
      </w:r>
      <w:r>
        <w:rPr>
          <w:sz w:val="24"/>
        </w:rPr>
        <w:t>无，按下述2.4.2-2.4.7项规定修正。</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10</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lang w:val="en-US" w:eastAsia="zh-CN"/>
        </w:rPr>
        <w:t>5</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4"/>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1"/>
          <w:numId w:val="14"/>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w:t>
      </w:r>
      <w:r>
        <w:rPr>
          <w:rFonts w:hint="eastAsia"/>
          <w:sz w:val="24"/>
          <w:lang w:eastAsia="zh-CN"/>
        </w:rPr>
        <w:t>投标人</w:t>
      </w:r>
      <w:r>
        <w:rPr>
          <w:rFonts w:hint="eastAsia"/>
          <w:sz w:val="24"/>
        </w:rPr>
        <w:t>为该采购项目或者采购包提供的符合本国产品标准的产品成本之和占该</w:t>
      </w:r>
      <w:r>
        <w:rPr>
          <w:rFonts w:hint="eastAsia"/>
          <w:sz w:val="24"/>
          <w:lang w:eastAsia="zh-CN"/>
        </w:rPr>
        <w:t>投标人</w:t>
      </w:r>
      <w:r>
        <w:rPr>
          <w:rFonts w:hint="eastAsia"/>
          <w:sz w:val="24"/>
        </w:rPr>
        <w:t>提供的全部产品成本之和的比例达到80%以上时，依法对该</w:t>
      </w:r>
      <w:r>
        <w:rPr>
          <w:rFonts w:hint="eastAsia"/>
          <w:sz w:val="24"/>
          <w:lang w:eastAsia="zh-CN"/>
        </w:rPr>
        <w:t>投标人</w:t>
      </w:r>
      <w:r>
        <w:rPr>
          <w:rFonts w:hint="eastAsia"/>
          <w:sz w:val="24"/>
        </w:rPr>
        <w:t>提供的全部产品给予价格评审优惠，即对该</w:t>
      </w:r>
      <w:r>
        <w:rPr>
          <w:rFonts w:hint="eastAsia"/>
          <w:sz w:val="24"/>
          <w:lang w:eastAsia="zh-CN"/>
        </w:rPr>
        <w:t>投标人</w:t>
      </w:r>
      <w:r>
        <w:rPr>
          <w:rFonts w:hint="eastAsia"/>
          <w:sz w:val="24"/>
        </w:rPr>
        <w:t>提供的全部产品的总报价给予20%的价格扣除，用扣除后的价格参与评审。</w:t>
      </w:r>
    </w:p>
    <w:p>
      <w:pPr>
        <w:numPr>
          <w:ilvl w:val="2"/>
          <w:numId w:val="14"/>
        </w:numPr>
        <w:tabs>
          <w:tab w:val="left" w:pos="1080"/>
          <w:tab w:val="left" w:pos="2100"/>
          <w:tab w:val="clear" w:pos="1980"/>
        </w:tabs>
        <w:snapToGrid w:val="0"/>
        <w:spacing w:line="360" w:lineRule="auto"/>
        <w:ind w:left="2088" w:leftChars="502" w:hanging="1034" w:hangingChars="431"/>
        <w:rPr>
          <w:sz w:val="24"/>
        </w:rPr>
      </w:pPr>
      <w:r>
        <w:rPr>
          <w:rFonts w:hint="eastAsia"/>
          <w:sz w:val="24"/>
          <w:lang w:eastAsia="zh-CN"/>
        </w:rPr>
        <w:t>投标人</w:t>
      </w:r>
      <w:r>
        <w:rPr>
          <w:rFonts w:hint="eastAsia"/>
          <w:sz w:val="24"/>
        </w:rPr>
        <w:t>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pPr>
        <w:numPr>
          <w:ilvl w:val="0"/>
          <w:numId w:val="14"/>
        </w:numPr>
        <w:tabs>
          <w:tab w:val="left" w:pos="360"/>
        </w:tabs>
        <w:snapToGrid w:val="0"/>
        <w:spacing w:line="360" w:lineRule="auto"/>
        <w:outlineLvl w:val="1"/>
        <w:rPr>
          <w:sz w:val="24"/>
        </w:rPr>
      </w:pPr>
      <w:r>
        <w:rPr>
          <w:sz w:val="24"/>
        </w:rPr>
        <w:t>投标文件的比较和评价</w:t>
      </w:r>
    </w:p>
    <w:p>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sz w:val="24"/>
        </w:rPr>
      </w:pPr>
      <w:r>
        <w:rPr>
          <w:sz w:val="24"/>
        </w:rPr>
        <w:t>评标方法和评标标准</w:t>
      </w:r>
    </w:p>
    <w:p>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sz w:val="24"/>
          <w:szCs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0"/>
          <w:numId w:val="14"/>
        </w:numPr>
        <w:tabs>
          <w:tab w:val="left" w:pos="360"/>
        </w:tabs>
        <w:snapToGrid w:val="0"/>
        <w:spacing w:line="360" w:lineRule="auto"/>
        <w:outlineLvl w:val="1"/>
        <w:rPr>
          <w:sz w:val="24"/>
        </w:rPr>
      </w:pPr>
      <w:r>
        <w:rPr>
          <w:sz w:val="24"/>
        </w:rPr>
        <w:t>确定中标候选人名单</w:t>
      </w:r>
    </w:p>
    <w:p>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lang w:val="en-US" w:eastAsia="zh-CN"/>
        </w:rPr>
        <w:t>1</w:t>
      </w:r>
      <w:r>
        <w:rPr>
          <w:sz w:val="24"/>
        </w:rPr>
        <w:t>名中标候选人。</w:t>
      </w:r>
    </w:p>
    <w:p>
      <w:pPr>
        <w:numPr>
          <w:ilvl w:val="0"/>
          <w:numId w:val="14"/>
        </w:numPr>
        <w:tabs>
          <w:tab w:val="left" w:pos="360"/>
        </w:tabs>
        <w:snapToGrid w:val="0"/>
        <w:spacing w:line="360" w:lineRule="auto"/>
        <w:outlineLvl w:val="1"/>
        <w:rPr>
          <w:sz w:val="24"/>
        </w:rPr>
      </w:pPr>
      <w:r>
        <w:rPr>
          <w:sz w:val="24"/>
        </w:rPr>
        <w:t>报告违法行为</w:t>
      </w:r>
    </w:p>
    <w:p>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pPr>
        <w:widowControl/>
        <w:spacing w:line="360" w:lineRule="auto"/>
        <w:jc w:val="left"/>
        <w:rPr>
          <w:rFonts w:hint="eastAsia" w:ascii="宋体" w:hAnsi="宋体" w:cs="宋体"/>
          <w:b/>
          <w:sz w:val="24"/>
        </w:rPr>
      </w:pPr>
      <w:bookmarkStart w:id="143" w:name="_Toc150774760"/>
      <w:bookmarkStart w:id="144" w:name="_Toc150480793"/>
      <w:bookmarkStart w:id="145" w:name="_Toc226337251"/>
      <w:bookmarkStart w:id="146" w:name="_Toc353873665"/>
      <w:bookmarkStart w:id="147" w:name="_Toc142311057"/>
      <w:bookmarkStart w:id="148" w:name="_Toc264969245"/>
      <w:bookmarkStart w:id="149" w:name="_Toc195842920"/>
      <w:bookmarkStart w:id="150" w:name="_Toc305158897"/>
      <w:bookmarkStart w:id="151" w:name="_Toc305158823"/>
      <w:bookmarkStart w:id="152" w:name="_Toc127151555"/>
      <w:bookmarkStart w:id="153" w:name="_Toc353873935"/>
      <w:bookmarkStart w:id="154" w:name="_Toc353825545"/>
      <w:bookmarkStart w:id="155" w:name="_Toc265228393"/>
      <w:bookmarkStart w:id="156" w:name="_Toc226965828"/>
    </w:p>
    <w:p>
      <w:pPr>
        <w:widowControl/>
        <w:spacing w:line="360" w:lineRule="auto"/>
        <w:jc w:val="left"/>
        <w:rPr>
          <w:rFonts w:hint="eastAsia" w:ascii="宋体" w:hAnsi="宋体" w:cs="宋体"/>
          <w:b/>
          <w:sz w:val="24"/>
        </w:rPr>
      </w:pPr>
      <w:r>
        <w:rPr>
          <w:rFonts w:hint="eastAsia" w:ascii="宋体" w:hAnsi="宋体" w:cs="宋体"/>
          <w:b/>
          <w:sz w:val="24"/>
        </w:rPr>
        <w:t>二、评标标准</w:t>
      </w:r>
    </w:p>
    <w:tbl>
      <w:tblPr>
        <w:tblStyle w:val="58"/>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716"/>
        <w:gridCol w:w="1087"/>
        <w:gridCol w:w="740"/>
        <w:gridCol w:w="6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6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序号</w:t>
            </w:r>
          </w:p>
        </w:tc>
        <w:tc>
          <w:tcPr>
            <w:tcW w:w="18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评审内容及得分</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分值</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打分标准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6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1</w:t>
            </w:r>
          </w:p>
        </w:tc>
        <w:tc>
          <w:tcPr>
            <w:tcW w:w="180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投标</w:t>
            </w:r>
            <w:r>
              <w:rPr>
                <w:rFonts w:hint="eastAsia" w:ascii="宋体" w:hAnsi="宋体"/>
                <w:color w:val="auto"/>
                <w:sz w:val="24"/>
                <w:szCs w:val="24"/>
                <w:highlight w:val="none"/>
              </w:rPr>
              <w:t>报价</w:t>
            </w:r>
          </w:p>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（10分）</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10</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sz w:val="24"/>
                <w:szCs w:val="24"/>
              </w:rPr>
              <w:t>满足招标文件要求且投标价格最低的投标报价为评标基准价，其价格分为满分。其他投标人的价格分统一按照下列公式计算：投标报价得分＝（评标基准价/投标报价）×分值。此处投标报价指经过报价修正，及因落实政府采购政策进行价格调整后的报价，详见第四章《评标程序、评标方法和评标标准》2.4</w:t>
            </w:r>
            <w:r>
              <w:rPr>
                <w:rFonts w:hint="eastAsia"/>
                <w:sz w:val="24"/>
                <w:szCs w:val="24"/>
              </w:rPr>
              <w:t>、</w:t>
            </w:r>
            <w:r>
              <w:rPr>
                <w:sz w:val="24"/>
                <w:szCs w:val="24"/>
              </w:rPr>
              <w:t>2.5</w:t>
            </w:r>
            <w:r>
              <w:rPr>
                <w:rFonts w:hint="eastAsia"/>
                <w:sz w:val="24"/>
                <w:szCs w:val="24"/>
              </w:rPr>
              <w:t>及2</w:t>
            </w:r>
            <w:r>
              <w:rPr>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3"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2</w:t>
            </w:r>
          </w:p>
        </w:tc>
        <w:tc>
          <w:tcPr>
            <w:tcW w:w="716"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整体方案（</w:t>
            </w:r>
            <w:r>
              <w:rPr>
                <w:rFonts w:hint="eastAsia" w:ascii="宋体" w:hAnsi="宋体"/>
                <w:color w:val="auto"/>
                <w:sz w:val="24"/>
                <w:szCs w:val="24"/>
                <w:highlight w:val="none"/>
                <w:lang w:val="en-US" w:eastAsia="zh-CN"/>
              </w:rPr>
              <w:t>57</w:t>
            </w:r>
            <w:r>
              <w:rPr>
                <w:rFonts w:hint="eastAsia" w:ascii="宋体" w:hAnsi="宋体"/>
                <w:color w:val="auto"/>
                <w:sz w:val="24"/>
                <w:szCs w:val="24"/>
                <w:highlight w:val="none"/>
              </w:rPr>
              <w:t>分）</w:t>
            </w:r>
          </w:p>
        </w:tc>
        <w:tc>
          <w:tcPr>
            <w:tcW w:w="1087" w:type="dxa"/>
            <w:tcBorders>
              <w:top w:val="single" w:color="auto" w:sz="4" w:space="0"/>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eastAsia="宋体" w:cs="宋体"/>
                <w:color w:val="auto"/>
                <w:sz w:val="24"/>
                <w:szCs w:val="24"/>
                <w:highlight w:val="none"/>
                <w:lang w:val="en-US" w:eastAsia="zh-CN"/>
              </w:rPr>
            </w:pPr>
            <w:r>
              <w:rPr>
                <w:rFonts w:hint="eastAsia"/>
                <w:color w:val="auto"/>
                <w:sz w:val="24"/>
                <w:szCs w:val="24"/>
                <w:highlight w:val="none"/>
                <w:lang w:eastAsia="zh-CN"/>
              </w:rPr>
              <w:t>对服务需求及技术参数的响应情况</w:t>
            </w:r>
          </w:p>
        </w:tc>
        <w:tc>
          <w:tcPr>
            <w:tcW w:w="740"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6102"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olor w:val="auto"/>
                <w:sz w:val="24"/>
                <w:szCs w:val="24"/>
                <w:highlight w:val="none"/>
              </w:rPr>
              <w:t>服务</w:t>
            </w:r>
            <w:r>
              <w:rPr>
                <w:rFonts w:hint="eastAsia"/>
                <w:color w:val="auto"/>
                <w:sz w:val="24"/>
                <w:szCs w:val="24"/>
                <w:highlight w:val="none"/>
                <w:lang w:eastAsia="zh-CN"/>
              </w:rPr>
              <w:t>需求及技术参数</w:t>
            </w:r>
            <w:r>
              <w:rPr>
                <w:rFonts w:hint="eastAsia"/>
                <w:color w:val="auto"/>
                <w:sz w:val="24"/>
                <w:szCs w:val="24"/>
                <w:highlight w:val="none"/>
              </w:rPr>
              <w:t>要求</w:t>
            </w:r>
            <w:r>
              <w:rPr>
                <w:rFonts w:hint="eastAsia"/>
                <w:color w:val="auto"/>
                <w:sz w:val="24"/>
                <w:szCs w:val="24"/>
                <w:highlight w:val="none"/>
                <w:lang w:eastAsia="zh-CN"/>
              </w:rPr>
              <w:t>部分标注</w:t>
            </w:r>
            <w:r>
              <w:rPr>
                <w:rFonts w:hint="eastAsia"/>
                <w:color w:val="auto"/>
                <w:sz w:val="24"/>
                <w:szCs w:val="24"/>
                <w:highlight w:val="none"/>
              </w:rPr>
              <w:t>“</w:t>
            </w:r>
            <w:r>
              <w:rPr>
                <w:rFonts w:hint="eastAsia" w:ascii="宋体" w:hAnsi="宋体" w:cs="宋体"/>
                <w:color w:val="auto"/>
                <w:kern w:val="0"/>
                <w:sz w:val="24"/>
                <w:szCs w:val="24"/>
                <w:highlight w:val="none"/>
                <w:lang w:bidi="ar"/>
              </w:rPr>
              <w:t>▲</w:t>
            </w:r>
            <w:r>
              <w:rPr>
                <w:rFonts w:hint="eastAsia"/>
                <w:color w:val="auto"/>
                <w:sz w:val="24"/>
                <w:szCs w:val="24"/>
                <w:highlight w:val="none"/>
              </w:rPr>
              <w:t>”</w:t>
            </w:r>
            <w:r>
              <w:rPr>
                <w:rFonts w:hint="eastAsia"/>
                <w:color w:val="auto"/>
                <w:sz w:val="24"/>
                <w:szCs w:val="24"/>
                <w:highlight w:val="none"/>
                <w:lang w:eastAsia="zh-CN"/>
              </w:rPr>
              <w:t>项</w:t>
            </w:r>
            <w:r>
              <w:rPr>
                <w:rFonts w:hint="eastAsia"/>
                <w:color w:val="auto"/>
                <w:sz w:val="24"/>
                <w:szCs w:val="24"/>
                <w:highlight w:val="none"/>
              </w:rPr>
              <w:t>代表重要指标项，每</w:t>
            </w:r>
            <w:r>
              <w:rPr>
                <w:rFonts w:hint="eastAsia"/>
                <w:color w:val="auto"/>
                <w:sz w:val="24"/>
                <w:szCs w:val="24"/>
                <w:highlight w:val="none"/>
                <w:lang w:eastAsia="zh-CN"/>
              </w:rPr>
              <w:t>出现</w:t>
            </w:r>
            <w:r>
              <w:rPr>
                <w:rFonts w:hint="eastAsia"/>
                <w:color w:val="auto"/>
                <w:sz w:val="24"/>
                <w:szCs w:val="24"/>
                <w:highlight w:val="none"/>
                <w:lang w:val="en-US" w:eastAsia="zh-CN"/>
              </w:rPr>
              <w:t>1项不满足</w:t>
            </w:r>
            <w:r>
              <w:rPr>
                <w:rFonts w:hint="eastAsia"/>
                <w:color w:val="auto"/>
                <w:sz w:val="24"/>
                <w:szCs w:val="24"/>
                <w:highlight w:val="none"/>
              </w:rPr>
              <w:t>扣3分，</w:t>
            </w:r>
            <w:r>
              <w:rPr>
                <w:rFonts w:hint="eastAsia"/>
                <w:color w:val="auto"/>
                <w:sz w:val="24"/>
                <w:szCs w:val="24"/>
                <w:highlight w:val="none"/>
                <w:lang w:eastAsia="zh-CN"/>
              </w:rPr>
              <w:t>其他项</w:t>
            </w:r>
            <w:r>
              <w:rPr>
                <w:rFonts w:hint="eastAsia"/>
                <w:color w:val="auto"/>
                <w:sz w:val="24"/>
                <w:szCs w:val="24"/>
                <w:highlight w:val="none"/>
              </w:rPr>
              <w:t>每</w:t>
            </w:r>
            <w:r>
              <w:rPr>
                <w:rFonts w:hint="eastAsia"/>
                <w:color w:val="auto"/>
                <w:sz w:val="24"/>
                <w:szCs w:val="24"/>
                <w:highlight w:val="none"/>
                <w:lang w:eastAsia="zh-CN"/>
              </w:rPr>
              <w:t>出现</w:t>
            </w:r>
            <w:r>
              <w:rPr>
                <w:rFonts w:hint="eastAsia"/>
                <w:color w:val="auto"/>
                <w:sz w:val="24"/>
                <w:szCs w:val="24"/>
                <w:highlight w:val="none"/>
                <w:lang w:val="en-US" w:eastAsia="zh-CN"/>
              </w:rPr>
              <w:t>1项不满足</w:t>
            </w:r>
            <w:r>
              <w:rPr>
                <w:rFonts w:hint="eastAsia"/>
                <w:color w:val="auto"/>
                <w:sz w:val="24"/>
                <w:szCs w:val="24"/>
                <w:highlight w:val="none"/>
              </w:rPr>
              <w:t>扣</w:t>
            </w:r>
            <w:r>
              <w:rPr>
                <w:rFonts w:hint="eastAsia"/>
                <w:color w:val="auto"/>
                <w:sz w:val="24"/>
                <w:szCs w:val="24"/>
                <w:highlight w:val="none"/>
                <w:lang w:val="en-US" w:eastAsia="zh-CN"/>
              </w:rPr>
              <w:t>1</w:t>
            </w:r>
            <w:r>
              <w:rPr>
                <w:rFonts w:hint="eastAsia"/>
                <w:color w:val="auto"/>
                <w:sz w:val="24"/>
                <w:szCs w:val="24"/>
                <w:highlight w:val="none"/>
              </w:rPr>
              <w:t>分</w:t>
            </w:r>
            <w:r>
              <w:rPr>
                <w:rFonts w:hint="eastAsia"/>
                <w:color w:val="auto"/>
                <w:sz w:val="24"/>
                <w:szCs w:val="24"/>
                <w:highlight w:val="none"/>
                <w:lang w:eastAsia="zh-CN"/>
              </w:rPr>
              <w:t>，扣完为止</w:t>
            </w:r>
            <w:r>
              <w:rPr>
                <w:rFonts w:hint="eastAsia"/>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3"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sz w:val="24"/>
                <w:szCs w:val="24"/>
                <w:highlight w:val="none"/>
              </w:rPr>
              <w:t>技术方案</w:t>
            </w:r>
          </w:p>
        </w:tc>
        <w:tc>
          <w:tcPr>
            <w:tcW w:w="740"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20</w:t>
            </w:r>
          </w:p>
        </w:tc>
        <w:tc>
          <w:tcPr>
            <w:tcW w:w="6102"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技术方案论述完整，从</w:t>
            </w:r>
            <w:r>
              <w:rPr>
                <w:rFonts w:hint="eastAsia" w:ascii="宋体" w:hAnsi="宋体" w:cs="宋体"/>
                <w:color w:val="auto"/>
                <w:sz w:val="24"/>
                <w:szCs w:val="24"/>
                <w:highlight w:val="none"/>
                <w:lang w:val="en-US" w:eastAsia="zh-CN"/>
              </w:rPr>
              <w:t>以下方面展开论述</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品牌实力</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ascii="宋体" w:hAnsi="宋体" w:cs="宋体"/>
                <w:color w:val="auto"/>
                <w:sz w:val="24"/>
                <w:szCs w:val="24"/>
                <w:highlight w:val="none"/>
              </w:rPr>
              <w:t>大客户服务规模</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ascii="宋体" w:hAnsi="宋体" w:cs="宋体"/>
                <w:color w:val="auto"/>
                <w:sz w:val="24"/>
                <w:szCs w:val="24"/>
                <w:highlight w:val="none"/>
              </w:rPr>
              <w:t>网络覆盖范围</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ascii="宋体" w:hAnsi="宋体" w:cs="宋体"/>
                <w:color w:val="auto"/>
                <w:sz w:val="24"/>
                <w:szCs w:val="24"/>
                <w:highlight w:val="none"/>
              </w:rPr>
              <w:t>网络性能</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ascii="宋体" w:hAnsi="宋体" w:cs="宋体"/>
                <w:color w:val="auto"/>
                <w:sz w:val="24"/>
                <w:szCs w:val="24"/>
                <w:highlight w:val="none"/>
              </w:rPr>
              <w:t>信息资源状况</w:t>
            </w:r>
          </w:p>
          <w:p>
            <w:pPr>
              <w:keepNext w:val="0"/>
              <w:keepLines w:val="0"/>
              <w:pageBreakBefore w:val="0"/>
              <w:widowControl w:val="0"/>
              <w:numPr>
                <w:ilvl w:val="0"/>
                <w:numId w:val="15"/>
              </w:numPr>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ascii="宋体" w:hAnsi="宋体" w:cs="宋体"/>
                <w:color w:val="auto"/>
                <w:sz w:val="24"/>
                <w:szCs w:val="24"/>
                <w:highlight w:val="none"/>
              </w:rPr>
              <w:t>网络功能和架构先进性</w:t>
            </w:r>
            <w:r>
              <w:rPr>
                <w:rFonts w:hint="eastAsia" w:ascii="宋体" w:hAnsi="宋体" w:cs="宋体"/>
                <w:color w:val="auto"/>
                <w:sz w:val="24"/>
                <w:szCs w:val="24"/>
                <w:highlight w:val="none"/>
              </w:rPr>
              <w:br w:type="textWrapping"/>
            </w:r>
            <w:r>
              <w:rPr>
                <w:rFonts w:hint="eastAsia"/>
                <w:color w:val="auto"/>
                <w:sz w:val="24"/>
                <w:szCs w:val="24"/>
                <w:highlight w:val="none"/>
              </w:rPr>
              <w:t>技术方案</w:t>
            </w:r>
            <w:r>
              <w:rPr>
                <w:rFonts w:hint="eastAsia"/>
                <w:color w:val="auto"/>
                <w:sz w:val="24"/>
                <w:szCs w:val="24"/>
                <w:highlight w:val="none"/>
                <w:lang w:val="en-US" w:eastAsia="zh-CN"/>
              </w:rPr>
              <w:t>满足</w:t>
            </w:r>
            <w:r>
              <w:rPr>
                <w:rFonts w:hint="eastAsia"/>
                <w:color w:val="auto"/>
                <w:sz w:val="24"/>
                <w:szCs w:val="24"/>
                <w:highlight w:val="none"/>
              </w:rPr>
              <w:t>项目需求条款，内容</w:t>
            </w:r>
            <w:r>
              <w:rPr>
                <w:rFonts w:hint="eastAsia"/>
                <w:color w:val="auto"/>
                <w:sz w:val="24"/>
                <w:szCs w:val="24"/>
                <w:highlight w:val="none"/>
                <w:lang w:val="en-US" w:eastAsia="zh-CN"/>
              </w:rPr>
              <w:t>针对性强、</w:t>
            </w:r>
            <w:r>
              <w:rPr>
                <w:rFonts w:hint="eastAsia"/>
                <w:color w:val="auto"/>
                <w:sz w:val="24"/>
                <w:szCs w:val="24"/>
                <w:highlight w:val="none"/>
              </w:rPr>
              <w:t>与本项目场景高度匹配，</w:t>
            </w:r>
            <w:r>
              <w:rPr>
                <w:rFonts w:hint="eastAsia"/>
                <w:color w:val="auto"/>
                <w:sz w:val="24"/>
                <w:szCs w:val="24"/>
                <w:highlight w:val="none"/>
                <w:lang w:val="en-US" w:eastAsia="zh-CN"/>
              </w:rPr>
              <w:t>无缺漏、内容合理、</w:t>
            </w:r>
            <w:r>
              <w:rPr>
                <w:rFonts w:hint="eastAsia"/>
                <w:color w:val="auto"/>
                <w:sz w:val="24"/>
                <w:szCs w:val="24"/>
                <w:highlight w:val="none"/>
              </w:rPr>
              <w:t>逻辑清晰、可落地性强，得</w:t>
            </w:r>
            <w:r>
              <w:rPr>
                <w:rFonts w:hint="eastAsia"/>
                <w:color w:val="auto"/>
                <w:sz w:val="24"/>
                <w:szCs w:val="24"/>
                <w:highlight w:val="none"/>
                <w:lang w:val="en-US" w:eastAsia="zh-CN"/>
              </w:rPr>
              <w:t>20</w:t>
            </w:r>
            <w:r>
              <w:rPr>
                <w:rFonts w:hint="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ascii="宋体" w:hAnsi="宋体" w:eastAsia="宋体" w:cs="宋体"/>
                <w:color w:val="auto"/>
                <w:sz w:val="24"/>
                <w:szCs w:val="24"/>
                <w:highlight w:val="none"/>
              </w:rPr>
              <w:t>技术方案满足大部分项目需求条款，整体方向贴合项目，但局部针对性不足，少量细节存在缺失，不影响整体实施</w:t>
            </w:r>
            <w:r>
              <w:rPr>
                <w:rFonts w:hint="eastAsia"/>
                <w:color w:val="auto"/>
                <w:sz w:val="24"/>
                <w:szCs w:val="24"/>
                <w:highlight w:val="none"/>
                <w:lang w:val="en-US" w:eastAsia="zh-CN"/>
              </w:rPr>
              <w:t>，</w:t>
            </w:r>
            <w:r>
              <w:rPr>
                <w:rFonts w:hint="eastAsia"/>
                <w:color w:val="auto"/>
                <w:sz w:val="24"/>
                <w:szCs w:val="24"/>
                <w:highlight w:val="none"/>
              </w:rPr>
              <w:t>得</w:t>
            </w:r>
            <w:r>
              <w:rPr>
                <w:rFonts w:hint="eastAsia"/>
                <w:color w:val="auto"/>
                <w:sz w:val="24"/>
                <w:szCs w:val="24"/>
                <w:highlight w:val="none"/>
                <w:lang w:val="en-US" w:eastAsia="zh-CN"/>
              </w:rPr>
              <w:t>13</w:t>
            </w:r>
            <w:r>
              <w:rPr>
                <w:rFonts w:hint="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color w:val="auto"/>
                <w:sz w:val="24"/>
                <w:szCs w:val="24"/>
                <w:highlight w:val="none"/>
              </w:rPr>
              <w:t>技术方案</w:t>
            </w:r>
            <w:r>
              <w:rPr>
                <w:rFonts w:hint="eastAsia"/>
                <w:color w:val="auto"/>
                <w:sz w:val="24"/>
                <w:szCs w:val="24"/>
                <w:highlight w:val="none"/>
                <w:lang w:val="en-US" w:eastAsia="zh-CN"/>
              </w:rPr>
              <w:t>部分满足项目需求条款</w:t>
            </w:r>
            <w:r>
              <w:rPr>
                <w:rFonts w:hint="eastAsia"/>
                <w:color w:val="auto"/>
                <w:sz w:val="24"/>
                <w:szCs w:val="24"/>
                <w:highlight w:val="none"/>
              </w:rPr>
              <w:t>，</w:t>
            </w:r>
            <w:r>
              <w:rPr>
                <w:rFonts w:hint="eastAsia"/>
                <w:color w:val="auto"/>
                <w:sz w:val="24"/>
                <w:szCs w:val="24"/>
                <w:highlight w:val="none"/>
                <w:lang w:val="en-US" w:eastAsia="zh-CN"/>
              </w:rPr>
              <w:t>技术方案存在</w:t>
            </w:r>
            <w:r>
              <w:rPr>
                <w:rFonts w:ascii="宋体" w:hAnsi="宋体" w:eastAsia="宋体" w:cs="宋体"/>
                <w:color w:val="auto"/>
                <w:sz w:val="24"/>
                <w:szCs w:val="24"/>
                <w:highlight w:val="none"/>
              </w:rPr>
              <w:t>明显缺漏，部分内容与项目场景不匹配</w:t>
            </w:r>
            <w:r>
              <w:rPr>
                <w:rFonts w:hint="eastAsia"/>
                <w:color w:val="auto"/>
                <w:sz w:val="24"/>
                <w:szCs w:val="24"/>
                <w:highlight w:val="none"/>
                <w:lang w:val="en-US" w:eastAsia="zh-CN"/>
              </w:rPr>
              <w:t>，</w:t>
            </w:r>
            <w:r>
              <w:rPr>
                <w:rFonts w:hint="eastAsia"/>
                <w:color w:val="auto"/>
                <w:sz w:val="24"/>
                <w:szCs w:val="24"/>
                <w:highlight w:val="none"/>
              </w:rPr>
              <w:t>得</w:t>
            </w:r>
            <w:r>
              <w:rPr>
                <w:rFonts w:hint="eastAsia"/>
                <w:color w:val="auto"/>
                <w:sz w:val="24"/>
                <w:szCs w:val="24"/>
                <w:highlight w:val="none"/>
                <w:lang w:val="en-US" w:eastAsia="zh-CN"/>
              </w:rPr>
              <w:t>7</w:t>
            </w:r>
            <w:r>
              <w:rPr>
                <w:rFonts w:hint="eastAsia"/>
                <w:color w:val="auto"/>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color w:val="auto"/>
                <w:sz w:val="24"/>
                <w:szCs w:val="24"/>
                <w:highlight w:val="none"/>
              </w:rPr>
              <w:t>技术方案</w:t>
            </w:r>
            <w:r>
              <w:rPr>
                <w:rFonts w:hint="eastAsia"/>
                <w:color w:val="auto"/>
                <w:sz w:val="24"/>
                <w:szCs w:val="24"/>
                <w:highlight w:val="none"/>
                <w:lang w:val="en-US" w:eastAsia="zh-CN"/>
              </w:rPr>
              <w:t>不满足项目需求</w:t>
            </w:r>
            <w:r>
              <w:rPr>
                <w:rFonts w:hint="eastAsia"/>
                <w:color w:val="auto"/>
                <w:sz w:val="24"/>
                <w:szCs w:val="24"/>
                <w:highlight w:val="none"/>
              </w:rPr>
              <w:t>，</w:t>
            </w:r>
            <w:r>
              <w:rPr>
                <w:rFonts w:hint="eastAsia"/>
                <w:color w:val="auto"/>
                <w:sz w:val="24"/>
                <w:szCs w:val="24"/>
                <w:highlight w:val="none"/>
                <w:lang w:val="en-US" w:eastAsia="zh-CN"/>
              </w:rPr>
              <w:t>技术方案不合理，</w:t>
            </w:r>
            <w:r>
              <w:rPr>
                <w:rFonts w:hint="eastAsia"/>
                <w:color w:val="auto"/>
                <w:sz w:val="24"/>
                <w:szCs w:val="24"/>
                <w:highlight w:val="none"/>
              </w:rPr>
              <w:t>或未按要求提供服务方案，</w:t>
            </w:r>
            <w:r>
              <w:rPr>
                <w:rFonts w:hint="eastAsia"/>
                <w:color w:val="auto"/>
                <w:sz w:val="24"/>
                <w:szCs w:val="24"/>
                <w:highlight w:val="none"/>
                <w:lang w:eastAsia="zh-CN"/>
              </w:rPr>
              <w:t>本项</w:t>
            </w:r>
            <w:r>
              <w:rPr>
                <w:rFonts w:hint="eastAsia"/>
                <w:color w:val="auto"/>
                <w:sz w:val="24"/>
                <w:szCs w:val="24"/>
                <w:highlight w:val="none"/>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3"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kern w:val="0"/>
                <w:sz w:val="24"/>
                <w:szCs w:val="24"/>
                <w:highlight w:val="none"/>
              </w:rPr>
              <w:t>服务开通承诺函</w:t>
            </w:r>
          </w:p>
        </w:tc>
        <w:tc>
          <w:tcPr>
            <w:tcW w:w="740" w:type="dxa"/>
            <w:tcBorders>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10</w:t>
            </w:r>
          </w:p>
        </w:tc>
        <w:tc>
          <w:tcPr>
            <w:tcW w:w="6102" w:type="dxa"/>
            <w:tcBorders>
              <w:top w:val="single" w:color="auto" w:sz="4" w:space="0"/>
              <w:left w:val="single" w:color="auto" w:sz="4" w:space="0"/>
              <w:bottom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kern w:val="0"/>
                <w:sz w:val="24"/>
                <w:szCs w:val="24"/>
                <w:highlight w:val="none"/>
              </w:rPr>
            </w:pPr>
            <w:r>
              <w:rPr>
                <w:rFonts w:hint="eastAsia" w:cs="宋体"/>
                <w:color w:val="auto"/>
                <w:kern w:val="0"/>
                <w:sz w:val="24"/>
                <w:szCs w:val="24"/>
                <w:highlight w:val="none"/>
              </w:rPr>
              <w:t>需提供《服务开通承诺函》并加盖</w:t>
            </w:r>
            <w:r>
              <w:rPr>
                <w:rFonts w:hint="eastAsia" w:cs="宋体"/>
                <w:color w:val="auto"/>
                <w:kern w:val="0"/>
                <w:sz w:val="24"/>
                <w:szCs w:val="24"/>
                <w:highlight w:val="none"/>
                <w:lang w:eastAsia="zh-CN"/>
              </w:rPr>
              <w:t>投标人</w:t>
            </w:r>
            <w:r>
              <w:rPr>
                <w:rFonts w:hint="eastAsia" w:cs="宋体"/>
                <w:color w:val="auto"/>
                <w:kern w:val="0"/>
                <w:sz w:val="24"/>
                <w:szCs w:val="24"/>
                <w:highlight w:val="none"/>
              </w:rPr>
              <w:t>公章，</w:t>
            </w:r>
            <w:r>
              <w:rPr>
                <w:rFonts w:hint="eastAsia" w:cs="宋体"/>
                <w:color w:val="auto"/>
                <w:kern w:val="0"/>
                <w:sz w:val="24"/>
                <w:szCs w:val="24"/>
                <w:highlight w:val="none"/>
              </w:rPr>
              <w:br w:type="textWrapping"/>
            </w:r>
            <w:r>
              <w:rPr>
                <w:rFonts w:hint="eastAsia" w:cs="宋体"/>
                <w:color w:val="auto"/>
                <w:kern w:val="0"/>
                <w:sz w:val="24"/>
                <w:szCs w:val="24"/>
                <w:highlight w:val="none"/>
              </w:rPr>
              <w:t>承诺自合同签订之日起15个日历天内完成100个资源开通，自合同签订之日起30个日历天内完成全部资源开通得10分；</w:t>
            </w:r>
          </w:p>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kern w:val="0"/>
                <w:sz w:val="24"/>
                <w:szCs w:val="24"/>
                <w:highlight w:val="none"/>
              </w:rPr>
            </w:pPr>
            <w:r>
              <w:rPr>
                <w:rFonts w:hint="eastAsia" w:cs="宋体"/>
                <w:color w:val="auto"/>
                <w:kern w:val="0"/>
                <w:sz w:val="24"/>
                <w:szCs w:val="24"/>
                <w:highlight w:val="none"/>
              </w:rPr>
              <w:t>承诺自合同签订之日起20个日历天内完成100个资源开通，自合同签订之日起35个日历天内完成全部资源开通得6分；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承诺自合同签订之日起25个日历天内完成100个资源开通，自合同签订之日起40</w:t>
            </w:r>
            <w:r>
              <w:rPr>
                <w:rFonts w:hint="eastAsia" w:cs="宋体"/>
                <w:color w:val="auto"/>
                <w:kern w:val="0"/>
                <w:sz w:val="24"/>
                <w:szCs w:val="24"/>
                <w:highlight w:val="none"/>
              </w:rPr>
              <w:t>个日历天内完成全部资源开通</w:t>
            </w:r>
            <w:r>
              <w:rPr>
                <w:rFonts w:hint="eastAsia" w:ascii="宋体" w:hAnsi="宋体" w:cs="宋体"/>
                <w:color w:val="auto"/>
                <w:kern w:val="0"/>
                <w:sz w:val="24"/>
                <w:szCs w:val="24"/>
                <w:highlight w:val="none"/>
              </w:rPr>
              <w:t>得3分。</w:t>
            </w:r>
          </w:p>
          <w:p>
            <w:pPr>
              <w:pStyle w:val="2"/>
              <w:keepNext w:val="0"/>
              <w:keepLines w:val="0"/>
              <w:pageBreakBefore w:val="0"/>
              <w:kinsoku/>
              <w:wordWrap/>
              <w:overflowPunct/>
              <w:topLinePunct w:val="0"/>
              <w:autoSpaceDE/>
              <w:autoSpaceDN/>
              <w:bidi w:val="0"/>
              <w:spacing w:beforeAutospacing="0" w:after="0" w:afterAutospacing="0" w:line="240" w:lineRule="auto"/>
              <w:ind w:left="0" w:leftChars="0" w:right="0" w:rightChars="0" w:firstLine="0" w:firstLineChars="0"/>
              <w:jc w:val="both"/>
              <w:textAlignment w:val="auto"/>
              <w:rPr>
                <w:rFonts w:hint="default" w:eastAsia="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未按上述要求提供承诺的，不得分。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43"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sz w:val="24"/>
                <w:szCs w:val="24"/>
                <w:highlight w:val="none"/>
              </w:rPr>
              <w:t>项目实施管理</w:t>
            </w:r>
            <w:r>
              <w:rPr>
                <w:rFonts w:hint="eastAsia" w:cs="宋体"/>
                <w:color w:val="auto"/>
                <w:sz w:val="24"/>
                <w:szCs w:val="24"/>
                <w:highlight w:val="none"/>
                <w:lang w:eastAsia="zh-CN"/>
              </w:rPr>
              <w:t>方案</w:t>
            </w:r>
          </w:p>
        </w:tc>
        <w:tc>
          <w:tcPr>
            <w:tcW w:w="740" w:type="dxa"/>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default" w:ascii="宋体" w:hAnsi="宋体" w:cs="宋体"/>
                <w:color w:val="auto"/>
                <w:sz w:val="24"/>
                <w:szCs w:val="24"/>
                <w:highlight w:val="none"/>
                <w:lang w:val="en-US"/>
              </w:rPr>
            </w:pPr>
            <w:r>
              <w:rPr>
                <w:rFonts w:hint="eastAsia" w:ascii="宋体" w:hAnsi="宋体" w:cs="宋体"/>
                <w:color w:val="auto"/>
                <w:kern w:val="0"/>
                <w:sz w:val="24"/>
                <w:szCs w:val="24"/>
                <w:highlight w:val="none"/>
                <w:lang w:val="en-US" w:eastAsia="zh-CN"/>
              </w:rPr>
              <w:t>6</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项目实施管理、割接调试等具备可行的合理化实施方案：</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具有较高可行性得</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可行性一般得</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具有明显缺陷的得2分；</w:t>
            </w:r>
          </w:p>
          <w:p>
            <w:pPr>
              <w:pStyle w:val="2"/>
              <w:keepNext w:val="0"/>
              <w:keepLines w:val="0"/>
              <w:pageBreakBefore w:val="0"/>
              <w:kinsoku/>
              <w:wordWrap/>
              <w:overflowPunct/>
              <w:topLinePunct w:val="0"/>
              <w:autoSpaceDE/>
              <w:autoSpaceDN/>
              <w:bidi w:val="0"/>
              <w:spacing w:beforeAutospacing="0" w:after="0" w:afterAutospacing="0" w:line="240" w:lineRule="auto"/>
              <w:ind w:left="0" w:leftChars="0" w:right="0" w:rightChars="0" w:firstLine="0" w:firstLineChars="0"/>
              <w:jc w:val="both"/>
              <w:textAlignment w:val="auto"/>
              <w:rPr>
                <w:rFonts w:hint="eastAsia" w:eastAsia="宋体"/>
                <w:color w:val="auto"/>
                <w:sz w:val="24"/>
                <w:szCs w:val="24"/>
                <w:highlight w:val="none"/>
                <w:lang w:val="en-US" w:eastAsia="zh-CN"/>
              </w:rPr>
            </w:pPr>
            <w:r>
              <w:rPr>
                <w:rFonts w:hint="eastAsia" w:ascii="宋体" w:hAnsi="宋体" w:cs="宋体"/>
                <w:color w:val="auto"/>
                <w:kern w:val="0"/>
                <w:sz w:val="24"/>
                <w:szCs w:val="24"/>
                <w:highlight w:val="none"/>
              </w:rPr>
              <w:t>不具有可行性或未提供得0分。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1" w:hRule="atLeast"/>
          <w:jc w:val="center"/>
        </w:trPr>
        <w:tc>
          <w:tcPr>
            <w:tcW w:w="643"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项目实施承诺</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cs="宋体"/>
                <w:color w:val="auto"/>
                <w:sz w:val="24"/>
                <w:szCs w:val="24"/>
                <w:highlight w:val="none"/>
                <w:lang w:val="en-US" w:eastAsia="zh-CN"/>
              </w:rPr>
              <w:t>6</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default"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color w:val="auto"/>
                <w:kern w:val="2"/>
                <w:sz w:val="24"/>
                <w:szCs w:val="24"/>
                <w:highlight w:val="none"/>
                <w:lang w:bidi="ar-SA"/>
              </w:rPr>
              <w:t>投标人承诺项目</w:t>
            </w:r>
            <w:r>
              <w:rPr>
                <w:rFonts w:hint="default" w:ascii="宋体" w:hAnsi="宋体" w:cs="宋体"/>
                <w:color w:val="auto"/>
                <w:kern w:val="2"/>
                <w:sz w:val="24"/>
                <w:szCs w:val="24"/>
                <w:highlight w:val="none"/>
                <w:lang w:bidi="ar-SA"/>
              </w:rPr>
              <w:t>实施过程中自主协调，</w:t>
            </w:r>
            <w:r>
              <w:rPr>
                <w:rFonts w:hint="eastAsia" w:ascii="宋体" w:hAnsi="宋体" w:cs="宋体"/>
                <w:color w:val="auto"/>
                <w:kern w:val="2"/>
                <w:sz w:val="24"/>
                <w:szCs w:val="24"/>
                <w:highlight w:val="none"/>
                <w:lang w:bidi="ar-SA"/>
              </w:rPr>
              <w:t>无需采购人配合的，得3分；</w:t>
            </w:r>
            <w:r>
              <w:rPr>
                <w:rFonts w:hint="default" w:ascii="宋体" w:hAnsi="宋体" w:cs="宋体"/>
                <w:color w:val="auto"/>
                <w:kern w:val="2"/>
                <w:sz w:val="24"/>
                <w:szCs w:val="24"/>
                <w:highlight w:val="none"/>
                <w:lang w:val="en-US" w:eastAsia="zh-CN" w:bidi="ar-SA"/>
              </w:rPr>
              <w:t>未承诺的</w:t>
            </w:r>
            <w:r>
              <w:rPr>
                <w:rFonts w:hint="default" w:ascii="宋体" w:hAnsi="宋体" w:cs="宋体"/>
                <w:color w:val="auto"/>
                <w:kern w:val="2"/>
                <w:sz w:val="24"/>
                <w:szCs w:val="24"/>
                <w:highlight w:val="none"/>
                <w:lang w:bidi="ar-SA"/>
              </w:rPr>
              <w:t>本项</w:t>
            </w:r>
            <w:r>
              <w:rPr>
                <w:rFonts w:hint="eastAsia" w:ascii="宋体" w:hAnsi="宋体" w:cs="宋体"/>
                <w:color w:val="auto"/>
                <w:kern w:val="2"/>
                <w:sz w:val="24"/>
                <w:szCs w:val="24"/>
                <w:highlight w:val="none"/>
                <w:lang w:bidi="ar-SA"/>
              </w:rPr>
              <w:t>不得分。</w:t>
            </w:r>
          </w:p>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2、为</w:t>
            </w:r>
            <w:r>
              <w:rPr>
                <w:rFonts w:hint="eastAsia" w:ascii="宋体" w:hAnsi="宋体" w:cs="宋体"/>
                <w:color w:val="auto"/>
                <w:kern w:val="2"/>
                <w:sz w:val="24"/>
                <w:szCs w:val="24"/>
                <w:highlight w:val="none"/>
                <w:lang w:bidi="ar-SA"/>
              </w:rPr>
              <w:t>不干扰</w:t>
            </w:r>
            <w:r>
              <w:rPr>
                <w:rFonts w:hint="default" w:ascii="宋体" w:hAnsi="宋体" w:cs="宋体"/>
                <w:color w:val="auto"/>
                <w:kern w:val="2"/>
                <w:sz w:val="24"/>
                <w:szCs w:val="24"/>
                <w:highlight w:val="none"/>
                <w:lang w:bidi="ar-SA"/>
              </w:rPr>
              <w:t>休息日</w:t>
            </w:r>
            <w:r>
              <w:rPr>
                <w:rFonts w:hint="eastAsia" w:ascii="宋体" w:hAnsi="宋体" w:cs="宋体"/>
                <w:color w:val="auto"/>
                <w:kern w:val="2"/>
                <w:sz w:val="24"/>
                <w:szCs w:val="24"/>
                <w:highlight w:val="none"/>
                <w:lang w:bidi="ar-SA"/>
              </w:rPr>
              <w:t>场馆群众正常文化活动</w:t>
            </w:r>
            <w:r>
              <w:rPr>
                <w:rFonts w:hint="default" w:ascii="宋体" w:hAnsi="宋体" w:cs="宋体"/>
                <w:color w:val="auto"/>
                <w:kern w:val="2"/>
                <w:sz w:val="24"/>
                <w:szCs w:val="24"/>
                <w:highlight w:val="none"/>
                <w:lang w:bidi="ar-SA"/>
              </w:rPr>
              <w:t>，</w:t>
            </w:r>
            <w:r>
              <w:rPr>
                <w:rFonts w:hint="eastAsia" w:ascii="宋体" w:hAnsi="宋体" w:cs="宋体"/>
                <w:color w:val="auto"/>
                <w:kern w:val="2"/>
                <w:sz w:val="24"/>
                <w:szCs w:val="24"/>
                <w:highlight w:val="none"/>
                <w:lang w:bidi="ar-SA"/>
              </w:rPr>
              <w:t>投标人承诺项目</w:t>
            </w:r>
            <w:r>
              <w:rPr>
                <w:rFonts w:hint="default" w:ascii="宋体" w:hAnsi="宋体" w:cs="宋体"/>
                <w:color w:val="auto"/>
                <w:kern w:val="2"/>
                <w:sz w:val="24"/>
                <w:szCs w:val="24"/>
                <w:highlight w:val="none"/>
                <w:lang w:bidi="ar-SA"/>
              </w:rPr>
              <w:t>实施</w:t>
            </w:r>
            <w:r>
              <w:rPr>
                <w:rFonts w:hint="eastAsia" w:ascii="宋体" w:hAnsi="宋体" w:cs="宋体"/>
                <w:color w:val="auto"/>
                <w:kern w:val="2"/>
                <w:sz w:val="24"/>
                <w:szCs w:val="24"/>
                <w:highlight w:val="none"/>
                <w:lang w:bidi="ar-SA"/>
              </w:rPr>
              <w:t>仅安排</w:t>
            </w:r>
            <w:r>
              <w:rPr>
                <w:rFonts w:hint="default" w:ascii="宋体" w:hAnsi="宋体" w:cs="宋体"/>
                <w:color w:val="auto"/>
                <w:kern w:val="2"/>
                <w:sz w:val="24"/>
                <w:szCs w:val="24"/>
                <w:highlight w:val="none"/>
                <w:lang w:bidi="ar-SA"/>
              </w:rPr>
              <w:t>在</w:t>
            </w:r>
            <w:r>
              <w:rPr>
                <w:rFonts w:hint="eastAsia" w:ascii="宋体" w:hAnsi="宋体" w:cs="宋体"/>
                <w:color w:val="auto"/>
                <w:kern w:val="2"/>
                <w:sz w:val="24"/>
                <w:szCs w:val="24"/>
                <w:highlight w:val="none"/>
                <w:lang w:bidi="ar-SA"/>
              </w:rPr>
              <w:t>工作日开展的，得3分；</w:t>
            </w:r>
            <w:r>
              <w:rPr>
                <w:rFonts w:hint="default" w:ascii="宋体" w:hAnsi="宋体" w:cs="宋体"/>
                <w:color w:val="auto"/>
                <w:kern w:val="2"/>
                <w:sz w:val="24"/>
                <w:szCs w:val="24"/>
                <w:highlight w:val="none"/>
                <w:lang w:val="en-US" w:eastAsia="zh-CN" w:bidi="ar-SA"/>
              </w:rPr>
              <w:t>未承诺的</w:t>
            </w:r>
            <w:r>
              <w:rPr>
                <w:rFonts w:hint="eastAsia" w:ascii="宋体" w:hAnsi="宋体" w:cs="宋体"/>
                <w:color w:val="auto"/>
                <w:kern w:val="2"/>
                <w:sz w:val="24"/>
                <w:szCs w:val="24"/>
                <w:highlight w:val="none"/>
                <w:lang w:bidi="ar-SA"/>
              </w:rPr>
              <w:t>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 w:hRule="atLeast"/>
          <w:jc w:val="center"/>
        </w:trPr>
        <w:tc>
          <w:tcPr>
            <w:tcW w:w="643"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3</w:t>
            </w:r>
          </w:p>
        </w:tc>
        <w:tc>
          <w:tcPr>
            <w:tcW w:w="716"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lang w:eastAsia="zh-CN"/>
              </w:rPr>
              <w:t>投标人</w:t>
            </w:r>
            <w:r>
              <w:rPr>
                <w:rFonts w:ascii="宋体" w:hAnsi="宋体"/>
                <w:color w:val="auto"/>
                <w:sz w:val="24"/>
                <w:szCs w:val="24"/>
                <w:highlight w:val="none"/>
              </w:rPr>
              <w:t>履约能力</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19</w:t>
            </w:r>
            <w:r>
              <w:rPr>
                <w:rFonts w:hint="eastAsia" w:ascii="宋体" w:hAnsi="宋体"/>
                <w:color w:val="auto"/>
                <w:sz w:val="24"/>
                <w:szCs w:val="24"/>
                <w:highlight w:val="none"/>
              </w:rPr>
              <w:t>分)</w:t>
            </w:r>
          </w:p>
        </w:tc>
        <w:tc>
          <w:tcPr>
            <w:tcW w:w="108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业绩</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ascii="宋体" w:hAnsi="宋体" w:cs="宋体"/>
                <w:color w:val="auto"/>
                <w:sz w:val="24"/>
                <w:szCs w:val="24"/>
                <w:highlight w:val="none"/>
              </w:rPr>
              <w:t>4</w:t>
            </w:r>
          </w:p>
        </w:tc>
        <w:tc>
          <w:tcPr>
            <w:tcW w:w="6102" w:type="dxa"/>
            <w:tcBorders>
              <w:top w:val="single" w:color="auto" w:sz="4" w:space="0"/>
              <w:left w:val="single" w:color="auto" w:sz="4" w:space="0"/>
              <w:bottom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sz w:val="24"/>
                <w:szCs w:val="24"/>
                <w:highlight w:val="none"/>
                <w:lang w:eastAsia="zh-CN"/>
              </w:rPr>
              <w:t>投标人</w:t>
            </w:r>
            <w:r>
              <w:rPr>
                <w:rFonts w:hint="eastAsia" w:cs="宋体"/>
                <w:color w:val="auto"/>
                <w:sz w:val="24"/>
                <w:szCs w:val="24"/>
                <w:highlight w:val="none"/>
              </w:rPr>
              <w:t>近三年（2023年</w:t>
            </w:r>
            <w:r>
              <w:rPr>
                <w:rFonts w:hint="eastAsia" w:cs="宋体"/>
                <w:color w:val="auto"/>
                <w:sz w:val="24"/>
                <w:szCs w:val="24"/>
                <w:highlight w:val="none"/>
                <w:lang w:val="en-US" w:eastAsia="zh-CN"/>
              </w:rPr>
              <w:t>8</w:t>
            </w:r>
            <w:r>
              <w:rPr>
                <w:rFonts w:hint="eastAsia" w:cs="宋体"/>
                <w:color w:val="auto"/>
                <w:sz w:val="24"/>
                <w:szCs w:val="24"/>
                <w:highlight w:val="none"/>
              </w:rPr>
              <w:t>月1日至今）签订类似项目业绩（</w:t>
            </w:r>
            <w:r>
              <w:rPr>
                <w:rFonts w:hint="eastAsia" w:cs="宋体"/>
                <w:color w:val="auto"/>
                <w:sz w:val="24"/>
                <w:szCs w:val="24"/>
                <w:highlight w:val="none"/>
                <w:lang w:eastAsia="zh-CN"/>
              </w:rPr>
              <w:t>以签订日期为准，</w:t>
            </w:r>
            <w:r>
              <w:rPr>
                <w:rFonts w:hint="eastAsia" w:cs="宋体"/>
                <w:color w:val="auto"/>
                <w:sz w:val="24"/>
                <w:szCs w:val="24"/>
                <w:highlight w:val="none"/>
              </w:rPr>
              <w:t>提供合同的复印件至少包含首页、合同标的、</w:t>
            </w:r>
            <w:r>
              <w:rPr>
                <w:rFonts w:hint="eastAsia" w:cs="宋体"/>
                <w:color w:val="auto"/>
                <w:sz w:val="24"/>
                <w:szCs w:val="24"/>
                <w:highlight w:val="none"/>
                <w:lang w:eastAsia="zh-CN"/>
              </w:rPr>
              <w:t>签字</w:t>
            </w:r>
            <w:r>
              <w:rPr>
                <w:rFonts w:hint="eastAsia" w:cs="宋体"/>
                <w:color w:val="auto"/>
                <w:sz w:val="24"/>
                <w:szCs w:val="24"/>
                <w:highlight w:val="none"/>
              </w:rPr>
              <w:t>盖章页等能够说明合同内容的信息）</w:t>
            </w:r>
            <w:r>
              <w:rPr>
                <w:rFonts w:hint="eastAsia" w:cs="宋体"/>
                <w:color w:val="auto"/>
                <w:sz w:val="24"/>
                <w:szCs w:val="24"/>
                <w:highlight w:val="none"/>
                <w:lang w:eastAsia="zh-CN"/>
              </w:rPr>
              <w:t>。</w:t>
            </w:r>
            <w:r>
              <w:rPr>
                <w:rFonts w:hint="eastAsia" w:cs="宋体"/>
                <w:color w:val="auto"/>
                <w:sz w:val="24"/>
                <w:szCs w:val="24"/>
                <w:highlight w:val="none"/>
              </w:rPr>
              <w:t>经审核合格的业绩每提供一个得1分，最多得</w:t>
            </w:r>
            <w:r>
              <w:rPr>
                <w:rFonts w:cs="宋体"/>
                <w:color w:val="auto"/>
                <w:sz w:val="24"/>
                <w:szCs w:val="24"/>
                <w:highlight w:val="none"/>
              </w:rPr>
              <w:t>4</w:t>
            </w:r>
            <w:r>
              <w:rPr>
                <w:rFonts w:hint="eastAsia"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认证证书</w:t>
            </w:r>
          </w:p>
        </w:tc>
        <w:tc>
          <w:tcPr>
            <w:tcW w:w="740"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p>
        </w:tc>
        <w:tc>
          <w:tcPr>
            <w:tcW w:w="6102" w:type="dxa"/>
            <w:tcBorders>
              <w:top w:val="single" w:color="auto" w:sz="4" w:space="0"/>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sz w:val="24"/>
                <w:szCs w:val="24"/>
                <w:highlight w:val="none"/>
              </w:rPr>
              <w:t>提交有效的：</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w:t>
            </w:r>
            <w:r>
              <w:rPr>
                <w:rFonts w:hint="eastAsia" w:ascii="宋体" w:hAnsi="宋体" w:eastAsia="宋体" w:cs="宋体"/>
                <w:color w:val="auto"/>
                <w:sz w:val="24"/>
                <w:szCs w:val="24"/>
                <w:highlight w:val="none"/>
                <w:lang w:val="en-US" w:eastAsia="zh-CN"/>
              </w:rPr>
              <w:t>供</w:t>
            </w:r>
            <w:r>
              <w:rPr>
                <w:rFonts w:hint="eastAsia" w:ascii="宋体" w:hAnsi="宋体" w:cs="宋体"/>
                <w:color w:val="auto"/>
                <w:sz w:val="24"/>
                <w:szCs w:val="24"/>
                <w:highlight w:val="none"/>
              </w:rPr>
              <w:t>本级单位或上级单位、母公司的《基础电信业务经营许可证》复印件并加盖</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分支机构投标的需同时提</w:t>
            </w:r>
            <w:r>
              <w:rPr>
                <w:rFonts w:hint="eastAsia" w:ascii="宋体" w:hAnsi="宋体" w:cs="宋体"/>
                <w:color w:val="auto"/>
                <w:sz w:val="24"/>
                <w:szCs w:val="24"/>
                <w:highlight w:val="none"/>
              </w:rPr>
              <w:t>上级单位</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母公司</w:t>
            </w:r>
            <w:r>
              <w:rPr>
                <w:rFonts w:hint="eastAsia" w:ascii="宋体" w:hAnsi="宋体" w:cs="宋体"/>
                <w:color w:val="auto"/>
                <w:sz w:val="24"/>
                <w:szCs w:val="24"/>
                <w:highlight w:val="none"/>
                <w:lang w:val="en-US" w:eastAsia="zh-CN"/>
              </w:rPr>
              <w:t>授权函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，得3分</w:t>
            </w:r>
            <w:r>
              <w:rPr>
                <w:rFonts w:hint="eastAsia" w:ascii="宋体" w:hAnsi="宋体" w:eastAsia="宋体" w:cs="宋体"/>
                <w:color w:val="auto"/>
                <w:sz w:val="24"/>
                <w:szCs w:val="24"/>
                <w:highlight w:val="none"/>
                <w:lang w:val="en-US" w:eastAsia="zh-CN"/>
              </w:rPr>
              <w:t>；</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）提供本级单位或上级单位、母公司的《增值电信业务经营许可证》复印件并加盖</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公章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分支机构投标的需同时提供</w:t>
            </w:r>
            <w:r>
              <w:rPr>
                <w:rFonts w:hint="eastAsia" w:ascii="宋体" w:hAnsi="宋体" w:cs="宋体"/>
                <w:color w:val="auto"/>
                <w:sz w:val="24"/>
                <w:szCs w:val="24"/>
                <w:highlight w:val="none"/>
              </w:rPr>
              <w:t>上级单位</w:t>
            </w:r>
            <w:r>
              <w:rPr>
                <w:rFonts w:hint="eastAsia" w:ascii="宋体" w:hAnsi="宋体" w:cs="宋体"/>
                <w:color w:val="auto"/>
                <w:sz w:val="24"/>
                <w:szCs w:val="24"/>
                <w:highlight w:val="none"/>
                <w:lang w:val="en-US" w:eastAsia="zh-CN"/>
              </w:rPr>
              <w:t>或</w:t>
            </w:r>
            <w:r>
              <w:rPr>
                <w:rFonts w:hint="eastAsia" w:ascii="宋体" w:hAnsi="宋体" w:cs="宋体"/>
                <w:color w:val="auto"/>
                <w:sz w:val="24"/>
                <w:szCs w:val="24"/>
                <w:highlight w:val="none"/>
              </w:rPr>
              <w:t>母公司</w:t>
            </w:r>
            <w:r>
              <w:rPr>
                <w:rFonts w:hint="eastAsia" w:ascii="宋体" w:hAnsi="宋体" w:cs="宋体"/>
                <w:color w:val="auto"/>
                <w:sz w:val="24"/>
                <w:szCs w:val="24"/>
                <w:highlight w:val="none"/>
                <w:lang w:val="en-US" w:eastAsia="zh-CN"/>
              </w:rPr>
              <w:t>授权函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得2分</w:t>
            </w:r>
            <w:r>
              <w:rPr>
                <w:rFonts w:hint="eastAsia" w:ascii="宋体" w:hAnsi="宋体" w:cs="宋体"/>
                <w:color w:val="auto"/>
                <w:sz w:val="24"/>
                <w:szCs w:val="24"/>
                <w:highlight w:val="none"/>
              </w:rPr>
              <w:t xml:space="preserve">；  </w:t>
            </w:r>
          </w:p>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cs="宋体"/>
                <w:color w:val="auto"/>
                <w:sz w:val="24"/>
                <w:szCs w:val="24"/>
                <w:highlight w:val="none"/>
              </w:rPr>
            </w:pPr>
            <w:r>
              <w:rPr>
                <w:rFonts w:hint="eastAsia" w:cs="宋体"/>
                <w:color w:val="auto"/>
                <w:sz w:val="24"/>
                <w:szCs w:val="24"/>
                <w:highlight w:val="none"/>
              </w:rPr>
              <w:t>均需加盖</w:t>
            </w:r>
            <w:r>
              <w:rPr>
                <w:rFonts w:hint="eastAsia" w:cs="宋体"/>
                <w:color w:val="auto"/>
                <w:sz w:val="24"/>
                <w:szCs w:val="24"/>
                <w:highlight w:val="none"/>
                <w:lang w:eastAsia="zh-CN"/>
              </w:rPr>
              <w:t>投标人</w:t>
            </w:r>
            <w:r>
              <w:rPr>
                <w:rFonts w:hint="eastAsia" w:cs="宋体"/>
                <w:color w:val="auto"/>
                <w:sz w:val="24"/>
                <w:szCs w:val="24"/>
                <w:highlight w:val="none"/>
              </w:rPr>
              <w:t>公章，最多得</w:t>
            </w:r>
            <w:r>
              <w:rPr>
                <w:rFonts w:hint="eastAsia" w:cs="宋体"/>
                <w:color w:val="auto"/>
                <w:sz w:val="24"/>
                <w:szCs w:val="24"/>
                <w:highlight w:val="none"/>
                <w:lang w:val="en-US" w:eastAsia="zh-CN"/>
              </w:rPr>
              <w:t>5</w:t>
            </w:r>
            <w:r>
              <w:rPr>
                <w:rFonts w:hint="eastAsia"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1" w:hRule="atLeast"/>
          <w:jc w:val="center"/>
        </w:trPr>
        <w:tc>
          <w:tcPr>
            <w:tcW w:w="643"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服务团队</w:t>
            </w:r>
          </w:p>
        </w:tc>
        <w:tc>
          <w:tcPr>
            <w:tcW w:w="740"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6102"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color w:val="auto"/>
                <w:sz w:val="24"/>
                <w:szCs w:val="24"/>
                <w:highlight w:val="none"/>
              </w:rPr>
            </w:pPr>
            <w:r>
              <w:rPr>
                <w:rFonts w:hint="eastAsia"/>
                <w:color w:val="auto"/>
                <w:sz w:val="24"/>
                <w:szCs w:val="24"/>
                <w:highlight w:val="none"/>
              </w:rPr>
              <w:t>投标人需提供不少于5人的实施团队，专门负责本项目；</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color w:val="auto"/>
                <w:sz w:val="24"/>
                <w:szCs w:val="24"/>
                <w:highlight w:val="none"/>
              </w:rPr>
            </w:pPr>
            <w:r>
              <w:rPr>
                <w:rFonts w:hint="eastAsia"/>
                <w:color w:val="auto"/>
                <w:sz w:val="24"/>
                <w:szCs w:val="24"/>
                <w:highlight w:val="none"/>
              </w:rPr>
              <w:t>（1）提供1名符合本项目要求的项目负责人；持有高级工程师（通信）证书、PMP证书、CISP证书、集成适配工程师证书。每具备一项得1分，最高得4分；如同时缺少2项不得分。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color w:val="auto"/>
                <w:sz w:val="24"/>
                <w:szCs w:val="24"/>
                <w:highlight w:val="none"/>
              </w:rPr>
            </w:pPr>
            <w:r>
              <w:rPr>
                <w:rFonts w:hint="eastAsia"/>
                <w:color w:val="auto"/>
                <w:sz w:val="24"/>
                <w:szCs w:val="24"/>
                <w:highlight w:val="none"/>
              </w:rPr>
              <w:t>（2）提供1名项目经理，持有高级工程师（通信）证书、信息系统项目管理师（高级）证书、ITSS服务项目经理证书，每具备一项证书得1分，最高得3分；缺少1项不得分。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color w:val="auto"/>
                <w:sz w:val="24"/>
                <w:szCs w:val="24"/>
                <w:highlight w:val="none"/>
              </w:rPr>
            </w:pPr>
            <w:r>
              <w:rPr>
                <w:rFonts w:hint="eastAsia"/>
                <w:color w:val="auto"/>
                <w:sz w:val="24"/>
                <w:szCs w:val="24"/>
                <w:highlight w:val="none"/>
              </w:rPr>
              <w:t>（3）提供3名技术经理，持有高级工程师（通信）或信息系统项目管理师（高级）证书，满足要求的每人得1分，最高得3分。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sz w:val="24"/>
                <w:szCs w:val="24"/>
                <w:highlight w:val="none"/>
              </w:rPr>
            </w:pPr>
            <w:r>
              <w:rPr>
                <w:rFonts w:hint="eastAsia"/>
                <w:color w:val="auto"/>
                <w:sz w:val="24"/>
                <w:szCs w:val="24"/>
                <w:highlight w:val="none"/>
              </w:rPr>
              <w:t>注：人员须提供证明材料包括但不限于：身份证、相关证书、本年度由本单位连续缴纳三个月的社保证明等，提供复印件并加盖投标人公章。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jc w:val="center"/>
        </w:trPr>
        <w:tc>
          <w:tcPr>
            <w:tcW w:w="643" w:type="dxa"/>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default" w:ascii="宋体" w:hAnsi="宋体"/>
                <w:color w:val="auto"/>
                <w:sz w:val="24"/>
                <w:szCs w:val="24"/>
                <w:highlight w:val="none"/>
              </w:rPr>
            </w:pPr>
            <w:r>
              <w:rPr>
                <w:rFonts w:hint="eastAsia" w:ascii="宋体" w:hAnsi="宋体"/>
                <w:color w:val="auto"/>
                <w:sz w:val="24"/>
                <w:szCs w:val="24"/>
                <w:highlight w:val="none"/>
                <w:lang w:eastAsia="zh-CN"/>
              </w:rPr>
              <w:t>4</w:t>
            </w:r>
          </w:p>
        </w:tc>
        <w:tc>
          <w:tcPr>
            <w:tcW w:w="716" w:type="dxa"/>
            <w:vMerge w:val="restart"/>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服务承诺（14分）</w:t>
            </w:r>
          </w:p>
        </w:tc>
        <w:tc>
          <w:tcPr>
            <w:tcW w:w="1087" w:type="dxa"/>
            <w:tcBorders>
              <w:left w:val="single" w:color="auto" w:sz="4" w:space="0"/>
              <w:right w:val="single" w:color="auto" w:sz="4" w:space="0"/>
            </w:tcBorders>
            <w:vAlign w:val="center"/>
          </w:tcPr>
          <w:p>
            <w:pPr>
              <w:pStyle w:val="18"/>
              <w:keepNext w:val="0"/>
              <w:keepLines w:val="0"/>
              <w:pageBreakBefore w:val="0"/>
              <w:kinsoku/>
              <w:wordWrap/>
              <w:overflowPunct/>
              <w:topLinePunct w:val="0"/>
              <w:autoSpaceDE/>
              <w:autoSpaceDN/>
              <w:bidi w:val="0"/>
              <w:spacing w:before="0" w:beforeAutospacing="0" w:afterAutospacing="0" w:line="240" w:lineRule="auto"/>
              <w:ind w:left="0" w:leftChars="0" w:right="0" w:righ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rPr>
              <w:t>应急保障服务</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10</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ascii="宋体" w:hAnsi="宋体" w:cs="宋体"/>
                <w:color w:val="auto"/>
                <w:kern w:val="0"/>
                <w:sz w:val="24"/>
                <w:szCs w:val="24"/>
                <w:highlight w:val="none"/>
                <w:lang w:eastAsia="zh-CN"/>
              </w:rPr>
            </w:pPr>
            <w:r>
              <w:rPr>
                <w:rFonts w:hint="eastAsia"/>
                <w:color w:val="auto"/>
                <w:sz w:val="24"/>
                <w:szCs w:val="24"/>
                <w:highlight w:val="none"/>
              </w:rPr>
              <w:t>应急保障服务符合项目实情，</w:t>
            </w:r>
            <w:r>
              <w:rPr>
                <w:rFonts w:hint="eastAsia"/>
                <w:color w:val="auto"/>
                <w:sz w:val="24"/>
                <w:szCs w:val="24"/>
                <w:highlight w:val="none"/>
                <w:lang w:eastAsia="zh-CN"/>
              </w:rPr>
              <w:t>提供</w:t>
            </w:r>
            <w:r>
              <w:rPr>
                <w:rFonts w:hint="eastAsia" w:ascii="宋体" w:hAnsi="宋体" w:cs="宋体"/>
                <w:color w:val="auto"/>
                <w:kern w:val="0"/>
                <w:sz w:val="24"/>
                <w:szCs w:val="24"/>
                <w:highlight w:val="none"/>
              </w:rPr>
              <w:t>应急处理机制</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处置预案</w:t>
            </w:r>
            <w:r>
              <w:rPr>
                <w:rFonts w:hint="eastAsia" w:ascii="宋体" w:hAnsi="宋体" w:cs="宋体"/>
                <w:color w:val="auto"/>
                <w:kern w:val="0"/>
                <w:sz w:val="24"/>
                <w:szCs w:val="24"/>
                <w:highlight w:val="none"/>
                <w:lang w:eastAsia="zh-CN"/>
              </w:rPr>
              <w:t>及</w:t>
            </w:r>
            <w:r>
              <w:rPr>
                <w:rFonts w:hint="eastAsia" w:ascii="宋体" w:hAnsi="宋体" w:cs="宋体"/>
                <w:color w:val="auto"/>
                <w:kern w:val="0"/>
                <w:sz w:val="24"/>
                <w:szCs w:val="24"/>
                <w:highlight w:val="none"/>
              </w:rPr>
              <w:t>特殊重大事件重要时期重点保障</w:t>
            </w:r>
            <w:r>
              <w:rPr>
                <w:rFonts w:hint="eastAsia" w:ascii="宋体" w:hAnsi="宋体" w:cs="宋体"/>
                <w:color w:val="auto"/>
                <w:kern w:val="0"/>
                <w:sz w:val="24"/>
                <w:szCs w:val="24"/>
                <w:highlight w:val="none"/>
                <w:lang w:eastAsia="zh-CN"/>
              </w:rPr>
              <w:t>方案：</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color w:val="auto"/>
                <w:sz w:val="24"/>
                <w:szCs w:val="24"/>
                <w:highlight w:val="none"/>
              </w:rPr>
              <w:t>方案完善，具有较强针对性、科学性、合理性和可操作性，无重大漏项，得</w:t>
            </w:r>
            <w:r>
              <w:rPr>
                <w:rFonts w:hint="eastAsia"/>
                <w:color w:val="auto"/>
                <w:sz w:val="24"/>
                <w:szCs w:val="24"/>
                <w:highlight w:val="none"/>
                <w:lang w:val="en-US" w:eastAsia="zh-CN"/>
              </w:rPr>
              <w:t>10</w:t>
            </w:r>
            <w:r>
              <w:rPr>
                <w:rFonts w:hint="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color w:val="auto"/>
                <w:sz w:val="24"/>
                <w:szCs w:val="24"/>
                <w:highlight w:val="none"/>
              </w:rPr>
              <w:t>方案相对完善，具有合理性和可操作性，无重大漏项，得</w:t>
            </w:r>
            <w:r>
              <w:rPr>
                <w:rFonts w:hint="eastAsia"/>
                <w:color w:val="auto"/>
                <w:sz w:val="24"/>
                <w:szCs w:val="24"/>
                <w:highlight w:val="none"/>
                <w:lang w:val="en-US" w:eastAsia="zh-CN"/>
              </w:rPr>
              <w:t>5</w:t>
            </w:r>
            <w:r>
              <w:rPr>
                <w:rFonts w:hint="eastAsia"/>
                <w:color w:val="auto"/>
                <w:sz w:val="24"/>
                <w:szCs w:val="24"/>
                <w:highlight w:val="none"/>
              </w:rPr>
              <w:t>分；</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both"/>
              <w:textAlignment w:val="auto"/>
              <w:outlineLvl w:val="9"/>
              <w:rPr>
                <w:rFonts w:hint="eastAsia"/>
                <w:color w:val="auto"/>
                <w:sz w:val="24"/>
                <w:szCs w:val="24"/>
                <w:highlight w:val="none"/>
              </w:rPr>
            </w:pPr>
            <w:r>
              <w:rPr>
                <w:rFonts w:hint="eastAsia"/>
                <w:color w:val="auto"/>
                <w:sz w:val="24"/>
                <w:szCs w:val="24"/>
                <w:highlight w:val="none"/>
              </w:rPr>
              <w:t>方案不完善，针对性、科学性、合理性和可操作性弱，有漏项，得</w:t>
            </w:r>
            <w:r>
              <w:rPr>
                <w:rFonts w:hint="eastAsia"/>
                <w:color w:val="auto"/>
                <w:sz w:val="24"/>
                <w:szCs w:val="24"/>
                <w:highlight w:val="none"/>
                <w:lang w:val="en-US" w:eastAsia="zh-CN"/>
              </w:rPr>
              <w:t>3</w:t>
            </w:r>
            <w:r>
              <w:rPr>
                <w:rFonts w:hint="eastAsia"/>
                <w:color w:val="auto"/>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color w:val="auto"/>
                <w:sz w:val="24"/>
                <w:szCs w:val="24"/>
                <w:highlight w:val="none"/>
              </w:rPr>
              <w:t>方案不完整，不符合项目实情，无针对性、科学性、合理性和可操作性，</w:t>
            </w:r>
            <w:r>
              <w:rPr>
                <w:rFonts w:hint="eastAsia"/>
                <w:color w:val="auto"/>
                <w:sz w:val="24"/>
                <w:szCs w:val="24"/>
                <w:highlight w:val="none"/>
                <w:lang w:eastAsia="zh-CN"/>
              </w:rPr>
              <w:t>严重</w:t>
            </w:r>
            <w:r>
              <w:rPr>
                <w:rFonts w:hint="eastAsia"/>
                <w:color w:val="auto"/>
                <w:sz w:val="24"/>
                <w:szCs w:val="24"/>
                <w:highlight w:val="none"/>
              </w:rPr>
              <w:t>漏项，</w:t>
            </w:r>
            <w:r>
              <w:rPr>
                <w:rFonts w:hint="eastAsia"/>
                <w:color w:val="auto"/>
                <w:sz w:val="24"/>
                <w:szCs w:val="24"/>
                <w:highlight w:val="none"/>
                <w:lang w:eastAsia="zh-CN"/>
              </w:rPr>
              <w:t>或未提供，本项不得分。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jc w:val="center"/>
        </w:trPr>
        <w:tc>
          <w:tcPr>
            <w:tcW w:w="643"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716"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c>
          <w:tcPr>
            <w:tcW w:w="1087" w:type="dxa"/>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s="宋体"/>
                <w:color w:val="auto"/>
                <w:kern w:val="0"/>
                <w:sz w:val="24"/>
                <w:szCs w:val="24"/>
                <w:highlight w:val="none"/>
              </w:rPr>
              <w:t>网络运行维护管理</w:t>
            </w:r>
          </w:p>
        </w:tc>
        <w:tc>
          <w:tcPr>
            <w:tcW w:w="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w:t>
            </w:r>
          </w:p>
        </w:tc>
        <w:tc>
          <w:tcPr>
            <w:tcW w:w="61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网络运行维护管理</w:t>
            </w:r>
            <w:r>
              <w:rPr>
                <w:rFonts w:hint="eastAsia" w:ascii="宋体" w:hAnsi="宋体" w:cs="宋体"/>
                <w:color w:val="auto"/>
                <w:kern w:val="0"/>
                <w:sz w:val="24"/>
                <w:szCs w:val="24"/>
                <w:highlight w:val="none"/>
                <w:lang w:val="en-US" w:eastAsia="zh-CN"/>
              </w:rPr>
              <w:t>服务方案要求如下</w:t>
            </w:r>
            <w:r>
              <w:rPr>
                <w:rFonts w:hint="eastAsia" w:ascii="宋体" w:hAnsi="宋体" w:cs="宋体"/>
                <w:color w:val="auto"/>
                <w:kern w:val="0"/>
                <w:sz w:val="24"/>
                <w:szCs w:val="24"/>
                <w:highlight w:val="none"/>
              </w:rPr>
              <w:t>：</w:t>
            </w:r>
          </w:p>
          <w:p>
            <w:pPr>
              <w:keepNext w:val="0"/>
              <w:keepLines w:val="0"/>
              <w:pageBreakBefore w:val="0"/>
              <w:numPr>
                <w:ilvl w:val="-1"/>
                <w:numId w:val="0"/>
              </w:numPr>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需</w:t>
            </w:r>
            <w:r>
              <w:rPr>
                <w:rFonts w:hint="eastAsia" w:ascii="宋体" w:hAnsi="宋体" w:cs="宋体"/>
                <w:color w:val="auto"/>
                <w:kern w:val="0"/>
                <w:sz w:val="24"/>
                <w:szCs w:val="24"/>
                <w:highlight w:val="none"/>
              </w:rPr>
              <w:t>支持7×24×365全天候技术支持响应；</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服务方案明确、详实、合理、可行得</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color w:val="auto"/>
                <w:sz w:val="24"/>
                <w:szCs w:val="24"/>
                <w:highlight w:val="none"/>
              </w:rPr>
            </w:pPr>
            <w:r>
              <w:rPr>
                <w:rFonts w:hint="eastAsia" w:ascii="宋体" w:hAnsi="宋体" w:cs="宋体"/>
                <w:color w:val="auto"/>
                <w:kern w:val="0"/>
                <w:sz w:val="24"/>
                <w:szCs w:val="24"/>
                <w:highlight w:val="none"/>
              </w:rPr>
              <w:t>服务方案</w:t>
            </w:r>
            <w:r>
              <w:rPr>
                <w:rFonts w:hint="eastAsia" w:ascii="宋体" w:hAnsi="宋体" w:cs="宋体"/>
                <w:color w:val="auto"/>
                <w:kern w:val="0"/>
                <w:sz w:val="24"/>
                <w:szCs w:val="24"/>
                <w:highlight w:val="none"/>
                <w:lang w:val="en-US" w:eastAsia="zh-CN"/>
              </w:rPr>
              <w:t>较为详实、无明显缺陷的，</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服务方案</w:t>
            </w:r>
            <w:r>
              <w:rPr>
                <w:rFonts w:hint="eastAsia" w:ascii="宋体" w:hAnsi="宋体" w:cs="宋体"/>
                <w:color w:val="auto"/>
                <w:kern w:val="0"/>
                <w:sz w:val="24"/>
                <w:szCs w:val="24"/>
                <w:highlight w:val="none"/>
                <w:lang w:val="en-US" w:eastAsia="zh-CN"/>
              </w:rPr>
              <w:t>具有明显缺陷，</w:t>
            </w:r>
            <w:r>
              <w:rPr>
                <w:rFonts w:hint="eastAsia" w:ascii="宋体" w:hAnsi="宋体" w:cs="宋体"/>
                <w:color w:val="auto"/>
                <w:kern w:val="0"/>
                <w:sz w:val="24"/>
                <w:szCs w:val="24"/>
                <w:highlight w:val="none"/>
              </w:rPr>
              <w:t>得</w:t>
            </w:r>
            <w:r>
              <w:rPr>
                <w:rFonts w:hint="eastAsia" w:ascii="宋体" w:hAnsi="宋体" w:cs="宋体"/>
                <w:color w:val="auto"/>
                <w:kern w:val="0"/>
                <w:sz w:val="24"/>
                <w:szCs w:val="24"/>
                <w:highlight w:val="none"/>
                <w:lang w:val="en-US" w:eastAsia="zh-CN"/>
              </w:rPr>
              <w:t>1.5</w:t>
            </w:r>
            <w:r>
              <w:rPr>
                <w:rFonts w:hint="eastAsia" w:ascii="宋体" w:hAnsi="宋体" w:cs="宋体"/>
                <w:color w:val="auto"/>
                <w:kern w:val="0"/>
                <w:sz w:val="24"/>
                <w:szCs w:val="24"/>
                <w:highlight w:val="none"/>
              </w:rPr>
              <w:t>分；</w:t>
            </w:r>
          </w:p>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r>
              <w:rPr>
                <w:rFonts w:hint="eastAsia" w:ascii="宋体" w:hAnsi="宋体" w:cs="宋体"/>
                <w:color w:val="auto"/>
                <w:kern w:val="0"/>
                <w:sz w:val="24"/>
                <w:szCs w:val="24"/>
                <w:highlight w:val="none"/>
                <w:lang w:val="en-US" w:eastAsia="zh-CN"/>
              </w:rPr>
              <w:t>未</w:t>
            </w:r>
            <w:r>
              <w:rPr>
                <w:rFonts w:hint="eastAsia" w:ascii="宋体" w:hAnsi="宋体" w:cs="宋体"/>
                <w:color w:val="auto"/>
                <w:kern w:val="0"/>
                <w:sz w:val="24"/>
                <w:szCs w:val="24"/>
                <w:highlight w:val="none"/>
              </w:rPr>
              <w:t>提供服务方案得0分。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 w:hRule="atLeast"/>
          <w:jc w:val="center"/>
        </w:trPr>
        <w:tc>
          <w:tcPr>
            <w:tcW w:w="2446" w:type="dxa"/>
            <w:gridSpan w:val="3"/>
            <w:tcBorders>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总分</w:t>
            </w:r>
          </w:p>
        </w:tc>
        <w:tc>
          <w:tcPr>
            <w:tcW w:w="740"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both"/>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100</w:t>
            </w:r>
          </w:p>
        </w:tc>
        <w:tc>
          <w:tcPr>
            <w:tcW w:w="6102"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spacing w:beforeAutospacing="0" w:afterAutospacing="0" w:line="240" w:lineRule="auto"/>
              <w:ind w:left="0" w:leftChars="0" w:right="0" w:rightChars="0" w:firstLine="0" w:firstLineChars="0"/>
              <w:jc w:val="both"/>
              <w:textAlignment w:val="auto"/>
              <w:rPr>
                <w:rFonts w:hint="eastAsia" w:ascii="宋体" w:hAnsi="宋体"/>
                <w:color w:val="auto"/>
                <w:sz w:val="24"/>
                <w:szCs w:val="24"/>
                <w:highlight w:val="none"/>
              </w:rPr>
            </w:pPr>
          </w:p>
        </w:tc>
      </w:tr>
    </w:tbl>
    <w:p>
      <w:pPr>
        <w:rPr>
          <w:rFonts w:hint="eastAsia" w:ascii="宋体" w:hAnsi="宋体" w:cs="宋体"/>
          <w:b/>
          <w:sz w:val="36"/>
          <w:szCs w:val="36"/>
        </w:rPr>
      </w:pPr>
      <w:r>
        <w:rPr>
          <w:rFonts w:ascii="宋体" w:hAnsi="宋体" w:cs="宋体"/>
          <w:b/>
          <w:sz w:val="36"/>
          <w:szCs w:val="36"/>
        </w:rPr>
        <w:br w:type="page"/>
      </w:r>
    </w:p>
    <w:p>
      <w:pPr>
        <w:numPr>
          <w:ilvl w:val="0"/>
          <w:numId w:val="16"/>
        </w:numPr>
        <w:spacing w:line="360" w:lineRule="auto"/>
        <w:jc w:val="center"/>
        <w:outlineLvl w:val="0"/>
        <w:rPr>
          <w:rFonts w:hint="eastAsia" w:ascii="宋体" w:hAnsi="宋体" w:cs="宋体"/>
          <w:b/>
          <w:sz w:val="36"/>
          <w:szCs w:val="36"/>
        </w:rPr>
      </w:pPr>
      <w:bookmarkStart w:id="157" w:name="_Toc2998"/>
      <w:r>
        <w:rPr>
          <w:rFonts w:hint="eastAsia" w:ascii="宋体" w:hAnsi="宋体" w:cs="宋体"/>
          <w:b/>
          <w:sz w:val="36"/>
          <w:szCs w:val="36"/>
        </w:rPr>
        <w:t xml:space="preserve">  采购需求</w:t>
      </w:r>
      <w:bookmarkEnd w:id="157"/>
    </w:p>
    <w:p>
      <w:pPr>
        <w:pStyle w:val="31"/>
        <w:rPr>
          <w:rFonts w:hint="eastAsia"/>
        </w:rPr>
      </w:pPr>
    </w:p>
    <w:p>
      <w:pPr>
        <w:spacing w:line="500" w:lineRule="exact"/>
        <w:rPr>
          <w:rFonts w:hint="eastAsia" w:ascii="宋体" w:hAnsi="宋体" w:eastAsia="宋体" w:cs="宋体"/>
          <w:color w:val="000000" w:themeColor="text1"/>
          <w:kern w:val="0"/>
          <w:sz w:val="24"/>
          <w:highlight w:val="none"/>
          <w14:textFill>
            <w14:solidFill>
              <w14:schemeClr w14:val="tx1"/>
            </w14:solidFill>
          </w14:textFill>
        </w:rPr>
      </w:pPr>
      <w:bookmarkStart w:id="158" w:name="_Toc26892"/>
      <w:r>
        <w:rPr>
          <w:rFonts w:hint="eastAsia" w:ascii="宋体" w:hAnsi="宋体" w:eastAsia="宋体" w:cs="宋体"/>
          <w:b/>
          <w:bCs/>
          <w:color w:val="000000" w:themeColor="text1"/>
          <w:kern w:val="44"/>
          <w:sz w:val="24"/>
          <w:szCs w:val="24"/>
          <w:highlight w:val="none"/>
          <w14:textFill>
            <w14:solidFill>
              <w14:schemeClr w14:val="tx1"/>
            </w14:solidFill>
          </w14:textFill>
        </w:rPr>
        <w:t>一、招标内容及要求：</w:t>
      </w:r>
      <w:r>
        <w:rPr>
          <w:rFonts w:hint="eastAsia" w:ascii="宋体" w:hAnsi="宋体" w:eastAsia="宋体" w:cs="宋体"/>
          <w:color w:val="000000" w:themeColor="text1"/>
          <w:kern w:val="0"/>
          <w:sz w:val="24"/>
          <w:highlight w:val="none"/>
          <w14:textFill>
            <w14:solidFill>
              <w14:schemeClr w14:val="tx1"/>
            </w14:solidFill>
          </w14:textFill>
        </w:rPr>
        <w:t xml:space="preserve">   </w:t>
      </w:r>
    </w:p>
    <w:p>
      <w:pPr>
        <w:spacing w:line="5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预算控制金额：1,735,500元</w:t>
      </w:r>
    </w:p>
    <w:p>
      <w:pPr>
        <w:pStyle w:val="18"/>
        <w:spacing w:line="500" w:lineRule="exact"/>
        <w:rPr>
          <w:rFonts w:hint="eastAsia" w:cs="宋体"/>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2026街道社区公共文化设施无线网络服务项目</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bookmarkStart w:id="159" w:name="_Toc68271519"/>
      <w:r>
        <w:rPr>
          <w:rFonts w:hint="eastAsia" w:ascii="宋体" w:hAnsi="宋体" w:cs="宋体"/>
          <w:b/>
          <w:bCs/>
          <w:color w:val="000000" w:themeColor="text1"/>
          <w:kern w:val="44"/>
          <w:sz w:val="24"/>
          <w:highlight w:val="none"/>
          <w14:textFill>
            <w14:solidFill>
              <w14:schemeClr w14:val="tx1"/>
            </w14:solidFill>
          </w14:textFill>
        </w:rPr>
        <w:t>1</w:t>
      </w:r>
      <w:r>
        <w:rPr>
          <w:rFonts w:ascii="宋体" w:hAnsi="宋体" w:cs="宋体"/>
          <w:b/>
          <w:bCs/>
          <w:color w:val="000000" w:themeColor="text1"/>
          <w:kern w:val="44"/>
          <w:sz w:val="24"/>
          <w:highlight w:val="none"/>
          <w14:textFill>
            <w14:solidFill>
              <w14:schemeClr w14:val="tx1"/>
            </w14:solidFill>
          </w14:textFill>
        </w:rPr>
        <w:t>.</w:t>
      </w:r>
      <w:r>
        <w:rPr>
          <w:rFonts w:hint="eastAsia" w:ascii="宋体" w:hAnsi="宋体" w:cs="宋体"/>
          <w:b/>
          <w:bCs/>
          <w:color w:val="000000" w:themeColor="text1"/>
          <w:kern w:val="44"/>
          <w:sz w:val="24"/>
          <w:highlight w:val="none"/>
          <w14:textFill>
            <w14:solidFill>
              <w14:schemeClr w14:val="tx1"/>
            </w14:solidFill>
          </w14:textFill>
        </w:rPr>
        <w:t>项目背景</w:t>
      </w:r>
      <w:bookmarkEnd w:id="159"/>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自2018年石景山区文化和旅游局按照创建国家公共文化服务体系示范区全面实现街道社区公共文化设施无线网络全覆盖的工作要求，启动了石景山区街道社区公共文化服务设施无线网络覆盖项目，随后一直持续保障至今。随着群众对网络覆盖的需求不断增加，逐渐增加对无线网络点位数量和带宽速率的要求。目前在全区已布设121个点位，其中街道级公共文化设施（含一馆多址及图书分馆）共15个，带宽速率250兆，满足北京市街道（乡镇）综合文化中心评估指标优秀标准；社区级公共文化设施共106个，带宽速率150兆。在此基础上，拟启动2026街道社区公共文化设施无线网络服务费项目，并结合街道社区具体需求在新一年度的采购中，增加27个社区点位，合计布设148个点位，其中15个点位带宽速率250兆，133个点位带宽速率150兆。</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即：2026年拟采购148个公共文化设施开展无线网络覆盖服务，其中街道综合文化中心15个点位，社区文化室升至133个点位：街道综合文化中心不低于250兆、每个社区文化室不低于150兆的下行速率。</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r>
        <w:rPr>
          <w:rFonts w:hint="eastAsia" w:ascii="宋体" w:hAnsi="宋体" w:cs="宋体"/>
          <w:b/>
          <w:bCs/>
          <w:color w:val="000000" w:themeColor="text1"/>
          <w:kern w:val="44"/>
          <w:sz w:val="24"/>
          <w:highlight w:val="none"/>
          <w14:textFill>
            <w14:solidFill>
              <w14:schemeClr w14:val="tx1"/>
            </w14:solidFill>
          </w14:textFill>
        </w:rPr>
        <w:t>2</w:t>
      </w:r>
      <w:r>
        <w:rPr>
          <w:rFonts w:ascii="宋体" w:hAnsi="宋体" w:cs="宋体"/>
          <w:b/>
          <w:bCs/>
          <w:color w:val="000000" w:themeColor="text1"/>
          <w:kern w:val="44"/>
          <w:sz w:val="24"/>
          <w:highlight w:val="none"/>
          <w14:textFill>
            <w14:solidFill>
              <w14:schemeClr w14:val="tx1"/>
            </w14:solidFill>
          </w14:textFill>
        </w:rPr>
        <w:t>.</w:t>
      </w:r>
      <w:r>
        <w:rPr>
          <w:rFonts w:hint="eastAsia" w:ascii="宋体" w:hAnsi="宋体" w:cs="宋体"/>
          <w:b/>
          <w:bCs/>
          <w:color w:val="000000" w:themeColor="text1"/>
          <w:kern w:val="44"/>
          <w:sz w:val="24"/>
          <w:highlight w:val="none"/>
          <w14:textFill>
            <w14:solidFill>
              <w14:schemeClr w14:val="tx1"/>
            </w14:solidFill>
          </w14:textFill>
        </w:rPr>
        <w:t>建设目标</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升石景山区各街道、社区公共文化设施无线网络的性能，改善场所的信息服务质量，为此本次采购公共文化设施的无线网络服务以提升其网络服务环境和效能为目标，选择优质资源方提供符合街道、社区实际网络应用需求的服务。</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bookmarkStart w:id="160" w:name="_Toc68271521"/>
      <w:r>
        <w:rPr>
          <w:rFonts w:hint="eastAsia" w:ascii="宋体" w:hAnsi="宋体" w:cs="宋体"/>
          <w:b/>
          <w:bCs/>
          <w:color w:val="000000" w:themeColor="text1"/>
          <w:kern w:val="44"/>
          <w:sz w:val="24"/>
          <w:highlight w:val="none"/>
          <w14:textFill>
            <w14:solidFill>
              <w14:schemeClr w14:val="tx1"/>
            </w14:solidFill>
          </w14:textFill>
        </w:rPr>
        <w:t>3</w:t>
      </w:r>
      <w:r>
        <w:rPr>
          <w:rFonts w:ascii="宋体" w:hAnsi="宋体" w:cs="宋体"/>
          <w:b/>
          <w:bCs/>
          <w:color w:val="000000" w:themeColor="text1"/>
          <w:kern w:val="44"/>
          <w:sz w:val="24"/>
          <w:highlight w:val="none"/>
          <w14:textFill>
            <w14:solidFill>
              <w14:schemeClr w14:val="tx1"/>
            </w14:solidFill>
          </w14:textFill>
        </w:rPr>
        <w:t>.</w:t>
      </w:r>
      <w:r>
        <w:rPr>
          <w:rFonts w:hint="eastAsia" w:ascii="宋体" w:hAnsi="宋体" w:cs="宋体"/>
          <w:b/>
          <w:bCs/>
          <w:color w:val="000000" w:themeColor="text1"/>
          <w:kern w:val="44"/>
          <w:sz w:val="24"/>
          <w:highlight w:val="none"/>
          <w14:textFill>
            <w14:solidFill>
              <w14:schemeClr w14:val="tx1"/>
            </w14:solidFill>
          </w14:textFill>
        </w:rPr>
        <w:t>建设内容</w:t>
      </w:r>
      <w:bookmarkEnd w:id="160"/>
    </w:p>
    <w:p>
      <w:pPr>
        <w:pStyle w:val="273"/>
        <w:numPr>
          <w:ilvl w:val="0"/>
          <w:numId w:val="17"/>
        </w:numPr>
        <w:spacing w:line="500" w:lineRule="exact"/>
        <w:ind w:left="0"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总体需求</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1.为石景山区街道、社区公共文化服务设施</w:t>
      </w:r>
      <w:r>
        <w:rPr>
          <w:rFonts w:hint="eastAsia" w:ascii="宋体" w:hAnsi="宋体" w:cs="宋体"/>
          <w:color w:val="000000" w:themeColor="text1"/>
          <w:kern w:val="0"/>
          <w:sz w:val="24"/>
          <w:highlight w:val="none"/>
          <w14:textFill>
            <w14:solidFill>
              <w14:schemeClr w14:val="tx1"/>
            </w14:solidFill>
          </w14:textFill>
        </w:rPr>
        <w:t>（共计</w:t>
      </w:r>
      <w:r>
        <w:rPr>
          <w:rFonts w:hint="eastAsia" w:ascii="宋体" w:hAnsi="宋体" w:cs="宋体"/>
          <w:color w:val="000000" w:themeColor="text1"/>
          <w:sz w:val="24"/>
          <w:highlight w:val="none"/>
          <w14:textFill>
            <w14:solidFill>
              <w14:schemeClr w14:val="tx1"/>
            </w14:solidFill>
          </w14:textFill>
        </w:rPr>
        <w:t>148个点位，</w:t>
      </w:r>
      <w:r>
        <w:rPr>
          <w:rFonts w:hint="eastAsia" w:ascii="宋体" w:hAnsi="宋体" w:cs="宋体"/>
          <w:color w:val="000000" w:themeColor="text1"/>
          <w:kern w:val="0"/>
          <w:sz w:val="24"/>
          <w:highlight w:val="none"/>
          <w14:textFill>
            <w14:solidFill>
              <w14:schemeClr w14:val="tx1"/>
            </w14:solidFill>
          </w14:textFill>
        </w:rPr>
        <w:t>其中街道综合文化中心15个点位，社区文化室133个点位）</w:t>
      </w:r>
      <w:r>
        <w:rPr>
          <w:rFonts w:hint="eastAsia" w:ascii="宋体" w:hAnsi="宋体" w:cs="宋体"/>
          <w:color w:val="000000" w:themeColor="text1"/>
          <w:sz w:val="24"/>
          <w:highlight w:val="none"/>
          <w14:textFill>
            <w14:solidFill>
              <w14:schemeClr w14:val="tx1"/>
            </w14:solidFill>
          </w14:textFill>
        </w:rPr>
        <w:t>提供稳定、高速的无线网络服务，满足居民使用公共文化服务设施进行学习、工作和文化活动时的网络需求，并满足图书馆相应电子阅览设备正常使用的网络需求。提供各点位的无线网络设备，并负责安装调试，确保各设备能够正常运行，在发生故障时能够及时进行维护，对提供服务期间的网络运维进行保障。</w:t>
      </w:r>
    </w:p>
    <w:p>
      <w:pPr>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2.为街道综合文化中心15个定位提供专线服务，不低于250兆的下行带宽和一个固定IP；为社区文化室133个点位提供不低于150兆的下行带宽。具备高可靠性，保障网络容量需求以应对日益增加的用户数量。</w:t>
      </w:r>
    </w:p>
    <w:p>
      <w:pPr>
        <w:pStyle w:val="273"/>
        <w:numPr>
          <w:ilvl w:val="0"/>
          <w:numId w:val="17"/>
        </w:numPr>
        <w:spacing w:line="500" w:lineRule="exact"/>
        <w:ind w:left="0"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技术标准</w:t>
      </w:r>
    </w:p>
    <w:p>
      <w:pPr>
        <w:spacing w:line="500" w:lineRule="exact"/>
        <w:ind w:firstLine="720" w:firstLineChars="300"/>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按照国家及北京市相关法律、法规、标准与导则执行，</w:t>
      </w:r>
      <w:r>
        <w:rPr>
          <w:rFonts w:hint="eastAsia"/>
          <w:color w:val="000000" w:themeColor="text1"/>
          <w:sz w:val="24"/>
          <w:highlight w:val="none"/>
          <w14:textFill>
            <w14:solidFill>
              <w14:schemeClr w14:val="tx1"/>
            </w14:solidFill>
          </w14:textFill>
        </w:rPr>
        <w:t>包括但不限于</w:t>
      </w:r>
      <w:r>
        <w:rPr>
          <w:rFonts w:hint="eastAsia" w:ascii="宋体" w:hAnsi="宋体" w:cs="宋体"/>
          <w:color w:val="000000" w:themeColor="text1"/>
          <w:sz w:val="24"/>
          <w:highlight w:val="none"/>
          <w14:textFill>
            <w14:solidFill>
              <w14:schemeClr w14:val="tx1"/>
            </w14:solidFill>
          </w14:textFill>
        </w:rPr>
        <w:t>《中华人民共和国电信条例》《公用电信网间互联管理规定》等。上述标准应以最新颁发的行业规范或国家标准为最终参考依据，若行业规范与国家标准有不一致的，以国家标准为最终参考依据。</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bookmarkStart w:id="161" w:name="_Toc68271522"/>
      <w:r>
        <w:rPr>
          <w:rFonts w:hint="eastAsia" w:ascii="宋体" w:hAnsi="宋体" w:cs="宋体"/>
          <w:b/>
          <w:bCs/>
          <w:color w:val="000000" w:themeColor="text1"/>
          <w:kern w:val="44"/>
          <w:sz w:val="24"/>
          <w:highlight w:val="none"/>
          <w14:textFill>
            <w14:solidFill>
              <w14:schemeClr w14:val="tx1"/>
            </w14:solidFill>
          </w14:textFill>
        </w:rPr>
        <w:t>4</w:t>
      </w:r>
      <w:r>
        <w:rPr>
          <w:rFonts w:ascii="宋体" w:hAnsi="宋体" w:cs="宋体"/>
          <w:b/>
          <w:bCs/>
          <w:color w:val="000000" w:themeColor="text1"/>
          <w:kern w:val="44"/>
          <w:sz w:val="24"/>
          <w:highlight w:val="none"/>
          <w14:textFill>
            <w14:solidFill>
              <w14:schemeClr w14:val="tx1"/>
            </w14:solidFill>
          </w14:textFill>
        </w:rPr>
        <w:t>.</w:t>
      </w:r>
      <w:r>
        <w:rPr>
          <w:rFonts w:hint="eastAsia" w:ascii="宋体" w:hAnsi="宋体" w:cs="宋体"/>
          <w:b/>
          <w:bCs/>
          <w:color w:val="000000" w:themeColor="text1"/>
          <w:kern w:val="44"/>
          <w:sz w:val="24"/>
          <w:highlight w:val="none"/>
          <w14:textFill>
            <w14:solidFill>
              <w14:schemeClr w14:val="tx1"/>
            </w14:solidFill>
          </w14:textFill>
        </w:rPr>
        <w:t>服务需求及技术参数</w:t>
      </w:r>
      <w:bookmarkEnd w:id="161"/>
    </w:p>
    <w:p>
      <w:pPr>
        <w:pStyle w:val="5"/>
        <w:spacing w:line="500" w:lineRule="exact"/>
        <w:rPr>
          <w:rFonts w:hint="eastAsia" w:ascii="宋体" w:hAnsi="宋体" w:eastAsia="宋体" w:cs="宋体"/>
          <w:color w:val="000000" w:themeColor="text1"/>
          <w:sz w:val="24"/>
          <w:szCs w:val="24"/>
          <w:highlight w:val="none"/>
          <w14:textFill>
            <w14:solidFill>
              <w14:schemeClr w14:val="tx1"/>
            </w14:solidFill>
          </w14:textFill>
        </w:rPr>
      </w:pPr>
      <w:bookmarkStart w:id="162" w:name="_Toc68271523"/>
      <w:r>
        <w:rPr>
          <w:rFonts w:hint="eastAsia" w:ascii="宋体" w:hAnsi="宋体" w:eastAsia="宋体" w:cs="宋体"/>
          <w:color w:val="000000" w:themeColor="text1"/>
          <w:sz w:val="24"/>
          <w:szCs w:val="24"/>
          <w:highlight w:val="none"/>
          <w14:textFill>
            <w14:solidFill>
              <w14:schemeClr w14:val="tx1"/>
            </w14:solidFill>
          </w14:textFill>
        </w:rPr>
        <w:t>4.1</w:t>
      </w:r>
      <w:bookmarkEnd w:id="162"/>
      <w:r>
        <w:rPr>
          <w:rFonts w:hint="eastAsia" w:ascii="宋体" w:hAnsi="宋体" w:eastAsia="宋体" w:cs="宋体"/>
          <w:color w:val="000000" w:themeColor="text1"/>
          <w:sz w:val="24"/>
          <w:szCs w:val="24"/>
          <w:highlight w:val="none"/>
          <w14:textFill>
            <w14:solidFill>
              <w14:schemeClr w14:val="tx1"/>
            </w14:solidFill>
          </w14:textFill>
        </w:rPr>
        <w:t>服务需求</w:t>
      </w:r>
    </w:p>
    <w:p>
      <w:pPr>
        <w:pStyle w:val="271"/>
        <w:spacing w:line="500" w:lineRule="exact"/>
        <w:ind w:firstLine="48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网络服务</w:t>
      </w:r>
      <w:r>
        <w:rPr>
          <w:rFonts w:hint="eastAsia" w:ascii="宋体" w:hAnsi="宋体" w:cs="宋体"/>
          <w:color w:val="000000" w:themeColor="text1"/>
          <w:highlight w:val="none"/>
          <w:lang w:eastAsia="zh-CN"/>
          <w14:textFill>
            <w14:solidFill>
              <w14:schemeClr w14:val="tx1"/>
            </w14:solidFill>
          </w14:textFill>
        </w:rPr>
        <w:t>投标人</w:t>
      </w:r>
      <w:r>
        <w:rPr>
          <w:rFonts w:hint="eastAsia" w:ascii="宋体" w:hAnsi="宋体" w:cs="宋体"/>
          <w:color w:val="000000" w:themeColor="text1"/>
          <w:highlight w:val="none"/>
          <w14:textFill>
            <w14:solidFill>
              <w14:schemeClr w14:val="tx1"/>
            </w14:solidFill>
          </w14:textFill>
        </w:rPr>
        <w:t>提供无线网络覆盖服务的前提是自身具有满足服务需求的配套硬件，该硬件固定资产为网络服务提供商所有。</w:t>
      </w:r>
    </w:p>
    <w:tbl>
      <w:tblPr>
        <w:tblStyle w:val="58"/>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186"/>
        <w:gridCol w:w="2066"/>
        <w:gridCol w:w="851"/>
        <w:gridCol w:w="1247"/>
        <w:gridCol w:w="2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bookmarkStart w:id="163" w:name="_Toc68271524"/>
            <w:r>
              <w:rPr>
                <w:rFonts w:hint="eastAsia"/>
                <w:color w:val="000000" w:themeColor="text1"/>
                <w:sz w:val="24"/>
                <w:highlight w:val="none"/>
                <w14:textFill>
                  <w14:solidFill>
                    <w14:schemeClr w14:val="tx1"/>
                  </w14:solidFill>
                </w14:textFill>
              </w:rPr>
              <w:t>序号</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服务类型</w:t>
            </w:r>
          </w:p>
        </w:tc>
        <w:tc>
          <w:tcPr>
            <w:tcW w:w="206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配套硬件或服务描述</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设备数量</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协议期（月）</w:t>
            </w:r>
          </w:p>
        </w:tc>
        <w:tc>
          <w:tcPr>
            <w:tcW w:w="2212"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无线信号覆盖</w:t>
            </w:r>
          </w:p>
        </w:tc>
        <w:tc>
          <w:tcPr>
            <w:tcW w:w="206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AP</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740</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实现区域无线全覆盖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网关</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无线AP供电、分支网络管理及运维</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148</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管理平台</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无线、网关统一认证、管理及运维</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网络安全审计</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行为管理与网络审计</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148</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1186" w:type="dxa"/>
            <w:vMerge w:val="restart"/>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网络接入</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为区内街道级公共文化服务设施提供互联网专线接入服务</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15</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每条线一个固定IP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1186" w:type="dxa"/>
            <w:vMerge w:val="continue"/>
            <w:vAlign w:val="center"/>
          </w:tcPr>
          <w:p>
            <w:pPr>
              <w:spacing w:line="500" w:lineRule="exact"/>
              <w:jc w:val="center"/>
              <w:rPr>
                <w:color w:val="000000" w:themeColor="text1"/>
                <w:sz w:val="24"/>
                <w:highlight w:val="none"/>
                <w14:textFill>
                  <w14:solidFill>
                    <w14:schemeClr w14:val="tx1"/>
                  </w14:solidFill>
                </w14:textFill>
              </w:rPr>
            </w:pP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为区内社区级公共文化服务设施提供互联网接入服务</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133</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月度运维</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网点运维服务</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148</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w:t>
            </w:r>
          </w:p>
        </w:tc>
        <w:tc>
          <w:tcPr>
            <w:tcW w:w="2212"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每</w:t>
            </w:r>
            <w:r>
              <w:rPr>
                <w:rFonts w:hint="eastAsia"/>
                <w:color w:val="000000" w:themeColor="text1"/>
                <w:sz w:val="24"/>
                <w:highlight w:val="none"/>
                <w:lang w:val="en-US" w:eastAsia="zh-CN"/>
                <w14:textFill>
                  <w14:solidFill>
                    <w14:schemeClr w14:val="tx1"/>
                  </w14:solidFill>
                </w14:textFill>
              </w:rPr>
              <w:t>两周</w:t>
            </w:r>
            <w:r>
              <w:rPr>
                <w:rFonts w:hint="eastAsia"/>
                <w:color w:val="000000" w:themeColor="text1"/>
                <w:sz w:val="24"/>
                <w:highlight w:val="none"/>
                <w14:textFill>
                  <w14:solidFill>
                    <w14:schemeClr w14:val="tx1"/>
                  </w14:solidFill>
                </w14:textFill>
              </w:rPr>
              <w:t>进行例行巡检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p>
        </w:tc>
        <w:tc>
          <w:tcPr>
            <w:tcW w:w="1186"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实施服务</w:t>
            </w:r>
          </w:p>
        </w:tc>
        <w:tc>
          <w:tcPr>
            <w:tcW w:w="2066" w:type="dxa"/>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网点实施服务</w:t>
            </w:r>
          </w:p>
        </w:tc>
        <w:tc>
          <w:tcPr>
            <w:tcW w:w="851"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148</w:t>
            </w:r>
          </w:p>
        </w:tc>
        <w:tc>
          <w:tcPr>
            <w:tcW w:w="1247" w:type="dxa"/>
            <w:vAlign w:val="center"/>
          </w:tcPr>
          <w:p>
            <w:pPr>
              <w:spacing w:line="500" w:lineRule="exac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c>
          <w:tcPr>
            <w:tcW w:w="2212" w:type="dxa"/>
            <w:vAlign w:val="center"/>
          </w:tcPr>
          <w:p>
            <w:pPr>
              <w:spacing w:line="500" w:lineRule="exact"/>
              <w:rPr>
                <w:color w:val="000000" w:themeColor="text1"/>
                <w:sz w:val="24"/>
                <w:highlight w:val="none"/>
                <w14:textFill>
                  <w14:solidFill>
                    <w14:schemeClr w14:val="tx1"/>
                  </w14:solidFill>
                </w14:textFill>
              </w:rPr>
            </w:pPr>
          </w:p>
        </w:tc>
      </w:tr>
    </w:tbl>
    <w:p>
      <w:pPr>
        <w:pStyle w:val="5"/>
        <w:pageBreakBefore w:val="0"/>
        <w:autoSpaceDE/>
        <w:autoSpaceDN/>
        <w:adjustRightInd/>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技术参数</w:t>
      </w:r>
    </w:p>
    <w:p>
      <w:pPr>
        <w:numPr>
          <w:ilvl w:val="0"/>
          <w:numId w:val="18"/>
        </w:num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网络接入</w:t>
      </w:r>
    </w:p>
    <w:tbl>
      <w:tblPr>
        <w:tblStyle w:val="58"/>
        <w:tblW w:w="90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957"/>
        <w:gridCol w:w="6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序号</w:t>
            </w:r>
          </w:p>
        </w:tc>
        <w:tc>
          <w:tcPr>
            <w:tcW w:w="1957"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功能及技术指标</w:t>
            </w:r>
          </w:p>
        </w:tc>
        <w:tc>
          <w:tcPr>
            <w:tcW w:w="6551"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957"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街道级场馆下行带宽</w:t>
            </w:r>
          </w:p>
        </w:tc>
        <w:tc>
          <w:tcPr>
            <w:tcW w:w="6551"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下行带宽不低于250兆，配置1个固定IP地址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957"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社区级场馆下行带宽</w:t>
            </w:r>
          </w:p>
        </w:tc>
        <w:tc>
          <w:tcPr>
            <w:tcW w:w="6551"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下行带宽不低于150兆</w:t>
            </w:r>
          </w:p>
        </w:tc>
      </w:tr>
    </w:tbl>
    <w:p>
      <w:pPr>
        <w:pStyle w:val="2"/>
        <w:spacing w:line="500" w:lineRule="exact"/>
        <w:ind w:left="0" w:leftChars="0" w:firstLine="0" w:firstLineChars="0"/>
        <w:rPr>
          <w:highlight w:val="none"/>
        </w:rPr>
      </w:pPr>
      <w:r>
        <w:rPr>
          <w:rFonts w:hint="eastAsia"/>
          <w:highlight w:val="none"/>
        </w:rPr>
        <w:t xml:space="preserve"> </w:t>
      </w:r>
    </w:p>
    <w:p>
      <w:pPr>
        <w:spacing w:line="500" w:lineRule="exac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（2）AP</w:t>
      </w:r>
      <w:r>
        <w:rPr>
          <w:rFonts w:hint="eastAsia"/>
          <w:color w:val="000000" w:themeColor="text1"/>
          <w:sz w:val="24"/>
          <w:highlight w:val="none"/>
          <w:lang w:val="en-US" w:eastAsia="zh-CN"/>
          <w14:textFill>
            <w14:solidFill>
              <w14:schemeClr w14:val="tx1"/>
            </w14:solidFill>
          </w14:textFill>
        </w:rPr>
        <w:t>服务</w:t>
      </w:r>
    </w:p>
    <w:tbl>
      <w:tblPr>
        <w:tblStyle w:val="58"/>
        <w:tblW w:w="90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758"/>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序号</w:t>
            </w:r>
          </w:p>
        </w:tc>
        <w:tc>
          <w:tcPr>
            <w:tcW w:w="1758"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功能及技术指标</w:t>
            </w:r>
          </w:p>
        </w:tc>
        <w:tc>
          <w:tcPr>
            <w:tcW w:w="6750"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758"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802.11协议</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支持802.11ax 协议，兼容802.11a/b/g/n/ac协议；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758"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接入速率</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整机采用三射频设计，Radio1最大传输速率≥370Mbps，Radio2最大传输速率≥1200Mbps，Radio3最大传输速率≥300Mbps，整机最大传输速率≥1.9Gbps；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758"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设备供电</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支持PoE供电和本地电源适配器供电两种方式</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具体功率以实际需求为准。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758"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工作模式</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支持Fat和Fit两种工作模式，根据网络规划的需要，可以灵活地在Fat和Fit两种工作模式中切换，同时可以根据应用需求，选择工作模式；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1" w:hRule="atLeast"/>
        </w:trPr>
        <w:tc>
          <w:tcPr>
            <w:tcW w:w="566"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p>
            <w:pPr>
              <w:spacing w:line="500" w:lineRule="exact"/>
              <w:rPr>
                <w:color w:val="000000" w:themeColor="text1"/>
                <w:sz w:val="24"/>
                <w:highlight w:val="none"/>
                <w14:textFill>
                  <w14:solidFill>
                    <w14:schemeClr w14:val="tx1"/>
                  </w14:solidFill>
                </w14:textFill>
              </w:rPr>
            </w:pPr>
          </w:p>
        </w:tc>
        <w:tc>
          <w:tcPr>
            <w:tcW w:w="1758" w:type="dxa"/>
            <w:vMerge w:val="restart"/>
            <w:tcBorders>
              <w:top w:val="single" w:color="auto" w:sz="4" w:space="0"/>
              <w:left w:val="single" w:color="auto" w:sz="4" w:space="0"/>
              <w:right w:val="single" w:color="auto" w:sz="4" w:space="0"/>
            </w:tcBorders>
            <w:vAlign w:val="center"/>
          </w:tcPr>
          <w:p>
            <w:pPr>
              <w:spacing w:line="500" w:lineRule="exact"/>
              <w:rPr>
                <w:sz w:val="24"/>
                <w:highlight w:val="none"/>
              </w:rPr>
            </w:pPr>
            <w:r>
              <w:rPr>
                <w:rFonts w:hint="eastAsia"/>
                <w:color w:val="000000" w:themeColor="text1"/>
                <w:sz w:val="24"/>
                <w:highlight w:val="none"/>
                <w14:textFill>
                  <w14:solidFill>
                    <w14:schemeClr w14:val="tx1"/>
                  </w14:solidFill>
                </w14:textFill>
              </w:rPr>
              <w:t>部署与运维</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▲支持AP零配置，支持二三层发现、DHCP Option43、DNS域名等多种AC自动发现机制</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1" w:hRule="atLeast"/>
        </w:trPr>
        <w:tc>
          <w:tcPr>
            <w:tcW w:w="566" w:type="dxa"/>
            <w:vMerge w:val="continue"/>
            <w:tcBorders>
              <w:left w:val="single" w:color="auto" w:sz="4" w:space="0"/>
              <w:right w:val="single" w:color="auto" w:sz="4" w:space="0"/>
            </w:tcBorders>
            <w:vAlign w:val="center"/>
          </w:tcPr>
          <w:p>
            <w:pPr>
              <w:spacing w:line="500" w:lineRule="exact"/>
              <w:rPr>
                <w:sz w:val="24"/>
                <w:highlight w:val="none"/>
              </w:rPr>
            </w:pPr>
          </w:p>
        </w:tc>
        <w:tc>
          <w:tcPr>
            <w:tcW w:w="1758" w:type="dxa"/>
            <w:vMerge w:val="continue"/>
            <w:tcBorders>
              <w:left w:val="single" w:color="auto" w:sz="4" w:space="0"/>
              <w:right w:val="single" w:color="auto" w:sz="4" w:space="0"/>
            </w:tcBorders>
            <w:vAlign w:val="center"/>
          </w:tcPr>
          <w:p>
            <w:pPr>
              <w:spacing w:line="500" w:lineRule="exact"/>
              <w:rPr>
                <w:sz w:val="24"/>
                <w:highlight w:val="none"/>
              </w:rPr>
            </w:pP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▲系统支持基于用户接入的关联、认证（802.1x 认证、Portal 认证、MAC 认证）、DHCP 三个阶段，进行协议级别的过程呈现，通过细化各个协议交互阶段结果与耗时，提供用户接入过程问题的精细化分析</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0" w:hRule="atLeast"/>
        </w:trPr>
        <w:tc>
          <w:tcPr>
            <w:tcW w:w="566" w:type="dxa"/>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1758" w:type="dxa"/>
            <w:vMerge w:val="continue"/>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50" w:type="dxa"/>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支持对网络质量指标自定义配置阈值，包含接入时间、DHCP请求时间、DNS解析平均时延、网关平均时延、网络丢包率等</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1758"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高可靠性</w:t>
            </w:r>
          </w:p>
        </w:tc>
        <w:tc>
          <w:tcPr>
            <w:tcW w:w="6750"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支持逃生模式，AP与控制器连接中断后，原有用户在线、新用户正常接入，业务不中断；</w:t>
            </w:r>
          </w:p>
        </w:tc>
      </w:tr>
    </w:tbl>
    <w:p>
      <w:pPr>
        <w:spacing w:line="500" w:lineRule="exact"/>
        <w:rPr>
          <w:color w:val="000000" w:themeColor="text1"/>
          <w:sz w:val="24"/>
          <w:highlight w:val="none"/>
          <w14:textFill>
            <w14:solidFill>
              <w14:schemeClr w14:val="tx1"/>
            </w14:solidFill>
          </w14:textFill>
        </w:rPr>
      </w:pPr>
    </w:p>
    <w:p>
      <w:pPr>
        <w:spacing w:line="500" w:lineRule="exac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（3）网关</w:t>
      </w:r>
      <w:r>
        <w:rPr>
          <w:rFonts w:hint="eastAsia"/>
          <w:color w:val="000000" w:themeColor="text1"/>
          <w:sz w:val="24"/>
          <w:highlight w:val="none"/>
          <w:lang w:val="en-US" w:eastAsia="zh-CN"/>
          <w14:textFill>
            <w14:solidFill>
              <w14:schemeClr w14:val="tx1"/>
            </w14:solidFill>
          </w14:textFill>
        </w:rPr>
        <w:t>服务</w:t>
      </w:r>
    </w:p>
    <w:tbl>
      <w:tblPr>
        <w:tblStyle w:val="58"/>
        <w:tblW w:w="931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923"/>
        <w:gridCol w:w="6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序号</w:t>
            </w:r>
          </w:p>
        </w:tc>
        <w:tc>
          <w:tcPr>
            <w:tcW w:w="1923"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功能及技术指标</w:t>
            </w:r>
          </w:p>
        </w:tc>
        <w:tc>
          <w:tcPr>
            <w:tcW w:w="6765"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923"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端口属性</w:t>
            </w: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支持不少于8个千兆以太网口，1个千兆光接口，1个USB口；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其中7口支持PoE，整机PoE最大供电总功率100W；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支持不少于2个WAN口做链路冗余备份；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923"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基础性能指标</w:t>
            </w: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网关NAT吞吐能力为1000Mbps；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923"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基础网络能力</w:t>
            </w: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支持路由网关功能，支持静态IP、DHCP、PPPoE拨号三种上网方式；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支持静态路由、策略路由、地址转换；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支持主备链路切换；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支持VLAN划分；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923"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终端认证与管理</w:t>
            </w: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支持基于IP和Web的有线接入认证授权，与本地用户建立对应匹配关系；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支持Portal认证页面自定义，包括页面展示信息、页面标题、文字描述、免责声明等信息；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1923"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智能流量管理</w:t>
            </w: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支持基于端到端的QoS服务策略；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27"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923"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765"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支持应用识别，能识别不低于300种常见的网络应用，能识别邮件、游戏、P2P流媒体、WEB流媒体、金融交易、办公OA、移动终端应用等主流应用；</w:t>
            </w:r>
          </w:p>
        </w:tc>
      </w:tr>
    </w:tbl>
    <w:p>
      <w:pPr>
        <w:spacing w:line="500" w:lineRule="exact"/>
        <w:rPr>
          <w:color w:val="000000" w:themeColor="text1"/>
          <w:sz w:val="24"/>
          <w:highlight w:val="none"/>
          <w14:textFill>
            <w14:solidFill>
              <w14:schemeClr w14:val="tx1"/>
            </w14:solidFill>
          </w14:textFill>
        </w:rPr>
      </w:pPr>
    </w:p>
    <w:p>
      <w:pPr>
        <w:spacing w:line="500" w:lineRule="exac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（4）管理平台</w:t>
      </w:r>
      <w:r>
        <w:rPr>
          <w:rFonts w:hint="eastAsia"/>
          <w:color w:val="000000" w:themeColor="text1"/>
          <w:sz w:val="24"/>
          <w:highlight w:val="none"/>
          <w:lang w:val="en-US" w:eastAsia="zh-CN"/>
          <w14:textFill>
            <w14:solidFill>
              <w14:schemeClr w14:val="tx1"/>
            </w14:solidFill>
          </w14:textFill>
        </w:rPr>
        <w:t>服务</w:t>
      </w:r>
    </w:p>
    <w:tbl>
      <w:tblPr>
        <w:tblStyle w:val="58"/>
        <w:tblW w:w="92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1836"/>
        <w:gridCol w:w="6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序号</w:t>
            </w:r>
          </w:p>
        </w:tc>
        <w:tc>
          <w:tcPr>
            <w:tcW w:w="1836"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功能及技术指标</w:t>
            </w:r>
          </w:p>
        </w:tc>
        <w:tc>
          <w:tcPr>
            <w:tcW w:w="6829" w:type="dxa"/>
            <w:tcBorders>
              <w:top w:val="single" w:color="auto" w:sz="4" w:space="0"/>
              <w:left w:val="single" w:color="auto" w:sz="4" w:space="0"/>
              <w:bottom w:val="single" w:color="auto" w:sz="4" w:space="0"/>
              <w:right w:val="single" w:color="auto" w:sz="4" w:space="0"/>
            </w:tcBorders>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836"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业务端口</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千兆以太网口数≥5，千兆SFP光口数≥4个；并需提供1个RJ-45 Console管理口；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continue"/>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提供USB接口数≥2，用于外接硬件设备；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83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管理AP数</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最大可支持管理AP数≥1500颗；本次项目要求配置≥600个AP license；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83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管理网关数</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最大可支持管理网关数≥760台；本次项目要求配置≥120个网关 license；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p>
            <w:pPr>
              <w:spacing w:line="500" w:lineRule="exact"/>
              <w:rPr>
                <w:color w:val="000000" w:themeColor="text1"/>
                <w:sz w:val="24"/>
                <w:highlight w:val="none"/>
                <w14:textFill>
                  <w14:solidFill>
                    <w14:schemeClr w14:val="tx1"/>
                  </w14:solidFill>
                </w14:textFill>
              </w:rPr>
            </w:pPr>
          </w:p>
        </w:tc>
        <w:tc>
          <w:tcPr>
            <w:tcW w:w="1836"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网关管理组件</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支持配置分支网关的上网方式，包含但不限于IP、DHCP、PPPoE拨号的方式；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支持配置分支网关，实现统一管理、统一运维；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1836"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基础无线AP管理能力</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支持802.11a、802.11b、802.11g、802.11n、802.11ac、802.11ac Wave2、802.11ax、802.11e、802.11h、802.11k、802.11v等协议；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4" w:hRule="atLeast"/>
        </w:trPr>
        <w:tc>
          <w:tcPr>
            <w:tcW w:w="574"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▲支持无线东西向流量安全防护，实现对安全端口组和组间访问行为进行可视化呈现和管控，保障单位内安全组间安全访问控制</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51" w:hRule="atLeast"/>
        </w:trPr>
        <w:tc>
          <w:tcPr>
            <w:tcW w:w="574" w:type="dxa"/>
            <w:vMerge w:val="continue"/>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▲结合无线AP支持配置采用独立射频WIPS模糊或精准反制非法接入点并实时检测、告警及反制，过程中不影响用户正常网络接入</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1836"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身份认证与终端接入控制能力</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▲最大账号数可达65000及在线用户数量可达8000</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4"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对接内部系统结合802.1X、Web认证方式接入网络，支持批量的形式导入、导出认证信息实现高效的认证管理，自身最大可创建65535个用户认证的账号信息；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trPr>
        <w:tc>
          <w:tcPr>
            <w:tcW w:w="574" w:type="dxa"/>
            <w:vMerge w:val="restart"/>
            <w:tcBorders>
              <w:top w:val="single" w:color="auto" w:sz="4" w:space="0"/>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1836" w:type="dxa"/>
            <w:vMerge w:val="restart"/>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运维管理</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▲系统支持将核心业务区域设置成重点区域，重点保障重点区域的接入体验</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574" w:type="dxa"/>
            <w:vMerge w:val="continue"/>
            <w:tcBorders>
              <w:left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836" w:type="dxa"/>
            <w:vMerge w:val="continue"/>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▲为更好地保障网络的稳定运行，系统需支持7*24小时主动巡检功能，覆盖设备、网络状态、设备运行情况、服务状态等巡检项目，需提供相关截图并加盖原厂公章</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6" w:hRule="atLeast"/>
        </w:trPr>
        <w:tc>
          <w:tcPr>
            <w:tcW w:w="574" w:type="dxa"/>
            <w:vMerge w:val="continue"/>
            <w:tcBorders>
              <w:left w:val="single" w:color="auto" w:sz="4" w:space="0"/>
              <w:right w:val="single" w:color="auto" w:sz="4" w:space="0"/>
            </w:tcBorders>
            <w:vAlign w:val="center"/>
          </w:tcPr>
          <w:p>
            <w:pPr>
              <w:spacing w:line="500" w:lineRule="exact"/>
              <w:rPr>
                <w:sz w:val="24"/>
                <w:highlight w:val="none"/>
              </w:rPr>
            </w:pPr>
          </w:p>
        </w:tc>
        <w:tc>
          <w:tcPr>
            <w:tcW w:w="1836" w:type="dxa"/>
            <w:vMerge w:val="continue"/>
            <w:tcBorders>
              <w:left w:val="single" w:color="auto" w:sz="4" w:space="0"/>
              <w:right w:val="single" w:color="auto" w:sz="4" w:space="0"/>
            </w:tcBorders>
            <w:vAlign w:val="center"/>
          </w:tcPr>
          <w:p>
            <w:pPr>
              <w:spacing w:line="500" w:lineRule="exact"/>
              <w:rPr>
                <w:sz w:val="24"/>
                <w:highlight w:val="none"/>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为更全面地巡检网络，系统需支持至少1000巡检项，便于对网络进行更全面的巡检，需提供相关截图并加盖原厂公章</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6" w:hRule="atLeast"/>
        </w:trPr>
        <w:tc>
          <w:tcPr>
            <w:tcW w:w="574" w:type="dxa"/>
            <w:vMerge w:val="continue"/>
            <w:tcBorders>
              <w:left w:val="single" w:color="auto" w:sz="4" w:space="0"/>
              <w:right w:val="single" w:color="auto" w:sz="4" w:space="0"/>
            </w:tcBorders>
            <w:vAlign w:val="center"/>
          </w:tcPr>
          <w:p>
            <w:pPr>
              <w:spacing w:line="500" w:lineRule="exact"/>
              <w:rPr>
                <w:sz w:val="24"/>
                <w:highlight w:val="none"/>
              </w:rPr>
            </w:pPr>
          </w:p>
        </w:tc>
        <w:tc>
          <w:tcPr>
            <w:tcW w:w="1836" w:type="dxa"/>
            <w:vMerge w:val="continue"/>
            <w:tcBorders>
              <w:left w:val="single" w:color="auto" w:sz="4" w:space="0"/>
              <w:right w:val="single" w:color="auto" w:sz="4" w:space="0"/>
            </w:tcBorders>
            <w:vAlign w:val="center"/>
          </w:tcPr>
          <w:p>
            <w:pPr>
              <w:spacing w:line="500" w:lineRule="exact"/>
              <w:rPr>
                <w:sz w:val="24"/>
                <w:highlight w:val="none"/>
              </w:rPr>
            </w:pP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▲为更好地保障关键业务/应用体验，系统支持对关键业务的访问质量进行评估，包括但不限于丢包、抖动、延时、连通性、服务器繁忙等指标，从而帮助用户对关键业务进行排障</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trPr>
        <w:tc>
          <w:tcPr>
            <w:tcW w:w="574" w:type="dxa"/>
            <w:tcBorders>
              <w:left w:val="single" w:color="auto" w:sz="4" w:space="0"/>
              <w:right w:val="single" w:color="auto" w:sz="4" w:space="0"/>
            </w:tcBorders>
            <w:vAlign w:val="center"/>
          </w:tcPr>
          <w:p>
            <w:pPr>
              <w:spacing w:line="500" w:lineRule="exact"/>
              <w:rPr>
                <w:sz w:val="24"/>
                <w:highlight w:val="none"/>
              </w:rPr>
            </w:pPr>
            <w:r>
              <w:rPr>
                <w:rFonts w:hint="eastAsia"/>
                <w:sz w:val="24"/>
                <w:highlight w:val="none"/>
              </w:rPr>
              <w:t>8</w:t>
            </w:r>
          </w:p>
        </w:tc>
        <w:tc>
          <w:tcPr>
            <w:tcW w:w="1836" w:type="dxa"/>
            <w:tcBorders>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管理要求</w:t>
            </w:r>
          </w:p>
        </w:tc>
        <w:tc>
          <w:tcPr>
            <w:tcW w:w="6829"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能够管理历史现有AP与本次新部署AP达到上述所有能力要求</w:t>
            </w:r>
          </w:p>
        </w:tc>
      </w:tr>
    </w:tbl>
    <w:p>
      <w:pPr>
        <w:spacing w:line="500" w:lineRule="exac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（5）网络安全审计</w:t>
      </w:r>
      <w:r>
        <w:rPr>
          <w:rFonts w:hint="eastAsia"/>
          <w:color w:val="000000" w:themeColor="text1"/>
          <w:sz w:val="24"/>
          <w:highlight w:val="none"/>
          <w:lang w:val="en-US" w:eastAsia="zh-CN"/>
          <w14:textFill>
            <w14:solidFill>
              <w14:schemeClr w14:val="tx1"/>
            </w14:solidFill>
          </w14:textFill>
        </w:rPr>
        <w:t>服务</w:t>
      </w:r>
    </w:p>
    <w:tbl>
      <w:tblPr>
        <w:tblStyle w:val="58"/>
        <w:tblW w:w="9279" w:type="dxa"/>
        <w:tblInd w:w="0" w:type="dxa"/>
        <w:tblLayout w:type="fixed"/>
        <w:tblCellMar>
          <w:top w:w="0" w:type="dxa"/>
          <w:left w:w="108" w:type="dxa"/>
          <w:bottom w:w="0" w:type="dxa"/>
          <w:right w:w="108" w:type="dxa"/>
        </w:tblCellMar>
      </w:tblPr>
      <w:tblGrid>
        <w:gridCol w:w="536"/>
        <w:gridCol w:w="1258"/>
        <w:gridCol w:w="7485"/>
      </w:tblGrid>
      <w:tr>
        <w:tblPrEx>
          <w:tblLayout w:type="fixed"/>
          <w:tblCellMar>
            <w:top w:w="0" w:type="dxa"/>
            <w:left w:w="108" w:type="dxa"/>
            <w:bottom w:w="0" w:type="dxa"/>
            <w:right w:w="108" w:type="dxa"/>
          </w:tblCellMar>
        </w:tblPrEx>
        <w:trPr>
          <w:trHeight w:val="288" w:hRule="atLeast"/>
        </w:trPr>
        <w:tc>
          <w:tcPr>
            <w:tcW w:w="53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序号</w:t>
            </w:r>
          </w:p>
        </w:tc>
        <w:tc>
          <w:tcPr>
            <w:tcW w:w="1258" w:type="dxa"/>
            <w:tcBorders>
              <w:top w:val="single" w:color="auto" w:sz="4" w:space="0"/>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功能及技术指标</w:t>
            </w:r>
          </w:p>
        </w:tc>
        <w:tc>
          <w:tcPr>
            <w:tcW w:w="7485" w:type="dxa"/>
            <w:tcBorders>
              <w:top w:val="single" w:color="auto" w:sz="4" w:space="0"/>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参数要求</w:t>
            </w:r>
          </w:p>
        </w:tc>
      </w:tr>
      <w:tr>
        <w:tblPrEx>
          <w:tblLayout w:type="fixed"/>
          <w:tblCellMar>
            <w:top w:w="0" w:type="dxa"/>
            <w:left w:w="108" w:type="dxa"/>
            <w:bottom w:w="0" w:type="dxa"/>
            <w:right w:w="108" w:type="dxa"/>
          </w:tblCellMar>
        </w:tblPrEx>
        <w:trPr>
          <w:trHeight w:val="276"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总体要求</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提供7*24小时在线服务；</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提供小时级别故障处理，指定售后专属电话，远程智能运维；</w:t>
            </w:r>
          </w:p>
        </w:tc>
      </w:tr>
      <w:tr>
        <w:tblPrEx>
          <w:tblLayout w:type="fixed"/>
          <w:tblCellMar>
            <w:top w:w="0" w:type="dxa"/>
            <w:left w:w="108" w:type="dxa"/>
            <w:bottom w:w="0" w:type="dxa"/>
            <w:right w:w="108" w:type="dxa"/>
          </w:tblCellMar>
        </w:tblPrEx>
        <w:trPr>
          <w:trHeight w:val="432"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支持安全设备与云通道一键接入，云通道与云端无缝对接，设备上线云端后，云端配置模板自动化下发到设备；</w:t>
            </w:r>
          </w:p>
        </w:tc>
      </w:tr>
      <w:tr>
        <w:tblPrEx>
          <w:tblLayout w:type="fixed"/>
          <w:tblCellMar>
            <w:top w:w="0" w:type="dxa"/>
            <w:left w:w="108" w:type="dxa"/>
            <w:bottom w:w="0" w:type="dxa"/>
            <w:right w:w="108" w:type="dxa"/>
          </w:tblCellMar>
        </w:tblPrEx>
        <w:trPr>
          <w:trHeight w:val="276"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硬件要求</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1U标准机架式硬件设备。</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网络接口：配置≥6个千兆电口，USB2.0接口≥1个，Console口≥1个，标配单电源；</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混合应用层吞吐性能≥500Mbps；</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在线IP用户数不少于500个；</w:t>
            </w:r>
          </w:p>
        </w:tc>
      </w:tr>
      <w:tr>
        <w:tblPrEx>
          <w:tblLayout w:type="fixed"/>
          <w:tblCellMar>
            <w:top w:w="0" w:type="dxa"/>
            <w:left w:w="108" w:type="dxa"/>
            <w:bottom w:w="0" w:type="dxa"/>
            <w:right w:w="108" w:type="dxa"/>
          </w:tblCellMar>
        </w:tblPrEx>
        <w:trPr>
          <w:trHeight w:val="480"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行为管理</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▲支持基于IP五元组、VLAN、链路、数据流向、共享用户、移动终端、应用协议/协议组和IP/IP群组的速率和连接数控制，最小颗粒支持Kbps</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r>
              <w:rPr>
                <w:rFonts w:hint="eastAsia"/>
                <w:b/>
                <w:bCs/>
                <w:color w:val="000000" w:themeColor="text1"/>
                <w:sz w:val="24"/>
                <w:highlight w:val="none"/>
                <w14:textFill>
                  <w14:solidFill>
                    <w14:schemeClr w14:val="tx1"/>
                  </w14:solidFill>
                </w14:textFill>
              </w:rPr>
              <w:t xml:space="preserve"> </w:t>
            </w:r>
          </w:p>
        </w:tc>
      </w:tr>
      <w:tr>
        <w:tblPrEx>
          <w:tblLayout w:type="fixed"/>
          <w:tblCellMar>
            <w:top w:w="0" w:type="dxa"/>
            <w:left w:w="108" w:type="dxa"/>
            <w:bottom w:w="0" w:type="dxa"/>
            <w:right w:w="108" w:type="dxa"/>
          </w:tblCellMar>
        </w:tblPrEx>
        <w:trPr>
          <w:trHeight w:val="28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支持针对内网用户进行基于应用层协议、URL的行为管理；</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支持单条策略总控和单IP限速，可分别设置总控带宽和单IP带宽；</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支持基于应用协议和应用协议群组的流量和连接数控制；</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支持基于域名和URL的流量和连接数控制；</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支持流量控制动作：转发、阻断、限速、重定向等；</w:t>
            </w:r>
          </w:p>
        </w:tc>
      </w:tr>
      <w:tr>
        <w:tblPrEx>
          <w:tblLayout w:type="fixed"/>
          <w:tblCellMar>
            <w:top w:w="0" w:type="dxa"/>
            <w:left w:w="108" w:type="dxa"/>
            <w:bottom w:w="0" w:type="dxa"/>
            <w:right w:w="108" w:type="dxa"/>
          </w:tblCellMar>
        </w:tblPrEx>
        <w:trPr>
          <w:trHeight w:val="276" w:hRule="atLeast"/>
        </w:trPr>
        <w:tc>
          <w:tcPr>
            <w:tcW w:w="536"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p>
        </w:tc>
        <w:tc>
          <w:tcPr>
            <w:tcW w:w="1258"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高可用性</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支持双系统OS备份</w:t>
            </w:r>
          </w:p>
        </w:tc>
      </w:tr>
      <w:tr>
        <w:tblPrEx>
          <w:tblLayout w:type="fixed"/>
          <w:tblCellMar>
            <w:top w:w="0" w:type="dxa"/>
            <w:left w:w="108" w:type="dxa"/>
            <w:bottom w:w="0" w:type="dxa"/>
            <w:right w:w="108" w:type="dxa"/>
          </w:tblCellMar>
        </w:tblPrEx>
        <w:trPr>
          <w:trHeight w:val="432"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业务&amp;网络质量测量</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▲支持应用级被动测量：针对网络流量中每一条会话，进行基于应用级的质量测量；支持对客户端时延、传输时延及应用服务器时延的分段记录与策略</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Layout w:type="fixed"/>
          <w:tblCellMar>
            <w:top w:w="0" w:type="dxa"/>
            <w:left w:w="108" w:type="dxa"/>
            <w:bottom w:w="0" w:type="dxa"/>
            <w:right w:w="108" w:type="dxa"/>
          </w:tblCellMar>
        </w:tblPrEx>
        <w:trPr>
          <w:trHeight w:val="432"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支持应用级主动拨测：针对网络的质量，重点业务可进行拨测，记录业务质量时延信息；</w:t>
            </w:r>
          </w:p>
        </w:tc>
      </w:tr>
      <w:tr>
        <w:tblPrEx>
          <w:tblLayout w:type="fixed"/>
          <w:tblCellMar>
            <w:top w:w="0" w:type="dxa"/>
            <w:left w:w="108" w:type="dxa"/>
            <w:bottom w:w="0" w:type="dxa"/>
            <w:right w:w="108" w:type="dxa"/>
          </w:tblCellMar>
        </w:tblPrEx>
        <w:trPr>
          <w:trHeight w:val="276"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DNS管控</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▲可根据源IP、目标IP、访问域名、所在线路等组合条件实现对域名访问的控制</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控制方式支持阻断、允许及重定向；</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支持HTTP管控；</w:t>
            </w:r>
          </w:p>
        </w:tc>
      </w:tr>
      <w:tr>
        <w:tblPrEx>
          <w:tblLayout w:type="fixed"/>
          <w:tblCellMar>
            <w:top w:w="0" w:type="dxa"/>
            <w:left w:w="108" w:type="dxa"/>
            <w:bottom w:w="0" w:type="dxa"/>
            <w:right w:w="108" w:type="dxa"/>
          </w:tblCellMar>
        </w:tblPrEx>
        <w:trPr>
          <w:trHeight w:val="276" w:hRule="atLeast"/>
        </w:trPr>
        <w:tc>
          <w:tcPr>
            <w:tcW w:w="536"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1258"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负载均衡</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支持基于域名的负载均衡</w:t>
            </w:r>
          </w:p>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支持基于应用协议的负载均衡</w:t>
            </w:r>
          </w:p>
        </w:tc>
      </w:tr>
      <w:tr>
        <w:tblPrEx>
          <w:tblLayout w:type="fixed"/>
          <w:tblCellMar>
            <w:top w:w="0" w:type="dxa"/>
            <w:left w:w="108" w:type="dxa"/>
            <w:bottom w:w="0" w:type="dxa"/>
            <w:right w:w="108" w:type="dxa"/>
          </w:tblCellMar>
        </w:tblPrEx>
        <w:trPr>
          <w:trHeight w:val="276" w:hRule="atLeast"/>
        </w:trPr>
        <w:tc>
          <w:tcPr>
            <w:tcW w:w="536"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8</w:t>
            </w:r>
          </w:p>
        </w:tc>
        <w:tc>
          <w:tcPr>
            <w:tcW w:w="1258"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本地镜像</w:t>
            </w:r>
          </w:p>
        </w:tc>
        <w:tc>
          <w:tcPr>
            <w:tcW w:w="7485" w:type="dxa"/>
            <w:tcBorders>
              <w:top w:val="nil"/>
              <w:left w:val="nil"/>
              <w:bottom w:val="single" w:color="auto" w:sz="4" w:space="0"/>
              <w:right w:val="single" w:color="auto" w:sz="4" w:space="0"/>
            </w:tcBorders>
            <w:vAlign w:val="center"/>
          </w:tcPr>
          <w:p>
            <w:pPr>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支持上网行为管理的同时，支持基于应用协议和应用协议群组的流量镜像。</w:t>
            </w:r>
          </w:p>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支持上网行为管理的同时，支持基于域名和URL的流量镜像。</w:t>
            </w:r>
          </w:p>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支持上网行为管理的同时，支持基于时间的流量镜像。</w:t>
            </w:r>
          </w:p>
        </w:tc>
      </w:tr>
      <w:tr>
        <w:tblPrEx>
          <w:tblLayout w:type="fixed"/>
          <w:tblCellMar>
            <w:top w:w="0" w:type="dxa"/>
            <w:left w:w="108" w:type="dxa"/>
            <w:bottom w:w="0" w:type="dxa"/>
            <w:right w:w="108" w:type="dxa"/>
          </w:tblCellMar>
        </w:tblPrEx>
        <w:trPr>
          <w:trHeight w:val="276" w:hRule="atLeast"/>
        </w:trPr>
        <w:tc>
          <w:tcPr>
            <w:tcW w:w="536" w:type="dxa"/>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w:t>
            </w:r>
          </w:p>
        </w:tc>
        <w:tc>
          <w:tcPr>
            <w:tcW w:w="1258"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AC控制器</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▲支持对自有无线AP的管理，支持AC功能，无需新购置AC控制器</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r>
              <w:rPr>
                <w:rFonts w:hint="eastAsia"/>
                <w:color w:val="000000" w:themeColor="text1"/>
                <w:sz w:val="24"/>
                <w:highlight w:val="none"/>
                <w14:textFill>
                  <w14:solidFill>
                    <w14:schemeClr w14:val="tx1"/>
                  </w14:solidFill>
                </w14:textFill>
              </w:rPr>
              <w:t>；</w:t>
            </w:r>
          </w:p>
        </w:tc>
      </w:tr>
      <w:tr>
        <w:tblPrEx>
          <w:tblLayout w:type="fixed"/>
          <w:tblCellMar>
            <w:top w:w="0" w:type="dxa"/>
            <w:left w:w="108" w:type="dxa"/>
            <w:bottom w:w="0" w:type="dxa"/>
            <w:right w:w="108" w:type="dxa"/>
          </w:tblCellMar>
        </w:tblPrEx>
        <w:trPr>
          <w:trHeight w:val="456" w:hRule="atLeast"/>
        </w:trPr>
        <w:tc>
          <w:tcPr>
            <w:tcW w:w="536"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10</w:t>
            </w:r>
          </w:p>
        </w:tc>
        <w:tc>
          <w:tcPr>
            <w:tcW w:w="1258" w:type="dxa"/>
            <w:vMerge w:val="restart"/>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审计日志</w:t>
            </w: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支持1:1全量记录会话日志，并可以按照应用协议、五元组、运营商流向、连接时间、域名、账号等信息进行检索和查询；</w:t>
            </w:r>
          </w:p>
        </w:tc>
      </w:tr>
      <w:tr>
        <w:tblPrEx>
          <w:tblLayout w:type="fixed"/>
          <w:tblCellMar>
            <w:top w:w="0" w:type="dxa"/>
            <w:left w:w="108" w:type="dxa"/>
            <w:bottom w:w="0" w:type="dxa"/>
            <w:right w:w="108" w:type="dxa"/>
          </w:tblCellMar>
        </w:tblPrEx>
        <w:trPr>
          <w:trHeight w:val="45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支持1:1全量记录URL日志，并可以按照应用协议、五元组、MAC地址、运营商流向、连接时间、关键字、账号等信息进行检索和查询；</w:t>
            </w:r>
          </w:p>
        </w:tc>
      </w:tr>
      <w:tr>
        <w:tblPrEx>
          <w:tblLayout w:type="fixed"/>
          <w:tblCellMar>
            <w:top w:w="0" w:type="dxa"/>
            <w:left w:w="108" w:type="dxa"/>
            <w:bottom w:w="0" w:type="dxa"/>
            <w:right w:w="108" w:type="dxa"/>
          </w:tblCellMar>
        </w:tblPrEx>
        <w:trPr>
          <w:trHeight w:val="45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支持1:1全量记录DNS日志，支持按照目的服务器解析排名、按照用户解析排名、按照域名解析排名来查询；</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支持支持记录虚拟身份（微信ID、QQ号）等信息，用于满足网监审查；</w:t>
            </w:r>
          </w:p>
        </w:tc>
      </w:tr>
      <w:tr>
        <w:tblPrEx>
          <w:tblLayout w:type="fixed"/>
          <w:tblCellMar>
            <w:top w:w="0" w:type="dxa"/>
            <w:left w:w="108" w:type="dxa"/>
            <w:bottom w:w="0" w:type="dxa"/>
            <w:right w:w="108" w:type="dxa"/>
          </w:tblCellMar>
        </w:tblPrEx>
        <w:trPr>
          <w:trHeight w:val="432"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▲支持用户身份画像，可针对内网某一用户进行应用和行为画像，可记录用户的上网记录、域名访问情况、虚拟身份等信息</w:t>
            </w:r>
            <w:r>
              <w:rPr>
                <w:rFonts w:hint="eastAsia"/>
                <w:b/>
                <w:bCs/>
                <w:color w:val="000000" w:themeColor="text1"/>
                <w:sz w:val="24"/>
                <w:highlight w:val="none"/>
                <w14:textFill>
                  <w14:solidFill>
                    <w14:schemeClr w14:val="tx1"/>
                  </w14:solidFill>
                </w14:textFill>
              </w:rPr>
              <w:t>（提供</w:t>
            </w:r>
            <w:r>
              <w:rPr>
                <w:rFonts w:hint="eastAsia"/>
                <w:b/>
                <w:bCs/>
                <w:color w:val="000000" w:themeColor="text1"/>
                <w:sz w:val="24"/>
                <w:highlight w:val="none"/>
                <w:lang w:eastAsia="zh-CN"/>
                <w14:textFill>
                  <w14:solidFill>
                    <w14:schemeClr w14:val="tx1"/>
                  </w14:solidFill>
                </w14:textFill>
              </w:rPr>
              <w:t>功能截图</w:t>
            </w:r>
            <w:r>
              <w:rPr>
                <w:rFonts w:hint="eastAsia"/>
                <w:b/>
                <w:bCs/>
                <w:color w:val="000000" w:themeColor="text1"/>
                <w:sz w:val="24"/>
                <w:highlight w:val="none"/>
                <w:lang w:val="en-US" w:eastAsia="zh-CN"/>
                <w14:textFill>
                  <w14:solidFill>
                    <w14:schemeClr w14:val="tx1"/>
                  </w14:solidFill>
                </w14:textFill>
              </w:rPr>
              <w:t>或权威机构第三方检测报告</w:t>
            </w:r>
            <w:r>
              <w:rPr>
                <w:rFonts w:hint="eastAsia"/>
                <w:b/>
                <w:bCs/>
                <w:color w:val="000000" w:themeColor="text1"/>
                <w:sz w:val="24"/>
                <w:highlight w:val="none"/>
                <w14:textFill>
                  <w14:solidFill>
                    <w14:schemeClr w14:val="tx1"/>
                  </w14:solidFill>
                </w14:textFill>
              </w:rPr>
              <w:t>并加盖公章）；</w:t>
            </w:r>
          </w:p>
        </w:tc>
      </w:tr>
      <w:tr>
        <w:tblPrEx>
          <w:tblLayout w:type="fixed"/>
          <w:tblCellMar>
            <w:top w:w="0" w:type="dxa"/>
            <w:left w:w="108" w:type="dxa"/>
            <w:bottom w:w="0" w:type="dxa"/>
            <w:right w:w="108" w:type="dxa"/>
          </w:tblCellMar>
        </w:tblPrEx>
        <w:trPr>
          <w:trHeight w:val="45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支持安全威胁库加载不少于30万条，具备检测钓鱼，病毒，木马挖矿等域名IP信息并提供查询及分析溯源能力；</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支持虚拟货币专项查询；</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支持邪教访问专项查询；</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支持VPN的专项查询；</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支持报表生成，支持excel、TXT等格式报表的生成；</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支持与其他威胁情报库的对接和导入；</w:t>
            </w:r>
          </w:p>
        </w:tc>
      </w:tr>
      <w:tr>
        <w:tblPrEx>
          <w:tblLayout w:type="fixed"/>
          <w:tblCellMar>
            <w:top w:w="0" w:type="dxa"/>
            <w:left w:w="108" w:type="dxa"/>
            <w:bottom w:w="0" w:type="dxa"/>
            <w:right w:w="108" w:type="dxa"/>
          </w:tblCellMar>
        </w:tblPrEx>
        <w:trPr>
          <w:trHeight w:val="480" w:hRule="atLeast"/>
        </w:trPr>
        <w:tc>
          <w:tcPr>
            <w:tcW w:w="536"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1258" w:type="dxa"/>
            <w:vMerge w:val="continue"/>
            <w:tcBorders>
              <w:top w:val="nil"/>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p>
        </w:tc>
        <w:tc>
          <w:tcPr>
            <w:tcW w:w="7485" w:type="dxa"/>
            <w:tcBorders>
              <w:top w:val="nil"/>
              <w:left w:val="nil"/>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通过云端提供安全日志数据的存储，包括IPS日志、AV日志、流量报表数据、URL访问数据等，存储时长6个月；</w:t>
            </w:r>
          </w:p>
        </w:tc>
      </w:tr>
    </w:tbl>
    <w:p>
      <w:pPr>
        <w:rPr>
          <w:highlight w:val="none"/>
        </w:rPr>
      </w:pPr>
    </w:p>
    <w:bookmarkEnd w:id="163"/>
    <w:p>
      <w:pPr>
        <w:pageBreakBefore w:val="0"/>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bookmarkStart w:id="164" w:name="_Toc68271533"/>
      <w:bookmarkStart w:id="165" w:name="_Toc343268806"/>
      <w:r>
        <w:rPr>
          <w:rFonts w:hint="eastAsia" w:ascii="宋体" w:hAnsi="宋体" w:cs="宋体"/>
          <w:b/>
          <w:bCs/>
          <w:color w:val="000000" w:themeColor="text1"/>
          <w:kern w:val="44"/>
          <w:sz w:val="24"/>
          <w:highlight w:val="none"/>
          <w14:textFill>
            <w14:solidFill>
              <w14:schemeClr w14:val="tx1"/>
            </w14:solidFill>
          </w14:textFill>
        </w:rPr>
        <w:t>5.项目管理组织要求</w:t>
      </w:r>
      <w:bookmarkEnd w:id="164"/>
    </w:p>
    <w:p>
      <w:pPr>
        <w:spacing w:line="500" w:lineRule="exact"/>
        <w:ind w:right="210" w:firstLine="240" w:firstLineChars="1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（一）项目交付地点</w:t>
      </w:r>
    </w:p>
    <w:p>
      <w:pPr>
        <w:pStyle w:val="273"/>
        <w:spacing w:line="500" w:lineRule="exact"/>
        <w:ind w:firstLine="480"/>
        <w:jc w:val="lef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 北京市石景山区文化和旅游局</w:t>
      </w:r>
    </w:p>
    <w:p>
      <w:pPr>
        <w:spacing w:line="500" w:lineRule="exact"/>
        <w:ind w:right="210" w:firstLine="240" w:firstLineChars="1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（二）项目交付时间</w:t>
      </w:r>
    </w:p>
    <w:p>
      <w:pPr>
        <w:pStyle w:val="273"/>
        <w:spacing w:line="500" w:lineRule="exact"/>
        <w:ind w:firstLine="48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（1）自合同签订之日起40个日历天内完成全部资源开通，因</w:t>
      </w:r>
      <w:r>
        <w:rPr>
          <w:rFonts w:hint="eastAsia"/>
          <w:color w:val="000000" w:themeColor="text1"/>
          <w:szCs w:val="24"/>
          <w:highlight w:val="none"/>
          <w:lang w:eastAsia="zh-CN"/>
          <w14:textFill>
            <w14:solidFill>
              <w14:schemeClr w14:val="tx1"/>
            </w14:solidFill>
          </w14:textFill>
        </w:rPr>
        <w:t>采购人</w:t>
      </w:r>
      <w:r>
        <w:rPr>
          <w:rFonts w:hint="eastAsia"/>
          <w:color w:val="000000" w:themeColor="text1"/>
          <w:szCs w:val="24"/>
          <w:highlight w:val="none"/>
          <w14:textFill>
            <w14:solidFill>
              <w14:schemeClr w14:val="tx1"/>
            </w14:solidFill>
          </w14:textFill>
        </w:rPr>
        <w:t>原因（例如：搬迁、装修等）不具备开通条件的除外。</w:t>
      </w:r>
    </w:p>
    <w:p>
      <w:pPr>
        <w:spacing w:line="500" w:lineRule="exact"/>
        <w:ind w:firstLine="480" w:firstLineChars="20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（2）服务期限：除因</w:t>
      </w:r>
      <w:r>
        <w:rPr>
          <w:rFonts w:hint="eastAsia"/>
          <w:color w:val="000000" w:themeColor="text1"/>
          <w:sz w:val="24"/>
          <w:highlight w:val="none"/>
          <w:lang w:eastAsia="zh-CN"/>
          <w14:textFill>
            <w14:solidFill>
              <w14:schemeClr w14:val="tx1"/>
            </w14:solidFill>
          </w14:textFill>
        </w:rPr>
        <w:t>采购人</w:t>
      </w:r>
      <w:r>
        <w:rPr>
          <w:rFonts w:hint="eastAsia"/>
          <w:color w:val="000000" w:themeColor="text1"/>
          <w:sz w:val="24"/>
          <w:highlight w:val="none"/>
          <w14:textFill>
            <w14:solidFill>
              <w14:schemeClr w14:val="tx1"/>
            </w14:solidFill>
          </w14:textFill>
        </w:rPr>
        <w:t>原因暂时不具备施工要求的点位外，完成所有点位施工后，</w:t>
      </w:r>
      <w:r>
        <w:rPr>
          <w:rFonts w:hint="eastAsia"/>
          <w:color w:val="000000" w:themeColor="text1"/>
          <w:sz w:val="24"/>
          <w:highlight w:val="none"/>
          <w:lang w:eastAsia="zh-CN"/>
          <w14:textFill>
            <w14:solidFill>
              <w14:schemeClr w14:val="tx1"/>
            </w14:solidFill>
          </w14:textFill>
        </w:rPr>
        <w:t>中标人</w:t>
      </w:r>
      <w:r>
        <w:rPr>
          <w:rFonts w:hint="eastAsia"/>
          <w:color w:val="000000" w:themeColor="text1"/>
          <w:sz w:val="24"/>
          <w:highlight w:val="none"/>
          <w14:textFill>
            <w14:solidFill>
              <w14:schemeClr w14:val="tx1"/>
            </w14:solidFill>
          </w14:textFill>
        </w:rPr>
        <w:t>提供为期12个月服务。服务期满后采购人可根据实际情况，在本合同有效期截止之前，延长</w:t>
      </w:r>
      <w:r>
        <w:rPr>
          <w:rFonts w:hint="eastAsia"/>
          <w:color w:val="000000" w:themeColor="text1"/>
          <w:sz w:val="24"/>
          <w:highlight w:val="none"/>
          <w:lang w:eastAsia="zh-CN"/>
          <w14:textFill>
            <w14:solidFill>
              <w14:schemeClr w14:val="tx1"/>
            </w14:solidFill>
          </w14:textFill>
        </w:rPr>
        <w:t>中标人</w:t>
      </w:r>
      <w:r>
        <w:rPr>
          <w:rFonts w:hint="eastAsia"/>
          <w:color w:val="000000" w:themeColor="text1"/>
          <w:sz w:val="24"/>
          <w:highlight w:val="none"/>
          <w14:textFill>
            <w14:solidFill>
              <w14:schemeClr w14:val="tx1"/>
            </w14:solidFill>
          </w14:textFill>
        </w:rPr>
        <w:t>服务的有效期，延长次数不得超过2次，并在有效期满前另行签订相关合同，但每次延长的合同期限最长不得超过1年。在延长的服务有效期内，双方权利义务不变，如</w:t>
      </w:r>
      <w:r>
        <w:rPr>
          <w:rFonts w:hint="eastAsia"/>
          <w:color w:val="000000" w:themeColor="text1"/>
          <w:sz w:val="24"/>
          <w:highlight w:val="none"/>
          <w:lang w:eastAsia="zh-CN"/>
          <w14:textFill>
            <w14:solidFill>
              <w14:schemeClr w14:val="tx1"/>
            </w14:solidFill>
          </w14:textFill>
        </w:rPr>
        <w:t>中标人</w:t>
      </w:r>
      <w:r>
        <w:rPr>
          <w:rFonts w:hint="eastAsia"/>
          <w:color w:val="000000" w:themeColor="text1"/>
          <w:sz w:val="24"/>
          <w:highlight w:val="none"/>
          <w14:textFill>
            <w14:solidFill>
              <w14:schemeClr w14:val="tx1"/>
            </w14:solidFill>
          </w14:textFill>
        </w:rPr>
        <w:t>提供高于本合同的服务标准，以高标准执行。</w:t>
      </w:r>
    </w:p>
    <w:p>
      <w:pPr>
        <w:spacing w:line="500" w:lineRule="exact"/>
        <w:ind w:right="210" w:firstLine="240" w:firstLineChars="1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三</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违约责任</w:t>
      </w:r>
    </w:p>
    <w:p>
      <w:pPr>
        <w:spacing w:line="500" w:lineRule="exact"/>
        <w:ind w:firstLine="480" w:firstLineChars="200"/>
        <w:rPr>
          <w:rFonts w:hint="eastAsia" w:ascii="Times New Roman" w:hAnsi="Times New Roman" w:cs="Times New Roman"/>
          <w:b w:val="0"/>
          <w:bCs w:val="0"/>
          <w:color w:val="000000" w:themeColor="text1"/>
          <w:kern w:val="2"/>
          <w:sz w:val="24"/>
          <w:highlight w:val="none"/>
          <w14:textFill>
            <w14:solidFill>
              <w14:schemeClr w14:val="tx1"/>
            </w14:solidFill>
          </w14:textFill>
        </w:rPr>
      </w:pPr>
      <w:r>
        <w:rPr>
          <w:rFonts w:ascii="Segoe UI Symbol" w:hAnsi="Segoe UI Symbol" w:cs="Segoe UI Symbol"/>
          <w:color w:val="000000"/>
          <w:kern w:val="0"/>
          <w:sz w:val="24"/>
          <w:highlight w:val="none"/>
        </w:rPr>
        <w:t>★</w:t>
      </w:r>
      <w:r>
        <w:rPr>
          <w:rFonts w:hint="eastAsia" w:ascii="Times New Roman" w:hAnsi="Times New Roman" w:cs="Times New Roman"/>
          <w:b w:val="0"/>
          <w:bCs w:val="0"/>
          <w:color w:val="000000" w:themeColor="text1"/>
          <w:kern w:val="2"/>
          <w:sz w:val="24"/>
          <w:highlight w:val="none"/>
          <w14:textFill>
            <w14:solidFill>
              <w14:schemeClr w14:val="tx1"/>
            </w14:solidFill>
          </w14:textFill>
        </w:rPr>
        <w:t>非</w:t>
      </w:r>
      <w:r>
        <w:rPr>
          <w:rFonts w:hint="eastAsia" w:cs="Times New Roman"/>
          <w:b w:val="0"/>
          <w:bCs w:val="0"/>
          <w:color w:val="000000" w:themeColor="text1"/>
          <w:kern w:val="2"/>
          <w:sz w:val="24"/>
          <w:highlight w:val="none"/>
          <w:lang w:eastAsia="zh-CN"/>
          <w14:textFill>
            <w14:solidFill>
              <w14:schemeClr w14:val="tx1"/>
            </w14:solidFill>
          </w14:textFill>
        </w:rPr>
        <w:t>采购人</w:t>
      </w:r>
      <w:r>
        <w:rPr>
          <w:rFonts w:hint="eastAsia" w:ascii="Times New Roman" w:hAnsi="Times New Roman" w:cs="Times New Roman"/>
          <w:b w:val="0"/>
          <w:bCs w:val="0"/>
          <w:color w:val="000000" w:themeColor="text1"/>
          <w:kern w:val="2"/>
          <w:sz w:val="24"/>
          <w:highlight w:val="none"/>
          <w14:textFill>
            <w14:solidFill>
              <w14:schemeClr w14:val="tx1"/>
            </w14:solidFill>
          </w14:textFill>
        </w:rPr>
        <w:t>原因造成的的施工逾期，经</w:t>
      </w:r>
      <w:r>
        <w:rPr>
          <w:rFonts w:hint="eastAsia" w:cs="Times New Roman"/>
          <w:b w:val="0"/>
          <w:bCs w:val="0"/>
          <w:color w:val="000000" w:themeColor="text1"/>
          <w:kern w:val="2"/>
          <w:sz w:val="24"/>
          <w:highlight w:val="none"/>
          <w:lang w:eastAsia="zh-CN"/>
          <w14:textFill>
            <w14:solidFill>
              <w14:schemeClr w14:val="tx1"/>
            </w14:solidFill>
          </w14:textFill>
        </w:rPr>
        <w:t>采购人</w:t>
      </w:r>
      <w:r>
        <w:rPr>
          <w:rFonts w:hint="eastAsia" w:ascii="Times New Roman" w:hAnsi="Times New Roman" w:cs="Times New Roman"/>
          <w:b w:val="0"/>
          <w:bCs w:val="0"/>
          <w:color w:val="000000" w:themeColor="text1"/>
          <w:kern w:val="2"/>
          <w:sz w:val="24"/>
          <w:highlight w:val="none"/>
          <w14:textFill>
            <w14:solidFill>
              <w14:schemeClr w14:val="tx1"/>
            </w14:solidFill>
          </w14:textFill>
        </w:rPr>
        <w:t>及监理方确认后，每逾期一天从履约保证金扣除合同总额的万分之二，履约保证金不足以覆盖</w:t>
      </w:r>
      <w:r>
        <w:rPr>
          <w:rFonts w:hint="eastAsia" w:ascii="Times New Roman" w:hAnsi="Times New Roman" w:cs="Times New Roman"/>
          <w:b w:val="0"/>
          <w:bCs w:val="0"/>
          <w:color w:val="000000" w:themeColor="text1"/>
          <w:kern w:val="2"/>
          <w:sz w:val="24"/>
          <w:highlight w:val="none"/>
          <w:lang w:val="en-US" w:eastAsia="zh-CN"/>
          <w14:textFill>
            <w14:solidFill>
              <w14:schemeClr w14:val="tx1"/>
            </w14:solidFill>
          </w14:textFill>
        </w:rPr>
        <w:t>逾期费</w:t>
      </w:r>
      <w:r>
        <w:rPr>
          <w:rFonts w:hint="eastAsia" w:ascii="Times New Roman" w:hAnsi="Times New Roman" w:cs="Times New Roman"/>
          <w:b w:val="0"/>
          <w:bCs w:val="0"/>
          <w:color w:val="000000" w:themeColor="text1"/>
          <w:kern w:val="2"/>
          <w:sz w:val="24"/>
          <w:highlight w:val="none"/>
          <w14:textFill>
            <w14:solidFill>
              <w14:schemeClr w14:val="tx1"/>
            </w14:solidFill>
          </w14:textFill>
        </w:rPr>
        <w:t>的</w:t>
      </w:r>
      <w:r>
        <w:rPr>
          <w:rFonts w:hint="eastAsia" w:ascii="Times New Roman" w:hAnsi="Times New Roman" w:cs="Times New Roman"/>
          <w:b w:val="0"/>
          <w:bCs w:val="0"/>
          <w:color w:val="000000" w:themeColor="text1"/>
          <w:kern w:val="2"/>
          <w:sz w:val="24"/>
          <w:highlight w:val="none"/>
          <w:lang w:val="en-US" w:eastAsia="zh-CN"/>
          <w14:textFill>
            <w14:solidFill>
              <w14:schemeClr w14:val="tx1"/>
            </w14:solidFill>
          </w14:textFill>
        </w:rPr>
        <w:t>应由</w:t>
      </w:r>
      <w:r>
        <w:rPr>
          <w:rFonts w:hint="eastAsia" w:cs="Times New Roman"/>
          <w:b w:val="0"/>
          <w:bCs w:val="0"/>
          <w:color w:val="000000" w:themeColor="text1"/>
          <w:kern w:val="2"/>
          <w:sz w:val="24"/>
          <w:highlight w:val="none"/>
          <w:lang w:val="en-US" w:eastAsia="zh-CN"/>
          <w14:textFill>
            <w14:solidFill>
              <w14:schemeClr w14:val="tx1"/>
            </w14:solidFill>
          </w14:textFill>
        </w:rPr>
        <w:t>中标人</w:t>
      </w:r>
      <w:r>
        <w:rPr>
          <w:rFonts w:hint="eastAsia" w:ascii="Times New Roman" w:hAnsi="Times New Roman" w:cs="Times New Roman"/>
          <w:b w:val="0"/>
          <w:bCs w:val="0"/>
          <w:color w:val="000000" w:themeColor="text1"/>
          <w:kern w:val="2"/>
          <w:sz w:val="24"/>
          <w:highlight w:val="none"/>
          <w:lang w:val="en-US" w:eastAsia="zh-CN"/>
          <w14:textFill>
            <w14:solidFill>
              <w14:schemeClr w14:val="tx1"/>
            </w14:solidFill>
          </w14:textFill>
        </w:rPr>
        <w:t>补足差额</w:t>
      </w:r>
      <w:r>
        <w:rPr>
          <w:rFonts w:hint="eastAsia" w:ascii="Times New Roman" w:hAnsi="Times New Roman" w:cs="Times New Roman"/>
          <w:b w:val="0"/>
          <w:bCs w:val="0"/>
          <w:color w:val="000000" w:themeColor="text1"/>
          <w:kern w:val="2"/>
          <w:sz w:val="24"/>
          <w:highlight w:val="none"/>
          <w14:textFill>
            <w14:solidFill>
              <w14:schemeClr w14:val="tx1"/>
            </w14:solidFill>
          </w14:textFill>
        </w:rPr>
        <w:t>。（需提供承诺函并加盖</w:t>
      </w:r>
      <w:r>
        <w:rPr>
          <w:rFonts w:hint="eastAsia" w:cs="Times New Roman"/>
          <w:b w:val="0"/>
          <w:bCs w:val="0"/>
          <w:color w:val="000000" w:themeColor="text1"/>
          <w:kern w:val="2"/>
          <w:sz w:val="24"/>
          <w:highlight w:val="none"/>
          <w:lang w:eastAsia="zh-CN"/>
          <w14:textFill>
            <w14:solidFill>
              <w14:schemeClr w14:val="tx1"/>
            </w14:solidFill>
          </w14:textFill>
        </w:rPr>
        <w:t>投标人</w:t>
      </w:r>
      <w:r>
        <w:rPr>
          <w:rFonts w:hint="eastAsia" w:ascii="Times New Roman" w:hAnsi="Times New Roman" w:cs="Times New Roman"/>
          <w:b w:val="0"/>
          <w:bCs w:val="0"/>
          <w:color w:val="000000" w:themeColor="text1"/>
          <w:kern w:val="2"/>
          <w:sz w:val="24"/>
          <w:highlight w:val="none"/>
          <w14:textFill>
            <w14:solidFill>
              <w14:schemeClr w14:val="tx1"/>
            </w14:solidFill>
          </w14:textFill>
        </w:rPr>
        <w:t>公章）</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r>
        <w:rPr>
          <w:rFonts w:ascii="宋体" w:hAnsi="宋体" w:cs="宋体"/>
          <w:b/>
          <w:bCs/>
          <w:color w:val="000000" w:themeColor="text1"/>
          <w:kern w:val="44"/>
          <w:sz w:val="24"/>
          <w:highlight w:val="none"/>
          <w14:textFill>
            <w14:solidFill>
              <w14:schemeClr w14:val="tx1"/>
            </w14:solidFill>
          </w14:textFill>
        </w:rPr>
        <w:t>6</w:t>
      </w:r>
      <w:r>
        <w:rPr>
          <w:rFonts w:hint="eastAsia" w:ascii="宋体" w:hAnsi="宋体" w:cs="宋体"/>
          <w:b/>
          <w:bCs/>
          <w:color w:val="000000" w:themeColor="text1"/>
          <w:kern w:val="44"/>
          <w:sz w:val="24"/>
          <w:highlight w:val="none"/>
          <w14:textFill>
            <w14:solidFill>
              <w14:schemeClr w14:val="tx1"/>
            </w14:solidFill>
          </w14:textFill>
        </w:rPr>
        <w:t>.服务要求</w:t>
      </w:r>
    </w:p>
    <w:bookmarkEnd w:id="165"/>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服务期内，</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须保证本次采购所涉及设备的安全稳定运行，并提供包括但不限于以下服务内容：</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需提供专业的售后服务团队，服务人员需熟悉本项目实施建设情况；</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需保证设备稳定运行，若发生故障，需及时响应并远程或到现场进行故障排查，响应、到场和解决故障时间需满足</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租赁对应故障级别所要求的时间响应要求；</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服务质量最低要求：</w:t>
      </w:r>
    </w:p>
    <w:tbl>
      <w:tblPr>
        <w:tblStyle w:val="58"/>
        <w:tblW w:w="84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146"/>
        <w:gridCol w:w="4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故障级别</w:t>
            </w:r>
          </w:p>
        </w:tc>
        <w:tc>
          <w:tcPr>
            <w:tcW w:w="3146"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故障描述</w:t>
            </w:r>
          </w:p>
        </w:tc>
        <w:tc>
          <w:tcPr>
            <w:tcW w:w="4043"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A级故障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严重故障导致业务停止；</w:t>
            </w:r>
          </w:p>
        </w:tc>
        <w:tc>
          <w:tcPr>
            <w:tcW w:w="4043"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30分钟响应，2小时内到场，4小时内排除故障；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B级故障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一般故障导致性能下降但不影响正常业务运行；</w:t>
            </w:r>
          </w:p>
        </w:tc>
        <w:tc>
          <w:tcPr>
            <w:tcW w:w="4043"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2小时内响应，4小时到场，8小时内排除故障；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C级故障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系统功能，安装或配置咨询，或其他显然不影响业务的服务；</w:t>
            </w:r>
          </w:p>
        </w:tc>
        <w:tc>
          <w:tcPr>
            <w:tcW w:w="4043" w:type="dxa"/>
            <w:tcBorders>
              <w:top w:val="single" w:color="auto" w:sz="4" w:space="0"/>
              <w:left w:val="single" w:color="auto" w:sz="4" w:space="0"/>
              <w:bottom w:val="single" w:color="auto" w:sz="4" w:space="0"/>
              <w:right w:val="single" w:color="auto" w:sz="4" w:space="0"/>
            </w:tcBorders>
            <w:vAlign w:val="center"/>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4小时内响应，24小时内排除故障。如果故障升级需按照升级后故障等级响应。</w:t>
            </w:r>
          </w:p>
        </w:tc>
      </w:tr>
    </w:tbl>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需提供7*24技术支持服务，包括但不限于电话、邮件等方式，对于采购人提出的技术问题需及时进行解答；</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(4)项目交付完成后，</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针对本项目涉及到的设备及技术等方面为采购人提供专业技术培训。</w:t>
      </w:r>
    </w:p>
    <w:p>
      <w:pPr>
        <w:spacing w:line="500" w:lineRule="exact"/>
        <w:ind w:firstLine="480" w:firstLineChars="200"/>
        <w:rPr>
          <w:rFonts w:hint="default" w:eastAsia="宋体"/>
          <w:sz w:val="24"/>
          <w:highlight w:val="none"/>
          <w:lang w:eastAsia="zh-CN"/>
        </w:rPr>
      </w:pPr>
      <w:r>
        <w:rPr>
          <w:rFonts w:hint="eastAsia"/>
          <w:color w:val="000000" w:themeColor="text1"/>
          <w:sz w:val="24"/>
          <w:highlight w:val="none"/>
          <w14:textFill>
            <w14:solidFill>
              <w14:schemeClr w14:val="tx1"/>
            </w14:solidFill>
          </w14:textFill>
        </w:rPr>
        <w:t>(5)对服务过程中获取的街道、社区居民全部数据承担保密责任，不得向任何第三方提供或泄露数据，也不得将相关数据用于其他用途。</w:t>
      </w:r>
    </w:p>
    <w:p>
      <w:pPr>
        <w:spacing w:line="500" w:lineRule="exact"/>
        <w:ind w:firstLine="480" w:firstLineChars="200"/>
        <w:rPr>
          <w:rFonts w:hint="eastAsia"/>
          <w:color w:val="000000" w:themeColor="text1"/>
          <w:sz w:val="24"/>
          <w:highlight w:val="none"/>
          <w14:textFill>
            <w14:solidFill>
              <w14:schemeClr w14:val="tx1"/>
            </w14:solidFill>
          </w14:textFill>
        </w:rPr>
      </w:pPr>
      <w:r>
        <w:rPr>
          <w:rFonts w:ascii="Segoe UI Symbol" w:hAnsi="Segoe UI Symbol" w:cs="Segoe UI Symbol"/>
          <w:color w:val="000000"/>
          <w:kern w:val="0"/>
          <w:sz w:val="24"/>
          <w:highlight w:val="none"/>
        </w:rPr>
        <w:t>★</w:t>
      </w:r>
      <w:r>
        <w:rPr>
          <w:rFonts w:hint="eastAsia"/>
          <w:color w:val="000000" w:themeColor="text1"/>
          <w:sz w:val="24"/>
          <w:highlight w:val="none"/>
          <w14:textFill>
            <w14:solidFill>
              <w14:schemeClr w14:val="tx1"/>
            </w14:solidFill>
          </w14:textFill>
        </w:rPr>
        <w:t>服务期内由于非</w:t>
      </w:r>
      <w:r>
        <w:rPr>
          <w:rFonts w:hint="eastAsia"/>
          <w:color w:val="000000" w:themeColor="text1"/>
          <w:sz w:val="24"/>
          <w:highlight w:val="none"/>
          <w:lang w:eastAsia="zh-CN"/>
          <w14:textFill>
            <w14:solidFill>
              <w14:schemeClr w14:val="tx1"/>
            </w14:solidFill>
          </w14:textFill>
        </w:rPr>
        <w:t>采购人</w:t>
      </w:r>
      <w:r>
        <w:rPr>
          <w:rFonts w:hint="eastAsia"/>
          <w:color w:val="000000" w:themeColor="text1"/>
          <w:sz w:val="24"/>
          <w:highlight w:val="none"/>
          <w14:textFill>
            <w14:solidFill>
              <w14:schemeClr w14:val="tx1"/>
            </w14:solidFill>
          </w14:textFill>
        </w:rPr>
        <w:t>原因及不可抗力条件下（地震、海啸、暴雨等自然灾害）未按照售后承诺</w:t>
      </w:r>
      <w:r>
        <w:rPr>
          <w:color w:val="000000" w:themeColor="text1"/>
          <w:sz w:val="24"/>
          <w:highlight w:val="none"/>
          <w14:textFill>
            <w14:solidFill>
              <w14:schemeClr w14:val="tx1"/>
            </w14:solidFill>
          </w14:textFill>
        </w:rPr>
        <w:t>的应急情况解决时间</w:t>
      </w:r>
      <w:r>
        <w:rPr>
          <w:rFonts w:hint="eastAsia"/>
          <w:color w:val="000000" w:themeColor="text1"/>
          <w:sz w:val="24"/>
          <w:highlight w:val="none"/>
          <w14:textFill>
            <w14:solidFill>
              <w14:schemeClr w14:val="tx1"/>
            </w14:solidFill>
          </w14:textFill>
        </w:rPr>
        <w:t>完成的</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每发生</w:t>
      </w:r>
      <w:r>
        <w:rPr>
          <w:color w:val="000000" w:themeColor="text1"/>
          <w:sz w:val="24"/>
          <w:highlight w:val="none"/>
          <w14:textFill>
            <w14:solidFill>
              <w14:schemeClr w14:val="tx1"/>
            </w14:solidFill>
          </w14:textFill>
        </w:rPr>
        <w:t>一次从履约保证金</w:t>
      </w:r>
      <w:r>
        <w:rPr>
          <w:rFonts w:hint="eastAsia"/>
          <w:color w:val="000000" w:themeColor="text1"/>
          <w:sz w:val="24"/>
          <w:highlight w:val="none"/>
          <w14:textFill>
            <w14:solidFill>
              <w14:schemeClr w14:val="tx1"/>
            </w14:solidFill>
          </w14:textFill>
        </w:rPr>
        <w:t>中</w:t>
      </w:r>
      <w:r>
        <w:rPr>
          <w:color w:val="000000" w:themeColor="text1"/>
          <w:sz w:val="24"/>
          <w:highlight w:val="none"/>
          <w14:textFill>
            <w14:solidFill>
              <w14:schemeClr w14:val="tx1"/>
            </w14:solidFill>
          </w14:textFill>
        </w:rPr>
        <w:t>扣除</w:t>
      </w:r>
      <w:r>
        <w:rPr>
          <w:rFonts w:hint="eastAsia"/>
          <w:color w:val="000000" w:themeColor="text1"/>
          <w:sz w:val="24"/>
          <w:highlight w:val="none"/>
          <w14:textFill>
            <w14:solidFill>
              <w14:schemeClr w14:val="tx1"/>
            </w14:solidFill>
          </w14:textFill>
        </w:rPr>
        <w:t>合同总额的千分之五，</w:t>
      </w:r>
      <w:r>
        <w:rPr>
          <w:color w:val="000000" w:themeColor="text1"/>
          <w:sz w:val="24"/>
          <w:highlight w:val="none"/>
          <w14:textFill>
            <w14:solidFill>
              <w14:schemeClr w14:val="tx1"/>
            </w14:solidFill>
          </w14:textFill>
        </w:rPr>
        <w:t>履约保证金不足</w:t>
      </w:r>
      <w:r>
        <w:rPr>
          <w:rFonts w:hint="eastAsia"/>
          <w:color w:val="000000" w:themeColor="text1"/>
          <w:sz w:val="24"/>
          <w:highlight w:val="none"/>
          <w14:textFill>
            <w14:solidFill>
              <w14:schemeClr w14:val="tx1"/>
            </w14:solidFill>
          </w14:textFill>
        </w:rPr>
        <w:t>以覆盖罚款</w:t>
      </w:r>
      <w:r>
        <w:rPr>
          <w:color w:val="000000" w:themeColor="text1"/>
          <w:sz w:val="24"/>
          <w:highlight w:val="none"/>
          <w14:textFill>
            <w14:solidFill>
              <w14:schemeClr w14:val="tx1"/>
            </w14:solidFill>
          </w14:textFill>
        </w:rPr>
        <w:t>的</w:t>
      </w:r>
      <w:r>
        <w:rPr>
          <w:rFonts w:hint="eastAsia"/>
          <w:color w:val="000000" w:themeColor="text1"/>
          <w:sz w:val="24"/>
          <w:highlight w:val="none"/>
          <w:lang w:val="en-US" w:eastAsia="zh-CN"/>
          <w14:textFill>
            <w14:solidFill>
              <w14:schemeClr w14:val="tx1"/>
            </w14:solidFill>
          </w14:textFill>
        </w:rPr>
        <w:t>应由投标人补足差额</w:t>
      </w:r>
      <w:r>
        <w:rPr>
          <w:rFonts w:hint="eastAsia"/>
          <w:color w:val="000000" w:themeColor="text1"/>
          <w:sz w:val="24"/>
          <w:highlight w:val="none"/>
          <w14:textFill>
            <w14:solidFill>
              <w14:schemeClr w14:val="tx1"/>
            </w14:solidFill>
          </w14:textFill>
        </w:rPr>
        <w:t>。（需提供承诺函并加盖</w:t>
      </w:r>
      <w:r>
        <w:rPr>
          <w:rFonts w:hint="eastAsia"/>
          <w:color w:val="000000" w:themeColor="text1"/>
          <w:sz w:val="24"/>
          <w:highlight w:val="none"/>
          <w:lang w:eastAsia="zh-CN"/>
          <w14:textFill>
            <w14:solidFill>
              <w14:schemeClr w14:val="tx1"/>
            </w14:solidFill>
          </w14:textFill>
        </w:rPr>
        <w:t>投标人</w:t>
      </w:r>
      <w:r>
        <w:rPr>
          <w:rFonts w:hint="eastAsia"/>
          <w:color w:val="000000" w:themeColor="text1"/>
          <w:sz w:val="24"/>
          <w:highlight w:val="none"/>
          <w14:textFill>
            <w14:solidFill>
              <w14:schemeClr w14:val="tx1"/>
            </w14:solidFill>
          </w14:textFill>
        </w:rPr>
        <w:t>公章）</w:t>
      </w:r>
    </w:p>
    <w:p>
      <w:pPr>
        <w:pStyle w:val="6"/>
        <w:spacing w:line="500" w:lineRule="exact"/>
        <w:rPr>
          <w:rFonts w:hint="eastAsia"/>
          <w:highlight w:val="none"/>
        </w:rPr>
      </w:pPr>
      <w:r>
        <w:rPr>
          <w:rFonts w:ascii="Segoe UI Symbol" w:hAnsi="Segoe UI Symbol" w:cs="Segoe UI Symbol"/>
          <w:color w:val="000000"/>
          <w:kern w:val="0"/>
          <w:sz w:val="24"/>
          <w:highlight w:val="none"/>
        </w:rPr>
        <w:t>★</w:t>
      </w:r>
      <w:r>
        <w:rPr>
          <w:rFonts w:hint="eastAsia" w:ascii="Times New Roman" w:eastAsia="宋体"/>
          <w:color w:val="000000" w:themeColor="text1"/>
          <w:sz w:val="24"/>
          <w:highlight w:val="none"/>
          <w:lang w:val="en-US" w:eastAsia="zh-CN"/>
          <w14:textFill>
            <w14:solidFill>
              <w14:schemeClr w14:val="tx1"/>
            </w14:solidFill>
          </w14:textFill>
        </w:rPr>
        <w:t>服务期内，需配合采购人对装修/搬迁的点位，提供免费移机服务。</w:t>
      </w:r>
      <w:r>
        <w:rPr>
          <w:rFonts w:hint="eastAsia" w:eastAsia="宋体"/>
          <w:color w:val="000000" w:themeColor="text1"/>
          <w:sz w:val="24"/>
          <w:highlight w:val="none"/>
          <w14:textFill>
            <w14:solidFill>
              <w14:schemeClr w14:val="tx1"/>
            </w14:solidFill>
          </w14:textFill>
        </w:rPr>
        <w:t>（需提供承诺函并加盖</w:t>
      </w:r>
      <w:r>
        <w:rPr>
          <w:rFonts w:hint="eastAsia" w:eastAsia="宋体"/>
          <w:color w:val="000000" w:themeColor="text1"/>
          <w:sz w:val="24"/>
          <w:highlight w:val="none"/>
          <w:lang w:eastAsia="zh-CN"/>
          <w14:textFill>
            <w14:solidFill>
              <w14:schemeClr w14:val="tx1"/>
            </w14:solidFill>
          </w14:textFill>
        </w:rPr>
        <w:t>投标人</w:t>
      </w:r>
      <w:r>
        <w:rPr>
          <w:rFonts w:hint="eastAsia" w:eastAsia="宋体"/>
          <w:color w:val="000000" w:themeColor="text1"/>
          <w:sz w:val="24"/>
          <w:highlight w:val="none"/>
          <w14:textFill>
            <w14:solidFill>
              <w14:schemeClr w14:val="tx1"/>
            </w14:solidFill>
          </w14:textFill>
        </w:rPr>
        <w:t>公章）</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r>
        <w:rPr>
          <w:rFonts w:hint="eastAsia" w:ascii="宋体" w:hAnsi="宋体" w:cs="宋体"/>
          <w:b/>
          <w:bCs/>
          <w:color w:val="000000" w:themeColor="text1"/>
          <w:kern w:val="44"/>
          <w:sz w:val="24"/>
          <w:highlight w:val="none"/>
          <w14:textFill>
            <w14:solidFill>
              <w14:schemeClr w14:val="tx1"/>
            </w14:solidFill>
          </w14:textFill>
        </w:rPr>
        <w:t>7.付款要求</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付款及结算方式：合同签订15个工作日内，拟先收取</w:t>
      </w:r>
      <w:r>
        <w:rPr>
          <w:rFonts w:hint="eastAsia"/>
          <w:color w:val="000000" w:themeColor="text1"/>
          <w:sz w:val="24"/>
          <w:highlight w:val="none"/>
          <w:lang w:val="en-US" w:eastAsia="zh-CN"/>
          <w14:textFill>
            <w14:solidFill>
              <w14:schemeClr w14:val="tx1"/>
            </w14:solidFill>
          </w14:textFill>
        </w:rPr>
        <w:t>乙方</w:t>
      </w:r>
      <w:r>
        <w:rPr>
          <w:rFonts w:hint="eastAsia"/>
          <w:color w:val="000000" w:themeColor="text1"/>
          <w:sz w:val="24"/>
          <w:highlight w:val="none"/>
          <w14:textFill>
            <w14:solidFill>
              <w14:schemeClr w14:val="tx1"/>
            </w14:solidFill>
          </w14:textFill>
        </w:rPr>
        <w:t>项目总费用的10%，作为履约保证金，收到上述款项后，甲方一次性支付项目全款。</w:t>
      </w:r>
    </w:p>
    <w:p>
      <w:pPr>
        <w:spacing w:line="500" w:lineRule="exact"/>
        <w:ind w:firstLine="482" w:firstLineChars="200"/>
        <w:rPr>
          <w:rFonts w:hint="eastAsia" w:ascii="宋体" w:hAnsi="宋体" w:cs="宋体"/>
          <w:b/>
          <w:bCs/>
          <w:color w:val="000000" w:themeColor="text1"/>
          <w:kern w:val="44"/>
          <w:sz w:val="24"/>
          <w:highlight w:val="none"/>
          <w14:textFill>
            <w14:solidFill>
              <w14:schemeClr w14:val="tx1"/>
            </w14:solidFill>
          </w14:textFill>
        </w:rPr>
      </w:pPr>
      <w:r>
        <w:rPr>
          <w:rFonts w:hint="eastAsia" w:ascii="宋体" w:hAnsi="宋体" w:cs="宋体"/>
          <w:b/>
          <w:bCs/>
          <w:color w:val="000000" w:themeColor="text1"/>
          <w:kern w:val="44"/>
          <w:sz w:val="24"/>
          <w:highlight w:val="none"/>
          <w14:textFill>
            <w14:solidFill>
              <w14:schemeClr w14:val="tx1"/>
            </w14:solidFill>
          </w14:textFill>
        </w:rPr>
        <w:t>8.验收要求</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项目完成后由</w:t>
      </w:r>
      <w:r>
        <w:rPr>
          <w:rFonts w:hint="eastAsia"/>
          <w:color w:val="000000" w:themeColor="text1"/>
          <w:sz w:val="24"/>
          <w:highlight w:val="none"/>
          <w:lang w:eastAsia="zh-CN"/>
          <w14:textFill>
            <w14:solidFill>
              <w14:schemeClr w14:val="tx1"/>
            </w14:solidFill>
          </w14:textFill>
        </w:rPr>
        <w:t>采购人</w:t>
      </w:r>
      <w:r>
        <w:rPr>
          <w:rFonts w:hint="eastAsia"/>
          <w:color w:val="000000" w:themeColor="text1"/>
          <w:sz w:val="24"/>
          <w:highlight w:val="none"/>
          <w14:textFill>
            <w14:solidFill>
              <w14:schemeClr w14:val="tx1"/>
            </w14:solidFill>
          </w14:textFill>
        </w:rPr>
        <w:t>组织项目验收并签订《项目验收单》。在验收结束后，双方在《项目验收单》上签字确认。</w:t>
      </w:r>
    </w:p>
    <w:p>
      <w:pPr>
        <w:spacing w:line="500" w:lineRule="exact"/>
        <w:ind w:right="210" w:firstLine="482"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9.人员团队</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9.1项目负责人：</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提供1名项目负责人，负责项目整体实施。</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9.2 项目经理：</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提供1名项目经理，具有5年及以上类似项目工作经历，承诺具备丰富的大客户管理经验、具有高度责任感并具有较强的解决问题能力、有能力做好组织工作和具体技术工作。</w:t>
      </w:r>
    </w:p>
    <w:p>
      <w:pPr>
        <w:spacing w:line="500" w:lineRule="exact"/>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9.3 技术经理：</w:t>
      </w:r>
    </w:p>
    <w:p>
      <w:pPr>
        <w:spacing w:line="500" w:lineRule="exact"/>
        <w:ind w:firstLine="480" w:firstLineChars="20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提供3名技术经理，负责整个项目建设相关的具体技术工作，运维服务的支撑统筹工作。</w:t>
      </w:r>
    </w:p>
    <w:p>
      <w:pPr>
        <w:numPr>
          <w:ilvl w:val="0"/>
          <w:numId w:val="0"/>
        </w:numPr>
        <w:spacing w:line="360" w:lineRule="auto"/>
        <w:jc w:val="left"/>
        <w:rPr>
          <w:rFonts w:hint="eastAsia" w:ascii="宋体" w:hAnsi="宋体" w:cs="宋体"/>
          <w:b/>
          <w:sz w:val="36"/>
          <w:szCs w:val="36"/>
        </w:rPr>
      </w:pPr>
      <w:r>
        <w:rPr>
          <w:rFonts w:hint="eastAsia" w:ascii="宋体" w:hAnsi="宋体" w:cs="宋体"/>
          <w:b/>
          <w:color w:val="FF0000"/>
          <w:sz w:val="24"/>
          <w:lang w:eastAsia="zh-CN"/>
        </w:rPr>
        <w:t>注：采购需求中，共三项标注</w:t>
      </w:r>
      <w:r>
        <w:rPr>
          <w:rFonts w:ascii="Segoe UI Symbol" w:hAnsi="Segoe UI Symbol" w:cs="Segoe UI Symbol"/>
          <w:color w:val="FF0000"/>
          <w:kern w:val="0"/>
          <w:sz w:val="24"/>
          <w:highlight w:val="none"/>
        </w:rPr>
        <w:t>★</w:t>
      </w:r>
      <w:r>
        <w:rPr>
          <w:rFonts w:hint="eastAsia" w:ascii="宋体" w:hAnsi="宋体" w:cs="宋体"/>
          <w:b/>
          <w:color w:val="FF0000"/>
          <w:sz w:val="24"/>
          <w:lang w:eastAsia="zh-CN"/>
        </w:rPr>
        <w:t>内容需要提供承诺函，各投标人投标时，建议放在投标文件“</w:t>
      </w:r>
      <w:r>
        <w:rPr>
          <w:rFonts w:hint="eastAsia" w:ascii="宋体" w:hAnsi="宋体"/>
          <w:b/>
          <w:bCs/>
          <w:color w:val="FF0000"/>
          <w:sz w:val="24"/>
          <w:szCs w:val="24"/>
          <w:lang w:val="en-US" w:eastAsia="zh-CN"/>
        </w:rPr>
        <w:t>2-19</w:t>
      </w:r>
      <w:bookmarkStart w:id="234" w:name="_GoBack"/>
      <w:bookmarkEnd w:id="234"/>
      <w:r>
        <w:rPr>
          <w:rFonts w:hint="eastAsia" w:ascii="宋体" w:hAnsi="宋体"/>
          <w:b/>
          <w:bCs/>
          <w:color w:val="FF0000"/>
          <w:sz w:val="24"/>
          <w:szCs w:val="24"/>
        </w:rPr>
        <w:t>投标人认为有必要提供的其他文件</w:t>
      </w:r>
      <w:r>
        <w:rPr>
          <w:rFonts w:hint="eastAsia" w:ascii="宋体" w:hAnsi="宋体"/>
          <w:b/>
          <w:bCs/>
          <w:color w:val="FF0000"/>
          <w:sz w:val="24"/>
          <w:szCs w:val="24"/>
          <w:lang w:eastAsia="zh-CN"/>
        </w:rPr>
        <w:t>”部分。</w:t>
      </w:r>
      <w:r>
        <w:rPr>
          <w:rFonts w:hint="eastAsia" w:ascii="宋体" w:hAnsi="宋体" w:cs="宋体"/>
          <w:b/>
          <w:sz w:val="24"/>
        </w:rPr>
        <w:br w:type="page"/>
      </w:r>
      <w:r>
        <w:rPr>
          <w:rFonts w:hint="eastAsia" w:ascii="宋体" w:hAnsi="宋体" w:cs="宋体"/>
          <w:b/>
          <w:sz w:val="36"/>
          <w:szCs w:val="36"/>
        </w:rPr>
        <w:t>第六章   拟签订的合同文本</w:t>
      </w:r>
      <w:bookmarkEnd w:id="158"/>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ind w:firstLine="720" w:firstLineChars="300"/>
        <w:rPr>
          <w:rFonts w:hint="eastAsia" w:ascii="宋体" w:hAnsi="宋体" w:cs="宋体"/>
          <w:color w:val="000000"/>
          <w:sz w:val="2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hint="eastAsia" w:ascii="宋体" w:hAnsi="宋体" w:eastAsia="宋体" w:cs="宋体"/>
          <w:b/>
          <w:color w:val="000000"/>
          <w:sz w:val="28"/>
          <w:szCs w:val="21"/>
        </w:rPr>
      </w:pPr>
      <w:bookmarkStart w:id="166" w:name="_Toc27509"/>
      <w:r>
        <w:rPr>
          <w:rFonts w:hint="eastAsia" w:ascii="宋体"/>
          <w:color w:val="000000" w:themeColor="text1"/>
          <w:sz w:val="28"/>
          <w14:textFill>
            <w14:solidFill>
              <w14:schemeClr w14:val="tx1"/>
            </w14:solidFill>
          </w14:textFill>
        </w:rPr>
        <w:t xml:space="preserve">           </w:t>
      </w:r>
      <w:r>
        <w:rPr>
          <w:rFonts w:hint="eastAsia" w:ascii="宋体" w:hAnsi="宋体" w:eastAsia="宋体" w:cs="宋体"/>
          <w:b/>
          <w:color w:val="000000"/>
          <w:sz w:val="28"/>
        </w:rPr>
        <w:t>[  ]技术服务合同</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1"/>
          <w:u w:val="single"/>
        </w:rPr>
      </w:pPr>
      <w:r>
        <w:rPr>
          <w:rFonts w:hint="eastAsia" w:ascii="宋体" w:hAnsi="宋体" w:eastAsia="宋体" w:cs="宋体"/>
          <w:color w:val="000000"/>
          <w:sz w:val="28"/>
        </w:rPr>
        <w:t xml:space="preserve">项目名称: [  ]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1"/>
          <w:u w:val="single"/>
        </w:rPr>
      </w:pPr>
      <w:r>
        <w:rPr>
          <w:rFonts w:hint="eastAsia" w:ascii="宋体" w:hAnsi="宋体" w:eastAsia="宋体" w:cs="宋体"/>
          <w:color w:val="000000"/>
          <w:sz w:val="28"/>
        </w:rPr>
        <w:t xml:space="preserve">委托方(甲方): [  ]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u w:val="single"/>
        </w:rPr>
      </w:pPr>
      <w:r>
        <w:rPr>
          <w:rFonts w:hint="eastAsia" w:ascii="宋体" w:hAnsi="宋体" w:eastAsia="宋体" w:cs="宋体"/>
          <w:color w:val="000000"/>
          <w:sz w:val="28"/>
        </w:rPr>
        <w:t>受托方(乙方): [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u w:val="singl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textAlignment w:val="auto"/>
        <w:outlineLvl w:val="9"/>
        <w:rPr>
          <w:rFonts w:hint="eastAsia" w:ascii="宋体" w:hAnsi="宋体" w:eastAsia="宋体" w:cs="宋体"/>
          <w:color w:val="000000"/>
          <w:sz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center"/>
        <w:textAlignment w:val="auto"/>
        <w:outlineLvl w:val="9"/>
        <w:rPr>
          <w:rFonts w:hint="eastAsia" w:ascii="宋体" w:hAnsi="宋体" w:eastAsia="宋体" w:cs="宋体"/>
          <w:color w:val="000000"/>
          <w:sz w:val="28"/>
          <w:szCs w:val="21"/>
        </w:rPr>
      </w:pPr>
      <w:r>
        <w:rPr>
          <w:rFonts w:hint="eastAsia" w:ascii="宋体" w:hAnsi="宋体" w:eastAsia="宋体" w:cs="宋体"/>
          <w:color w:val="000000"/>
          <w:sz w:val="28"/>
        </w:rPr>
        <w:t>中华人民共和国科学技术部印制</w:t>
      </w:r>
      <w:r>
        <w:rPr>
          <w:rFonts w:hint="eastAsia" w:ascii="宋体" w:hAnsi="宋体" w:eastAsia="宋体" w:cs="宋体"/>
          <w:color w:val="000000"/>
          <w:sz w:val="28"/>
          <w:szCs w:val="28"/>
        </w:rPr>
        <w:br w:type="page"/>
      </w:r>
    </w:p>
    <w:p>
      <w:pPr>
        <w:jc w:val="center"/>
        <w:rPr>
          <w:rFonts w:hint="eastAsia" w:ascii="宋体" w:hAnsi="宋体" w:eastAsia="宋体" w:cs="宋体"/>
          <w:color w:val="000000"/>
          <w:sz w:val="28"/>
        </w:rPr>
      </w:pPr>
      <w:r>
        <w:rPr>
          <w:rFonts w:hint="eastAsia" w:ascii="宋体" w:hAnsi="宋体" w:eastAsia="宋体" w:cs="宋体"/>
          <w:color w:val="000000"/>
          <w:sz w:val="28"/>
        </w:rPr>
        <w:t>填写说明</w:t>
      </w:r>
    </w:p>
    <w:p>
      <w:pPr>
        <w:pStyle w:val="2"/>
        <w:rPr>
          <w:rFonts w:hint="eastAsia"/>
        </w:rPr>
      </w:pP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szCs w:val="21"/>
        </w:rPr>
      </w:pPr>
      <w:r>
        <w:rPr>
          <w:rFonts w:hint="eastAsia" w:ascii="宋体" w:hAnsi="宋体" w:eastAsia="宋体" w:cs="宋体"/>
          <w:color w:val="000000"/>
          <w:sz w:val="28"/>
        </w:rPr>
        <w:t>一、本合同为中华人民共和国科学技术部印制的技术服务合同示范文本，各技术合同登记机构可推介技术合同当事人参照使用。</w:t>
      </w: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szCs w:val="21"/>
        </w:rPr>
      </w:pPr>
      <w:r>
        <w:rPr>
          <w:rFonts w:hint="eastAsia" w:ascii="宋体" w:hAnsi="宋体" w:eastAsia="宋体" w:cs="宋体"/>
          <w:color w:val="000000"/>
          <w:sz w:val="28"/>
        </w:rPr>
        <w:t>二、本合同适用于一方当事人（受托方）以技术知识为另一方（委托方）解决特定技术问题所订立的合同。</w:t>
      </w: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szCs w:val="21"/>
        </w:rPr>
      </w:pPr>
      <w:r>
        <w:rPr>
          <w:rFonts w:hint="eastAsia" w:ascii="宋体" w:hAnsi="宋体" w:eastAsia="宋体" w:cs="宋体"/>
          <w:color w:val="000000"/>
          <w:sz w:val="28"/>
        </w:rPr>
        <w:t>三、签约一方为多个当事人的，可按各自在合同关系中的作用等，在“委托方”、“受托方”项下（增页）分别排列为共同委托人或共同受托人。</w:t>
      </w: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rPr>
      </w:pPr>
      <w:r>
        <w:rPr>
          <w:rFonts w:hint="eastAsia" w:ascii="宋体" w:hAnsi="宋体" w:eastAsia="宋体" w:cs="宋体"/>
          <w:color w:val="000000"/>
          <w:sz w:val="28"/>
        </w:rPr>
        <w:t>四、本合同未尽事项，可由当事人附页另行约定补充协议，并作为本合同的组成部分。</w:t>
      </w: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rPr>
      </w:pPr>
      <w:r>
        <w:rPr>
          <w:rFonts w:hint="eastAsia" w:ascii="宋体" w:hAnsi="宋体" w:eastAsia="宋体" w:cs="宋体"/>
          <w:color w:val="000000"/>
          <w:sz w:val="28"/>
        </w:rPr>
        <w:t>五、当事人使用本合同时约定无需填写的条款，应当在该条款处注明“无”等字样。</w:t>
      </w:r>
    </w:p>
    <w:p>
      <w:pPr>
        <w:keepNext w:val="0"/>
        <w:keepLines w:val="0"/>
        <w:pageBreakBefore w:val="0"/>
        <w:widowControl w:val="0"/>
        <w:kinsoku/>
        <w:wordWrap/>
        <w:overflowPunct/>
        <w:topLinePunct w:val="0"/>
        <w:bidi w:val="0"/>
        <w:snapToGrid/>
        <w:spacing w:line="360" w:lineRule="auto"/>
        <w:ind w:right="0" w:rightChars="0" w:firstLine="560" w:firstLineChars="200"/>
        <w:jc w:val="left"/>
        <w:textAlignment w:val="auto"/>
        <w:outlineLvl w:val="9"/>
        <w:rPr>
          <w:rFonts w:hint="eastAsia" w:ascii="宋体" w:hAnsi="宋体" w:eastAsia="宋体" w:cs="宋体"/>
          <w:color w:val="000000"/>
          <w:sz w:val="28"/>
        </w:rPr>
      </w:pPr>
      <w:r>
        <w:rPr>
          <w:rFonts w:hint="eastAsia" w:ascii="宋体" w:hAnsi="宋体" w:eastAsia="宋体" w:cs="宋体"/>
          <w:color w:val="000000"/>
          <w:sz w:val="28"/>
        </w:rPr>
        <w:t>六、如有必要，可另行签订保密协议。</w:t>
      </w:r>
    </w:p>
    <w:p>
      <w:pPr>
        <w:pStyle w:val="38"/>
        <w:spacing w:line="360" w:lineRule="exact"/>
        <w:ind w:firstLine="0"/>
        <w:rPr>
          <w:rFonts w:hint="eastAsia" w:ascii="宋体" w:hAnsi="宋体" w:eastAsia="宋体" w:cs="宋体"/>
          <w:color w:val="000000"/>
          <w:sz w:val="28"/>
          <w:szCs w:val="28"/>
        </w:rPr>
      </w:pPr>
    </w:p>
    <w:p>
      <w:pPr>
        <w:pStyle w:val="38"/>
        <w:spacing w:line="360" w:lineRule="exact"/>
        <w:ind w:firstLine="0"/>
        <w:rPr>
          <w:rFonts w:hint="eastAsia" w:ascii="宋体" w:hAnsi="宋体" w:eastAsia="宋体" w:cs="宋体"/>
          <w:color w:val="000000"/>
          <w:sz w:val="28"/>
          <w:szCs w:val="28"/>
        </w:rPr>
      </w:pPr>
    </w:p>
    <w:p>
      <w:pPr>
        <w:pStyle w:val="38"/>
        <w:spacing w:line="360" w:lineRule="exact"/>
        <w:ind w:firstLine="0"/>
        <w:rPr>
          <w:rFonts w:hint="eastAsia" w:ascii="宋体" w:hAnsi="宋体" w:eastAsia="宋体" w:cs="宋体"/>
          <w:color w:val="000000"/>
          <w:sz w:val="28"/>
          <w:szCs w:val="28"/>
        </w:rPr>
      </w:pPr>
    </w:p>
    <w:p>
      <w:pPr>
        <w:pStyle w:val="38"/>
        <w:spacing w:line="360" w:lineRule="exact"/>
        <w:ind w:firstLine="0"/>
        <w:rPr>
          <w:rFonts w:hint="eastAsia" w:ascii="宋体" w:hAnsi="宋体" w:eastAsia="宋体" w:cs="宋体"/>
          <w:color w:val="000000"/>
          <w:sz w:val="28"/>
        </w:rPr>
      </w:pPr>
      <w:r>
        <w:rPr>
          <w:rFonts w:hint="eastAsia" w:ascii="宋体" w:hAnsi="宋体" w:eastAsia="宋体" w:cs="宋体"/>
          <w:color w:val="000000"/>
          <w:sz w:val="28"/>
        </w:rPr>
        <w:br w:type="page"/>
      </w:r>
    </w:p>
    <w:p>
      <w:pPr>
        <w:widowControl/>
        <w:spacing w:line="360" w:lineRule="exact"/>
        <w:jc w:val="center"/>
        <w:rPr>
          <w:rFonts w:hint="eastAsia" w:ascii="宋体" w:hAnsi="宋体" w:eastAsia="宋体" w:cs="宋体"/>
          <w:b/>
          <w:color w:val="000000"/>
          <w:sz w:val="28"/>
          <w:szCs w:val="21"/>
        </w:rPr>
      </w:pPr>
      <w:r>
        <w:rPr>
          <w:rFonts w:hint="eastAsia" w:ascii="宋体" w:hAnsi="宋体" w:eastAsia="宋体" w:cs="宋体"/>
          <w:b/>
          <w:color w:val="000000"/>
          <w:sz w:val="28"/>
        </w:rPr>
        <w:t>[  ]技术服务合同</w:t>
      </w:r>
    </w:p>
    <w:p>
      <w:pPr>
        <w:pStyle w:val="38"/>
        <w:spacing w:line="360" w:lineRule="exact"/>
        <w:ind w:firstLine="0"/>
        <w:jc w:val="left"/>
        <w:rPr>
          <w:rFonts w:hint="eastAsia" w:ascii="宋体" w:hAnsi="宋体" w:eastAsia="宋体" w:cs="宋体"/>
          <w:color w:val="000000"/>
        </w:rPr>
      </w:pP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委托方（甲方）：[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地址：[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法定代表人/负责人：[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项目联系人：[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通讯地址：[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电    话：[  ]                    传    真：[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电子邮箱：[  ]                                          </w:t>
      </w:r>
    </w:p>
    <w:p>
      <w:pPr>
        <w:pStyle w:val="38"/>
        <w:spacing w:line="360" w:lineRule="exact"/>
        <w:ind w:firstLineChars="200"/>
        <w:jc w:val="left"/>
        <w:rPr>
          <w:rFonts w:hint="eastAsia" w:ascii="宋体" w:hAnsi="宋体" w:eastAsia="宋体" w:cs="宋体"/>
          <w:color w:val="000000"/>
        </w:rPr>
      </w:pP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受托方（乙方）：[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地址：[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法定代表人/负责人：[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项目联系人：[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通讯地址：[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电    话：[  ]                    传    真：[  ]            </w:t>
      </w:r>
    </w:p>
    <w:p>
      <w:pPr>
        <w:pStyle w:val="38"/>
        <w:spacing w:line="360" w:lineRule="exact"/>
        <w:ind w:firstLine="0"/>
        <w:jc w:val="left"/>
        <w:rPr>
          <w:rFonts w:hint="eastAsia" w:ascii="宋体" w:hAnsi="宋体" w:eastAsia="宋体" w:cs="宋体"/>
          <w:color w:val="000000"/>
        </w:rPr>
      </w:pPr>
      <w:r>
        <w:rPr>
          <w:rFonts w:hint="eastAsia" w:ascii="宋体" w:hAnsi="宋体" w:eastAsia="宋体" w:cs="宋体"/>
          <w:color w:val="000000"/>
        </w:rPr>
        <w:t xml:space="preserve">电子邮箱：[  ]                                            </w:t>
      </w:r>
    </w:p>
    <w:p>
      <w:pPr>
        <w:pStyle w:val="38"/>
        <w:spacing w:line="360" w:lineRule="exact"/>
        <w:ind w:firstLineChars="200"/>
        <w:jc w:val="left"/>
        <w:rPr>
          <w:rFonts w:hint="eastAsia" w:ascii="宋体" w:hAnsi="宋体" w:eastAsia="宋体" w:cs="宋体"/>
          <w:color w:val="000000"/>
        </w:rPr>
      </w:pP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本合同甲方委托乙方就[  ]项目（“项目”）进行专项技术服务，并支付相应的技术服务报酬。双方经过平等协商，在真实、充分地表达各自意愿的基础上，根据《中华人民共和国民法典》以及相关法律法规的规定，达成如下合同，并由双方共同恪守。</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第一条技术服务内容</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1.1技术服务的目标：[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1.2技术服务的内容：[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1.3技术服务的方式：[  ]。</w:t>
      </w:r>
    </w:p>
    <w:p>
      <w:pPr>
        <w:pStyle w:val="38"/>
        <w:spacing w:line="360" w:lineRule="exact"/>
        <w:ind w:firstLine="482" w:firstLineChars="200"/>
        <w:jc w:val="left"/>
        <w:rPr>
          <w:rFonts w:hint="eastAsia" w:ascii="宋体" w:hAnsi="宋体" w:eastAsia="宋体" w:cs="宋体"/>
          <w:b/>
          <w:color w:val="000000"/>
        </w:rPr>
      </w:pPr>
      <w:r>
        <w:rPr>
          <w:rFonts w:hint="eastAsia" w:ascii="宋体" w:hAnsi="宋体" w:eastAsia="宋体" w:cs="宋体"/>
          <w:b/>
          <w:color w:val="000000"/>
        </w:rPr>
        <w:t>第二条技术服务时间和地点</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2.1技术服务地点：[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2.2技术服务期限：[  ]。</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第三条甲方提供的工作条件和协作事项</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3.1提供技术资料：[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3.2提供工作条件：[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3.3其他配合协作事项：[  ]。</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3.4甲方提供上述技术资料、工作条件和配合协作事项的时间及方式：[  ]。</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第四条合同费用</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4.1本合同费用总额（含税价）：大写人民币[  ]，¥[  ]；其中价款为大写人民币[  ]，¥[  ]，增值税款为大写人民币[  ]，¥[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4.2 合同总费用由甲方按照以下第（）方式向乙方支付：</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（1）一次性支付</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验收合格后[  ]个工作日内，甲方向乙方支付本合同费用。</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（2）分期支付</w:t>
      </w:r>
    </w:p>
    <w:p>
      <w:pPr>
        <w:spacing w:line="360" w:lineRule="exact"/>
        <w:ind w:firstLine="480" w:firstLineChars="200"/>
        <w:rPr>
          <w:rFonts w:hint="eastAsia" w:ascii="宋体" w:hAnsi="宋体" w:eastAsia="宋体" w:cs="宋体"/>
          <w:color w:val="000000"/>
          <w:sz w:val="24"/>
          <w:szCs w:val="21"/>
          <w:shd w:val="pct10" w:color="auto" w:fill="FFFFFF"/>
        </w:rPr>
      </w:pPr>
      <w:r>
        <w:rPr>
          <w:rFonts w:hint="eastAsia" w:ascii="宋体" w:hAnsi="宋体" w:eastAsia="宋体" w:cs="宋体"/>
          <w:color w:val="000000"/>
          <w:sz w:val="24"/>
        </w:rPr>
        <w:t>甲方分期向乙方支付本合同费用：[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4.3甲乙双方银行账户信息和纳税人信息</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甲方信息如下：</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开户行：[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银行地址：[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户名：[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账号：[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统一社会信用代码：[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地址：[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 xml:space="preserve">电话：[  ]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乙方信息如下：</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开户行：[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银行地址：[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户名：[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账号：[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统一社会信用代码：[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地址：[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 xml:space="preserve">电话：[  ]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4.3 若甲方存在欠费情况的，不论乙方开具发票和收费通知单的具体时间，乙方每次收到甲方付款按照甲方欠费的先后顺序自动抵充先到期的欠费，直至抵缴完毕。</w:t>
      </w:r>
    </w:p>
    <w:p>
      <w:pPr>
        <w:spacing w:line="360" w:lineRule="exact"/>
        <w:ind w:firstLine="482" w:firstLineChars="200"/>
        <w:rPr>
          <w:rFonts w:hint="eastAsia" w:ascii="宋体" w:hAnsi="宋体" w:eastAsia="宋体" w:cs="宋体"/>
          <w:b/>
          <w:color w:val="000000"/>
          <w:sz w:val="24"/>
          <w:szCs w:val="21"/>
        </w:rPr>
      </w:pPr>
      <w:r>
        <w:rPr>
          <w:rFonts w:hint="eastAsia" w:ascii="宋体" w:hAnsi="宋体" w:eastAsia="宋体" w:cs="宋体"/>
          <w:b/>
          <w:color w:val="000000"/>
          <w:sz w:val="24"/>
        </w:rPr>
        <w:t>第五条保密</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5.1未经对方书面许可，任何一方不得向第三方提供或者披露因本合同的签订和履行而得知的与对方业务有关的资料和信息，法律、法规、规章或监管要求另有规定或本合同另有约定的除外。乙方向其关联公司提供或披露与甲方业务有关的资料和信息的，不受此限。</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5.2 本保密条款在服务期限内及服务终止后二年之内持续有效。</w:t>
      </w:r>
    </w:p>
    <w:p>
      <w:pPr>
        <w:pStyle w:val="38"/>
        <w:tabs>
          <w:tab w:val="left" w:pos="7980"/>
        </w:tabs>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第六条</w:t>
      </w:r>
      <w:r>
        <w:rPr>
          <w:rFonts w:hint="eastAsia" w:ascii="宋体" w:hAnsi="宋体" w:eastAsia="宋体" w:cs="宋体"/>
          <w:color w:val="000000"/>
        </w:rPr>
        <w:t xml:space="preserve"> 本合同的变更应当由双方协商一致，并以书面形式确定。但有下列情形之一的，一方可以向另一方提出变更合同权利与义务的书面请求，另一方应当在收到书面请求后[  ]个工作日内予以答复；逾期未予答复的，视为同意：</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  ]。</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第七条验收</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7.1乙方完成技术服务工作的形式：[  ]。</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7.2技术服务工作成果的验收标准：[  ]。</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7.3技术服务工作成果的验收方法：[  ]。</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7.4验收的时间和地点：[  ]。</w:t>
      </w:r>
    </w:p>
    <w:p>
      <w:pPr>
        <w:pStyle w:val="38"/>
        <w:tabs>
          <w:tab w:val="left" w:pos="7980"/>
        </w:tabs>
        <w:spacing w:line="360" w:lineRule="exact"/>
        <w:ind w:firstLine="482" w:firstLineChars="200"/>
        <w:jc w:val="left"/>
        <w:rPr>
          <w:rFonts w:hint="eastAsia" w:ascii="宋体" w:hAnsi="宋体" w:eastAsia="宋体" w:cs="宋体"/>
          <w:b/>
          <w:color w:val="000000"/>
        </w:rPr>
      </w:pPr>
      <w:r>
        <w:rPr>
          <w:rFonts w:hint="eastAsia" w:ascii="宋体" w:hAnsi="宋体" w:eastAsia="宋体" w:cs="宋体"/>
          <w:b/>
          <w:color w:val="000000"/>
        </w:rPr>
        <w:t>第八条侵权处理</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8.1如本合同以外的第三方指控乙方为甲方提供服务和/或其为甲方提供的服务成果侵犯该方的专利或著作权, 乙方自费就上述指控自行和/或与甲方共同辩护，并支付法院和行政执法机关最终裁定的或经乙方同意的和解中包括的一切费用、损害赔偿金和合理的律师费用，前提条件是甲方:</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（1）就指控立即书面通知乙方。</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（2）容许乙方在辩护及任何有关的和解谈判中具有控制权，并配合乙方工作。</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在满足上述条件的前提下，乙方就侵权指控对甲方承担本条约定的上述义务。</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8.2对因下列任何一项所引起的指控，无论本合同是否有其他约定，乙方均不承担责任：</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（1）甲方提供的被并入服务成果之中的任何东西，或乙方遵照甲方或代表甲方的第三方所提供的任何设计、规格或关于实施方法的指示而提供的任何东西。</w:t>
      </w:r>
    </w:p>
    <w:p>
      <w:pPr>
        <w:pStyle w:val="38"/>
        <w:tabs>
          <w:tab w:val="left" w:pos="7980"/>
        </w:tabs>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（2）甲方修改服务成果。</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（3）甲方将服务成果与非由乙方提供的任何产品、数据、装置或商业方法一起结合、操作或使用，或为甲方以外的第三方的利益发行、操作或使用服务成果。</w:t>
      </w:r>
    </w:p>
    <w:p>
      <w:pPr>
        <w:tabs>
          <w:tab w:val="left" w:pos="7980"/>
        </w:tabs>
        <w:autoSpaceDE w:val="0"/>
        <w:autoSpaceDN w:val="0"/>
        <w:adjustRightInd w:val="0"/>
        <w:spacing w:line="360" w:lineRule="exact"/>
        <w:ind w:firstLine="482" w:firstLineChars="200"/>
        <w:jc w:val="left"/>
        <w:rPr>
          <w:rFonts w:hint="eastAsia" w:ascii="宋体" w:hAnsi="宋体" w:eastAsia="宋体" w:cs="宋体"/>
          <w:b/>
          <w:color w:val="000000"/>
          <w:sz w:val="24"/>
          <w:szCs w:val="21"/>
        </w:rPr>
      </w:pPr>
      <w:r>
        <w:rPr>
          <w:rFonts w:hint="eastAsia" w:ascii="宋体" w:hAnsi="宋体" w:eastAsia="宋体" w:cs="宋体"/>
          <w:b/>
          <w:color w:val="000000"/>
          <w:sz w:val="24"/>
        </w:rPr>
        <w:t>第九条个人信息保护和数据安全</w:t>
      </w:r>
    </w:p>
    <w:p>
      <w:pPr>
        <w:autoSpaceDE w:val="0"/>
        <w:autoSpaceDN w:val="0"/>
        <w:adjustRightInd w:val="0"/>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为履行本合同，甲方委托乙方处理相关数据和个人信息的，双方同意按照本条约定执行：</w:t>
      </w:r>
    </w:p>
    <w:p>
      <w:pPr>
        <w:autoSpaceDE w:val="0"/>
        <w:autoSpaceDN w:val="0"/>
        <w:adjustRightInd w:val="0"/>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9.1个人信息种类：[  ]；乙方处理数据和个人信息的期限为：[  ];处理方式为：[  ] 以及本合同约定的其他处理方式。</w:t>
      </w:r>
    </w:p>
    <w:p>
      <w:pPr>
        <w:autoSpaceDE w:val="0"/>
        <w:autoSpaceDN w:val="0"/>
        <w:adjustRightInd w:val="0"/>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9.2甲方保证，其委托乙方处理个人信息已经向个人信息主体履行了法定告知义务，并取得了其同意。甲方保证，其委托乙方处理的个人信息和数据来源合法合规，不存在违反法律法规、监管要求的情况。</w:t>
      </w:r>
    </w:p>
    <w:p>
      <w:pPr>
        <w:autoSpaceDE w:val="0"/>
        <w:autoSpaceDN w:val="0"/>
        <w:adjustRightInd w:val="0"/>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9.3 双方均应当严格按照相关法律法规规定，采取措施确保个人信息处理活动符合法律、行政法规的规定，防止未经授权的访问以及个人信息和数据的泄露、篡改、丢失。</w:t>
      </w:r>
    </w:p>
    <w:p>
      <w:pPr>
        <w:autoSpaceDE w:val="0"/>
        <w:autoSpaceDN w:val="0"/>
        <w:adjustRightInd w:val="0"/>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9.4乙方有权对甲方提供的个人信息和数据来源合法合规性情况进行检查。对于乙方检查发现甲方个人信息和数据来源违反法律法规、监管要求，或者就其向乙方提供的个人信息未依法向个人履行法定告知义务、未取得个人同意，乙方有权要求甲方在一定期限内整改。如果甲方未按照乙方要求整改或整改未达到乙方的相关要求，乙方有权解除合同，且不承担赔偿责任；由此给乙方造成损失的，甲方应当全额赔偿。</w:t>
      </w:r>
    </w:p>
    <w:p>
      <w:pPr>
        <w:spacing w:line="360" w:lineRule="exact"/>
        <w:ind w:left="1" w:firstLine="424" w:firstLineChars="177"/>
        <w:outlineLvl w:val="0"/>
        <w:rPr>
          <w:rFonts w:hint="eastAsia" w:ascii="宋体" w:hAnsi="宋体" w:eastAsia="宋体" w:cs="宋体"/>
          <w:color w:val="000000"/>
          <w:sz w:val="24"/>
          <w:szCs w:val="21"/>
        </w:rPr>
      </w:pPr>
      <w:r>
        <w:rPr>
          <w:rFonts w:hint="eastAsia" w:ascii="宋体" w:hAnsi="宋体" w:eastAsia="宋体" w:cs="宋体"/>
          <w:color w:val="000000"/>
          <w:sz w:val="24"/>
        </w:rPr>
        <w:t>9.5甲方违反本合同及其附件个人信息保护和数据安全相关条款和相关法律法规、监管要求的，甲方应当承担一切民事、行政和刑事责任，如因此给个人信息主体、乙方或其他人造成任何损失的，甲方应当承担全部责任</w:t>
      </w:r>
    </w:p>
    <w:p>
      <w:pPr>
        <w:pStyle w:val="38"/>
        <w:spacing w:line="360" w:lineRule="exact"/>
        <w:ind w:firstLine="482" w:firstLineChars="200"/>
        <w:jc w:val="left"/>
        <w:rPr>
          <w:rFonts w:hint="eastAsia" w:ascii="宋体" w:hAnsi="宋体" w:eastAsia="宋体" w:cs="宋体"/>
          <w:color w:val="000000"/>
          <w:kern w:val="2"/>
          <w:szCs w:val="24"/>
        </w:rPr>
      </w:pPr>
      <w:r>
        <w:rPr>
          <w:rFonts w:hint="eastAsia" w:ascii="宋体" w:hAnsi="宋体" w:eastAsia="宋体" w:cs="宋体"/>
          <w:b/>
          <w:szCs w:val="24"/>
        </w:rPr>
        <w:t>第十条 违约</w:t>
      </w:r>
      <w:r>
        <w:rPr>
          <w:rFonts w:hint="eastAsia" w:ascii="宋体" w:hAnsi="宋体" w:eastAsia="宋体" w:cs="宋体"/>
          <w:b/>
          <w:color w:val="000000"/>
          <w:kern w:val="2"/>
          <w:szCs w:val="24"/>
        </w:rPr>
        <w:t>责任</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10.1双方确定，任何一方未履行或未完全履行本合同项下的义务，均构成违约。违约方应当赔偿因违约给对方造成的一切损失。</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10.2甲方未能按照本合同约定支付相关费用的，每逾期[  ]日，甲方应当按照合同总费用[  ]%向乙方支付违约金。甲方逾期付费累计达[  ]日的，乙方有权终止本合同并不承担任何责任，并要求甲方承担乙方因追讨欠费支出的各项费用（包括但不限于律师费、诉讼费、保全费、财产保全担保费等）。</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10.3乙方未能按本合同约定按期提供技术服务的，每逾期[  ]日，乙方应当按照合同总费用的[  ]%向甲方支付违约金。如违约金数额累计达到合同总费用的[  ]%时，甲方有权终止本合同。</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10.4 无论本合同其他条款是否有任何相反的约定，乙方在本合同项下应当承担的责任不超过乙方最近[  ]个月已经收取费用总额的[  ]%；乙方对因本合同项下行为而导致的甲方或第三方可得利益损失、商业信誉损失、数据丢失或损坏以及间接损失或后果性经济损失等其他损失不承担责任。甲方数据属甲方所有，甲方应当负责数据备份，乙方对甲方数据的丢失或损坏不承担责任。</w:t>
      </w:r>
    </w:p>
    <w:p>
      <w:pPr>
        <w:pStyle w:val="38"/>
        <w:tabs>
          <w:tab w:val="left" w:pos="7980"/>
        </w:tabs>
        <w:spacing w:line="360" w:lineRule="exact"/>
        <w:ind w:firstLineChars="200"/>
        <w:rPr>
          <w:rFonts w:hint="eastAsia" w:ascii="宋体" w:hAnsi="宋体" w:eastAsia="宋体" w:cs="宋体"/>
          <w:color w:val="000000"/>
        </w:rPr>
      </w:pPr>
      <w:r>
        <w:rPr>
          <w:rFonts w:hint="eastAsia" w:ascii="宋体" w:hAnsi="宋体" w:eastAsia="宋体" w:cs="宋体"/>
          <w:color w:val="000000"/>
        </w:rPr>
        <w:t>10.5甲方承诺遵守国家相关法律法规，不进行危害网络安全的活动，若乙方发现甲方有危害网络安全的事项等活动，乙方有权停止技术支持，并解除本合同不负违约责任，本合同项下所有款项不予退还。</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10.6本合同履行过程中，如甲方发生以下任一情形的，乙方有权视情节严重程度采取中止或终止履行合同、解除合同等措施并不承担违约责任。如该情形导致第三方向乙方提出法律或行政程序，甲方应当负责解决。如该情形给乙方造成损失的，甲方应当全额赔偿：</w:t>
      </w:r>
    </w:p>
    <w:p>
      <w:pPr>
        <w:spacing w:line="36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（1）被行政机关纳入“严重违法失信”名单；</w:t>
      </w:r>
    </w:p>
    <w:p>
      <w:pPr>
        <w:spacing w:line="36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（2）被人民法院纳入“失信被执行人”名单；</w:t>
      </w:r>
    </w:p>
    <w:p>
      <w:pPr>
        <w:spacing w:line="36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（3）被乙方（含乙方上级单位）纳入违规失信合作商名单；</w:t>
      </w:r>
    </w:p>
    <w:p>
      <w:pPr>
        <w:spacing w:line="36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4）如存在网络和信息安全违法、违规行为的,包括但不限于因网络和信息安全问题承担刑事责任或受到行政处罚，被列入各级公安机关的涉通讯信息诈骗违法犯罪高危自然人或法人名单、电信业务经营不良名单、失信名单等;</w:t>
      </w:r>
    </w:p>
    <w:p>
      <w:pPr>
        <w:spacing w:line="360" w:lineRule="exact"/>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（5）其他相关法律法规规定或有权机关认定的违法失信情形，以及可能导致合同履行风险或侵害乙方合法权益或声誉的违规失信情形。</w:t>
      </w:r>
    </w:p>
    <w:p>
      <w:pPr>
        <w:pStyle w:val="38"/>
        <w:tabs>
          <w:tab w:val="left" w:pos="7980"/>
        </w:tabs>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第十一条</w:t>
      </w:r>
      <w:r>
        <w:rPr>
          <w:rFonts w:hint="eastAsia" w:ascii="宋体" w:hAnsi="宋体" w:eastAsia="宋体" w:cs="宋体"/>
          <w:color w:val="000000"/>
        </w:rPr>
        <w:t xml:space="preserve"> 双方确定，在本合同有效期内，甲方指定[  ]为甲方项目联系人，乙方指定[  ]为乙方项目联系人。</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一方变更项目联系人的，应当及时以书面形式通知另一方。未及时通知并影响本合同履行或造成损失的，应当承担相应的责任。</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第十二条</w:t>
      </w:r>
      <w:r>
        <w:rPr>
          <w:rFonts w:hint="eastAsia" w:ascii="宋体" w:hAnsi="宋体" w:eastAsia="宋体" w:cs="宋体"/>
          <w:color w:val="000000"/>
        </w:rPr>
        <w:t xml:space="preserve"> 双方确定，出现下列情形之一，致使本合同的履行成为不必要或不可能的，可以解除本合同：</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12.1发生不可抗力。</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12.2[  ]。</w:t>
      </w:r>
    </w:p>
    <w:p>
      <w:pPr>
        <w:pStyle w:val="38"/>
        <w:spacing w:line="360" w:lineRule="exact"/>
        <w:ind w:firstLine="482" w:firstLineChars="200"/>
        <w:jc w:val="left"/>
        <w:rPr>
          <w:rFonts w:hint="eastAsia" w:ascii="宋体" w:hAnsi="宋体" w:eastAsia="宋体" w:cs="宋体"/>
          <w:color w:val="000000"/>
        </w:rPr>
      </w:pPr>
      <w:r>
        <w:rPr>
          <w:rFonts w:hint="eastAsia" w:ascii="宋体" w:hAnsi="宋体" w:eastAsia="宋体" w:cs="宋体"/>
          <w:b/>
          <w:color w:val="000000"/>
        </w:rPr>
        <w:t>第十三条法律适用和争议解决</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13.1本合同适用中华人民共和国法律。</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13.2所有因本合同引起的或与本合同有关的任何争议通过双方友好协商解决。如果双方不能通过友好协商解决争议，则任何一方均可向[乙方住所地]有管辖权的人民法院起诉。</w:t>
      </w:r>
    </w:p>
    <w:p>
      <w:pPr>
        <w:pStyle w:val="38"/>
        <w:spacing w:line="360" w:lineRule="exact"/>
        <w:ind w:firstLineChars="200"/>
        <w:jc w:val="left"/>
        <w:rPr>
          <w:rFonts w:hint="eastAsia" w:ascii="宋体" w:hAnsi="宋体" w:eastAsia="宋体" w:cs="宋体"/>
          <w:color w:val="000000"/>
        </w:rPr>
      </w:pPr>
      <w:r>
        <w:rPr>
          <w:rFonts w:hint="eastAsia" w:ascii="宋体" w:hAnsi="宋体" w:eastAsia="宋体" w:cs="宋体"/>
          <w:color w:val="000000"/>
        </w:rPr>
        <w:t>13.3诉讼进行过程中，双方继续履行本合同未涉诉讼的其它部分。</w:t>
      </w:r>
    </w:p>
    <w:p>
      <w:pPr>
        <w:pStyle w:val="38"/>
        <w:spacing w:line="360" w:lineRule="exact"/>
        <w:ind w:firstLine="482" w:firstLineChars="200"/>
        <w:jc w:val="left"/>
        <w:rPr>
          <w:rFonts w:hint="eastAsia" w:ascii="宋体" w:hAnsi="宋体" w:eastAsia="宋体" w:cs="宋体"/>
          <w:b/>
          <w:color w:val="000000"/>
          <w:szCs w:val="24"/>
        </w:rPr>
      </w:pPr>
      <w:r>
        <w:rPr>
          <w:rFonts w:hint="eastAsia" w:ascii="宋体" w:hAnsi="宋体" w:eastAsia="宋体" w:cs="宋体"/>
          <w:b/>
          <w:color w:val="000000"/>
          <w:szCs w:val="24"/>
        </w:rPr>
        <w:t>第十四条不可抗力及免责</w:t>
      </w:r>
    </w:p>
    <w:p>
      <w:pPr>
        <w:pStyle w:val="38"/>
        <w:tabs>
          <w:tab w:val="left" w:pos="7980"/>
        </w:tabs>
        <w:spacing w:line="360" w:lineRule="exact"/>
        <w:ind w:firstLineChars="200"/>
        <w:jc w:val="left"/>
        <w:rPr>
          <w:rFonts w:hint="eastAsia" w:ascii="宋体" w:hAnsi="宋体" w:eastAsia="宋体" w:cs="宋体"/>
          <w:color w:val="000000"/>
          <w:szCs w:val="24"/>
        </w:rPr>
      </w:pPr>
      <w:r>
        <w:rPr>
          <w:rFonts w:hint="eastAsia" w:ascii="宋体" w:hAnsi="宋体" w:eastAsia="宋体" w:cs="宋体"/>
          <w:color w:val="000000"/>
          <w:szCs w:val="24"/>
        </w:rPr>
        <w:t>14.1如由于战争、骚乱、恐怖主义、灾害、国家法律法规或规章变动、网络安全、网络无法覆盖、停电、通信线路被人为破坏、黑客攻击、计算机病毒侵入或发作、突发事件等，导致甲乙双方或一方不能履行或不能完全履行本合同项下有关义务时，受影响方不承担违约责任，但应当尽快书面通知对方。在影响消除后的合理时间内，一方或双方应当继续履行合同。如因此导致合同不能或者没有必要继续履行的，本合同可由一方解除。</w:t>
      </w:r>
    </w:p>
    <w:p>
      <w:pPr>
        <w:pStyle w:val="38"/>
        <w:tabs>
          <w:tab w:val="left" w:pos="7980"/>
        </w:tabs>
        <w:spacing w:line="360" w:lineRule="exact"/>
        <w:ind w:firstLineChars="200"/>
        <w:jc w:val="left"/>
        <w:rPr>
          <w:rFonts w:hint="eastAsia" w:ascii="宋体" w:hAnsi="宋体" w:eastAsia="宋体" w:cs="宋体"/>
          <w:color w:val="000000"/>
          <w:szCs w:val="24"/>
        </w:rPr>
      </w:pPr>
      <w:r>
        <w:rPr>
          <w:rFonts w:hint="eastAsia" w:ascii="宋体" w:hAnsi="宋体" w:eastAsia="宋体" w:cs="宋体"/>
          <w:color w:val="000000"/>
          <w:szCs w:val="24"/>
        </w:rPr>
        <w:t>14.2如乙方根据政府管理部门要求暂停或终止提供相应服务，乙方不承担任何责任。</w:t>
      </w:r>
    </w:p>
    <w:p>
      <w:pPr>
        <w:tabs>
          <w:tab w:val="left" w:pos="7980"/>
        </w:tabs>
        <w:spacing w:line="360" w:lineRule="exact"/>
        <w:ind w:firstLine="482" w:firstLineChars="200"/>
        <w:jc w:val="left"/>
        <w:rPr>
          <w:rFonts w:hint="eastAsia" w:ascii="宋体" w:hAnsi="宋体" w:eastAsia="宋体" w:cs="宋体"/>
          <w:b/>
          <w:color w:val="000000"/>
          <w:kern w:val="0"/>
          <w:sz w:val="24"/>
          <w:szCs w:val="21"/>
        </w:rPr>
      </w:pPr>
      <w:r>
        <w:rPr>
          <w:rFonts w:hint="eastAsia" w:ascii="宋体" w:hAnsi="宋体" w:eastAsia="宋体" w:cs="宋体"/>
          <w:b/>
          <w:color w:val="000000"/>
          <w:kern w:val="0"/>
          <w:sz w:val="24"/>
        </w:rPr>
        <w:t>第十五条合同生效和其他</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15.1本合同纸质文本一式四份，甲乙双方各执二份，自双方签字盖章之日起生效；若使用电子印章的，自双方盖章之日起生效。</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若乙方加盖电子印章的，以加盖乙方电子印章的本合同电子文档所载内容为准。</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15.2如果本合同的任何条款在任何时候变成不合法、无效或不可强制执行而不从根本上影响本合同的效力时，本合同的其他条款不受影响。</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15.3本合同各条标题仅为提示之用，应当以条文内容确定各方的权利义务。</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15.4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15.5本合同的任何内容不应当被视为或解释为双方之间具有合资、合伙关系。</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15.6本合同替代此前双方所有关于本合同事项的口头或书面的纪要、备忘录、合同和协议等法律文件。</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15.7甲乙双方因履行本合同或与本合同有关的一切通知都应当按照本合同中的地址，以书面信函或者传真或者电子邮件方式进行。其中：</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15.7.1除本合同另有约定外，有关下述任一事项的通知，均应当采用书面信函形式作出，否则，该通知无效，不产生本合同项下的任何通知效力：</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（1）与本合同费用及支付事宜有关的通知；</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（2）与本合同违约事宜有关的通知；</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（3）与本合同终止、解除或变更事宜有关的通知；</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（4）与本合同延续/续展有关的通知；</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（5）[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14.7.2本合同约定的各种通知方式的送达标准如下：</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（1）如采用书面信函形式，应当使用挂号信或者具有良好信誉的特快专递送达，接受方签收挂号信或特快专递的时间（以邮局或快递公司系统记录为准）为通知送达时间；</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（2）如采用传真方式，传真到达接受方指定传真系统的时间为通知送达时间；</w:t>
      </w:r>
    </w:p>
    <w:p>
      <w:pPr>
        <w:spacing w:line="3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（3）如采用电子邮件方式，电子邮件到达接受方指定电子邮箱的时间为通知送达时间。</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如果因接受方原因（包括但不限于接受方拒收书面信函、接受方传真机关闭或故障、接受方电子邮箱地址不存在或者邮箱已满或者设置拒收等）导致通知发送失败，视为通知已经送达（发送方侧载明的书面信函寄出时间或者传真发送时间或者电子邮件发送时间视为通知送达时间）。</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15.7.3本合同双方通知地址及方式如下：</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甲方：[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地址：[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联系人：[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电话：[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传真：[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邮编：[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电子邮箱：</w:t>
      </w:r>
      <w:r>
        <w:rPr>
          <w:rFonts w:hint="eastAsia" w:ascii="宋体" w:hAnsi="宋体" w:eastAsia="宋体" w:cs="宋体"/>
          <w:color w:val="000000"/>
          <w:kern w:val="0"/>
          <w:sz w:val="24"/>
        </w:rPr>
        <w:t>[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乙方： [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地址：[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联系人：[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电话：[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传真：[  ]    </w:t>
      </w:r>
    </w:p>
    <w:p>
      <w:pPr>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 xml:space="preserve">邮编：[  ]     </w:t>
      </w:r>
    </w:p>
    <w:p>
      <w:pPr>
        <w:spacing w:line="360" w:lineRule="exact"/>
        <w:ind w:firstLine="480" w:firstLineChars="200"/>
        <w:jc w:val="left"/>
        <w:rPr>
          <w:rFonts w:hint="eastAsia" w:ascii="宋体" w:hAnsi="宋体" w:eastAsia="宋体" w:cs="宋体"/>
          <w:color w:val="000000"/>
          <w:kern w:val="0"/>
          <w:sz w:val="24"/>
          <w:szCs w:val="21"/>
        </w:rPr>
      </w:pPr>
      <w:r>
        <w:rPr>
          <w:rFonts w:hint="eastAsia" w:ascii="宋体" w:hAnsi="宋体" w:eastAsia="宋体" w:cs="宋体"/>
          <w:color w:val="000000"/>
          <w:sz w:val="24"/>
        </w:rPr>
        <w:t>电子邮箱：</w:t>
      </w:r>
      <w:r>
        <w:rPr>
          <w:rFonts w:hint="eastAsia" w:ascii="宋体" w:hAnsi="宋体" w:eastAsia="宋体" w:cs="宋体"/>
          <w:color w:val="000000"/>
          <w:kern w:val="0"/>
          <w:sz w:val="24"/>
        </w:rPr>
        <w:t>[  ]</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上述任何信息发生变更的，变更方应当及时以书面形式通知另一方，未及时通知并影响本合同履行或造成损失的，应当承担相应的责任。</w:t>
      </w:r>
    </w:p>
    <w:p>
      <w:pPr>
        <w:tabs>
          <w:tab w:val="left" w:pos="7980"/>
        </w:tabs>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15.8附件为本合同不可分割的部分。若附件与合同正文有任何冲突，以合同正文为准。</w:t>
      </w:r>
    </w:p>
    <w:p>
      <w:pPr>
        <w:tabs>
          <w:tab w:val="left" w:pos="7980"/>
        </w:tabs>
        <w:spacing w:line="360" w:lineRule="exact"/>
        <w:ind w:firstLine="480" w:firstLineChars="200"/>
        <w:jc w:val="left"/>
        <w:rPr>
          <w:rFonts w:hint="eastAsia" w:ascii="宋体" w:hAnsi="宋体" w:eastAsia="宋体" w:cs="宋体"/>
          <w:color w:val="000000"/>
          <w:sz w:val="24"/>
          <w:szCs w:val="21"/>
        </w:rPr>
      </w:pPr>
      <w:r>
        <w:rPr>
          <w:rFonts w:hint="eastAsia" w:ascii="宋体" w:hAnsi="宋体" w:eastAsia="宋体" w:cs="宋体"/>
          <w:color w:val="000000"/>
          <w:sz w:val="24"/>
        </w:rPr>
        <w:t>本合同附件为：</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附件：网络及信息安全承诺书</w:t>
      </w:r>
    </w:p>
    <w:p>
      <w:pPr>
        <w:jc w:val="center"/>
        <w:rPr>
          <w:rFonts w:hint="eastAsia" w:ascii="宋体" w:hAnsi="宋体" w:eastAsia="宋体" w:cs="宋体"/>
          <w:b/>
          <w:color w:val="000000"/>
          <w:sz w:val="24"/>
        </w:rPr>
      </w:pPr>
    </w:p>
    <w:p>
      <w:pPr>
        <w:jc w:val="center"/>
        <w:rPr>
          <w:rFonts w:hint="eastAsia" w:ascii="宋体" w:hAnsi="宋体" w:eastAsia="宋体" w:cs="宋体"/>
          <w:b/>
          <w:color w:val="000000"/>
          <w:sz w:val="24"/>
          <w:szCs w:val="21"/>
        </w:rPr>
      </w:pPr>
      <w:r>
        <w:rPr>
          <w:rFonts w:hint="eastAsia" w:ascii="宋体" w:hAnsi="宋体" w:eastAsia="宋体" w:cs="宋体"/>
          <w:b/>
          <w:color w:val="000000"/>
          <w:sz w:val="24"/>
        </w:rPr>
        <w:t>补充附页</w:t>
      </w:r>
    </w:p>
    <w:p>
      <w:pPr>
        <w:spacing w:line="360" w:lineRule="exact"/>
        <w:ind w:firstLine="480" w:firstLineChars="200"/>
        <w:rPr>
          <w:rFonts w:hint="eastAsia" w:ascii="宋体" w:hAnsi="宋体" w:eastAsia="宋体" w:cs="宋体"/>
          <w:color w:val="000000"/>
          <w:sz w:val="24"/>
          <w:szCs w:val="21"/>
        </w:rPr>
      </w:pPr>
      <w:r>
        <w:rPr>
          <w:rFonts w:hint="eastAsia" w:ascii="宋体" w:hAnsi="宋体" w:eastAsia="宋体" w:cs="宋体"/>
          <w:color w:val="000000"/>
          <w:sz w:val="24"/>
        </w:rPr>
        <w:t>经友好协商，对本合同条款补充、修改如下，本补充附页为合同正文的一部分，与合同正文冲突时，以本补充附页为准：</w:t>
      </w:r>
      <w:r>
        <w:rPr>
          <w:rFonts w:hint="eastAsia" w:ascii="宋体" w:hAnsi="宋体" w:eastAsia="宋体" w:cs="宋体"/>
          <w:color w:val="000000"/>
          <w:kern w:val="0"/>
          <w:sz w:val="24"/>
        </w:rPr>
        <w:t>[无]</w:t>
      </w:r>
    </w:p>
    <w:p>
      <w:pPr>
        <w:pStyle w:val="38"/>
        <w:tabs>
          <w:tab w:val="left" w:pos="7980"/>
        </w:tabs>
        <w:spacing w:line="360" w:lineRule="exact"/>
        <w:ind w:firstLineChars="200"/>
        <w:jc w:val="left"/>
        <w:rPr>
          <w:rFonts w:hint="eastAsia" w:ascii="宋体" w:hAnsi="宋体" w:eastAsia="宋体" w:cs="宋体"/>
          <w:color w:val="000000"/>
          <w:szCs w:val="24"/>
        </w:rPr>
      </w:pPr>
    </w:p>
    <w:p>
      <w:pPr>
        <w:pStyle w:val="38"/>
        <w:tabs>
          <w:tab w:val="left" w:pos="7980"/>
        </w:tabs>
        <w:spacing w:line="360" w:lineRule="exact"/>
        <w:ind w:firstLineChars="200"/>
        <w:jc w:val="left"/>
        <w:rPr>
          <w:rFonts w:hint="eastAsia" w:ascii="宋体" w:hAnsi="宋体" w:eastAsia="宋体" w:cs="宋体"/>
          <w:color w:val="000000"/>
          <w:szCs w:val="24"/>
        </w:rPr>
      </w:pPr>
    </w:p>
    <w:p>
      <w:pPr>
        <w:spacing w:line="360" w:lineRule="exact"/>
        <w:jc w:val="center"/>
        <w:rPr>
          <w:rFonts w:hint="eastAsia" w:ascii="宋体" w:hAnsi="宋体" w:eastAsia="宋体" w:cs="宋体"/>
          <w:color w:val="000000"/>
          <w:szCs w:val="21"/>
        </w:rPr>
      </w:pPr>
      <w:r>
        <w:rPr>
          <w:rFonts w:hint="eastAsia" w:ascii="宋体" w:hAnsi="宋体" w:eastAsia="宋体" w:cs="宋体"/>
          <w:color w:val="000000"/>
          <w:sz w:val="24"/>
        </w:rPr>
        <w:t>（本页无正文）</w:t>
      </w:r>
    </w:p>
    <w:p>
      <w:pPr>
        <w:spacing w:line="360" w:lineRule="exact"/>
        <w:rPr>
          <w:rFonts w:hint="eastAsia" w:ascii="宋体" w:hAnsi="宋体" w:eastAsia="宋体" w:cs="宋体"/>
          <w:color w:val="000000"/>
          <w:sz w:val="24"/>
        </w:rPr>
      </w:pPr>
    </w:p>
    <w:p>
      <w:pPr>
        <w:spacing w:line="360" w:lineRule="exact"/>
        <w:rPr>
          <w:rFonts w:hint="eastAsia" w:ascii="宋体" w:hAnsi="宋体" w:eastAsia="宋体" w:cs="宋体"/>
          <w:b/>
          <w:color w:val="000000"/>
          <w:sz w:val="24"/>
          <w:szCs w:val="21"/>
        </w:rPr>
      </w:pPr>
      <w:r>
        <w:rPr>
          <w:rFonts w:hint="eastAsia" w:ascii="宋体" w:hAnsi="宋体" w:eastAsia="宋体" w:cs="宋体"/>
          <w:color w:val="000000"/>
          <w:sz w:val="24"/>
        </w:rPr>
        <w:t>甲方：</w:t>
      </w:r>
      <w:r>
        <w:rPr>
          <w:rFonts w:hint="eastAsia" w:ascii="宋体" w:hAnsi="宋体" w:eastAsia="宋体" w:cs="宋体"/>
          <w:color w:val="000000"/>
          <w:kern w:val="0"/>
          <w:sz w:val="24"/>
        </w:rPr>
        <w:t>[  ]</w:t>
      </w:r>
    </w:p>
    <w:p>
      <w:pPr>
        <w:spacing w:line="360" w:lineRule="exact"/>
        <w:rPr>
          <w:rFonts w:hint="eastAsia" w:ascii="宋体" w:hAnsi="宋体" w:eastAsia="宋体" w:cs="宋体"/>
          <w:color w:val="000000"/>
          <w:sz w:val="24"/>
          <w:szCs w:val="21"/>
        </w:rPr>
      </w:pPr>
      <w:r>
        <w:rPr>
          <w:rFonts w:hint="eastAsia" w:ascii="宋体" w:hAnsi="宋体" w:eastAsia="宋体" w:cs="宋体"/>
          <w:color w:val="000000"/>
          <w:sz w:val="24"/>
        </w:rPr>
        <w:t>法定代表人/负责人</w:t>
      </w:r>
    </w:p>
    <w:p>
      <w:pPr>
        <w:spacing w:line="360" w:lineRule="exact"/>
        <w:rPr>
          <w:rFonts w:hint="eastAsia" w:ascii="宋体" w:hAnsi="宋体" w:eastAsia="宋体" w:cs="宋体"/>
          <w:color w:val="000000"/>
          <w:sz w:val="24"/>
          <w:szCs w:val="21"/>
        </w:rPr>
      </w:pPr>
      <w:r>
        <w:rPr>
          <w:rFonts w:hint="eastAsia" w:ascii="宋体" w:hAnsi="宋体" w:eastAsia="宋体" w:cs="宋体"/>
          <w:color w:val="000000"/>
          <w:sz w:val="24"/>
        </w:rPr>
        <w:t>或授权代表：</w:t>
      </w:r>
    </w:p>
    <w:p>
      <w:pPr>
        <w:spacing w:line="360" w:lineRule="exact"/>
        <w:rPr>
          <w:rFonts w:hint="eastAsia" w:ascii="宋体" w:hAnsi="宋体" w:eastAsia="宋体" w:cs="宋体"/>
          <w:color w:val="000000"/>
          <w:sz w:val="24"/>
        </w:rPr>
      </w:pPr>
    </w:p>
    <w:p>
      <w:pPr>
        <w:spacing w:line="360" w:lineRule="exact"/>
        <w:rPr>
          <w:rFonts w:hint="eastAsia" w:ascii="宋体" w:hAnsi="宋体" w:eastAsia="宋体" w:cs="宋体"/>
          <w:color w:val="000000"/>
          <w:sz w:val="24"/>
        </w:rPr>
      </w:pPr>
    </w:p>
    <w:p>
      <w:pPr>
        <w:spacing w:line="360" w:lineRule="exact"/>
        <w:jc w:val="left"/>
        <w:rPr>
          <w:rFonts w:hint="eastAsia" w:ascii="宋体" w:hAnsi="宋体" w:eastAsia="宋体" w:cs="宋体"/>
          <w:color w:val="000000"/>
          <w:sz w:val="24"/>
        </w:rPr>
      </w:pPr>
    </w:p>
    <w:p>
      <w:pPr>
        <w:spacing w:line="360" w:lineRule="exact"/>
        <w:jc w:val="left"/>
        <w:rPr>
          <w:rFonts w:hint="eastAsia" w:ascii="宋体" w:hAnsi="宋体" w:eastAsia="宋体" w:cs="宋体"/>
          <w:color w:val="000000"/>
          <w:sz w:val="24"/>
          <w:szCs w:val="21"/>
        </w:rPr>
      </w:pPr>
      <w:r>
        <w:rPr>
          <w:rFonts w:hint="eastAsia" w:ascii="宋体" w:hAnsi="宋体" w:eastAsia="宋体" w:cs="宋体"/>
          <w:color w:val="000000"/>
          <w:sz w:val="24"/>
        </w:rPr>
        <w:t>乙方：</w:t>
      </w:r>
      <w:r>
        <w:rPr>
          <w:rFonts w:hint="eastAsia" w:ascii="宋体" w:hAnsi="宋体" w:eastAsia="宋体" w:cs="宋体"/>
          <w:color w:val="000000"/>
          <w:kern w:val="0"/>
          <w:sz w:val="24"/>
        </w:rPr>
        <w:t>[  ]</w:t>
      </w:r>
    </w:p>
    <w:p>
      <w:pPr>
        <w:spacing w:line="360" w:lineRule="exact"/>
        <w:jc w:val="left"/>
        <w:rPr>
          <w:rFonts w:hint="eastAsia" w:ascii="宋体" w:hAnsi="宋体" w:eastAsia="宋体" w:cs="宋体"/>
          <w:color w:val="000000"/>
          <w:sz w:val="24"/>
          <w:szCs w:val="21"/>
        </w:rPr>
      </w:pPr>
      <w:r>
        <w:rPr>
          <w:rFonts w:hint="eastAsia" w:ascii="宋体" w:hAnsi="宋体" w:eastAsia="宋体" w:cs="宋体"/>
          <w:color w:val="000000"/>
          <w:sz w:val="24"/>
        </w:rPr>
        <w:t>法定代表人/负责人</w:t>
      </w:r>
    </w:p>
    <w:p>
      <w:pPr>
        <w:spacing w:line="360" w:lineRule="exact"/>
        <w:jc w:val="left"/>
        <w:rPr>
          <w:rFonts w:hint="eastAsia" w:ascii="宋体" w:hAnsi="宋体" w:eastAsia="宋体" w:cs="宋体"/>
          <w:color w:val="000000"/>
          <w:sz w:val="24"/>
          <w:szCs w:val="21"/>
        </w:rPr>
      </w:pPr>
      <w:r>
        <w:rPr>
          <w:rFonts w:hint="eastAsia" w:ascii="宋体" w:hAnsi="宋体" w:eastAsia="宋体" w:cs="宋体"/>
          <w:color w:val="000000"/>
          <w:sz w:val="24"/>
        </w:rPr>
        <w:t>或授权代表：</w:t>
      </w:r>
    </w:p>
    <w:p>
      <w:pPr>
        <w:spacing w:line="360" w:lineRule="exact"/>
        <w:jc w:val="left"/>
        <w:rPr>
          <w:rFonts w:hint="eastAsia" w:ascii="宋体" w:hAnsi="宋体" w:eastAsia="宋体" w:cs="宋体"/>
          <w:color w:val="000000"/>
          <w:sz w:val="24"/>
        </w:rPr>
      </w:pPr>
    </w:p>
    <w:p>
      <w:pPr>
        <w:spacing w:line="360" w:lineRule="exact"/>
        <w:rPr>
          <w:rFonts w:hint="eastAsia" w:ascii="宋体" w:hAnsi="宋体" w:eastAsia="宋体" w:cs="宋体"/>
          <w:color w:val="000000"/>
          <w:sz w:val="24"/>
          <w:szCs w:val="21"/>
        </w:rPr>
      </w:pPr>
      <w:r>
        <w:rPr>
          <w:rFonts w:hint="eastAsia" w:ascii="宋体" w:hAnsi="宋体" w:eastAsia="宋体" w:cs="宋体"/>
          <w:color w:val="000000"/>
          <w:kern w:val="0"/>
          <w:sz w:val="24"/>
        </w:rPr>
        <w:t>签署日期：[  ]</w:t>
      </w:r>
      <w:r>
        <w:rPr>
          <w:rFonts w:hint="eastAsia" w:ascii="宋体" w:hAnsi="宋体" w:eastAsia="宋体" w:cs="宋体"/>
          <w:color w:val="000000"/>
          <w:sz w:val="24"/>
        </w:rPr>
        <w:t>年</w:t>
      </w:r>
      <w:r>
        <w:rPr>
          <w:rFonts w:hint="eastAsia" w:ascii="宋体" w:hAnsi="宋体" w:eastAsia="宋体" w:cs="宋体"/>
          <w:color w:val="000000"/>
          <w:kern w:val="0"/>
          <w:sz w:val="24"/>
        </w:rPr>
        <w:t>[  ]</w:t>
      </w:r>
      <w:r>
        <w:rPr>
          <w:rFonts w:hint="eastAsia" w:ascii="宋体" w:hAnsi="宋体" w:eastAsia="宋体" w:cs="宋体"/>
          <w:color w:val="000000"/>
          <w:sz w:val="24"/>
        </w:rPr>
        <w:t>月</w:t>
      </w:r>
      <w:r>
        <w:rPr>
          <w:rFonts w:hint="eastAsia" w:ascii="宋体" w:hAnsi="宋体" w:eastAsia="宋体" w:cs="宋体"/>
          <w:color w:val="000000"/>
          <w:kern w:val="0"/>
          <w:sz w:val="24"/>
        </w:rPr>
        <w:t>[  ]</w:t>
      </w:r>
      <w:r>
        <w:rPr>
          <w:rFonts w:hint="eastAsia" w:ascii="宋体" w:hAnsi="宋体" w:eastAsia="宋体" w:cs="宋体"/>
          <w:color w:val="000000"/>
          <w:sz w:val="24"/>
        </w:rPr>
        <w:t>日</w:t>
      </w:r>
    </w:p>
    <w:p>
      <w:pPr>
        <w:autoSpaceDE w:val="0"/>
        <w:autoSpaceDN w:val="0"/>
        <w:snapToGrid w:val="0"/>
        <w:spacing w:line="480" w:lineRule="auto"/>
        <w:rPr>
          <w:rFonts w:hint="eastAsia" w:ascii="宋体"/>
          <w:color w:val="000000" w:themeColor="text1"/>
          <w:sz w:val="28"/>
          <w14:textFill>
            <w14:solidFill>
              <w14:schemeClr w14:val="tx1"/>
            </w14:solidFill>
          </w14:textFill>
        </w:rPr>
      </w:pPr>
      <w:r>
        <w:rPr>
          <w:rFonts w:hint="eastAsia" w:ascii="宋体"/>
          <w:color w:val="000000" w:themeColor="text1"/>
          <w:sz w:val="28"/>
          <w14:textFill>
            <w14:solidFill>
              <w14:schemeClr w14:val="tx1"/>
            </w14:solidFill>
          </w14:textFill>
        </w:rPr>
        <w:t xml:space="preserve">           </w:t>
      </w: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pStyle w:val="2"/>
        <w:rPr>
          <w:rFonts w:hint="eastAsia" w:ascii="宋体"/>
          <w:color w:val="000000" w:themeColor="text1"/>
          <w:sz w:val="28"/>
          <w14:textFill>
            <w14:solidFill>
              <w14:schemeClr w14:val="tx1"/>
            </w14:solidFill>
          </w14:textFill>
        </w:rPr>
      </w:pPr>
    </w:p>
    <w:p>
      <w:pPr>
        <w:pStyle w:val="2"/>
        <w:rPr>
          <w:rFonts w:hint="eastAsia" w:ascii="宋体"/>
          <w:color w:val="000000" w:themeColor="text1"/>
          <w:sz w:val="28"/>
          <w14:textFill>
            <w14:solidFill>
              <w14:schemeClr w14:val="tx1"/>
            </w14:solidFill>
          </w14:textFill>
        </w:rPr>
      </w:pPr>
    </w:p>
    <w:p>
      <w:pPr>
        <w:pStyle w:val="2"/>
        <w:rPr>
          <w:rFonts w:hint="eastAsia" w:ascii="宋体"/>
          <w:color w:val="000000" w:themeColor="text1"/>
          <w:sz w:val="28"/>
          <w14:textFill>
            <w14:solidFill>
              <w14:schemeClr w14:val="tx1"/>
            </w14:solidFill>
          </w14:textFill>
        </w:rPr>
      </w:pPr>
    </w:p>
    <w:p>
      <w:pPr>
        <w:pStyle w:val="2"/>
        <w:rPr>
          <w:rFonts w:hint="eastAsia" w:ascii="宋体"/>
          <w:color w:val="000000" w:themeColor="text1"/>
          <w:sz w:val="28"/>
          <w14:textFill>
            <w14:solidFill>
              <w14:schemeClr w14:val="tx1"/>
            </w14:solidFill>
          </w14:textFill>
        </w:rPr>
      </w:pPr>
    </w:p>
    <w:p>
      <w:pPr>
        <w:pStyle w:val="2"/>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166"/>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pStyle w:val="18"/>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8"/>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r>
        <w:rPr>
          <w:rFonts w:hint="eastAsia"/>
          <w:b/>
          <w:bCs/>
          <w:spacing w:val="-6"/>
        </w:rPr>
        <w:t>（资格证明文件）</w:t>
      </w:r>
      <w:r>
        <w:rPr>
          <w:b/>
          <w:bCs/>
          <w:spacing w:val="-6"/>
        </w:rPr>
        <w:t>封面（非实质性格式）</w:t>
      </w:r>
    </w:p>
    <w:p>
      <w:pPr>
        <w:pStyle w:val="18"/>
        <w:spacing w:before="352" w:line="196" w:lineRule="auto"/>
        <w:ind w:left="1819"/>
        <w:rPr>
          <w:rFonts w:hint="eastAsia"/>
          <w:b/>
          <w:bCs/>
          <w:spacing w:val="-8"/>
          <w:sz w:val="83"/>
          <w:szCs w:val="83"/>
        </w:rPr>
      </w:pPr>
    </w:p>
    <w:p>
      <w:pPr>
        <w:pStyle w:val="18"/>
        <w:spacing w:before="352" w:line="196" w:lineRule="auto"/>
        <w:ind w:left="1819"/>
        <w:rPr>
          <w:rFonts w:hint="eastAsia"/>
          <w:b/>
          <w:bCs/>
          <w:spacing w:val="-8"/>
          <w:sz w:val="83"/>
          <w:szCs w:val="83"/>
        </w:rPr>
      </w:pPr>
    </w:p>
    <w:p>
      <w:pPr>
        <w:pStyle w:val="18"/>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8"/>
        <w:spacing w:before="134" w:line="205" w:lineRule="auto"/>
        <w:ind w:left="546"/>
        <w:rPr>
          <w:rFonts w:hint="eastAsia"/>
          <w:b/>
          <w:bCs/>
          <w:spacing w:val="-11"/>
        </w:rPr>
      </w:pPr>
    </w:p>
    <w:p>
      <w:pPr>
        <w:pStyle w:val="18"/>
        <w:spacing w:before="134" w:line="205" w:lineRule="auto"/>
        <w:ind w:left="546"/>
        <w:jc w:val="center"/>
        <w:rPr>
          <w:rFonts w:hint="eastAsia"/>
          <w:b/>
          <w:bCs/>
          <w:spacing w:val="-11"/>
        </w:rPr>
      </w:pPr>
      <w:r>
        <w:rPr>
          <w:rFonts w:hint="eastAsia"/>
          <w:b/>
          <w:bCs/>
          <w:spacing w:val="-6"/>
          <w:sz w:val="56"/>
          <w:szCs w:val="56"/>
        </w:rPr>
        <w:t>（资格证明文件）</w:t>
      </w:r>
    </w:p>
    <w:p>
      <w:pPr>
        <w:pStyle w:val="18"/>
        <w:spacing w:before="134" w:line="205" w:lineRule="auto"/>
        <w:ind w:left="546"/>
        <w:rPr>
          <w:rFonts w:hint="eastAsia"/>
          <w:b/>
          <w:bCs/>
          <w:spacing w:val="-11"/>
        </w:rPr>
      </w:pPr>
    </w:p>
    <w:p>
      <w:pPr>
        <w:pStyle w:val="18"/>
        <w:spacing w:before="134" w:line="205" w:lineRule="auto"/>
        <w:ind w:left="546"/>
        <w:rPr>
          <w:rFonts w:hint="eastAsia"/>
          <w:b/>
          <w:bCs/>
          <w:spacing w:val="-11"/>
        </w:rPr>
      </w:pPr>
    </w:p>
    <w:p>
      <w:pPr>
        <w:pStyle w:val="18"/>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8"/>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8"/>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8"/>
        <w:spacing w:before="134" w:line="205" w:lineRule="auto"/>
        <w:ind w:left="1447"/>
        <w:rPr>
          <w:b/>
          <w:bCs/>
          <w:spacing w:val="34"/>
        </w:rPr>
      </w:pPr>
      <w:r>
        <w:rPr>
          <w:rFonts w:hint="eastAsia"/>
          <w:b/>
          <w:bCs/>
          <w:spacing w:val="34"/>
        </w:rPr>
        <w:t>通讯地址：</w:t>
      </w:r>
    </w:p>
    <w:p>
      <w:pPr>
        <w:pStyle w:val="18"/>
        <w:spacing w:before="134" w:line="205" w:lineRule="auto"/>
        <w:ind w:left="1447"/>
        <w:rPr>
          <w:rFonts w:hint="eastAsia"/>
          <w:b/>
          <w:bCs/>
          <w:spacing w:val="34"/>
        </w:rPr>
      </w:pPr>
    </w:p>
    <w:p>
      <w:pPr>
        <w:spacing w:line="205" w:lineRule="auto"/>
        <w:sectPr>
          <w:headerReference r:id="rId10" w:type="default"/>
          <w:footerReference r:id="rId11" w:type="default"/>
          <w:pgSz w:w="11907" w:h="16840"/>
          <w:pgMar w:top="1149" w:right="1133" w:bottom="1060" w:left="1701" w:header="875" w:footer="886" w:gutter="0"/>
          <w:cols w:space="720" w:num="1"/>
        </w:sectPr>
      </w:pPr>
    </w:p>
    <w:p>
      <w:pPr>
        <w:spacing w:line="360" w:lineRule="auto"/>
        <w:outlineLvl w:val="2"/>
        <w:rPr>
          <w:b/>
          <w:bCs/>
          <w:color w:val="000000"/>
          <w:sz w:val="24"/>
          <w:szCs w:val="20"/>
        </w:rPr>
      </w:pPr>
      <w:bookmarkStart w:id="167" w:name="_Hlt520350918"/>
      <w:bookmarkEnd w:id="167"/>
      <w:bookmarkStart w:id="168" w:name="_Hlt520343000"/>
      <w:bookmarkEnd w:id="168"/>
      <w:bookmarkStart w:id="169" w:name="_Hlt520274065"/>
      <w:bookmarkEnd w:id="169"/>
      <w:bookmarkStart w:id="170" w:name="_Hlt520274407"/>
      <w:bookmarkEnd w:id="170"/>
      <w:bookmarkStart w:id="171" w:name="_Hlt520355504"/>
      <w:bookmarkEnd w:id="171"/>
      <w:bookmarkStart w:id="172" w:name="_Hlt520271212"/>
      <w:bookmarkEnd w:id="172"/>
      <w:bookmarkStart w:id="173" w:name="_Hlt520343392"/>
      <w:bookmarkEnd w:id="173"/>
      <w:bookmarkStart w:id="174" w:name="_Hlt520274121"/>
      <w:bookmarkEnd w:id="174"/>
      <w:bookmarkStart w:id="175" w:name="_Hlt520273711"/>
      <w:bookmarkEnd w:id="175"/>
      <w:bookmarkStart w:id="176" w:name="_Hlt520274393"/>
      <w:bookmarkEnd w:id="176"/>
      <w:bookmarkStart w:id="177" w:name="_Ref467988698"/>
      <w:bookmarkStart w:id="178" w:name="_Toc480942349"/>
      <w:bookmarkStart w:id="179" w:name="_Toc226337252"/>
      <w:bookmarkStart w:id="180" w:name="_Toc150774761"/>
      <w:bookmarkStart w:id="181" w:name="_Toc226965829"/>
      <w:bookmarkStart w:id="182" w:name="_Toc195842921"/>
      <w:bookmarkStart w:id="183" w:name="_Toc127151556"/>
      <w:bookmarkStart w:id="184" w:name="_Toc520356217"/>
      <w:bookmarkStart w:id="185" w:name="_Toc150480794"/>
      <w:bookmarkStart w:id="186" w:name="_Toc226965746"/>
      <w:bookmarkStart w:id="187" w:name="_Toc142311058"/>
      <w:bookmarkStart w:id="188" w:name="_Toc226309800"/>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7"/>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9"/>
        </w:numPr>
        <w:spacing w:line="360" w:lineRule="auto"/>
        <w:ind w:left="1134"/>
        <w:rPr>
          <w:sz w:val="24"/>
          <w:szCs w:val="22"/>
        </w:rPr>
      </w:pPr>
      <w:r>
        <w:rPr>
          <w:sz w:val="24"/>
          <w:szCs w:val="22"/>
        </w:rPr>
        <w:t>具有良好的商业信誉和健全的财务会计制度；</w:t>
      </w:r>
    </w:p>
    <w:p>
      <w:pPr>
        <w:numPr>
          <w:ilvl w:val="0"/>
          <w:numId w:val="19"/>
        </w:numPr>
        <w:spacing w:line="360" w:lineRule="auto"/>
        <w:ind w:left="1134"/>
        <w:rPr>
          <w:sz w:val="24"/>
          <w:szCs w:val="22"/>
        </w:rPr>
      </w:pPr>
      <w:r>
        <w:rPr>
          <w:sz w:val="24"/>
          <w:szCs w:val="22"/>
        </w:rPr>
        <w:t>具有履行合同所必需的设备和专业技术能力；</w:t>
      </w:r>
    </w:p>
    <w:p>
      <w:pPr>
        <w:numPr>
          <w:ilvl w:val="0"/>
          <w:numId w:val="19"/>
        </w:numPr>
        <w:spacing w:line="360" w:lineRule="auto"/>
        <w:ind w:left="1134"/>
        <w:rPr>
          <w:sz w:val="24"/>
          <w:szCs w:val="22"/>
        </w:rPr>
      </w:pPr>
      <w:r>
        <w:rPr>
          <w:sz w:val="24"/>
          <w:szCs w:val="22"/>
        </w:rPr>
        <w:t>有依法缴纳税收和社会保障资金的良好记录；</w:t>
      </w:r>
    </w:p>
    <w:p>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lang w:eastAsia="zh-CN"/>
        </w:rPr>
        <w:t>投标人</w:t>
      </w:r>
      <w:r>
        <w:rPr>
          <w:rFonts w:hint="eastAsia"/>
          <w:sz w:val="24"/>
        </w:rPr>
        <w:t>承诺不实的，依据《政府采购法》第七十七条“提供虚假材料谋取中标、成交的”有关规定予以处理</w:t>
      </w:r>
      <w:r>
        <w:rPr>
          <w:sz w:val="24"/>
        </w:rPr>
        <w:t>。</w:t>
      </w:r>
    </w:p>
    <w:p>
      <w:pPr>
        <w:spacing w:line="360" w:lineRule="auto"/>
        <w:jc w:val="left"/>
        <w:rPr>
          <w:rFonts w:hint="eastAsia" w:ascii="宋体" w:hAnsi="宋体" w:cs="宋体"/>
          <w:spacing w:val="1"/>
          <w:sz w:val="24"/>
          <w:szCs w:val="24"/>
          <w:lang w:val="en-US" w:eastAsia="zh-CN"/>
        </w:rPr>
      </w:pPr>
    </w:p>
    <w:p>
      <w:pPr>
        <w:pStyle w:val="18"/>
        <w:spacing w:before="308" w:line="201" w:lineRule="auto"/>
        <w:ind w:left="6"/>
        <w:outlineLvl w:val="1"/>
        <w:rPr>
          <w:rFonts w:hint="eastAsia" w:ascii="宋体" w:hAnsi="宋体" w:eastAsia="宋体" w:cs="宋体"/>
          <w:sz w:val="24"/>
          <w:szCs w:val="24"/>
        </w:rPr>
      </w:pPr>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8"/>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8"/>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8"/>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8"/>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8"/>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8"/>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8"/>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footerReference r:id="rId12" w:type="default"/>
          <w:pgSz w:w="11907" w:h="16840"/>
          <w:pgMar w:top="1149" w:right="1133" w:bottom="1060" w:left="1701" w:header="875" w:footer="886" w:gutter="0"/>
          <w:pgNumType w:fmt="decimal" w:start="53"/>
          <w:cols w:equalWidth="0" w:num="1">
            <w:col w:w="9073"/>
          </w:cols>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177"/>
      <w:bookmarkEnd w:id="178"/>
      <w:r>
        <w:rPr>
          <w:b/>
          <w:bCs/>
          <w:color w:val="000000"/>
          <w:sz w:val="24"/>
        </w:rPr>
        <w:t>书</w:t>
      </w:r>
      <w:bookmarkEnd w:id="179"/>
      <w:bookmarkEnd w:id="180"/>
      <w:bookmarkEnd w:id="181"/>
      <w:bookmarkEnd w:id="182"/>
      <w:bookmarkEnd w:id="183"/>
      <w:bookmarkEnd w:id="184"/>
      <w:bookmarkEnd w:id="185"/>
      <w:bookmarkEnd w:id="186"/>
      <w:bookmarkEnd w:id="187"/>
      <w:bookmarkEnd w:id="188"/>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189" w:name="_Hlt520355938"/>
      <w:bookmarkEnd w:id="189"/>
      <w:bookmarkStart w:id="190" w:name="_Hlt520356243"/>
      <w:bookmarkEnd w:id="190"/>
      <w:bookmarkStart w:id="191" w:name="_Toc226337253"/>
      <w:bookmarkStart w:id="192" w:name="_Toc150480795"/>
      <w:bookmarkStart w:id="193" w:name="_Toc520356218"/>
      <w:bookmarkStart w:id="194" w:name="_Toc226965747"/>
      <w:bookmarkStart w:id="195" w:name="_Toc264969247"/>
      <w:bookmarkStart w:id="196" w:name="_Toc195842922"/>
      <w:bookmarkStart w:id="197" w:name="_Toc127151557"/>
      <w:bookmarkStart w:id="198" w:name="_Ref467988705"/>
      <w:bookmarkStart w:id="199" w:name="_Toc226309801"/>
      <w:bookmarkStart w:id="200" w:name="_Toc150774762"/>
      <w:bookmarkStart w:id="201" w:name="_Toc480942350"/>
      <w:bookmarkStart w:id="202" w:name="_Toc305158899"/>
      <w:bookmarkStart w:id="203" w:name="_Toc142311059"/>
      <w:bookmarkStart w:id="204" w:name="_Toc226965830"/>
      <w:bookmarkStart w:id="205" w:name="_Toc265228395"/>
      <w:bookmarkStart w:id="206" w:name="_Toc305158825"/>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8"/>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8"/>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8"/>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8"/>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8"/>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8"/>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8"/>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8"/>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8"/>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w:t>
      </w:r>
      <w:r>
        <w:rPr>
          <w:rFonts w:hint="eastAsia" w:cs="宋体"/>
          <w:spacing w:val="-1"/>
          <w:sz w:val="24"/>
          <w:szCs w:val="24"/>
          <w:lang w:eastAsia="zh-CN"/>
        </w:rPr>
        <w:t>投标人</w:t>
      </w:r>
      <w:r>
        <w:rPr>
          <w:rFonts w:hint="eastAsia" w:ascii="宋体" w:hAnsi="宋体" w:eastAsia="宋体" w:cs="宋体"/>
          <w:spacing w:val="-1"/>
          <w:sz w:val="24"/>
          <w:szCs w:val="24"/>
        </w:rPr>
        <w:t>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8"/>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8"/>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w:t>
      </w:r>
      <w:r>
        <w:rPr>
          <w:rFonts w:hint="eastAsia" w:cs="宋体"/>
          <w:spacing w:val="-5"/>
          <w:sz w:val="24"/>
          <w:szCs w:val="24"/>
          <w:lang w:eastAsia="zh-CN"/>
        </w:rPr>
        <w:t>投标人</w:t>
      </w:r>
      <w:r>
        <w:rPr>
          <w:rFonts w:hint="eastAsia" w:ascii="宋体" w:hAnsi="宋体" w:eastAsia="宋体" w:cs="宋体"/>
          <w:spacing w:val="-5"/>
          <w:sz w:val="24"/>
          <w:szCs w:val="24"/>
        </w:rPr>
        <w:t>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8"/>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w:t>
      </w:r>
      <w:r>
        <w:rPr>
          <w:rFonts w:hint="eastAsia" w:cs="宋体"/>
          <w:spacing w:val="-1"/>
          <w:sz w:val="24"/>
          <w:szCs w:val="24"/>
          <w:lang w:eastAsia="zh-CN"/>
        </w:rPr>
        <w:t>投标人</w:t>
      </w:r>
      <w:r>
        <w:rPr>
          <w:rFonts w:hint="eastAsia" w:ascii="宋体" w:hAnsi="宋体" w:eastAsia="宋体" w:cs="宋体"/>
          <w:spacing w:val="-1"/>
          <w:sz w:val="24"/>
          <w:szCs w:val="24"/>
        </w:rPr>
        <w:t>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8"/>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8"/>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8"/>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8"/>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8"/>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8"/>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5"/>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18"/>
        <w:spacing w:before="307" w:line="196" w:lineRule="auto"/>
        <w:ind w:left="50"/>
        <w:outlineLvl w:val="1"/>
        <w:rPr>
          <w:rFonts w:hint="eastAsia" w:ascii="宋体" w:hAnsi="宋体" w:eastAsia="宋体" w:cs="宋体"/>
          <w:sz w:val="24"/>
          <w:szCs w:val="24"/>
        </w:rPr>
      </w:pPr>
    </w:p>
    <w:p>
      <w:pPr>
        <w:pStyle w:val="18"/>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8"/>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8"/>
        <w:spacing w:before="339" w:line="190" w:lineRule="auto"/>
        <w:rPr>
          <w:rFonts w:hint="eastAsia" w:ascii="宋体" w:hAnsi="宋体" w:eastAsia="宋体" w:cs="宋体"/>
          <w:sz w:val="25"/>
          <w:szCs w:val="25"/>
        </w:rPr>
      </w:pPr>
    </w:p>
    <w:p>
      <w:pPr>
        <w:pStyle w:val="18"/>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8"/>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rPr>
            </w:pPr>
          </w:p>
        </w:tc>
        <w:tc>
          <w:tcPr>
            <w:tcW w:w="3707" w:type="dxa"/>
            <w:vMerge w:val="continue"/>
            <w:tcBorders>
              <w:top w:val="nil"/>
            </w:tcBorders>
            <w:vAlign w:val="top"/>
          </w:tcPr>
          <w:p>
            <w:pPr>
              <w:pStyle w:val="266"/>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rPr>
            </w:pPr>
          </w:p>
        </w:tc>
        <w:tc>
          <w:tcPr>
            <w:tcW w:w="3707" w:type="dxa"/>
            <w:vAlign w:val="top"/>
          </w:tcPr>
          <w:p>
            <w:pPr>
              <w:pStyle w:val="266"/>
              <w:autoSpaceDE w:val="0"/>
              <w:autoSpaceDN w:val="0"/>
              <w:rPr>
                <w:rFonts w:hint="eastAsia" w:ascii="宋体" w:hAnsi="宋体" w:eastAsia="宋体" w:cs="宋体"/>
              </w:rPr>
            </w:pPr>
          </w:p>
        </w:tc>
        <w:tc>
          <w:tcPr>
            <w:tcW w:w="1988" w:type="dxa"/>
            <w:vAlign w:val="top"/>
          </w:tcPr>
          <w:p>
            <w:pPr>
              <w:pStyle w:val="266"/>
              <w:autoSpaceDE w:val="0"/>
              <w:autoSpaceDN w:val="0"/>
              <w:rPr>
                <w:rFonts w:hint="eastAsia" w:ascii="宋体" w:hAnsi="宋体" w:eastAsia="宋体" w:cs="宋体"/>
              </w:rPr>
            </w:pPr>
          </w:p>
        </w:tc>
        <w:tc>
          <w:tcPr>
            <w:tcW w:w="1987" w:type="dxa"/>
            <w:vAlign w:val="top"/>
          </w:tcPr>
          <w:p>
            <w:pPr>
              <w:pStyle w:val="266"/>
              <w:autoSpaceDE w:val="0"/>
              <w:autoSpaceDN w:val="0"/>
              <w:rPr>
                <w:rFonts w:hint="eastAsia" w:ascii="宋体" w:hAnsi="宋体" w:eastAsia="宋体" w:cs="宋体"/>
              </w:rPr>
            </w:pPr>
          </w:p>
        </w:tc>
      </w:tr>
    </w:tbl>
    <w:p>
      <w:pPr>
        <w:pStyle w:val="18"/>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8"/>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8"/>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3" w:type="default"/>
          <w:footerReference r:id="rId14" w:type="default"/>
          <w:pgSz w:w="11907" w:h="16840"/>
          <w:pgMar w:top="1418" w:right="1134" w:bottom="1418" w:left="1701" w:header="851" w:footer="851" w:gutter="0"/>
          <w:pgNumType w:fmt="decimal"/>
          <w:cols w:space="720" w:num="1"/>
          <w:docGrid w:linePitch="462" w:charSpace="0"/>
        </w:sectPr>
      </w:pPr>
    </w:p>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Pr>
        <w:pStyle w:val="18"/>
        <w:spacing w:before="103" w:line="196" w:lineRule="auto"/>
        <w:ind w:left="124"/>
        <w:outlineLvl w:val="1"/>
        <w:rPr>
          <w:rFonts w:hint="eastAsia" w:ascii="宋体" w:hAnsi="宋体" w:eastAsia="宋体" w:cs="宋体"/>
          <w:sz w:val="24"/>
          <w:szCs w:val="24"/>
        </w:rPr>
      </w:pPr>
      <w:bookmarkStart w:id="207" w:name="_Toc305158830"/>
      <w:bookmarkStart w:id="208" w:name="_Toc142311062"/>
      <w:bookmarkStart w:id="209" w:name="_Toc226337258"/>
      <w:bookmarkStart w:id="210" w:name="_Toc127151562"/>
      <w:bookmarkStart w:id="211" w:name="_Toc150774765"/>
      <w:bookmarkStart w:id="212" w:name="_Toc305158904"/>
      <w:bookmarkStart w:id="213" w:name="_Toc264969252"/>
      <w:bookmarkStart w:id="214" w:name="_Toc226309806"/>
      <w:bookmarkStart w:id="215" w:name="_Toc226965835"/>
      <w:bookmarkStart w:id="216" w:name="_Toc265228400"/>
      <w:bookmarkStart w:id="217" w:name="_Toc195842927"/>
      <w:bookmarkStart w:id="218" w:name="_Toc226965752"/>
      <w:bookmarkStart w:id="219" w:name="_Toc150480798"/>
      <w:r>
        <w:rPr>
          <w:rFonts w:hint="eastAsia" w:ascii="宋体" w:hAnsi="宋体" w:eastAsia="宋体" w:cs="宋体"/>
          <w:b/>
          <w:bCs/>
          <w:spacing w:val="1"/>
          <w:sz w:val="24"/>
          <w:szCs w:val="24"/>
          <w:lang w:val="en-US" w:eastAsia="zh-CN"/>
        </w:rPr>
        <w:t xml:space="preserve">2-4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pStyle w:val="18"/>
        <w:spacing w:before="150" w:line="205" w:lineRule="auto"/>
        <w:ind w:firstLine="3342" w:firstLineChars="900"/>
        <w:jc w:val="both"/>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w:t>
      </w:r>
    </w:p>
    <w:p>
      <w:pPr>
        <w:pStyle w:val="18"/>
        <w:spacing w:before="248" w:line="180" w:lineRule="auto"/>
        <w:ind w:left="118"/>
        <w:rPr>
          <w:rFonts w:hint="eastAsia" w:ascii="宋体" w:hAnsi="宋体" w:eastAsia="宋体" w:cs="宋体"/>
          <w:spacing w:val="-52"/>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2"/>
          <w:sz w:val="24"/>
          <w:szCs w:val="24"/>
        </w:rPr>
        <w:t xml:space="preserve"> </w:t>
      </w: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255"/>
        <w:tblpPr w:leftFromText="180" w:rightFromText="180" w:vertAnchor="text" w:tblpX="-139" w:tblpY="1"/>
        <w:tblOverlap w:val="never"/>
        <w:tblW w:w="929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2896"/>
        <w:gridCol w:w="1346"/>
        <w:gridCol w:w="1205"/>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3" w:hRule="atLeast"/>
        </w:trPr>
        <w:tc>
          <w:tcPr>
            <w:tcW w:w="793" w:type="dxa"/>
            <w:vAlign w:val="top"/>
          </w:tcPr>
          <w:p>
            <w:pPr>
              <w:autoSpaceDE w:val="0"/>
              <w:autoSpaceDN w:val="0"/>
              <w:spacing w:before="259" w:line="179" w:lineRule="auto"/>
              <w:ind w:left="0" w:leftChars="0" w:firstLine="0" w:firstLineChars="0"/>
              <w:rPr>
                <w:rFonts w:hint="eastAsia" w:ascii="宋体" w:hAnsi="宋体" w:eastAsia="宋体" w:cs="宋体"/>
                <w:sz w:val="24"/>
                <w:szCs w:val="24"/>
              </w:rPr>
            </w:pPr>
            <w:r>
              <w:rPr>
                <w:rFonts w:hint="eastAsia" w:ascii="宋体" w:hAnsi="宋体" w:eastAsia="宋体" w:cs="宋体"/>
                <w:b/>
                <w:bCs/>
                <w:spacing w:val="21"/>
                <w:sz w:val="24"/>
                <w:szCs w:val="24"/>
              </w:rPr>
              <w:t xml:space="preserve"> </w:t>
            </w:r>
            <w:r>
              <w:rPr>
                <w:rFonts w:hint="eastAsia" w:ascii="宋体" w:hAnsi="宋体" w:cs="宋体"/>
                <w:b/>
                <w:bCs/>
                <w:spacing w:val="21"/>
                <w:sz w:val="24"/>
                <w:szCs w:val="24"/>
                <w:lang w:eastAsia="zh-CN"/>
              </w:rPr>
              <w:t>序</w:t>
            </w:r>
            <w:r>
              <w:rPr>
                <w:rFonts w:hint="eastAsia" w:ascii="宋体" w:hAnsi="宋体" w:eastAsia="宋体" w:cs="宋体"/>
                <w:b/>
                <w:bCs/>
                <w:spacing w:val="21"/>
                <w:sz w:val="24"/>
                <w:szCs w:val="24"/>
              </w:rPr>
              <w:t>号</w:t>
            </w:r>
          </w:p>
        </w:tc>
        <w:tc>
          <w:tcPr>
            <w:tcW w:w="2896" w:type="dxa"/>
            <w:vAlign w:val="top"/>
          </w:tcPr>
          <w:p>
            <w:pPr>
              <w:autoSpaceDE w:val="0"/>
              <w:autoSpaceDN w:val="0"/>
              <w:spacing w:before="216" w:line="201" w:lineRule="auto"/>
              <w:ind w:left="108"/>
              <w:rPr>
                <w:rFonts w:hint="eastAsia" w:ascii="宋体" w:hAnsi="宋体" w:eastAsia="宋体" w:cs="宋体"/>
                <w:sz w:val="24"/>
                <w:szCs w:val="24"/>
              </w:rPr>
            </w:pPr>
            <w:r>
              <w:rPr>
                <w:rFonts w:hint="eastAsia" w:ascii="宋体" w:hAnsi="宋体" w:eastAsia="宋体" w:cs="宋体"/>
                <w:b/>
                <w:bCs/>
                <w:spacing w:val="-1"/>
                <w:sz w:val="24"/>
                <w:szCs w:val="24"/>
              </w:rPr>
              <w:t>分项名称</w:t>
            </w:r>
          </w:p>
        </w:tc>
        <w:tc>
          <w:tcPr>
            <w:tcW w:w="1346" w:type="dxa"/>
            <w:vAlign w:val="top"/>
          </w:tcPr>
          <w:p>
            <w:pPr>
              <w:autoSpaceDE w:val="0"/>
              <w:autoSpaceDN w:val="0"/>
              <w:spacing w:before="217" w:line="196" w:lineRule="auto"/>
              <w:ind w:left="109"/>
              <w:rPr>
                <w:rFonts w:hint="eastAsia" w:ascii="宋体" w:hAnsi="宋体" w:eastAsia="宋体" w:cs="宋体"/>
                <w:sz w:val="24"/>
                <w:szCs w:val="24"/>
              </w:rPr>
            </w:pPr>
            <w:r>
              <w:rPr>
                <w:rFonts w:hint="eastAsia" w:ascii="宋体" w:hAnsi="宋体" w:eastAsia="宋体" w:cs="宋体"/>
                <w:b/>
                <w:bCs/>
                <w:sz w:val="24"/>
                <w:szCs w:val="24"/>
              </w:rPr>
              <w:t>单价（元）</w:t>
            </w:r>
          </w:p>
        </w:tc>
        <w:tc>
          <w:tcPr>
            <w:tcW w:w="1205" w:type="dxa"/>
            <w:vAlign w:val="top"/>
          </w:tcPr>
          <w:p>
            <w:pPr>
              <w:autoSpaceDE w:val="0"/>
              <w:autoSpaceDN w:val="0"/>
              <w:spacing w:before="216" w:line="201" w:lineRule="auto"/>
              <w:ind w:left="364"/>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344" w:type="dxa"/>
            <w:vAlign w:val="top"/>
          </w:tcPr>
          <w:p>
            <w:pPr>
              <w:autoSpaceDE w:val="0"/>
              <w:autoSpaceDN w:val="0"/>
              <w:spacing w:before="217" w:line="196" w:lineRule="auto"/>
              <w:ind w:left="111"/>
              <w:rPr>
                <w:rFonts w:hint="eastAsia" w:ascii="宋体" w:hAnsi="宋体" w:eastAsia="宋体" w:cs="宋体"/>
                <w:sz w:val="24"/>
                <w:szCs w:val="24"/>
              </w:rPr>
            </w:pPr>
            <w:r>
              <w:rPr>
                <w:rFonts w:hint="eastAsia" w:ascii="宋体" w:hAnsi="宋体" w:eastAsia="宋体" w:cs="宋体"/>
                <w:b/>
                <w:bCs/>
                <w:sz w:val="24"/>
                <w:szCs w:val="24"/>
              </w:rPr>
              <w:t>合价（元）</w:t>
            </w:r>
          </w:p>
        </w:tc>
        <w:tc>
          <w:tcPr>
            <w:tcW w:w="1712" w:type="dxa"/>
            <w:vAlign w:val="top"/>
          </w:tcPr>
          <w:p>
            <w:pPr>
              <w:pStyle w:val="266"/>
              <w:autoSpaceDE w:val="0"/>
              <w:autoSpaceDN w:val="0"/>
              <w:spacing w:before="216" w:line="200" w:lineRule="auto"/>
              <w:ind w:left="112"/>
              <w:rPr>
                <w:rFonts w:hint="eastAsia" w:ascii="宋体" w:hAnsi="宋体" w:eastAsia="宋体" w:cs="宋体"/>
                <w:sz w:val="24"/>
                <w:szCs w:val="24"/>
              </w:rPr>
            </w:pPr>
            <w:r>
              <w:rPr>
                <w:rFonts w:hint="eastAsia" w:ascii="宋体" w:hAnsi="宋体" w:eastAsia="宋体" w:cs="宋体"/>
                <w:b/>
                <w:bCs/>
                <w:spacing w:val="3"/>
                <w:sz w:val="24"/>
                <w:szCs w:val="24"/>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793" w:type="dxa"/>
            <w:vAlign w:val="top"/>
          </w:tcPr>
          <w:p>
            <w:pPr>
              <w:pStyle w:val="266"/>
              <w:autoSpaceDE w:val="0"/>
              <w:autoSpaceDN w:val="0"/>
              <w:spacing w:before="159" w:line="199" w:lineRule="auto"/>
              <w:ind w:left="254"/>
              <w:rPr>
                <w:rFonts w:hint="eastAsia" w:ascii="宋体" w:hAnsi="宋体" w:eastAsia="宋体" w:cs="宋体"/>
                <w:sz w:val="24"/>
                <w:szCs w:val="24"/>
              </w:rPr>
            </w:pPr>
            <w:r>
              <w:rPr>
                <w:rFonts w:hint="eastAsia" w:ascii="宋体" w:hAnsi="宋体" w:eastAsia="宋体" w:cs="宋体"/>
                <w:sz w:val="24"/>
                <w:szCs w:val="24"/>
              </w:rPr>
              <w:t>1</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793" w:type="dxa"/>
            <w:vAlign w:val="top"/>
          </w:tcPr>
          <w:p>
            <w:pPr>
              <w:pStyle w:val="266"/>
              <w:autoSpaceDE w:val="0"/>
              <w:autoSpaceDN w:val="0"/>
              <w:spacing w:before="111" w:line="201" w:lineRule="auto"/>
              <w:ind w:left="245"/>
              <w:rPr>
                <w:rFonts w:hint="eastAsia" w:ascii="宋体" w:hAnsi="宋体" w:eastAsia="宋体" w:cs="宋体"/>
                <w:sz w:val="24"/>
                <w:szCs w:val="24"/>
              </w:rPr>
            </w:pPr>
            <w:r>
              <w:rPr>
                <w:rFonts w:hint="eastAsia" w:ascii="宋体" w:hAnsi="宋体" w:eastAsia="宋体" w:cs="宋体"/>
                <w:spacing w:val="1"/>
                <w:sz w:val="24"/>
                <w:szCs w:val="24"/>
              </w:rPr>
              <w:t>2</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1" w:hRule="atLeast"/>
        </w:trPr>
        <w:tc>
          <w:tcPr>
            <w:tcW w:w="793" w:type="dxa"/>
            <w:vAlign w:val="top"/>
          </w:tcPr>
          <w:p>
            <w:pPr>
              <w:pStyle w:val="266"/>
              <w:autoSpaceDE w:val="0"/>
              <w:autoSpaceDN w:val="0"/>
              <w:spacing w:before="107" w:line="201" w:lineRule="auto"/>
              <w:ind w:left="246"/>
              <w:rPr>
                <w:rFonts w:hint="eastAsia" w:ascii="宋体" w:hAnsi="宋体" w:eastAsia="宋体" w:cs="宋体"/>
                <w:sz w:val="24"/>
                <w:szCs w:val="24"/>
              </w:rPr>
            </w:pPr>
            <w:r>
              <w:rPr>
                <w:rFonts w:hint="eastAsia" w:ascii="宋体" w:hAnsi="宋体" w:eastAsia="宋体" w:cs="宋体"/>
                <w:sz w:val="24"/>
                <w:szCs w:val="24"/>
              </w:rPr>
              <w:t>3</w:t>
            </w:r>
          </w:p>
        </w:tc>
        <w:tc>
          <w:tcPr>
            <w:tcW w:w="2896" w:type="dxa"/>
            <w:vAlign w:val="top"/>
          </w:tcPr>
          <w:p>
            <w:pPr>
              <w:pStyle w:val="266"/>
              <w:autoSpaceDE w:val="0"/>
              <w:autoSpaceDN w:val="0"/>
              <w:spacing w:before="257" w:line="81" w:lineRule="exact"/>
              <w:ind w:left="130"/>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6" w:hRule="atLeast"/>
        </w:trPr>
        <w:tc>
          <w:tcPr>
            <w:tcW w:w="6240" w:type="dxa"/>
            <w:gridSpan w:val="4"/>
            <w:vAlign w:val="top"/>
          </w:tcPr>
          <w:p>
            <w:pPr>
              <w:autoSpaceDE w:val="0"/>
              <w:autoSpaceDN w:val="0"/>
              <w:spacing w:before="73" w:line="194" w:lineRule="auto"/>
              <w:ind w:left="4804"/>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bl>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8"/>
        <w:spacing w:before="13" w:line="202" w:lineRule="auto"/>
        <w:ind w:left="118" w:firstLine="486"/>
        <w:jc w:val="both"/>
        <w:rPr>
          <w:rFonts w:hint="eastAsia" w:ascii="宋体" w:hAnsi="宋体" w:eastAsia="宋体" w:cs="宋体"/>
          <w:sz w:val="24"/>
          <w:szCs w:val="24"/>
        </w:rPr>
      </w:pPr>
      <w:r>
        <w:rPr>
          <w:rFonts w:hint="eastAsia" w:ascii="宋体" w:hAnsi="宋体" w:eastAsia="宋体" w:cs="宋体"/>
          <w:spacing w:val="-1"/>
          <w:sz w:val="24"/>
          <w:szCs w:val="24"/>
        </w:rPr>
        <w:t>2.如果不提供分项报价将视为没有实质性响应招标文件。</w:t>
      </w:r>
      <w:r>
        <w:rPr>
          <w:rFonts w:hint="eastAsia" w:ascii="宋体" w:hAnsi="宋体" w:eastAsia="宋体" w:cs="宋体"/>
          <w:spacing w:val="3"/>
          <w:sz w:val="24"/>
          <w:szCs w:val="24"/>
        </w:rPr>
        <w:t xml:space="preserve"> </w:t>
      </w:r>
    </w:p>
    <w:p>
      <w:pPr>
        <w:spacing w:line="366"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1"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b/>
          <w:bCs w:val="0"/>
          <w:i w:val="0"/>
          <w:iCs/>
          <w:color w:val="auto"/>
          <w:sz w:val="24"/>
          <w:lang w:val="en-US" w:eastAsia="zh-CN"/>
        </w:rPr>
      </w:pPr>
    </w:p>
    <w:p>
      <w:pPr>
        <w:pStyle w:val="18"/>
        <w:spacing w:before="307" w:line="196" w:lineRule="auto"/>
        <w:ind w:left="131"/>
        <w:rPr>
          <w:rFonts w:hint="eastAsia" w:ascii="宋体" w:hAnsi="宋体" w:eastAsia="宋体" w:cs="宋体"/>
          <w:sz w:val="24"/>
          <w:szCs w:val="24"/>
        </w:rPr>
      </w:pPr>
      <w:r>
        <w:rPr>
          <w:rFonts w:hint="eastAsia"/>
          <w:b/>
          <w:bCs w:val="0"/>
          <w:i w:val="0"/>
          <w:iCs/>
          <w:color w:val="auto"/>
          <w:sz w:val="24"/>
          <w:lang w:val="en-US" w:eastAsia="zh-CN"/>
        </w:rPr>
        <w:t>2-</w:t>
      </w:r>
      <w:r>
        <w:rPr>
          <w:rFonts w:hint="eastAsia"/>
          <w:b/>
          <w:bCs w:val="0"/>
          <w:color w:val="000000"/>
          <w:sz w:val="24"/>
          <w:szCs w:val="20"/>
          <w:lang w:val="en-US" w:eastAsia="zh-CN"/>
        </w:rPr>
        <w:t>5</w:t>
      </w:r>
      <w:r>
        <w:rPr>
          <w:b/>
          <w:bCs w:val="0"/>
          <w:color w:val="000000"/>
          <w:sz w:val="24"/>
          <w:szCs w:val="20"/>
        </w:rPr>
        <w:t xml:space="preserve">  </w:t>
      </w:r>
      <w:bookmarkEnd w:id="207"/>
      <w:bookmarkEnd w:id="208"/>
      <w:bookmarkEnd w:id="209"/>
      <w:bookmarkEnd w:id="210"/>
      <w:bookmarkEnd w:id="211"/>
      <w:bookmarkEnd w:id="212"/>
      <w:bookmarkEnd w:id="213"/>
      <w:bookmarkEnd w:id="214"/>
      <w:bookmarkEnd w:id="215"/>
      <w:bookmarkEnd w:id="216"/>
      <w:bookmarkEnd w:id="217"/>
      <w:bookmarkEnd w:id="218"/>
      <w:bookmarkEnd w:id="219"/>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8"/>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8"/>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6"/>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已对之理解和响应。）</w:t>
            </w:r>
          </w:p>
          <w:p>
            <w:pPr>
              <w:pStyle w:val="266"/>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bl>
    <w:p>
      <w:pPr>
        <w:pStyle w:val="18"/>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18"/>
        <w:spacing w:before="212" w:line="200" w:lineRule="auto"/>
        <w:ind w:left="169"/>
        <w:outlineLvl w:val="1"/>
        <w:rPr>
          <w:rFonts w:hint="eastAsia" w:ascii="宋体" w:hAnsi="宋体" w:eastAsia="宋体" w:cs="宋体"/>
          <w:b/>
          <w:bCs/>
          <w:sz w:val="24"/>
          <w:szCs w:val="24"/>
        </w:rPr>
      </w:pPr>
      <w:r>
        <w:rPr>
          <w:b/>
          <w:i/>
          <w:color w:val="FF0000"/>
          <w:sz w:val="24"/>
        </w:rPr>
        <w:br w:type="page"/>
      </w:r>
      <w:bookmarkStart w:id="220" w:name="_Toc195842926"/>
      <w:bookmarkStart w:id="221" w:name="_Toc264969251"/>
      <w:bookmarkStart w:id="222" w:name="_Toc265228399"/>
      <w:bookmarkStart w:id="223" w:name="_Toc305158829"/>
      <w:bookmarkStart w:id="224" w:name="_Toc127151561"/>
      <w:bookmarkStart w:id="225" w:name="_Toc226309805"/>
      <w:bookmarkStart w:id="226" w:name="_Toc226337257"/>
      <w:bookmarkStart w:id="227" w:name="_Toc142311061"/>
      <w:bookmarkStart w:id="228" w:name="_Toc150774764"/>
      <w:bookmarkStart w:id="229" w:name="_Toc226965834"/>
      <w:bookmarkStart w:id="230" w:name="_Toc226965751"/>
      <w:bookmarkStart w:id="231" w:name="_Toc150480797"/>
      <w:bookmarkStart w:id="232" w:name="_Toc305158903"/>
      <w:r>
        <w:rPr>
          <w:rFonts w:hint="eastAsia"/>
          <w:b/>
          <w:bCs/>
          <w:color w:val="000000"/>
          <w:sz w:val="24"/>
          <w:szCs w:val="20"/>
          <w:lang w:val="en-US" w:eastAsia="zh-CN"/>
        </w:rPr>
        <w:t>2-6</w:t>
      </w:r>
      <w:r>
        <w:rPr>
          <w:b/>
          <w:bCs/>
          <w:color w:val="000000"/>
          <w:sz w:val="24"/>
          <w:szCs w:val="20"/>
        </w:rPr>
        <w:t xml:space="preserve">  </w:t>
      </w:r>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宋体" w:hAnsi="宋体" w:eastAsia="宋体" w:cs="宋体"/>
          <w:b/>
          <w:bCs/>
          <w:sz w:val="24"/>
          <w:szCs w:val="24"/>
        </w:rPr>
        <w:t>采购需求偏离表（实质性格式）</w:t>
      </w:r>
    </w:p>
    <w:p>
      <w:pPr>
        <w:pStyle w:val="18"/>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8"/>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8"/>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8"/>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w:t>
      </w:r>
      <w:r>
        <w:rPr>
          <w:rFonts w:hint="eastAsia" w:cs="宋体"/>
          <w:spacing w:val="-3"/>
          <w:sz w:val="24"/>
          <w:szCs w:val="24"/>
          <w:lang w:eastAsia="zh-CN"/>
        </w:rPr>
        <w:t>投标人</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8"/>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15" w:type="default"/>
          <w:footerReference r:id="rId16" w:type="default"/>
          <w:pgSz w:w="11907" w:h="16840"/>
          <w:pgMar w:top="1149" w:right="1133" w:bottom="1060" w:left="1701" w:header="875" w:footer="886" w:gutter="0"/>
          <w:pgNumType w:fmt="decimal"/>
          <w:cols w:space="720" w:num="1"/>
        </w:sectPr>
      </w:pPr>
    </w:p>
    <w:p>
      <w:pPr>
        <w:numPr>
          <w:ilvl w:val="0"/>
          <w:numId w:val="0"/>
        </w:numPr>
        <w:tabs>
          <w:tab w:val="left" w:pos="360"/>
        </w:tabs>
        <w:snapToGrid w:val="0"/>
        <w:spacing w:line="360" w:lineRule="auto"/>
        <w:ind w:leftChars="0"/>
        <w:outlineLvl w:val="1"/>
        <w:rPr>
          <w:b/>
          <w:bCs/>
          <w:color w:val="auto"/>
          <w:sz w:val="24"/>
          <w:szCs w:val="20"/>
        </w:rPr>
      </w:pPr>
      <w:r>
        <w:rPr>
          <w:rFonts w:hint="eastAsia"/>
          <w:b/>
          <w:bCs/>
          <w:color w:val="000000"/>
          <w:sz w:val="24"/>
          <w:szCs w:val="20"/>
          <w:lang w:val="en-US" w:eastAsia="zh-CN"/>
        </w:rPr>
        <w:t xml:space="preserve">2-7 </w:t>
      </w:r>
      <w:r>
        <w:rPr>
          <w:rFonts w:hint="eastAsia"/>
          <w:b/>
          <w:bCs/>
          <w:color w:val="000000"/>
          <w:sz w:val="24"/>
          <w:szCs w:val="20"/>
        </w:rPr>
        <w:t>本国产品标准证明文件</w:t>
      </w:r>
      <w:r>
        <w:rPr>
          <w:rFonts w:hint="eastAsia"/>
          <w:b/>
          <w:bCs/>
          <w:color w:val="auto"/>
          <w:sz w:val="24"/>
          <w:szCs w:val="20"/>
        </w:rPr>
        <w:t>（本国产品标准适用于货物，包括政府采购货物项目和服务项目中涉及的货物</w:t>
      </w:r>
      <w:r>
        <w:rPr>
          <w:rFonts w:hint="eastAsia"/>
          <w:b/>
          <w:bCs/>
          <w:color w:val="auto"/>
          <w:sz w:val="24"/>
          <w:szCs w:val="20"/>
          <w:lang w:eastAsia="zh-CN"/>
        </w:rPr>
        <w:t>，如不涉及可不填写</w:t>
      </w:r>
      <w:r>
        <w:rPr>
          <w:rFonts w:hint="eastAsia"/>
          <w:b/>
          <w:bCs/>
          <w:color w:val="auto"/>
          <w:sz w:val="24"/>
          <w:szCs w:val="20"/>
        </w:rPr>
        <w:t>）</w:t>
      </w:r>
    </w:p>
    <w:p>
      <w:pPr>
        <w:pStyle w:val="43"/>
        <w:shd w:val="clear" w:color="auto" w:fill="FFFFFF"/>
        <w:spacing w:before="30" w:beforeAutospacing="0" w:after="30" w:afterAutospacing="0"/>
        <w:jc w:val="center"/>
        <w:rPr>
          <w:rStyle w:val="47"/>
          <w:rFonts w:hint="eastAsia"/>
          <w:color w:val="333333"/>
          <w:sz w:val="36"/>
          <w:szCs w:val="36"/>
          <w:shd w:val="clear" w:color="auto" w:fill="FFFFFF"/>
        </w:rPr>
      </w:pPr>
    </w:p>
    <w:p>
      <w:pPr>
        <w:pStyle w:val="43"/>
        <w:shd w:val="clear" w:color="auto" w:fill="FFFFFF"/>
        <w:spacing w:before="30" w:beforeAutospacing="0" w:after="30" w:afterAutospacing="0"/>
        <w:jc w:val="center"/>
        <w:rPr>
          <w:color w:val="333333"/>
          <w:sz w:val="36"/>
          <w:szCs w:val="36"/>
        </w:rPr>
      </w:pPr>
      <w:r>
        <w:rPr>
          <w:rStyle w:val="47"/>
          <w:rFonts w:hint="eastAsia"/>
          <w:color w:val="333333"/>
          <w:sz w:val="36"/>
          <w:szCs w:val="36"/>
          <w:shd w:val="clear" w:color="auto" w:fill="FFFFFF"/>
        </w:rPr>
        <w:t>关于符合本国产品标准的声明函</w:t>
      </w:r>
    </w:p>
    <w:p>
      <w:pPr>
        <w:pStyle w:val="43"/>
        <w:shd w:val="clear" w:color="auto" w:fill="FFFFFF"/>
        <w:spacing w:before="30" w:beforeAutospacing="0" w:after="30" w:afterAutospacing="0"/>
        <w:ind w:firstLine="420"/>
        <w:rPr>
          <w:color w:val="333333"/>
        </w:rPr>
      </w:pP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pPr>
        <w:pStyle w:val="43"/>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pPr>
        <w:pStyle w:val="43"/>
        <w:shd w:val="clear" w:color="auto" w:fill="FFFFFF"/>
        <w:spacing w:before="0" w:beforeAutospacing="0" w:after="0" w:afterAutospacing="0" w:line="360" w:lineRule="auto"/>
        <w:rPr>
          <w:color w:val="333333"/>
        </w:rPr>
      </w:pPr>
    </w:p>
    <w:p>
      <w:pPr>
        <w:pStyle w:val="43"/>
        <w:shd w:val="clear" w:color="auto" w:fill="FFFFFF"/>
        <w:spacing w:before="0" w:beforeAutospacing="0" w:after="0" w:afterAutospacing="0" w:line="360" w:lineRule="auto"/>
        <w:jc w:val="right"/>
        <w:rPr>
          <w:color w:val="333333"/>
          <w:shd w:val="clear" w:color="auto" w:fill="FFFFFF"/>
        </w:rPr>
      </w:pP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pPr>
        <w:pStyle w:val="43"/>
        <w:shd w:val="clear" w:color="auto" w:fill="FFFFFF"/>
        <w:spacing w:before="0" w:beforeAutospacing="0" w:after="0" w:afterAutospacing="0" w:line="360" w:lineRule="auto"/>
        <w:rPr>
          <w:color w:val="333333"/>
          <w:shd w:val="clear" w:color="auto" w:fill="FFFFFF"/>
        </w:rPr>
      </w:pPr>
    </w:p>
    <w:p>
      <w:pPr>
        <w:pStyle w:val="43"/>
        <w:shd w:val="clear" w:color="auto" w:fill="FFFFFF"/>
        <w:spacing w:before="0" w:beforeAutospacing="0" w:after="0" w:afterAutospacing="0" w:line="360" w:lineRule="auto"/>
        <w:rPr>
          <w:color w:val="333333"/>
          <w:shd w:val="clear" w:color="auto" w:fill="FFFFFF"/>
        </w:rPr>
      </w:pPr>
    </w:p>
    <w:p>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pPr>
        <w:widowControl/>
        <w:jc w:val="left"/>
        <w:rPr>
          <w:color w:val="333333"/>
          <w:szCs w:val="21"/>
          <w:shd w:val="clear" w:color="auto" w:fill="FFFFFF"/>
        </w:rPr>
      </w:pPr>
      <w:r>
        <w:rPr>
          <w:color w:val="333333"/>
          <w:szCs w:val="21"/>
          <w:shd w:val="clear" w:color="auto" w:fill="FFFFFF"/>
        </w:rPr>
        <w:br w:type="page"/>
      </w:r>
    </w:p>
    <w:p>
      <w:pPr>
        <w:pStyle w:val="43"/>
        <w:shd w:val="clear" w:color="auto" w:fill="FFFFFF"/>
        <w:spacing w:before="30" w:beforeAutospacing="0" w:after="30" w:afterAutospacing="0"/>
        <w:jc w:val="center"/>
        <w:rPr>
          <w:rStyle w:val="47"/>
          <w:sz w:val="36"/>
          <w:szCs w:val="36"/>
        </w:rPr>
      </w:pPr>
      <w:r>
        <w:rPr>
          <w:rStyle w:val="47"/>
          <w:rFonts w:hint="eastAsia"/>
          <w:sz w:val="36"/>
          <w:szCs w:val="36"/>
        </w:rPr>
        <w:t>产品成本占比承诺函</w:t>
      </w:r>
    </w:p>
    <w:p>
      <w:pPr>
        <w:pStyle w:val="43"/>
        <w:shd w:val="clear" w:color="auto" w:fill="FFFFFF"/>
        <w:spacing w:before="30" w:beforeAutospacing="0" w:after="30" w:afterAutospacing="0"/>
        <w:rPr>
          <w:rStyle w:val="47"/>
          <w:sz w:val="36"/>
          <w:szCs w:val="36"/>
        </w:rPr>
      </w:pPr>
    </w:p>
    <w:p>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pPr>
        <w:widowControl/>
        <w:spacing w:line="360" w:lineRule="auto"/>
        <w:ind w:firstLine="480" w:firstLineChars="200"/>
        <w:jc w:val="left"/>
        <w:rPr>
          <w:color w:val="000000"/>
          <w:sz w:val="24"/>
        </w:rPr>
      </w:pPr>
    </w:p>
    <w:p>
      <w:pPr>
        <w:pStyle w:val="43"/>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pPr>
        <w:widowControl/>
        <w:spacing w:line="360" w:lineRule="auto"/>
        <w:jc w:val="left"/>
        <w:rPr>
          <w:color w:val="000000"/>
          <w:sz w:val="24"/>
        </w:rPr>
      </w:pPr>
    </w:p>
    <w:p>
      <w:pPr>
        <w:widowControl/>
        <w:spacing w:line="360" w:lineRule="auto"/>
        <w:jc w:val="left"/>
        <w:rPr>
          <w:color w:val="000000"/>
          <w:sz w:val="24"/>
        </w:rPr>
      </w:pPr>
    </w:p>
    <w:p>
      <w:pPr>
        <w:spacing w:line="360" w:lineRule="auto"/>
        <w:rPr>
          <w:color w:val="000000"/>
          <w:sz w:val="22"/>
          <w:szCs w:val="22"/>
        </w:rPr>
      </w:pPr>
      <w:r>
        <w:rPr>
          <w:rFonts w:hint="eastAsia"/>
          <w:color w:val="000000"/>
          <w:sz w:val="22"/>
          <w:szCs w:val="22"/>
        </w:rPr>
        <w:t>注：</w:t>
      </w:r>
    </w:p>
    <w:p>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w:t>
      </w:r>
      <w:r>
        <w:rPr>
          <w:rFonts w:hint="eastAsia"/>
          <w:color w:val="333333"/>
          <w:szCs w:val="21"/>
          <w:shd w:val="clear" w:color="auto" w:fill="FFFFFF"/>
          <w:lang w:eastAsia="zh-CN"/>
        </w:rPr>
        <w:t>投标人</w:t>
      </w:r>
      <w:r>
        <w:rPr>
          <w:rFonts w:hint="eastAsia"/>
          <w:color w:val="333333"/>
          <w:szCs w:val="21"/>
          <w:shd w:val="clear" w:color="auto" w:fill="FFFFFF"/>
        </w:rPr>
        <w:t>提供产品全部为本国产品，且提供了《关于符合本国产品标准的声明函》时，无须提供本承诺函。</w:t>
      </w:r>
    </w:p>
    <w:p>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w:t>
      </w:r>
      <w:r>
        <w:rPr>
          <w:rFonts w:hint="eastAsia"/>
          <w:color w:val="333333"/>
          <w:szCs w:val="21"/>
          <w:shd w:val="clear" w:color="auto" w:fill="FFFFFF"/>
          <w:lang w:eastAsia="zh-CN"/>
        </w:rPr>
        <w:t>投标人</w:t>
      </w:r>
      <w:r>
        <w:rPr>
          <w:rFonts w:hint="eastAsia"/>
          <w:color w:val="333333"/>
          <w:szCs w:val="21"/>
          <w:shd w:val="clear" w:color="auto" w:fill="FFFFFF"/>
        </w:rPr>
        <w:t>提供的产品同时包含本国产品及非本国产品，则</w:t>
      </w:r>
      <w:r>
        <w:rPr>
          <w:rFonts w:hint="eastAsia"/>
          <w:color w:val="333333"/>
          <w:szCs w:val="21"/>
          <w:shd w:val="clear" w:color="auto" w:fill="FFFFFF"/>
          <w:lang w:eastAsia="zh-CN"/>
        </w:rPr>
        <w:t>投标人</w:t>
      </w:r>
      <w:r>
        <w:rPr>
          <w:rFonts w:hint="eastAsia"/>
          <w:color w:val="333333"/>
          <w:szCs w:val="21"/>
          <w:shd w:val="clear" w:color="auto" w:fill="FFFFFF"/>
        </w:rPr>
        <w:t>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pPr>
        <w:pStyle w:val="18"/>
        <w:spacing w:before="308" w:line="360" w:lineRule="auto"/>
        <w:ind w:left="128" w:right="854" w:rightChars="0"/>
        <w:rPr>
          <w:rFonts w:hint="eastAsia" w:cs="宋体"/>
          <w:spacing w:val="10"/>
        </w:rPr>
      </w:pPr>
      <w:r>
        <w:rPr>
          <w:rFonts w:hint="eastAsia" w:cs="宋体"/>
          <w:b/>
          <w:bCs/>
          <w:lang w:val="en-US" w:eastAsia="zh-CN"/>
        </w:rPr>
        <w:t>2-8</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8"/>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lang w:eastAsia="zh-CN"/>
        </w:rPr>
        <w:t>投标人</w:t>
      </w:r>
      <w:r>
        <w:rPr>
          <w:rFonts w:hint="eastAsia" w:cs="宋体"/>
          <w:spacing w:val="1"/>
        </w:rPr>
        <w:t>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zh-CN"/>
              </w:rPr>
              <w:t>投标人</w:t>
            </w:r>
            <w:r>
              <w:rPr>
                <w:rFonts w:hint="eastAsia" w:ascii="宋体" w:hAnsi="宋体" w:cs="宋体"/>
                <w:spacing w:val="-1"/>
                <w:sz w:val="24"/>
                <w:lang w:eastAsia="en-US"/>
              </w:rPr>
              <w:t>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zh-CN"/>
              </w:rPr>
              <w:t>投标人</w:t>
            </w:r>
            <w:r>
              <w:rPr>
                <w:rFonts w:hint="eastAsia" w:ascii="宋体" w:hAnsi="宋体" w:cs="宋体"/>
                <w:spacing w:val="-1"/>
                <w:sz w:val="24"/>
                <w:lang w:eastAsia="en-US"/>
              </w:rPr>
              <w:t>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bl>
    <w:p>
      <w:pPr>
        <w:pStyle w:val="18"/>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w:t>
      </w:r>
      <w:r>
        <w:rPr>
          <w:rFonts w:hint="eastAsia" w:cs="宋体"/>
          <w:spacing w:val="-1"/>
          <w:lang w:eastAsia="zh-CN"/>
        </w:rPr>
        <w:t>投标人</w:t>
      </w:r>
      <w:r>
        <w:rPr>
          <w:rFonts w:hint="eastAsia" w:cs="宋体"/>
          <w:spacing w:val="-1"/>
        </w:rPr>
        <w:t>如为联合体，则应填写联合体各成员信息。</w:t>
      </w:r>
    </w:p>
    <w:p>
      <w:pPr>
        <w:pStyle w:val="18"/>
        <w:spacing w:before="3" w:line="360" w:lineRule="auto"/>
        <w:ind w:left="118" w:right="36" w:firstLine="491"/>
        <w:rPr>
          <w:rFonts w:hint="eastAsia" w:cs="宋体"/>
        </w:rPr>
      </w:pPr>
      <w:r>
        <w:rPr>
          <w:rFonts w:hint="eastAsia" w:cs="宋体"/>
          <w:spacing w:val="1"/>
        </w:rPr>
        <w:t>2.</w:t>
      </w:r>
      <w:r>
        <w:rPr>
          <w:rFonts w:hint="eastAsia" w:cs="宋体"/>
          <w:spacing w:val="1"/>
          <w:lang w:eastAsia="zh-CN"/>
        </w:rPr>
        <w:t>投标人</w:t>
      </w:r>
      <w:r>
        <w:rPr>
          <w:rFonts w:hint="eastAsia" w:cs="宋体"/>
          <w:spacing w:val="1"/>
        </w:rPr>
        <w:t>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w:t>
      </w:r>
      <w:r>
        <w:rPr>
          <w:rFonts w:hint="eastAsia" w:cs="宋体"/>
          <w:spacing w:val="1"/>
          <w:lang w:eastAsia="zh-CN"/>
        </w:rPr>
        <w:t>投标人</w:t>
      </w:r>
      <w:r>
        <w:rPr>
          <w:rFonts w:hint="eastAsia" w:cs="宋体"/>
          <w:spacing w:val="1"/>
        </w:rPr>
        <w:t xml:space="preserve"> 51%以上绝对所有权的性别；</w:t>
      </w:r>
      <w:r>
        <w:rPr>
          <w:rFonts w:hint="eastAsia" w:cs="宋体"/>
        </w:rPr>
        <w:t xml:space="preserve"> 绝对所有权拥有者可以是一个人，也可以是</w:t>
      </w:r>
      <w:r>
        <w:rPr>
          <w:rFonts w:hint="eastAsia" w:cs="宋体"/>
          <w:spacing w:val="-1"/>
        </w:rPr>
        <w:t>多人合计计算。</w:t>
      </w:r>
    </w:p>
    <w:p>
      <w:pPr>
        <w:pStyle w:val="18"/>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8"/>
        <w:spacing w:before="4" w:line="360" w:lineRule="auto"/>
        <w:rPr>
          <w:rFonts w:hint="eastAsia" w:cs="宋体"/>
          <w:spacing w:val="3"/>
        </w:rPr>
      </w:pPr>
    </w:p>
    <w:p>
      <w:pPr>
        <w:spacing w:line="360" w:lineRule="auto"/>
        <w:outlineLvl w:val="2"/>
        <w:rPr>
          <w:b/>
          <w:bCs/>
          <w:color w:val="000000"/>
          <w:sz w:val="24"/>
          <w:szCs w:val="20"/>
        </w:rPr>
      </w:pPr>
      <w:r>
        <w:rPr>
          <w:b/>
          <w:bCs/>
          <w:color w:val="000000"/>
          <w:sz w:val="24"/>
          <w:szCs w:val="20"/>
        </w:rPr>
        <w:t>2-</w:t>
      </w:r>
      <w:r>
        <w:rPr>
          <w:rFonts w:hint="eastAsia"/>
          <w:b/>
          <w:bCs/>
          <w:color w:val="000000"/>
          <w:sz w:val="24"/>
          <w:szCs w:val="20"/>
          <w:lang w:val="en-US" w:eastAsia="zh-CN"/>
        </w:rPr>
        <w:t xml:space="preserve">9 </w:t>
      </w:r>
      <w:r>
        <w:rPr>
          <w:rFonts w:hint="eastAsia"/>
          <w:b/>
          <w:bCs/>
          <w:color w:val="000000"/>
          <w:sz w:val="24"/>
          <w:szCs w:val="20"/>
        </w:rPr>
        <w:t>中小企业证明文件</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w:t>
      </w:r>
      <w:r>
        <w:rPr>
          <w:rFonts w:hint="eastAsia"/>
          <w:sz w:val="24"/>
          <w:lang w:eastAsia="zh-CN"/>
        </w:rPr>
        <w:t>投标人</w:t>
      </w:r>
      <w:r>
        <w:rPr>
          <w:sz w:val="24"/>
        </w:rPr>
        <w:t>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pPr>
        <w:jc w:val="center"/>
        <w:rPr>
          <w:rFonts w:hint="eastAsia" w:ascii="宋体" w:hAnsi="宋体"/>
          <w:b/>
          <w:color w:val="auto"/>
          <w:sz w:val="35"/>
          <w:szCs w:val="35"/>
        </w:rPr>
      </w:pPr>
    </w:p>
    <w:p>
      <w:pPr>
        <w:jc w:val="center"/>
        <w:rPr>
          <w:rFonts w:hint="eastAsia" w:ascii="宋体" w:hAnsi="宋体"/>
          <w:b/>
          <w:color w:val="auto"/>
          <w:sz w:val="24"/>
          <w:szCs w:val="24"/>
        </w:rPr>
      </w:pPr>
      <w:r>
        <w:rPr>
          <w:rFonts w:hint="eastAsia" w:ascii="宋体" w:hAnsi="宋体"/>
          <w:b/>
          <w:color w:val="auto"/>
          <w:sz w:val="35"/>
          <w:szCs w:val="35"/>
        </w:rPr>
        <w:t>中小企业声明函（货物）</w:t>
      </w:r>
      <w:r>
        <w:rPr>
          <w:rFonts w:hint="eastAsia" w:ascii="宋体" w:hAnsi="宋体"/>
          <w:b/>
          <w:color w:val="auto"/>
          <w:sz w:val="35"/>
          <w:szCs w:val="35"/>
          <w:lang w:eastAsia="zh-CN"/>
        </w:rPr>
        <w:t>格式</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w:t>
      </w:r>
      <w:r>
        <w:rPr>
          <w:rFonts w:hint="eastAsia" w:ascii="宋体" w:hAnsi="宋体"/>
          <w:b w:val="0"/>
          <w:bCs/>
          <w:color w:val="auto"/>
          <w:sz w:val="24"/>
          <w:szCs w:val="24"/>
          <w:lang w:eastAsia="zh-CN"/>
        </w:rPr>
        <w:t>投标人</w:t>
      </w:r>
      <w:r>
        <w:rPr>
          <w:rFonts w:hint="eastAsia" w:ascii="宋体" w:hAnsi="宋体"/>
          <w:b w:val="0"/>
          <w:bCs/>
          <w:color w:val="auto"/>
          <w:sz w:val="24"/>
          <w:szCs w:val="24"/>
        </w:rPr>
        <w:t>提供的货物既有中小企业制造货物，也有大型企业制造货物的，不享受本办法规定的中小企业扶持政策，无须提供本声明函。</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w:t>
      </w:r>
      <w:r>
        <w:rPr>
          <w:rFonts w:hint="eastAsia" w:ascii="宋体" w:hAnsi="宋体"/>
          <w:b w:val="0"/>
          <w:bCs/>
          <w:color w:val="auto"/>
          <w:sz w:val="24"/>
          <w:szCs w:val="24"/>
          <w:lang w:eastAsia="zh-CN"/>
        </w:rPr>
        <w:t>五</w:t>
      </w:r>
      <w:r>
        <w:rPr>
          <w:rFonts w:hint="eastAsia" w:ascii="宋体" w:hAnsi="宋体"/>
          <w:b w:val="0"/>
          <w:bCs/>
          <w:color w:val="auto"/>
          <w:sz w:val="24"/>
          <w:szCs w:val="24"/>
        </w:rPr>
        <w:t>部分采购需求中的采购清单，且须与采购清单中信息一致。</w:t>
      </w:r>
    </w:p>
    <w:p>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58"/>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18"/>
        <w:spacing w:before="4" w:line="360" w:lineRule="auto"/>
        <w:rPr>
          <w:rFonts w:hint="eastAsia" w:cs="宋体"/>
          <w:spacing w:val="3"/>
        </w:rPr>
      </w:pPr>
    </w:p>
    <w:p>
      <w:pPr>
        <w:spacing w:line="360" w:lineRule="auto"/>
        <w:rPr>
          <w:rFonts w:hint="eastAsia" w:ascii="宋体" w:hAnsi="宋体" w:cs="宋体"/>
          <w:color w:val="000000"/>
          <w:sz w:val="24"/>
        </w:rPr>
      </w:pPr>
    </w:p>
    <w:p>
      <w:pPr>
        <w:pStyle w:val="2"/>
        <w:ind w:left="0" w:leftChars="0" w:firstLine="0" w:firstLineChars="0"/>
        <w:rPr>
          <w:rFonts w:hint="eastAsia"/>
          <w:color w:val="FF0000"/>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2-10技术方案（应答本招标文件第五章“采购需求”中的具体要求，参照评标标准，格式自拟）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214" w:firstLineChars="1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
        <w:rPr>
          <w:rFonts w:hint="eastAsia"/>
          <w:color w:val="FF0000"/>
        </w:rPr>
      </w:pPr>
    </w:p>
    <w:p>
      <w:pPr>
        <w:spacing w:line="360" w:lineRule="auto"/>
        <w:outlineLvl w:val="2"/>
        <w:rPr>
          <w:rFonts w:hint="eastAsia" w:cs="宋体"/>
          <w:b/>
          <w:bCs/>
          <w:color w:val="auto"/>
          <w:kern w:val="0"/>
          <w:sz w:val="24"/>
          <w:szCs w:val="24"/>
          <w:highlight w:val="none"/>
        </w:rPr>
      </w:pPr>
      <w:r>
        <w:rPr>
          <w:rFonts w:hint="eastAsia" w:ascii="宋体" w:hAnsi="宋体" w:cs="宋体"/>
          <w:b/>
          <w:bCs/>
          <w:color w:val="auto"/>
          <w:sz w:val="24"/>
          <w:lang w:val="en-US" w:eastAsia="zh-CN"/>
        </w:rPr>
        <w:t>2-11</w:t>
      </w:r>
      <w:r>
        <w:rPr>
          <w:rFonts w:hint="eastAsia" w:cs="宋体"/>
          <w:b/>
          <w:bCs/>
          <w:color w:val="auto"/>
          <w:kern w:val="0"/>
          <w:sz w:val="24"/>
          <w:szCs w:val="24"/>
          <w:highlight w:val="none"/>
        </w:rPr>
        <w:t>服务开通承诺函（按招标文件要求提供相关材料，参照评标标准，格式自拟）</w:t>
      </w:r>
    </w:p>
    <w:p>
      <w:pPr>
        <w:pStyle w:val="2"/>
        <w:ind w:left="0" w:leftChars="0" w:firstLine="0" w:firstLineChars="0"/>
        <w:rPr>
          <w:rFonts w:hint="eastAsia"/>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2-12项目实施管理方案（应答本招标文件第五章“采购需求”中的具体要求，参照评标标准，格式自拟）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
        <w:ind w:left="0" w:leftChars="0" w:firstLine="214" w:firstLineChars="1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p>
    <w:p>
      <w:pPr>
        <w:spacing w:line="360" w:lineRule="auto"/>
        <w:outlineLvl w:val="2"/>
        <w:rPr>
          <w:rFonts w:hint="eastAsia" w:cs="宋体"/>
          <w:b/>
          <w:bCs/>
          <w:color w:val="auto"/>
          <w:kern w:val="0"/>
          <w:sz w:val="24"/>
          <w:szCs w:val="24"/>
          <w:highlight w:val="none"/>
        </w:rPr>
      </w:pPr>
      <w:r>
        <w:rPr>
          <w:rFonts w:hint="eastAsia" w:ascii="宋体" w:hAnsi="宋体" w:cs="宋体"/>
          <w:b/>
          <w:bCs/>
          <w:color w:val="auto"/>
          <w:sz w:val="24"/>
          <w:lang w:val="en-US" w:eastAsia="zh-CN"/>
        </w:rPr>
        <w:t>2-13</w:t>
      </w:r>
      <w:r>
        <w:rPr>
          <w:rFonts w:hint="eastAsia" w:cs="宋体"/>
          <w:b/>
          <w:bCs/>
          <w:color w:val="auto"/>
          <w:kern w:val="0"/>
          <w:sz w:val="24"/>
          <w:szCs w:val="24"/>
          <w:highlight w:val="none"/>
          <w:lang w:eastAsia="zh-CN"/>
        </w:rPr>
        <w:t>项目实施承诺</w:t>
      </w:r>
      <w:r>
        <w:rPr>
          <w:rFonts w:hint="eastAsia" w:cs="宋体"/>
          <w:b/>
          <w:bCs/>
          <w:color w:val="auto"/>
          <w:kern w:val="0"/>
          <w:sz w:val="24"/>
          <w:szCs w:val="24"/>
          <w:highlight w:val="none"/>
        </w:rPr>
        <w:t>（按招标文件要求提供相关材料，参照评标标准，格式自拟）</w:t>
      </w:r>
    </w:p>
    <w:p>
      <w:pPr>
        <w:pStyle w:val="2"/>
        <w:ind w:left="0" w:leftChars="0" w:firstLine="0" w:firstLineChars="0"/>
        <w:rPr>
          <w:rFonts w:hint="eastAsia" w:ascii="宋体" w:hAnsi="宋体" w:cs="宋体"/>
          <w:b/>
          <w:bCs/>
          <w:color w:val="FF0000"/>
          <w:spacing w:val="-13"/>
          <w:sz w:val="24"/>
          <w:szCs w:val="24"/>
          <w:lang w:val="en-US" w:eastAsia="zh-CN"/>
        </w:rPr>
      </w:pPr>
    </w:p>
    <w:p>
      <w:pPr>
        <w:pStyle w:val="2"/>
        <w:ind w:left="0" w:leftChars="0" w:firstLine="0" w:firstLineChars="0"/>
        <w:rPr>
          <w:rFonts w:hint="eastAsia" w:ascii="宋体" w:hAnsi="宋体" w:cs="宋体"/>
          <w:b/>
          <w:bCs/>
          <w:color w:val="auto"/>
          <w:spacing w:val="-13"/>
          <w:sz w:val="24"/>
          <w:szCs w:val="24"/>
          <w:lang w:val="en-US" w:eastAsia="zh-CN"/>
        </w:rPr>
      </w:pPr>
      <w:r>
        <w:rPr>
          <w:rFonts w:hint="eastAsia" w:ascii="宋体" w:hAnsi="宋体" w:cs="宋体"/>
          <w:b/>
          <w:bCs/>
          <w:color w:val="auto"/>
          <w:spacing w:val="-13"/>
          <w:sz w:val="24"/>
          <w:szCs w:val="24"/>
          <w:lang w:val="en-US" w:eastAsia="zh-CN"/>
        </w:rPr>
        <w:t>2-14投标人业绩（以签订日期为准，提供合同的复印件至少包含首页、合同标的、签字盖章页等能够说明合同内容的信息，并加盖投标人公章）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8"/>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
        <w:ind w:left="0" w:leftChars="0" w:firstLine="0" w:firstLineChars="0"/>
        <w:rPr>
          <w:rFonts w:hint="eastAsia" w:ascii="宋体" w:hAnsi="宋体" w:cs="宋体"/>
          <w:b/>
          <w:bCs/>
          <w:color w:val="auto"/>
          <w:spacing w:val="-13"/>
          <w:sz w:val="24"/>
          <w:szCs w:val="24"/>
          <w:lang w:val="en-US" w:eastAsia="zh-CN"/>
        </w:rPr>
      </w:pPr>
      <w:r>
        <w:rPr>
          <w:rFonts w:hint="eastAsia" w:ascii="宋体" w:hAnsi="宋体" w:cs="宋体"/>
          <w:b/>
          <w:bCs/>
          <w:color w:val="auto"/>
          <w:spacing w:val="-13"/>
          <w:sz w:val="24"/>
          <w:szCs w:val="24"/>
          <w:lang w:val="en-US" w:eastAsia="zh-CN"/>
        </w:rPr>
        <w:t>2-15 投标人认证证书（按招标文件要求提供相关材料，参照评标标准，格式自拟）</w:t>
      </w:r>
    </w:p>
    <w:p>
      <w:pPr>
        <w:pStyle w:val="2"/>
        <w:ind w:left="0" w:leftChars="0" w:firstLine="0" w:firstLineChars="0"/>
        <w:rPr>
          <w:rFonts w:hint="eastAsia" w:ascii="宋体" w:hAnsi="宋体" w:cs="宋体"/>
          <w:b/>
          <w:bCs/>
          <w:color w:val="auto"/>
          <w:spacing w:val="-13"/>
          <w:sz w:val="24"/>
          <w:szCs w:val="24"/>
          <w:lang w:val="en-US" w:eastAsia="zh-CN"/>
        </w:rPr>
      </w:pPr>
      <w:r>
        <w:rPr>
          <w:rFonts w:hint="eastAsia" w:ascii="宋体" w:hAnsi="宋体" w:eastAsia="宋体" w:cs="宋体"/>
          <w:b/>
          <w:bCs/>
          <w:color w:val="auto"/>
          <w:lang w:val="en-US" w:eastAsia="zh-CN"/>
        </w:rPr>
        <w:t>2-1</w:t>
      </w:r>
      <w:r>
        <w:rPr>
          <w:rFonts w:hint="eastAsia" w:ascii="宋体" w:hAnsi="宋体" w:cs="宋体"/>
          <w:b/>
          <w:bCs/>
          <w:color w:val="auto"/>
          <w:lang w:val="en-US" w:eastAsia="zh-CN"/>
        </w:rPr>
        <w:t>6</w:t>
      </w:r>
      <w:r>
        <w:rPr>
          <w:rFonts w:hint="eastAsia" w:ascii="宋体" w:hAnsi="宋体" w:eastAsia="宋体" w:cs="宋体"/>
          <w:b/>
          <w:bCs/>
          <w:color w:val="auto"/>
          <w:lang w:val="en-US" w:eastAsia="zh-CN"/>
        </w:rPr>
        <w:t>项目团队人员情况（按招标文件要求提供</w:t>
      </w:r>
      <w:r>
        <w:rPr>
          <w:rFonts w:hint="eastAsia" w:ascii="宋体" w:hAnsi="宋体" w:cs="宋体"/>
          <w:b/>
          <w:bCs/>
          <w:color w:val="auto"/>
          <w:lang w:val="en-US" w:eastAsia="zh-CN"/>
        </w:rPr>
        <w:t>人员配置方案及</w:t>
      </w:r>
      <w:r>
        <w:rPr>
          <w:rFonts w:hint="eastAsia" w:ascii="宋体" w:hAnsi="宋体" w:eastAsia="宋体" w:cs="宋体"/>
          <w:b/>
          <w:bCs/>
          <w:color w:val="auto"/>
          <w:lang w:val="en-US" w:eastAsia="zh-CN"/>
        </w:rPr>
        <w:t>相关</w:t>
      </w:r>
      <w:r>
        <w:rPr>
          <w:rFonts w:hint="eastAsia" w:ascii="宋体" w:hAnsi="宋体" w:cs="宋体"/>
          <w:b/>
          <w:bCs/>
          <w:color w:val="auto"/>
          <w:lang w:val="en-US" w:eastAsia="zh-CN"/>
        </w:rPr>
        <w:t>证明</w:t>
      </w:r>
      <w:r>
        <w:rPr>
          <w:rFonts w:hint="eastAsia" w:ascii="宋体" w:hAnsi="宋体" w:eastAsia="宋体" w:cs="宋体"/>
          <w:b/>
          <w:bCs/>
          <w:color w:val="auto"/>
          <w:lang w:val="en-US" w:eastAsia="zh-CN"/>
        </w:rPr>
        <w:t>材料，参照评标标准，格式自拟）</w:t>
      </w:r>
    </w:p>
    <w:p>
      <w:pPr>
        <w:pStyle w:val="2"/>
        <w:ind w:left="0" w:leftChars="0" w:firstLine="0" w:firstLineChars="0"/>
        <w:rPr>
          <w:rFonts w:hint="eastAsia" w:ascii="宋体" w:hAnsi="宋体" w:eastAsia="宋体" w:cs="宋体"/>
          <w:color w:val="auto"/>
          <w:spacing w:val="-13"/>
          <w:sz w:val="24"/>
          <w:szCs w:val="24"/>
        </w:rPr>
      </w:pPr>
      <w:r>
        <w:rPr>
          <w:rFonts w:hint="eastAsia" w:ascii="宋体" w:hAnsi="宋体" w:cs="宋体"/>
          <w:b/>
          <w:bCs/>
          <w:color w:val="auto"/>
          <w:sz w:val="24"/>
          <w:lang w:val="en-US" w:eastAsia="zh-CN"/>
        </w:rPr>
        <w:t>2-17应急保障服务方案（应答本招标文件第五章“采购需求”中的具体要求，参照评标标准，格式自拟）</w:t>
      </w:r>
    </w:p>
    <w:p>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214" w:firstLineChars="1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
        <w:ind w:left="0" w:leftChars="0" w:firstLine="0" w:firstLineChars="0"/>
        <w:rPr>
          <w:rFonts w:hint="eastAsia" w:ascii="宋体" w:hAnsi="宋体" w:eastAsia="宋体" w:cs="宋体"/>
          <w:color w:val="auto"/>
          <w:spacing w:val="-13"/>
          <w:sz w:val="24"/>
          <w:szCs w:val="24"/>
        </w:rPr>
      </w:pPr>
      <w:r>
        <w:rPr>
          <w:rFonts w:hint="eastAsia" w:ascii="宋体" w:hAnsi="宋体" w:cs="宋体"/>
          <w:b/>
          <w:bCs/>
          <w:color w:val="auto"/>
          <w:sz w:val="24"/>
          <w:lang w:val="en-US" w:eastAsia="zh-CN"/>
        </w:rPr>
        <w:t>2-18网络运行维护管理方案（应答本招标文件第五章“采购需求”中的具体要求，参照评标标准，格式自拟）</w:t>
      </w:r>
    </w:p>
    <w:p>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238" w:firstLineChars="10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
        <w:ind w:left="0" w:leftChars="0" w:firstLine="0" w:firstLineChars="0"/>
        <w:rPr>
          <w:rFonts w:hint="eastAsia"/>
          <w:color w:val="auto"/>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6"/>
        <w:ind w:left="0" w:leftChars="0" w:firstLine="0" w:firstLineChars="0"/>
        <w:rPr>
          <w:rFonts w:hint="eastAsia"/>
          <w:color w:val="auto"/>
        </w:rPr>
      </w:pPr>
    </w:p>
    <w:p>
      <w:pPr>
        <w:pStyle w:val="6"/>
        <w:rPr>
          <w:rFonts w:hint="eastAsia"/>
          <w:color w:val="auto"/>
          <w:lang w:val="en-US" w:eastAsia="zh-CN"/>
        </w:rPr>
      </w:pPr>
    </w:p>
    <w:p>
      <w:pPr>
        <w:spacing w:line="360" w:lineRule="auto"/>
        <w:outlineLvl w:val="2"/>
        <w:rPr>
          <w:rFonts w:hint="eastAsia" w:ascii="宋体" w:hAnsi="宋体"/>
          <w:b/>
          <w:bCs/>
          <w:color w:val="auto"/>
          <w:sz w:val="24"/>
          <w:szCs w:val="24"/>
        </w:rPr>
      </w:pPr>
      <w:r>
        <w:rPr>
          <w:rFonts w:hint="eastAsia" w:ascii="宋体" w:hAnsi="宋体"/>
          <w:b/>
          <w:bCs/>
          <w:color w:val="auto"/>
          <w:sz w:val="24"/>
          <w:szCs w:val="24"/>
          <w:lang w:val="en-US" w:eastAsia="zh-CN"/>
        </w:rPr>
        <w:t>2-</w:t>
      </w:r>
      <w:bookmarkStart w:id="233" w:name="OLE_LINK2"/>
      <w:r>
        <w:rPr>
          <w:rFonts w:hint="eastAsia" w:ascii="宋体" w:hAnsi="宋体"/>
          <w:b/>
          <w:bCs/>
          <w:color w:val="auto"/>
          <w:sz w:val="24"/>
          <w:szCs w:val="24"/>
          <w:lang w:val="en-US" w:eastAsia="zh-CN"/>
        </w:rPr>
        <w:t>19</w:t>
      </w:r>
      <w:r>
        <w:rPr>
          <w:rFonts w:hint="eastAsia" w:ascii="宋体" w:hAnsi="宋体"/>
          <w:b/>
          <w:bCs/>
          <w:color w:val="auto"/>
          <w:sz w:val="24"/>
          <w:szCs w:val="24"/>
        </w:rPr>
        <w:t>投标人认为有必要提供的其他文件</w:t>
      </w:r>
      <w:bookmarkEnd w:id="233"/>
    </w:p>
    <w:p>
      <w:pPr>
        <w:pStyle w:val="2"/>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2"/>
        <w:ind w:left="0" w:leftChars="0" w:firstLine="428" w:firstLineChars="200"/>
        <w:rPr>
          <w:rFonts w:hint="eastAsia" w:ascii="宋体" w:hAnsi="宋体" w:cs="宋体"/>
          <w:b/>
          <w:bCs/>
          <w:color w:val="FF0000"/>
          <w:sz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
        <w:ind w:left="0" w:leftChars="0" w:firstLine="0" w:firstLineChars="0"/>
        <w:rPr>
          <w:rFonts w:hint="eastAsia" w:ascii="宋体" w:hAnsi="宋体"/>
          <w:color w:val="auto"/>
          <w:sz w:val="24"/>
          <w:szCs w:val="24"/>
          <w:u w:val="none"/>
          <w:lang w:val="en-US" w:eastAsia="zh-CN"/>
        </w:rPr>
      </w:pPr>
    </w:p>
    <w:sectPr>
      <w:footerReference r:id="rId17"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Angsana New">
    <w:panose1 w:val="02020603050405020304"/>
    <w:charset w:val="DE"/>
    <w:family w:val="roman"/>
    <w:pitch w:val="default"/>
    <w:sig w:usb0="81000003" w:usb1="00000000" w:usb2="00000000" w:usb3="00000000" w:csb0="00010001" w:csb1="00000000"/>
  </w:font>
  <w:font w:name="幼圆">
    <w:altName w:val="宋体"/>
    <w:panose1 w:val="0201050906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MS PMincho">
    <w:panose1 w:val="02020600040205080304"/>
    <w:charset w:val="80"/>
    <w:family w:val="roman"/>
    <w:pitch w:val="default"/>
    <w:sig w:usb0="E00002FF" w:usb1="6AC7FDFB"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1002AFF" w:usb1="C0000002" w:usb2="00000008" w:usb3="00000000" w:csb0="200101FF" w:csb1="2028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DejaVuSans">
    <w:altName w:val="宋体"/>
    <w:panose1 w:val="00000000000000000000"/>
    <w:charset w:val="86"/>
    <w:family w:val="auto"/>
    <w:pitch w:val="default"/>
    <w:sig w:usb0="00000000" w:usb1="00000000" w:usb2="00000010" w:usb3="00000000" w:csb0="00040000" w:csb1="00000000"/>
  </w:font>
  <w:font w:name="TimesNewRomanPSMT">
    <w:altName w:val="Arial"/>
    <w:panose1 w:val="00000000000000000000"/>
    <w:charset w:val="00"/>
    <w:family w:val="swiss"/>
    <w:pitch w:val="default"/>
    <w:sig w:usb0="00000000" w:usb1="00000000" w:usb2="00000000" w:usb3="00000000" w:csb0="00000001" w:csb1="00000000"/>
  </w:font>
  <w:font w:name="FZSSK--GBK1-0">
    <w:altName w:val="宋体"/>
    <w:panose1 w:val="00000000000000000000"/>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Nyala">
    <w:panose1 w:val="02000504070300020003"/>
    <w:charset w:val="00"/>
    <w:family w:val="auto"/>
    <w:pitch w:val="default"/>
    <w:sig w:usb0="A000006F" w:usb1="00000000" w:usb2="00000800" w:usb3="00000000" w:csb0="00000093" w:csb1="00000000"/>
  </w:font>
  <w:font w:name="FZSSK--GBK1-0">
    <w:altName w:val="Segoe Print"/>
    <w:panose1 w:val="00000000000000000000"/>
    <w:charset w:val="00"/>
    <w:family w:val="auto"/>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昆仑楷体">
    <w:altName w:val="宋体"/>
    <w:panose1 w:val="00000000000000000000"/>
    <w:charset w:val="86"/>
    <w:family w:val="modern"/>
    <w:pitch w:val="default"/>
    <w:sig w:usb0="00000000" w:usb1="00000000" w:usb2="00000010" w:usb3="00000000" w:csb0="00040000"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MS Mincho">
    <w:panose1 w:val="02020609040205080304"/>
    <w:charset w:val="80"/>
    <w:family w:val="auto"/>
    <w:pitch w:val="default"/>
    <w:sig w:usb0="E00002FF" w:usb1="6AC7FDFB" w:usb2="00000012" w:usb3="00000000" w:csb0="4002009F" w:csb1="DFD70000"/>
  </w:font>
  <w:font w:name="华文中宋">
    <w:altName w:val="宋体"/>
    <w:panose1 w:val="00000000000000000000"/>
    <w:charset w:val="00"/>
    <w:family w:val="auto"/>
    <w:pitch w:val="default"/>
    <w:sig w:usb0="00000000" w:usb1="00000000" w:usb2="00000000" w:usb3="00000000" w:csb0="00000000" w:csb1="00000000"/>
  </w:font>
  <w:font w:name="Noto Music">
    <w:altName w:val="Segoe Print"/>
    <w:panose1 w:val="020B0502040504020204"/>
    <w:charset w:val="00"/>
    <w:family w:val="auto"/>
    <w:pitch w:val="default"/>
    <w:sig w:usb0="00000000" w:usb1="00000000" w:usb2="01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KSOFBE25B2F9">
    <w:altName w:val="宋体"/>
    <w:panose1 w:val="02000000000000000000"/>
    <w:charset w:val="86"/>
    <w:family w:val="auto"/>
    <w:pitch w:val="default"/>
    <w:sig w:usb0="00000000" w:usb1="00000000" w:usb2="00000000" w:usb3="00000000" w:csb0="00040001" w:csb1="00000000"/>
  </w:font>
  <w:font w:name="NanumGothic">
    <w:altName w:val="Malgun Gothic"/>
    <w:panose1 w:val="020D0604000000000000"/>
    <w:charset w:val="81"/>
    <w:family w:val="auto"/>
    <w:pitch w:val="default"/>
    <w:sig w:usb0="00000000" w:usb1="00000000" w:usb2="00000010" w:usb3="00000000" w:csb0="00080001" w:csb1="00000000"/>
  </w:font>
  <w:font w:name="Noto Sans">
    <w:altName w:val="Segoe Print"/>
    <w:panose1 w:val="020B0502040504020204"/>
    <w:charset w:val="00"/>
    <w:family w:val="auto"/>
    <w:pitch w:val="default"/>
    <w:sig w:usb0="00000000" w:usb1="00000000" w:usb2="08000029" w:usb3="00100000" w:csb0="0000019F" w:csb1="00000000"/>
  </w:font>
  <w:font w:name="思源宋体">
    <w:altName w:val="宋体"/>
    <w:panose1 w:val="02020500000000000000"/>
    <w:charset w:val="86"/>
    <w:family w:val="auto"/>
    <w:pitch w:val="default"/>
    <w:sig w:usb0="00000000" w:usb1="00000000" w:usb2="00000016" w:usb3="00000000" w:csb0="602E0107" w:csb1="00000000"/>
  </w:font>
  <w:font w:name="ksdb">
    <w:altName w:val="Vrinda"/>
    <w:panose1 w:val="02000500000000000000"/>
    <w:charset w:val="00"/>
    <w:family w:val="auto"/>
    <w:pitch w:val="default"/>
    <w:sig w:usb0="00000000" w:usb1="00000000" w:usb2="00000000" w:usb3="00000000" w:csb0="00000001" w:csb1="00000000"/>
  </w:font>
  <w:font w:name="汉仪君黑-35简">
    <w:altName w:val="黑体"/>
    <w:panose1 w:val="020B0604020202020204"/>
    <w:charset w:val="86"/>
    <w:family w:val="auto"/>
    <w:pitch w:val="default"/>
    <w:sig w:usb0="00000000" w:usb1="00000000" w:usb2="00000016" w:usb3="00000000" w:csb0="2004000F" w:csb1="00000000"/>
  </w:font>
  <w:font w:name="方正仿宋_GB2312">
    <w:altName w:val="仿宋"/>
    <w:panose1 w:val="02000000000000000000"/>
    <w:charset w:val="00"/>
    <w:family w:val="auto"/>
    <w:pitch w:val="default"/>
    <w:sig w:usb0="00000000" w:usb1="00000000" w:usb2="00000012" w:usb3="00000000" w:csb0="00040001" w:csb1="00000000"/>
  </w:font>
  <w:font w:name="Noto Sans Buginese">
    <w:altName w:val="Segoe Print"/>
    <w:panose1 w:val="020B0502040504020204"/>
    <w:charset w:val="00"/>
    <w:family w:val="auto"/>
    <w:pitch w:val="default"/>
    <w:sig w:usb0="00000000" w:usb1="00000000" w:usb2="00000000" w:usb3="00000001" w:csb0="00000001" w:csb1="00000000"/>
  </w:font>
  <w:font w:name="Wingdings 2">
    <w:altName w:val="Wingdings"/>
    <w:panose1 w:val="00000000000000000000"/>
    <w:charset w:val="00"/>
    <w:family w:val="auto"/>
    <w:pitch w:val="default"/>
    <w:sig w:usb0="00000000" w:usb1="00000000" w:usb2="00000000" w:usb3="00000000" w:csb0="00000000" w:csb1="00000000"/>
  </w:font>
  <w:font w:name="WPSEMBED17">
    <w:altName w:val="宋体"/>
    <w:panose1 w:val="02010600040101010101"/>
    <w:charset w:val="86"/>
    <w:family w:val="auto"/>
    <w:pitch w:val="default"/>
    <w:sig w:usb0="00000000" w:usb1="00000000" w:usb2="00000000" w:usb3="00000000" w:csb0="0004009F" w:csb1="DFD70000"/>
  </w:font>
  <w:font w:name="WPSEMBED18">
    <w:altName w:val="Segoe Print"/>
    <w:panose1 w:val="05020102010507070707"/>
    <w:charset w:val="00"/>
    <w:family w:val="auto"/>
    <w:pitch w:val="default"/>
    <w:sig w:usb0="00000000" w:usb1="00000000" w:usb2="00000000" w:usb3="00000000" w:csb0="80000000" w:csb1="00000000"/>
  </w:font>
  <w:font w:name="WPSEMBED19">
    <w:altName w:val="宋体"/>
    <w:panose1 w:val="02010609030101010101"/>
    <w:charset w:val="86"/>
    <w:family w:val="auto"/>
    <w:pitch w:val="default"/>
    <w:sig w:usb0="00000000" w:usb1="00000000" w:usb2="00000000" w:usb3="00000000" w:csb0="00040000" w:csb1="00000000"/>
  </w:font>
  <w:font w:name="Vrinda">
    <w:panose1 w:val="020B0502040204020203"/>
    <w:charset w:val="00"/>
    <w:family w:val="auto"/>
    <w:pitch w:val="default"/>
    <w:sig w:usb0="0001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7</w:t>
                    </w:r>
                    <w: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XGfzERAgAACQQAAA4AAABkcnMvZTJvRG9jLnhtbK1TzY7TMBC+I/EO&#10;lu80adEu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dcZ/MR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9203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920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Cg5bbv/AEAADYEAAAOAAAAAAAAAAEAIAAAACcBAABkcnMvZTJv&#10;RG9jLnhtbFBLBQYAAAAABgAGAFkBAACVBQ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1">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4">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5">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51A1ADD9"/>
    <w:multiLevelType w:val="singleLevel"/>
    <w:tmpl w:val="51A1ADD9"/>
    <w:lvl w:ilvl="0" w:tentative="0">
      <w:start w:val="2"/>
      <w:numFmt w:val="decimal"/>
      <w:lvlText w:val="%1."/>
      <w:lvlJc w:val="left"/>
      <w:pPr>
        <w:tabs>
          <w:tab w:val="left" w:pos="312"/>
        </w:tabs>
      </w:pPr>
    </w:lvl>
  </w:abstractNum>
  <w:abstractNum w:abstractNumId="15">
    <w:nsid w:val="5B662186"/>
    <w:multiLevelType w:val="multilevel"/>
    <w:tmpl w:val="5B662186"/>
    <w:lvl w:ilvl="0" w:tentative="0">
      <w:start w:val="1"/>
      <w:numFmt w:val="chineseCounting"/>
      <w:lvlText w:val="（%1）"/>
      <w:lvlJc w:val="left"/>
      <w:pPr>
        <w:ind w:left="703" w:hanging="420"/>
      </w:pPr>
      <w:rPr>
        <w:rFonts w:hint="eastAsia"/>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16">
    <w:nsid w:val="65143B66"/>
    <w:multiLevelType w:val="singleLevel"/>
    <w:tmpl w:val="65143B66"/>
    <w:lvl w:ilvl="0" w:tentative="0">
      <w:start w:val="1"/>
      <w:numFmt w:val="decimal"/>
      <w:lvlText w:val="%1."/>
      <w:lvlJc w:val="left"/>
      <w:pPr>
        <w:tabs>
          <w:tab w:val="left" w:pos="312"/>
        </w:tabs>
      </w:pPr>
    </w:lvl>
  </w:abstractNum>
  <w:abstractNum w:abstractNumId="17">
    <w:nsid w:val="67A9C9FC"/>
    <w:multiLevelType w:val="singleLevel"/>
    <w:tmpl w:val="67A9C9FC"/>
    <w:lvl w:ilvl="0" w:tentative="0">
      <w:start w:val="5"/>
      <w:numFmt w:val="chineseCounting"/>
      <w:suff w:val="space"/>
      <w:lvlText w:val="第%1章"/>
      <w:lvlJc w:val="left"/>
    </w:lvl>
  </w:abstractNum>
  <w:abstractNum w:abstractNumId="18">
    <w:nsid w:val="683909EC"/>
    <w:multiLevelType w:val="singleLevel"/>
    <w:tmpl w:val="683909EC"/>
    <w:lvl w:ilvl="0" w:tentative="0">
      <w:start w:val="2"/>
      <w:numFmt w:val="chineseCounting"/>
      <w:suff w:val="nothing"/>
      <w:lvlText w:val="%1、"/>
      <w:lvlJc w:val="left"/>
    </w:lvl>
  </w:abstractNum>
  <w:abstractNum w:abstractNumId="19">
    <w:nsid w:val="7E4FFF21"/>
    <w:multiLevelType w:val="singleLevel"/>
    <w:tmpl w:val="7E4FFF21"/>
    <w:lvl w:ilvl="0" w:tentative="0">
      <w:start w:val="1"/>
      <w:numFmt w:val="decimal"/>
      <w:suff w:val="nothing"/>
      <w:lvlText w:val="（%1）"/>
      <w:lvlJc w:val="left"/>
    </w:lvl>
  </w:abstractNum>
  <w:num w:numId="1">
    <w:abstractNumId w:val="0"/>
  </w:num>
  <w:num w:numId="2">
    <w:abstractNumId w:val="4"/>
  </w:num>
  <w:num w:numId="3">
    <w:abstractNumId w:val="1"/>
  </w:num>
  <w:num w:numId="4">
    <w:abstractNumId w:val="5"/>
  </w:num>
  <w:num w:numId="5">
    <w:abstractNumId w:val="7"/>
  </w:num>
  <w:num w:numId="6">
    <w:abstractNumId w:val="6"/>
  </w:num>
  <w:num w:numId="7">
    <w:abstractNumId w:val="3"/>
  </w:num>
  <w:num w:numId="8">
    <w:abstractNumId w:val="2"/>
  </w:num>
  <w:num w:numId="9">
    <w:abstractNumId w:val="14"/>
  </w:num>
  <w:num w:numId="10">
    <w:abstractNumId w:val="9"/>
  </w:num>
  <w:num w:numId="11">
    <w:abstractNumId w:val="12"/>
  </w:num>
  <w:num w:numId="12">
    <w:abstractNumId w:val="8"/>
  </w:num>
  <w:num w:numId="13">
    <w:abstractNumId w:val="18"/>
  </w:num>
  <w:num w:numId="14">
    <w:abstractNumId w:val="11"/>
  </w:num>
  <w:num w:numId="15">
    <w:abstractNumId w:val="16"/>
  </w:num>
  <w:num w:numId="16">
    <w:abstractNumId w:val="17"/>
  </w:num>
  <w:num w:numId="17">
    <w:abstractNumId w:val="15"/>
  </w:num>
  <w:num w:numId="18">
    <w:abstractNumId w:val="19"/>
  </w:num>
  <w:num w:numId="19">
    <w:abstractNumId w:val="1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05"/>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C1"/>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18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CBF"/>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5306FC"/>
    <w:rsid w:val="015B1D10"/>
    <w:rsid w:val="019610AF"/>
    <w:rsid w:val="019E6B17"/>
    <w:rsid w:val="01A93B28"/>
    <w:rsid w:val="01BA1597"/>
    <w:rsid w:val="01D2288C"/>
    <w:rsid w:val="01FA6456"/>
    <w:rsid w:val="020566AE"/>
    <w:rsid w:val="02075AE8"/>
    <w:rsid w:val="0209780D"/>
    <w:rsid w:val="0213766F"/>
    <w:rsid w:val="0219617A"/>
    <w:rsid w:val="02247C34"/>
    <w:rsid w:val="02407C3D"/>
    <w:rsid w:val="027805D6"/>
    <w:rsid w:val="028B7BC0"/>
    <w:rsid w:val="02955F3C"/>
    <w:rsid w:val="02A05858"/>
    <w:rsid w:val="02BF161C"/>
    <w:rsid w:val="02DF7FCE"/>
    <w:rsid w:val="032064E7"/>
    <w:rsid w:val="033436B5"/>
    <w:rsid w:val="033822ED"/>
    <w:rsid w:val="03855958"/>
    <w:rsid w:val="03971A79"/>
    <w:rsid w:val="0399389A"/>
    <w:rsid w:val="03CE0D19"/>
    <w:rsid w:val="03DB755F"/>
    <w:rsid w:val="03E06414"/>
    <w:rsid w:val="03E76B0C"/>
    <w:rsid w:val="03F10EA8"/>
    <w:rsid w:val="03F42FA9"/>
    <w:rsid w:val="040618AD"/>
    <w:rsid w:val="04246B5F"/>
    <w:rsid w:val="0446058F"/>
    <w:rsid w:val="04680950"/>
    <w:rsid w:val="04690431"/>
    <w:rsid w:val="04712A62"/>
    <w:rsid w:val="047356B1"/>
    <w:rsid w:val="0485477F"/>
    <w:rsid w:val="04C53F5B"/>
    <w:rsid w:val="04E348DB"/>
    <w:rsid w:val="04EC3396"/>
    <w:rsid w:val="04FA5522"/>
    <w:rsid w:val="04FD1D2D"/>
    <w:rsid w:val="05013FF0"/>
    <w:rsid w:val="050917D6"/>
    <w:rsid w:val="05224BE3"/>
    <w:rsid w:val="05280636"/>
    <w:rsid w:val="052E5C7E"/>
    <w:rsid w:val="053D0287"/>
    <w:rsid w:val="055D06BE"/>
    <w:rsid w:val="05724525"/>
    <w:rsid w:val="057B478F"/>
    <w:rsid w:val="058137A3"/>
    <w:rsid w:val="0586487E"/>
    <w:rsid w:val="05866E97"/>
    <w:rsid w:val="05954114"/>
    <w:rsid w:val="05C92ED4"/>
    <w:rsid w:val="05CC308B"/>
    <w:rsid w:val="05D576A0"/>
    <w:rsid w:val="05DD4D16"/>
    <w:rsid w:val="060743F1"/>
    <w:rsid w:val="061C4818"/>
    <w:rsid w:val="063D460A"/>
    <w:rsid w:val="063E0A78"/>
    <w:rsid w:val="06565F0F"/>
    <w:rsid w:val="065F16F5"/>
    <w:rsid w:val="066A4B99"/>
    <w:rsid w:val="066F4475"/>
    <w:rsid w:val="06723B26"/>
    <w:rsid w:val="0677686C"/>
    <w:rsid w:val="06885C3C"/>
    <w:rsid w:val="06932B20"/>
    <w:rsid w:val="069C2417"/>
    <w:rsid w:val="06A97C2E"/>
    <w:rsid w:val="06AB2C06"/>
    <w:rsid w:val="06E472B9"/>
    <w:rsid w:val="06FD64DA"/>
    <w:rsid w:val="07156F31"/>
    <w:rsid w:val="07195989"/>
    <w:rsid w:val="07487961"/>
    <w:rsid w:val="074D537D"/>
    <w:rsid w:val="075F66B9"/>
    <w:rsid w:val="076D5A73"/>
    <w:rsid w:val="07760549"/>
    <w:rsid w:val="0791008B"/>
    <w:rsid w:val="07A75A3B"/>
    <w:rsid w:val="07AF3E24"/>
    <w:rsid w:val="07CE7AC1"/>
    <w:rsid w:val="07DD6842"/>
    <w:rsid w:val="07E54168"/>
    <w:rsid w:val="080D0C27"/>
    <w:rsid w:val="088B467B"/>
    <w:rsid w:val="089A5072"/>
    <w:rsid w:val="08A318F8"/>
    <w:rsid w:val="08BB742D"/>
    <w:rsid w:val="08CD5D91"/>
    <w:rsid w:val="08E27B5D"/>
    <w:rsid w:val="09063EB5"/>
    <w:rsid w:val="09273A6D"/>
    <w:rsid w:val="09334456"/>
    <w:rsid w:val="09430E19"/>
    <w:rsid w:val="095262B0"/>
    <w:rsid w:val="09624E40"/>
    <w:rsid w:val="09865CBD"/>
    <w:rsid w:val="098705F9"/>
    <w:rsid w:val="09935341"/>
    <w:rsid w:val="09996E3E"/>
    <w:rsid w:val="099E5AD3"/>
    <w:rsid w:val="09A83CDB"/>
    <w:rsid w:val="09D3773D"/>
    <w:rsid w:val="09E42CBA"/>
    <w:rsid w:val="09EA131A"/>
    <w:rsid w:val="0A0C7DBE"/>
    <w:rsid w:val="0A2A5F07"/>
    <w:rsid w:val="0A67396E"/>
    <w:rsid w:val="0A7275B9"/>
    <w:rsid w:val="0A791B72"/>
    <w:rsid w:val="0A8141D0"/>
    <w:rsid w:val="0A9918A5"/>
    <w:rsid w:val="0AA43F61"/>
    <w:rsid w:val="0AAA0B39"/>
    <w:rsid w:val="0AAB7D65"/>
    <w:rsid w:val="0AD74E58"/>
    <w:rsid w:val="0AF87DC5"/>
    <w:rsid w:val="0B33553F"/>
    <w:rsid w:val="0B6202FE"/>
    <w:rsid w:val="0B636D31"/>
    <w:rsid w:val="0B645C01"/>
    <w:rsid w:val="0B660C1A"/>
    <w:rsid w:val="0B6E1798"/>
    <w:rsid w:val="0B851F21"/>
    <w:rsid w:val="0B8A5EA6"/>
    <w:rsid w:val="0B8B5DC2"/>
    <w:rsid w:val="0B8D01CD"/>
    <w:rsid w:val="0B926EDF"/>
    <w:rsid w:val="0B970E83"/>
    <w:rsid w:val="0B9E5D00"/>
    <w:rsid w:val="0BA4681F"/>
    <w:rsid w:val="0BB1066E"/>
    <w:rsid w:val="0BCD2E70"/>
    <w:rsid w:val="0BD01310"/>
    <w:rsid w:val="0BD116CD"/>
    <w:rsid w:val="0BDD509A"/>
    <w:rsid w:val="0BF84470"/>
    <w:rsid w:val="0C1F03ED"/>
    <w:rsid w:val="0C211FA7"/>
    <w:rsid w:val="0C462C4E"/>
    <w:rsid w:val="0C586080"/>
    <w:rsid w:val="0C777CB3"/>
    <w:rsid w:val="0CA72825"/>
    <w:rsid w:val="0CA97466"/>
    <w:rsid w:val="0CB076F6"/>
    <w:rsid w:val="0CB07C93"/>
    <w:rsid w:val="0CB83AC0"/>
    <w:rsid w:val="0CEC05AE"/>
    <w:rsid w:val="0D046D09"/>
    <w:rsid w:val="0D443FE3"/>
    <w:rsid w:val="0D475FEC"/>
    <w:rsid w:val="0D51690C"/>
    <w:rsid w:val="0D594B4C"/>
    <w:rsid w:val="0D621535"/>
    <w:rsid w:val="0D6A19A4"/>
    <w:rsid w:val="0D6C7581"/>
    <w:rsid w:val="0D881D67"/>
    <w:rsid w:val="0DA45344"/>
    <w:rsid w:val="0DA94DDF"/>
    <w:rsid w:val="0DDD5ACC"/>
    <w:rsid w:val="0DEA4AFF"/>
    <w:rsid w:val="0DED75D9"/>
    <w:rsid w:val="0E1858ED"/>
    <w:rsid w:val="0E1B3B90"/>
    <w:rsid w:val="0E1D3535"/>
    <w:rsid w:val="0E393559"/>
    <w:rsid w:val="0E3C1D67"/>
    <w:rsid w:val="0E694544"/>
    <w:rsid w:val="0E7E2C68"/>
    <w:rsid w:val="0E8A1321"/>
    <w:rsid w:val="0E8A1D99"/>
    <w:rsid w:val="0E9257A7"/>
    <w:rsid w:val="0EC07B9C"/>
    <w:rsid w:val="0EC468EB"/>
    <w:rsid w:val="0F1110B9"/>
    <w:rsid w:val="0F192BAB"/>
    <w:rsid w:val="0F266253"/>
    <w:rsid w:val="0F294DF1"/>
    <w:rsid w:val="0F295DEA"/>
    <w:rsid w:val="0F466078"/>
    <w:rsid w:val="0F5A04B9"/>
    <w:rsid w:val="0F5E6173"/>
    <w:rsid w:val="0F69322C"/>
    <w:rsid w:val="0F883043"/>
    <w:rsid w:val="0F9532BB"/>
    <w:rsid w:val="0FB91D4B"/>
    <w:rsid w:val="0FBB4AF9"/>
    <w:rsid w:val="0FD74732"/>
    <w:rsid w:val="0FE41B88"/>
    <w:rsid w:val="0FE603A9"/>
    <w:rsid w:val="0FFA092B"/>
    <w:rsid w:val="101000E7"/>
    <w:rsid w:val="10132E91"/>
    <w:rsid w:val="101611B8"/>
    <w:rsid w:val="101E79CF"/>
    <w:rsid w:val="102C2ED2"/>
    <w:rsid w:val="103C24E8"/>
    <w:rsid w:val="104D5524"/>
    <w:rsid w:val="10671B95"/>
    <w:rsid w:val="1073655C"/>
    <w:rsid w:val="109A7EF8"/>
    <w:rsid w:val="10A80300"/>
    <w:rsid w:val="10C22A64"/>
    <w:rsid w:val="10C761F7"/>
    <w:rsid w:val="10DD43F1"/>
    <w:rsid w:val="10FE5A6B"/>
    <w:rsid w:val="1111262D"/>
    <w:rsid w:val="11121593"/>
    <w:rsid w:val="11391213"/>
    <w:rsid w:val="113D7DAC"/>
    <w:rsid w:val="115B7B1C"/>
    <w:rsid w:val="11695CA6"/>
    <w:rsid w:val="11785937"/>
    <w:rsid w:val="11910661"/>
    <w:rsid w:val="11A258DB"/>
    <w:rsid w:val="11C15F89"/>
    <w:rsid w:val="11F17561"/>
    <w:rsid w:val="12094B54"/>
    <w:rsid w:val="120C1974"/>
    <w:rsid w:val="12634F8D"/>
    <w:rsid w:val="127D7F3F"/>
    <w:rsid w:val="129D0E02"/>
    <w:rsid w:val="12B075EA"/>
    <w:rsid w:val="12B82A9A"/>
    <w:rsid w:val="12CC5537"/>
    <w:rsid w:val="12D15108"/>
    <w:rsid w:val="12D57A4B"/>
    <w:rsid w:val="12DB732A"/>
    <w:rsid w:val="12E6615B"/>
    <w:rsid w:val="1303182D"/>
    <w:rsid w:val="13437A0A"/>
    <w:rsid w:val="135E65D1"/>
    <w:rsid w:val="13610B0C"/>
    <w:rsid w:val="13667F8A"/>
    <w:rsid w:val="136E3BCA"/>
    <w:rsid w:val="139E022A"/>
    <w:rsid w:val="13E55B38"/>
    <w:rsid w:val="13F61D29"/>
    <w:rsid w:val="13F87C86"/>
    <w:rsid w:val="14252271"/>
    <w:rsid w:val="14292642"/>
    <w:rsid w:val="14392877"/>
    <w:rsid w:val="143D3D8E"/>
    <w:rsid w:val="14452377"/>
    <w:rsid w:val="14583435"/>
    <w:rsid w:val="145A789D"/>
    <w:rsid w:val="146E67DD"/>
    <w:rsid w:val="146F01F8"/>
    <w:rsid w:val="147F6568"/>
    <w:rsid w:val="148236C8"/>
    <w:rsid w:val="14AD36C2"/>
    <w:rsid w:val="14C42DF6"/>
    <w:rsid w:val="14D94B55"/>
    <w:rsid w:val="14FF64A0"/>
    <w:rsid w:val="1511603E"/>
    <w:rsid w:val="153161C4"/>
    <w:rsid w:val="15334A09"/>
    <w:rsid w:val="15A818B7"/>
    <w:rsid w:val="160229C7"/>
    <w:rsid w:val="16053DB3"/>
    <w:rsid w:val="16211A53"/>
    <w:rsid w:val="16655A13"/>
    <w:rsid w:val="16682A2A"/>
    <w:rsid w:val="16BF0518"/>
    <w:rsid w:val="16D50D3F"/>
    <w:rsid w:val="16DC081C"/>
    <w:rsid w:val="16F4387B"/>
    <w:rsid w:val="171D2AE4"/>
    <w:rsid w:val="174317E4"/>
    <w:rsid w:val="17532BDD"/>
    <w:rsid w:val="17630C14"/>
    <w:rsid w:val="177D3AC3"/>
    <w:rsid w:val="179C1733"/>
    <w:rsid w:val="17A05589"/>
    <w:rsid w:val="17DB3A3E"/>
    <w:rsid w:val="17F93E0B"/>
    <w:rsid w:val="18036383"/>
    <w:rsid w:val="18087F33"/>
    <w:rsid w:val="180F6647"/>
    <w:rsid w:val="18316649"/>
    <w:rsid w:val="1836445A"/>
    <w:rsid w:val="186040EE"/>
    <w:rsid w:val="186F2CFF"/>
    <w:rsid w:val="188D49AD"/>
    <w:rsid w:val="18950F62"/>
    <w:rsid w:val="18A1133F"/>
    <w:rsid w:val="18A22BE5"/>
    <w:rsid w:val="18A81871"/>
    <w:rsid w:val="18C9511C"/>
    <w:rsid w:val="18DD31F3"/>
    <w:rsid w:val="18FB1EFE"/>
    <w:rsid w:val="19043F59"/>
    <w:rsid w:val="190E743C"/>
    <w:rsid w:val="195F6202"/>
    <w:rsid w:val="19667FA2"/>
    <w:rsid w:val="19720619"/>
    <w:rsid w:val="198314DC"/>
    <w:rsid w:val="199C76CF"/>
    <w:rsid w:val="19A84768"/>
    <w:rsid w:val="19BD241B"/>
    <w:rsid w:val="19C64DD2"/>
    <w:rsid w:val="19E173D2"/>
    <w:rsid w:val="19E55A33"/>
    <w:rsid w:val="19E8295D"/>
    <w:rsid w:val="19F01C44"/>
    <w:rsid w:val="1A0528D8"/>
    <w:rsid w:val="1A082241"/>
    <w:rsid w:val="1A114FE2"/>
    <w:rsid w:val="1A151EE0"/>
    <w:rsid w:val="1A236C8F"/>
    <w:rsid w:val="1A361916"/>
    <w:rsid w:val="1A4C3E2C"/>
    <w:rsid w:val="1A5C42FF"/>
    <w:rsid w:val="1A7A5B06"/>
    <w:rsid w:val="1A8A46A0"/>
    <w:rsid w:val="1A9075A3"/>
    <w:rsid w:val="1AB1245E"/>
    <w:rsid w:val="1AD01CF4"/>
    <w:rsid w:val="1ADA749F"/>
    <w:rsid w:val="1AE7527D"/>
    <w:rsid w:val="1AFD7DE7"/>
    <w:rsid w:val="1B00527A"/>
    <w:rsid w:val="1B1E64D9"/>
    <w:rsid w:val="1B45409F"/>
    <w:rsid w:val="1B47366A"/>
    <w:rsid w:val="1B56247E"/>
    <w:rsid w:val="1B56687C"/>
    <w:rsid w:val="1B7A79A2"/>
    <w:rsid w:val="1B88172B"/>
    <w:rsid w:val="1B942642"/>
    <w:rsid w:val="1BB73841"/>
    <w:rsid w:val="1BC12AB7"/>
    <w:rsid w:val="1BDA29E3"/>
    <w:rsid w:val="1BF24C8C"/>
    <w:rsid w:val="1BFC0E50"/>
    <w:rsid w:val="1C1C00BE"/>
    <w:rsid w:val="1C274A16"/>
    <w:rsid w:val="1C2D08BF"/>
    <w:rsid w:val="1C455CA5"/>
    <w:rsid w:val="1C5C2C81"/>
    <w:rsid w:val="1C621556"/>
    <w:rsid w:val="1C636073"/>
    <w:rsid w:val="1C7A4325"/>
    <w:rsid w:val="1C824727"/>
    <w:rsid w:val="1CA65601"/>
    <w:rsid w:val="1CA665FA"/>
    <w:rsid w:val="1CAF3868"/>
    <w:rsid w:val="1CCC4623"/>
    <w:rsid w:val="1CD36C5B"/>
    <w:rsid w:val="1CEB1AD9"/>
    <w:rsid w:val="1CF1781E"/>
    <w:rsid w:val="1D0118C7"/>
    <w:rsid w:val="1D0336FA"/>
    <w:rsid w:val="1D056966"/>
    <w:rsid w:val="1D1538A4"/>
    <w:rsid w:val="1D17145F"/>
    <w:rsid w:val="1D1E0A50"/>
    <w:rsid w:val="1D2109B3"/>
    <w:rsid w:val="1D2300D4"/>
    <w:rsid w:val="1D2C69D2"/>
    <w:rsid w:val="1D37260E"/>
    <w:rsid w:val="1D4110BC"/>
    <w:rsid w:val="1D451205"/>
    <w:rsid w:val="1D57770E"/>
    <w:rsid w:val="1D7D102F"/>
    <w:rsid w:val="1D8C721C"/>
    <w:rsid w:val="1D9E303B"/>
    <w:rsid w:val="1DA2343A"/>
    <w:rsid w:val="1DAD522A"/>
    <w:rsid w:val="1DE04A98"/>
    <w:rsid w:val="1DEF78D2"/>
    <w:rsid w:val="1E022962"/>
    <w:rsid w:val="1E17772B"/>
    <w:rsid w:val="1E2C7679"/>
    <w:rsid w:val="1E2E169A"/>
    <w:rsid w:val="1E4B6E8E"/>
    <w:rsid w:val="1E4C7BD1"/>
    <w:rsid w:val="1E5E262B"/>
    <w:rsid w:val="1E6B4E27"/>
    <w:rsid w:val="1E7A4D1D"/>
    <w:rsid w:val="1EAF2087"/>
    <w:rsid w:val="1ECD26EF"/>
    <w:rsid w:val="1EDD1986"/>
    <w:rsid w:val="1EFA2F0E"/>
    <w:rsid w:val="1EFD6054"/>
    <w:rsid w:val="1EFE6169"/>
    <w:rsid w:val="1F02458E"/>
    <w:rsid w:val="1F466D8F"/>
    <w:rsid w:val="1F4922F0"/>
    <w:rsid w:val="1F5D50DF"/>
    <w:rsid w:val="1F666FA6"/>
    <w:rsid w:val="1F6D5680"/>
    <w:rsid w:val="1F7C2EC0"/>
    <w:rsid w:val="1FA17F79"/>
    <w:rsid w:val="1FA25157"/>
    <w:rsid w:val="1FB057D2"/>
    <w:rsid w:val="1FBB0A86"/>
    <w:rsid w:val="1FBF7DA5"/>
    <w:rsid w:val="1FC45BEE"/>
    <w:rsid w:val="1FE21FC1"/>
    <w:rsid w:val="1FF16B7D"/>
    <w:rsid w:val="1FFE7725"/>
    <w:rsid w:val="200265E3"/>
    <w:rsid w:val="2041008A"/>
    <w:rsid w:val="20463C42"/>
    <w:rsid w:val="20505B77"/>
    <w:rsid w:val="20620629"/>
    <w:rsid w:val="208257A3"/>
    <w:rsid w:val="20915573"/>
    <w:rsid w:val="209C1A89"/>
    <w:rsid w:val="20A21D6F"/>
    <w:rsid w:val="20A64C03"/>
    <w:rsid w:val="20A67D42"/>
    <w:rsid w:val="20A71F4F"/>
    <w:rsid w:val="20BE42E1"/>
    <w:rsid w:val="20D5472E"/>
    <w:rsid w:val="20E71F9F"/>
    <w:rsid w:val="20F81F96"/>
    <w:rsid w:val="21174BF4"/>
    <w:rsid w:val="213B49FD"/>
    <w:rsid w:val="21443E0D"/>
    <w:rsid w:val="214771FE"/>
    <w:rsid w:val="2178380F"/>
    <w:rsid w:val="218E32F6"/>
    <w:rsid w:val="21D46BE4"/>
    <w:rsid w:val="21F75BA5"/>
    <w:rsid w:val="22107AF3"/>
    <w:rsid w:val="2233452D"/>
    <w:rsid w:val="22451AB9"/>
    <w:rsid w:val="225873EA"/>
    <w:rsid w:val="225C6F89"/>
    <w:rsid w:val="22601823"/>
    <w:rsid w:val="22623DD5"/>
    <w:rsid w:val="226866BE"/>
    <w:rsid w:val="229476D3"/>
    <w:rsid w:val="22A95ADE"/>
    <w:rsid w:val="22B17F9D"/>
    <w:rsid w:val="22BD5004"/>
    <w:rsid w:val="22BD7A0A"/>
    <w:rsid w:val="22E73498"/>
    <w:rsid w:val="230126BC"/>
    <w:rsid w:val="231805F5"/>
    <w:rsid w:val="231B032A"/>
    <w:rsid w:val="23320144"/>
    <w:rsid w:val="23373D3A"/>
    <w:rsid w:val="234A0787"/>
    <w:rsid w:val="23672B14"/>
    <w:rsid w:val="239E00B4"/>
    <w:rsid w:val="23A128D5"/>
    <w:rsid w:val="23BD1996"/>
    <w:rsid w:val="2409467A"/>
    <w:rsid w:val="24111CD9"/>
    <w:rsid w:val="241172CD"/>
    <w:rsid w:val="2423211D"/>
    <w:rsid w:val="244A5173"/>
    <w:rsid w:val="246B4C53"/>
    <w:rsid w:val="247B74CA"/>
    <w:rsid w:val="248D10AB"/>
    <w:rsid w:val="249F0F19"/>
    <w:rsid w:val="24B24CD6"/>
    <w:rsid w:val="24B6092B"/>
    <w:rsid w:val="24D00567"/>
    <w:rsid w:val="24D131E3"/>
    <w:rsid w:val="24D467CB"/>
    <w:rsid w:val="24E84040"/>
    <w:rsid w:val="250B2958"/>
    <w:rsid w:val="25104698"/>
    <w:rsid w:val="25170D9F"/>
    <w:rsid w:val="251E74A4"/>
    <w:rsid w:val="2536485B"/>
    <w:rsid w:val="254B13D2"/>
    <w:rsid w:val="25634A0A"/>
    <w:rsid w:val="2566542B"/>
    <w:rsid w:val="256F6760"/>
    <w:rsid w:val="25720A56"/>
    <w:rsid w:val="25815539"/>
    <w:rsid w:val="259D2BCF"/>
    <w:rsid w:val="25BB705C"/>
    <w:rsid w:val="25C85FF8"/>
    <w:rsid w:val="25CA477C"/>
    <w:rsid w:val="25FF765A"/>
    <w:rsid w:val="26020C74"/>
    <w:rsid w:val="26125556"/>
    <w:rsid w:val="261C663D"/>
    <w:rsid w:val="26354088"/>
    <w:rsid w:val="26431709"/>
    <w:rsid w:val="26585055"/>
    <w:rsid w:val="265B22B1"/>
    <w:rsid w:val="267470F2"/>
    <w:rsid w:val="267F5518"/>
    <w:rsid w:val="26946331"/>
    <w:rsid w:val="26C6494B"/>
    <w:rsid w:val="26CD477E"/>
    <w:rsid w:val="26E637B8"/>
    <w:rsid w:val="26F926C6"/>
    <w:rsid w:val="270F656A"/>
    <w:rsid w:val="272754B0"/>
    <w:rsid w:val="272F75A6"/>
    <w:rsid w:val="273E38C0"/>
    <w:rsid w:val="274D7FB9"/>
    <w:rsid w:val="27824473"/>
    <w:rsid w:val="27843CE5"/>
    <w:rsid w:val="27862673"/>
    <w:rsid w:val="278D4CCB"/>
    <w:rsid w:val="27A23263"/>
    <w:rsid w:val="27AC5CEC"/>
    <w:rsid w:val="27BF7295"/>
    <w:rsid w:val="27CD1960"/>
    <w:rsid w:val="27DD47D4"/>
    <w:rsid w:val="27DE31C0"/>
    <w:rsid w:val="27ED4992"/>
    <w:rsid w:val="27FC4233"/>
    <w:rsid w:val="2814723F"/>
    <w:rsid w:val="28290BC0"/>
    <w:rsid w:val="28386654"/>
    <w:rsid w:val="2839497A"/>
    <w:rsid w:val="283A6B48"/>
    <w:rsid w:val="28446059"/>
    <w:rsid w:val="285427BA"/>
    <w:rsid w:val="28756B84"/>
    <w:rsid w:val="28793E20"/>
    <w:rsid w:val="287A361C"/>
    <w:rsid w:val="287C281D"/>
    <w:rsid w:val="287E6156"/>
    <w:rsid w:val="28886BF5"/>
    <w:rsid w:val="288A6DDD"/>
    <w:rsid w:val="28914BF0"/>
    <w:rsid w:val="28A30C8C"/>
    <w:rsid w:val="28CC2370"/>
    <w:rsid w:val="28F03276"/>
    <w:rsid w:val="28FB3A1C"/>
    <w:rsid w:val="290D7CAF"/>
    <w:rsid w:val="291D0EA3"/>
    <w:rsid w:val="29724D07"/>
    <w:rsid w:val="299A42F9"/>
    <w:rsid w:val="29A53857"/>
    <w:rsid w:val="29C86741"/>
    <w:rsid w:val="29DE3EC9"/>
    <w:rsid w:val="29E2223C"/>
    <w:rsid w:val="29EE3E28"/>
    <w:rsid w:val="2A046B81"/>
    <w:rsid w:val="2A0A2709"/>
    <w:rsid w:val="2A0F1E0F"/>
    <w:rsid w:val="2A36737A"/>
    <w:rsid w:val="2A3E2F8B"/>
    <w:rsid w:val="2A4028F6"/>
    <w:rsid w:val="2A4C1CE5"/>
    <w:rsid w:val="2A7725A2"/>
    <w:rsid w:val="2A8E1F66"/>
    <w:rsid w:val="2AA607D0"/>
    <w:rsid w:val="2AB313EC"/>
    <w:rsid w:val="2AB80D2D"/>
    <w:rsid w:val="2ABB3C90"/>
    <w:rsid w:val="2ABE0260"/>
    <w:rsid w:val="2ACE7DBF"/>
    <w:rsid w:val="2AE97A1A"/>
    <w:rsid w:val="2B0A6D2B"/>
    <w:rsid w:val="2B1101CC"/>
    <w:rsid w:val="2B2E289C"/>
    <w:rsid w:val="2B3128A3"/>
    <w:rsid w:val="2B4324C3"/>
    <w:rsid w:val="2B4350B7"/>
    <w:rsid w:val="2B447DC8"/>
    <w:rsid w:val="2B6B0C83"/>
    <w:rsid w:val="2B794137"/>
    <w:rsid w:val="2B936AAC"/>
    <w:rsid w:val="2BBA3899"/>
    <w:rsid w:val="2BCF4D78"/>
    <w:rsid w:val="2BD1105A"/>
    <w:rsid w:val="2BD817B9"/>
    <w:rsid w:val="2BDF404C"/>
    <w:rsid w:val="2BEC74A0"/>
    <w:rsid w:val="2C0A3257"/>
    <w:rsid w:val="2C0B7D36"/>
    <w:rsid w:val="2C641F48"/>
    <w:rsid w:val="2C6F45F1"/>
    <w:rsid w:val="2C771684"/>
    <w:rsid w:val="2C923005"/>
    <w:rsid w:val="2C946733"/>
    <w:rsid w:val="2C9C223C"/>
    <w:rsid w:val="2C9D0FA5"/>
    <w:rsid w:val="2CAB7B7C"/>
    <w:rsid w:val="2CC23898"/>
    <w:rsid w:val="2CF72DF5"/>
    <w:rsid w:val="2D0A107E"/>
    <w:rsid w:val="2D0A4B9A"/>
    <w:rsid w:val="2D2058C4"/>
    <w:rsid w:val="2D26209C"/>
    <w:rsid w:val="2D3D5F71"/>
    <w:rsid w:val="2D3F0882"/>
    <w:rsid w:val="2D446FD6"/>
    <w:rsid w:val="2D615918"/>
    <w:rsid w:val="2D676EAB"/>
    <w:rsid w:val="2D701F55"/>
    <w:rsid w:val="2D8E531C"/>
    <w:rsid w:val="2DA50CE2"/>
    <w:rsid w:val="2DAC6040"/>
    <w:rsid w:val="2DB435EE"/>
    <w:rsid w:val="2DB81406"/>
    <w:rsid w:val="2DC818F0"/>
    <w:rsid w:val="2DDC6680"/>
    <w:rsid w:val="2DEF33C1"/>
    <w:rsid w:val="2DF23207"/>
    <w:rsid w:val="2DF826AF"/>
    <w:rsid w:val="2E0208A2"/>
    <w:rsid w:val="2E0B29EF"/>
    <w:rsid w:val="2E236C60"/>
    <w:rsid w:val="2E321FE3"/>
    <w:rsid w:val="2E4014FF"/>
    <w:rsid w:val="2E5846B0"/>
    <w:rsid w:val="2E5B4B54"/>
    <w:rsid w:val="2E720E2D"/>
    <w:rsid w:val="2E813748"/>
    <w:rsid w:val="2E880521"/>
    <w:rsid w:val="2E8D65B6"/>
    <w:rsid w:val="2E980851"/>
    <w:rsid w:val="2EAC19F6"/>
    <w:rsid w:val="2EDE7BE9"/>
    <w:rsid w:val="2EF35FAE"/>
    <w:rsid w:val="2F151AED"/>
    <w:rsid w:val="2F2D7240"/>
    <w:rsid w:val="2F347AF2"/>
    <w:rsid w:val="2F4252D7"/>
    <w:rsid w:val="2F6B6A2C"/>
    <w:rsid w:val="2FCB4DE2"/>
    <w:rsid w:val="2FE26E16"/>
    <w:rsid w:val="300C0DE6"/>
    <w:rsid w:val="30137A60"/>
    <w:rsid w:val="302F0CE1"/>
    <w:rsid w:val="304B5EE8"/>
    <w:rsid w:val="304C5128"/>
    <w:rsid w:val="30501228"/>
    <w:rsid w:val="305C4091"/>
    <w:rsid w:val="306730ED"/>
    <w:rsid w:val="308C4771"/>
    <w:rsid w:val="30B510B1"/>
    <w:rsid w:val="30C362EE"/>
    <w:rsid w:val="30CE3C5E"/>
    <w:rsid w:val="30E24176"/>
    <w:rsid w:val="30EC6CFD"/>
    <w:rsid w:val="30F635EA"/>
    <w:rsid w:val="31023BA7"/>
    <w:rsid w:val="31360245"/>
    <w:rsid w:val="313C3B2F"/>
    <w:rsid w:val="31532902"/>
    <w:rsid w:val="315A1912"/>
    <w:rsid w:val="31AF493B"/>
    <w:rsid w:val="31C76822"/>
    <w:rsid w:val="32015D18"/>
    <w:rsid w:val="322501A8"/>
    <w:rsid w:val="322D1612"/>
    <w:rsid w:val="323E7FB7"/>
    <w:rsid w:val="324C6F35"/>
    <w:rsid w:val="326230C3"/>
    <w:rsid w:val="3280567D"/>
    <w:rsid w:val="328732E2"/>
    <w:rsid w:val="32A055A3"/>
    <w:rsid w:val="32BA7A4E"/>
    <w:rsid w:val="32C037B0"/>
    <w:rsid w:val="32D06C7A"/>
    <w:rsid w:val="32EB653A"/>
    <w:rsid w:val="32FE1168"/>
    <w:rsid w:val="33137B52"/>
    <w:rsid w:val="33142F04"/>
    <w:rsid w:val="331F336B"/>
    <w:rsid w:val="33206D52"/>
    <w:rsid w:val="33230A25"/>
    <w:rsid w:val="33240D85"/>
    <w:rsid w:val="332A5582"/>
    <w:rsid w:val="332B7A03"/>
    <w:rsid w:val="332F7F90"/>
    <w:rsid w:val="33363A11"/>
    <w:rsid w:val="333A2992"/>
    <w:rsid w:val="3358075B"/>
    <w:rsid w:val="335A10C6"/>
    <w:rsid w:val="335C70A5"/>
    <w:rsid w:val="336F5246"/>
    <w:rsid w:val="33B34D01"/>
    <w:rsid w:val="33B46C53"/>
    <w:rsid w:val="33FD2D8D"/>
    <w:rsid w:val="33FF6811"/>
    <w:rsid w:val="34036B67"/>
    <w:rsid w:val="34037417"/>
    <w:rsid w:val="34123CFD"/>
    <w:rsid w:val="34140900"/>
    <w:rsid w:val="342C426D"/>
    <w:rsid w:val="34431E93"/>
    <w:rsid w:val="34464C6F"/>
    <w:rsid w:val="344A69F0"/>
    <w:rsid w:val="34550536"/>
    <w:rsid w:val="346C0023"/>
    <w:rsid w:val="347D57E3"/>
    <w:rsid w:val="348922EA"/>
    <w:rsid w:val="34C02EFD"/>
    <w:rsid w:val="34CE77C2"/>
    <w:rsid w:val="3502205A"/>
    <w:rsid w:val="35116EC1"/>
    <w:rsid w:val="35152803"/>
    <w:rsid w:val="35230DBE"/>
    <w:rsid w:val="353020EE"/>
    <w:rsid w:val="35344A5B"/>
    <w:rsid w:val="35583716"/>
    <w:rsid w:val="355E296A"/>
    <w:rsid w:val="357861EF"/>
    <w:rsid w:val="358C03F0"/>
    <w:rsid w:val="359623AB"/>
    <w:rsid w:val="35EA3D03"/>
    <w:rsid w:val="360D79B6"/>
    <w:rsid w:val="364A0032"/>
    <w:rsid w:val="36565878"/>
    <w:rsid w:val="366660D2"/>
    <w:rsid w:val="36914AEF"/>
    <w:rsid w:val="369A7B88"/>
    <w:rsid w:val="36C41057"/>
    <w:rsid w:val="36D111BC"/>
    <w:rsid w:val="37045E50"/>
    <w:rsid w:val="372B1537"/>
    <w:rsid w:val="373332CF"/>
    <w:rsid w:val="37556407"/>
    <w:rsid w:val="378400EB"/>
    <w:rsid w:val="37B409D1"/>
    <w:rsid w:val="37B51A85"/>
    <w:rsid w:val="37B8105E"/>
    <w:rsid w:val="37CE1367"/>
    <w:rsid w:val="37D40D65"/>
    <w:rsid w:val="38024DBB"/>
    <w:rsid w:val="381468B7"/>
    <w:rsid w:val="381C797C"/>
    <w:rsid w:val="383F3B2A"/>
    <w:rsid w:val="384509E7"/>
    <w:rsid w:val="38963B12"/>
    <w:rsid w:val="38A2244C"/>
    <w:rsid w:val="38A45FD6"/>
    <w:rsid w:val="38AE142B"/>
    <w:rsid w:val="390A23F6"/>
    <w:rsid w:val="390F4D06"/>
    <w:rsid w:val="39300B64"/>
    <w:rsid w:val="39522CEE"/>
    <w:rsid w:val="39736CE6"/>
    <w:rsid w:val="39891433"/>
    <w:rsid w:val="398C1D20"/>
    <w:rsid w:val="39946986"/>
    <w:rsid w:val="399D36E6"/>
    <w:rsid w:val="39B8405F"/>
    <w:rsid w:val="39D177DC"/>
    <w:rsid w:val="39D44A69"/>
    <w:rsid w:val="39DC1343"/>
    <w:rsid w:val="3A090FFB"/>
    <w:rsid w:val="3A0F00F2"/>
    <w:rsid w:val="3A230A2B"/>
    <w:rsid w:val="3A3A1E33"/>
    <w:rsid w:val="3A444FA5"/>
    <w:rsid w:val="3A734F90"/>
    <w:rsid w:val="3A737424"/>
    <w:rsid w:val="3A780677"/>
    <w:rsid w:val="3A81181E"/>
    <w:rsid w:val="3A83170F"/>
    <w:rsid w:val="3A8874F8"/>
    <w:rsid w:val="3AB42E15"/>
    <w:rsid w:val="3AB848B6"/>
    <w:rsid w:val="3ABD3B0B"/>
    <w:rsid w:val="3AC52321"/>
    <w:rsid w:val="3AEF7299"/>
    <w:rsid w:val="3B032848"/>
    <w:rsid w:val="3B084243"/>
    <w:rsid w:val="3B173B7F"/>
    <w:rsid w:val="3B552124"/>
    <w:rsid w:val="3B8A37F6"/>
    <w:rsid w:val="3BB51BE7"/>
    <w:rsid w:val="3BB5602D"/>
    <w:rsid w:val="3BCB6780"/>
    <w:rsid w:val="3BDB79E4"/>
    <w:rsid w:val="3BDF2AA0"/>
    <w:rsid w:val="3BE000B5"/>
    <w:rsid w:val="3C1A2DCC"/>
    <w:rsid w:val="3C2F1602"/>
    <w:rsid w:val="3C316275"/>
    <w:rsid w:val="3C474553"/>
    <w:rsid w:val="3C790000"/>
    <w:rsid w:val="3C812E4B"/>
    <w:rsid w:val="3C835AEF"/>
    <w:rsid w:val="3C8B27F5"/>
    <w:rsid w:val="3C9259A8"/>
    <w:rsid w:val="3C9B0915"/>
    <w:rsid w:val="3CAD468A"/>
    <w:rsid w:val="3CBA00A9"/>
    <w:rsid w:val="3CBB490A"/>
    <w:rsid w:val="3CC45A9B"/>
    <w:rsid w:val="3CC64E47"/>
    <w:rsid w:val="3CED41DF"/>
    <w:rsid w:val="3CF24261"/>
    <w:rsid w:val="3CF37F43"/>
    <w:rsid w:val="3D036E69"/>
    <w:rsid w:val="3D0515F3"/>
    <w:rsid w:val="3D0C5052"/>
    <w:rsid w:val="3D25588D"/>
    <w:rsid w:val="3D2C1884"/>
    <w:rsid w:val="3D344060"/>
    <w:rsid w:val="3D4726E3"/>
    <w:rsid w:val="3D4B047C"/>
    <w:rsid w:val="3D660C6F"/>
    <w:rsid w:val="3D700F04"/>
    <w:rsid w:val="3D70539A"/>
    <w:rsid w:val="3D8A2EA8"/>
    <w:rsid w:val="3DA742B0"/>
    <w:rsid w:val="3DB03A87"/>
    <w:rsid w:val="3DCA3E8D"/>
    <w:rsid w:val="3DCA5E55"/>
    <w:rsid w:val="3DD27E02"/>
    <w:rsid w:val="3DDE537D"/>
    <w:rsid w:val="3DE23989"/>
    <w:rsid w:val="3DE625C4"/>
    <w:rsid w:val="3DE80FFB"/>
    <w:rsid w:val="3DEE2FF0"/>
    <w:rsid w:val="3DF3242E"/>
    <w:rsid w:val="3DFA04AC"/>
    <w:rsid w:val="3DFD5B5F"/>
    <w:rsid w:val="3E0458A5"/>
    <w:rsid w:val="3E0C6264"/>
    <w:rsid w:val="3E115B60"/>
    <w:rsid w:val="3E29533A"/>
    <w:rsid w:val="3E4563F0"/>
    <w:rsid w:val="3E4E31BD"/>
    <w:rsid w:val="3E561028"/>
    <w:rsid w:val="3E5B3B13"/>
    <w:rsid w:val="3E63229A"/>
    <w:rsid w:val="3E74186F"/>
    <w:rsid w:val="3E960243"/>
    <w:rsid w:val="3E9F72FD"/>
    <w:rsid w:val="3EA17808"/>
    <w:rsid w:val="3EAD1741"/>
    <w:rsid w:val="3EC55A5E"/>
    <w:rsid w:val="3EC65BCF"/>
    <w:rsid w:val="3ECB55D4"/>
    <w:rsid w:val="3ECE1735"/>
    <w:rsid w:val="3EE00869"/>
    <w:rsid w:val="3EE214AB"/>
    <w:rsid w:val="3F241FCA"/>
    <w:rsid w:val="3F3863D7"/>
    <w:rsid w:val="3F45173E"/>
    <w:rsid w:val="3F570DC3"/>
    <w:rsid w:val="3F573A7F"/>
    <w:rsid w:val="3F5C6305"/>
    <w:rsid w:val="3F5E6047"/>
    <w:rsid w:val="3F7612B0"/>
    <w:rsid w:val="3F861F6C"/>
    <w:rsid w:val="3FC1022F"/>
    <w:rsid w:val="3FC11602"/>
    <w:rsid w:val="3FC86B4B"/>
    <w:rsid w:val="3FD22F19"/>
    <w:rsid w:val="400D12A6"/>
    <w:rsid w:val="401B7DE2"/>
    <w:rsid w:val="401C274C"/>
    <w:rsid w:val="405B4F03"/>
    <w:rsid w:val="406E36E7"/>
    <w:rsid w:val="40756541"/>
    <w:rsid w:val="40790E7C"/>
    <w:rsid w:val="408C6ACE"/>
    <w:rsid w:val="40905D53"/>
    <w:rsid w:val="40A74041"/>
    <w:rsid w:val="40AD15F4"/>
    <w:rsid w:val="40B95A74"/>
    <w:rsid w:val="40C241E9"/>
    <w:rsid w:val="40C66925"/>
    <w:rsid w:val="40DC40EA"/>
    <w:rsid w:val="40E469C3"/>
    <w:rsid w:val="41114054"/>
    <w:rsid w:val="41205AA2"/>
    <w:rsid w:val="41390199"/>
    <w:rsid w:val="414D3728"/>
    <w:rsid w:val="41562AF9"/>
    <w:rsid w:val="41651DB4"/>
    <w:rsid w:val="416D492B"/>
    <w:rsid w:val="41747113"/>
    <w:rsid w:val="41A96742"/>
    <w:rsid w:val="41AF55C5"/>
    <w:rsid w:val="41CC2BAC"/>
    <w:rsid w:val="41E701E2"/>
    <w:rsid w:val="41F93808"/>
    <w:rsid w:val="4207589A"/>
    <w:rsid w:val="420F3501"/>
    <w:rsid w:val="421B6BC2"/>
    <w:rsid w:val="4240333F"/>
    <w:rsid w:val="424B6323"/>
    <w:rsid w:val="424F28C9"/>
    <w:rsid w:val="4257123B"/>
    <w:rsid w:val="425C4089"/>
    <w:rsid w:val="428E71B1"/>
    <w:rsid w:val="429D71A7"/>
    <w:rsid w:val="42AC4F07"/>
    <w:rsid w:val="42CD0A98"/>
    <w:rsid w:val="42D11C4A"/>
    <w:rsid w:val="42DB5F18"/>
    <w:rsid w:val="42EE2E8B"/>
    <w:rsid w:val="42EF6C5C"/>
    <w:rsid w:val="42F274B5"/>
    <w:rsid w:val="42F32C46"/>
    <w:rsid w:val="42F4617B"/>
    <w:rsid w:val="430219AD"/>
    <w:rsid w:val="43046F88"/>
    <w:rsid w:val="430A5A6F"/>
    <w:rsid w:val="431A0C09"/>
    <w:rsid w:val="432C3CF8"/>
    <w:rsid w:val="433A79E6"/>
    <w:rsid w:val="433F2C8F"/>
    <w:rsid w:val="43785872"/>
    <w:rsid w:val="437A0555"/>
    <w:rsid w:val="4386655F"/>
    <w:rsid w:val="438F0D34"/>
    <w:rsid w:val="439E64EE"/>
    <w:rsid w:val="43A07928"/>
    <w:rsid w:val="43A50BB4"/>
    <w:rsid w:val="43B72B92"/>
    <w:rsid w:val="43FC44AD"/>
    <w:rsid w:val="440F7E52"/>
    <w:rsid w:val="444563C3"/>
    <w:rsid w:val="44466D5C"/>
    <w:rsid w:val="444F47F6"/>
    <w:rsid w:val="445A2007"/>
    <w:rsid w:val="446570B8"/>
    <w:rsid w:val="44746D1C"/>
    <w:rsid w:val="44812D34"/>
    <w:rsid w:val="449C6ED1"/>
    <w:rsid w:val="44A94E2F"/>
    <w:rsid w:val="44AA2639"/>
    <w:rsid w:val="44B4014A"/>
    <w:rsid w:val="44D5527E"/>
    <w:rsid w:val="44DE7D8C"/>
    <w:rsid w:val="44EE1BC7"/>
    <w:rsid w:val="44F06DC0"/>
    <w:rsid w:val="44FB129D"/>
    <w:rsid w:val="450A1F1A"/>
    <w:rsid w:val="450B2788"/>
    <w:rsid w:val="451E2BA6"/>
    <w:rsid w:val="45261F00"/>
    <w:rsid w:val="45336CAD"/>
    <w:rsid w:val="458A1954"/>
    <w:rsid w:val="45A5130C"/>
    <w:rsid w:val="45C9503B"/>
    <w:rsid w:val="45D2788B"/>
    <w:rsid w:val="45D67652"/>
    <w:rsid w:val="45DE3938"/>
    <w:rsid w:val="45EA2E9B"/>
    <w:rsid w:val="45FB03C2"/>
    <w:rsid w:val="46024764"/>
    <w:rsid w:val="460C076A"/>
    <w:rsid w:val="4658440B"/>
    <w:rsid w:val="46647A66"/>
    <w:rsid w:val="46947D28"/>
    <w:rsid w:val="469A0A6E"/>
    <w:rsid w:val="46A01E6D"/>
    <w:rsid w:val="46AB6B23"/>
    <w:rsid w:val="46C66E26"/>
    <w:rsid w:val="46DB3AEE"/>
    <w:rsid w:val="46E22739"/>
    <w:rsid w:val="46E6508F"/>
    <w:rsid w:val="46E671C0"/>
    <w:rsid w:val="47252B24"/>
    <w:rsid w:val="47310680"/>
    <w:rsid w:val="4734723D"/>
    <w:rsid w:val="4760595D"/>
    <w:rsid w:val="476F4B95"/>
    <w:rsid w:val="47715180"/>
    <w:rsid w:val="4772773F"/>
    <w:rsid w:val="477A72A8"/>
    <w:rsid w:val="479915B8"/>
    <w:rsid w:val="47A900A2"/>
    <w:rsid w:val="47C11810"/>
    <w:rsid w:val="47CA5465"/>
    <w:rsid w:val="47EB3470"/>
    <w:rsid w:val="47F07066"/>
    <w:rsid w:val="48016693"/>
    <w:rsid w:val="480E2158"/>
    <w:rsid w:val="480E5668"/>
    <w:rsid w:val="481B7C0F"/>
    <w:rsid w:val="4827623D"/>
    <w:rsid w:val="4840638E"/>
    <w:rsid w:val="484F3BBC"/>
    <w:rsid w:val="48534547"/>
    <w:rsid w:val="48552DCE"/>
    <w:rsid w:val="486115D3"/>
    <w:rsid w:val="48674B4B"/>
    <w:rsid w:val="4870135B"/>
    <w:rsid w:val="488D0FD4"/>
    <w:rsid w:val="488E344E"/>
    <w:rsid w:val="48AC7BB5"/>
    <w:rsid w:val="48B313C3"/>
    <w:rsid w:val="48C55C4F"/>
    <w:rsid w:val="48D306AD"/>
    <w:rsid w:val="48D429F0"/>
    <w:rsid w:val="48D7126F"/>
    <w:rsid w:val="48E646B0"/>
    <w:rsid w:val="48F23A34"/>
    <w:rsid w:val="4906100E"/>
    <w:rsid w:val="49184F5B"/>
    <w:rsid w:val="49186758"/>
    <w:rsid w:val="49224C7F"/>
    <w:rsid w:val="49261829"/>
    <w:rsid w:val="493F7CE8"/>
    <w:rsid w:val="494B6AE7"/>
    <w:rsid w:val="495E290E"/>
    <w:rsid w:val="49610DD3"/>
    <w:rsid w:val="499D7D74"/>
    <w:rsid w:val="49B12C22"/>
    <w:rsid w:val="49BC54BC"/>
    <w:rsid w:val="49BD5047"/>
    <w:rsid w:val="49CE018C"/>
    <w:rsid w:val="49E67CA4"/>
    <w:rsid w:val="4A1A0E96"/>
    <w:rsid w:val="4A1D53CE"/>
    <w:rsid w:val="4A286FFC"/>
    <w:rsid w:val="4A441EE2"/>
    <w:rsid w:val="4A650786"/>
    <w:rsid w:val="4A9374AA"/>
    <w:rsid w:val="4ABE02BB"/>
    <w:rsid w:val="4AC62A9D"/>
    <w:rsid w:val="4AD30BA7"/>
    <w:rsid w:val="4AD80CE7"/>
    <w:rsid w:val="4ADA20A4"/>
    <w:rsid w:val="4B094738"/>
    <w:rsid w:val="4B0B39EB"/>
    <w:rsid w:val="4B16532A"/>
    <w:rsid w:val="4B387976"/>
    <w:rsid w:val="4B422E1B"/>
    <w:rsid w:val="4B65373A"/>
    <w:rsid w:val="4B852BD6"/>
    <w:rsid w:val="4B960E99"/>
    <w:rsid w:val="4BAB3DE9"/>
    <w:rsid w:val="4BBB5236"/>
    <w:rsid w:val="4BE7245A"/>
    <w:rsid w:val="4C3F6C40"/>
    <w:rsid w:val="4C40543B"/>
    <w:rsid w:val="4C47478B"/>
    <w:rsid w:val="4C555C12"/>
    <w:rsid w:val="4C5C5DF1"/>
    <w:rsid w:val="4C6E2D5E"/>
    <w:rsid w:val="4C6E3469"/>
    <w:rsid w:val="4C99554F"/>
    <w:rsid w:val="4CCD36B0"/>
    <w:rsid w:val="4CE81486"/>
    <w:rsid w:val="4CE83BC9"/>
    <w:rsid w:val="4CF800DB"/>
    <w:rsid w:val="4D00163A"/>
    <w:rsid w:val="4D161D2F"/>
    <w:rsid w:val="4D1C6CB7"/>
    <w:rsid w:val="4D2836FD"/>
    <w:rsid w:val="4D4E5923"/>
    <w:rsid w:val="4D5231AE"/>
    <w:rsid w:val="4D574533"/>
    <w:rsid w:val="4D63672B"/>
    <w:rsid w:val="4D7A386C"/>
    <w:rsid w:val="4D915A4A"/>
    <w:rsid w:val="4D926DFD"/>
    <w:rsid w:val="4D931555"/>
    <w:rsid w:val="4D9D1F2A"/>
    <w:rsid w:val="4DA06861"/>
    <w:rsid w:val="4DA81DB8"/>
    <w:rsid w:val="4DAC147B"/>
    <w:rsid w:val="4DAC4C20"/>
    <w:rsid w:val="4DCA162F"/>
    <w:rsid w:val="4DE73505"/>
    <w:rsid w:val="4DFB20D6"/>
    <w:rsid w:val="4E131365"/>
    <w:rsid w:val="4E1A2026"/>
    <w:rsid w:val="4E271B4B"/>
    <w:rsid w:val="4E2E65A0"/>
    <w:rsid w:val="4E630965"/>
    <w:rsid w:val="4E727B78"/>
    <w:rsid w:val="4E8319DF"/>
    <w:rsid w:val="4E9145CF"/>
    <w:rsid w:val="4EAF6170"/>
    <w:rsid w:val="4EB96475"/>
    <w:rsid w:val="4EBA0CB5"/>
    <w:rsid w:val="4EBB23D9"/>
    <w:rsid w:val="4ED350DD"/>
    <w:rsid w:val="4EDA3169"/>
    <w:rsid w:val="4EF14FAE"/>
    <w:rsid w:val="4F0F5BE3"/>
    <w:rsid w:val="4F1D492D"/>
    <w:rsid w:val="4F1F2479"/>
    <w:rsid w:val="4F2E05D9"/>
    <w:rsid w:val="4F3803F4"/>
    <w:rsid w:val="4FAB2CA1"/>
    <w:rsid w:val="4FB2321B"/>
    <w:rsid w:val="4FBD294E"/>
    <w:rsid w:val="4FFD05E3"/>
    <w:rsid w:val="50002EC0"/>
    <w:rsid w:val="50204B18"/>
    <w:rsid w:val="5027692A"/>
    <w:rsid w:val="50353425"/>
    <w:rsid w:val="50386D4D"/>
    <w:rsid w:val="50411A70"/>
    <w:rsid w:val="50441109"/>
    <w:rsid w:val="504816ED"/>
    <w:rsid w:val="504D2423"/>
    <w:rsid w:val="50703AB0"/>
    <w:rsid w:val="50715259"/>
    <w:rsid w:val="507D4EB2"/>
    <w:rsid w:val="507E6391"/>
    <w:rsid w:val="50BA35D6"/>
    <w:rsid w:val="50BC221C"/>
    <w:rsid w:val="50C369A6"/>
    <w:rsid w:val="50F73C4E"/>
    <w:rsid w:val="5100785C"/>
    <w:rsid w:val="5110256F"/>
    <w:rsid w:val="51251692"/>
    <w:rsid w:val="512D0896"/>
    <w:rsid w:val="51336AE0"/>
    <w:rsid w:val="514A5BAA"/>
    <w:rsid w:val="514F2419"/>
    <w:rsid w:val="51534B57"/>
    <w:rsid w:val="518102B3"/>
    <w:rsid w:val="518343A4"/>
    <w:rsid w:val="51886EBF"/>
    <w:rsid w:val="51A22799"/>
    <w:rsid w:val="51D8388D"/>
    <w:rsid w:val="51DE3933"/>
    <w:rsid w:val="51ED6AD1"/>
    <w:rsid w:val="51F507C7"/>
    <w:rsid w:val="52050598"/>
    <w:rsid w:val="520D1825"/>
    <w:rsid w:val="520D28CB"/>
    <w:rsid w:val="52157947"/>
    <w:rsid w:val="521D4CDC"/>
    <w:rsid w:val="522D2FA4"/>
    <w:rsid w:val="523223AD"/>
    <w:rsid w:val="52356529"/>
    <w:rsid w:val="52387556"/>
    <w:rsid w:val="52422029"/>
    <w:rsid w:val="52692B44"/>
    <w:rsid w:val="52850E89"/>
    <w:rsid w:val="5287674D"/>
    <w:rsid w:val="528F0448"/>
    <w:rsid w:val="52A90ABB"/>
    <w:rsid w:val="52BB385D"/>
    <w:rsid w:val="52EF06B7"/>
    <w:rsid w:val="52F2363E"/>
    <w:rsid w:val="53050700"/>
    <w:rsid w:val="53072EFC"/>
    <w:rsid w:val="53085DA3"/>
    <w:rsid w:val="530946C2"/>
    <w:rsid w:val="533019A3"/>
    <w:rsid w:val="53427DC1"/>
    <w:rsid w:val="535A1C7D"/>
    <w:rsid w:val="535B5C0C"/>
    <w:rsid w:val="5362345D"/>
    <w:rsid w:val="53786749"/>
    <w:rsid w:val="539523B5"/>
    <w:rsid w:val="53AA5983"/>
    <w:rsid w:val="53B6216A"/>
    <w:rsid w:val="53BA15EE"/>
    <w:rsid w:val="53BA51A3"/>
    <w:rsid w:val="53BE67FE"/>
    <w:rsid w:val="53D67491"/>
    <w:rsid w:val="54176117"/>
    <w:rsid w:val="54295B11"/>
    <w:rsid w:val="54342B03"/>
    <w:rsid w:val="544D353F"/>
    <w:rsid w:val="54522DB1"/>
    <w:rsid w:val="54634965"/>
    <w:rsid w:val="546C52E8"/>
    <w:rsid w:val="547459BA"/>
    <w:rsid w:val="548863AD"/>
    <w:rsid w:val="54956618"/>
    <w:rsid w:val="54AA6DCA"/>
    <w:rsid w:val="54D21E26"/>
    <w:rsid w:val="54E63AA5"/>
    <w:rsid w:val="55040901"/>
    <w:rsid w:val="55107147"/>
    <w:rsid w:val="552C5E92"/>
    <w:rsid w:val="55387D24"/>
    <w:rsid w:val="55444178"/>
    <w:rsid w:val="5546540F"/>
    <w:rsid w:val="55505499"/>
    <w:rsid w:val="5560764A"/>
    <w:rsid w:val="557109AC"/>
    <w:rsid w:val="559B6067"/>
    <w:rsid w:val="55B76660"/>
    <w:rsid w:val="55BE7BE6"/>
    <w:rsid w:val="55C5615F"/>
    <w:rsid w:val="55C81DEE"/>
    <w:rsid w:val="55CB532D"/>
    <w:rsid w:val="56226F9B"/>
    <w:rsid w:val="56237D37"/>
    <w:rsid w:val="56354A54"/>
    <w:rsid w:val="565B4E57"/>
    <w:rsid w:val="566C39ED"/>
    <w:rsid w:val="566C5ED3"/>
    <w:rsid w:val="568C071F"/>
    <w:rsid w:val="56983487"/>
    <w:rsid w:val="569A0BD3"/>
    <w:rsid w:val="56C42E2B"/>
    <w:rsid w:val="56CA56C3"/>
    <w:rsid w:val="56D2733B"/>
    <w:rsid w:val="56DF05DE"/>
    <w:rsid w:val="56E45D6E"/>
    <w:rsid w:val="56E7183E"/>
    <w:rsid w:val="56E74816"/>
    <w:rsid w:val="56E803BD"/>
    <w:rsid w:val="56EC3973"/>
    <w:rsid w:val="56ED381D"/>
    <w:rsid w:val="56F70118"/>
    <w:rsid w:val="57035045"/>
    <w:rsid w:val="57092D15"/>
    <w:rsid w:val="571D2C70"/>
    <w:rsid w:val="57617EA3"/>
    <w:rsid w:val="578259B6"/>
    <w:rsid w:val="578B3093"/>
    <w:rsid w:val="579A4819"/>
    <w:rsid w:val="57C16A90"/>
    <w:rsid w:val="57D12273"/>
    <w:rsid w:val="57DA550A"/>
    <w:rsid w:val="57EC44C1"/>
    <w:rsid w:val="57EC7579"/>
    <w:rsid w:val="57F5288B"/>
    <w:rsid w:val="57FC6189"/>
    <w:rsid w:val="580008F5"/>
    <w:rsid w:val="581A23FF"/>
    <w:rsid w:val="581B6347"/>
    <w:rsid w:val="586864FD"/>
    <w:rsid w:val="58894B06"/>
    <w:rsid w:val="58A5189E"/>
    <w:rsid w:val="58AA6F48"/>
    <w:rsid w:val="58B43234"/>
    <w:rsid w:val="58B607FC"/>
    <w:rsid w:val="58BE23E5"/>
    <w:rsid w:val="58C41743"/>
    <w:rsid w:val="58CC5858"/>
    <w:rsid w:val="58D43D55"/>
    <w:rsid w:val="591A07BD"/>
    <w:rsid w:val="591C4EF0"/>
    <w:rsid w:val="59270642"/>
    <w:rsid w:val="593E2DE6"/>
    <w:rsid w:val="594838CC"/>
    <w:rsid w:val="595256A3"/>
    <w:rsid w:val="59747B68"/>
    <w:rsid w:val="597706F2"/>
    <w:rsid w:val="59B41138"/>
    <w:rsid w:val="59B817D3"/>
    <w:rsid w:val="59B917BB"/>
    <w:rsid w:val="59C80BA8"/>
    <w:rsid w:val="59CA253F"/>
    <w:rsid w:val="59D854EE"/>
    <w:rsid w:val="59E23F24"/>
    <w:rsid w:val="5A224D05"/>
    <w:rsid w:val="5A3A4CA7"/>
    <w:rsid w:val="5A67615D"/>
    <w:rsid w:val="5A6C510B"/>
    <w:rsid w:val="5A6C7DD0"/>
    <w:rsid w:val="5A742658"/>
    <w:rsid w:val="5ADA7E9F"/>
    <w:rsid w:val="5AF404D0"/>
    <w:rsid w:val="5AFC295E"/>
    <w:rsid w:val="5B072087"/>
    <w:rsid w:val="5B0C3FED"/>
    <w:rsid w:val="5B0D330C"/>
    <w:rsid w:val="5B2C0CCE"/>
    <w:rsid w:val="5B5342E0"/>
    <w:rsid w:val="5B753B3D"/>
    <w:rsid w:val="5B7E437C"/>
    <w:rsid w:val="5B7F3EEA"/>
    <w:rsid w:val="5B8A38F0"/>
    <w:rsid w:val="5B9B1D60"/>
    <w:rsid w:val="5B9E58D0"/>
    <w:rsid w:val="5BA22C93"/>
    <w:rsid w:val="5BBD0E56"/>
    <w:rsid w:val="5BC85095"/>
    <w:rsid w:val="5BCF565C"/>
    <w:rsid w:val="5C3666D1"/>
    <w:rsid w:val="5C3A6E47"/>
    <w:rsid w:val="5C3D14CB"/>
    <w:rsid w:val="5C8C1913"/>
    <w:rsid w:val="5CA53EA1"/>
    <w:rsid w:val="5CAF29C6"/>
    <w:rsid w:val="5CB64ED4"/>
    <w:rsid w:val="5CDC0A4A"/>
    <w:rsid w:val="5CDC24FB"/>
    <w:rsid w:val="5D132224"/>
    <w:rsid w:val="5D176933"/>
    <w:rsid w:val="5D203439"/>
    <w:rsid w:val="5D533CCC"/>
    <w:rsid w:val="5D57627D"/>
    <w:rsid w:val="5D5B0C65"/>
    <w:rsid w:val="5D8B36D2"/>
    <w:rsid w:val="5D8E5CDB"/>
    <w:rsid w:val="5DFF123B"/>
    <w:rsid w:val="5E054297"/>
    <w:rsid w:val="5E094843"/>
    <w:rsid w:val="5E166824"/>
    <w:rsid w:val="5E2B124D"/>
    <w:rsid w:val="5E587A58"/>
    <w:rsid w:val="5E647B17"/>
    <w:rsid w:val="5E6D16BC"/>
    <w:rsid w:val="5E725860"/>
    <w:rsid w:val="5E77401B"/>
    <w:rsid w:val="5E7B43CF"/>
    <w:rsid w:val="5E7F690A"/>
    <w:rsid w:val="5E863492"/>
    <w:rsid w:val="5E894C4B"/>
    <w:rsid w:val="5E8A6236"/>
    <w:rsid w:val="5E9A1F8D"/>
    <w:rsid w:val="5EA30896"/>
    <w:rsid w:val="5EA80E99"/>
    <w:rsid w:val="5EBB4FBE"/>
    <w:rsid w:val="5EC7426E"/>
    <w:rsid w:val="5ED136A1"/>
    <w:rsid w:val="5ED22385"/>
    <w:rsid w:val="5F073306"/>
    <w:rsid w:val="5F102AF5"/>
    <w:rsid w:val="5F145600"/>
    <w:rsid w:val="5F2E07B9"/>
    <w:rsid w:val="5F354C3C"/>
    <w:rsid w:val="5F465202"/>
    <w:rsid w:val="5F577ABE"/>
    <w:rsid w:val="5F5D70E5"/>
    <w:rsid w:val="5F5F73B9"/>
    <w:rsid w:val="5F6316D5"/>
    <w:rsid w:val="5F675A73"/>
    <w:rsid w:val="5F782205"/>
    <w:rsid w:val="5F942813"/>
    <w:rsid w:val="5F9F6FF8"/>
    <w:rsid w:val="5FA63878"/>
    <w:rsid w:val="5FB62416"/>
    <w:rsid w:val="5FC655D5"/>
    <w:rsid w:val="5FE3429E"/>
    <w:rsid w:val="5FE6560C"/>
    <w:rsid w:val="5FEB07FE"/>
    <w:rsid w:val="5FF11F12"/>
    <w:rsid w:val="5FF34394"/>
    <w:rsid w:val="5FF5037A"/>
    <w:rsid w:val="5FFD6CAD"/>
    <w:rsid w:val="60030D2D"/>
    <w:rsid w:val="60165FE3"/>
    <w:rsid w:val="60234994"/>
    <w:rsid w:val="603A0438"/>
    <w:rsid w:val="606555E2"/>
    <w:rsid w:val="606A330B"/>
    <w:rsid w:val="607B17DC"/>
    <w:rsid w:val="60951BFA"/>
    <w:rsid w:val="60C95D45"/>
    <w:rsid w:val="60D97379"/>
    <w:rsid w:val="60F052EE"/>
    <w:rsid w:val="60F8349D"/>
    <w:rsid w:val="61184A4F"/>
    <w:rsid w:val="611B65AE"/>
    <w:rsid w:val="611F5CD1"/>
    <w:rsid w:val="612956DC"/>
    <w:rsid w:val="614534FB"/>
    <w:rsid w:val="615A0673"/>
    <w:rsid w:val="615A56E9"/>
    <w:rsid w:val="61726B83"/>
    <w:rsid w:val="617660AD"/>
    <w:rsid w:val="61893D7F"/>
    <w:rsid w:val="619329A7"/>
    <w:rsid w:val="619E4A18"/>
    <w:rsid w:val="619F6C21"/>
    <w:rsid w:val="61A01B07"/>
    <w:rsid w:val="61A120EC"/>
    <w:rsid w:val="61B42042"/>
    <w:rsid w:val="61BB49A6"/>
    <w:rsid w:val="61BE2570"/>
    <w:rsid w:val="61D86E71"/>
    <w:rsid w:val="61F06561"/>
    <w:rsid w:val="61F60A27"/>
    <w:rsid w:val="61F61212"/>
    <w:rsid w:val="620D45E8"/>
    <w:rsid w:val="621413E8"/>
    <w:rsid w:val="62345CD9"/>
    <w:rsid w:val="623F0A67"/>
    <w:rsid w:val="6260642C"/>
    <w:rsid w:val="626C5743"/>
    <w:rsid w:val="626F3745"/>
    <w:rsid w:val="627720B2"/>
    <w:rsid w:val="62815C3B"/>
    <w:rsid w:val="62BB33B0"/>
    <w:rsid w:val="62C03B2B"/>
    <w:rsid w:val="62C31125"/>
    <w:rsid w:val="62D61AF7"/>
    <w:rsid w:val="62DF233A"/>
    <w:rsid w:val="63246779"/>
    <w:rsid w:val="632A7426"/>
    <w:rsid w:val="63491849"/>
    <w:rsid w:val="637E01A9"/>
    <w:rsid w:val="63883A3C"/>
    <w:rsid w:val="638B44EA"/>
    <w:rsid w:val="63953314"/>
    <w:rsid w:val="63964EBD"/>
    <w:rsid w:val="63AA3F4D"/>
    <w:rsid w:val="63AE0066"/>
    <w:rsid w:val="63C024EC"/>
    <w:rsid w:val="63C420AA"/>
    <w:rsid w:val="63DC07E4"/>
    <w:rsid w:val="63DE721A"/>
    <w:rsid w:val="63F31339"/>
    <w:rsid w:val="63FB17A7"/>
    <w:rsid w:val="63FC0E86"/>
    <w:rsid w:val="640D4C31"/>
    <w:rsid w:val="642E6305"/>
    <w:rsid w:val="64464022"/>
    <w:rsid w:val="644A24C1"/>
    <w:rsid w:val="64587F82"/>
    <w:rsid w:val="645D57FE"/>
    <w:rsid w:val="648641E4"/>
    <w:rsid w:val="648C03B9"/>
    <w:rsid w:val="649629D3"/>
    <w:rsid w:val="64BE2F7A"/>
    <w:rsid w:val="64EF37CB"/>
    <w:rsid w:val="64FC4534"/>
    <w:rsid w:val="65015CA4"/>
    <w:rsid w:val="65151085"/>
    <w:rsid w:val="651F58B2"/>
    <w:rsid w:val="653A5B3C"/>
    <w:rsid w:val="65501753"/>
    <w:rsid w:val="655179BD"/>
    <w:rsid w:val="65604C3A"/>
    <w:rsid w:val="65792973"/>
    <w:rsid w:val="657D3831"/>
    <w:rsid w:val="658B5F43"/>
    <w:rsid w:val="658E4649"/>
    <w:rsid w:val="65B3280B"/>
    <w:rsid w:val="65C12491"/>
    <w:rsid w:val="65CF3547"/>
    <w:rsid w:val="65D7709E"/>
    <w:rsid w:val="65DB692F"/>
    <w:rsid w:val="65F101B1"/>
    <w:rsid w:val="660702D4"/>
    <w:rsid w:val="66097669"/>
    <w:rsid w:val="660A0CF4"/>
    <w:rsid w:val="66114F6E"/>
    <w:rsid w:val="6633203D"/>
    <w:rsid w:val="66343610"/>
    <w:rsid w:val="663E316D"/>
    <w:rsid w:val="66511E91"/>
    <w:rsid w:val="66571090"/>
    <w:rsid w:val="666B488B"/>
    <w:rsid w:val="66722285"/>
    <w:rsid w:val="667412EC"/>
    <w:rsid w:val="66807D1C"/>
    <w:rsid w:val="6687769B"/>
    <w:rsid w:val="668D5273"/>
    <w:rsid w:val="66AA7D07"/>
    <w:rsid w:val="66AF360E"/>
    <w:rsid w:val="66E709DC"/>
    <w:rsid w:val="66FC2F4B"/>
    <w:rsid w:val="66FE04A3"/>
    <w:rsid w:val="671169F6"/>
    <w:rsid w:val="67287AEC"/>
    <w:rsid w:val="673444EB"/>
    <w:rsid w:val="6760718F"/>
    <w:rsid w:val="67765D17"/>
    <w:rsid w:val="67801FB0"/>
    <w:rsid w:val="6788386F"/>
    <w:rsid w:val="678F707E"/>
    <w:rsid w:val="67931AC7"/>
    <w:rsid w:val="679D655A"/>
    <w:rsid w:val="67AB1866"/>
    <w:rsid w:val="67B115B2"/>
    <w:rsid w:val="67BD40C3"/>
    <w:rsid w:val="67E02515"/>
    <w:rsid w:val="67E43C87"/>
    <w:rsid w:val="67F95103"/>
    <w:rsid w:val="68092110"/>
    <w:rsid w:val="681B0D73"/>
    <w:rsid w:val="68230E2F"/>
    <w:rsid w:val="6838144E"/>
    <w:rsid w:val="68430AED"/>
    <w:rsid w:val="684F397C"/>
    <w:rsid w:val="68550EB9"/>
    <w:rsid w:val="685B0188"/>
    <w:rsid w:val="685B60A7"/>
    <w:rsid w:val="68645D9E"/>
    <w:rsid w:val="687952FC"/>
    <w:rsid w:val="688D0CBA"/>
    <w:rsid w:val="689A47E2"/>
    <w:rsid w:val="689C49E5"/>
    <w:rsid w:val="689E7C0F"/>
    <w:rsid w:val="68A0524E"/>
    <w:rsid w:val="68AA7398"/>
    <w:rsid w:val="68BF4C3D"/>
    <w:rsid w:val="68C03437"/>
    <w:rsid w:val="68D6247F"/>
    <w:rsid w:val="68EF0FB9"/>
    <w:rsid w:val="68EF7C43"/>
    <w:rsid w:val="6902259F"/>
    <w:rsid w:val="693055B6"/>
    <w:rsid w:val="693F20F1"/>
    <w:rsid w:val="694B2B30"/>
    <w:rsid w:val="69601EB7"/>
    <w:rsid w:val="69616963"/>
    <w:rsid w:val="697F0AB7"/>
    <w:rsid w:val="69A212B1"/>
    <w:rsid w:val="69B049B6"/>
    <w:rsid w:val="69B50C38"/>
    <w:rsid w:val="69B61135"/>
    <w:rsid w:val="69E6482F"/>
    <w:rsid w:val="69EF4305"/>
    <w:rsid w:val="69F119F2"/>
    <w:rsid w:val="69FB6EC0"/>
    <w:rsid w:val="6A0C030B"/>
    <w:rsid w:val="6A333D63"/>
    <w:rsid w:val="6A34275D"/>
    <w:rsid w:val="6A3C10D0"/>
    <w:rsid w:val="6A572F81"/>
    <w:rsid w:val="6A80684E"/>
    <w:rsid w:val="6A9874D7"/>
    <w:rsid w:val="6AA043E7"/>
    <w:rsid w:val="6AAC3FA3"/>
    <w:rsid w:val="6ACF4D1C"/>
    <w:rsid w:val="6B091296"/>
    <w:rsid w:val="6B0A032C"/>
    <w:rsid w:val="6B123084"/>
    <w:rsid w:val="6B23014B"/>
    <w:rsid w:val="6B380680"/>
    <w:rsid w:val="6B4234E5"/>
    <w:rsid w:val="6B456F6F"/>
    <w:rsid w:val="6B49417C"/>
    <w:rsid w:val="6B7F0B25"/>
    <w:rsid w:val="6BA24DE1"/>
    <w:rsid w:val="6BA514FF"/>
    <w:rsid w:val="6BA72CED"/>
    <w:rsid w:val="6BFE5589"/>
    <w:rsid w:val="6C1D2BC6"/>
    <w:rsid w:val="6C2520B1"/>
    <w:rsid w:val="6C2639F4"/>
    <w:rsid w:val="6C3558A7"/>
    <w:rsid w:val="6C42052A"/>
    <w:rsid w:val="6C426E6C"/>
    <w:rsid w:val="6C475A1B"/>
    <w:rsid w:val="6C663101"/>
    <w:rsid w:val="6C7F3E43"/>
    <w:rsid w:val="6CAA28BE"/>
    <w:rsid w:val="6CB71844"/>
    <w:rsid w:val="6CCF3015"/>
    <w:rsid w:val="6CD2794A"/>
    <w:rsid w:val="6D3E1C6E"/>
    <w:rsid w:val="6D521B17"/>
    <w:rsid w:val="6D550853"/>
    <w:rsid w:val="6D6B7C0B"/>
    <w:rsid w:val="6D7F5F81"/>
    <w:rsid w:val="6D9831E3"/>
    <w:rsid w:val="6D9D7112"/>
    <w:rsid w:val="6DC17101"/>
    <w:rsid w:val="6DC4041C"/>
    <w:rsid w:val="6DD21AAB"/>
    <w:rsid w:val="6DDD3AD6"/>
    <w:rsid w:val="6DE54AA3"/>
    <w:rsid w:val="6DE8006A"/>
    <w:rsid w:val="6E2B5AD3"/>
    <w:rsid w:val="6E3E5609"/>
    <w:rsid w:val="6E4158DB"/>
    <w:rsid w:val="6E640250"/>
    <w:rsid w:val="6E805353"/>
    <w:rsid w:val="6E8421A4"/>
    <w:rsid w:val="6ECB6EC4"/>
    <w:rsid w:val="6ED453D2"/>
    <w:rsid w:val="6EDB7958"/>
    <w:rsid w:val="6EE31DFD"/>
    <w:rsid w:val="6EEA72C9"/>
    <w:rsid w:val="6EEF4F04"/>
    <w:rsid w:val="6F1D0DAB"/>
    <w:rsid w:val="6F3A4441"/>
    <w:rsid w:val="6F4559A5"/>
    <w:rsid w:val="6F47555F"/>
    <w:rsid w:val="6F4F53ED"/>
    <w:rsid w:val="6F574C8B"/>
    <w:rsid w:val="6F5A2F04"/>
    <w:rsid w:val="6F5F767C"/>
    <w:rsid w:val="6F605622"/>
    <w:rsid w:val="6F797F04"/>
    <w:rsid w:val="6F7B3F99"/>
    <w:rsid w:val="6F8F7B05"/>
    <w:rsid w:val="6F97D24A"/>
    <w:rsid w:val="6FA70E7D"/>
    <w:rsid w:val="6FA96BCA"/>
    <w:rsid w:val="6FBE345F"/>
    <w:rsid w:val="6FBF07F3"/>
    <w:rsid w:val="6FC06C80"/>
    <w:rsid w:val="6FCC3921"/>
    <w:rsid w:val="6FD20572"/>
    <w:rsid w:val="6FD756CE"/>
    <w:rsid w:val="6FE3789F"/>
    <w:rsid w:val="6FEA2039"/>
    <w:rsid w:val="700D4CAB"/>
    <w:rsid w:val="70310FE5"/>
    <w:rsid w:val="704341F8"/>
    <w:rsid w:val="704B67CC"/>
    <w:rsid w:val="706F39E7"/>
    <w:rsid w:val="7074225F"/>
    <w:rsid w:val="707875EC"/>
    <w:rsid w:val="70831F53"/>
    <w:rsid w:val="70975C36"/>
    <w:rsid w:val="70B202EE"/>
    <w:rsid w:val="70C124C6"/>
    <w:rsid w:val="70C77289"/>
    <w:rsid w:val="70E22E23"/>
    <w:rsid w:val="714F1E43"/>
    <w:rsid w:val="71690349"/>
    <w:rsid w:val="71771DFB"/>
    <w:rsid w:val="71B03756"/>
    <w:rsid w:val="71CE695E"/>
    <w:rsid w:val="71E909FE"/>
    <w:rsid w:val="72243578"/>
    <w:rsid w:val="722618F1"/>
    <w:rsid w:val="726B073D"/>
    <w:rsid w:val="7275311D"/>
    <w:rsid w:val="728A0767"/>
    <w:rsid w:val="729F22EA"/>
    <w:rsid w:val="72A2709C"/>
    <w:rsid w:val="72B703A7"/>
    <w:rsid w:val="72BB0BC2"/>
    <w:rsid w:val="72DB77B8"/>
    <w:rsid w:val="72F02BB8"/>
    <w:rsid w:val="72F02FC4"/>
    <w:rsid w:val="72FA65EF"/>
    <w:rsid w:val="730D6E68"/>
    <w:rsid w:val="73217D81"/>
    <w:rsid w:val="73264530"/>
    <w:rsid w:val="73272FB4"/>
    <w:rsid w:val="73303B48"/>
    <w:rsid w:val="73385BDA"/>
    <w:rsid w:val="7339031E"/>
    <w:rsid w:val="734C3E90"/>
    <w:rsid w:val="736603D1"/>
    <w:rsid w:val="73726AB9"/>
    <w:rsid w:val="739758A3"/>
    <w:rsid w:val="73981ECA"/>
    <w:rsid w:val="73A65D38"/>
    <w:rsid w:val="73B226AF"/>
    <w:rsid w:val="73D14512"/>
    <w:rsid w:val="73EB7E59"/>
    <w:rsid w:val="73F371FF"/>
    <w:rsid w:val="73FA724B"/>
    <w:rsid w:val="7403611C"/>
    <w:rsid w:val="740C0C8D"/>
    <w:rsid w:val="740D028C"/>
    <w:rsid w:val="741A61C4"/>
    <w:rsid w:val="742709F4"/>
    <w:rsid w:val="742C597A"/>
    <w:rsid w:val="74324B76"/>
    <w:rsid w:val="74393AEE"/>
    <w:rsid w:val="74530195"/>
    <w:rsid w:val="74597643"/>
    <w:rsid w:val="745B140C"/>
    <w:rsid w:val="745C36E8"/>
    <w:rsid w:val="74723F91"/>
    <w:rsid w:val="747C09AD"/>
    <w:rsid w:val="749E5C4B"/>
    <w:rsid w:val="74A63832"/>
    <w:rsid w:val="74AC18B4"/>
    <w:rsid w:val="74BE59C9"/>
    <w:rsid w:val="75102F42"/>
    <w:rsid w:val="75506E97"/>
    <w:rsid w:val="7576054D"/>
    <w:rsid w:val="75B45947"/>
    <w:rsid w:val="75B943EF"/>
    <w:rsid w:val="75BF5A87"/>
    <w:rsid w:val="75CE08B3"/>
    <w:rsid w:val="75DA5C50"/>
    <w:rsid w:val="75ED4684"/>
    <w:rsid w:val="76094B66"/>
    <w:rsid w:val="76197E58"/>
    <w:rsid w:val="762C76E8"/>
    <w:rsid w:val="7635023D"/>
    <w:rsid w:val="76380C15"/>
    <w:rsid w:val="763D177C"/>
    <w:rsid w:val="76434895"/>
    <w:rsid w:val="764867BF"/>
    <w:rsid w:val="7652586B"/>
    <w:rsid w:val="7665299F"/>
    <w:rsid w:val="767708FB"/>
    <w:rsid w:val="7687131D"/>
    <w:rsid w:val="76915A13"/>
    <w:rsid w:val="769C3D5A"/>
    <w:rsid w:val="76AF51A8"/>
    <w:rsid w:val="76B40D16"/>
    <w:rsid w:val="76D87C42"/>
    <w:rsid w:val="76DC4EEE"/>
    <w:rsid w:val="76E242A6"/>
    <w:rsid w:val="76EB08C6"/>
    <w:rsid w:val="76EE78EC"/>
    <w:rsid w:val="771D78D8"/>
    <w:rsid w:val="771E7A62"/>
    <w:rsid w:val="772269FE"/>
    <w:rsid w:val="773B7823"/>
    <w:rsid w:val="775B6E06"/>
    <w:rsid w:val="777C2D04"/>
    <w:rsid w:val="77830BE9"/>
    <w:rsid w:val="77831A62"/>
    <w:rsid w:val="77895F9F"/>
    <w:rsid w:val="778D7494"/>
    <w:rsid w:val="779430EC"/>
    <w:rsid w:val="779F7866"/>
    <w:rsid w:val="780168E0"/>
    <w:rsid w:val="78132C2A"/>
    <w:rsid w:val="781F71B9"/>
    <w:rsid w:val="78236589"/>
    <w:rsid w:val="785452FC"/>
    <w:rsid w:val="785765ED"/>
    <w:rsid w:val="78730A90"/>
    <w:rsid w:val="78736288"/>
    <w:rsid w:val="78B53C32"/>
    <w:rsid w:val="78B94D42"/>
    <w:rsid w:val="78C43683"/>
    <w:rsid w:val="78C92406"/>
    <w:rsid w:val="78E63E40"/>
    <w:rsid w:val="78FE340F"/>
    <w:rsid w:val="790559CE"/>
    <w:rsid w:val="7907465D"/>
    <w:rsid w:val="790C7D09"/>
    <w:rsid w:val="791F0C80"/>
    <w:rsid w:val="795E249A"/>
    <w:rsid w:val="7963225D"/>
    <w:rsid w:val="79661644"/>
    <w:rsid w:val="79717315"/>
    <w:rsid w:val="79725A6F"/>
    <w:rsid w:val="79741AB3"/>
    <w:rsid w:val="79841541"/>
    <w:rsid w:val="799D21E7"/>
    <w:rsid w:val="79DE365A"/>
    <w:rsid w:val="79E72F5F"/>
    <w:rsid w:val="79F04505"/>
    <w:rsid w:val="79F174B0"/>
    <w:rsid w:val="7A055B7E"/>
    <w:rsid w:val="7A0A362B"/>
    <w:rsid w:val="7A355232"/>
    <w:rsid w:val="7A412543"/>
    <w:rsid w:val="7A5306B9"/>
    <w:rsid w:val="7A6A0C2D"/>
    <w:rsid w:val="7A7722CB"/>
    <w:rsid w:val="7A852C00"/>
    <w:rsid w:val="7AA326CC"/>
    <w:rsid w:val="7ABA18A5"/>
    <w:rsid w:val="7AC22D80"/>
    <w:rsid w:val="7AC8491B"/>
    <w:rsid w:val="7AE51D23"/>
    <w:rsid w:val="7AF44D2F"/>
    <w:rsid w:val="7AF63015"/>
    <w:rsid w:val="7B39698D"/>
    <w:rsid w:val="7B4A7B43"/>
    <w:rsid w:val="7B675698"/>
    <w:rsid w:val="7B840A4C"/>
    <w:rsid w:val="7B856015"/>
    <w:rsid w:val="7B8C79F7"/>
    <w:rsid w:val="7B9247AF"/>
    <w:rsid w:val="7BA75446"/>
    <w:rsid w:val="7BA86238"/>
    <w:rsid w:val="7BB3231A"/>
    <w:rsid w:val="7BC506FF"/>
    <w:rsid w:val="7BC84E88"/>
    <w:rsid w:val="7BDB714D"/>
    <w:rsid w:val="7BE60C44"/>
    <w:rsid w:val="7C120A7B"/>
    <w:rsid w:val="7C3007CA"/>
    <w:rsid w:val="7C3F5A8C"/>
    <w:rsid w:val="7C792A47"/>
    <w:rsid w:val="7C7F1DA6"/>
    <w:rsid w:val="7CB40DEB"/>
    <w:rsid w:val="7CC72856"/>
    <w:rsid w:val="7CDF7127"/>
    <w:rsid w:val="7CE403FC"/>
    <w:rsid w:val="7D285E5F"/>
    <w:rsid w:val="7D2938AD"/>
    <w:rsid w:val="7D524212"/>
    <w:rsid w:val="7D6922A8"/>
    <w:rsid w:val="7D88737B"/>
    <w:rsid w:val="7D8F098B"/>
    <w:rsid w:val="7D945EC6"/>
    <w:rsid w:val="7D9E1299"/>
    <w:rsid w:val="7DCB0A1C"/>
    <w:rsid w:val="7DEC607E"/>
    <w:rsid w:val="7E043E66"/>
    <w:rsid w:val="7E077368"/>
    <w:rsid w:val="7E12043C"/>
    <w:rsid w:val="7E1370A0"/>
    <w:rsid w:val="7E273EC4"/>
    <w:rsid w:val="7E587B9F"/>
    <w:rsid w:val="7E9035E0"/>
    <w:rsid w:val="7E9815B9"/>
    <w:rsid w:val="7EB12203"/>
    <w:rsid w:val="7EC9531A"/>
    <w:rsid w:val="7EDF0AD8"/>
    <w:rsid w:val="7EE11577"/>
    <w:rsid w:val="7F0875A9"/>
    <w:rsid w:val="7F1E1221"/>
    <w:rsid w:val="7F483017"/>
    <w:rsid w:val="7F516C12"/>
    <w:rsid w:val="7F646CAD"/>
    <w:rsid w:val="7F756373"/>
    <w:rsid w:val="7F97D7F2"/>
    <w:rsid w:val="7FAE52D2"/>
    <w:rsid w:val="7FB75867"/>
    <w:rsid w:val="7FB84310"/>
    <w:rsid w:val="7FBB2766"/>
    <w:rsid w:val="7FC676CE"/>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86"/>
    <w:qFormat/>
    <w:uiPriority w:val="0"/>
    <w:pPr>
      <w:spacing w:after="120" w:line="480" w:lineRule="exact"/>
      <w:ind w:left="420" w:leftChars="200" w:firstLine="420" w:firstLineChars="200"/>
    </w:pPr>
  </w:style>
  <w:style w:type="paragraph" w:styleId="3">
    <w:name w:val="Body Text Indent"/>
    <w:basedOn w:val="1"/>
    <w:link w:val="75"/>
    <w:qFormat/>
    <w:uiPriority w:val="0"/>
    <w:pPr>
      <w:spacing w:line="360" w:lineRule="auto"/>
      <w:ind w:firstLine="570"/>
    </w:pPr>
    <w:rPr>
      <w:sz w:val="24"/>
    </w:rPr>
  </w:style>
  <w:style w:type="paragraph" w:styleId="6">
    <w:name w:val="Normal Indent"/>
    <w:basedOn w:val="1"/>
    <w:next w:val="1"/>
    <w:link w:val="61"/>
    <w:qFormat/>
    <w:uiPriority w:val="0"/>
    <w:pPr>
      <w:autoSpaceDE w:val="0"/>
      <w:autoSpaceDN w:val="0"/>
      <w:adjustRightInd w:val="0"/>
      <w:ind w:firstLine="420"/>
      <w:jc w:val="left"/>
    </w:pPr>
    <w:rPr>
      <w:rFonts w:ascii="宋体"/>
      <w:sz w:val="24"/>
    </w:rPr>
  </w:style>
  <w:style w:type="paragraph" w:styleId="14">
    <w:name w:val="annotation subject"/>
    <w:basedOn w:val="15"/>
    <w:next w:val="15"/>
    <w:link w:val="85"/>
    <w:qFormat/>
    <w:uiPriority w:val="0"/>
    <w:rPr>
      <w:b/>
      <w:bCs/>
    </w:rPr>
  </w:style>
  <w:style w:type="paragraph" w:styleId="15">
    <w:name w:val="annotation text"/>
    <w:basedOn w:val="1"/>
    <w:link w:val="72"/>
    <w:qFormat/>
    <w:uiPriority w:val="0"/>
    <w:pPr>
      <w:jc w:val="left"/>
    </w:pPr>
  </w:style>
  <w:style w:type="paragraph" w:styleId="16">
    <w:name w:val="toc 7"/>
    <w:basedOn w:val="1"/>
    <w:next w:val="1"/>
    <w:qFormat/>
    <w:uiPriority w:val="0"/>
    <w:pPr>
      <w:ind w:left="2520" w:leftChars="1200"/>
    </w:pPr>
  </w:style>
  <w:style w:type="paragraph" w:styleId="17">
    <w:name w:val="Body Text First Indent"/>
    <w:basedOn w:val="18"/>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8">
    <w:name w:val="Body Text"/>
    <w:basedOn w:val="1"/>
    <w:next w:val="1"/>
    <w:link w:val="74"/>
    <w:qFormat/>
    <w:uiPriority w:val="0"/>
    <w:pPr>
      <w:tabs>
        <w:tab w:val="left" w:pos="567"/>
      </w:tabs>
      <w:spacing w:before="120" w:line="22" w:lineRule="atLeast"/>
    </w:pPr>
    <w:rPr>
      <w:rFonts w:ascii="宋体" w:hAnsi="宋体"/>
      <w:sz w:val="24"/>
    </w:rPr>
  </w:style>
  <w:style w:type="paragraph" w:styleId="19">
    <w:name w:val="caption"/>
    <w:basedOn w:val="1"/>
    <w:next w:val="1"/>
    <w:qFormat/>
    <w:uiPriority w:val="0"/>
    <w:pPr>
      <w:spacing w:line="480" w:lineRule="auto"/>
    </w:pPr>
    <w:rPr>
      <w:rFonts w:ascii="华文中宋" w:hAnsi="华文中宋" w:eastAsia="华文中宋"/>
      <w:sz w:val="36"/>
      <w:szCs w:val="20"/>
    </w:rPr>
  </w:style>
  <w:style w:type="paragraph" w:styleId="20">
    <w:name w:val="Document Map"/>
    <w:basedOn w:val="1"/>
    <w:link w:val="71"/>
    <w:qFormat/>
    <w:uiPriority w:val="0"/>
    <w:pPr>
      <w:shd w:val="clear" w:color="auto" w:fill="000080"/>
    </w:pPr>
  </w:style>
  <w:style w:type="paragraph" w:styleId="21">
    <w:name w:val="Body Text 3"/>
    <w:basedOn w:val="1"/>
    <w:link w:val="73"/>
    <w:qFormat/>
    <w:uiPriority w:val="0"/>
    <w:pPr>
      <w:spacing w:after="120"/>
    </w:pPr>
    <w:rPr>
      <w:sz w:val="16"/>
      <w:szCs w:val="16"/>
    </w:rPr>
  </w:style>
  <w:style w:type="paragraph" w:styleId="22">
    <w:name w:val="List Bullet 3"/>
    <w:basedOn w:val="1"/>
    <w:qFormat/>
    <w:uiPriority w:val="0"/>
    <w:pPr>
      <w:numPr>
        <w:ilvl w:val="0"/>
        <w:numId w:val="1"/>
      </w:numPr>
    </w:p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6"/>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7"/>
    <w:qFormat/>
    <w:uiPriority w:val="0"/>
    <w:pPr>
      <w:ind w:left="100" w:leftChars="2500"/>
    </w:pPr>
    <w:rPr>
      <w:rFonts w:ascii="仿宋_GB2312" w:hAnsi="宋体" w:eastAsia="仿宋_GB2312"/>
      <w:color w:val="000000"/>
      <w:sz w:val="24"/>
    </w:rPr>
  </w:style>
  <w:style w:type="paragraph" w:styleId="31">
    <w:name w:val="Body Text Indent 2"/>
    <w:basedOn w:val="1"/>
    <w:link w:val="78"/>
    <w:qFormat/>
    <w:uiPriority w:val="0"/>
    <w:pPr>
      <w:ind w:firstLine="480" w:firstLineChars="200"/>
    </w:pPr>
    <w:rPr>
      <w:rFonts w:ascii="仿宋_GB2312" w:eastAsia="仿宋_GB2312"/>
      <w:sz w:val="24"/>
    </w:rPr>
  </w:style>
  <w:style w:type="paragraph" w:styleId="32">
    <w:name w:val="Balloon Text"/>
    <w:basedOn w:val="1"/>
    <w:link w:val="79"/>
    <w:qFormat/>
    <w:uiPriority w:val="0"/>
    <w:rPr>
      <w:sz w:val="18"/>
      <w:szCs w:val="18"/>
    </w:rPr>
  </w:style>
  <w:style w:type="paragraph" w:styleId="33">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left" w:pos="1050"/>
        <w:tab w:val="right" w:leader="dot" w:pos="8937"/>
      </w:tabs>
      <w:spacing w:line="300" w:lineRule="auto"/>
    </w:pPr>
    <w:rPr>
      <w:rFonts w:ascii="宋体" w:hAnsi="宋体"/>
      <w:b/>
      <w:sz w:val="24"/>
    </w:rPr>
  </w:style>
  <w:style w:type="paragraph" w:styleId="36">
    <w:name w:val="toc 4"/>
    <w:basedOn w:val="1"/>
    <w:next w:val="1"/>
    <w:qFormat/>
    <w:uiPriority w:val="0"/>
    <w:pPr>
      <w:ind w:left="1260" w:leftChars="600"/>
    </w:pPr>
  </w:style>
  <w:style w:type="paragraph" w:styleId="37">
    <w:name w:val="toc 6"/>
    <w:basedOn w:val="1"/>
    <w:next w:val="1"/>
    <w:qFormat/>
    <w:uiPriority w:val="0"/>
    <w:pPr>
      <w:ind w:left="2100" w:leftChars="1000"/>
    </w:pPr>
  </w:style>
  <w:style w:type="paragraph" w:styleId="38">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0"/>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6"/>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4"/>
    <w:qFormat/>
    <w:uiPriority w:val="0"/>
    <w:rPr>
      <w:rFonts w:ascii="宋体" w:hAnsi="Times New Roman" w:eastAsia="宋体" w:cs="Times New Roman"/>
      <w:b/>
      <w:kern w:val="44"/>
      <w:sz w:val="32"/>
    </w:rPr>
  </w:style>
  <w:style w:type="character" w:customStyle="1" w:styleId="63">
    <w:name w:val="标题 2 字符"/>
    <w:link w:val="5"/>
    <w:qFormat/>
    <w:uiPriority w:val="0"/>
    <w:rPr>
      <w:rFonts w:ascii="Arial" w:hAnsi="Arial" w:eastAsia="黑体" w:cs="Times New Roman"/>
      <w:b/>
      <w:sz w:val="30"/>
      <w:lang w:val="en-US" w:eastAsia="zh-CN" w:bidi="ar-SA"/>
    </w:rPr>
  </w:style>
  <w:style w:type="character" w:customStyle="1" w:styleId="64">
    <w:name w:val="标题 3 字符"/>
    <w:link w:val="7"/>
    <w:qFormat/>
    <w:uiPriority w:val="0"/>
    <w:rPr>
      <w:rFonts w:ascii="宋体" w:hAnsi="Times New Roman" w:eastAsia="宋体" w:cs="Times New Roman"/>
      <w:b/>
      <w:sz w:val="24"/>
      <w:u w:val="single"/>
      <w:lang w:val="en-US" w:eastAsia="zh-CN" w:bidi="ar-SA"/>
    </w:rPr>
  </w:style>
  <w:style w:type="character" w:customStyle="1" w:styleId="65">
    <w:name w:val="标题 4 字符"/>
    <w:link w:val="8"/>
    <w:qFormat/>
    <w:uiPriority w:val="0"/>
    <w:rPr>
      <w:rFonts w:ascii="Arial" w:hAnsi="Arial" w:eastAsia="黑体" w:cs="Times New Roman"/>
      <w:b/>
      <w:sz w:val="28"/>
    </w:rPr>
  </w:style>
  <w:style w:type="character" w:customStyle="1" w:styleId="66">
    <w:name w:val="标题 5 字符"/>
    <w:link w:val="9"/>
    <w:qFormat/>
    <w:uiPriority w:val="0"/>
    <w:rPr>
      <w:rFonts w:ascii="Times New Roman" w:hAnsi="Times New Roman" w:eastAsia="宋体" w:cs="Times New Roman"/>
      <w:b/>
      <w:sz w:val="28"/>
    </w:rPr>
  </w:style>
  <w:style w:type="character" w:customStyle="1" w:styleId="67">
    <w:name w:val="标题 6 字符"/>
    <w:link w:val="10"/>
    <w:qFormat/>
    <w:uiPriority w:val="0"/>
    <w:rPr>
      <w:rFonts w:ascii="Arial" w:hAnsi="Arial" w:eastAsia="黑体" w:cs="Times New Roman"/>
      <w:b/>
      <w:sz w:val="24"/>
    </w:rPr>
  </w:style>
  <w:style w:type="character" w:customStyle="1" w:styleId="68">
    <w:name w:val="标题 7 字符"/>
    <w:link w:val="11"/>
    <w:qFormat/>
    <w:uiPriority w:val="0"/>
    <w:rPr>
      <w:rFonts w:ascii="Times New Roman" w:hAnsi="Times New Roman" w:eastAsia="宋体" w:cs="Times New Roman"/>
      <w:b/>
      <w:sz w:val="24"/>
    </w:rPr>
  </w:style>
  <w:style w:type="character" w:customStyle="1" w:styleId="69">
    <w:name w:val="标题 8 字符"/>
    <w:link w:val="12"/>
    <w:qFormat/>
    <w:uiPriority w:val="0"/>
    <w:rPr>
      <w:rFonts w:ascii="Arial" w:hAnsi="Arial" w:eastAsia="黑体" w:cs="Times New Roman"/>
      <w:sz w:val="24"/>
    </w:rPr>
  </w:style>
  <w:style w:type="character" w:customStyle="1" w:styleId="70">
    <w:name w:val="标题 9 字符"/>
    <w:link w:val="13"/>
    <w:qFormat/>
    <w:uiPriority w:val="0"/>
    <w:rPr>
      <w:rFonts w:ascii="Arial" w:hAnsi="Arial" w:eastAsia="黑体" w:cs="Times New Roman"/>
      <w:sz w:val="21"/>
    </w:rPr>
  </w:style>
  <w:style w:type="character" w:customStyle="1" w:styleId="71">
    <w:name w:val="文档结构图 字符"/>
    <w:link w:val="20"/>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5"/>
    <w:qFormat/>
    <w:uiPriority w:val="0"/>
    <w:rPr>
      <w:rFonts w:ascii="Times New Roman" w:hAnsi="Times New Roman" w:eastAsia="宋体" w:cs="Times New Roman"/>
      <w:kern w:val="2"/>
      <w:sz w:val="21"/>
      <w:szCs w:val="24"/>
    </w:rPr>
  </w:style>
  <w:style w:type="character" w:customStyle="1" w:styleId="73">
    <w:name w:val="正文文本 3 字符"/>
    <w:link w:val="21"/>
    <w:qFormat/>
    <w:uiPriority w:val="0"/>
    <w:rPr>
      <w:rFonts w:ascii="Times New Roman" w:hAnsi="Times New Roman" w:eastAsia="宋体" w:cs="Times New Roman"/>
      <w:kern w:val="2"/>
      <w:sz w:val="16"/>
      <w:szCs w:val="16"/>
    </w:rPr>
  </w:style>
  <w:style w:type="character" w:customStyle="1" w:styleId="74">
    <w:name w:val="正文文本 字符"/>
    <w:link w:val="18"/>
    <w:qFormat/>
    <w:uiPriority w:val="0"/>
    <w:rPr>
      <w:rFonts w:ascii="宋体" w:hAnsi="宋体" w:eastAsia="宋体" w:cs="Times New Roman"/>
      <w:kern w:val="2"/>
      <w:sz w:val="24"/>
      <w:szCs w:val="24"/>
    </w:rPr>
  </w:style>
  <w:style w:type="character" w:customStyle="1" w:styleId="75">
    <w:name w:val="正文文本缩进 字符"/>
    <w:link w:val="3"/>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8"/>
    <w:qFormat/>
    <w:uiPriority w:val="0"/>
    <w:rPr>
      <w:rFonts w:hint="eastAsia" w:ascii="宋体" w:hAnsi="Courier New" w:eastAsia="宋体" w:cs="宋体"/>
      <w:kern w:val="2"/>
      <w:sz w:val="21"/>
    </w:rPr>
  </w:style>
  <w:style w:type="character" w:customStyle="1" w:styleId="77">
    <w:name w:val="日期 字符"/>
    <w:link w:val="30"/>
    <w:qFormat/>
    <w:uiPriority w:val="0"/>
    <w:rPr>
      <w:rFonts w:ascii="仿宋_GB2312" w:hAnsi="宋体" w:eastAsia="仿宋_GB2312" w:cs="Times New Roman"/>
      <w:color w:val="000000"/>
      <w:kern w:val="2"/>
      <w:sz w:val="24"/>
      <w:szCs w:val="24"/>
    </w:rPr>
  </w:style>
  <w:style w:type="character" w:customStyle="1" w:styleId="78">
    <w:name w:val="正文文本缩进 2 字符"/>
    <w:link w:val="31"/>
    <w:qFormat/>
    <w:uiPriority w:val="0"/>
    <w:rPr>
      <w:rFonts w:ascii="仿宋_GB2312" w:hAnsi="Times New Roman" w:eastAsia="仿宋_GB2312" w:cs="Times New Roman"/>
      <w:kern w:val="2"/>
      <w:sz w:val="24"/>
      <w:szCs w:val="24"/>
    </w:rPr>
  </w:style>
  <w:style w:type="character" w:customStyle="1" w:styleId="79">
    <w:name w:val="批注框文本 字符"/>
    <w:link w:val="32"/>
    <w:qFormat/>
    <w:uiPriority w:val="0"/>
    <w:rPr>
      <w:rFonts w:ascii="Times New Roman" w:hAnsi="Times New Roman" w:eastAsia="宋体" w:cs="Times New Roman"/>
      <w:kern w:val="2"/>
      <w:sz w:val="18"/>
      <w:szCs w:val="18"/>
    </w:rPr>
  </w:style>
  <w:style w:type="character" w:customStyle="1" w:styleId="80">
    <w:name w:val="页脚 字符"/>
    <w:link w:val="33"/>
    <w:qFormat/>
    <w:uiPriority w:val="0"/>
    <w:rPr>
      <w:rFonts w:ascii="宋体" w:hAnsi="Times New Roman" w:eastAsia="宋体" w:cs="Times New Roman"/>
      <w:sz w:val="18"/>
      <w:lang w:val="en-US" w:eastAsia="zh-CN" w:bidi="ar-SA"/>
    </w:rPr>
  </w:style>
  <w:style w:type="character" w:customStyle="1" w:styleId="81">
    <w:name w:val="页眉 字符"/>
    <w:link w:val="34"/>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8"/>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4"/>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2"/>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6"/>
    <w:link w:val="96"/>
    <w:qFormat/>
    <w:uiPriority w:val="0"/>
    <w:pPr>
      <w:jc w:val="center"/>
    </w:pPr>
    <w:rPr>
      <w:i w:val="0"/>
      <w:color w:val="000000"/>
      <w:sz w:val="28"/>
      <w:szCs w:val="21"/>
    </w:rPr>
  </w:style>
  <w:style w:type="paragraph" w:customStyle="1" w:styleId="98">
    <w:name w:val="正文小标题"/>
    <w:basedOn w:val="1"/>
    <w:next w:val="6"/>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4"/>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20"/>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4"/>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8"/>
    <w:qFormat/>
    <w:uiPriority w:val="0"/>
    <w:pPr>
      <w:tabs>
        <w:tab w:val="left" w:pos="864"/>
      </w:tabs>
      <w:ind w:left="567" w:right="27" w:rightChars="13" w:hanging="567"/>
    </w:pPr>
    <w:rPr>
      <w:sz w:val="24"/>
      <w:lang w:val="zh-CN"/>
    </w:rPr>
  </w:style>
  <w:style w:type="character" w:customStyle="1" w:styleId="269">
    <w:name w:val="正文首行缩进 2字符 Char"/>
    <w:link w:val="270"/>
    <w:qFormat/>
    <w:uiPriority w:val="0"/>
    <w:rPr>
      <w:kern w:val="0"/>
      <w:sz w:val="24"/>
      <w:szCs w:val="24"/>
    </w:rPr>
  </w:style>
  <w:style w:type="paragraph" w:customStyle="1" w:styleId="270">
    <w:name w:val="正文首行缩进 2字符"/>
    <w:basedOn w:val="1"/>
    <w:link w:val="269"/>
    <w:qFormat/>
    <w:uiPriority w:val="0"/>
    <w:pPr>
      <w:ind w:firstLine="200" w:firstLineChars="200"/>
    </w:pPr>
    <w:rPr>
      <w:kern w:val="0"/>
      <w:sz w:val="24"/>
      <w:szCs w:val="24"/>
    </w:rPr>
  </w:style>
  <w:style w:type="paragraph" w:customStyle="1" w:styleId="271">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customStyle="1" w:styleId="272">
    <w:name w:val="正文首行缩进 2111"/>
    <w:basedOn w:val="3"/>
    <w:qFormat/>
    <w:uiPriority w:val="0"/>
    <w:pPr>
      <w:spacing w:line="480" w:lineRule="exact"/>
      <w:ind w:left="480" w:firstLine="480" w:firstLineChars="200"/>
    </w:pPr>
    <w:rPr>
      <w:rFonts w:asciiTheme="minorEastAsia" w:hAnsiTheme="minorEastAsia" w:eastAsiaTheme="minorEastAsia"/>
    </w:rPr>
  </w:style>
  <w:style w:type="paragraph" w:customStyle="1" w:styleId="273">
    <w:name w:val="列出段落21"/>
    <w:basedOn w:val="1"/>
    <w:qFormat/>
    <w:uiPriority w:val="34"/>
    <w:pPr>
      <w:spacing w:line="360" w:lineRule="auto"/>
      <w:ind w:firstLine="420" w:firstLineChars="200"/>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2026-08-31T06:26:41Z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