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kinsoku w:val="0"/>
        <w:overflowPunct w:val="0"/>
        <w:rPr>
          <w:rFonts w:hAnsi="宋体"/>
          <w:color w:val="auto"/>
          <w:sz w:val="36"/>
          <w:szCs w:val="36"/>
          <w:highlight w:val="none"/>
        </w:rPr>
      </w:pPr>
    </w:p>
    <w:p>
      <w:pPr>
        <w:pStyle w:val="17"/>
        <w:kinsoku w:val="0"/>
        <w:overflowPunct w:val="0"/>
        <w:rPr>
          <w:rFonts w:hAnsi="宋体"/>
          <w:color w:val="auto"/>
          <w:sz w:val="36"/>
          <w:szCs w:val="36"/>
          <w:highlight w:val="none"/>
        </w:rPr>
      </w:pPr>
    </w:p>
    <w:p>
      <w:pPr>
        <w:pStyle w:val="17"/>
        <w:kinsoku w:val="0"/>
        <w:overflowPunct w:val="0"/>
        <w:spacing w:before="1"/>
        <w:rPr>
          <w:rFonts w:hAnsi="宋体"/>
          <w:color w:val="auto"/>
          <w:sz w:val="31"/>
          <w:szCs w:val="31"/>
          <w:highlight w:val="none"/>
        </w:rPr>
      </w:pPr>
    </w:p>
    <w:p>
      <w:pPr>
        <w:pStyle w:val="17"/>
        <w:kinsoku w:val="0"/>
        <w:overflowPunct w:val="0"/>
        <w:spacing w:line="242" w:lineRule="auto"/>
        <w:ind w:left="1765" w:right="1795" w:firstLine="602"/>
        <w:rPr>
          <w:rFonts w:hAnsi="宋体"/>
          <w:color w:val="auto"/>
          <w:spacing w:val="-2"/>
          <w:sz w:val="60"/>
          <w:szCs w:val="60"/>
          <w:highlight w:val="none"/>
        </w:rPr>
      </w:pPr>
      <w:r>
        <w:rPr>
          <w:rFonts w:hint="eastAsia" w:hAnsi="宋体"/>
          <w:color w:val="auto"/>
          <w:sz w:val="60"/>
          <w:szCs w:val="60"/>
          <w:highlight w:val="none"/>
        </w:rPr>
        <w:t>北京市政府采购项目</w:t>
      </w:r>
      <w:r>
        <w:rPr>
          <w:rFonts w:hAnsi="宋体"/>
          <w:color w:val="auto"/>
          <w:sz w:val="60"/>
          <w:szCs w:val="60"/>
          <w:highlight w:val="none"/>
        </w:rPr>
        <w:t xml:space="preserve"> </w:t>
      </w:r>
      <w:r>
        <w:rPr>
          <w:rFonts w:hint="eastAsia" w:hAnsi="宋体"/>
          <w:color w:val="auto"/>
          <w:spacing w:val="-2"/>
          <w:sz w:val="60"/>
          <w:szCs w:val="60"/>
          <w:highlight w:val="none"/>
        </w:rPr>
        <w:t>竞争性磋商文件示范文本</w:t>
      </w:r>
    </w:p>
    <w:p>
      <w:pPr>
        <w:pStyle w:val="17"/>
        <w:kinsoku w:val="0"/>
        <w:overflowPunct w:val="0"/>
        <w:spacing w:before="5"/>
        <w:ind w:left="2913" w:right="2945"/>
        <w:jc w:val="center"/>
        <w:rPr>
          <w:rFonts w:hAnsi="宋体"/>
          <w:color w:val="auto"/>
          <w:w w:val="110"/>
          <w:sz w:val="60"/>
          <w:szCs w:val="60"/>
          <w:highlight w:val="none"/>
        </w:rPr>
      </w:pPr>
      <w:r>
        <w:rPr>
          <w:rFonts w:hint="eastAsia" w:hAnsi="宋体"/>
          <w:color w:val="auto"/>
          <w:w w:val="110"/>
          <w:sz w:val="60"/>
          <w:szCs w:val="60"/>
          <w:highlight w:val="none"/>
        </w:rPr>
        <w:t>（</w:t>
      </w:r>
      <w:r>
        <w:rPr>
          <w:rFonts w:hAnsi="宋体" w:cs="Arial"/>
          <w:b/>
          <w:bCs/>
          <w:color w:val="auto"/>
          <w:w w:val="110"/>
          <w:sz w:val="60"/>
          <w:szCs w:val="60"/>
          <w:highlight w:val="none"/>
        </w:rPr>
        <w:t>2023</w:t>
      </w:r>
      <w:r>
        <w:rPr>
          <w:rFonts w:hint="eastAsia" w:hAnsi="宋体"/>
          <w:color w:val="auto"/>
          <w:w w:val="110"/>
          <w:sz w:val="60"/>
          <w:szCs w:val="60"/>
          <w:highlight w:val="none"/>
        </w:rPr>
        <w:t>年版）</w:t>
      </w:r>
    </w:p>
    <w:p>
      <w:pPr>
        <w:pStyle w:val="17"/>
        <w:kinsoku w:val="0"/>
        <w:overflowPunct w:val="0"/>
        <w:rPr>
          <w:rFonts w:hAnsi="宋体"/>
          <w:color w:val="auto"/>
          <w:sz w:val="70"/>
          <w:szCs w:val="70"/>
          <w:highlight w:val="none"/>
        </w:rPr>
      </w:pPr>
    </w:p>
    <w:p>
      <w:pPr>
        <w:pStyle w:val="17"/>
        <w:kinsoku w:val="0"/>
        <w:overflowPunct w:val="0"/>
        <w:spacing w:line="360" w:lineRule="auto"/>
        <w:rPr>
          <w:rFonts w:hAnsi="宋体"/>
          <w:color w:val="auto"/>
          <w:sz w:val="94"/>
          <w:szCs w:val="94"/>
          <w:highlight w:val="none"/>
        </w:rPr>
      </w:pPr>
    </w:p>
    <w:p>
      <w:pPr>
        <w:pStyle w:val="260"/>
        <w:spacing w:line="360" w:lineRule="auto"/>
        <w:rPr>
          <w:rFonts w:ascii="宋体" w:hAnsi="宋体"/>
          <w:color w:val="auto"/>
          <w:sz w:val="36"/>
          <w:szCs w:val="36"/>
          <w:highlight w:val="none"/>
        </w:rPr>
      </w:pPr>
      <w:r>
        <w:rPr>
          <w:rFonts w:hint="eastAsia" w:ascii="宋体" w:hAnsi="宋体"/>
          <w:color w:val="auto"/>
          <w:sz w:val="36"/>
          <w:szCs w:val="36"/>
          <w:highlight w:val="none"/>
        </w:rPr>
        <w:t>项目名称：牛栏山镇回迁村生活垃圾分类服务项目</w:t>
      </w:r>
    </w:p>
    <w:p>
      <w:pPr>
        <w:pStyle w:val="260"/>
        <w:spacing w:line="360" w:lineRule="auto"/>
        <w:rPr>
          <w:rFonts w:hint="eastAsia" w:ascii="宋体" w:hAnsi="宋体" w:eastAsia="宋体"/>
          <w:color w:val="auto"/>
          <w:spacing w:val="-6"/>
          <w:sz w:val="36"/>
          <w:szCs w:val="36"/>
          <w:highlight w:val="none"/>
          <w:lang w:val="en-US" w:eastAsia="zh-CN"/>
        </w:rPr>
      </w:pPr>
      <w:r>
        <w:rPr>
          <w:rFonts w:hint="eastAsia" w:ascii="宋体" w:hAnsi="宋体"/>
          <w:color w:val="auto"/>
          <w:spacing w:val="-6"/>
          <w:sz w:val="36"/>
          <w:szCs w:val="36"/>
          <w:highlight w:val="none"/>
        </w:rPr>
        <w:t>项目编号</w:t>
      </w:r>
      <w:r>
        <w:rPr>
          <w:rFonts w:ascii="宋体" w:hAnsi="宋体"/>
          <w:color w:val="auto"/>
          <w:spacing w:val="-6"/>
          <w:sz w:val="36"/>
          <w:szCs w:val="36"/>
          <w:highlight w:val="none"/>
        </w:rPr>
        <w:t>/</w:t>
      </w:r>
      <w:r>
        <w:rPr>
          <w:rFonts w:hint="eastAsia" w:ascii="宋体" w:hAnsi="宋体"/>
          <w:color w:val="auto"/>
          <w:spacing w:val="-6"/>
          <w:sz w:val="36"/>
          <w:szCs w:val="36"/>
          <w:highlight w:val="none"/>
        </w:rPr>
        <w:t>包号：11011324210200013961-XM001</w:t>
      </w:r>
      <w:r>
        <w:rPr>
          <w:rFonts w:hint="eastAsia" w:ascii="宋体" w:hAnsi="宋体"/>
          <w:color w:val="auto"/>
          <w:spacing w:val="-6"/>
          <w:sz w:val="36"/>
          <w:szCs w:val="36"/>
          <w:highlight w:val="none"/>
          <w:lang w:val="en-US" w:eastAsia="zh-CN"/>
        </w:rPr>
        <w:t>/BZZB-24-130</w:t>
      </w:r>
    </w:p>
    <w:p>
      <w:pPr>
        <w:pStyle w:val="260"/>
        <w:spacing w:line="360" w:lineRule="auto"/>
        <w:rPr>
          <w:rFonts w:ascii="宋体" w:hAnsi="宋体"/>
          <w:color w:val="auto"/>
          <w:sz w:val="36"/>
          <w:szCs w:val="36"/>
          <w:highlight w:val="none"/>
        </w:rPr>
      </w:pPr>
      <w:r>
        <w:rPr>
          <w:rFonts w:hint="eastAsia" w:ascii="宋体" w:hAnsi="宋体"/>
          <w:color w:val="auto"/>
          <w:sz w:val="36"/>
          <w:szCs w:val="36"/>
          <w:highlight w:val="none"/>
        </w:rPr>
        <w:t>采购人名称：北京市顺义区牛栏山镇人民政府</w:t>
      </w:r>
    </w:p>
    <w:p>
      <w:pPr>
        <w:pStyle w:val="260"/>
        <w:spacing w:line="360" w:lineRule="auto"/>
        <w:rPr>
          <w:rFonts w:ascii="宋体" w:hAnsi="宋体"/>
          <w:color w:val="auto"/>
          <w:sz w:val="36"/>
          <w:szCs w:val="36"/>
          <w:highlight w:val="none"/>
        </w:rPr>
      </w:pPr>
      <w:r>
        <w:rPr>
          <w:rFonts w:hint="eastAsia" w:ascii="宋体" w:hAnsi="宋体"/>
          <w:color w:val="auto"/>
          <w:sz w:val="36"/>
          <w:szCs w:val="36"/>
          <w:highlight w:val="none"/>
        </w:rPr>
        <w:t>采购代理机构：北京北咨招标有限公司</w:t>
      </w:r>
    </w:p>
    <w:p>
      <w:pPr>
        <w:pStyle w:val="17"/>
        <w:kinsoku w:val="0"/>
        <w:overflowPunct w:val="0"/>
        <w:spacing w:before="6"/>
        <w:ind w:left="1472"/>
        <w:jc w:val="center"/>
        <w:rPr>
          <w:rFonts w:hAnsi="宋体"/>
          <w:color w:val="auto"/>
          <w:sz w:val="36"/>
          <w:szCs w:val="36"/>
          <w:highlight w:val="none"/>
        </w:rPr>
        <w:sectPr>
          <w:type w:val="continuous"/>
          <w:pgSz w:w="11910" w:h="16840"/>
          <w:pgMar w:top="1380" w:right="559" w:bottom="280" w:left="1160" w:header="720" w:footer="720" w:gutter="0"/>
          <w:pgNumType w:start="0"/>
          <w:cols w:space="720" w:num="1"/>
        </w:sectPr>
      </w:pPr>
    </w:p>
    <w:p>
      <w:pPr>
        <w:pStyle w:val="17"/>
        <w:kinsoku w:val="0"/>
        <w:overflowPunct w:val="0"/>
        <w:rPr>
          <w:rFonts w:hAnsi="宋体"/>
          <w:color w:val="auto"/>
          <w:sz w:val="20"/>
          <w:szCs w:val="20"/>
          <w:highlight w:val="none"/>
        </w:rPr>
      </w:pPr>
      <w:r>
        <w:rPr>
          <w:rFonts w:hAnsi="宋体"/>
          <w:color w:val="auto"/>
          <w:highlight w:val="none"/>
        </w:rPr>
        <mc:AlternateContent>
          <mc:Choice Requires="wps">
            <w:drawing>
              <wp:anchor distT="0" distB="0" distL="114300" distR="114300" simplePos="0" relativeHeight="251666432" behindDoc="1" locked="0" layoutInCell="0" allowOverlap="1">
                <wp:simplePos x="0" y="0"/>
                <wp:positionH relativeFrom="page">
                  <wp:posOffset>3152140</wp:posOffset>
                </wp:positionH>
                <wp:positionV relativeFrom="page">
                  <wp:posOffset>2948305</wp:posOffset>
                </wp:positionV>
                <wp:extent cx="3340100" cy="38100"/>
                <wp:effectExtent l="0" t="0" r="0" b="0"/>
                <wp:wrapNone/>
                <wp:docPr id="1427502484" name="Rectangle 4"/>
                <wp:cNvGraphicFramePr/>
                <a:graphic xmlns:a="http://schemas.openxmlformats.org/drawingml/2006/main">
                  <a:graphicData uri="http://schemas.microsoft.com/office/word/2010/wordprocessingShape">
                    <wps:wsp>
                      <wps:cNvSpPr>
                        <a:spLocks noChangeArrowheads="1"/>
                      </wps:cNvSpPr>
                      <wps:spPr bwMode="auto">
                        <a:xfrm>
                          <a:off x="0" y="0"/>
                          <a:ext cx="3340100" cy="38100"/>
                        </a:xfrm>
                        <a:prstGeom prst="rect">
                          <a:avLst/>
                        </a:prstGeom>
                        <a:noFill/>
                        <a:ln>
                          <a:noFill/>
                        </a:ln>
                      </wps:spPr>
                      <wps:txbx>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4" o:spid="_x0000_s1026" o:spt="1" style="position:absolute;left:0pt;margin-left:248.2pt;margin-top:232.15pt;height:3pt;width:263pt;mso-position-horizontal-relative:page;mso-position-vertical-relative:page;z-index:-251650048;mso-width-relative:page;mso-height-relative:page;" filled="f" stroked="f" coordsize="21600,21600" o:allowincell="f" o:gfxdata="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7+5PtwAAAAMAQAADwAAAAAAAAABACAAAAAiAAAAZHJzL2Rv&#10;d25yZXYueG1sUEsBAhQAFAAAAAgAh07iQOoHlo39AQAAAwQAAA4AAAAAAAAAAQAgAAAAKwEAAGRy&#10;cy9lMm9Eb2MueG1sUEsFBgAAAAAGAAYAWQEAAJoFAAAAAA==&#10;">
                <v:fill on="f" focussize="0,0"/>
                <v:stroke on="f"/>
                <v:imagedata o:title=""/>
                <o:lock v:ext="edit" aspectratio="f"/>
                <v:textbox inset="0mm,0mm,0mm,0mm">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v:textbox>
              </v:rect>
            </w:pict>
          </mc:Fallback>
        </mc:AlternateContent>
      </w:r>
      <w:r>
        <w:rPr>
          <w:rFonts w:hAnsi="宋体"/>
          <w:color w:val="auto"/>
          <w:highlight w:val="none"/>
        </w:rPr>
        <mc:AlternateContent>
          <mc:Choice Requires="wps">
            <w:drawing>
              <wp:anchor distT="0" distB="0" distL="114300" distR="114300" simplePos="0" relativeHeight="251667456" behindDoc="1" locked="0" layoutInCell="0" allowOverlap="1">
                <wp:simplePos x="0" y="0"/>
                <wp:positionH relativeFrom="page">
                  <wp:posOffset>2387600</wp:posOffset>
                </wp:positionH>
                <wp:positionV relativeFrom="page">
                  <wp:posOffset>3245485</wp:posOffset>
                </wp:positionV>
                <wp:extent cx="4102100" cy="38100"/>
                <wp:effectExtent l="0" t="0" r="0" b="0"/>
                <wp:wrapNone/>
                <wp:docPr id="745259690" name="Rectangle 5"/>
                <wp:cNvGraphicFramePr/>
                <a:graphic xmlns:a="http://schemas.openxmlformats.org/drawingml/2006/main">
                  <a:graphicData uri="http://schemas.microsoft.com/office/word/2010/wordprocessingShape">
                    <wps:wsp>
                      <wps:cNvSpPr>
                        <a:spLocks noChangeArrowheads="1"/>
                      </wps:cNvSpPr>
                      <wps:spPr bwMode="auto">
                        <a:xfrm>
                          <a:off x="0" y="0"/>
                          <a:ext cx="4102100" cy="38100"/>
                        </a:xfrm>
                        <a:prstGeom prst="rect">
                          <a:avLst/>
                        </a:prstGeom>
                        <a:noFill/>
                        <a:ln>
                          <a:noFill/>
                        </a:ln>
                      </wps:spPr>
                      <wps:txbx>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5" o:spid="_x0000_s1026" o:spt="1" style="position:absolute;left:0pt;margin-left:188pt;margin-top:255.55pt;height:3pt;width:323pt;mso-position-horizontal-relative:page;mso-position-vertical-relative:page;z-index:-251649024;mso-width-relative:page;mso-height-relative:page;" filled="f" stroked="f" coordsize="21600,21600" o:allowincell="f" o:gfxdata="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3ihR2wAAAAwBAAAPAAAAAAAAAAEAIAAAACIAAABkcnMvZG93&#10;bnJldi54bWxQSwECFAAUAAAACACHTuJA5duwpf0BAAACBAAADgAAAAAAAAABACAAAAAqAQAAZHJz&#10;L2Uyb0RvYy54bWxQSwUGAAAAAAYABgBZAQAAmQUAAAAA&#10;">
                <v:fill on="f" focussize="0,0"/>
                <v:stroke on="f"/>
                <v:imagedata o:title=""/>
                <o:lock v:ext="edit" aspectratio="f"/>
                <v:textbox inset="0mm,0mm,0mm,0mm">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v:textbox>
              </v:rect>
            </w:pict>
          </mc:Fallback>
        </mc:AlternateContent>
      </w:r>
      <w:r>
        <w:rPr>
          <w:rFonts w:hAnsi="宋体"/>
          <w:color w:val="auto"/>
          <w:highlight w:val="none"/>
        </w:rPr>
        <mc:AlternateContent>
          <mc:Choice Requires="wps">
            <w:drawing>
              <wp:anchor distT="0" distB="0" distL="114300" distR="114300" simplePos="0" relativeHeight="251668480" behindDoc="1" locked="0" layoutInCell="0" allowOverlap="1">
                <wp:simplePos x="0" y="0"/>
                <wp:positionH relativeFrom="page">
                  <wp:posOffset>2693670</wp:posOffset>
                </wp:positionH>
                <wp:positionV relativeFrom="page">
                  <wp:posOffset>3540760</wp:posOffset>
                </wp:positionV>
                <wp:extent cx="3771900" cy="38100"/>
                <wp:effectExtent l="0" t="0" r="0" b="0"/>
                <wp:wrapNone/>
                <wp:docPr id="1317376187" name="Rectangle 6"/>
                <wp:cNvGraphicFramePr/>
                <a:graphic xmlns:a="http://schemas.openxmlformats.org/drawingml/2006/main">
                  <a:graphicData uri="http://schemas.microsoft.com/office/word/2010/wordprocessingShape">
                    <wps:wsp>
                      <wps:cNvSpPr>
                        <a:spLocks noChangeArrowheads="1"/>
                      </wps:cNvSpPr>
                      <wps:spPr bwMode="auto">
                        <a:xfrm>
                          <a:off x="0" y="0"/>
                          <a:ext cx="3771900" cy="38100"/>
                        </a:xfrm>
                        <a:prstGeom prst="rect">
                          <a:avLst/>
                        </a:prstGeom>
                        <a:noFill/>
                        <a:ln>
                          <a:noFill/>
                        </a:ln>
                      </wps:spPr>
                      <wps:txbx>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6" o:spid="_x0000_s1026" o:spt="1" style="position:absolute;left:0pt;margin-left:212.1pt;margin-top:278.8pt;height:3pt;width:297pt;mso-position-horizontal-relative:page;mso-position-vertical-relative:page;z-index:-251648000;mso-width-relative:page;mso-height-relative:page;" filled="f" stroked="f" coordsize="21600,21600" o:allowincell="f" o:gfxdata="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8G1PXcAAAADAEAAA8AAAAAAAAAAQAgAAAAIgAAAGRycy9k&#10;b3ducmV2LnhtbFBLAQIUABQAAAAIAIdO4kD6P0eE/gEAAAMEAAAOAAAAAAAAAAEAIAAAACsBAABk&#10;cnMvZTJvRG9jLnhtbFBLBQYAAAAABgAGAFkBAACbBQAAAAA=&#10;">
                <v:fill on="f" focussize="0,0"/>
                <v:stroke on="f"/>
                <v:imagedata o:title=""/>
                <o:lock v:ext="edit" aspectratio="f"/>
                <v:textbox inset="0mm,0mm,0mm,0mm">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v:textbox>
              </v:rect>
            </w:pict>
          </mc:Fallback>
        </mc:AlternateContent>
      </w:r>
      <w:r>
        <w:rPr>
          <w:rFonts w:hAnsi="宋体"/>
          <w:color w:val="auto"/>
          <w:highlight w:val="none"/>
        </w:rPr>
        <mc:AlternateContent>
          <mc:Choice Requires="wps">
            <w:drawing>
              <wp:anchor distT="0" distB="0" distL="114300" distR="114300" simplePos="0" relativeHeight="251669504" behindDoc="1" locked="0" layoutInCell="0" allowOverlap="1">
                <wp:simplePos x="0" y="0"/>
                <wp:positionH relativeFrom="page">
                  <wp:posOffset>2693670</wp:posOffset>
                </wp:positionH>
                <wp:positionV relativeFrom="page">
                  <wp:posOffset>3837940</wp:posOffset>
                </wp:positionV>
                <wp:extent cx="3771900" cy="38100"/>
                <wp:effectExtent l="0" t="0" r="0" b="0"/>
                <wp:wrapNone/>
                <wp:docPr id="918481441" name="Rectangle 7"/>
                <wp:cNvGraphicFramePr/>
                <a:graphic xmlns:a="http://schemas.openxmlformats.org/drawingml/2006/main">
                  <a:graphicData uri="http://schemas.microsoft.com/office/word/2010/wordprocessingShape">
                    <wps:wsp>
                      <wps:cNvSpPr>
                        <a:spLocks noChangeArrowheads="1"/>
                      </wps:cNvSpPr>
                      <wps:spPr bwMode="auto">
                        <a:xfrm>
                          <a:off x="0" y="0"/>
                          <a:ext cx="3771900" cy="38100"/>
                        </a:xfrm>
                        <a:prstGeom prst="rect">
                          <a:avLst/>
                        </a:prstGeom>
                        <a:noFill/>
                        <a:ln>
                          <a:noFill/>
                        </a:ln>
                      </wps:spPr>
                      <wps:txbx>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7" o:spid="_x0000_s1026" o:spt="1" style="position:absolute;left:0pt;margin-left:212.1pt;margin-top:302.2pt;height:3pt;width:297pt;mso-position-horizontal-relative:page;mso-position-vertical-relative:page;z-index:-251646976;mso-width-relative:page;mso-height-relative:page;" filled="f" stroked="f" coordsize="21600,21600" o:allowincell="f" o:gfxdata="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yOEh8dsAAAAMAQAADwAAAAAAAAABACAAAAAiAAAAZHJzL2Rv&#10;d25yZXYueG1sUEsBAhQAFAAAAAgAh07iQDs6rvr+AQAAAgQAAA4AAAAAAAAAAQAgAAAAKgEAAGRy&#10;cy9lMm9Eb2MueG1sUEsFBgAAAAAGAAYAWQEAAJoFAAAAAA==&#10;">
                <v:fill on="f" focussize="0,0"/>
                <v:stroke on="f"/>
                <v:imagedata o:title=""/>
                <o:lock v:ext="edit" aspectratio="f"/>
                <v:textbox inset="0mm,0mm,0mm,0mm">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v:textbox>
              </v:rect>
            </w:pict>
          </mc:Fallback>
        </mc:AlternateContent>
      </w:r>
    </w:p>
    <w:p>
      <w:pPr>
        <w:pStyle w:val="17"/>
        <w:kinsoku w:val="0"/>
        <w:overflowPunct w:val="0"/>
        <w:spacing w:before="7"/>
        <w:rPr>
          <w:rFonts w:hAnsi="宋体"/>
          <w:color w:val="auto"/>
          <w:sz w:val="14"/>
          <w:szCs w:val="14"/>
          <w:highlight w:val="none"/>
        </w:rPr>
      </w:pPr>
    </w:p>
    <w:p>
      <w:pPr>
        <w:pStyle w:val="17"/>
        <w:tabs>
          <w:tab w:val="left" w:pos="1442"/>
        </w:tabs>
        <w:kinsoku w:val="0"/>
        <w:overflowPunct w:val="0"/>
        <w:spacing w:before="50"/>
        <w:ind w:right="32"/>
        <w:jc w:val="center"/>
        <w:rPr>
          <w:rFonts w:hAnsi="宋体"/>
          <w:color w:val="auto"/>
          <w:sz w:val="20"/>
          <w:szCs w:val="20"/>
          <w:highlight w:val="none"/>
        </w:rPr>
      </w:pPr>
      <w:r>
        <w:rPr>
          <w:rFonts w:hAnsi="宋体"/>
          <w:color w:val="auto"/>
          <w:highlight w:val="none"/>
        </w:rPr>
        <mc:AlternateContent>
          <mc:Choice Requires="wps">
            <w:drawing>
              <wp:anchor distT="0" distB="0" distL="114300" distR="114300" simplePos="0" relativeHeight="251664384" behindDoc="1" locked="0" layoutInCell="0" allowOverlap="1">
                <wp:simplePos x="0" y="0"/>
                <wp:positionH relativeFrom="page">
                  <wp:posOffset>2387600</wp:posOffset>
                </wp:positionH>
                <wp:positionV relativeFrom="paragraph">
                  <wp:posOffset>1220470</wp:posOffset>
                </wp:positionV>
                <wp:extent cx="4203700" cy="38100"/>
                <wp:effectExtent l="0" t="0" r="0" b="0"/>
                <wp:wrapNone/>
                <wp:docPr id="525986888" name="Rectangle 8"/>
                <wp:cNvGraphicFramePr/>
                <a:graphic xmlns:a="http://schemas.openxmlformats.org/drawingml/2006/main">
                  <a:graphicData uri="http://schemas.microsoft.com/office/word/2010/wordprocessingShape">
                    <wps:wsp>
                      <wps:cNvSpPr>
                        <a:spLocks noChangeArrowheads="1"/>
                      </wps:cNvSpPr>
                      <wps:spPr bwMode="auto">
                        <a:xfrm>
                          <a:off x="0" y="0"/>
                          <a:ext cx="4203700" cy="38100"/>
                        </a:xfrm>
                        <a:prstGeom prst="rect">
                          <a:avLst/>
                        </a:prstGeom>
                        <a:noFill/>
                        <a:ln>
                          <a:noFill/>
                        </a:ln>
                      </wps:spPr>
                      <wps:txbx>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8" o:spid="_x0000_s1026" o:spt="1" style="position:absolute;left:0pt;margin-left:188pt;margin-top:96.1pt;height:3pt;width:331pt;mso-position-horizontal-relative:page;z-index:-251652096;mso-width-relative:page;mso-height-relative:page;" filled="f" stroked="f" coordsize="21600,21600" o:allowincell="f" o:gfxdata="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r9b1R2gAAAAwBAAAPAAAAAAAAAAEAIAAAACIAAABkcnMvZG93&#10;bnJldi54bWxQSwECFAAUAAAACACHTuJANttepf4BAAACBAAADgAAAAAAAAABACAAAAApAQAAZHJz&#10;L2Uyb0RvYy54bWxQSwUGAAAAAAYABgBZAQAAmQUAAAAA&#10;">
                <v:fill on="f" focussize="0,0"/>
                <v:stroke on="f"/>
                <v:imagedata o:title=""/>
                <o:lock v:ext="edit" aspectratio="f"/>
                <v:textbox inset="0mm,0mm,0mm,0mm">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v:textbox>
              </v:rect>
            </w:pict>
          </mc:Fallback>
        </mc:AlternateContent>
      </w:r>
      <w:r>
        <w:rPr>
          <w:rFonts w:hAnsi="宋体"/>
          <w:color w:val="auto"/>
          <w:highlight w:val="none"/>
        </w:rPr>
        <mc:AlternateContent>
          <mc:Choice Requires="wps">
            <w:drawing>
              <wp:anchor distT="0" distB="0" distL="114300" distR="114300" simplePos="0" relativeHeight="251665408" behindDoc="1" locked="0" layoutInCell="0" allowOverlap="1">
                <wp:simplePos x="0" y="0"/>
                <wp:positionH relativeFrom="page">
                  <wp:posOffset>2541270</wp:posOffset>
                </wp:positionH>
                <wp:positionV relativeFrom="paragraph">
                  <wp:posOffset>1516380</wp:posOffset>
                </wp:positionV>
                <wp:extent cx="4051300" cy="38100"/>
                <wp:effectExtent l="0" t="0" r="0" b="0"/>
                <wp:wrapNone/>
                <wp:docPr id="194010456" name="Rectangle 9"/>
                <wp:cNvGraphicFramePr/>
                <a:graphic xmlns:a="http://schemas.openxmlformats.org/drawingml/2006/main">
                  <a:graphicData uri="http://schemas.microsoft.com/office/word/2010/wordprocessingShape">
                    <wps:wsp>
                      <wps:cNvSpPr>
                        <a:spLocks noChangeArrowheads="1"/>
                      </wps:cNvSpPr>
                      <wps:spPr bwMode="auto">
                        <a:xfrm>
                          <a:off x="0" y="0"/>
                          <a:ext cx="4051300" cy="38100"/>
                        </a:xfrm>
                        <a:prstGeom prst="rect">
                          <a:avLst/>
                        </a:prstGeom>
                        <a:noFill/>
                        <a:ln>
                          <a:noFill/>
                        </a:ln>
                      </wps:spPr>
                      <wps:txbx>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wps:txbx>
                      <wps:bodyPr rot="0" vert="horz" wrap="square" lIns="0" tIns="0" rIns="0" bIns="0" anchor="t" anchorCtr="0" upright="1">
                        <a:noAutofit/>
                      </wps:bodyPr>
                    </wps:wsp>
                  </a:graphicData>
                </a:graphic>
              </wp:anchor>
            </w:drawing>
          </mc:Choice>
          <mc:Fallback>
            <w:pict>
              <v:rect id="Rectangle 9" o:spid="_x0000_s1026" o:spt="1" style="position:absolute;left:0pt;margin-left:200.1pt;margin-top:119.4pt;height:3pt;width:319pt;mso-position-horizontal-relative:page;z-index:-251651072;mso-width-relative:page;mso-height-relative:page;" filled="f" stroked="f" coordsize="21600,21600" o:allowincell="f" o:gfxdata="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mlH+3aAAAADAEAAA8AAAAAAAAAAQAgAAAAIgAAAGRycy9kb3du&#10;cmV2LnhtbFBLAQIUABQAAAAIAIdO4kBEQpCc/QEAAAIEAAAOAAAAAAAAAAEAIAAAACkBAABkcnMv&#10;ZTJvRG9jLnhtbFBLBQYAAAAABgAGAFkBAACYBQAAAAA=&#10;">
                <v:fill on="f" focussize="0,0"/>
                <v:stroke on="f"/>
                <v:imagedata o:title=""/>
                <o:lock v:ext="edit" aspectratio="f"/>
                <v:textbox inset="0mm,0mm,0mm,0mm">
                  <w:txbxContent>
                    <w:p>
                      <w:pPr>
                        <w:widowControl/>
                        <w:autoSpaceDE/>
                        <w:autoSpaceDN/>
                        <w:adjustRightInd/>
                        <w:spacing w:line="60" w:lineRule="atLeast"/>
                        <w:rPr>
                          <w:rFonts w:ascii="Times New Roman" w:cs="Times New Roman" w:eastAsiaTheme="minorEastAsia"/>
                          <w:sz w:val="24"/>
                          <w:szCs w:val="24"/>
                        </w:rPr>
                      </w:pPr>
                    </w:p>
                    <w:p>
                      <w:pPr>
                        <w:rPr>
                          <w:rFonts w:ascii="Times New Roman" w:cs="Times New Roman" w:eastAsiaTheme="minorEastAsia"/>
                          <w:sz w:val="24"/>
                          <w:szCs w:val="24"/>
                        </w:rPr>
                      </w:pPr>
                    </w:p>
                  </w:txbxContent>
                </v:textbox>
              </v:rect>
            </w:pict>
          </mc:Fallback>
        </mc:AlternateContent>
      </w:r>
      <w:bookmarkStart w:id="0" w:name="_bookmark0"/>
      <w:bookmarkEnd w:id="0"/>
    </w:p>
    <w:p>
      <w:pPr>
        <w:pStyle w:val="17"/>
        <w:kinsoku w:val="0"/>
        <w:overflowPunct w:val="0"/>
        <w:rPr>
          <w:rFonts w:hAnsi="宋体"/>
          <w:color w:val="auto"/>
          <w:sz w:val="20"/>
          <w:szCs w:val="20"/>
          <w:highlight w:val="none"/>
        </w:rPr>
      </w:pPr>
    </w:p>
    <w:sdt>
      <w:sdtPr>
        <w:rPr>
          <w:rFonts w:ascii="宋体" w:hAnsi="宋体" w:eastAsia="宋体" w:cs="宋体"/>
          <w:color w:val="auto"/>
          <w:sz w:val="22"/>
          <w:szCs w:val="22"/>
          <w:highlight w:val="none"/>
          <w:lang w:val="zh-CN"/>
        </w:rPr>
        <w:id w:val="1413507597"/>
        <w:docPartObj>
          <w:docPartGallery w:val="Table of Contents"/>
          <w:docPartUnique/>
        </w:docPartObj>
      </w:sdtPr>
      <w:sdtEndPr>
        <w:rPr>
          <w:rFonts w:ascii="宋体" w:hAnsi="宋体" w:eastAsia="宋体" w:cs="宋体"/>
          <w:b/>
          <w:bCs/>
          <w:color w:val="auto"/>
          <w:sz w:val="22"/>
          <w:szCs w:val="22"/>
          <w:highlight w:val="none"/>
          <w:lang w:val="zh-CN"/>
        </w:rPr>
      </w:sdtEndPr>
      <w:sdtContent>
        <w:p>
          <w:pPr>
            <w:pStyle w:val="268"/>
            <w:jc w:val="center"/>
            <w:rPr>
              <w:rFonts w:ascii="宋体" w:hAnsi="宋体" w:eastAsia="宋体"/>
              <w:b/>
              <w:bCs/>
              <w:color w:val="auto"/>
              <w:sz w:val="44"/>
              <w:szCs w:val="44"/>
              <w:highlight w:val="none"/>
              <w:lang w:val="zh-CN"/>
            </w:rPr>
          </w:pPr>
          <w:r>
            <w:rPr>
              <w:rFonts w:ascii="宋体" w:hAnsi="宋体" w:eastAsia="宋体"/>
              <w:b/>
              <w:bCs/>
              <w:color w:val="auto"/>
              <w:sz w:val="44"/>
              <w:szCs w:val="44"/>
              <w:highlight w:val="none"/>
              <w:lang w:val="zh-CN"/>
            </w:rPr>
            <w:t>目</w:t>
          </w:r>
          <w:r>
            <w:rPr>
              <w:rFonts w:hint="eastAsia" w:ascii="宋体" w:hAnsi="宋体" w:eastAsia="宋体"/>
              <w:b/>
              <w:bCs/>
              <w:color w:val="auto"/>
              <w:sz w:val="44"/>
              <w:szCs w:val="44"/>
              <w:highlight w:val="none"/>
              <w:lang w:val="zh-CN"/>
            </w:rPr>
            <w:t xml:space="preserve"> </w:t>
          </w:r>
          <w:r>
            <w:rPr>
              <w:rFonts w:ascii="宋体" w:hAnsi="宋体" w:eastAsia="宋体"/>
              <w:b/>
              <w:bCs/>
              <w:color w:val="auto"/>
              <w:sz w:val="44"/>
              <w:szCs w:val="44"/>
              <w:highlight w:val="none"/>
              <w:lang w:val="zh-CN"/>
            </w:rPr>
            <w:t>录</w:t>
          </w:r>
        </w:p>
        <w:p>
          <w:pPr>
            <w:rPr>
              <w:rFonts w:hAnsi="宋体"/>
              <w:color w:val="auto"/>
              <w:highlight w:val="none"/>
              <w:lang w:val="zh-CN"/>
            </w:rPr>
          </w:pPr>
        </w:p>
        <w:p>
          <w:pPr>
            <w:pStyle w:val="31"/>
            <w:spacing w:line="480" w:lineRule="auto"/>
            <w:rPr>
              <w:rFonts w:cstheme="minorBidi"/>
              <w:b w:val="0"/>
              <w:bCs/>
              <w:color w:val="auto"/>
              <w:sz w:val="28"/>
              <w:szCs w:val="28"/>
              <w:highlight w:val="none"/>
              <w14:ligatures w14:val="standardContextual"/>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"_Toc149147695" </w:instrText>
          </w:r>
          <w:r>
            <w:rPr>
              <w:color w:val="auto"/>
              <w:highlight w:val="none"/>
            </w:rPr>
            <w:fldChar w:fldCharType="separate"/>
          </w:r>
          <w:r>
            <w:rPr>
              <w:rStyle w:val="55"/>
              <w:b w:val="0"/>
              <w:bCs/>
              <w:color w:val="auto"/>
              <w:sz w:val="28"/>
              <w:szCs w:val="28"/>
              <w:highlight w:val="none"/>
            </w:rPr>
            <w:t>第一章</w:t>
          </w:r>
          <w:r>
            <w:rPr>
              <w:rFonts w:cstheme="minorBidi"/>
              <w:b w:val="0"/>
              <w:bCs/>
              <w:color w:val="auto"/>
              <w:sz w:val="28"/>
              <w:szCs w:val="28"/>
              <w:highlight w:val="none"/>
              <w14:ligatures w14:val="standardContextual"/>
            </w:rPr>
            <w:tab/>
          </w:r>
          <w:r>
            <w:rPr>
              <w:rStyle w:val="55"/>
              <w:b w:val="0"/>
              <w:bCs/>
              <w:color w:val="auto"/>
              <w:sz w:val="28"/>
              <w:szCs w:val="28"/>
              <w:highlight w:val="none"/>
            </w:rPr>
            <w:t>采购邀请</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_Toc149147695 \h </w:instrText>
          </w:r>
          <w:r>
            <w:rPr>
              <w:b w:val="0"/>
              <w:bCs/>
              <w:color w:val="auto"/>
              <w:sz w:val="28"/>
              <w:szCs w:val="28"/>
              <w:highlight w:val="none"/>
            </w:rPr>
            <w:fldChar w:fldCharType="separate"/>
          </w:r>
          <w:r>
            <w:rPr>
              <w:b w:val="0"/>
              <w:bCs/>
              <w:color w:val="auto"/>
              <w:sz w:val="28"/>
              <w:szCs w:val="28"/>
              <w:highlight w:val="none"/>
            </w:rPr>
            <w:t>2</w:t>
          </w:r>
          <w:r>
            <w:rPr>
              <w:b w:val="0"/>
              <w:bCs/>
              <w:color w:val="auto"/>
              <w:sz w:val="28"/>
              <w:szCs w:val="28"/>
              <w:highlight w:val="none"/>
            </w:rPr>
            <w:fldChar w:fldCharType="end"/>
          </w:r>
          <w:r>
            <w:rPr>
              <w:b w:val="0"/>
              <w:bCs/>
              <w:color w:val="auto"/>
              <w:sz w:val="28"/>
              <w:szCs w:val="28"/>
              <w:highlight w:val="none"/>
            </w:rPr>
            <w:fldChar w:fldCharType="end"/>
          </w:r>
        </w:p>
        <w:p>
          <w:pPr>
            <w:pStyle w:val="31"/>
            <w:spacing w:line="480" w:lineRule="auto"/>
            <w:rPr>
              <w:rFonts w:cstheme="minorBidi"/>
              <w:b w:val="0"/>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"_Toc149147696" </w:instrText>
          </w:r>
          <w:r>
            <w:rPr>
              <w:color w:val="auto"/>
              <w:highlight w:val="none"/>
            </w:rPr>
            <w:fldChar w:fldCharType="separate"/>
          </w:r>
          <w:r>
            <w:rPr>
              <w:rStyle w:val="55"/>
              <w:b w:val="0"/>
              <w:bCs/>
              <w:color w:val="auto"/>
              <w:sz w:val="28"/>
              <w:szCs w:val="28"/>
              <w:highlight w:val="none"/>
            </w:rPr>
            <w:t>第二章</w:t>
          </w:r>
          <w:r>
            <w:rPr>
              <w:rFonts w:cstheme="minorBidi"/>
              <w:b w:val="0"/>
              <w:bCs/>
              <w:color w:val="auto"/>
              <w:sz w:val="28"/>
              <w:szCs w:val="28"/>
              <w:highlight w:val="none"/>
              <w14:ligatures w14:val="standardContextual"/>
            </w:rPr>
            <w:tab/>
          </w:r>
          <w:r>
            <w:rPr>
              <w:rStyle w:val="55"/>
              <w:b w:val="0"/>
              <w:bCs/>
              <w:color w:val="auto"/>
              <w:sz w:val="28"/>
              <w:szCs w:val="28"/>
              <w:highlight w:val="none"/>
            </w:rPr>
            <w:t>供应商须知</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_Toc149147696 \h </w:instrText>
          </w:r>
          <w:r>
            <w:rPr>
              <w:b w:val="0"/>
              <w:bCs/>
              <w:color w:val="auto"/>
              <w:sz w:val="28"/>
              <w:szCs w:val="28"/>
              <w:highlight w:val="none"/>
            </w:rPr>
            <w:fldChar w:fldCharType="separate"/>
          </w:r>
          <w:r>
            <w:rPr>
              <w:b w:val="0"/>
              <w:bCs/>
              <w:color w:val="auto"/>
              <w:sz w:val="28"/>
              <w:szCs w:val="28"/>
              <w:highlight w:val="none"/>
            </w:rPr>
            <w:t>6</w:t>
          </w:r>
          <w:r>
            <w:rPr>
              <w:b w:val="0"/>
              <w:bCs/>
              <w:color w:val="auto"/>
              <w:sz w:val="28"/>
              <w:szCs w:val="28"/>
              <w:highlight w:val="none"/>
            </w:rPr>
            <w:fldChar w:fldCharType="end"/>
          </w:r>
          <w:r>
            <w:rPr>
              <w:b w:val="0"/>
              <w:bCs/>
              <w:color w:val="auto"/>
              <w:sz w:val="28"/>
              <w:szCs w:val="28"/>
              <w:highlight w:val="none"/>
            </w:rPr>
            <w:fldChar w:fldCharType="end"/>
          </w:r>
        </w:p>
        <w:p>
          <w:pPr>
            <w:pStyle w:val="31"/>
            <w:spacing w:line="480" w:lineRule="auto"/>
            <w:rPr>
              <w:rFonts w:cstheme="minorBidi"/>
              <w:b w:val="0"/>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"_Toc149147704" </w:instrText>
          </w:r>
          <w:r>
            <w:rPr>
              <w:color w:val="auto"/>
              <w:highlight w:val="none"/>
            </w:rPr>
            <w:fldChar w:fldCharType="separate"/>
          </w:r>
          <w:r>
            <w:rPr>
              <w:rStyle w:val="55"/>
              <w:b w:val="0"/>
              <w:bCs/>
              <w:color w:val="auto"/>
              <w:sz w:val="28"/>
              <w:szCs w:val="28"/>
              <w:highlight w:val="none"/>
            </w:rPr>
            <w:t>第三章</w:t>
          </w:r>
          <w:r>
            <w:rPr>
              <w:rFonts w:cstheme="minorBidi"/>
              <w:b w:val="0"/>
              <w:bCs/>
              <w:color w:val="auto"/>
              <w:sz w:val="28"/>
              <w:szCs w:val="28"/>
              <w:highlight w:val="none"/>
              <w14:ligatures w14:val="standardContextual"/>
            </w:rPr>
            <w:tab/>
          </w:r>
          <w:r>
            <w:rPr>
              <w:rStyle w:val="55"/>
              <w:b w:val="0"/>
              <w:bCs/>
              <w:color w:val="auto"/>
              <w:sz w:val="28"/>
              <w:szCs w:val="28"/>
              <w:highlight w:val="none"/>
            </w:rPr>
            <w:t>评审方法和评审标准</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_Toc149147704 \h </w:instrText>
          </w:r>
          <w:r>
            <w:rPr>
              <w:b w:val="0"/>
              <w:bCs/>
              <w:color w:val="auto"/>
              <w:sz w:val="28"/>
              <w:szCs w:val="28"/>
              <w:highlight w:val="none"/>
            </w:rPr>
            <w:fldChar w:fldCharType="separate"/>
          </w:r>
          <w:r>
            <w:rPr>
              <w:b w:val="0"/>
              <w:bCs/>
              <w:color w:val="auto"/>
              <w:sz w:val="28"/>
              <w:szCs w:val="28"/>
              <w:highlight w:val="none"/>
            </w:rPr>
            <w:t>21</w:t>
          </w:r>
          <w:r>
            <w:rPr>
              <w:b w:val="0"/>
              <w:bCs/>
              <w:color w:val="auto"/>
              <w:sz w:val="28"/>
              <w:szCs w:val="28"/>
              <w:highlight w:val="none"/>
            </w:rPr>
            <w:fldChar w:fldCharType="end"/>
          </w:r>
          <w:r>
            <w:rPr>
              <w:b w:val="0"/>
              <w:bCs/>
              <w:color w:val="auto"/>
              <w:sz w:val="28"/>
              <w:szCs w:val="28"/>
              <w:highlight w:val="none"/>
            </w:rPr>
            <w:fldChar w:fldCharType="end"/>
          </w:r>
        </w:p>
        <w:p>
          <w:pPr>
            <w:pStyle w:val="31"/>
            <w:spacing w:line="480" w:lineRule="auto"/>
            <w:rPr>
              <w:rFonts w:cstheme="minorBidi"/>
              <w:b w:val="0"/>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"_Toc149147705" </w:instrText>
          </w:r>
          <w:r>
            <w:rPr>
              <w:color w:val="auto"/>
              <w:highlight w:val="none"/>
            </w:rPr>
            <w:fldChar w:fldCharType="separate"/>
          </w:r>
          <w:r>
            <w:rPr>
              <w:rStyle w:val="55"/>
              <w:b w:val="0"/>
              <w:bCs/>
              <w:color w:val="auto"/>
              <w:sz w:val="28"/>
              <w:szCs w:val="28"/>
              <w:highlight w:val="none"/>
            </w:rPr>
            <w:t>第四章</w:t>
          </w:r>
          <w:r>
            <w:rPr>
              <w:rFonts w:cstheme="minorBidi"/>
              <w:b w:val="0"/>
              <w:bCs/>
              <w:color w:val="auto"/>
              <w:sz w:val="28"/>
              <w:szCs w:val="28"/>
              <w:highlight w:val="none"/>
              <w14:ligatures w14:val="standardContextual"/>
            </w:rPr>
            <w:tab/>
          </w:r>
          <w:r>
            <w:rPr>
              <w:rStyle w:val="55"/>
              <w:b w:val="0"/>
              <w:bCs/>
              <w:color w:val="auto"/>
              <w:sz w:val="28"/>
              <w:szCs w:val="28"/>
              <w:highlight w:val="none"/>
            </w:rPr>
            <w:t>采购需求</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_Toc149147705 \h </w:instrText>
          </w:r>
          <w:r>
            <w:rPr>
              <w:b w:val="0"/>
              <w:bCs/>
              <w:color w:val="auto"/>
              <w:sz w:val="28"/>
              <w:szCs w:val="28"/>
              <w:highlight w:val="none"/>
            </w:rPr>
            <w:fldChar w:fldCharType="separate"/>
          </w:r>
          <w:r>
            <w:rPr>
              <w:b w:val="0"/>
              <w:bCs/>
              <w:color w:val="auto"/>
              <w:sz w:val="28"/>
              <w:szCs w:val="28"/>
              <w:highlight w:val="none"/>
            </w:rPr>
            <w:t>32</w:t>
          </w:r>
          <w:r>
            <w:rPr>
              <w:b w:val="0"/>
              <w:bCs/>
              <w:color w:val="auto"/>
              <w:sz w:val="28"/>
              <w:szCs w:val="28"/>
              <w:highlight w:val="none"/>
            </w:rPr>
            <w:fldChar w:fldCharType="end"/>
          </w:r>
          <w:r>
            <w:rPr>
              <w:b w:val="0"/>
              <w:bCs/>
              <w:color w:val="auto"/>
              <w:sz w:val="28"/>
              <w:szCs w:val="28"/>
              <w:highlight w:val="none"/>
            </w:rPr>
            <w:fldChar w:fldCharType="end"/>
          </w:r>
        </w:p>
        <w:p>
          <w:pPr>
            <w:pStyle w:val="31"/>
            <w:spacing w:line="480" w:lineRule="auto"/>
            <w:rPr>
              <w:rFonts w:cstheme="minorBidi"/>
              <w:b w:val="0"/>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"_Toc149147706" </w:instrText>
          </w:r>
          <w:r>
            <w:rPr>
              <w:color w:val="auto"/>
              <w:highlight w:val="none"/>
            </w:rPr>
            <w:fldChar w:fldCharType="separate"/>
          </w:r>
          <w:r>
            <w:rPr>
              <w:rStyle w:val="55"/>
              <w:b w:val="0"/>
              <w:bCs/>
              <w:color w:val="auto"/>
              <w:sz w:val="28"/>
              <w:szCs w:val="28"/>
              <w:highlight w:val="none"/>
            </w:rPr>
            <w:t>第五章</w:t>
          </w:r>
          <w:r>
            <w:rPr>
              <w:rFonts w:cstheme="minorBidi"/>
              <w:b w:val="0"/>
              <w:bCs/>
              <w:color w:val="auto"/>
              <w:sz w:val="28"/>
              <w:szCs w:val="28"/>
              <w:highlight w:val="none"/>
              <w14:ligatures w14:val="standardContextual"/>
            </w:rPr>
            <w:tab/>
          </w:r>
          <w:r>
            <w:rPr>
              <w:rStyle w:val="55"/>
              <w:b w:val="0"/>
              <w:bCs/>
              <w:color w:val="auto"/>
              <w:sz w:val="28"/>
              <w:szCs w:val="28"/>
              <w:highlight w:val="none"/>
            </w:rPr>
            <w:t>合同草案条款</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_Toc149147706 \h </w:instrText>
          </w:r>
          <w:r>
            <w:rPr>
              <w:b w:val="0"/>
              <w:bCs/>
              <w:color w:val="auto"/>
              <w:sz w:val="28"/>
              <w:szCs w:val="28"/>
              <w:highlight w:val="none"/>
            </w:rPr>
            <w:fldChar w:fldCharType="separate"/>
          </w:r>
          <w:r>
            <w:rPr>
              <w:b w:val="0"/>
              <w:bCs/>
              <w:color w:val="auto"/>
              <w:sz w:val="28"/>
              <w:szCs w:val="28"/>
              <w:highlight w:val="none"/>
            </w:rPr>
            <w:t>34</w:t>
          </w:r>
          <w:r>
            <w:rPr>
              <w:b w:val="0"/>
              <w:bCs/>
              <w:color w:val="auto"/>
              <w:sz w:val="28"/>
              <w:szCs w:val="28"/>
              <w:highlight w:val="none"/>
            </w:rPr>
            <w:fldChar w:fldCharType="end"/>
          </w:r>
          <w:r>
            <w:rPr>
              <w:b w:val="0"/>
              <w:bCs/>
              <w:color w:val="auto"/>
              <w:sz w:val="28"/>
              <w:szCs w:val="28"/>
              <w:highlight w:val="none"/>
            </w:rPr>
            <w:fldChar w:fldCharType="end"/>
          </w:r>
        </w:p>
        <w:p>
          <w:pPr>
            <w:pStyle w:val="31"/>
            <w:spacing w:line="480" w:lineRule="auto"/>
            <w:rPr>
              <w:rFonts w:cstheme="minorBidi"/>
              <w:b w:val="0"/>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"_Toc149147716" </w:instrText>
          </w:r>
          <w:r>
            <w:rPr>
              <w:color w:val="auto"/>
              <w:highlight w:val="none"/>
            </w:rPr>
            <w:fldChar w:fldCharType="separate"/>
          </w:r>
          <w:r>
            <w:rPr>
              <w:rStyle w:val="55"/>
              <w:b w:val="0"/>
              <w:bCs/>
              <w:color w:val="auto"/>
              <w:sz w:val="28"/>
              <w:szCs w:val="28"/>
              <w:highlight w:val="none"/>
            </w:rPr>
            <w:t>第六章</w:t>
          </w:r>
          <w:r>
            <w:rPr>
              <w:rFonts w:cstheme="minorBidi"/>
              <w:b w:val="0"/>
              <w:bCs/>
              <w:color w:val="auto"/>
              <w:sz w:val="28"/>
              <w:szCs w:val="28"/>
              <w:highlight w:val="none"/>
              <w14:ligatures w14:val="standardContextual"/>
            </w:rPr>
            <w:tab/>
          </w:r>
          <w:r>
            <w:rPr>
              <w:rStyle w:val="55"/>
              <w:b w:val="0"/>
              <w:bCs/>
              <w:color w:val="auto"/>
              <w:sz w:val="28"/>
              <w:szCs w:val="28"/>
              <w:highlight w:val="none"/>
            </w:rPr>
            <w:t>响应文件格式</w:t>
          </w:r>
          <w:r>
            <w:rPr>
              <w:b w:val="0"/>
              <w:bCs/>
              <w:color w:val="auto"/>
              <w:sz w:val="28"/>
              <w:szCs w:val="28"/>
              <w:highlight w:val="none"/>
            </w:rPr>
            <w:tab/>
          </w:r>
          <w:r>
            <w:rPr>
              <w:b w:val="0"/>
              <w:bCs/>
              <w:color w:val="auto"/>
              <w:sz w:val="28"/>
              <w:szCs w:val="28"/>
              <w:highlight w:val="none"/>
            </w:rPr>
            <w:fldChar w:fldCharType="begin"/>
          </w:r>
          <w:r>
            <w:rPr>
              <w:b w:val="0"/>
              <w:bCs/>
              <w:color w:val="auto"/>
              <w:sz w:val="28"/>
              <w:szCs w:val="28"/>
              <w:highlight w:val="none"/>
            </w:rPr>
            <w:instrText xml:space="preserve"> PAGEREF _Toc149147716 \h </w:instrText>
          </w:r>
          <w:r>
            <w:rPr>
              <w:b w:val="0"/>
              <w:bCs/>
              <w:color w:val="auto"/>
              <w:sz w:val="28"/>
              <w:szCs w:val="28"/>
              <w:highlight w:val="none"/>
            </w:rPr>
            <w:fldChar w:fldCharType="separate"/>
          </w:r>
          <w:r>
            <w:rPr>
              <w:b w:val="0"/>
              <w:bCs/>
              <w:color w:val="auto"/>
              <w:sz w:val="28"/>
              <w:szCs w:val="28"/>
              <w:highlight w:val="none"/>
            </w:rPr>
            <w:t>53</w:t>
          </w:r>
          <w:r>
            <w:rPr>
              <w:b w:val="0"/>
              <w:bCs/>
              <w:color w:val="auto"/>
              <w:sz w:val="28"/>
              <w:szCs w:val="28"/>
              <w:highlight w:val="none"/>
            </w:rPr>
            <w:fldChar w:fldCharType="end"/>
          </w:r>
          <w:r>
            <w:rPr>
              <w:b w:val="0"/>
              <w:bCs/>
              <w:color w:val="auto"/>
              <w:sz w:val="28"/>
              <w:szCs w:val="28"/>
              <w:highlight w:val="none"/>
            </w:rPr>
            <w:fldChar w:fldCharType="end"/>
          </w:r>
        </w:p>
        <w:p>
          <w:pPr>
            <w:rPr>
              <w:rFonts w:hAnsi="宋体"/>
              <w:color w:val="auto"/>
              <w:highlight w:val="none"/>
            </w:rPr>
          </w:pPr>
          <w:r>
            <w:rPr>
              <w:rFonts w:hAnsi="宋体"/>
              <w:b/>
              <w:bCs/>
              <w:color w:val="auto"/>
              <w:highlight w:val="none"/>
              <w:lang w:val="zh-CN"/>
            </w:rPr>
            <w:fldChar w:fldCharType="end"/>
          </w:r>
        </w:p>
      </w:sdtContent>
    </w:sdt>
    <w:p>
      <w:pPr>
        <w:pStyle w:val="17"/>
        <w:kinsoku w:val="0"/>
        <w:overflowPunct w:val="0"/>
        <w:rPr>
          <w:rFonts w:hAnsi="宋体"/>
          <w:color w:val="auto"/>
          <w:sz w:val="20"/>
          <w:szCs w:val="20"/>
          <w:highlight w:val="none"/>
        </w:rPr>
      </w:pPr>
    </w:p>
    <w:p>
      <w:pPr>
        <w:widowControl/>
        <w:autoSpaceDE/>
        <w:autoSpaceDN/>
        <w:adjustRightInd/>
        <w:rPr>
          <w:rFonts w:hAnsi="宋体"/>
          <w:color w:val="auto"/>
          <w:sz w:val="36"/>
          <w:szCs w:val="36"/>
          <w:highlight w:val="none"/>
        </w:rPr>
      </w:pPr>
      <w:bookmarkStart w:id="1" w:name="_Toc149147540"/>
      <w:r>
        <w:rPr>
          <w:rFonts w:hAnsi="宋体"/>
          <w:color w:val="auto"/>
          <w:highlight w:val="none"/>
        </w:rPr>
        <w:br w:type="page"/>
      </w:r>
    </w:p>
    <w:p>
      <w:pPr>
        <w:pStyle w:val="3"/>
        <w:tabs>
          <w:tab w:val="left" w:pos="1622"/>
        </w:tabs>
        <w:kinsoku w:val="0"/>
        <w:overflowPunct w:val="0"/>
        <w:ind w:right="29"/>
        <w:rPr>
          <w:rFonts w:hAnsi="宋体"/>
          <w:color w:val="auto"/>
          <w:highlight w:val="none"/>
        </w:rPr>
      </w:pPr>
      <w:bookmarkStart w:id="2" w:name="_Toc149147695"/>
      <w:r>
        <w:rPr>
          <w:rFonts w:hint="eastAsia" w:hAnsi="宋体"/>
          <w:color w:val="auto"/>
          <w:highlight w:val="none"/>
        </w:rPr>
        <w:t>第一章</w:t>
      </w:r>
      <w:r>
        <w:rPr>
          <w:rFonts w:hAnsi="宋体"/>
          <w:color w:val="auto"/>
          <w:highlight w:val="none"/>
        </w:rPr>
        <w:tab/>
      </w:r>
      <w:r>
        <w:rPr>
          <w:rFonts w:hint="eastAsia" w:hAnsi="宋体"/>
          <w:color w:val="auto"/>
          <w:highlight w:val="none"/>
        </w:rPr>
        <w:t>采购邀请</w:t>
      </w:r>
      <w:bookmarkEnd w:id="1"/>
      <w:bookmarkEnd w:id="2"/>
    </w:p>
    <w:p>
      <w:pPr>
        <w:pStyle w:val="17"/>
        <w:kinsoku w:val="0"/>
        <w:overflowPunct w:val="0"/>
        <w:spacing w:line="360" w:lineRule="auto"/>
        <w:ind w:left="541"/>
        <w:rPr>
          <w:rFonts w:hAnsi="宋体"/>
          <w:b/>
          <w:bCs/>
          <w:color w:val="auto"/>
          <w:highlight w:val="none"/>
        </w:rPr>
      </w:pPr>
      <w:r>
        <w:rPr>
          <w:rFonts w:hint="eastAsia" w:hAnsi="宋体"/>
          <w:b/>
          <w:bCs/>
          <w:color w:val="auto"/>
          <w:highlight w:val="none"/>
        </w:rPr>
        <w:t>一、项目基本情况</w:t>
      </w:r>
    </w:p>
    <w:p>
      <w:pPr>
        <w:pStyle w:val="69"/>
        <w:tabs>
          <w:tab w:val="left" w:pos="1251"/>
          <w:tab w:val="left" w:pos="4062"/>
        </w:tabs>
        <w:kinsoku w:val="0"/>
        <w:overflowPunct w:val="0"/>
        <w:spacing w:before="161" w:line="360" w:lineRule="auto"/>
        <w:ind w:left="0" w:firstLine="952" w:firstLineChars="400"/>
        <w:rPr>
          <w:rFonts w:hint="eastAsia" w:hAnsi="宋体" w:eastAsia="宋体" w:cs="Times New Roman"/>
          <w:color w:val="auto"/>
          <w:highlight w:val="none"/>
          <w:lang w:val="en-US" w:eastAsia="zh-CN"/>
        </w:rPr>
      </w:pPr>
      <w:r>
        <w:rPr>
          <w:rFonts w:hint="eastAsia" w:hAnsi="宋体"/>
          <w:color w:val="auto"/>
          <w:spacing w:val="-1"/>
          <w:highlight w:val="none"/>
        </w:rPr>
        <w:t>1. 项</w:t>
      </w:r>
      <w:r>
        <w:rPr>
          <w:rFonts w:hint="eastAsia" w:hAnsi="宋体"/>
          <w:color w:val="auto"/>
          <w:highlight w:val="none"/>
        </w:rPr>
        <w:t>目编号：</w:t>
      </w:r>
      <w:r>
        <w:rPr>
          <w:rFonts w:hint="eastAsia" w:hAnsi="宋体"/>
          <w:color w:val="auto"/>
          <w:highlight w:val="none"/>
          <w:u w:val="single"/>
        </w:rPr>
        <w:fldChar w:fldCharType="begin"/>
      </w:r>
      <w:r>
        <w:rPr>
          <w:rFonts w:hint="eastAsia" w:hAnsi="宋体"/>
          <w:color w:val="auto"/>
          <w:highlight w:val="none"/>
          <w:u w:val="single"/>
        </w:rPr>
        <w:instrText xml:space="preserve"> HYPERLINK "http://219.232.204.193:8080/frontend/plan/project_detail.html?projectUuid=7cb8332e-314e-4f1e-bcc4-4efb60220bbd" </w:instrText>
      </w:r>
      <w:r>
        <w:rPr>
          <w:rFonts w:hint="eastAsia" w:hAnsi="宋体"/>
          <w:color w:val="auto"/>
          <w:highlight w:val="none"/>
          <w:u w:val="single"/>
        </w:rPr>
        <w:fldChar w:fldCharType="separate"/>
      </w:r>
      <w:r>
        <w:rPr>
          <w:rFonts w:hint="eastAsia" w:hAnsi="宋体"/>
          <w:color w:val="auto"/>
          <w:highlight w:val="none"/>
          <w:u w:val="single"/>
        </w:rPr>
        <w:t>11011324210200013961-XM001</w:t>
      </w:r>
      <w:r>
        <w:rPr>
          <w:rFonts w:hint="eastAsia" w:hAnsi="宋体"/>
          <w:color w:val="auto"/>
          <w:highlight w:val="none"/>
          <w:u w:val="single"/>
        </w:rPr>
        <w:fldChar w:fldCharType="end"/>
      </w:r>
      <w:r>
        <w:rPr>
          <w:rFonts w:hint="eastAsia" w:hAnsi="宋体"/>
          <w:color w:val="auto"/>
          <w:highlight w:val="none"/>
          <w:u w:val="single"/>
          <w:lang w:val="en-US" w:eastAsia="zh-CN"/>
        </w:rPr>
        <w:t>/BZZB-24-130</w:t>
      </w:r>
    </w:p>
    <w:p>
      <w:pPr>
        <w:pStyle w:val="69"/>
        <w:tabs>
          <w:tab w:val="left" w:pos="1251"/>
          <w:tab w:val="left" w:pos="4062"/>
        </w:tabs>
        <w:kinsoku w:val="0"/>
        <w:overflowPunct w:val="0"/>
        <w:spacing w:before="160" w:line="360" w:lineRule="auto"/>
        <w:ind w:left="0" w:firstLine="960" w:firstLineChars="400"/>
        <w:rPr>
          <w:rFonts w:hAnsi="宋体" w:cs="Times New Roman"/>
          <w:color w:val="auto"/>
          <w:highlight w:val="none"/>
        </w:rPr>
      </w:pPr>
      <w:r>
        <w:rPr>
          <w:rFonts w:hint="eastAsia" w:hAnsi="宋体"/>
          <w:color w:val="auto"/>
          <w:highlight w:val="none"/>
        </w:rPr>
        <w:t>2.项目名称：</w:t>
      </w:r>
      <w:r>
        <w:rPr>
          <w:rFonts w:hint="eastAsia" w:hAnsi="宋体"/>
          <w:color w:val="auto"/>
          <w:highlight w:val="none"/>
          <w:u w:val="single"/>
        </w:rPr>
        <w:t>牛栏山镇回迁村生活垃圾分类服务项目</w:t>
      </w:r>
    </w:p>
    <w:p>
      <w:pPr>
        <w:pStyle w:val="69"/>
        <w:tabs>
          <w:tab w:val="left" w:pos="1251"/>
        </w:tabs>
        <w:kinsoku w:val="0"/>
        <w:overflowPunct w:val="0"/>
        <w:spacing w:before="158" w:line="360" w:lineRule="auto"/>
        <w:ind w:left="0" w:firstLine="960" w:firstLineChars="400"/>
        <w:rPr>
          <w:rFonts w:hAnsi="宋体"/>
          <w:color w:val="auto"/>
          <w:highlight w:val="none"/>
          <w:u w:val="single"/>
        </w:rPr>
      </w:pPr>
      <w:r>
        <w:rPr>
          <w:rFonts w:hint="eastAsia" w:hAnsi="宋体"/>
          <w:color w:val="auto"/>
          <w:highlight w:val="none"/>
        </w:rPr>
        <w:t>3.采购方式：</w:t>
      </w:r>
      <w:r>
        <w:rPr>
          <w:rFonts w:hint="eastAsia" w:hAnsi="宋体"/>
          <w:color w:val="auto"/>
          <w:highlight w:val="none"/>
          <w:u w:val="single"/>
        </w:rPr>
        <w:t>竞争性磋商</w:t>
      </w:r>
    </w:p>
    <w:p>
      <w:pPr>
        <w:pStyle w:val="69"/>
        <w:tabs>
          <w:tab w:val="left" w:pos="1251"/>
        </w:tabs>
        <w:kinsoku w:val="0"/>
        <w:overflowPunct w:val="0"/>
        <w:spacing w:before="158" w:line="360" w:lineRule="auto"/>
        <w:ind w:left="0" w:firstLine="960" w:firstLineChars="400"/>
        <w:rPr>
          <w:rFonts w:hAnsi="宋体"/>
          <w:color w:val="auto"/>
          <w:highlight w:val="none"/>
        </w:rPr>
      </w:pPr>
      <w:r>
        <w:rPr>
          <w:rFonts w:hint="eastAsia" w:hAnsi="宋体"/>
          <w:color w:val="auto"/>
          <w:highlight w:val="none"/>
        </w:rPr>
        <w:t>4.项目预算金额： 109.25208万元、项目最高限价：109.25208万元</w:t>
      </w:r>
    </w:p>
    <w:p>
      <w:pPr>
        <w:pStyle w:val="69"/>
        <w:tabs>
          <w:tab w:val="left" w:pos="1251"/>
        </w:tabs>
        <w:kinsoku w:val="0"/>
        <w:overflowPunct w:val="0"/>
        <w:spacing w:before="161" w:line="360" w:lineRule="auto"/>
        <w:ind w:left="0" w:firstLine="960" w:firstLineChars="400"/>
        <w:rPr>
          <w:rFonts w:hAnsi="宋体"/>
          <w:color w:val="auto"/>
          <w:highlight w:val="none"/>
        </w:rPr>
      </w:pPr>
      <w:r>
        <w:rPr>
          <w:rFonts w:hint="eastAsia" w:hAnsi="宋体"/>
          <w:color w:val="auto"/>
          <w:highlight w:val="none"/>
        </w:rPr>
        <w:t>5.采购需求：</w:t>
      </w:r>
    </w:p>
    <w:tbl>
      <w:tblPr>
        <w:tblStyle w:val="44"/>
        <w:tblW w:w="9586" w:type="dxa"/>
        <w:tblInd w:w="438" w:type="dxa"/>
        <w:tblLayout w:type="fixed"/>
        <w:tblCellMar>
          <w:top w:w="0" w:type="dxa"/>
          <w:left w:w="0" w:type="dxa"/>
          <w:bottom w:w="0" w:type="dxa"/>
          <w:right w:w="0" w:type="dxa"/>
        </w:tblCellMar>
      </w:tblPr>
      <w:tblGrid>
        <w:gridCol w:w="796"/>
        <w:gridCol w:w="1808"/>
        <w:gridCol w:w="1514"/>
        <w:gridCol w:w="1067"/>
        <w:gridCol w:w="4401"/>
      </w:tblGrid>
      <w:tr>
        <w:tblPrEx>
          <w:tblCellMar>
            <w:top w:w="0" w:type="dxa"/>
            <w:left w:w="0" w:type="dxa"/>
            <w:bottom w:w="0" w:type="dxa"/>
            <w:right w:w="0" w:type="dxa"/>
          </w:tblCellMar>
        </w:tblPrEx>
        <w:trPr>
          <w:trHeight w:val="543" w:hRule="atLeast"/>
        </w:trPr>
        <w:tc>
          <w:tcPr>
            <w:tcW w:w="796"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136" w:line="360" w:lineRule="auto"/>
              <w:ind w:left="118" w:right="114"/>
              <w:jc w:val="center"/>
              <w:rPr>
                <w:rFonts w:hAnsi="宋体"/>
                <w:color w:val="auto"/>
                <w:highlight w:val="none"/>
              </w:rPr>
            </w:pPr>
            <w:r>
              <w:rPr>
                <w:rFonts w:hint="eastAsia" w:hAnsi="宋体"/>
                <w:color w:val="auto"/>
                <w:highlight w:val="none"/>
              </w:rPr>
              <w:t>包号</w:t>
            </w:r>
          </w:p>
        </w:tc>
        <w:tc>
          <w:tcPr>
            <w:tcW w:w="1808"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136" w:line="360" w:lineRule="auto"/>
              <w:jc w:val="center"/>
              <w:rPr>
                <w:rFonts w:hAnsi="宋体"/>
                <w:color w:val="auto"/>
                <w:highlight w:val="none"/>
              </w:rPr>
            </w:pPr>
            <w:r>
              <w:rPr>
                <w:rFonts w:hint="eastAsia" w:hAnsi="宋体"/>
                <w:color w:val="auto"/>
                <w:highlight w:val="none"/>
              </w:rPr>
              <w:t>标的名称</w:t>
            </w:r>
          </w:p>
        </w:tc>
        <w:tc>
          <w:tcPr>
            <w:tcW w:w="1514"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1" w:line="360" w:lineRule="auto"/>
              <w:ind w:left="95" w:right="87"/>
              <w:jc w:val="center"/>
              <w:rPr>
                <w:rFonts w:hAnsi="宋体"/>
                <w:color w:val="auto"/>
                <w:highlight w:val="none"/>
              </w:rPr>
            </w:pPr>
            <w:r>
              <w:rPr>
                <w:rFonts w:hint="eastAsia" w:hAnsi="宋体"/>
                <w:color w:val="auto"/>
                <w:highlight w:val="none"/>
              </w:rPr>
              <w:t>采购包预算金额</w:t>
            </w:r>
          </w:p>
          <w:p>
            <w:pPr>
              <w:pStyle w:val="70"/>
              <w:kinsoku w:val="0"/>
              <w:overflowPunct w:val="0"/>
              <w:spacing w:before="3" w:line="360" w:lineRule="auto"/>
              <w:ind w:left="92" w:right="87"/>
              <w:jc w:val="center"/>
              <w:rPr>
                <w:rFonts w:hAnsi="宋体"/>
                <w:color w:val="auto"/>
                <w:highlight w:val="none"/>
              </w:rPr>
            </w:pPr>
            <w:r>
              <w:rPr>
                <w:rFonts w:hint="eastAsia" w:hAnsi="宋体"/>
                <w:color w:val="auto"/>
                <w:highlight w:val="none"/>
              </w:rPr>
              <w:t>（万元）</w:t>
            </w:r>
          </w:p>
        </w:tc>
        <w:tc>
          <w:tcPr>
            <w:tcW w:w="1067"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136" w:line="360" w:lineRule="auto"/>
              <w:ind w:left="287"/>
              <w:rPr>
                <w:rFonts w:hAnsi="宋体"/>
                <w:color w:val="auto"/>
                <w:highlight w:val="none"/>
              </w:rPr>
            </w:pPr>
            <w:r>
              <w:rPr>
                <w:rFonts w:hint="eastAsia" w:hAnsi="宋体"/>
                <w:color w:val="auto"/>
                <w:highlight w:val="none"/>
              </w:rPr>
              <w:t>数量</w:t>
            </w:r>
          </w:p>
        </w:tc>
        <w:tc>
          <w:tcPr>
            <w:tcW w:w="4401"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136" w:line="360" w:lineRule="auto"/>
              <w:jc w:val="center"/>
              <w:rPr>
                <w:rFonts w:hAnsi="宋体"/>
                <w:color w:val="auto"/>
                <w:highlight w:val="none"/>
              </w:rPr>
            </w:pPr>
            <w:r>
              <w:rPr>
                <w:rFonts w:hint="eastAsia" w:hAnsi="宋体"/>
                <w:color w:val="auto"/>
                <w:highlight w:val="none"/>
              </w:rPr>
              <w:t>简要技术需求或服务要求</w:t>
            </w:r>
          </w:p>
        </w:tc>
      </w:tr>
      <w:tr>
        <w:tblPrEx>
          <w:tblCellMar>
            <w:top w:w="0" w:type="dxa"/>
            <w:left w:w="0" w:type="dxa"/>
            <w:bottom w:w="0" w:type="dxa"/>
            <w:right w:w="0" w:type="dxa"/>
          </w:tblCellMar>
        </w:tblPrEx>
        <w:trPr>
          <w:trHeight w:val="454" w:hRule="atLeast"/>
        </w:trPr>
        <w:tc>
          <w:tcPr>
            <w:tcW w:w="796" w:type="dxa"/>
            <w:tcBorders>
              <w:top w:val="single" w:color="000000" w:sz="4" w:space="0"/>
              <w:left w:val="single" w:color="000000" w:sz="4" w:space="0"/>
              <w:bottom w:val="single" w:color="000000" w:sz="4" w:space="0"/>
              <w:right w:val="single" w:color="000000" w:sz="4" w:space="0"/>
            </w:tcBorders>
            <w:vAlign w:val="center"/>
          </w:tcPr>
          <w:p>
            <w:pPr>
              <w:pStyle w:val="70"/>
              <w:kinsoku w:val="0"/>
              <w:overflowPunct w:val="0"/>
              <w:spacing w:before="136" w:line="360" w:lineRule="auto"/>
              <w:ind w:left="118" w:right="114"/>
              <w:jc w:val="center"/>
              <w:rPr>
                <w:rFonts w:hAnsi="宋体"/>
                <w:color w:val="auto"/>
                <w:highlight w:val="none"/>
              </w:rPr>
            </w:pPr>
            <w:r>
              <w:rPr>
                <w:rFonts w:hint="eastAsia" w:hAnsi="宋体"/>
                <w:color w:val="auto"/>
                <w:highlight w:val="none"/>
              </w:rPr>
              <w:t>1</w:t>
            </w:r>
          </w:p>
        </w:tc>
        <w:tc>
          <w:tcPr>
            <w:tcW w:w="1808" w:type="dxa"/>
            <w:tcBorders>
              <w:top w:val="single" w:color="000000" w:sz="4" w:space="0"/>
              <w:left w:val="single" w:color="000000" w:sz="4" w:space="0"/>
              <w:bottom w:val="single" w:color="000000" w:sz="4" w:space="0"/>
              <w:right w:val="single" w:color="000000" w:sz="4" w:space="0"/>
            </w:tcBorders>
            <w:vAlign w:val="center"/>
          </w:tcPr>
          <w:p>
            <w:pPr>
              <w:pStyle w:val="70"/>
              <w:kinsoku w:val="0"/>
              <w:overflowPunct w:val="0"/>
              <w:spacing w:before="136" w:line="360" w:lineRule="auto"/>
              <w:ind w:right="114"/>
              <w:jc w:val="center"/>
              <w:rPr>
                <w:rFonts w:hAnsi="宋体"/>
                <w:color w:val="auto"/>
                <w:highlight w:val="none"/>
              </w:rPr>
            </w:pPr>
            <w:r>
              <w:rPr>
                <w:rFonts w:hint="eastAsia" w:hAnsi="宋体"/>
                <w:color w:val="auto"/>
                <w:highlight w:val="none"/>
              </w:rPr>
              <w:t>牛栏山镇回迁村生活垃圾分类服务项目</w:t>
            </w:r>
          </w:p>
        </w:tc>
        <w:tc>
          <w:tcPr>
            <w:tcW w:w="1514" w:type="dxa"/>
            <w:tcBorders>
              <w:top w:val="single" w:color="000000" w:sz="4" w:space="0"/>
              <w:left w:val="single" w:color="000000" w:sz="4" w:space="0"/>
              <w:bottom w:val="single" w:color="000000" w:sz="4" w:space="0"/>
              <w:right w:val="single" w:color="000000" w:sz="4" w:space="0"/>
            </w:tcBorders>
            <w:vAlign w:val="center"/>
          </w:tcPr>
          <w:p>
            <w:pPr>
              <w:pStyle w:val="70"/>
              <w:kinsoku w:val="0"/>
              <w:overflowPunct w:val="0"/>
              <w:spacing w:before="136" w:line="360" w:lineRule="auto"/>
              <w:ind w:right="114"/>
              <w:jc w:val="center"/>
              <w:rPr>
                <w:rFonts w:hAnsi="宋体"/>
                <w:color w:val="auto"/>
                <w:highlight w:val="none"/>
              </w:rPr>
            </w:pPr>
            <w:r>
              <w:rPr>
                <w:rFonts w:hint="eastAsia" w:hAnsi="宋体"/>
                <w:color w:val="auto"/>
                <w:highlight w:val="none"/>
              </w:rPr>
              <w:t xml:space="preserve"> 109.25208</w:t>
            </w:r>
          </w:p>
        </w:tc>
        <w:tc>
          <w:tcPr>
            <w:tcW w:w="1067" w:type="dxa"/>
            <w:tcBorders>
              <w:top w:val="single" w:color="000000" w:sz="4" w:space="0"/>
              <w:left w:val="single" w:color="000000" w:sz="4" w:space="0"/>
              <w:bottom w:val="single" w:color="000000" w:sz="4" w:space="0"/>
              <w:right w:val="single" w:color="000000" w:sz="4" w:space="0"/>
            </w:tcBorders>
            <w:vAlign w:val="center"/>
          </w:tcPr>
          <w:p>
            <w:pPr>
              <w:pStyle w:val="70"/>
              <w:kinsoku w:val="0"/>
              <w:overflowPunct w:val="0"/>
              <w:spacing w:before="136" w:line="360" w:lineRule="auto"/>
              <w:ind w:right="114"/>
              <w:jc w:val="center"/>
              <w:rPr>
                <w:bCs/>
                <w:color w:val="auto"/>
                <w:highlight w:val="none"/>
              </w:rPr>
            </w:pPr>
            <w:r>
              <w:rPr>
                <w:rFonts w:hint="eastAsia"/>
                <w:bCs/>
                <w:color w:val="auto"/>
                <w:highlight w:val="none"/>
              </w:rPr>
              <w:t>一项</w:t>
            </w:r>
          </w:p>
          <w:p>
            <w:pPr>
              <w:pStyle w:val="70"/>
              <w:kinsoku w:val="0"/>
              <w:overflowPunct w:val="0"/>
              <w:spacing w:before="136" w:line="360" w:lineRule="auto"/>
              <w:ind w:right="114"/>
              <w:jc w:val="center"/>
              <w:rPr>
                <w:rFonts w:hAnsi="宋体"/>
                <w:color w:val="auto"/>
                <w:highlight w:val="none"/>
              </w:rPr>
            </w:pPr>
            <w:r>
              <w:rPr>
                <w:rFonts w:hint="eastAsia"/>
                <w:bCs/>
                <w:color w:val="auto"/>
                <w:highlight w:val="none"/>
              </w:rPr>
              <w:t>服务</w:t>
            </w:r>
          </w:p>
        </w:tc>
        <w:tc>
          <w:tcPr>
            <w:tcW w:w="4401" w:type="dxa"/>
            <w:tcBorders>
              <w:top w:val="single" w:color="000000" w:sz="4" w:space="0"/>
              <w:left w:val="single" w:color="000000" w:sz="4" w:space="0"/>
              <w:bottom w:val="single" w:color="000000" w:sz="4" w:space="0"/>
              <w:right w:val="single" w:color="000000" w:sz="4" w:space="0"/>
            </w:tcBorders>
            <w:vAlign w:val="center"/>
          </w:tcPr>
          <w:p>
            <w:pPr>
              <w:pStyle w:val="70"/>
              <w:kinsoku w:val="0"/>
              <w:overflowPunct w:val="0"/>
              <w:spacing w:before="136" w:line="360" w:lineRule="auto"/>
              <w:ind w:right="114"/>
              <w:jc w:val="center"/>
              <w:rPr>
                <w:rFonts w:hAnsi="宋体"/>
                <w:color w:val="auto"/>
                <w:highlight w:val="none"/>
              </w:rPr>
            </w:pPr>
            <w:r>
              <w:rPr>
                <w:rFonts w:hint="eastAsia"/>
                <w:color w:val="auto"/>
                <w:highlight w:val="none"/>
              </w:rPr>
              <w:t>牛栏山镇下坡屯家园一二三区、张庄家园、安乐家园、半壁店回迁小区、维尼纶家属院五个回迁社区的垃圾桶站进行垃圾分类及宣传、指导工作，具体详见竞争性磋商文件。</w:t>
            </w:r>
          </w:p>
        </w:tc>
      </w:tr>
    </w:tbl>
    <w:p>
      <w:pPr>
        <w:pStyle w:val="69"/>
        <w:tabs>
          <w:tab w:val="left" w:pos="1251"/>
        </w:tabs>
        <w:kinsoku w:val="0"/>
        <w:overflowPunct w:val="0"/>
        <w:spacing w:before="158" w:line="360" w:lineRule="auto"/>
        <w:ind w:left="1020" w:firstLine="0"/>
        <w:rPr>
          <w:rFonts w:hAnsi="宋体"/>
          <w:color w:val="auto"/>
          <w:highlight w:val="none"/>
        </w:rPr>
      </w:pPr>
      <w:r>
        <w:rPr>
          <w:rFonts w:hint="eastAsia" w:hAnsi="宋体"/>
          <w:color w:val="auto"/>
          <w:highlight w:val="none"/>
        </w:rPr>
        <w:t>6.合同履行期限：</w:t>
      </w:r>
      <w:r>
        <w:rPr>
          <w:rFonts w:hint="eastAsia"/>
          <w:bCs/>
          <w:color w:val="auto"/>
          <w:highlight w:val="none"/>
        </w:rPr>
        <w:t>自合同签订之日起1年</w:t>
      </w:r>
      <w:r>
        <w:rPr>
          <w:rFonts w:hint="eastAsia" w:hAnsi="宋体"/>
          <w:color w:val="auto"/>
          <w:highlight w:val="none"/>
        </w:rPr>
        <w:t>。</w:t>
      </w:r>
    </w:p>
    <w:p>
      <w:pPr>
        <w:pStyle w:val="69"/>
        <w:tabs>
          <w:tab w:val="left" w:pos="1251"/>
        </w:tabs>
        <w:kinsoku w:val="0"/>
        <w:overflowPunct w:val="0"/>
        <w:spacing w:before="158" w:line="360" w:lineRule="auto"/>
        <w:ind w:left="1020" w:firstLine="0"/>
        <w:rPr>
          <w:rFonts w:hAnsi="宋体"/>
          <w:color w:val="auto"/>
          <w:highlight w:val="none"/>
        </w:rPr>
      </w:pPr>
      <w:r>
        <w:rPr>
          <w:rFonts w:hint="eastAsia" w:hAnsi="宋体"/>
          <w:color w:val="auto"/>
          <w:highlight w:val="none"/>
        </w:rPr>
        <w:t>7.本项目是否接受联合体：</w:t>
      </w:r>
      <w:r>
        <w:rPr>
          <w:rFonts w:hint="eastAsia" w:hAnsi="宋体"/>
          <w:color w:val="auto"/>
          <w:highlight w:val="none"/>
        </w:rPr>
        <w:sym w:font="Wingdings 2" w:char="00A3"/>
      </w:r>
      <w:r>
        <w:rPr>
          <w:rFonts w:hint="eastAsia" w:hAnsi="宋体"/>
          <w:color w:val="auto"/>
          <w:highlight w:val="none"/>
        </w:rPr>
        <w:t>是■否。</w:t>
      </w:r>
    </w:p>
    <w:p>
      <w:pPr>
        <w:pStyle w:val="17"/>
        <w:kinsoku w:val="0"/>
        <w:overflowPunct w:val="0"/>
        <w:spacing w:before="220" w:line="360" w:lineRule="auto"/>
        <w:ind w:left="541"/>
        <w:rPr>
          <w:rFonts w:hAnsi="宋体"/>
          <w:b/>
          <w:bCs/>
          <w:color w:val="auto"/>
          <w:highlight w:val="none"/>
        </w:rPr>
      </w:pPr>
      <w:r>
        <w:rPr>
          <w:rFonts w:hint="eastAsia" w:hAnsi="宋体"/>
          <w:b/>
          <w:bCs/>
          <w:color w:val="auto"/>
          <w:highlight w:val="none"/>
        </w:rPr>
        <w:t>二、申请人的资格要求（须同时满足）</w:t>
      </w:r>
    </w:p>
    <w:p>
      <w:pPr>
        <w:pStyle w:val="69"/>
        <w:numPr>
          <w:ilvl w:val="0"/>
          <w:numId w:val="8"/>
        </w:numPr>
        <w:tabs>
          <w:tab w:val="left" w:pos="1251"/>
        </w:tabs>
        <w:kinsoku w:val="0"/>
        <w:overflowPunct w:val="0"/>
        <w:spacing w:before="160" w:line="360" w:lineRule="auto"/>
        <w:ind w:hanging="230"/>
        <w:rPr>
          <w:rFonts w:hAnsi="宋体"/>
          <w:color w:val="auto"/>
          <w:highlight w:val="none"/>
        </w:rPr>
      </w:pPr>
      <w:r>
        <w:rPr>
          <w:rFonts w:hint="eastAsia" w:hAnsi="宋体"/>
          <w:color w:val="auto"/>
          <w:highlight w:val="none"/>
        </w:rPr>
        <w:t>满足《中华人民共和国政府采购法》第二十二条规定；</w:t>
      </w:r>
    </w:p>
    <w:p>
      <w:pPr>
        <w:pStyle w:val="69"/>
        <w:numPr>
          <w:ilvl w:val="0"/>
          <w:numId w:val="8"/>
        </w:numPr>
        <w:tabs>
          <w:tab w:val="left" w:pos="1251"/>
        </w:tabs>
        <w:kinsoku w:val="0"/>
        <w:overflowPunct w:val="0"/>
        <w:spacing w:before="158" w:line="360" w:lineRule="auto"/>
        <w:ind w:hanging="230"/>
        <w:rPr>
          <w:rFonts w:hAnsi="宋体"/>
          <w:color w:val="auto"/>
          <w:highlight w:val="none"/>
        </w:rPr>
      </w:pPr>
      <w:r>
        <w:rPr>
          <w:rFonts w:hint="eastAsia" w:hAnsi="宋体"/>
          <w:color w:val="auto"/>
          <w:highlight w:val="none"/>
        </w:rPr>
        <w:t>落实政府采购政策需满足的资格要求：</w:t>
      </w:r>
    </w:p>
    <w:p>
      <w:pPr>
        <w:pStyle w:val="69"/>
        <w:numPr>
          <w:ilvl w:val="1"/>
          <w:numId w:val="8"/>
        </w:numPr>
        <w:tabs>
          <w:tab w:val="left" w:pos="1521"/>
        </w:tabs>
        <w:kinsoku w:val="0"/>
        <w:overflowPunct w:val="0"/>
        <w:spacing w:before="161" w:line="360" w:lineRule="auto"/>
        <w:jc w:val="both"/>
        <w:rPr>
          <w:rFonts w:hAnsi="宋体"/>
          <w:color w:val="auto"/>
          <w:highlight w:val="none"/>
        </w:rPr>
      </w:pPr>
      <w:r>
        <w:rPr>
          <w:rFonts w:hint="eastAsia" w:hAnsi="宋体"/>
          <w:color w:val="auto"/>
          <w:highlight w:val="none"/>
        </w:rPr>
        <w:t>中小企业政策</w:t>
      </w:r>
    </w:p>
    <w:p>
      <w:pPr>
        <w:pStyle w:val="17"/>
        <w:kinsoku w:val="0"/>
        <w:overflowPunct w:val="0"/>
        <w:spacing w:before="158" w:line="360" w:lineRule="auto"/>
        <w:ind w:left="961"/>
        <w:rPr>
          <w:rFonts w:hAnsi="宋体"/>
          <w:color w:val="auto"/>
          <w:highlight w:val="none"/>
        </w:rPr>
      </w:pPr>
      <w:r>
        <w:rPr>
          <w:rFonts w:hint="eastAsia" w:hAnsi="宋体"/>
          <w:color w:val="auto"/>
          <w:highlight w:val="none"/>
        </w:rPr>
        <w:t>□本项目不专门面向中小企业预留采购份额。</w:t>
      </w:r>
    </w:p>
    <w:p>
      <w:pPr>
        <w:pStyle w:val="17"/>
        <w:kinsoku w:val="0"/>
        <w:overflowPunct w:val="0"/>
        <w:spacing w:before="160" w:line="360" w:lineRule="auto"/>
        <w:ind w:left="541" w:right="570" w:firstLine="420"/>
        <w:jc w:val="both"/>
        <w:rPr>
          <w:rFonts w:hAnsi="宋体"/>
          <w:color w:val="auto"/>
          <w:highlight w:val="none"/>
        </w:rPr>
      </w:pPr>
      <w:r>
        <w:rPr>
          <w:rFonts w:hAnsi="宋体"/>
          <w:b/>
          <w:color w:val="auto"/>
          <w:highlight w:val="none"/>
        </w:rPr>
        <w:t>■</w:t>
      </w:r>
      <w:r>
        <w:rPr>
          <w:rFonts w:hint="eastAsia" w:hAnsi="宋体"/>
          <w:color w:val="auto"/>
          <w:highlight w:val="none"/>
        </w:rPr>
        <w:t>本项目专门面向</w:t>
      </w:r>
      <w:r>
        <w:rPr>
          <w:rFonts w:hAnsi="宋体"/>
          <w:color w:val="auto"/>
          <w:highlight w:val="none"/>
        </w:rPr>
        <w:t xml:space="preserve">  </w:t>
      </w:r>
      <w:r>
        <w:rPr>
          <w:rFonts w:hint="eastAsia" w:hAnsi="宋体"/>
          <w:color w:val="auto"/>
          <w:highlight w:val="none"/>
        </w:rPr>
        <w:t>□中小</w:t>
      </w:r>
      <w:r>
        <w:rPr>
          <w:rFonts w:hAnsi="宋体"/>
          <w:color w:val="auto"/>
          <w:highlight w:val="none"/>
        </w:rPr>
        <w:t xml:space="preserve"> </w:t>
      </w:r>
      <w:r>
        <w:rPr>
          <w:rFonts w:hAnsi="宋体"/>
          <w:b/>
          <w:color w:val="auto"/>
          <w:highlight w:val="none"/>
        </w:rPr>
        <w:t>■</w:t>
      </w:r>
      <w:r>
        <w:rPr>
          <w:rFonts w:hint="eastAsia" w:hAnsi="宋体"/>
          <w:color w:val="auto"/>
          <w:highlight w:val="none"/>
        </w:rPr>
        <w:t>小微企业采购。即：提供的货物全部由符合政策要求的中小/小微企业制造、服务全部由符合政策要求的中小/小微企业承接。</w:t>
      </w:r>
    </w:p>
    <w:p>
      <w:pPr>
        <w:pStyle w:val="17"/>
        <w:tabs>
          <w:tab w:val="left" w:pos="3497"/>
        </w:tabs>
        <w:kinsoku w:val="0"/>
        <w:overflowPunct w:val="0"/>
        <w:spacing w:before="5" w:line="360" w:lineRule="auto"/>
        <w:ind w:left="541" w:right="570" w:firstLine="420"/>
        <w:jc w:val="both"/>
        <w:rPr>
          <w:rFonts w:hAnsi="宋体"/>
          <w:color w:val="auto"/>
          <w:highlight w:val="none"/>
        </w:rPr>
      </w:pPr>
      <w:r>
        <w:rPr>
          <w:rFonts w:hAnsi="宋体" w:cs="Arial"/>
          <w:color w:val="auto"/>
          <w:w w:val="135"/>
          <w:highlight w:val="none"/>
        </w:rPr>
        <w:t>□</w:t>
      </w:r>
      <w:r>
        <w:rPr>
          <w:rFonts w:hint="eastAsia" w:hAnsi="宋体"/>
          <w:color w:val="auto"/>
          <w:highlight w:val="none"/>
        </w:rPr>
        <w:t>本项目预留部分采购项目预算专门面向中小企业采购。对于预留份额，提供的货物由符合政策要求的中小企业制造</w:t>
      </w:r>
      <w:r>
        <w:rPr>
          <w:rFonts w:hint="eastAsia" w:hAnsi="宋体"/>
          <w:color w:val="auto"/>
          <w:spacing w:val="-24"/>
          <w:highlight w:val="none"/>
        </w:rPr>
        <w:t>、</w:t>
      </w:r>
      <w:r>
        <w:rPr>
          <w:rFonts w:hint="eastAsia" w:hAnsi="宋体"/>
          <w:color w:val="auto"/>
          <w:highlight w:val="none"/>
        </w:rPr>
        <w:t>服务由符合政策要求的中小企业承接</w:t>
      </w:r>
      <w:r>
        <w:rPr>
          <w:rFonts w:hint="eastAsia" w:hAnsi="宋体"/>
          <w:color w:val="auto"/>
          <w:spacing w:val="-25"/>
          <w:highlight w:val="none"/>
        </w:rPr>
        <w:t>。</w:t>
      </w:r>
      <w:r>
        <w:rPr>
          <w:rFonts w:hint="eastAsia" w:hAnsi="宋体"/>
          <w:color w:val="auto"/>
          <w:highlight w:val="none"/>
        </w:rPr>
        <w:t>预留份额</w:t>
      </w:r>
      <w:r>
        <w:rPr>
          <w:rFonts w:hint="eastAsia" w:hAnsi="宋体"/>
          <w:color w:val="auto"/>
          <w:spacing w:val="-15"/>
          <w:highlight w:val="none"/>
        </w:rPr>
        <w:t>通</w:t>
      </w:r>
      <w:r>
        <w:rPr>
          <w:rFonts w:hint="eastAsia" w:hAnsi="宋体"/>
          <w:color w:val="auto"/>
          <w:highlight w:val="none"/>
        </w:rPr>
        <w:t>过以下措施进行：</w:t>
      </w:r>
      <w:r>
        <w:rPr>
          <w:rFonts w:hAnsi="宋体"/>
          <w:color w:val="auto"/>
          <w:highlight w:val="none"/>
          <w:u w:val="single"/>
        </w:rPr>
        <w:t xml:space="preserve">    /</w:t>
      </w:r>
      <w:r>
        <w:rPr>
          <w:rFonts w:hAnsi="宋体"/>
          <w:color w:val="auto"/>
          <w:highlight w:val="none"/>
          <w:u w:val="single"/>
        </w:rPr>
        <w:tab/>
      </w:r>
      <w:r>
        <w:rPr>
          <w:rFonts w:hint="eastAsia" w:hAnsi="宋体"/>
          <w:color w:val="auto"/>
          <w:highlight w:val="none"/>
        </w:rPr>
        <w:t>。</w:t>
      </w:r>
    </w:p>
    <w:p>
      <w:pPr>
        <w:pStyle w:val="69"/>
        <w:numPr>
          <w:ilvl w:val="1"/>
          <w:numId w:val="8"/>
        </w:numPr>
        <w:tabs>
          <w:tab w:val="left" w:pos="1521"/>
          <w:tab w:val="left" w:pos="7520"/>
        </w:tabs>
        <w:kinsoku w:val="0"/>
        <w:overflowPunct w:val="0"/>
        <w:spacing w:line="360" w:lineRule="auto"/>
        <w:jc w:val="both"/>
        <w:rPr>
          <w:rFonts w:hAnsi="宋体"/>
          <w:color w:val="auto"/>
          <w:highlight w:val="none"/>
        </w:rPr>
      </w:pPr>
      <w:r>
        <w:rPr>
          <w:rFonts w:hint="eastAsia" w:hAnsi="宋体"/>
          <w:color w:val="auto"/>
          <w:highlight w:val="none"/>
        </w:rPr>
        <w:t>其它落实政府采购政策的资格要求（如有</w:t>
      </w:r>
      <w:r>
        <w:rPr>
          <w:rFonts w:hint="eastAsia" w:hAnsi="宋体"/>
          <w:color w:val="auto"/>
          <w:spacing w:val="-120"/>
          <w:highlight w:val="none"/>
        </w:rPr>
        <w:t>）</w:t>
      </w:r>
      <w:r>
        <w:rPr>
          <w:rFonts w:hint="eastAsia" w:hAnsi="宋体"/>
          <w:color w:val="auto"/>
          <w:spacing w:val="-1"/>
          <w:highlight w:val="none"/>
        </w:rPr>
        <w:t>：</w:t>
      </w:r>
      <w:r>
        <w:rPr>
          <w:rFonts w:hint="eastAsia" w:hAnsi="宋体"/>
          <w:color w:val="auto"/>
          <w:spacing w:val="-1"/>
          <w:highlight w:val="none"/>
          <w:u w:val="single"/>
        </w:rPr>
        <w:t>根据财政部财库〔2016〕125 号《财政部要求加强政采信用记录查询及使用信用记录有关问题的通知》文件相关规定，供应商不得为“信用中国”网站</w:t>
      </w:r>
      <w:r>
        <w:rPr>
          <w:color w:val="auto"/>
          <w:highlight w:val="none"/>
        </w:rPr>
        <w:fldChar w:fldCharType="begin"/>
      </w:r>
      <w:r>
        <w:rPr>
          <w:color w:val="auto"/>
          <w:highlight w:val="none"/>
        </w:rPr>
        <w:instrText xml:space="preserve"> HYPERLINK "http://www.creditchina.gov.cn/" \h </w:instrText>
      </w:r>
      <w:r>
        <w:rPr>
          <w:color w:val="auto"/>
          <w:highlight w:val="none"/>
        </w:rPr>
        <w:fldChar w:fldCharType="separate"/>
      </w:r>
      <w:r>
        <w:rPr>
          <w:rFonts w:hint="eastAsia" w:hAnsi="宋体"/>
          <w:color w:val="auto"/>
          <w:spacing w:val="-1"/>
          <w:highlight w:val="none"/>
          <w:u w:val="single"/>
        </w:rPr>
        <w:t>（www.creditchina.gov.cn</w:t>
      </w:r>
      <w:r>
        <w:rPr>
          <w:rFonts w:hint="eastAsia" w:hAnsi="宋体"/>
          <w:color w:val="auto"/>
          <w:spacing w:val="-1"/>
          <w:highlight w:val="none"/>
          <w:u w:val="single"/>
        </w:rPr>
        <w:fldChar w:fldCharType="end"/>
      </w:r>
      <w:r>
        <w:rPr>
          <w:rFonts w:hint="eastAsia" w:hAnsi="宋体"/>
          <w:color w:val="auto"/>
          <w:spacing w:val="-1"/>
          <w:highlight w:val="none"/>
          <w:u w:val="single"/>
        </w:rPr>
        <w:t>）中列入失信被执行人和重大税收违法案件当事人名单的供应商，不得为中国政府采购网（</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hint="eastAsia" w:hAnsi="宋体"/>
          <w:color w:val="auto"/>
          <w:spacing w:val="-1"/>
          <w:highlight w:val="none"/>
          <w:u w:val="single"/>
        </w:rPr>
        <w:t>www.ccgp.gov.cn</w:t>
      </w:r>
      <w:r>
        <w:rPr>
          <w:rFonts w:hint="eastAsia" w:hAnsi="宋体"/>
          <w:color w:val="auto"/>
          <w:spacing w:val="-1"/>
          <w:highlight w:val="none"/>
          <w:u w:val="single"/>
        </w:rPr>
        <w:fldChar w:fldCharType="end"/>
      </w:r>
      <w:r>
        <w:rPr>
          <w:rFonts w:hint="eastAsia" w:hAnsi="宋体"/>
          <w:color w:val="auto"/>
          <w:spacing w:val="-1"/>
          <w:highlight w:val="none"/>
          <w:u w:val="single"/>
        </w:rPr>
        <w:t>）政府采购严重违法失信行为记录名单中被财政部门禁止参加政府采购活动的供应商</w:t>
      </w:r>
      <w:r>
        <w:rPr>
          <w:rFonts w:hint="eastAsia" w:hAnsi="宋体" w:cs="Times New Roman"/>
          <w:color w:val="auto"/>
          <w:highlight w:val="none"/>
          <w:u w:val="single"/>
        </w:rPr>
        <w:t>。</w:t>
      </w:r>
    </w:p>
    <w:p>
      <w:pPr>
        <w:pStyle w:val="69"/>
        <w:numPr>
          <w:ilvl w:val="0"/>
          <w:numId w:val="8"/>
        </w:numPr>
        <w:tabs>
          <w:tab w:val="left" w:pos="1251"/>
        </w:tabs>
        <w:kinsoku w:val="0"/>
        <w:overflowPunct w:val="0"/>
        <w:spacing w:before="161" w:line="360" w:lineRule="auto"/>
        <w:ind w:hanging="230"/>
        <w:rPr>
          <w:rFonts w:hAnsi="宋体"/>
          <w:color w:val="auto"/>
          <w:highlight w:val="none"/>
        </w:rPr>
      </w:pPr>
      <w:r>
        <w:rPr>
          <w:rFonts w:hint="eastAsia" w:hAnsi="宋体"/>
          <w:color w:val="auto"/>
          <w:highlight w:val="none"/>
        </w:rPr>
        <w:t>本项目的特定资格要求：</w:t>
      </w:r>
    </w:p>
    <w:p>
      <w:pPr>
        <w:pStyle w:val="69"/>
        <w:numPr>
          <w:ilvl w:val="1"/>
          <w:numId w:val="8"/>
        </w:numPr>
        <w:tabs>
          <w:tab w:val="left" w:pos="1461"/>
        </w:tabs>
        <w:kinsoku w:val="0"/>
        <w:overflowPunct w:val="0"/>
        <w:spacing w:before="72" w:line="360" w:lineRule="auto"/>
        <w:ind w:left="1460" w:hanging="440"/>
        <w:rPr>
          <w:rFonts w:hAnsi="宋体"/>
          <w:color w:val="auto"/>
          <w:highlight w:val="none"/>
        </w:rPr>
      </w:pPr>
      <w:r>
        <w:rPr>
          <w:rFonts w:hint="eastAsia" w:hAnsi="宋体"/>
          <w:color w:val="auto"/>
          <w:highlight w:val="none"/>
        </w:rPr>
        <w:t>本项目是否属于政府购买服务：</w:t>
      </w:r>
    </w:p>
    <w:p>
      <w:pPr>
        <w:pStyle w:val="17"/>
        <w:kinsoku w:val="0"/>
        <w:overflowPunct w:val="0"/>
        <w:spacing w:before="159" w:line="360" w:lineRule="auto"/>
        <w:ind w:left="1532"/>
        <w:rPr>
          <w:rFonts w:hAnsi="宋体"/>
          <w:color w:val="auto"/>
          <w:w w:val="120"/>
          <w:highlight w:val="none"/>
        </w:rPr>
      </w:pPr>
      <w:r>
        <w:rPr>
          <w:rFonts w:hint="eastAsia" w:hAnsi="宋体"/>
          <w:color w:val="auto"/>
          <w:w w:val="120"/>
          <w:highlight w:val="none"/>
        </w:rPr>
        <w:sym w:font="Wingdings 2" w:char="00A3"/>
      </w:r>
      <w:r>
        <w:rPr>
          <w:rFonts w:hint="eastAsia" w:hAnsi="宋体"/>
          <w:color w:val="auto"/>
          <w:w w:val="120"/>
          <w:highlight w:val="none"/>
        </w:rPr>
        <w:t>否</w:t>
      </w:r>
    </w:p>
    <w:p>
      <w:pPr>
        <w:pStyle w:val="17"/>
        <w:kinsoku w:val="0"/>
        <w:overflowPunct w:val="0"/>
        <w:spacing w:before="160" w:line="360" w:lineRule="auto"/>
        <w:ind w:left="1532" w:right="545"/>
        <w:rPr>
          <w:rFonts w:hAnsi="宋体"/>
          <w:color w:val="auto"/>
          <w:highlight w:val="none"/>
        </w:rPr>
      </w:pPr>
      <w:r>
        <w:rPr>
          <w:rFonts w:hAnsi="宋体" w:cs="Arial"/>
          <w:color w:val="auto"/>
          <w:w w:val="135"/>
          <w:highlight w:val="none"/>
        </w:rPr>
        <w:sym w:font="Wingdings 2" w:char="0052"/>
      </w:r>
      <w:r>
        <w:rPr>
          <w:rFonts w:hint="eastAsia" w:hAnsi="宋体"/>
          <w:color w:val="auto"/>
          <w:highlight w:val="none"/>
        </w:rPr>
        <w:t>是，公益一类事业单位、使用事业编制且由财政拨款保障的群团组织，不得作为承接主体；</w:t>
      </w:r>
    </w:p>
    <w:p>
      <w:pPr>
        <w:pStyle w:val="69"/>
        <w:numPr>
          <w:ilvl w:val="1"/>
          <w:numId w:val="8"/>
        </w:numPr>
        <w:tabs>
          <w:tab w:val="left" w:pos="1461"/>
          <w:tab w:val="left" w:pos="4940"/>
        </w:tabs>
        <w:kinsoku w:val="0"/>
        <w:overflowPunct w:val="0"/>
        <w:spacing w:line="360" w:lineRule="auto"/>
        <w:ind w:left="1460" w:hanging="440"/>
        <w:rPr>
          <w:rFonts w:hAnsi="宋体"/>
          <w:color w:val="auto"/>
          <w:highlight w:val="none"/>
        </w:rPr>
      </w:pPr>
      <w:r>
        <w:rPr>
          <w:rFonts w:hint="eastAsia" w:hAnsi="宋体"/>
          <w:color w:val="auto"/>
          <w:highlight w:val="none"/>
        </w:rPr>
        <w:t>其他特定资格要求：</w:t>
      </w:r>
      <w:bookmarkStart w:id="3" w:name="_Toc35393623"/>
      <w:bookmarkStart w:id="4" w:name="_Toc35393792"/>
      <w:r>
        <w:rPr>
          <w:rFonts w:hint="eastAsia" w:hAnsi="宋体"/>
          <w:color w:val="auto"/>
          <w:highlight w:val="none"/>
          <w:u w:val="single"/>
        </w:rPr>
        <w:t>无</w:t>
      </w:r>
    </w:p>
    <w:p>
      <w:pPr>
        <w:pStyle w:val="17"/>
        <w:kinsoku w:val="0"/>
        <w:overflowPunct w:val="0"/>
        <w:spacing w:before="220" w:line="360" w:lineRule="auto"/>
        <w:ind w:left="541"/>
        <w:rPr>
          <w:rFonts w:hAnsi="宋体"/>
          <w:b/>
          <w:bCs/>
          <w:color w:val="auto"/>
          <w:highlight w:val="none"/>
        </w:rPr>
      </w:pPr>
      <w:r>
        <w:rPr>
          <w:rFonts w:hint="eastAsia" w:hAnsi="宋体"/>
          <w:b/>
          <w:bCs/>
          <w:color w:val="auto"/>
          <w:highlight w:val="none"/>
        </w:rPr>
        <w:t>三、获取采购文件</w:t>
      </w:r>
      <w:bookmarkEnd w:id="3"/>
      <w:bookmarkEnd w:id="4"/>
    </w:p>
    <w:p>
      <w:pPr>
        <w:pStyle w:val="69"/>
        <w:tabs>
          <w:tab w:val="left" w:pos="1251"/>
          <w:tab w:val="left" w:pos="4062"/>
        </w:tabs>
        <w:kinsoku w:val="0"/>
        <w:overflowPunct w:val="0"/>
        <w:spacing w:before="161" w:line="360" w:lineRule="auto"/>
        <w:ind w:left="1100" w:leftChars="500" w:firstLine="0"/>
        <w:rPr>
          <w:rFonts w:hAnsi="宋体"/>
          <w:color w:val="auto"/>
          <w:spacing w:val="-1"/>
          <w:highlight w:val="none"/>
        </w:rPr>
      </w:pPr>
      <w:r>
        <w:rPr>
          <w:rFonts w:hAnsi="宋体"/>
          <w:color w:val="auto"/>
          <w:spacing w:val="-1"/>
          <w:highlight w:val="none"/>
        </w:rPr>
        <w:t>1.</w:t>
      </w:r>
      <w:r>
        <w:rPr>
          <w:rFonts w:hint="eastAsia" w:hAnsi="宋体"/>
          <w:color w:val="auto"/>
          <w:spacing w:val="-1"/>
          <w:highlight w:val="none"/>
        </w:rPr>
        <w:t>时间：</w:t>
      </w:r>
      <w:r>
        <w:rPr>
          <w:rFonts w:hAnsi="宋体"/>
          <w:color w:val="auto"/>
          <w:spacing w:val="-1"/>
          <w:highlight w:val="none"/>
          <w:u w:val="single"/>
        </w:rPr>
        <w:t>202</w:t>
      </w:r>
      <w:r>
        <w:rPr>
          <w:rFonts w:hint="eastAsia" w:hAnsi="宋体"/>
          <w:color w:val="auto"/>
          <w:spacing w:val="-1"/>
          <w:highlight w:val="none"/>
          <w:u w:val="single"/>
        </w:rPr>
        <w:t>4年</w:t>
      </w:r>
      <w:r>
        <w:rPr>
          <w:rFonts w:hint="eastAsia" w:hAnsi="宋体"/>
          <w:color w:val="auto"/>
          <w:spacing w:val="-1"/>
          <w:highlight w:val="none"/>
          <w:u w:val="single"/>
          <w:lang w:val="en-US" w:eastAsia="zh-CN"/>
        </w:rPr>
        <w:t>4</w:t>
      </w:r>
      <w:r>
        <w:rPr>
          <w:rFonts w:hint="eastAsia" w:hAnsi="宋体"/>
          <w:color w:val="auto"/>
          <w:spacing w:val="-1"/>
          <w:highlight w:val="none"/>
          <w:u w:val="single"/>
        </w:rPr>
        <w:t>月</w:t>
      </w:r>
      <w:r>
        <w:rPr>
          <w:rFonts w:hint="eastAsia" w:hAnsi="宋体"/>
          <w:color w:val="auto"/>
          <w:spacing w:val="-1"/>
          <w:highlight w:val="none"/>
          <w:u w:val="single"/>
          <w:lang w:val="en-US" w:eastAsia="zh-CN"/>
        </w:rPr>
        <w:t>19</w:t>
      </w:r>
      <w:r>
        <w:rPr>
          <w:rFonts w:hint="eastAsia" w:hAnsi="宋体"/>
          <w:color w:val="auto"/>
          <w:spacing w:val="-1"/>
          <w:highlight w:val="none"/>
          <w:u w:val="single"/>
        </w:rPr>
        <w:t>日至</w:t>
      </w:r>
      <w:r>
        <w:rPr>
          <w:rFonts w:hAnsi="宋体"/>
          <w:color w:val="auto"/>
          <w:spacing w:val="-1"/>
          <w:highlight w:val="none"/>
          <w:u w:val="single"/>
        </w:rPr>
        <w:t>202</w:t>
      </w:r>
      <w:r>
        <w:rPr>
          <w:rFonts w:hint="eastAsia" w:hAnsi="宋体"/>
          <w:color w:val="auto"/>
          <w:spacing w:val="-1"/>
          <w:highlight w:val="none"/>
          <w:u w:val="single"/>
        </w:rPr>
        <w:t>4年</w:t>
      </w:r>
      <w:r>
        <w:rPr>
          <w:rFonts w:hint="eastAsia" w:hAnsi="宋体"/>
          <w:color w:val="auto"/>
          <w:spacing w:val="-1"/>
          <w:highlight w:val="none"/>
          <w:u w:val="single"/>
          <w:lang w:val="en-US" w:eastAsia="zh-CN"/>
        </w:rPr>
        <w:t>4</w:t>
      </w:r>
      <w:r>
        <w:rPr>
          <w:rFonts w:hint="eastAsia" w:hAnsi="宋体"/>
          <w:color w:val="auto"/>
          <w:spacing w:val="-1"/>
          <w:highlight w:val="none"/>
          <w:u w:val="single"/>
        </w:rPr>
        <w:t>月</w:t>
      </w:r>
      <w:r>
        <w:rPr>
          <w:rFonts w:hint="eastAsia" w:hAnsi="宋体"/>
          <w:color w:val="auto"/>
          <w:spacing w:val="-1"/>
          <w:highlight w:val="none"/>
          <w:u w:val="single"/>
          <w:lang w:val="en-US" w:eastAsia="zh-CN"/>
        </w:rPr>
        <w:t>25</w:t>
      </w:r>
      <w:r>
        <w:rPr>
          <w:rFonts w:hint="eastAsia" w:hAnsi="宋体"/>
          <w:color w:val="auto"/>
          <w:spacing w:val="-1"/>
          <w:highlight w:val="none"/>
          <w:u w:val="single"/>
        </w:rPr>
        <w:t>日</w:t>
      </w:r>
      <w:r>
        <w:rPr>
          <w:rFonts w:hint="eastAsia" w:hAnsi="宋体"/>
          <w:color w:val="auto"/>
          <w:spacing w:val="-1"/>
          <w:highlight w:val="none"/>
        </w:rPr>
        <w:t>，每天上午</w:t>
      </w:r>
      <w:r>
        <w:rPr>
          <w:rFonts w:hAnsi="宋体"/>
          <w:color w:val="auto"/>
          <w:spacing w:val="-1"/>
          <w:highlight w:val="none"/>
          <w:u w:val="single"/>
        </w:rPr>
        <w:t>9:</w:t>
      </w:r>
      <w:r>
        <w:rPr>
          <w:rFonts w:hint="eastAsia" w:hAnsi="宋体"/>
          <w:color w:val="auto"/>
          <w:spacing w:val="-1"/>
          <w:highlight w:val="none"/>
          <w:u w:val="single"/>
          <w:lang w:val="en-US" w:eastAsia="zh-CN"/>
        </w:rPr>
        <w:t>3</w:t>
      </w:r>
      <w:r>
        <w:rPr>
          <w:rFonts w:hAnsi="宋体"/>
          <w:color w:val="auto"/>
          <w:spacing w:val="-1"/>
          <w:highlight w:val="none"/>
          <w:u w:val="single"/>
        </w:rPr>
        <w:t>0</w:t>
      </w:r>
      <w:r>
        <w:rPr>
          <w:rFonts w:hint="eastAsia" w:hAnsi="宋体"/>
          <w:color w:val="auto"/>
          <w:spacing w:val="-1"/>
          <w:highlight w:val="none"/>
          <w:u w:val="single"/>
        </w:rPr>
        <w:t>至</w:t>
      </w:r>
      <w:r>
        <w:rPr>
          <w:rFonts w:hAnsi="宋体"/>
          <w:color w:val="auto"/>
          <w:spacing w:val="-1"/>
          <w:highlight w:val="none"/>
          <w:u w:val="single"/>
        </w:rPr>
        <w:t>11:30</w:t>
      </w:r>
      <w:r>
        <w:rPr>
          <w:rFonts w:hint="eastAsia" w:hAnsi="宋体"/>
          <w:color w:val="auto"/>
          <w:spacing w:val="-1"/>
          <w:highlight w:val="none"/>
        </w:rPr>
        <w:t>，下午</w:t>
      </w:r>
      <w:r>
        <w:rPr>
          <w:rFonts w:hAnsi="宋体"/>
          <w:color w:val="auto"/>
          <w:spacing w:val="-1"/>
          <w:highlight w:val="none"/>
          <w:u w:val="single"/>
        </w:rPr>
        <w:t>13:00</w:t>
      </w:r>
      <w:r>
        <w:rPr>
          <w:rFonts w:hint="eastAsia" w:hAnsi="宋体"/>
          <w:color w:val="auto"/>
          <w:spacing w:val="-1"/>
          <w:highlight w:val="none"/>
          <w:u w:val="single"/>
        </w:rPr>
        <w:t>至</w:t>
      </w:r>
      <w:r>
        <w:rPr>
          <w:rFonts w:hAnsi="宋体"/>
          <w:color w:val="auto"/>
          <w:spacing w:val="-1"/>
          <w:highlight w:val="none"/>
          <w:u w:val="single"/>
        </w:rPr>
        <w:t>16:00</w:t>
      </w:r>
      <w:r>
        <w:rPr>
          <w:rFonts w:hint="eastAsia" w:hAnsi="宋体"/>
          <w:color w:val="auto"/>
          <w:spacing w:val="-1"/>
          <w:highlight w:val="none"/>
        </w:rPr>
        <w:t>（北京时间，法定节假日除外）。</w:t>
      </w:r>
    </w:p>
    <w:p>
      <w:pPr>
        <w:pStyle w:val="69"/>
        <w:tabs>
          <w:tab w:val="left" w:pos="1251"/>
          <w:tab w:val="left" w:pos="4062"/>
        </w:tabs>
        <w:kinsoku w:val="0"/>
        <w:overflowPunct w:val="0"/>
        <w:spacing w:before="161" w:line="360" w:lineRule="auto"/>
        <w:ind w:left="1100" w:leftChars="500" w:firstLine="0"/>
        <w:rPr>
          <w:rFonts w:hAnsi="宋体"/>
          <w:color w:val="auto"/>
          <w:spacing w:val="-1"/>
          <w:highlight w:val="none"/>
        </w:rPr>
      </w:pPr>
      <w:bookmarkStart w:id="5" w:name="_Toc28359082"/>
      <w:bookmarkStart w:id="6" w:name="_Toc28359005"/>
      <w:bookmarkStart w:id="7" w:name="_Toc35393793"/>
      <w:bookmarkStart w:id="8" w:name="_Toc35393624"/>
      <w:r>
        <w:rPr>
          <w:rFonts w:hint="eastAsia" w:hAnsi="宋体"/>
          <w:color w:val="auto"/>
          <w:spacing w:val="-1"/>
          <w:highlight w:val="none"/>
        </w:rPr>
        <w:t>2.地点：北京市政府采购电子交易平台</w:t>
      </w:r>
    </w:p>
    <w:p>
      <w:pPr>
        <w:pStyle w:val="69"/>
        <w:tabs>
          <w:tab w:val="left" w:pos="1251"/>
          <w:tab w:val="left" w:pos="4062"/>
        </w:tabs>
        <w:kinsoku w:val="0"/>
        <w:overflowPunct w:val="0"/>
        <w:spacing w:before="161" w:line="360" w:lineRule="auto"/>
        <w:ind w:left="1100" w:leftChars="500" w:firstLine="0"/>
        <w:rPr>
          <w:rFonts w:hAnsi="宋体"/>
          <w:color w:val="auto"/>
          <w:spacing w:val="-1"/>
          <w:highlight w:val="none"/>
        </w:rPr>
      </w:pPr>
      <w:r>
        <w:rPr>
          <w:rFonts w:hint="eastAsia" w:hAnsi="宋体"/>
          <w:color w:val="auto"/>
          <w:spacing w:val="-1"/>
          <w:highlight w:val="none"/>
        </w:rPr>
        <w:t>3.方式：供应商持CA数字认证证书登录北京市政府采购电子交易平台（http://zbcg-bjzc.zhongcy.com/bjczj-portal-site/index.html#/home）获取电子版竞争性磋商文件。未按下述获取方式和期限下载竞争性磋商文件的投标无效。</w:t>
      </w:r>
    </w:p>
    <w:p>
      <w:pPr>
        <w:pStyle w:val="69"/>
        <w:tabs>
          <w:tab w:val="left" w:pos="1251"/>
          <w:tab w:val="left" w:pos="4062"/>
        </w:tabs>
        <w:kinsoku w:val="0"/>
        <w:overflowPunct w:val="0"/>
        <w:spacing w:before="161" w:line="360" w:lineRule="auto"/>
        <w:ind w:left="1100" w:leftChars="500" w:firstLine="0"/>
        <w:rPr>
          <w:rFonts w:hAnsi="宋体"/>
          <w:color w:val="auto"/>
          <w:spacing w:val="-1"/>
          <w:highlight w:val="none"/>
        </w:rPr>
      </w:pPr>
      <w:r>
        <w:rPr>
          <w:rFonts w:hint="eastAsia" w:hAnsi="宋体"/>
          <w:color w:val="auto"/>
          <w:spacing w:val="-1"/>
          <w:highlight w:val="none"/>
        </w:rPr>
        <w:t>4.售价：0元。</w:t>
      </w:r>
    </w:p>
    <w:p>
      <w:pPr>
        <w:pStyle w:val="17"/>
        <w:kinsoku w:val="0"/>
        <w:overflowPunct w:val="0"/>
        <w:spacing w:before="220" w:line="360" w:lineRule="auto"/>
        <w:ind w:left="541"/>
        <w:rPr>
          <w:rFonts w:hAnsi="宋体"/>
          <w:b/>
          <w:bCs/>
          <w:color w:val="auto"/>
          <w:highlight w:val="none"/>
        </w:rPr>
      </w:pPr>
      <w:r>
        <w:rPr>
          <w:rFonts w:hint="eastAsia" w:hAnsi="宋体"/>
          <w:b/>
          <w:bCs/>
          <w:color w:val="auto"/>
          <w:highlight w:val="none"/>
        </w:rPr>
        <w:t>四、</w:t>
      </w:r>
      <w:bookmarkEnd w:id="5"/>
      <w:bookmarkEnd w:id="6"/>
      <w:bookmarkEnd w:id="7"/>
      <w:bookmarkEnd w:id="8"/>
      <w:r>
        <w:rPr>
          <w:rFonts w:hint="eastAsia" w:hAnsi="宋体"/>
          <w:b/>
          <w:bCs/>
          <w:color w:val="auto"/>
          <w:highlight w:val="none"/>
        </w:rPr>
        <w:t>响应文件提交</w:t>
      </w:r>
    </w:p>
    <w:p>
      <w:pPr>
        <w:spacing w:line="360" w:lineRule="auto"/>
        <w:ind w:firstLine="1200" w:firstLineChars="500"/>
        <w:rPr>
          <w:rFonts w:hAnsi="宋体"/>
          <w:bCs/>
          <w:color w:val="auto"/>
          <w:sz w:val="24"/>
          <w:highlight w:val="none"/>
          <w:u w:val="single"/>
        </w:rPr>
      </w:pPr>
      <w:r>
        <w:rPr>
          <w:rFonts w:hint="eastAsia" w:hAnsi="宋体"/>
          <w:color w:val="auto"/>
          <w:sz w:val="24"/>
          <w:highlight w:val="none"/>
          <w:lang w:bidi="ar"/>
        </w:rPr>
        <w:t>截止时间：</w:t>
      </w:r>
      <w:r>
        <w:rPr>
          <w:rFonts w:hAnsi="宋体"/>
          <w:color w:val="auto"/>
          <w:sz w:val="24"/>
          <w:highlight w:val="none"/>
        </w:rPr>
        <w:t>202</w:t>
      </w:r>
      <w:r>
        <w:rPr>
          <w:rFonts w:hint="eastAsia" w:hAnsi="宋体"/>
          <w:color w:val="auto"/>
          <w:sz w:val="24"/>
          <w:highlight w:val="none"/>
        </w:rPr>
        <w:t>4</w:t>
      </w:r>
      <w:r>
        <w:rPr>
          <w:rFonts w:hint="eastAsia" w:hAnsi="宋体"/>
          <w:color w:val="auto"/>
          <w:sz w:val="24"/>
          <w:highlight w:val="none"/>
          <w:lang w:bidi="ar"/>
        </w:rPr>
        <w:t>年</w:t>
      </w:r>
      <w:r>
        <w:rPr>
          <w:rFonts w:hint="eastAsia" w:hAnsi="宋体"/>
          <w:color w:val="auto"/>
          <w:sz w:val="24"/>
          <w:highlight w:val="none"/>
          <w:lang w:val="en-US" w:eastAsia="zh-CN"/>
        </w:rPr>
        <w:t>4</w:t>
      </w:r>
      <w:r>
        <w:rPr>
          <w:rFonts w:hint="eastAsia" w:hAnsi="宋体"/>
          <w:color w:val="auto"/>
          <w:sz w:val="24"/>
          <w:highlight w:val="none"/>
          <w:lang w:bidi="ar"/>
        </w:rPr>
        <w:t>月</w:t>
      </w:r>
      <w:r>
        <w:rPr>
          <w:rFonts w:hint="eastAsia" w:hAnsi="宋体"/>
          <w:color w:val="auto"/>
          <w:sz w:val="24"/>
          <w:highlight w:val="none"/>
          <w:lang w:val="en-US" w:eastAsia="zh-CN" w:bidi="ar"/>
        </w:rPr>
        <w:t>30</w:t>
      </w:r>
      <w:r>
        <w:rPr>
          <w:rFonts w:hint="eastAsia" w:hAnsi="宋体"/>
          <w:color w:val="auto"/>
          <w:sz w:val="24"/>
          <w:highlight w:val="none"/>
          <w:lang w:bidi="ar"/>
        </w:rPr>
        <w:t>日</w:t>
      </w:r>
      <w:r>
        <w:rPr>
          <w:rFonts w:hint="eastAsia" w:hAnsi="宋体"/>
          <w:color w:val="auto"/>
          <w:sz w:val="24"/>
          <w:highlight w:val="none"/>
          <w:lang w:val="en-US" w:eastAsia="zh-CN"/>
        </w:rPr>
        <w:t>10</w:t>
      </w:r>
      <w:r>
        <w:rPr>
          <w:rFonts w:hint="eastAsia" w:hAnsi="宋体"/>
          <w:color w:val="auto"/>
          <w:sz w:val="24"/>
          <w:highlight w:val="none"/>
          <w:lang w:bidi="ar"/>
        </w:rPr>
        <w:t>点</w:t>
      </w:r>
      <w:r>
        <w:rPr>
          <w:rFonts w:hint="eastAsia" w:hAnsi="宋体"/>
          <w:color w:val="auto"/>
          <w:sz w:val="24"/>
          <w:highlight w:val="none"/>
          <w:lang w:val="en-US" w:eastAsia="zh-CN"/>
        </w:rPr>
        <w:t>00</w:t>
      </w:r>
      <w:r>
        <w:rPr>
          <w:rFonts w:hint="eastAsia" w:hAnsi="宋体"/>
          <w:color w:val="auto"/>
          <w:sz w:val="24"/>
          <w:highlight w:val="none"/>
          <w:lang w:bidi="ar"/>
        </w:rPr>
        <w:t>分</w:t>
      </w:r>
      <w:r>
        <w:rPr>
          <w:rFonts w:hint="eastAsia" w:hAnsi="宋体"/>
          <w:bCs/>
          <w:color w:val="auto"/>
          <w:sz w:val="24"/>
          <w:highlight w:val="none"/>
          <w:lang w:bidi="ar"/>
        </w:rPr>
        <w:t>（北京时间）</w:t>
      </w:r>
      <w:r>
        <w:rPr>
          <w:rFonts w:hint="eastAsia" w:hAnsi="宋体"/>
          <w:iCs/>
          <w:color w:val="auto"/>
          <w:sz w:val="24"/>
          <w:highlight w:val="none"/>
          <w:lang w:bidi="ar"/>
        </w:rPr>
        <w:t>。</w:t>
      </w:r>
    </w:p>
    <w:p>
      <w:pPr>
        <w:spacing w:line="360" w:lineRule="auto"/>
        <w:ind w:firstLine="1200" w:firstLineChars="500"/>
        <w:rPr>
          <w:rFonts w:hAnsi="宋体"/>
          <w:color w:val="auto"/>
          <w:sz w:val="24"/>
          <w:highlight w:val="none"/>
          <w:lang w:val="zh-TW" w:bidi="ar"/>
        </w:rPr>
      </w:pPr>
      <w:r>
        <w:rPr>
          <w:rFonts w:hint="eastAsia" w:hAnsi="宋体"/>
          <w:color w:val="auto"/>
          <w:sz w:val="24"/>
          <w:highlight w:val="none"/>
          <w:lang w:bidi="ar"/>
        </w:rPr>
        <w:t>地点：顺义区复兴东街3号院顺义政务服务中心B区6号电梯厅2层竞标室（具体标室以当天大屏幕为准）</w:t>
      </w:r>
      <w:r>
        <w:rPr>
          <w:rFonts w:hint="eastAsia" w:hAnsi="宋体"/>
          <w:color w:val="auto"/>
          <w:sz w:val="24"/>
          <w:highlight w:val="none"/>
          <w:lang w:val="zh-TW" w:bidi="ar"/>
        </w:rPr>
        <w:t>。</w:t>
      </w:r>
    </w:p>
    <w:p>
      <w:pPr>
        <w:spacing w:line="360" w:lineRule="auto"/>
        <w:ind w:firstLine="480" w:firstLineChars="200"/>
        <w:rPr>
          <w:rFonts w:hAnsi="宋体"/>
          <w:b/>
          <w:bCs/>
          <w:color w:val="auto"/>
          <w:highlight w:val="none"/>
        </w:rPr>
      </w:pPr>
      <w:r>
        <w:rPr>
          <w:rFonts w:hAnsi="宋体"/>
          <w:color w:val="auto"/>
          <w:sz w:val="24"/>
          <w:highlight w:val="none"/>
          <w:lang w:val="zh-TW" w:bidi="ar"/>
        </w:rPr>
        <w:t xml:space="preserve"> </w:t>
      </w:r>
      <w:r>
        <w:rPr>
          <w:rFonts w:hint="eastAsia" w:hAnsi="宋体"/>
          <w:b/>
          <w:bCs/>
          <w:color w:val="auto"/>
          <w:highlight w:val="none"/>
        </w:rPr>
        <w:t>五、开启</w:t>
      </w:r>
    </w:p>
    <w:p>
      <w:pPr>
        <w:spacing w:line="360" w:lineRule="auto"/>
        <w:ind w:firstLine="1200" w:firstLineChars="500"/>
        <w:rPr>
          <w:rFonts w:hAnsi="宋体"/>
          <w:bCs/>
          <w:color w:val="auto"/>
          <w:sz w:val="24"/>
          <w:highlight w:val="none"/>
          <w:u w:val="single"/>
        </w:rPr>
      </w:pPr>
      <w:r>
        <w:rPr>
          <w:rFonts w:hint="eastAsia" w:hAnsi="宋体"/>
          <w:color w:val="auto"/>
          <w:sz w:val="24"/>
          <w:highlight w:val="none"/>
          <w:lang w:bidi="ar"/>
        </w:rPr>
        <w:t>时间：</w:t>
      </w:r>
      <w:r>
        <w:rPr>
          <w:rFonts w:hAnsi="宋体"/>
          <w:color w:val="auto"/>
          <w:sz w:val="24"/>
          <w:highlight w:val="none"/>
        </w:rPr>
        <w:t>202</w:t>
      </w:r>
      <w:r>
        <w:rPr>
          <w:rFonts w:hint="eastAsia" w:hAnsi="宋体"/>
          <w:color w:val="auto"/>
          <w:sz w:val="24"/>
          <w:highlight w:val="none"/>
        </w:rPr>
        <w:t>4年</w:t>
      </w:r>
      <w:r>
        <w:rPr>
          <w:rFonts w:hint="eastAsia" w:hAnsi="宋体"/>
          <w:color w:val="auto"/>
          <w:sz w:val="24"/>
          <w:highlight w:val="none"/>
          <w:lang w:val="en-US" w:eastAsia="zh-CN"/>
        </w:rPr>
        <w:t>4</w:t>
      </w:r>
      <w:r>
        <w:rPr>
          <w:rFonts w:hint="eastAsia" w:hAnsi="宋体"/>
          <w:color w:val="auto"/>
          <w:sz w:val="24"/>
          <w:highlight w:val="none"/>
        </w:rPr>
        <w:t>月</w:t>
      </w:r>
      <w:r>
        <w:rPr>
          <w:rFonts w:hint="eastAsia" w:hAnsi="宋体"/>
          <w:color w:val="auto"/>
          <w:sz w:val="24"/>
          <w:highlight w:val="none"/>
          <w:lang w:val="en-US" w:eastAsia="zh-CN"/>
        </w:rPr>
        <w:t>30</w:t>
      </w:r>
      <w:bookmarkStart w:id="131" w:name="_GoBack"/>
      <w:bookmarkEnd w:id="131"/>
      <w:r>
        <w:rPr>
          <w:rFonts w:hint="eastAsia" w:hAnsi="宋体"/>
          <w:color w:val="auto"/>
          <w:sz w:val="24"/>
          <w:highlight w:val="none"/>
        </w:rPr>
        <w:t>日</w:t>
      </w:r>
      <w:r>
        <w:rPr>
          <w:rFonts w:hint="eastAsia" w:hAnsi="宋体"/>
          <w:color w:val="auto"/>
          <w:sz w:val="24"/>
          <w:highlight w:val="none"/>
          <w:lang w:val="en-US" w:eastAsia="zh-CN"/>
        </w:rPr>
        <w:t>10</w:t>
      </w:r>
      <w:r>
        <w:rPr>
          <w:rFonts w:hint="eastAsia" w:hAnsi="宋体"/>
          <w:color w:val="auto"/>
          <w:sz w:val="24"/>
          <w:highlight w:val="none"/>
        </w:rPr>
        <w:t>点</w:t>
      </w:r>
      <w:r>
        <w:rPr>
          <w:rFonts w:hint="eastAsia" w:hAnsi="宋体"/>
          <w:color w:val="auto"/>
          <w:sz w:val="24"/>
          <w:highlight w:val="none"/>
          <w:lang w:val="en-US" w:eastAsia="zh-CN"/>
        </w:rPr>
        <w:t>00</w:t>
      </w:r>
      <w:r>
        <w:rPr>
          <w:rFonts w:hint="eastAsia" w:hAnsi="宋体"/>
          <w:color w:val="auto"/>
          <w:sz w:val="24"/>
          <w:highlight w:val="none"/>
        </w:rPr>
        <w:t>分</w:t>
      </w:r>
      <w:r>
        <w:rPr>
          <w:rFonts w:hint="eastAsia" w:hAnsi="宋体"/>
          <w:bCs/>
          <w:color w:val="auto"/>
          <w:sz w:val="24"/>
          <w:highlight w:val="none"/>
          <w:lang w:bidi="ar"/>
        </w:rPr>
        <w:t>（北京时间）</w:t>
      </w:r>
      <w:r>
        <w:rPr>
          <w:rFonts w:hint="eastAsia" w:hAnsi="宋体"/>
          <w:iCs/>
          <w:color w:val="auto"/>
          <w:sz w:val="24"/>
          <w:highlight w:val="none"/>
          <w:lang w:bidi="ar"/>
        </w:rPr>
        <w:t>。</w:t>
      </w:r>
    </w:p>
    <w:p>
      <w:pPr>
        <w:spacing w:line="360" w:lineRule="auto"/>
        <w:ind w:firstLine="1200" w:firstLineChars="500"/>
        <w:rPr>
          <w:rFonts w:hAnsi="宋体"/>
          <w:color w:val="auto"/>
          <w:sz w:val="24"/>
          <w:highlight w:val="none"/>
          <w:lang w:val="zh-TW" w:bidi="ar"/>
        </w:rPr>
      </w:pPr>
      <w:r>
        <w:rPr>
          <w:rFonts w:hint="eastAsia" w:hAnsi="宋体"/>
          <w:color w:val="auto"/>
          <w:sz w:val="24"/>
          <w:highlight w:val="none"/>
          <w:lang w:bidi="ar"/>
        </w:rPr>
        <w:t>地点：顺义区复兴东街3号院顺义政务服务中心B区6号电梯厅2层竞标室（具体标室以当天大屏幕为准）</w:t>
      </w:r>
      <w:r>
        <w:rPr>
          <w:rFonts w:hint="eastAsia" w:hAnsi="宋体"/>
          <w:color w:val="auto"/>
          <w:sz w:val="24"/>
          <w:highlight w:val="none"/>
          <w:lang w:val="zh-TW" w:bidi="ar"/>
        </w:rPr>
        <w:t>。</w:t>
      </w:r>
    </w:p>
    <w:p>
      <w:pPr>
        <w:pStyle w:val="17"/>
        <w:kinsoku w:val="0"/>
        <w:overflowPunct w:val="0"/>
        <w:spacing w:before="220" w:line="360" w:lineRule="auto"/>
        <w:ind w:left="541"/>
        <w:rPr>
          <w:rFonts w:hAnsi="宋体"/>
          <w:b/>
          <w:bCs/>
          <w:color w:val="auto"/>
          <w:highlight w:val="none"/>
        </w:rPr>
      </w:pPr>
      <w:bookmarkStart w:id="9" w:name="_Toc35393625"/>
      <w:bookmarkStart w:id="10" w:name="_Toc35393794"/>
      <w:bookmarkStart w:id="11" w:name="_Toc28359084"/>
      <w:bookmarkStart w:id="12" w:name="_Toc28359007"/>
      <w:r>
        <w:rPr>
          <w:rFonts w:hint="eastAsia" w:hAnsi="宋体"/>
          <w:b/>
          <w:bCs/>
          <w:color w:val="auto"/>
          <w:highlight w:val="none"/>
        </w:rPr>
        <w:t>六、公告期限</w:t>
      </w:r>
      <w:bookmarkEnd w:id="9"/>
      <w:bookmarkEnd w:id="10"/>
      <w:bookmarkEnd w:id="11"/>
      <w:bookmarkEnd w:id="12"/>
    </w:p>
    <w:p>
      <w:pPr>
        <w:spacing w:line="360" w:lineRule="auto"/>
        <w:ind w:firstLine="960" w:firstLineChars="400"/>
        <w:rPr>
          <w:rFonts w:hAnsi="宋体"/>
          <w:color w:val="auto"/>
          <w:sz w:val="24"/>
          <w:highlight w:val="none"/>
        </w:rPr>
      </w:pPr>
      <w:r>
        <w:rPr>
          <w:rFonts w:hint="eastAsia" w:hAnsi="宋体"/>
          <w:color w:val="auto"/>
          <w:sz w:val="24"/>
          <w:highlight w:val="none"/>
        </w:rPr>
        <w:t>自本公告发布之日起</w:t>
      </w:r>
      <w:r>
        <w:rPr>
          <w:rFonts w:hAnsi="宋体"/>
          <w:color w:val="auto"/>
          <w:sz w:val="24"/>
          <w:highlight w:val="none"/>
        </w:rPr>
        <w:t>3</w:t>
      </w:r>
      <w:r>
        <w:rPr>
          <w:rFonts w:hint="eastAsia" w:hAnsi="宋体"/>
          <w:color w:val="auto"/>
          <w:sz w:val="24"/>
          <w:highlight w:val="none"/>
        </w:rPr>
        <w:t>个工作日。</w:t>
      </w:r>
    </w:p>
    <w:p>
      <w:pPr>
        <w:pStyle w:val="17"/>
        <w:kinsoku w:val="0"/>
        <w:overflowPunct w:val="0"/>
        <w:spacing w:before="220" w:line="360" w:lineRule="auto"/>
        <w:ind w:left="541"/>
        <w:rPr>
          <w:rFonts w:hAnsi="宋体"/>
          <w:b/>
          <w:bCs/>
          <w:color w:val="auto"/>
          <w:highlight w:val="none"/>
        </w:rPr>
      </w:pPr>
      <w:bookmarkStart w:id="13" w:name="_Toc35393795"/>
      <w:bookmarkStart w:id="14" w:name="_Toc35393626"/>
      <w:r>
        <w:rPr>
          <w:rFonts w:hint="eastAsia" w:hAnsi="宋体"/>
          <w:b/>
          <w:bCs/>
          <w:color w:val="auto"/>
          <w:highlight w:val="none"/>
        </w:rPr>
        <w:t>七、其他补充事宜</w:t>
      </w:r>
      <w:bookmarkEnd w:id="13"/>
      <w:bookmarkEnd w:id="14"/>
    </w:p>
    <w:p>
      <w:pPr>
        <w:autoSpaceDE/>
        <w:autoSpaceDN/>
        <w:adjustRightInd/>
        <w:spacing w:line="360" w:lineRule="auto"/>
        <w:ind w:firstLine="480" w:firstLineChars="200"/>
        <w:rPr>
          <w:rFonts w:hAnsi="宋体"/>
          <w:color w:val="auto"/>
          <w:sz w:val="24"/>
          <w:szCs w:val="24"/>
          <w:highlight w:val="none"/>
          <w:lang w:bidi="ar"/>
        </w:rPr>
      </w:pPr>
      <w:r>
        <w:rPr>
          <w:rFonts w:hint="eastAsia" w:hAnsi="宋体"/>
          <w:color w:val="auto"/>
          <w:sz w:val="24"/>
          <w:szCs w:val="24"/>
          <w:highlight w:val="none"/>
          <w:lang w:bidi="ar"/>
        </w:rPr>
        <w:t>1.本项目需要落实的政府采购政策：《中华人民共和国政府采购法》、《中华人民共和国政府采购法实施条例》、财政部关于印发《政府采购竞争性磋商采购方式管理暂行办法》的通知（财库〔2014〕214号）、《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 民政部 中国残疾人联合会关于促进残疾人就业政府采购政策的通知》（财库〔2017〕 141 号）、《关于印发环境标志产品政府采购品目清单的通知》（财库〔2019〕18号）、《关于印发节能产品政府采购品目清单的通知》（财库〔2019〕19号）、《政府采购促进中小企业发展管理办法》（财库[2020]46号）及其它相关法律法规。</w:t>
      </w:r>
    </w:p>
    <w:p>
      <w:pPr>
        <w:widowControl/>
        <w:snapToGrid w:val="0"/>
        <w:spacing w:line="360" w:lineRule="auto"/>
        <w:ind w:firstLine="480" w:firstLineChars="200"/>
        <w:rPr>
          <w:rFonts w:hAnsi="宋体"/>
          <w:bCs/>
          <w:color w:val="auto"/>
          <w:sz w:val="24"/>
          <w:szCs w:val="24"/>
          <w:highlight w:val="none"/>
          <w:lang w:bidi="ar"/>
        </w:rPr>
      </w:pPr>
      <w:r>
        <w:rPr>
          <w:rFonts w:hint="eastAsia" w:hAnsi="宋体"/>
          <w:color w:val="auto"/>
          <w:sz w:val="24"/>
          <w:szCs w:val="24"/>
          <w:highlight w:val="none"/>
          <w:lang w:bidi="ar"/>
        </w:rPr>
        <w:t>2.本项目采用“</w:t>
      </w:r>
      <w:r>
        <w:rPr>
          <w:rFonts w:hint="eastAsia" w:hAnsi="宋体"/>
          <w:b/>
          <w:bCs/>
          <w:color w:val="auto"/>
          <w:sz w:val="24"/>
          <w:szCs w:val="24"/>
          <w:highlight w:val="none"/>
          <w:lang w:bidi="ar"/>
        </w:rPr>
        <w:t>全流程线上线下结合</w:t>
      </w:r>
      <w:r>
        <w:rPr>
          <w:rFonts w:hint="eastAsia" w:hAnsi="宋体"/>
          <w:color w:val="auto"/>
          <w:sz w:val="24"/>
          <w:szCs w:val="24"/>
          <w:highlight w:val="none"/>
          <w:lang w:bidi="ar"/>
        </w:rPr>
        <w:t>”的电子化采购方式，请供应商认真学习北京市政府采购电子交易平台发布的相关操作手册，办理CA认证证书、进行北京市政府采购电子交易平台注册绑定，并认真核实</w:t>
      </w:r>
      <w:r>
        <w:rPr>
          <w:rFonts w:hint="eastAsia" w:hAnsi="宋体"/>
          <w:bCs/>
          <w:color w:val="auto"/>
          <w:sz w:val="24"/>
          <w:szCs w:val="24"/>
          <w:highlight w:val="none"/>
          <w:lang w:bidi="ar"/>
        </w:rPr>
        <w:t>数字认证证书情况确认是否符合本项目电子化采购流程要求。</w:t>
      </w:r>
    </w:p>
    <w:p>
      <w:pPr>
        <w:snapToGrid w:val="0"/>
        <w:spacing w:line="360" w:lineRule="auto"/>
        <w:ind w:firstLine="482" w:firstLineChars="200"/>
        <w:rPr>
          <w:b/>
          <w:bCs/>
          <w:color w:val="auto"/>
          <w:sz w:val="24"/>
          <w:highlight w:val="none"/>
        </w:rPr>
      </w:pPr>
      <w:r>
        <w:rPr>
          <w:b/>
          <w:bCs/>
          <w:color w:val="auto"/>
          <w:sz w:val="24"/>
          <w:highlight w:val="none"/>
          <w:lang w:bidi="ar"/>
        </w:rPr>
        <w:t>CA认证证书服务热线 010-58511086</w:t>
      </w:r>
    </w:p>
    <w:p>
      <w:pPr>
        <w:snapToGrid w:val="0"/>
        <w:spacing w:line="360" w:lineRule="auto"/>
        <w:ind w:firstLine="482" w:firstLineChars="200"/>
        <w:rPr>
          <w:b/>
          <w:bCs/>
          <w:color w:val="auto"/>
          <w:sz w:val="24"/>
          <w:highlight w:val="none"/>
        </w:rPr>
      </w:pPr>
      <w:r>
        <w:rPr>
          <w:b/>
          <w:bCs/>
          <w:color w:val="auto"/>
          <w:sz w:val="24"/>
          <w:highlight w:val="none"/>
          <w:lang w:bidi="ar"/>
        </w:rPr>
        <w:t>技术支持服务热线</w:t>
      </w:r>
      <w:r>
        <w:rPr>
          <w:rFonts w:hint="eastAsia"/>
          <w:b/>
          <w:bCs/>
          <w:color w:val="auto"/>
          <w:sz w:val="24"/>
          <w:highlight w:val="none"/>
          <w:lang w:bidi="ar"/>
        </w:rPr>
        <w:t xml:space="preserve"> </w:t>
      </w:r>
      <w:r>
        <w:rPr>
          <w:b/>
          <w:bCs/>
          <w:color w:val="auto"/>
          <w:sz w:val="24"/>
          <w:highlight w:val="none"/>
          <w:lang w:bidi="ar"/>
        </w:rPr>
        <w:t xml:space="preserve">010-86483801    </w:t>
      </w:r>
    </w:p>
    <w:p>
      <w:pPr>
        <w:widowControl/>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.1办理CA认证证书</w:t>
      </w:r>
    </w:p>
    <w:p>
      <w:pPr>
        <w:widowControl/>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供应商登录北京市政府采购电子交易平台查阅 “用户指南”—“操作指南”—“市场主体CA办理操作流程指引”，按照程序要求办理。</w:t>
      </w:r>
    </w:p>
    <w:p>
      <w:pPr>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.2注册</w:t>
      </w:r>
    </w:p>
    <w:p>
      <w:pPr>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供应商登录北京市政府采购电子交易平台“用户指南”—“操作指南”—“市场主体注册入库操作流程指引”进行自助注册绑定。</w:t>
      </w:r>
    </w:p>
    <w:p>
      <w:pPr>
        <w:widowControl/>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.3驱动、客户端下载</w:t>
      </w:r>
    </w:p>
    <w:p>
      <w:pPr>
        <w:widowControl/>
        <w:snapToGrid w:val="0"/>
        <w:spacing w:line="360" w:lineRule="auto"/>
        <w:ind w:firstLine="480" w:firstLineChars="200"/>
        <w:rPr>
          <w:color w:val="auto"/>
          <w:sz w:val="24"/>
          <w:highlight w:val="none"/>
        </w:rPr>
      </w:pPr>
      <w:r>
        <w:rPr>
          <w:color w:val="auto"/>
          <w:sz w:val="24"/>
          <w:highlight w:val="none"/>
          <w:lang w:bidi="ar"/>
        </w:rPr>
        <w:t>供应商登录北京市政府采购电子交易平台“用户指南”—“工具下载”—“招标采购系统文件驱动安装包”下载相关驱动。</w:t>
      </w:r>
    </w:p>
    <w:p>
      <w:pPr>
        <w:snapToGrid w:val="0"/>
        <w:spacing w:line="360" w:lineRule="auto"/>
        <w:ind w:firstLine="480" w:firstLineChars="200"/>
        <w:rPr>
          <w:color w:val="auto"/>
          <w:sz w:val="24"/>
          <w:highlight w:val="none"/>
          <w:lang w:bidi="ar"/>
        </w:rPr>
      </w:pPr>
      <w:r>
        <w:rPr>
          <w:rFonts w:hint="eastAsia"/>
          <w:color w:val="auto"/>
          <w:sz w:val="24"/>
          <w:highlight w:val="none"/>
          <w:lang w:bidi="ar"/>
        </w:rPr>
        <w:t>2</w:t>
      </w:r>
      <w:r>
        <w:rPr>
          <w:color w:val="auto"/>
          <w:sz w:val="24"/>
          <w:highlight w:val="none"/>
          <w:lang w:bidi="ar"/>
        </w:rPr>
        <w:t>.4 获取电子竞争性磋商文件</w:t>
      </w:r>
    </w:p>
    <w:p>
      <w:pPr>
        <w:snapToGrid w:val="0"/>
        <w:spacing w:line="360" w:lineRule="auto"/>
        <w:ind w:firstLine="480" w:firstLineChars="200"/>
        <w:rPr>
          <w:rFonts w:hAnsi="宋体"/>
          <w:bCs/>
          <w:color w:val="auto"/>
          <w:sz w:val="24"/>
          <w:szCs w:val="24"/>
          <w:highlight w:val="none"/>
          <w:lang w:bidi="ar"/>
        </w:rPr>
      </w:pPr>
      <w:r>
        <w:rPr>
          <w:color w:val="auto"/>
          <w:sz w:val="24"/>
          <w:highlight w:val="none"/>
          <w:lang w:bidi="ar"/>
        </w:rPr>
        <w:t>供应商持CA数字认证证书登录北京市政府采购电子交易平台获取电子竞争性磋商文件。未在规定期限内通过电子交易平台获取竞争性磋商文件的</w:t>
      </w:r>
      <w:r>
        <w:rPr>
          <w:b/>
          <w:color w:val="auto"/>
          <w:sz w:val="24"/>
          <w:highlight w:val="none"/>
          <w:lang w:bidi="ar"/>
        </w:rPr>
        <w:t>响应无效</w:t>
      </w:r>
      <w:r>
        <w:rPr>
          <w:color w:val="auto"/>
          <w:sz w:val="24"/>
          <w:highlight w:val="none"/>
          <w:lang w:bidi="ar"/>
        </w:rPr>
        <w:t>。</w:t>
      </w:r>
    </w:p>
    <w:p>
      <w:pPr>
        <w:pStyle w:val="17"/>
        <w:kinsoku w:val="0"/>
        <w:overflowPunct w:val="0"/>
        <w:spacing w:before="220" w:line="360" w:lineRule="auto"/>
        <w:ind w:left="541"/>
        <w:rPr>
          <w:rFonts w:hAnsi="宋体"/>
          <w:b/>
          <w:bCs/>
          <w:color w:val="auto"/>
          <w:highlight w:val="none"/>
        </w:rPr>
      </w:pPr>
      <w:r>
        <w:rPr>
          <w:rFonts w:hint="eastAsia" w:hAnsi="宋体"/>
          <w:b/>
          <w:bCs/>
          <w:color w:val="auto"/>
          <w:highlight w:val="none"/>
        </w:rPr>
        <w:t>八、对本项目提出询问，请按以下方式联系。</w:t>
      </w:r>
    </w:p>
    <w:p>
      <w:pPr>
        <w:spacing w:line="480" w:lineRule="auto"/>
        <w:ind w:firstLine="482" w:firstLineChars="200"/>
        <w:rPr>
          <w:rFonts w:hAnsi="宋体"/>
          <w:b/>
          <w:color w:val="auto"/>
          <w:sz w:val="24"/>
          <w:highlight w:val="none"/>
        </w:rPr>
      </w:pPr>
      <w:r>
        <w:rPr>
          <w:rFonts w:hAnsi="宋体"/>
          <w:b/>
          <w:color w:val="auto"/>
          <w:sz w:val="24"/>
          <w:highlight w:val="none"/>
        </w:rPr>
        <w:t>1.</w:t>
      </w:r>
      <w:r>
        <w:rPr>
          <w:rFonts w:hint="eastAsia" w:hAnsi="宋体"/>
          <w:b/>
          <w:color w:val="auto"/>
          <w:sz w:val="24"/>
          <w:highlight w:val="none"/>
        </w:rPr>
        <w:t>采购人信息</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名</w:t>
      </w:r>
      <w:r>
        <w:rPr>
          <w:rFonts w:hAnsi="宋体"/>
          <w:color w:val="auto"/>
          <w:sz w:val="24"/>
          <w:highlight w:val="none"/>
          <w:lang w:bidi="ar"/>
        </w:rPr>
        <w:t xml:space="preserve">    </w:t>
      </w:r>
      <w:r>
        <w:rPr>
          <w:rFonts w:hint="eastAsia" w:hAnsi="宋体"/>
          <w:color w:val="auto"/>
          <w:sz w:val="24"/>
          <w:highlight w:val="none"/>
          <w:lang w:bidi="ar"/>
        </w:rPr>
        <w:t>称：北京市顺义区牛栏山镇人民政府</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地</w:t>
      </w:r>
      <w:r>
        <w:rPr>
          <w:rFonts w:hAnsi="宋体"/>
          <w:color w:val="auto"/>
          <w:sz w:val="24"/>
          <w:highlight w:val="none"/>
          <w:lang w:bidi="ar"/>
        </w:rPr>
        <w:t xml:space="preserve">    </w:t>
      </w:r>
      <w:r>
        <w:rPr>
          <w:rFonts w:hint="eastAsia" w:hAnsi="宋体"/>
          <w:color w:val="auto"/>
          <w:sz w:val="24"/>
          <w:highlight w:val="none"/>
          <w:lang w:bidi="ar"/>
        </w:rPr>
        <w:t>址：北京市顺义区牛栏山镇府前街9号</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联系方式： 米佳丽 13810070405</w:t>
      </w:r>
    </w:p>
    <w:p>
      <w:pPr>
        <w:spacing w:line="480" w:lineRule="auto"/>
        <w:ind w:firstLine="482" w:firstLineChars="200"/>
        <w:rPr>
          <w:rFonts w:hAnsi="宋体"/>
          <w:b/>
          <w:color w:val="auto"/>
          <w:sz w:val="24"/>
          <w:highlight w:val="none"/>
        </w:rPr>
      </w:pPr>
      <w:r>
        <w:rPr>
          <w:rFonts w:hAnsi="宋体"/>
          <w:b/>
          <w:color w:val="auto"/>
          <w:sz w:val="24"/>
          <w:highlight w:val="none"/>
        </w:rPr>
        <w:t>2.</w:t>
      </w:r>
      <w:r>
        <w:rPr>
          <w:rFonts w:hint="eastAsia" w:hAnsi="宋体"/>
          <w:b/>
          <w:color w:val="auto"/>
          <w:sz w:val="24"/>
          <w:highlight w:val="none"/>
        </w:rPr>
        <w:t>采购代理机构信息</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名</w:t>
      </w:r>
      <w:r>
        <w:rPr>
          <w:rFonts w:hAnsi="宋体"/>
          <w:color w:val="auto"/>
          <w:sz w:val="24"/>
          <w:highlight w:val="none"/>
          <w:lang w:bidi="ar"/>
        </w:rPr>
        <w:t xml:space="preserve">    </w:t>
      </w:r>
      <w:r>
        <w:rPr>
          <w:rFonts w:hint="eastAsia" w:hAnsi="宋体"/>
          <w:color w:val="auto"/>
          <w:sz w:val="24"/>
          <w:highlight w:val="none"/>
          <w:lang w:bidi="ar"/>
        </w:rPr>
        <w:t>称：北京北咨招标有限公司</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地</w:t>
      </w:r>
      <w:r>
        <w:rPr>
          <w:rFonts w:hAnsi="宋体"/>
          <w:color w:val="auto"/>
          <w:sz w:val="24"/>
          <w:highlight w:val="none"/>
          <w:lang w:bidi="ar"/>
        </w:rPr>
        <w:t xml:space="preserve">    </w:t>
      </w:r>
      <w:r>
        <w:rPr>
          <w:rFonts w:hint="eastAsia" w:hAnsi="宋体"/>
          <w:color w:val="auto"/>
          <w:sz w:val="24"/>
          <w:highlight w:val="none"/>
          <w:lang w:bidi="ar"/>
        </w:rPr>
        <w:t>址：北京市朝阳区华腾世纪总部公园</w:t>
      </w:r>
      <w:r>
        <w:rPr>
          <w:rFonts w:hAnsi="宋体"/>
          <w:color w:val="auto"/>
          <w:sz w:val="24"/>
          <w:highlight w:val="none"/>
          <w:lang w:bidi="ar"/>
        </w:rPr>
        <w:t>F</w:t>
      </w:r>
      <w:r>
        <w:rPr>
          <w:rFonts w:hint="eastAsia" w:hAnsi="宋体"/>
          <w:color w:val="auto"/>
          <w:sz w:val="24"/>
          <w:highlight w:val="none"/>
          <w:lang w:bidi="ar"/>
        </w:rPr>
        <w:t>座</w:t>
      </w:r>
      <w:r>
        <w:rPr>
          <w:rFonts w:hAnsi="宋体"/>
          <w:color w:val="auto"/>
          <w:sz w:val="24"/>
          <w:highlight w:val="none"/>
          <w:lang w:bidi="ar"/>
        </w:rPr>
        <w:t>11</w:t>
      </w:r>
      <w:r>
        <w:rPr>
          <w:rFonts w:hint="eastAsia" w:hAnsi="宋体"/>
          <w:color w:val="auto"/>
          <w:sz w:val="24"/>
          <w:highlight w:val="none"/>
          <w:lang w:bidi="ar"/>
        </w:rPr>
        <w:t>层</w:t>
      </w:r>
      <w:r>
        <w:rPr>
          <w:rFonts w:hAnsi="宋体"/>
          <w:color w:val="auto"/>
          <w:sz w:val="24"/>
          <w:highlight w:val="none"/>
          <w:lang w:bidi="ar"/>
        </w:rPr>
        <w:t>1107</w:t>
      </w:r>
      <w:r>
        <w:rPr>
          <w:rFonts w:hint="eastAsia" w:hAnsi="宋体"/>
          <w:color w:val="auto"/>
          <w:sz w:val="24"/>
          <w:highlight w:val="none"/>
          <w:lang w:bidi="ar"/>
        </w:rPr>
        <w:t>室</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联系方式：</w:t>
      </w:r>
      <w:r>
        <w:rPr>
          <w:rFonts w:hint="eastAsia"/>
          <w:color w:val="auto"/>
          <w:sz w:val="24"/>
          <w:highlight w:val="none"/>
        </w:rPr>
        <w:t>李梦尧 18614040409</w:t>
      </w:r>
      <w:r>
        <w:rPr>
          <w:color w:val="auto"/>
          <w:sz w:val="24"/>
          <w:highlight w:val="none"/>
        </w:rPr>
        <w:t xml:space="preserve"> </w:t>
      </w:r>
    </w:p>
    <w:p>
      <w:pPr>
        <w:spacing w:line="480" w:lineRule="auto"/>
        <w:ind w:firstLine="482" w:firstLineChars="200"/>
        <w:rPr>
          <w:rFonts w:hAnsi="宋体"/>
          <w:b/>
          <w:color w:val="auto"/>
          <w:sz w:val="24"/>
          <w:highlight w:val="none"/>
          <w:u w:val="single"/>
        </w:rPr>
      </w:pPr>
      <w:r>
        <w:rPr>
          <w:rFonts w:hAnsi="宋体"/>
          <w:b/>
          <w:color w:val="auto"/>
          <w:sz w:val="24"/>
          <w:highlight w:val="none"/>
        </w:rPr>
        <w:t>3.</w:t>
      </w:r>
      <w:r>
        <w:rPr>
          <w:rFonts w:hint="eastAsia" w:hAnsi="宋体"/>
          <w:b/>
          <w:color w:val="auto"/>
          <w:sz w:val="24"/>
          <w:highlight w:val="none"/>
        </w:rPr>
        <w:t>项目联系方式</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项目联系人：李梦尧</w:t>
      </w:r>
    </w:p>
    <w:p>
      <w:pPr>
        <w:spacing w:line="480" w:lineRule="auto"/>
        <w:ind w:firstLine="480" w:firstLineChars="200"/>
        <w:rPr>
          <w:rFonts w:hAnsi="宋体"/>
          <w:color w:val="auto"/>
          <w:sz w:val="24"/>
          <w:highlight w:val="none"/>
          <w:lang w:bidi="ar"/>
        </w:rPr>
      </w:pPr>
      <w:r>
        <w:rPr>
          <w:rFonts w:hint="eastAsia" w:hAnsi="宋体"/>
          <w:color w:val="auto"/>
          <w:sz w:val="24"/>
          <w:highlight w:val="none"/>
          <w:lang w:bidi="ar"/>
        </w:rPr>
        <w:t>电</w:t>
      </w:r>
      <w:r>
        <w:rPr>
          <w:rFonts w:hAnsi="宋体"/>
          <w:color w:val="auto"/>
          <w:sz w:val="24"/>
          <w:highlight w:val="none"/>
          <w:lang w:bidi="ar"/>
        </w:rPr>
        <w:t xml:space="preserve">      </w:t>
      </w:r>
      <w:r>
        <w:rPr>
          <w:rFonts w:hint="eastAsia" w:hAnsi="宋体"/>
          <w:color w:val="auto"/>
          <w:sz w:val="24"/>
          <w:highlight w:val="none"/>
          <w:lang w:bidi="ar"/>
        </w:rPr>
        <w:t>话：</w:t>
      </w:r>
      <w:r>
        <w:rPr>
          <w:rFonts w:ascii="Times New Roman"/>
          <w:color w:val="auto"/>
          <w:sz w:val="24"/>
          <w:highlight w:val="none"/>
        </w:rPr>
        <w:t>18614040409</w:t>
      </w:r>
    </w:p>
    <w:p>
      <w:pPr>
        <w:spacing w:line="360" w:lineRule="auto"/>
        <w:ind w:firstLine="5880" w:firstLineChars="2450"/>
        <w:jc w:val="right"/>
        <w:rPr>
          <w:rFonts w:hAnsi="宋体"/>
          <w:color w:val="auto"/>
          <w:sz w:val="24"/>
          <w:highlight w:val="none"/>
        </w:rPr>
      </w:pPr>
    </w:p>
    <w:p>
      <w:pPr>
        <w:pStyle w:val="69"/>
        <w:tabs>
          <w:tab w:val="left" w:pos="1251"/>
        </w:tabs>
        <w:kinsoku w:val="0"/>
        <w:overflowPunct w:val="0"/>
        <w:spacing w:before="156" w:line="364" w:lineRule="auto"/>
        <w:ind w:left="0" w:right="571" w:firstLine="0"/>
        <w:rPr>
          <w:rFonts w:hAnsi="宋体"/>
          <w:color w:val="auto"/>
          <w:spacing w:val="-2"/>
          <w:highlight w:val="none"/>
        </w:rPr>
        <w:sectPr>
          <w:headerReference r:id="rId3" w:type="default"/>
          <w:footerReference r:id="rId4" w:type="default"/>
          <w:pgSz w:w="11910" w:h="16840"/>
          <w:pgMar w:top="1340" w:right="560" w:bottom="1080" w:left="1160" w:header="879" w:footer="879" w:gutter="0"/>
          <w:pgNumType w:start="1"/>
          <w:cols w:space="720" w:num="1"/>
        </w:sectPr>
      </w:pPr>
    </w:p>
    <w:p>
      <w:pPr>
        <w:pStyle w:val="3"/>
        <w:tabs>
          <w:tab w:val="left" w:pos="1622"/>
        </w:tabs>
        <w:kinsoku w:val="0"/>
        <w:overflowPunct w:val="0"/>
        <w:ind w:right="29"/>
        <w:rPr>
          <w:rFonts w:hAnsi="宋体"/>
          <w:color w:val="auto"/>
          <w:highlight w:val="none"/>
        </w:rPr>
      </w:pPr>
      <w:bookmarkStart w:id="15" w:name="_Toc149147541"/>
      <w:bookmarkStart w:id="16" w:name="_Toc149147696"/>
      <w:r>
        <w:rPr>
          <w:rFonts w:hint="eastAsia" w:hAnsi="宋体"/>
          <w:color w:val="auto"/>
          <w:highlight w:val="none"/>
        </w:rPr>
        <w:t>第二章</w:t>
      </w:r>
      <w:r>
        <w:rPr>
          <w:rFonts w:hAnsi="宋体"/>
          <w:color w:val="auto"/>
          <w:highlight w:val="none"/>
        </w:rPr>
        <w:tab/>
      </w:r>
      <w:r>
        <w:rPr>
          <w:rFonts w:hint="eastAsia" w:hAnsi="宋体"/>
          <w:color w:val="auto"/>
          <w:highlight w:val="none"/>
        </w:rPr>
        <w:t>供应商须知</w:t>
      </w:r>
      <w:bookmarkEnd w:id="15"/>
      <w:bookmarkEnd w:id="16"/>
    </w:p>
    <w:p>
      <w:pPr>
        <w:pStyle w:val="4"/>
        <w:kinsoku w:val="0"/>
        <w:overflowPunct w:val="0"/>
        <w:spacing w:before="240"/>
        <w:ind w:right="30"/>
        <w:rPr>
          <w:rFonts w:hAnsi="宋体"/>
          <w:color w:val="auto"/>
          <w:highlight w:val="none"/>
        </w:rPr>
      </w:pPr>
      <w:bookmarkStart w:id="17" w:name="_Toc149147697"/>
      <w:bookmarkStart w:id="18" w:name="_Toc149147542"/>
      <w:bookmarkStart w:id="19" w:name="_Toc149147475"/>
      <w:r>
        <w:rPr>
          <w:rFonts w:hint="eastAsia" w:hAnsi="宋体"/>
          <w:color w:val="auto"/>
          <w:highlight w:val="none"/>
        </w:rPr>
        <w:t>供应商须知资料表</w:t>
      </w:r>
      <w:bookmarkEnd w:id="17"/>
      <w:bookmarkEnd w:id="18"/>
      <w:bookmarkEnd w:id="19"/>
    </w:p>
    <w:p>
      <w:pPr>
        <w:pStyle w:val="17"/>
        <w:kinsoku w:val="0"/>
        <w:overflowPunct w:val="0"/>
        <w:spacing w:before="9"/>
        <w:rPr>
          <w:rFonts w:hAnsi="宋体"/>
          <w:color w:val="auto"/>
          <w:sz w:val="39"/>
          <w:szCs w:val="39"/>
          <w:highlight w:val="none"/>
        </w:rPr>
      </w:pPr>
    </w:p>
    <w:p>
      <w:pPr>
        <w:pStyle w:val="17"/>
        <w:kinsoku w:val="0"/>
        <w:overflowPunct w:val="0"/>
        <w:spacing w:after="7" w:line="360" w:lineRule="auto"/>
        <w:ind w:left="541" w:right="569" w:firstLine="479"/>
        <w:rPr>
          <w:rFonts w:hAnsi="宋体"/>
          <w:color w:val="auto"/>
          <w:highlight w:val="none"/>
        </w:rPr>
      </w:pPr>
      <w:r>
        <w:rPr>
          <w:rFonts w:hint="eastAsia" w:hAnsi="宋体"/>
          <w:color w:val="auto"/>
          <w:highlight w:val="none"/>
        </w:rPr>
        <w:t>本表是对供应商须知的具体补充和修改，如有矛盾，均以本资料表为准。标记</w:t>
      </w:r>
      <w:r>
        <w:rPr>
          <w:rFonts w:hAnsi="宋体" w:cs="Arial"/>
          <w:color w:val="auto"/>
          <w:w w:val="140"/>
          <w:highlight w:val="none"/>
        </w:rPr>
        <w:t>“</w:t>
      </w:r>
      <w:r>
        <w:rPr>
          <w:rFonts w:hAnsi="宋体"/>
          <w:color w:val="auto"/>
          <w:highlight w:val="none"/>
        </w:rPr>
        <w:t>■</w:t>
      </w:r>
      <w:r>
        <w:rPr>
          <w:rFonts w:hAnsi="宋体" w:cs="Arial"/>
          <w:color w:val="auto"/>
          <w:w w:val="140"/>
          <w:highlight w:val="none"/>
        </w:rPr>
        <w:t xml:space="preserve">” </w:t>
      </w:r>
      <w:r>
        <w:rPr>
          <w:rFonts w:hint="eastAsia" w:hAnsi="宋体"/>
          <w:color w:val="auto"/>
          <w:highlight w:val="none"/>
        </w:rPr>
        <w:t>的选项意为适用于本项目，标记</w:t>
      </w:r>
      <w:r>
        <w:rPr>
          <w:rFonts w:hAnsi="宋体" w:cs="Arial"/>
          <w:color w:val="auto"/>
          <w:w w:val="140"/>
          <w:highlight w:val="none"/>
        </w:rPr>
        <w:t>“</w:t>
      </w:r>
      <w:r>
        <w:rPr>
          <w:rFonts w:hAnsi="宋体"/>
          <w:color w:val="auto"/>
          <w:highlight w:val="none"/>
        </w:rPr>
        <w:t>□</w:t>
      </w:r>
      <w:r>
        <w:rPr>
          <w:rFonts w:hAnsi="宋体" w:cs="Arial"/>
          <w:color w:val="auto"/>
          <w:w w:val="140"/>
          <w:highlight w:val="none"/>
        </w:rPr>
        <w:t>”</w:t>
      </w:r>
      <w:r>
        <w:rPr>
          <w:rFonts w:hint="eastAsia" w:hAnsi="宋体"/>
          <w:color w:val="auto"/>
          <w:highlight w:val="none"/>
        </w:rPr>
        <w:t>的选项意为不适用于本项目。</w:t>
      </w:r>
    </w:p>
    <w:tbl>
      <w:tblPr>
        <w:tblStyle w:val="44"/>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89" w:right="79"/>
              <w:rPr>
                <w:rFonts w:hAnsi="宋体"/>
                <w:color w:val="auto"/>
                <w:highlight w:val="none"/>
              </w:rPr>
            </w:pPr>
            <w:r>
              <w:rPr>
                <w:rFonts w:hint="eastAsia" w:hAnsi="宋体"/>
                <w:color w:val="auto"/>
                <w:highlight w:val="none"/>
              </w:rPr>
              <w:t>条款号</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条目</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89" w:right="79"/>
              <w:rPr>
                <w:rFonts w:hAnsi="宋体"/>
                <w:color w:val="auto"/>
                <w:highlight w:val="none"/>
              </w:rPr>
            </w:pPr>
            <w:r>
              <w:rPr>
                <w:rFonts w:hAnsi="宋体"/>
                <w:color w:val="auto"/>
                <w:highlight w:val="none"/>
              </w:rPr>
              <w:t>2.2</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项目属性</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项目属性：</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服务</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货物</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2.3</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科研仪器设备</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是否属于科研仪器设备采购项目：</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是</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vMerge w:val="restart"/>
          </w:tcPr>
          <w:p>
            <w:pPr>
              <w:pStyle w:val="70"/>
              <w:kinsoku w:val="0"/>
              <w:overflowPunct w:val="0"/>
              <w:spacing w:before="142"/>
              <w:ind w:left="108" w:right="102"/>
              <w:rPr>
                <w:rFonts w:hAnsi="宋体"/>
                <w:color w:val="auto"/>
                <w:highlight w:val="none"/>
              </w:rPr>
            </w:pPr>
          </w:p>
          <w:p>
            <w:pPr>
              <w:pStyle w:val="70"/>
              <w:kinsoku w:val="0"/>
              <w:overflowPunct w:val="0"/>
              <w:spacing w:before="142"/>
              <w:ind w:right="102"/>
              <w:rPr>
                <w:rFonts w:hAnsi="宋体"/>
                <w:color w:val="auto"/>
                <w:highlight w:val="none"/>
              </w:rPr>
            </w:pPr>
          </w:p>
          <w:p>
            <w:pPr>
              <w:pStyle w:val="70"/>
              <w:kinsoku w:val="0"/>
              <w:overflowPunct w:val="0"/>
              <w:spacing w:before="142"/>
              <w:ind w:left="108" w:right="102"/>
              <w:rPr>
                <w:rFonts w:hAnsi="宋体"/>
                <w:color w:val="auto"/>
                <w:highlight w:val="none"/>
              </w:rPr>
            </w:pPr>
            <w:r>
              <w:rPr>
                <w:rFonts w:hAnsi="宋体"/>
                <w:color w:val="auto"/>
                <w:highlight w:val="none"/>
              </w:rPr>
              <w:t>3.1</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现场考察</w:t>
            </w:r>
          </w:p>
        </w:tc>
        <w:tc>
          <w:tcPr>
            <w:tcW w:w="7253" w:type="dxa"/>
          </w:tcPr>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不组织</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组织，考察时间：</w:t>
            </w:r>
            <w:r>
              <w:rPr>
                <w:rFonts w:hAnsi="宋体"/>
                <w:color w:val="auto"/>
                <w:highlight w:val="none"/>
              </w:rPr>
              <w:t>___</w:t>
            </w:r>
            <w:r>
              <w:rPr>
                <w:rFonts w:hint="eastAsia" w:hAnsi="宋体"/>
                <w:color w:val="auto"/>
                <w:highlight w:val="none"/>
              </w:rPr>
              <w:t>年</w:t>
            </w:r>
            <w:r>
              <w:rPr>
                <w:rFonts w:hAnsi="宋体"/>
                <w:color w:val="auto"/>
                <w:highlight w:val="none"/>
              </w:rPr>
              <w:t>___</w:t>
            </w:r>
            <w:r>
              <w:rPr>
                <w:rFonts w:hint="eastAsia" w:hAnsi="宋体"/>
                <w:color w:val="auto"/>
                <w:highlight w:val="none"/>
              </w:rPr>
              <w:t>月</w:t>
            </w:r>
            <w:r>
              <w:rPr>
                <w:rFonts w:hAnsi="宋体"/>
                <w:color w:val="auto"/>
                <w:highlight w:val="none"/>
              </w:rPr>
              <w:t>___</w:t>
            </w:r>
            <w:r>
              <w:rPr>
                <w:rFonts w:hint="eastAsia" w:hAnsi="宋体"/>
                <w:color w:val="auto"/>
                <w:highlight w:val="none"/>
              </w:rPr>
              <w:t>日</w:t>
            </w:r>
            <w:r>
              <w:rPr>
                <w:rFonts w:hAnsi="宋体"/>
                <w:color w:val="auto"/>
                <w:highlight w:val="none"/>
              </w:rPr>
              <w:t>___</w:t>
            </w:r>
            <w:r>
              <w:rPr>
                <w:rFonts w:hint="eastAsia" w:hAnsi="宋体"/>
                <w:color w:val="auto"/>
                <w:highlight w:val="none"/>
              </w:rPr>
              <w:t>点</w:t>
            </w:r>
            <w:r>
              <w:rPr>
                <w:rFonts w:hAnsi="宋体"/>
                <w:color w:val="auto"/>
                <w:highlight w:val="none"/>
              </w:rPr>
              <w:t>___</w:t>
            </w:r>
            <w:r>
              <w:rPr>
                <w:rFonts w:hint="eastAsia" w:hAnsi="宋体"/>
                <w:color w:val="auto"/>
                <w:highlight w:val="none"/>
              </w:rPr>
              <w:t>分</w:t>
            </w:r>
          </w:p>
          <w:p>
            <w:pPr>
              <w:pStyle w:val="70"/>
              <w:kinsoku w:val="0"/>
              <w:overflowPunct w:val="0"/>
              <w:spacing w:before="142"/>
              <w:ind w:left="108" w:right="102"/>
              <w:rPr>
                <w:rFonts w:hAnsi="宋体"/>
                <w:color w:val="auto"/>
                <w:highlight w:val="none"/>
              </w:rPr>
            </w:pPr>
            <w:r>
              <w:rPr>
                <w:rFonts w:hint="eastAsia" w:hAnsi="宋体"/>
                <w:color w:val="auto"/>
                <w:highlight w:val="none"/>
              </w:rPr>
              <w:t>考察地点：</w:t>
            </w:r>
            <w:r>
              <w:rPr>
                <w:rFonts w:hAnsi="宋体"/>
                <w:color w:val="auto"/>
                <w:highlight w:val="none"/>
              </w:rPr>
              <w:t>___________</w:t>
            </w:r>
            <w:r>
              <w:rPr>
                <w:rFonts w:hint="eastAsia"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vMerge w:val="continue"/>
          </w:tcPr>
          <w:p>
            <w:pPr>
              <w:pStyle w:val="70"/>
              <w:kinsoku w:val="0"/>
              <w:overflowPunct w:val="0"/>
              <w:spacing w:before="142"/>
              <w:ind w:left="108" w:right="102"/>
              <w:rPr>
                <w:rFonts w:hAnsi="宋体"/>
                <w:color w:val="auto"/>
                <w:highlight w:val="none"/>
              </w:rPr>
            </w:pP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磋商前答疑会</w:t>
            </w:r>
          </w:p>
        </w:tc>
        <w:tc>
          <w:tcPr>
            <w:tcW w:w="7253" w:type="dxa"/>
          </w:tcPr>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不召开</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召开，召开时间：</w:t>
            </w:r>
            <w:r>
              <w:rPr>
                <w:rFonts w:hAnsi="宋体"/>
                <w:color w:val="auto"/>
                <w:highlight w:val="none"/>
              </w:rPr>
              <w:t>___</w:t>
            </w:r>
            <w:r>
              <w:rPr>
                <w:rFonts w:hint="eastAsia" w:hAnsi="宋体"/>
                <w:color w:val="auto"/>
                <w:highlight w:val="none"/>
              </w:rPr>
              <w:t>年</w:t>
            </w:r>
            <w:r>
              <w:rPr>
                <w:rFonts w:hAnsi="宋体"/>
                <w:color w:val="auto"/>
                <w:highlight w:val="none"/>
              </w:rPr>
              <w:t>___</w:t>
            </w:r>
            <w:r>
              <w:rPr>
                <w:rFonts w:hint="eastAsia" w:hAnsi="宋体"/>
                <w:color w:val="auto"/>
                <w:highlight w:val="none"/>
              </w:rPr>
              <w:t>月</w:t>
            </w:r>
            <w:r>
              <w:rPr>
                <w:rFonts w:hAnsi="宋体"/>
                <w:color w:val="auto"/>
                <w:highlight w:val="none"/>
              </w:rPr>
              <w:t>___</w:t>
            </w:r>
            <w:r>
              <w:rPr>
                <w:rFonts w:hint="eastAsia" w:hAnsi="宋体"/>
                <w:color w:val="auto"/>
                <w:highlight w:val="none"/>
              </w:rPr>
              <w:t>日</w:t>
            </w:r>
            <w:r>
              <w:rPr>
                <w:rFonts w:hAnsi="宋体"/>
                <w:color w:val="auto"/>
                <w:highlight w:val="none"/>
              </w:rPr>
              <w:t>___</w:t>
            </w:r>
            <w:r>
              <w:rPr>
                <w:rFonts w:hint="eastAsia" w:hAnsi="宋体"/>
                <w:color w:val="auto"/>
                <w:highlight w:val="none"/>
              </w:rPr>
              <w:t>点</w:t>
            </w:r>
            <w:r>
              <w:rPr>
                <w:rFonts w:hAnsi="宋体"/>
                <w:color w:val="auto"/>
                <w:highlight w:val="none"/>
              </w:rPr>
              <w:t>___</w:t>
            </w:r>
            <w:r>
              <w:rPr>
                <w:rFonts w:hint="eastAsia" w:hAnsi="宋体"/>
                <w:color w:val="auto"/>
                <w:highlight w:val="none"/>
              </w:rPr>
              <w:t>分</w:t>
            </w:r>
          </w:p>
          <w:p>
            <w:pPr>
              <w:pStyle w:val="70"/>
              <w:kinsoku w:val="0"/>
              <w:overflowPunct w:val="0"/>
              <w:spacing w:before="142"/>
              <w:ind w:left="108" w:right="102"/>
              <w:rPr>
                <w:rFonts w:hAnsi="宋体"/>
                <w:color w:val="auto"/>
                <w:highlight w:val="none"/>
              </w:rPr>
            </w:pPr>
            <w:r>
              <w:rPr>
                <w:rFonts w:hint="eastAsia" w:hAnsi="宋体"/>
                <w:color w:val="auto"/>
                <w:highlight w:val="none"/>
              </w:rPr>
              <w:t>召开地点：</w:t>
            </w:r>
            <w:r>
              <w:rPr>
                <w:rFonts w:hAnsi="宋体"/>
                <w:color w:val="auto"/>
                <w:highlight w:val="none"/>
              </w:rPr>
              <w:t>___________</w:t>
            </w:r>
            <w:r>
              <w:rPr>
                <w:rFonts w:hint="eastAsia"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4.2.5</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标的所属行业</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本项目采购标的对应的中小企业划分标准所属行业：</w:t>
            </w:r>
          </w:p>
          <w:tbl>
            <w:tblPr>
              <w:tblStyle w:val="44"/>
              <w:tblW w:w="7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9"/>
              <w:gridCol w:w="3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09" w:type="dxa"/>
                  <w:tcBorders>
                    <w:top w:val="single" w:color="auto" w:sz="4" w:space="0"/>
                    <w:left w:val="single" w:color="auto" w:sz="4" w:space="0"/>
                    <w:bottom w:val="single" w:color="auto" w:sz="4" w:space="0"/>
                    <w:right w:val="single" w:color="auto" w:sz="4" w:space="0"/>
                  </w:tcBorders>
                  <w:vAlign w:val="center"/>
                </w:tcPr>
                <w:p>
                  <w:pPr>
                    <w:ind w:left="108" w:right="102"/>
                    <w:jc w:val="center"/>
                    <w:rPr>
                      <w:rFonts w:hAnsi="宋体"/>
                      <w:color w:val="auto"/>
                      <w:sz w:val="24"/>
                      <w:szCs w:val="24"/>
                      <w:highlight w:val="none"/>
                    </w:rPr>
                  </w:pPr>
                  <w:r>
                    <w:rPr>
                      <w:rFonts w:hint="eastAsia" w:hAnsi="宋体"/>
                      <w:color w:val="auto"/>
                      <w:sz w:val="24"/>
                      <w:szCs w:val="24"/>
                      <w:highlight w:val="none"/>
                    </w:rPr>
                    <w:t>标的名称</w:t>
                  </w:r>
                </w:p>
              </w:tc>
              <w:tc>
                <w:tcPr>
                  <w:tcW w:w="3624" w:type="dxa"/>
                  <w:tcBorders>
                    <w:top w:val="single" w:color="auto" w:sz="4" w:space="0"/>
                    <w:left w:val="single" w:color="auto" w:sz="4" w:space="0"/>
                    <w:bottom w:val="single" w:color="auto" w:sz="4" w:space="0"/>
                    <w:right w:val="single" w:color="auto" w:sz="4" w:space="0"/>
                  </w:tcBorders>
                  <w:vAlign w:val="center"/>
                </w:tcPr>
                <w:p>
                  <w:pPr>
                    <w:ind w:left="108" w:right="102"/>
                    <w:jc w:val="center"/>
                    <w:rPr>
                      <w:rFonts w:hAnsi="宋体"/>
                      <w:color w:val="auto"/>
                      <w:sz w:val="24"/>
                      <w:szCs w:val="24"/>
                      <w:highlight w:val="none"/>
                    </w:rPr>
                  </w:pPr>
                  <w:r>
                    <w:rPr>
                      <w:rFonts w:hint="eastAsia" w:hAnsi="宋体"/>
                      <w:color w:val="auto"/>
                      <w:sz w:val="24"/>
                      <w:szCs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609" w:type="dxa"/>
                  <w:tcBorders>
                    <w:top w:val="single" w:color="auto" w:sz="4" w:space="0"/>
                    <w:left w:val="single" w:color="auto" w:sz="4" w:space="0"/>
                    <w:bottom w:val="single" w:color="auto" w:sz="4" w:space="0"/>
                    <w:right w:val="single" w:color="auto" w:sz="4" w:space="0"/>
                  </w:tcBorders>
                  <w:vAlign w:val="center"/>
                </w:tcPr>
                <w:p>
                  <w:pPr>
                    <w:ind w:left="108" w:right="102"/>
                    <w:jc w:val="center"/>
                    <w:rPr>
                      <w:rFonts w:hAnsi="宋体"/>
                      <w:color w:val="auto"/>
                      <w:sz w:val="24"/>
                      <w:szCs w:val="24"/>
                      <w:highlight w:val="none"/>
                    </w:rPr>
                  </w:pPr>
                  <w:r>
                    <w:rPr>
                      <w:rFonts w:hint="eastAsia" w:hAnsi="宋体"/>
                      <w:color w:val="auto"/>
                      <w:sz w:val="24"/>
                      <w:szCs w:val="24"/>
                      <w:highlight w:val="none"/>
                    </w:rPr>
                    <w:t>牛栏山镇回迁村生活垃圾分类服务项目</w:t>
                  </w:r>
                </w:p>
              </w:tc>
              <w:tc>
                <w:tcPr>
                  <w:tcW w:w="3624" w:type="dxa"/>
                  <w:tcBorders>
                    <w:top w:val="single" w:color="auto" w:sz="4" w:space="0"/>
                    <w:left w:val="single" w:color="auto" w:sz="4" w:space="0"/>
                    <w:bottom w:val="single" w:color="auto" w:sz="4" w:space="0"/>
                    <w:right w:val="single" w:color="auto" w:sz="4" w:space="0"/>
                  </w:tcBorders>
                  <w:vAlign w:val="center"/>
                </w:tcPr>
                <w:p>
                  <w:pPr>
                    <w:ind w:left="108" w:right="102"/>
                    <w:jc w:val="center"/>
                    <w:rPr>
                      <w:rFonts w:hAnsi="宋体"/>
                      <w:color w:val="auto"/>
                      <w:sz w:val="24"/>
                      <w:szCs w:val="24"/>
                      <w:highlight w:val="none"/>
                    </w:rPr>
                  </w:pPr>
                  <w:r>
                    <w:rPr>
                      <w:rFonts w:hint="eastAsia" w:hAnsi="宋体"/>
                      <w:b/>
                      <w:bCs/>
                      <w:color w:val="auto"/>
                      <w:sz w:val="24"/>
                      <w:szCs w:val="24"/>
                      <w:highlight w:val="none"/>
                    </w:rPr>
                    <w:t>其他未列明行业</w:t>
                  </w:r>
                </w:p>
              </w:tc>
            </w:tr>
          </w:tbl>
          <w:p>
            <w:pPr>
              <w:pStyle w:val="70"/>
              <w:kinsoku w:val="0"/>
              <w:overflowPunct w:val="0"/>
              <w:spacing w:before="142"/>
              <w:ind w:left="108" w:right="102"/>
              <w:rPr>
                <w:rFonts w:hAnsi="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10.2</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报价</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报价的特殊规定：</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无</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有，具体情形：</w:t>
            </w:r>
            <w:r>
              <w:rPr>
                <w:rFonts w:hAnsi="宋体"/>
                <w:color w:val="auto"/>
                <w:highlight w:val="none"/>
              </w:rPr>
              <w:t>___________</w:t>
            </w:r>
            <w:r>
              <w:rPr>
                <w:rFonts w:hint="eastAsia"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11.1</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磋商保证金</w:t>
            </w:r>
          </w:p>
        </w:tc>
        <w:tc>
          <w:tcPr>
            <w:tcW w:w="7253" w:type="dxa"/>
            <w:vAlign w:val="center"/>
          </w:tcPr>
          <w:p>
            <w:pPr>
              <w:rPr>
                <w:rFonts w:hAnsi="宋体"/>
                <w:color w:val="auto"/>
                <w:sz w:val="24"/>
                <w:szCs w:val="24"/>
                <w:highlight w:val="none"/>
              </w:rPr>
            </w:pPr>
            <w:r>
              <w:rPr>
                <w:rFonts w:hint="eastAsia" w:hAnsi="宋体"/>
                <w:color w:val="auto"/>
                <w:sz w:val="24"/>
                <w:szCs w:val="24"/>
                <w:highlight w:val="none"/>
              </w:rPr>
              <w:t>本项目不收取磋商保证金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11.7.5</w:t>
            </w:r>
          </w:p>
        </w:tc>
        <w:tc>
          <w:tcPr>
            <w:tcW w:w="1701" w:type="dxa"/>
          </w:tcPr>
          <w:p>
            <w:pPr>
              <w:pStyle w:val="70"/>
              <w:kinsoku w:val="0"/>
              <w:overflowPunct w:val="0"/>
              <w:spacing w:before="142"/>
              <w:ind w:left="108" w:right="102"/>
              <w:rPr>
                <w:rFonts w:hAnsi="宋体"/>
                <w:color w:val="auto"/>
                <w:highlight w:val="none"/>
              </w:rPr>
            </w:pP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磋商保证金不予退还的其他情形：</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无</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有，具体情形：</w:t>
            </w:r>
            <w:r>
              <w:rPr>
                <w:rFonts w:hAnsi="宋体"/>
                <w:color w:val="auto"/>
                <w:highlight w:val="none"/>
              </w:rPr>
              <w:t>___________</w:t>
            </w:r>
            <w:r>
              <w:rPr>
                <w:rFonts w:hint="eastAsia"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12.1</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响应有效期</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自提交响应文件的截止之日起算</w:t>
            </w:r>
            <w:r>
              <w:rPr>
                <w:rFonts w:hAnsi="宋体"/>
                <w:color w:val="auto"/>
                <w:highlight w:val="none"/>
                <w:u w:val="single"/>
              </w:rPr>
              <w:t>_60_</w:t>
            </w:r>
            <w:r>
              <w:rPr>
                <w:rFonts w:hint="eastAsia" w:hAnsi="宋体"/>
                <w:color w:val="auto"/>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13.1</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文件份数</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正本一份，副本二份，电子文件一份。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17.1</w:t>
            </w:r>
          </w:p>
        </w:tc>
        <w:tc>
          <w:tcPr>
            <w:tcW w:w="1701" w:type="dxa"/>
          </w:tcPr>
          <w:p>
            <w:pPr>
              <w:pStyle w:val="70"/>
              <w:kinsoku w:val="0"/>
              <w:overflowPunct w:val="0"/>
              <w:spacing w:before="142"/>
              <w:ind w:left="108" w:right="102"/>
              <w:rPr>
                <w:rFonts w:hAnsi="宋体"/>
                <w:b/>
                <w:bCs/>
                <w:color w:val="auto"/>
                <w:highlight w:val="none"/>
              </w:rPr>
            </w:pPr>
            <w:r>
              <w:rPr>
                <w:rFonts w:hint="eastAsia" w:hAnsi="宋体"/>
                <w:b/>
                <w:bCs/>
                <w:color w:val="auto"/>
                <w:highlight w:val="none"/>
              </w:rPr>
              <w:t>携带材料</w:t>
            </w:r>
          </w:p>
        </w:tc>
        <w:tc>
          <w:tcPr>
            <w:tcW w:w="7253" w:type="dxa"/>
          </w:tcPr>
          <w:p>
            <w:pPr>
              <w:pStyle w:val="70"/>
              <w:kinsoku w:val="0"/>
              <w:overflowPunct w:val="0"/>
              <w:spacing w:before="142"/>
              <w:ind w:left="108" w:right="102"/>
              <w:rPr>
                <w:rFonts w:hAnsi="宋体"/>
                <w:b/>
                <w:bCs/>
                <w:color w:val="auto"/>
                <w:highlight w:val="none"/>
              </w:rPr>
            </w:pPr>
            <w:r>
              <w:rPr>
                <w:rFonts w:hint="eastAsia" w:hAnsi="宋体"/>
                <w:b/>
                <w:bCs/>
                <w:color w:val="auto"/>
                <w:highlight w:val="none"/>
              </w:rPr>
              <w:t>参加磋商的代表应出示法定代表人身份证明文件、身份证原件及复印件加盖公章（适用于法定代表人参加开标会）或法定代表人授权委托书、经办人身份证原件及复印件加盖公章（适用于授权代表参加开标会），并签到以证明其出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20.1</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成交供应商的确认</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采购人是否授权磋商小组直接确定成交供应商：</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否</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是</w:t>
            </w:r>
          </w:p>
          <w:p>
            <w:pPr>
              <w:pStyle w:val="70"/>
              <w:kinsoku w:val="0"/>
              <w:overflowPunct w:val="0"/>
              <w:spacing w:before="142"/>
              <w:ind w:left="108" w:right="102"/>
              <w:rPr>
                <w:rFonts w:hAnsi="宋体"/>
                <w:color w:val="auto"/>
                <w:highlight w:val="none"/>
              </w:rPr>
            </w:pPr>
            <w:r>
              <w:rPr>
                <w:rFonts w:hint="eastAsia" w:hAnsi="宋体"/>
                <w:color w:val="auto"/>
                <w:highlight w:val="none"/>
              </w:rPr>
              <w:t>成交候选人并列的，按照以下方式确定成交供应商：</w:t>
            </w:r>
            <w:r>
              <w:rPr>
                <w:rFonts w:hAnsi="宋体"/>
                <w:color w:val="auto"/>
                <w:highlight w:val="none"/>
              </w:rPr>
              <w:t>_______</w:t>
            </w:r>
            <w:r>
              <w:rPr>
                <w:rFonts w:hint="eastAsia"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23.5</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分包</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本项目是否允许分包：</w:t>
            </w:r>
            <w:r>
              <w:rPr>
                <w:rFonts w:hAnsi="宋体"/>
                <w:color w:val="auto"/>
                <w:highlight w:val="none"/>
              </w:rPr>
              <w:t xml:space="preserve"> </w:t>
            </w:r>
          </w:p>
          <w:p>
            <w:pPr>
              <w:pStyle w:val="70"/>
              <w:kinsoku w:val="0"/>
              <w:overflowPunct w:val="0"/>
              <w:spacing w:before="142"/>
              <w:ind w:left="108" w:right="102"/>
              <w:rPr>
                <w:rFonts w:hAnsi="宋体"/>
                <w:color w:val="auto"/>
                <w:highlight w:val="none"/>
              </w:rPr>
            </w:pPr>
            <w:r>
              <w:rPr>
                <w:rFonts w:hint="eastAsia" w:hAnsi="宋体"/>
                <w:color w:val="auto"/>
                <w:highlight w:val="none"/>
              </w:rPr>
              <w:t>■不允许</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允许，具体要求：</w:t>
            </w:r>
            <w:r>
              <w:rPr>
                <w:rFonts w:hAnsi="宋体"/>
                <w:color w:val="auto"/>
                <w:highlight w:val="none"/>
              </w:rPr>
              <w:t>_______</w:t>
            </w:r>
            <w:r>
              <w:rPr>
                <w:rFonts w:hint="eastAsia" w:hAnsi="宋体"/>
                <w:color w:val="auto"/>
                <w:highlight w:val="none"/>
              </w:rPr>
              <w:t>。</w:t>
            </w:r>
          </w:p>
          <w:p>
            <w:pPr>
              <w:pStyle w:val="70"/>
              <w:kinsoku w:val="0"/>
              <w:overflowPunct w:val="0"/>
              <w:spacing w:before="142"/>
              <w:ind w:left="108" w:right="102"/>
              <w:rPr>
                <w:rFonts w:hAnsi="宋体"/>
                <w:color w:val="auto"/>
                <w:highlight w:val="none"/>
              </w:rPr>
            </w:pPr>
            <w:r>
              <w:rPr>
                <w:rFonts w:hint="eastAsia" w:hAnsi="宋体"/>
                <w:color w:val="auto"/>
                <w:highlight w:val="none"/>
              </w:rPr>
              <w:t>（</w:t>
            </w:r>
            <w:r>
              <w:rPr>
                <w:rFonts w:hAnsi="宋体"/>
                <w:color w:val="auto"/>
                <w:highlight w:val="none"/>
              </w:rPr>
              <w:t>1</w:t>
            </w:r>
            <w:r>
              <w:rPr>
                <w:rFonts w:hint="eastAsia" w:hAnsi="宋体"/>
                <w:color w:val="auto"/>
                <w:highlight w:val="none"/>
              </w:rPr>
              <w:t>）可以分包履行的具体内容：</w:t>
            </w:r>
            <w:r>
              <w:rPr>
                <w:rFonts w:hAnsi="宋体"/>
                <w:color w:val="auto"/>
                <w:highlight w:val="none"/>
              </w:rPr>
              <w:t>_______</w:t>
            </w:r>
            <w:r>
              <w:rPr>
                <w:rFonts w:hint="eastAsia" w:hAnsi="宋体"/>
                <w:color w:val="auto"/>
                <w:highlight w:val="none"/>
              </w:rPr>
              <w:t>；</w:t>
            </w:r>
          </w:p>
          <w:p>
            <w:pPr>
              <w:pStyle w:val="70"/>
              <w:kinsoku w:val="0"/>
              <w:overflowPunct w:val="0"/>
              <w:spacing w:before="142"/>
              <w:ind w:left="108" w:right="102"/>
              <w:rPr>
                <w:rFonts w:hAnsi="宋体"/>
                <w:color w:val="auto"/>
                <w:highlight w:val="none"/>
              </w:rPr>
            </w:pPr>
            <w:r>
              <w:rPr>
                <w:rFonts w:hint="eastAsia" w:hAnsi="宋体"/>
                <w:color w:val="auto"/>
                <w:highlight w:val="none"/>
              </w:rPr>
              <w:t>（</w:t>
            </w:r>
            <w:r>
              <w:rPr>
                <w:rFonts w:hAnsi="宋体"/>
                <w:color w:val="auto"/>
                <w:highlight w:val="none"/>
              </w:rPr>
              <w:t>2</w:t>
            </w:r>
            <w:r>
              <w:rPr>
                <w:rFonts w:hint="eastAsia" w:hAnsi="宋体"/>
                <w:color w:val="auto"/>
                <w:highlight w:val="none"/>
              </w:rPr>
              <w:t>）允许分包的金额或者比例：</w:t>
            </w:r>
            <w:r>
              <w:rPr>
                <w:rFonts w:hAnsi="宋体"/>
                <w:color w:val="auto"/>
                <w:highlight w:val="none"/>
              </w:rPr>
              <w:t>_______</w:t>
            </w:r>
            <w:r>
              <w:rPr>
                <w:rFonts w:hint="eastAsia" w:hAnsi="宋体"/>
                <w:color w:val="auto"/>
                <w:highlight w:val="none"/>
              </w:rPr>
              <w:t>；</w:t>
            </w:r>
          </w:p>
          <w:p>
            <w:pPr>
              <w:pStyle w:val="70"/>
              <w:kinsoku w:val="0"/>
              <w:overflowPunct w:val="0"/>
              <w:spacing w:before="142"/>
              <w:ind w:left="108" w:right="102"/>
              <w:rPr>
                <w:rFonts w:hAnsi="宋体"/>
                <w:color w:val="auto"/>
                <w:highlight w:val="none"/>
              </w:rPr>
            </w:pPr>
            <w:r>
              <w:rPr>
                <w:rFonts w:hint="eastAsia" w:hAnsi="宋体"/>
                <w:color w:val="auto"/>
                <w:highlight w:val="none"/>
              </w:rPr>
              <w:t>（</w:t>
            </w:r>
            <w:r>
              <w:rPr>
                <w:rFonts w:hAnsi="宋体"/>
                <w:color w:val="auto"/>
                <w:highlight w:val="none"/>
              </w:rPr>
              <w:t>3</w:t>
            </w:r>
            <w:r>
              <w:rPr>
                <w:rFonts w:hint="eastAsia" w:hAnsi="宋体"/>
                <w:color w:val="auto"/>
                <w:highlight w:val="none"/>
              </w:rPr>
              <w:t>）其他要求：</w:t>
            </w:r>
            <w:r>
              <w:rPr>
                <w:rFonts w:hAnsi="宋体"/>
                <w:color w:val="auto"/>
                <w:highlight w:val="none"/>
              </w:rPr>
              <w:t>_______</w:t>
            </w:r>
            <w:r>
              <w:rPr>
                <w:rFonts w:hint="eastAsia" w:hAnsi="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24.1.1</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询问</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询问送达形式：加盖公章的纸质文件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24.3</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联系方式</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接收询问和质疑的联系方式</w:t>
            </w:r>
          </w:p>
          <w:p>
            <w:pPr>
              <w:pStyle w:val="70"/>
              <w:kinsoku w:val="0"/>
              <w:overflowPunct w:val="0"/>
              <w:spacing w:before="142"/>
              <w:ind w:left="108" w:right="102"/>
              <w:rPr>
                <w:rFonts w:hAnsi="宋体"/>
                <w:color w:val="auto"/>
                <w:highlight w:val="none"/>
              </w:rPr>
            </w:pPr>
            <w:r>
              <w:rPr>
                <w:rFonts w:hint="eastAsia" w:hAnsi="宋体"/>
                <w:color w:val="auto"/>
                <w:highlight w:val="none"/>
              </w:rPr>
              <w:t>联系部门：北京北咨招标有限公司；</w:t>
            </w:r>
          </w:p>
          <w:p>
            <w:pPr>
              <w:pStyle w:val="70"/>
              <w:kinsoku w:val="0"/>
              <w:overflowPunct w:val="0"/>
              <w:spacing w:before="142"/>
              <w:ind w:left="108" w:right="102"/>
              <w:rPr>
                <w:rFonts w:hAnsi="宋体"/>
                <w:color w:val="auto"/>
                <w:highlight w:val="none"/>
              </w:rPr>
            </w:pPr>
            <w:r>
              <w:rPr>
                <w:rFonts w:hint="eastAsia" w:hAnsi="宋体"/>
                <w:color w:val="auto"/>
                <w:highlight w:val="none"/>
              </w:rPr>
              <w:t>联系电话：</w:t>
            </w:r>
            <w:r>
              <w:rPr>
                <w:rFonts w:hint="eastAsia"/>
                <w:color w:val="auto"/>
                <w:highlight w:val="none"/>
              </w:rPr>
              <w:t>1861404040</w:t>
            </w:r>
            <w:r>
              <w:rPr>
                <w:rFonts w:hint="eastAsia" w:hAnsi="宋体"/>
                <w:color w:val="auto"/>
                <w:highlight w:val="none"/>
              </w:rPr>
              <w:t>；</w:t>
            </w:r>
          </w:p>
          <w:p>
            <w:pPr>
              <w:pStyle w:val="70"/>
              <w:kinsoku w:val="0"/>
              <w:overflowPunct w:val="0"/>
              <w:spacing w:before="142"/>
              <w:ind w:left="108" w:right="102"/>
              <w:rPr>
                <w:rFonts w:hAnsi="宋体"/>
                <w:color w:val="auto"/>
                <w:highlight w:val="none"/>
              </w:rPr>
            </w:pPr>
            <w:r>
              <w:rPr>
                <w:rFonts w:hint="eastAsia" w:hAnsi="宋体"/>
                <w:color w:val="auto"/>
                <w:highlight w:val="none"/>
              </w:rPr>
              <w:t>通讯地址：北京市朝阳区华腾世纪总部公园</w:t>
            </w:r>
            <w:r>
              <w:rPr>
                <w:rFonts w:hAnsi="宋体"/>
                <w:color w:val="auto"/>
                <w:highlight w:val="none"/>
              </w:rPr>
              <w:t>F</w:t>
            </w:r>
            <w:r>
              <w:rPr>
                <w:rFonts w:hint="eastAsia" w:hAnsi="宋体"/>
                <w:color w:val="auto"/>
                <w:highlight w:val="none"/>
              </w:rPr>
              <w:t>座</w:t>
            </w:r>
            <w:r>
              <w:rPr>
                <w:rFonts w:hAnsi="宋体"/>
                <w:color w:val="auto"/>
                <w:highlight w:val="none"/>
              </w:rPr>
              <w:t>11</w:t>
            </w:r>
            <w:r>
              <w:rPr>
                <w:rFonts w:hint="eastAsia" w:hAnsi="宋体"/>
                <w:color w:val="auto"/>
                <w:highlight w:val="none"/>
              </w:rPr>
              <w:t>层</w:t>
            </w:r>
            <w:r>
              <w:rPr>
                <w:rFonts w:hAnsi="宋体"/>
                <w:color w:val="auto"/>
                <w:highlight w:val="none"/>
              </w:rPr>
              <w:t>1107</w:t>
            </w:r>
            <w:r>
              <w:rPr>
                <w:rFonts w:hint="eastAsia" w:hAnsi="宋体"/>
                <w:color w:val="auto"/>
                <w:highlight w:val="none"/>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3" w:hRule="atLeast"/>
        </w:trPr>
        <w:tc>
          <w:tcPr>
            <w:tcW w:w="988" w:type="dxa"/>
          </w:tcPr>
          <w:p>
            <w:pPr>
              <w:pStyle w:val="70"/>
              <w:kinsoku w:val="0"/>
              <w:overflowPunct w:val="0"/>
              <w:spacing w:before="142"/>
              <w:ind w:left="108" w:right="102"/>
              <w:rPr>
                <w:rFonts w:hAnsi="宋体"/>
                <w:color w:val="auto"/>
                <w:highlight w:val="none"/>
              </w:rPr>
            </w:pPr>
            <w:r>
              <w:rPr>
                <w:rFonts w:hAnsi="宋体"/>
                <w:color w:val="auto"/>
                <w:highlight w:val="none"/>
              </w:rPr>
              <w:t>25</w:t>
            </w:r>
          </w:p>
        </w:tc>
        <w:tc>
          <w:tcPr>
            <w:tcW w:w="1701" w:type="dxa"/>
          </w:tcPr>
          <w:p>
            <w:pPr>
              <w:pStyle w:val="70"/>
              <w:kinsoku w:val="0"/>
              <w:overflowPunct w:val="0"/>
              <w:spacing w:before="142"/>
              <w:ind w:left="108" w:right="102"/>
              <w:rPr>
                <w:rFonts w:hAnsi="宋体"/>
                <w:color w:val="auto"/>
                <w:highlight w:val="none"/>
              </w:rPr>
            </w:pPr>
            <w:r>
              <w:rPr>
                <w:rFonts w:hint="eastAsia" w:hAnsi="宋体"/>
                <w:color w:val="auto"/>
                <w:highlight w:val="none"/>
              </w:rPr>
              <w:t>代理费</w:t>
            </w:r>
          </w:p>
        </w:tc>
        <w:tc>
          <w:tcPr>
            <w:tcW w:w="7253" w:type="dxa"/>
          </w:tcPr>
          <w:p>
            <w:pPr>
              <w:pStyle w:val="70"/>
              <w:kinsoku w:val="0"/>
              <w:overflowPunct w:val="0"/>
              <w:spacing w:before="142"/>
              <w:ind w:left="108" w:right="102"/>
              <w:rPr>
                <w:rFonts w:hAnsi="宋体"/>
                <w:color w:val="auto"/>
                <w:highlight w:val="none"/>
              </w:rPr>
            </w:pPr>
            <w:r>
              <w:rPr>
                <w:rFonts w:hint="eastAsia" w:hAnsi="宋体"/>
                <w:color w:val="auto"/>
                <w:highlight w:val="none"/>
              </w:rPr>
              <w:t>收费对象：</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采购人</w:t>
            </w:r>
          </w:p>
          <w:p>
            <w:pPr>
              <w:pStyle w:val="70"/>
              <w:kinsoku w:val="0"/>
              <w:overflowPunct w:val="0"/>
              <w:spacing w:before="142"/>
              <w:ind w:left="108" w:right="102"/>
              <w:rPr>
                <w:rFonts w:hAnsi="宋体"/>
                <w:color w:val="auto"/>
                <w:highlight w:val="none"/>
              </w:rPr>
            </w:pPr>
            <w:r>
              <w:rPr>
                <w:rFonts w:hAnsi="宋体"/>
                <w:color w:val="auto"/>
                <w:highlight w:val="none"/>
              </w:rPr>
              <w:t>■</w:t>
            </w:r>
            <w:r>
              <w:rPr>
                <w:rFonts w:hint="eastAsia" w:hAnsi="宋体"/>
                <w:color w:val="auto"/>
                <w:highlight w:val="none"/>
              </w:rPr>
              <w:t>成交供应商</w:t>
            </w:r>
          </w:p>
          <w:p>
            <w:pPr>
              <w:rPr>
                <w:rFonts w:hint="eastAsia"/>
                <w:color w:val="auto"/>
                <w:sz w:val="24"/>
                <w:highlight w:val="none"/>
              </w:rPr>
            </w:pPr>
            <w:r>
              <w:rPr>
                <w:rFonts w:hint="eastAsia"/>
                <w:color w:val="auto"/>
                <w:sz w:val="24"/>
                <w:highlight w:val="none"/>
              </w:rPr>
              <w:t>代理费：包括清单、控制价编制费和招标代理服务费。</w:t>
            </w:r>
          </w:p>
          <w:p>
            <w:pPr>
              <w:rPr>
                <w:rFonts w:hint="eastAsia"/>
                <w:color w:val="auto"/>
                <w:sz w:val="24"/>
                <w:highlight w:val="none"/>
              </w:rPr>
            </w:pPr>
            <w:r>
              <w:rPr>
                <w:rFonts w:hint="eastAsia"/>
                <w:color w:val="auto"/>
                <w:sz w:val="24"/>
                <w:highlight w:val="none"/>
              </w:rPr>
              <w:t>收费标准：招标代理服务费参考国家计委《招标代理服务收费管理暂行办法》（计价格〔2002〕1980 号）及国家改革改革委办公厅《关于招标代理服务收费有关问题的通知》（发改办价格〔2003〕857 号）规定的招标代理服务收费标准，以成交总价为基数按差额定率累进法计算招标代理服务费，收费标准下浮25%；清单、控制价编制费按“京价协[2015]011号《关于调整“北京市建设工程造价咨询服务参考费用及费用指数”后的解释和自律管理》中相关对应的服务内容收费，基本收费按收费标准下浮25%计算，效益收费按审减额的 7.5%计算。</w:t>
            </w:r>
          </w:p>
          <w:p>
            <w:pPr>
              <w:pStyle w:val="70"/>
              <w:kinsoku w:val="0"/>
              <w:overflowPunct w:val="0"/>
              <w:spacing w:before="142"/>
              <w:ind w:right="102"/>
              <w:rPr>
                <w:rFonts w:hAnsi="宋体"/>
                <w:color w:val="auto"/>
                <w:highlight w:val="none"/>
              </w:rPr>
            </w:pPr>
            <w:r>
              <w:rPr>
                <w:rFonts w:hint="eastAsia"/>
                <w:color w:val="auto"/>
                <w:highlight w:val="none"/>
              </w:rPr>
              <w:t>缴纳时间：成交供应商在领取成交通知书时一次性支付给采购代理机构，支付形式为支票或电汇。</w:t>
            </w:r>
          </w:p>
        </w:tc>
      </w:tr>
    </w:tbl>
    <w:p>
      <w:pPr>
        <w:rPr>
          <w:rFonts w:hAnsi="宋体"/>
          <w:color w:val="auto"/>
          <w:sz w:val="5"/>
          <w:szCs w:val="5"/>
          <w:highlight w:val="none"/>
        </w:rPr>
        <w:sectPr>
          <w:pgSz w:w="11910" w:h="16840"/>
          <w:pgMar w:top="1340" w:right="560" w:bottom="1080" w:left="1160" w:header="879" w:footer="879" w:gutter="0"/>
          <w:cols w:space="720" w:num="1"/>
        </w:sectPr>
      </w:pPr>
    </w:p>
    <w:p>
      <w:pPr>
        <w:pStyle w:val="17"/>
        <w:kinsoku w:val="0"/>
        <w:overflowPunct w:val="0"/>
        <w:spacing w:before="8"/>
        <w:rPr>
          <w:rFonts w:hAnsi="宋体"/>
          <w:color w:val="auto"/>
          <w:sz w:val="19"/>
          <w:szCs w:val="19"/>
          <w:highlight w:val="none"/>
        </w:rPr>
      </w:pPr>
    </w:p>
    <w:p>
      <w:pPr>
        <w:pStyle w:val="4"/>
        <w:tabs>
          <w:tab w:val="left" w:pos="5062"/>
          <w:tab w:val="left" w:pos="5624"/>
        </w:tabs>
        <w:kinsoku w:val="0"/>
        <w:overflowPunct w:val="0"/>
        <w:spacing w:line="405" w:lineRule="auto"/>
        <w:ind w:left="4362" w:right="4279" w:hanging="115"/>
        <w:rPr>
          <w:rFonts w:hAnsi="宋体"/>
          <w:color w:val="auto"/>
          <w:spacing w:val="-18"/>
          <w:highlight w:val="none"/>
        </w:rPr>
      </w:pPr>
      <w:bookmarkStart w:id="20" w:name="_Toc149147543"/>
      <w:bookmarkStart w:id="21" w:name="_Toc149147698"/>
      <w:bookmarkStart w:id="22" w:name="_Toc149147476"/>
      <w:r>
        <w:rPr>
          <w:rFonts w:hint="eastAsia" w:hAnsi="宋体"/>
          <w:color w:val="auto"/>
          <w:highlight w:val="none"/>
        </w:rPr>
        <w:t>供应商须知一</w:t>
      </w:r>
      <w:r>
        <w:rPr>
          <w:rFonts w:hAnsi="宋体"/>
          <w:color w:val="auto"/>
          <w:highlight w:val="none"/>
        </w:rPr>
        <w:tab/>
      </w:r>
      <w:r>
        <w:rPr>
          <w:rFonts w:hint="eastAsia" w:hAnsi="宋体"/>
          <w:color w:val="auto"/>
          <w:highlight w:val="none"/>
        </w:rPr>
        <w:t>说</w:t>
      </w:r>
      <w:r>
        <w:rPr>
          <w:rFonts w:hAnsi="宋体"/>
          <w:color w:val="auto"/>
          <w:highlight w:val="none"/>
        </w:rPr>
        <w:tab/>
      </w:r>
      <w:r>
        <w:rPr>
          <w:rFonts w:hint="eastAsia" w:hAnsi="宋体"/>
          <w:color w:val="auto"/>
          <w:spacing w:val="-18"/>
          <w:highlight w:val="none"/>
        </w:rPr>
        <w:t>明</w:t>
      </w:r>
      <w:bookmarkEnd w:id="20"/>
      <w:bookmarkEnd w:id="21"/>
      <w:bookmarkEnd w:id="22"/>
    </w:p>
    <w:p>
      <w:pPr>
        <w:pStyle w:val="69"/>
        <w:numPr>
          <w:ilvl w:val="0"/>
          <w:numId w:val="9"/>
        </w:numPr>
        <w:tabs>
          <w:tab w:val="left" w:pos="897"/>
        </w:tabs>
        <w:kinsoku w:val="0"/>
        <w:overflowPunct w:val="0"/>
        <w:spacing w:line="241" w:lineRule="exact"/>
        <w:jc w:val="both"/>
        <w:rPr>
          <w:rFonts w:hAnsi="宋体"/>
          <w:color w:val="auto"/>
          <w:highlight w:val="none"/>
        </w:rPr>
      </w:pPr>
      <w:r>
        <w:rPr>
          <w:rFonts w:hint="eastAsia" w:hAnsi="宋体"/>
          <w:color w:val="auto"/>
          <w:highlight w:val="none"/>
        </w:rPr>
        <w:t>采购人、采购代理机构、供应商、联合体</w:t>
      </w:r>
    </w:p>
    <w:p>
      <w:pPr>
        <w:pStyle w:val="69"/>
        <w:numPr>
          <w:ilvl w:val="1"/>
          <w:numId w:val="9"/>
        </w:numPr>
        <w:tabs>
          <w:tab w:val="left" w:pos="1622"/>
        </w:tabs>
        <w:kinsoku w:val="0"/>
        <w:overflowPunct w:val="0"/>
        <w:spacing w:before="160" w:line="364" w:lineRule="auto"/>
        <w:ind w:right="570"/>
        <w:jc w:val="both"/>
        <w:rPr>
          <w:rFonts w:hAnsi="宋体"/>
          <w:color w:val="auto"/>
          <w:spacing w:val="-24"/>
          <w:highlight w:val="none"/>
        </w:rPr>
      </w:pPr>
      <w:r>
        <w:rPr>
          <w:rFonts w:hint="eastAsia" w:hAnsi="宋体"/>
          <w:color w:val="auto"/>
          <w:highlight w:val="none"/>
        </w:rPr>
        <w:t>采购人、采购代理机构：指依法进行政府采购的国家机关、事业单位、团体</w:t>
      </w:r>
      <w:r>
        <w:rPr>
          <w:rFonts w:hint="eastAsia" w:hAnsi="宋体"/>
          <w:color w:val="auto"/>
          <w:spacing w:val="-14"/>
          <w:highlight w:val="none"/>
        </w:rPr>
        <w:t>组织，及其委托的采购代理机构。本项目采购人、采购代理机构见第一章《采</w:t>
      </w:r>
      <w:r>
        <w:rPr>
          <w:rFonts w:hint="eastAsia" w:hAnsi="宋体"/>
          <w:color w:val="auto"/>
          <w:spacing w:val="-24"/>
          <w:highlight w:val="none"/>
        </w:rPr>
        <w:t>购邀请》。</w:t>
      </w:r>
    </w:p>
    <w:p>
      <w:pPr>
        <w:pStyle w:val="69"/>
        <w:numPr>
          <w:ilvl w:val="1"/>
          <w:numId w:val="9"/>
        </w:numPr>
        <w:tabs>
          <w:tab w:val="left" w:pos="1622"/>
        </w:tabs>
        <w:kinsoku w:val="0"/>
        <w:overflowPunct w:val="0"/>
        <w:spacing w:line="364" w:lineRule="auto"/>
        <w:ind w:right="568"/>
        <w:jc w:val="both"/>
        <w:rPr>
          <w:rFonts w:hAnsi="宋体"/>
          <w:color w:val="auto"/>
          <w:spacing w:val="-6"/>
          <w:w w:val="105"/>
          <w:highlight w:val="none"/>
        </w:rPr>
      </w:pPr>
      <w:r>
        <w:rPr>
          <w:rFonts w:hint="eastAsia" w:hAnsi="宋体"/>
          <w:color w:val="auto"/>
          <w:spacing w:val="-5"/>
          <w:highlight w:val="none"/>
        </w:rPr>
        <w:t>供应商</w:t>
      </w:r>
      <w:r>
        <w:rPr>
          <w:rFonts w:hint="eastAsia" w:hAnsi="宋体"/>
          <w:color w:val="auto"/>
          <w:highlight w:val="none"/>
        </w:rPr>
        <w:t>（</w:t>
      </w:r>
      <w:r>
        <w:rPr>
          <w:rFonts w:hint="eastAsia" w:hAnsi="宋体"/>
          <w:color w:val="auto"/>
          <w:spacing w:val="-1"/>
          <w:highlight w:val="none"/>
        </w:rPr>
        <w:t>也称</w:t>
      </w:r>
      <w:r>
        <w:rPr>
          <w:rFonts w:hAnsi="宋体" w:cs="Arial"/>
          <w:color w:val="auto"/>
          <w:w w:val="155"/>
          <w:highlight w:val="none"/>
        </w:rPr>
        <w:t>“</w:t>
      </w:r>
      <w:r>
        <w:rPr>
          <w:rFonts w:hint="eastAsia" w:hAnsi="宋体"/>
          <w:color w:val="auto"/>
          <w:spacing w:val="-1"/>
          <w:highlight w:val="none"/>
        </w:rPr>
        <w:t>申请人</w:t>
      </w:r>
      <w:r>
        <w:rPr>
          <w:rFonts w:hAnsi="宋体" w:cs="Arial"/>
          <w:color w:val="auto"/>
          <w:w w:val="155"/>
          <w:highlight w:val="none"/>
        </w:rPr>
        <w:t>”</w:t>
      </w:r>
      <w:r>
        <w:rPr>
          <w:rFonts w:hint="eastAsia" w:hAnsi="宋体"/>
          <w:color w:val="auto"/>
          <w:spacing w:val="-120"/>
          <w:highlight w:val="none"/>
        </w:rPr>
        <w:t>）</w:t>
      </w:r>
      <w:r>
        <w:rPr>
          <w:rFonts w:hint="eastAsia" w:hAnsi="宋体"/>
          <w:color w:val="auto"/>
          <w:spacing w:val="-6"/>
          <w:highlight w:val="none"/>
        </w:rPr>
        <w:t>：指向采购人提供货物、工程或者服务的法人、其他组织或者自然人</w:t>
      </w:r>
      <w:r>
        <w:rPr>
          <w:rFonts w:hint="eastAsia" w:hAnsi="宋体"/>
          <w:color w:val="auto"/>
          <w:spacing w:val="-6"/>
          <w:w w:val="105"/>
          <w:highlight w:val="none"/>
        </w:rPr>
        <w:t>。</w:t>
      </w:r>
    </w:p>
    <w:p>
      <w:pPr>
        <w:pStyle w:val="69"/>
        <w:numPr>
          <w:ilvl w:val="1"/>
          <w:numId w:val="9"/>
        </w:numPr>
        <w:tabs>
          <w:tab w:val="left" w:pos="1622"/>
        </w:tabs>
        <w:kinsoku w:val="0"/>
        <w:overflowPunct w:val="0"/>
        <w:spacing w:line="362" w:lineRule="auto"/>
        <w:ind w:right="571"/>
        <w:jc w:val="both"/>
        <w:rPr>
          <w:rFonts w:hAnsi="宋体"/>
          <w:color w:val="auto"/>
          <w:highlight w:val="none"/>
        </w:rPr>
      </w:pPr>
      <w:r>
        <w:rPr>
          <w:rFonts w:hint="eastAsia" w:hAnsi="宋体"/>
          <w:color w:val="auto"/>
          <w:highlight w:val="none"/>
        </w:rPr>
        <w:t>联合体：指两个以上的自然人、法人或者其他组织组成一个联合体，以一个供应商的身份共同参加政府采购。</w:t>
      </w:r>
    </w:p>
    <w:p>
      <w:pPr>
        <w:pStyle w:val="69"/>
        <w:numPr>
          <w:ilvl w:val="0"/>
          <w:numId w:val="9"/>
        </w:numPr>
        <w:tabs>
          <w:tab w:val="left" w:pos="897"/>
        </w:tabs>
        <w:kinsoku w:val="0"/>
        <w:overflowPunct w:val="0"/>
        <w:spacing w:before="1"/>
        <w:jc w:val="both"/>
        <w:rPr>
          <w:rFonts w:hAnsi="宋体"/>
          <w:color w:val="auto"/>
          <w:highlight w:val="none"/>
        </w:rPr>
      </w:pPr>
      <w:r>
        <w:rPr>
          <w:rFonts w:hint="eastAsia" w:hAnsi="宋体"/>
          <w:color w:val="auto"/>
          <w:highlight w:val="none"/>
        </w:rPr>
        <w:t>资金来源、项目属性、科研仪器设备采购</w:t>
      </w:r>
    </w:p>
    <w:p>
      <w:pPr>
        <w:pStyle w:val="69"/>
        <w:numPr>
          <w:ilvl w:val="1"/>
          <w:numId w:val="9"/>
        </w:numPr>
        <w:tabs>
          <w:tab w:val="left" w:pos="1622"/>
        </w:tabs>
        <w:kinsoku w:val="0"/>
        <w:overflowPunct w:val="0"/>
        <w:spacing w:before="161" w:line="364" w:lineRule="auto"/>
        <w:ind w:right="573"/>
        <w:jc w:val="both"/>
        <w:rPr>
          <w:rFonts w:hAnsi="宋体"/>
          <w:color w:val="auto"/>
          <w:spacing w:val="6"/>
          <w:highlight w:val="none"/>
        </w:rPr>
      </w:pPr>
      <w:r>
        <w:rPr>
          <w:rFonts w:hint="eastAsia" w:hAnsi="宋体"/>
          <w:color w:val="auto"/>
          <w:spacing w:val="7"/>
          <w:highlight w:val="none"/>
        </w:rPr>
        <w:t>资金来源为财政性资金和</w:t>
      </w:r>
      <w:r>
        <w:rPr>
          <w:rFonts w:hAnsi="宋体" w:cs="Arial"/>
          <w:color w:val="auto"/>
          <w:spacing w:val="5"/>
          <w:highlight w:val="none"/>
        </w:rPr>
        <w:t>/</w:t>
      </w:r>
      <w:r>
        <w:rPr>
          <w:rFonts w:hint="eastAsia" w:hAnsi="宋体"/>
          <w:color w:val="auto"/>
          <w:spacing w:val="6"/>
          <w:highlight w:val="none"/>
        </w:rPr>
        <w:t>或本项目采购中无法与财政性资金分割的非财政性资金。</w:t>
      </w:r>
    </w:p>
    <w:p>
      <w:pPr>
        <w:pStyle w:val="69"/>
        <w:numPr>
          <w:ilvl w:val="1"/>
          <w:numId w:val="9"/>
        </w:numPr>
        <w:tabs>
          <w:tab w:val="left" w:pos="1622"/>
        </w:tabs>
        <w:kinsoku w:val="0"/>
        <w:overflowPunct w:val="0"/>
        <w:spacing w:line="306" w:lineRule="exact"/>
        <w:ind w:hanging="721"/>
        <w:jc w:val="both"/>
        <w:rPr>
          <w:rFonts w:hAnsi="宋体"/>
          <w:color w:val="auto"/>
          <w:spacing w:val="-8"/>
          <w:highlight w:val="none"/>
        </w:rPr>
      </w:pPr>
      <w:r>
        <w:rPr>
          <w:rFonts w:hint="eastAsia" w:hAnsi="宋体"/>
          <w:color w:val="auto"/>
          <w:spacing w:val="-8"/>
          <w:highlight w:val="none"/>
        </w:rPr>
        <w:t>项目属性见《供应商须知资料表》。</w:t>
      </w:r>
    </w:p>
    <w:p>
      <w:pPr>
        <w:pStyle w:val="69"/>
        <w:numPr>
          <w:ilvl w:val="1"/>
          <w:numId w:val="9"/>
        </w:numPr>
        <w:tabs>
          <w:tab w:val="left" w:pos="1622"/>
        </w:tabs>
        <w:kinsoku w:val="0"/>
        <w:overflowPunct w:val="0"/>
        <w:spacing w:before="160"/>
        <w:ind w:hanging="721"/>
        <w:rPr>
          <w:rFonts w:hAnsi="宋体"/>
          <w:color w:val="auto"/>
          <w:spacing w:val="-6"/>
          <w:highlight w:val="none"/>
        </w:rPr>
      </w:pPr>
      <w:r>
        <w:rPr>
          <w:rFonts w:hint="eastAsia" w:hAnsi="宋体"/>
          <w:color w:val="auto"/>
          <w:spacing w:val="-6"/>
          <w:highlight w:val="none"/>
        </w:rPr>
        <w:t>是否属于科研仪器设备采购见《供应商须知资料表》。</w:t>
      </w:r>
    </w:p>
    <w:p>
      <w:pPr>
        <w:pStyle w:val="69"/>
        <w:numPr>
          <w:ilvl w:val="0"/>
          <w:numId w:val="9"/>
        </w:numPr>
        <w:tabs>
          <w:tab w:val="left" w:pos="897"/>
        </w:tabs>
        <w:kinsoku w:val="0"/>
        <w:overflowPunct w:val="0"/>
        <w:spacing w:before="158"/>
        <w:jc w:val="both"/>
        <w:rPr>
          <w:rFonts w:hAnsi="宋体"/>
          <w:color w:val="auto"/>
          <w:highlight w:val="none"/>
        </w:rPr>
      </w:pPr>
      <w:r>
        <w:rPr>
          <w:rFonts w:hint="eastAsia" w:hAnsi="宋体"/>
          <w:color w:val="auto"/>
          <w:highlight w:val="none"/>
        </w:rPr>
        <w:t>现场考察、磋商前答疑会</w:t>
      </w:r>
    </w:p>
    <w:p>
      <w:pPr>
        <w:pStyle w:val="69"/>
        <w:numPr>
          <w:ilvl w:val="1"/>
          <w:numId w:val="9"/>
        </w:numPr>
        <w:tabs>
          <w:tab w:val="left" w:pos="1622"/>
        </w:tabs>
        <w:kinsoku w:val="0"/>
        <w:overflowPunct w:val="0"/>
        <w:spacing w:before="161" w:line="362" w:lineRule="auto"/>
        <w:ind w:right="571"/>
        <w:jc w:val="both"/>
        <w:rPr>
          <w:rFonts w:hAnsi="宋体"/>
          <w:color w:val="auto"/>
          <w:highlight w:val="none"/>
        </w:rPr>
      </w:pPr>
      <w:r>
        <w:rPr>
          <w:rFonts w:hint="eastAsia" w:hAnsi="宋体"/>
          <w:color w:val="auto"/>
          <w:highlight w:val="none"/>
        </w:rPr>
        <w:t>若《供应商须知资料表》中规定了组织现场考察、召开磋商前答疑会，则供应商应按要求在规定的时间和地点参加。</w:t>
      </w:r>
    </w:p>
    <w:p>
      <w:pPr>
        <w:pStyle w:val="69"/>
        <w:numPr>
          <w:ilvl w:val="1"/>
          <w:numId w:val="9"/>
        </w:numPr>
        <w:tabs>
          <w:tab w:val="left" w:pos="1622"/>
        </w:tabs>
        <w:kinsoku w:val="0"/>
        <w:overflowPunct w:val="0"/>
        <w:spacing w:before="5" w:line="364" w:lineRule="auto"/>
        <w:ind w:right="571"/>
        <w:jc w:val="both"/>
        <w:rPr>
          <w:rFonts w:hAnsi="宋体"/>
          <w:color w:val="auto"/>
          <w:highlight w:val="none"/>
        </w:rPr>
      </w:pPr>
      <w:r>
        <w:rPr>
          <w:rFonts w:hint="eastAsia" w:hAnsi="宋体"/>
          <w:color w:val="auto"/>
          <w:highlight w:val="none"/>
        </w:rPr>
        <w:t>由于未参加现场考察或磋商前答疑会而导致对项目实际情况不了解，影响响应文件编制、报价准确性、综合因素响应不全面等问题的，由供应商自行承担不利评审后果。</w:t>
      </w:r>
    </w:p>
    <w:p>
      <w:pPr>
        <w:pStyle w:val="69"/>
        <w:numPr>
          <w:ilvl w:val="0"/>
          <w:numId w:val="9"/>
        </w:numPr>
        <w:tabs>
          <w:tab w:val="left" w:pos="897"/>
        </w:tabs>
        <w:kinsoku w:val="0"/>
        <w:overflowPunct w:val="0"/>
        <w:spacing w:line="304" w:lineRule="exact"/>
        <w:jc w:val="both"/>
        <w:rPr>
          <w:rFonts w:hAnsi="宋体"/>
          <w:color w:val="auto"/>
          <w:highlight w:val="none"/>
        </w:rPr>
      </w:pPr>
      <w:r>
        <w:rPr>
          <w:rFonts w:hint="eastAsia" w:hAnsi="宋体"/>
          <w:color w:val="auto"/>
          <w:highlight w:val="none"/>
        </w:rPr>
        <w:t>政府采购政策（包括但不限于下列具体政策要求）</w:t>
      </w:r>
    </w:p>
    <w:p>
      <w:pPr>
        <w:pStyle w:val="69"/>
        <w:numPr>
          <w:ilvl w:val="1"/>
          <w:numId w:val="9"/>
        </w:numPr>
        <w:tabs>
          <w:tab w:val="left" w:pos="1622"/>
        </w:tabs>
        <w:kinsoku w:val="0"/>
        <w:overflowPunct w:val="0"/>
        <w:spacing w:before="160"/>
        <w:ind w:hanging="721"/>
        <w:rPr>
          <w:rFonts w:hAnsi="宋体"/>
          <w:color w:val="auto"/>
          <w:highlight w:val="none"/>
        </w:rPr>
      </w:pPr>
      <w:bookmarkStart w:id="23" w:name="_Hlk149134748"/>
      <w:r>
        <w:rPr>
          <w:rFonts w:hint="eastAsia" w:hAnsi="宋体"/>
          <w:color w:val="auto"/>
          <w:highlight w:val="none"/>
        </w:rPr>
        <w:t>采购本国货物、工程和服务</w:t>
      </w:r>
    </w:p>
    <w:p>
      <w:pPr>
        <w:pStyle w:val="69"/>
        <w:numPr>
          <w:ilvl w:val="2"/>
          <w:numId w:val="9"/>
        </w:numPr>
        <w:tabs>
          <w:tab w:val="left" w:pos="2522"/>
        </w:tabs>
        <w:kinsoku w:val="0"/>
        <w:overflowPunct w:val="0"/>
        <w:spacing w:before="161" w:line="362" w:lineRule="auto"/>
        <w:ind w:right="564"/>
        <w:rPr>
          <w:rFonts w:hAnsi="宋体"/>
          <w:color w:val="auto"/>
          <w:highlight w:val="none"/>
        </w:rPr>
      </w:pPr>
      <w:r>
        <w:rPr>
          <w:rFonts w:hint="eastAsia" w:hAnsi="宋体"/>
          <w:color w:val="auto"/>
          <w:spacing w:val="-8"/>
          <w:highlight w:val="none"/>
        </w:rPr>
        <w:t>政府采购应当采购本国货物、工程和服务。但有《中华人民共和国政</w:t>
      </w:r>
      <w:r>
        <w:rPr>
          <w:rFonts w:hint="eastAsia" w:hAnsi="宋体"/>
          <w:color w:val="auto"/>
          <w:highlight w:val="none"/>
        </w:rPr>
        <w:t>府采购法》第十条规定情形的除外。</w:t>
      </w:r>
    </w:p>
    <w:p>
      <w:pPr>
        <w:pStyle w:val="69"/>
        <w:numPr>
          <w:ilvl w:val="2"/>
          <w:numId w:val="9"/>
        </w:numPr>
        <w:tabs>
          <w:tab w:val="left" w:pos="2522"/>
        </w:tabs>
        <w:kinsoku w:val="0"/>
        <w:overflowPunct w:val="0"/>
        <w:spacing w:before="2" w:line="364" w:lineRule="auto"/>
        <w:ind w:right="570"/>
        <w:rPr>
          <w:rFonts w:hAnsi="宋体"/>
          <w:color w:val="auto"/>
          <w:spacing w:val="-16"/>
          <w:highlight w:val="none"/>
        </w:rPr>
      </w:pPr>
      <w:r>
        <w:rPr>
          <w:rFonts w:hint="eastAsia" w:hAnsi="宋体"/>
          <w:color w:val="auto"/>
          <w:spacing w:val="-10"/>
          <w:highlight w:val="none"/>
        </w:rPr>
        <w:t>本项目如接受非本国货物、工程、服务参与投标，则具体要求见第四</w:t>
      </w:r>
      <w:r>
        <w:rPr>
          <w:rFonts w:hint="eastAsia" w:hAnsi="宋体"/>
          <w:color w:val="auto"/>
          <w:spacing w:val="-16"/>
          <w:highlight w:val="none"/>
        </w:rPr>
        <w:t>章《采购需求》。</w:t>
      </w:r>
    </w:p>
    <w:p>
      <w:pPr>
        <w:pStyle w:val="69"/>
        <w:numPr>
          <w:ilvl w:val="2"/>
          <w:numId w:val="9"/>
        </w:numPr>
        <w:tabs>
          <w:tab w:val="left" w:pos="2522"/>
        </w:tabs>
        <w:kinsoku w:val="0"/>
        <w:overflowPunct w:val="0"/>
        <w:spacing w:line="364" w:lineRule="auto"/>
        <w:ind w:right="570"/>
        <w:rPr>
          <w:rFonts w:hAnsi="宋体"/>
          <w:color w:val="auto"/>
          <w:spacing w:val="-12"/>
          <w:highlight w:val="none"/>
        </w:rPr>
      </w:pPr>
      <w:r>
        <w:rPr>
          <w:rFonts w:hint="eastAsia" w:hAnsi="宋体"/>
          <w:color w:val="auto"/>
          <w:spacing w:val="2"/>
          <w:highlight w:val="none"/>
        </w:rPr>
        <w:t>进口产品指通过中国海关报关验放进入中国境内且产自关境外的产</w:t>
      </w:r>
      <w:r>
        <w:rPr>
          <w:rFonts w:hint="eastAsia" w:hAnsi="宋体"/>
          <w:color w:val="auto"/>
          <w:spacing w:val="-12"/>
          <w:highlight w:val="none"/>
        </w:rPr>
        <w:t>品，包括已经进入中国境内的进口产品。关于进口产品的相关规定依</w:t>
      </w:r>
    </w:p>
    <w:p>
      <w:pPr>
        <w:pStyle w:val="69"/>
        <w:numPr>
          <w:ilvl w:val="2"/>
          <w:numId w:val="9"/>
        </w:numPr>
        <w:tabs>
          <w:tab w:val="left" w:pos="2522"/>
        </w:tabs>
        <w:kinsoku w:val="0"/>
        <w:overflowPunct w:val="0"/>
        <w:spacing w:line="364" w:lineRule="auto"/>
        <w:ind w:right="570"/>
        <w:rPr>
          <w:rFonts w:hAnsi="宋体"/>
          <w:color w:val="auto"/>
          <w:spacing w:val="-12"/>
          <w:highlight w:val="none"/>
        </w:rPr>
        <w:sectPr>
          <w:pgSz w:w="11910" w:h="16840"/>
          <w:pgMar w:top="1340" w:right="560" w:bottom="1080" w:left="1160" w:header="879" w:footer="879" w:gutter="0"/>
          <w:cols w:space="720" w:num="1"/>
        </w:sectPr>
      </w:pPr>
    </w:p>
    <w:p>
      <w:pPr>
        <w:pStyle w:val="17"/>
        <w:kinsoku w:val="0"/>
        <w:overflowPunct w:val="0"/>
        <w:spacing w:before="72" w:line="364" w:lineRule="auto"/>
        <w:ind w:left="2521" w:right="567"/>
        <w:jc w:val="both"/>
        <w:rPr>
          <w:rFonts w:hAnsi="宋体"/>
          <w:color w:val="auto"/>
          <w:highlight w:val="none"/>
        </w:rPr>
      </w:pPr>
      <w:r>
        <w:rPr>
          <w:rFonts w:hint="eastAsia" w:hAnsi="宋体"/>
          <w:color w:val="auto"/>
          <w:spacing w:val="-8"/>
          <w:highlight w:val="none"/>
        </w:rPr>
        <w:t>据《政府采购进口产品管理办法》</w:t>
      </w:r>
      <w:r>
        <w:rPr>
          <w:rFonts w:hint="eastAsia" w:hAnsi="宋体"/>
          <w:color w:val="auto"/>
          <w:highlight w:val="none"/>
        </w:rPr>
        <w:t>（</w:t>
      </w:r>
      <w:r>
        <w:rPr>
          <w:rFonts w:hint="eastAsia" w:hAnsi="宋体"/>
          <w:color w:val="auto"/>
          <w:spacing w:val="1"/>
          <w:highlight w:val="none"/>
        </w:rPr>
        <w:t>财库〔</w:t>
      </w:r>
      <w:r>
        <w:rPr>
          <w:rFonts w:hAnsi="宋体" w:cs="Arial"/>
          <w:color w:val="auto"/>
          <w:highlight w:val="none"/>
        </w:rPr>
        <w:t>2007</w:t>
      </w:r>
      <w:r>
        <w:rPr>
          <w:rFonts w:hint="eastAsia" w:hAnsi="宋体"/>
          <w:color w:val="auto"/>
          <w:spacing w:val="4"/>
          <w:highlight w:val="none"/>
        </w:rPr>
        <w:t>〕</w:t>
      </w:r>
      <w:r>
        <w:rPr>
          <w:rFonts w:hAnsi="宋体" w:cs="Arial"/>
          <w:color w:val="auto"/>
          <w:highlight w:val="none"/>
        </w:rPr>
        <w:t xml:space="preserve">119 </w:t>
      </w:r>
      <w:r>
        <w:rPr>
          <w:rFonts w:hint="eastAsia" w:hAnsi="宋体"/>
          <w:color w:val="auto"/>
          <w:spacing w:val="2"/>
          <w:highlight w:val="none"/>
        </w:rPr>
        <w:t>号文</w:t>
      </w:r>
      <w:r>
        <w:rPr>
          <w:rFonts w:hint="eastAsia" w:hAnsi="宋体"/>
          <w:color w:val="auto"/>
          <w:spacing w:val="-118"/>
          <w:highlight w:val="none"/>
        </w:rPr>
        <w:t>）</w:t>
      </w:r>
      <w:r>
        <w:rPr>
          <w:rFonts w:hint="eastAsia" w:hAnsi="宋体"/>
          <w:color w:val="auto"/>
          <w:spacing w:val="-40"/>
          <w:highlight w:val="none"/>
        </w:rPr>
        <w:t>、《关</w:t>
      </w:r>
      <w:r>
        <w:rPr>
          <w:rFonts w:hint="eastAsia" w:hAnsi="宋体"/>
          <w:color w:val="auto"/>
          <w:spacing w:val="-3"/>
          <w:highlight w:val="none"/>
        </w:rPr>
        <w:t>于政府采购进口产品管理有关问题的通知》</w:t>
      </w:r>
      <w:r>
        <w:rPr>
          <w:rFonts w:hint="eastAsia" w:hAnsi="宋体"/>
          <w:color w:val="auto"/>
          <w:spacing w:val="4"/>
          <w:highlight w:val="none"/>
        </w:rPr>
        <w:t>（</w:t>
      </w:r>
      <w:r>
        <w:rPr>
          <w:rFonts w:hint="eastAsia" w:hAnsi="宋体"/>
          <w:color w:val="auto"/>
          <w:spacing w:val="3"/>
          <w:highlight w:val="none"/>
        </w:rPr>
        <w:t>财办库〔</w:t>
      </w:r>
      <w:r>
        <w:rPr>
          <w:rFonts w:hAnsi="宋体" w:cs="Arial"/>
          <w:color w:val="auto"/>
          <w:highlight w:val="none"/>
        </w:rPr>
        <w:t>2008</w:t>
      </w:r>
      <w:r>
        <w:rPr>
          <w:rFonts w:hint="eastAsia" w:hAnsi="宋体"/>
          <w:color w:val="auto"/>
          <w:spacing w:val="7"/>
          <w:highlight w:val="none"/>
        </w:rPr>
        <w:t>〕</w:t>
      </w:r>
      <w:r>
        <w:rPr>
          <w:rFonts w:hAnsi="宋体" w:cs="Arial"/>
          <w:color w:val="auto"/>
          <w:highlight w:val="none"/>
        </w:rPr>
        <w:t xml:space="preserve">248 </w:t>
      </w:r>
      <w:r>
        <w:rPr>
          <w:rFonts w:hint="eastAsia" w:hAnsi="宋体"/>
          <w:color w:val="auto"/>
          <w:highlight w:val="none"/>
        </w:rPr>
        <w:t>号文</w:t>
      </w:r>
      <w:r>
        <w:rPr>
          <w:rFonts w:hint="eastAsia" w:hAnsi="宋体"/>
          <w:color w:val="auto"/>
          <w:spacing w:val="-120"/>
          <w:highlight w:val="none"/>
        </w:rPr>
        <w:t>）</w:t>
      </w:r>
      <w:r>
        <w:rPr>
          <w:rFonts w:hint="eastAsia" w:hAnsi="宋体"/>
          <w:color w:val="auto"/>
          <w:highlight w:val="none"/>
        </w:rPr>
        <w:t>。</w:t>
      </w:r>
    </w:p>
    <w:bookmarkEnd w:id="23"/>
    <w:p>
      <w:pPr>
        <w:pStyle w:val="69"/>
        <w:numPr>
          <w:ilvl w:val="1"/>
          <w:numId w:val="9"/>
        </w:numPr>
        <w:tabs>
          <w:tab w:val="left" w:pos="1622"/>
        </w:tabs>
        <w:kinsoku w:val="0"/>
        <w:overflowPunct w:val="0"/>
        <w:spacing w:line="307" w:lineRule="exact"/>
        <w:ind w:hanging="721"/>
        <w:jc w:val="both"/>
        <w:rPr>
          <w:rFonts w:hAnsi="宋体"/>
          <w:color w:val="auto"/>
          <w:highlight w:val="none"/>
        </w:rPr>
      </w:pPr>
      <w:r>
        <w:rPr>
          <w:rFonts w:hint="eastAsia" w:hAnsi="宋体"/>
          <w:color w:val="auto"/>
          <w:highlight w:val="none"/>
        </w:rPr>
        <w:t>中小企业、监狱企业及残疾人福利性单位</w:t>
      </w:r>
    </w:p>
    <w:p>
      <w:pPr>
        <w:pStyle w:val="69"/>
        <w:numPr>
          <w:ilvl w:val="2"/>
          <w:numId w:val="9"/>
        </w:numPr>
        <w:tabs>
          <w:tab w:val="left" w:pos="2522"/>
        </w:tabs>
        <w:kinsoku w:val="0"/>
        <w:overflowPunct w:val="0"/>
        <w:spacing w:before="159"/>
        <w:ind w:hanging="901"/>
        <w:jc w:val="both"/>
        <w:rPr>
          <w:rFonts w:hAnsi="宋体"/>
          <w:color w:val="auto"/>
          <w:highlight w:val="none"/>
        </w:rPr>
      </w:pPr>
      <w:r>
        <w:rPr>
          <w:rFonts w:hint="eastAsia" w:hAnsi="宋体"/>
          <w:color w:val="auto"/>
          <w:highlight w:val="none"/>
        </w:rPr>
        <w:t>中小企业定义：</w:t>
      </w:r>
    </w:p>
    <w:p>
      <w:pPr>
        <w:pStyle w:val="69"/>
        <w:numPr>
          <w:ilvl w:val="3"/>
          <w:numId w:val="9"/>
        </w:numPr>
        <w:tabs>
          <w:tab w:val="left" w:pos="3427"/>
        </w:tabs>
        <w:kinsoku w:val="0"/>
        <w:overflowPunct w:val="0"/>
        <w:spacing w:before="160" w:line="364" w:lineRule="auto"/>
        <w:ind w:right="506"/>
        <w:jc w:val="both"/>
        <w:rPr>
          <w:rFonts w:hAnsi="宋体"/>
          <w:color w:val="auto"/>
          <w:spacing w:val="9"/>
          <w:highlight w:val="none"/>
        </w:rPr>
      </w:pPr>
      <w:r>
        <w:rPr>
          <w:rFonts w:hint="eastAsia" w:hAnsi="宋体"/>
          <w:color w:val="auto"/>
          <w:spacing w:val="-3"/>
          <w:highlight w:val="none"/>
        </w:rPr>
        <w:t>中小企业是指在中华人民共和国境内依法设立，依据国务院</w:t>
      </w:r>
      <w:r>
        <w:rPr>
          <w:rFonts w:hint="eastAsia" w:hAnsi="宋体"/>
          <w:color w:val="auto"/>
          <w:spacing w:val="-6"/>
          <w:highlight w:val="none"/>
        </w:rPr>
        <w:t>批准的中小企业划分标准确定的中型企业、小型企业和微型</w:t>
      </w:r>
      <w:r>
        <w:rPr>
          <w:rFonts w:hint="eastAsia" w:hAnsi="宋体"/>
          <w:color w:val="auto"/>
          <w:spacing w:val="-8"/>
          <w:highlight w:val="none"/>
        </w:rPr>
        <w:t>企业，但与大企业的负责人为同一人，或者与大企业存在直</w:t>
      </w:r>
      <w:r>
        <w:rPr>
          <w:rFonts w:hint="eastAsia" w:hAnsi="宋体"/>
          <w:color w:val="auto"/>
          <w:spacing w:val="-10"/>
          <w:highlight w:val="none"/>
        </w:rPr>
        <w:t>接控股、管理关系的除外。符合中小企业划分标准的个体工</w:t>
      </w:r>
      <w:r>
        <w:rPr>
          <w:rFonts w:hint="eastAsia" w:hAnsi="宋体"/>
          <w:color w:val="auto"/>
          <w:spacing w:val="-9"/>
          <w:highlight w:val="none"/>
        </w:rPr>
        <w:t>商户，在政府采购活动中视同中小企业。关于中小企业的相</w:t>
      </w:r>
      <w:r>
        <w:rPr>
          <w:rFonts w:hint="eastAsia" w:hAnsi="宋体"/>
          <w:color w:val="auto"/>
          <w:spacing w:val="-14"/>
          <w:highlight w:val="none"/>
        </w:rPr>
        <w:t>关规定依据《中华人民共和国中小企业促进法》</w:t>
      </w:r>
      <w:r>
        <w:rPr>
          <w:rFonts w:hint="eastAsia" w:hAnsi="宋体"/>
          <w:color w:val="auto"/>
          <w:spacing w:val="-26"/>
          <w:highlight w:val="none"/>
        </w:rPr>
        <w:t>、《关于进一</w:t>
      </w:r>
      <w:r>
        <w:rPr>
          <w:rFonts w:hint="eastAsia" w:hAnsi="宋体"/>
          <w:color w:val="auto"/>
          <w:spacing w:val="-31"/>
          <w:highlight w:val="none"/>
        </w:rPr>
        <w:t>步加大政府采购支持中小企业力度的通知》</w:t>
      </w:r>
      <w:r>
        <w:rPr>
          <w:rFonts w:hint="eastAsia" w:hAnsi="宋体"/>
          <w:color w:val="auto"/>
          <w:highlight w:val="none"/>
        </w:rPr>
        <w:t>（财库〔</w:t>
      </w:r>
      <w:r>
        <w:rPr>
          <w:rFonts w:hAnsi="宋体" w:cs="Arial"/>
          <w:color w:val="auto"/>
          <w:highlight w:val="none"/>
        </w:rPr>
        <w:t>2022</w:t>
      </w:r>
      <w:r>
        <w:rPr>
          <w:rFonts w:hint="eastAsia" w:hAnsi="宋体"/>
          <w:color w:val="auto"/>
          <w:spacing w:val="-13"/>
          <w:highlight w:val="none"/>
        </w:rPr>
        <w:t>〕</w:t>
      </w:r>
      <w:r>
        <w:rPr>
          <w:rFonts w:hAnsi="宋体" w:cs="Arial"/>
          <w:color w:val="auto"/>
          <w:highlight w:val="none"/>
        </w:rPr>
        <w:t>19</w:t>
      </w:r>
      <w:r>
        <w:rPr>
          <w:rFonts w:hAnsi="宋体" w:cs="Arial"/>
          <w:color w:val="auto"/>
          <w:spacing w:val="28"/>
          <w:highlight w:val="none"/>
        </w:rPr>
        <w:t xml:space="preserve"> </w:t>
      </w:r>
      <w:r>
        <w:rPr>
          <w:rFonts w:hint="eastAsia" w:hAnsi="宋体"/>
          <w:color w:val="auto"/>
          <w:spacing w:val="16"/>
          <w:highlight w:val="none"/>
        </w:rPr>
        <w:t>号</w:t>
      </w:r>
      <w:r>
        <w:rPr>
          <w:rFonts w:hint="eastAsia" w:hAnsi="宋体"/>
          <w:color w:val="auto"/>
          <w:spacing w:val="-101"/>
          <w:highlight w:val="none"/>
        </w:rPr>
        <w:t>）</w:t>
      </w:r>
      <w:r>
        <w:rPr>
          <w:rFonts w:hint="eastAsia" w:hAnsi="宋体"/>
          <w:color w:val="auto"/>
          <w:spacing w:val="-1"/>
          <w:highlight w:val="none"/>
        </w:rPr>
        <w:t>、《政府采购促进中小企业发展管理办法》</w:t>
      </w:r>
      <w:r>
        <w:rPr>
          <w:rFonts w:hint="eastAsia" w:hAnsi="宋体"/>
          <w:color w:val="auto"/>
          <w:spacing w:val="16"/>
          <w:highlight w:val="none"/>
        </w:rPr>
        <w:t>（</w:t>
      </w:r>
      <w:r>
        <w:rPr>
          <w:rFonts w:hint="eastAsia" w:hAnsi="宋体"/>
          <w:color w:val="auto"/>
          <w:spacing w:val="9"/>
          <w:highlight w:val="none"/>
        </w:rPr>
        <w:t>财库</w:t>
      </w:r>
    </w:p>
    <w:p>
      <w:pPr>
        <w:pStyle w:val="17"/>
        <w:kinsoku w:val="0"/>
        <w:overflowPunct w:val="0"/>
        <w:spacing w:line="303" w:lineRule="exact"/>
        <w:ind w:left="3426"/>
        <w:jc w:val="both"/>
        <w:rPr>
          <w:rFonts w:hAnsi="宋体"/>
          <w:color w:val="auto"/>
          <w:spacing w:val="-16"/>
          <w:highlight w:val="none"/>
        </w:rPr>
      </w:pPr>
      <w:r>
        <w:rPr>
          <w:rFonts w:hint="eastAsia" w:hAnsi="宋体"/>
          <w:color w:val="auto"/>
          <w:highlight w:val="none"/>
        </w:rPr>
        <w:t>〔</w:t>
      </w:r>
      <w:r>
        <w:rPr>
          <w:rFonts w:hAnsi="宋体" w:cs="Arial"/>
          <w:color w:val="auto"/>
          <w:highlight w:val="none"/>
        </w:rPr>
        <w:t>2020</w:t>
      </w:r>
      <w:r>
        <w:rPr>
          <w:rFonts w:hint="eastAsia" w:hAnsi="宋体"/>
          <w:color w:val="auto"/>
          <w:spacing w:val="-94"/>
          <w:highlight w:val="none"/>
        </w:rPr>
        <w:t>〕</w:t>
      </w:r>
      <w:r>
        <w:rPr>
          <w:rFonts w:hAnsi="宋体" w:cs="Arial"/>
          <w:color w:val="auto"/>
          <w:highlight w:val="none"/>
        </w:rPr>
        <w:t xml:space="preserve">46 </w:t>
      </w:r>
      <w:r>
        <w:rPr>
          <w:rFonts w:hint="eastAsia" w:hAnsi="宋体"/>
          <w:color w:val="auto"/>
          <w:highlight w:val="none"/>
        </w:rPr>
        <w:t>号</w:t>
      </w:r>
      <w:r>
        <w:rPr>
          <w:rFonts w:hint="eastAsia" w:hAnsi="宋体"/>
          <w:color w:val="auto"/>
          <w:spacing w:val="-120"/>
          <w:highlight w:val="none"/>
        </w:rPr>
        <w:t>）</w:t>
      </w:r>
      <w:r>
        <w:rPr>
          <w:rFonts w:hint="eastAsia" w:hAnsi="宋体"/>
          <w:color w:val="auto"/>
          <w:spacing w:val="-16"/>
          <w:highlight w:val="none"/>
        </w:rPr>
        <w:t>、《关于印发中小企业划型标准规定的通知》</w:t>
      </w:r>
    </w:p>
    <w:p>
      <w:pPr>
        <w:pStyle w:val="17"/>
        <w:kinsoku w:val="0"/>
        <w:overflowPunct w:val="0"/>
        <w:spacing w:before="158"/>
        <w:ind w:left="3426"/>
        <w:rPr>
          <w:rFonts w:hAnsi="宋体"/>
          <w:color w:val="auto"/>
          <w:highlight w:val="none"/>
        </w:rPr>
      </w:pPr>
      <w:r>
        <w:rPr>
          <w:rFonts w:hint="eastAsia" w:hAnsi="宋体"/>
          <w:color w:val="auto"/>
          <w:highlight w:val="none"/>
        </w:rPr>
        <w:t>（工信部联企业〔</w:t>
      </w:r>
      <w:r>
        <w:rPr>
          <w:rFonts w:hAnsi="宋体" w:cs="Arial"/>
          <w:color w:val="auto"/>
          <w:highlight w:val="none"/>
        </w:rPr>
        <w:t>2011</w:t>
      </w:r>
      <w:r>
        <w:rPr>
          <w:rFonts w:hint="eastAsia" w:hAnsi="宋体"/>
          <w:color w:val="auto"/>
          <w:highlight w:val="none"/>
        </w:rPr>
        <w:t>〕</w:t>
      </w:r>
      <w:r>
        <w:rPr>
          <w:rFonts w:hAnsi="宋体" w:cs="Arial"/>
          <w:color w:val="auto"/>
          <w:highlight w:val="none"/>
        </w:rPr>
        <w:t>300</w:t>
      </w:r>
      <w:r>
        <w:rPr>
          <w:rFonts w:hAnsi="宋体" w:cs="Arial"/>
          <w:color w:val="auto"/>
          <w:spacing w:val="58"/>
          <w:highlight w:val="none"/>
        </w:rPr>
        <w:t xml:space="preserve"> </w:t>
      </w:r>
      <w:r>
        <w:rPr>
          <w:rFonts w:hint="eastAsia" w:hAnsi="宋体"/>
          <w:color w:val="auto"/>
          <w:highlight w:val="none"/>
        </w:rPr>
        <w:t>号</w:t>
      </w:r>
      <w:r>
        <w:rPr>
          <w:rFonts w:hint="eastAsia" w:hAnsi="宋体"/>
          <w:color w:val="auto"/>
          <w:spacing w:val="-120"/>
          <w:highlight w:val="none"/>
        </w:rPr>
        <w:t>）</w:t>
      </w:r>
      <w:r>
        <w:rPr>
          <w:rFonts w:hint="eastAsia" w:hAnsi="宋体"/>
          <w:color w:val="auto"/>
          <w:highlight w:val="none"/>
        </w:rPr>
        <w:t>。</w:t>
      </w:r>
    </w:p>
    <w:p>
      <w:pPr>
        <w:pStyle w:val="69"/>
        <w:numPr>
          <w:ilvl w:val="3"/>
          <w:numId w:val="9"/>
        </w:numPr>
        <w:tabs>
          <w:tab w:val="left" w:pos="3427"/>
        </w:tabs>
        <w:kinsoku w:val="0"/>
        <w:overflowPunct w:val="0"/>
        <w:spacing w:before="161" w:line="362" w:lineRule="auto"/>
        <w:ind w:right="570"/>
        <w:rPr>
          <w:rFonts w:hAnsi="宋体"/>
          <w:color w:val="auto"/>
          <w:highlight w:val="none"/>
        </w:rPr>
      </w:pPr>
      <w:r>
        <w:rPr>
          <w:rFonts w:hint="eastAsia" w:hAnsi="宋体"/>
          <w:color w:val="auto"/>
          <w:spacing w:val="-6"/>
          <w:highlight w:val="none"/>
        </w:rPr>
        <w:t>供应商提供的货物、工程或者服务符合下列情形的，享受中</w:t>
      </w:r>
      <w:r>
        <w:rPr>
          <w:rFonts w:hint="eastAsia" w:hAnsi="宋体"/>
          <w:color w:val="auto"/>
          <w:highlight w:val="none"/>
        </w:rPr>
        <w:t>小企业扶持政策：</w:t>
      </w:r>
    </w:p>
    <w:p>
      <w:pPr>
        <w:pStyle w:val="69"/>
        <w:numPr>
          <w:ilvl w:val="4"/>
          <w:numId w:val="9"/>
        </w:numPr>
        <w:tabs>
          <w:tab w:val="left" w:pos="4017"/>
        </w:tabs>
        <w:kinsoku w:val="0"/>
        <w:overflowPunct w:val="0"/>
        <w:spacing w:before="5" w:line="362" w:lineRule="auto"/>
        <w:ind w:right="571" w:firstLine="0"/>
        <w:rPr>
          <w:rFonts w:hAnsi="宋体"/>
          <w:color w:val="auto"/>
          <w:highlight w:val="none"/>
        </w:rPr>
      </w:pPr>
      <w:r>
        <w:rPr>
          <w:rFonts w:hint="eastAsia" w:hAnsi="宋体"/>
          <w:color w:val="auto"/>
          <w:highlight w:val="none"/>
        </w:rPr>
        <w:t>在货物采购项目中，货物由中小企业制造，即货物由中小企业生产且使用该中小企业商号或者注册商标；</w:t>
      </w:r>
    </w:p>
    <w:p>
      <w:pPr>
        <w:pStyle w:val="69"/>
        <w:numPr>
          <w:ilvl w:val="4"/>
          <w:numId w:val="9"/>
        </w:numPr>
        <w:tabs>
          <w:tab w:val="left" w:pos="4017"/>
        </w:tabs>
        <w:kinsoku w:val="0"/>
        <w:overflowPunct w:val="0"/>
        <w:spacing w:before="5" w:line="364" w:lineRule="auto"/>
        <w:ind w:right="571" w:firstLine="0"/>
        <w:rPr>
          <w:rFonts w:hAnsi="宋体"/>
          <w:color w:val="auto"/>
          <w:highlight w:val="none"/>
        </w:rPr>
      </w:pPr>
      <w:r>
        <w:rPr>
          <w:rFonts w:hint="eastAsia" w:hAnsi="宋体"/>
          <w:color w:val="auto"/>
          <w:highlight w:val="none"/>
        </w:rPr>
        <w:t>在工程采购项目中，工程由中小企业承建，即工程施工单位为中小企业；</w:t>
      </w:r>
    </w:p>
    <w:p>
      <w:pPr>
        <w:pStyle w:val="69"/>
        <w:numPr>
          <w:ilvl w:val="4"/>
          <w:numId w:val="9"/>
        </w:numPr>
        <w:tabs>
          <w:tab w:val="left" w:pos="4017"/>
        </w:tabs>
        <w:kinsoku w:val="0"/>
        <w:overflowPunct w:val="0"/>
        <w:spacing w:line="364" w:lineRule="auto"/>
        <w:ind w:right="570" w:firstLine="0"/>
        <w:jc w:val="both"/>
        <w:rPr>
          <w:rFonts w:hAnsi="宋体"/>
          <w:color w:val="auto"/>
          <w:highlight w:val="none"/>
        </w:rPr>
      </w:pPr>
      <w:r>
        <w:rPr>
          <w:rFonts w:hint="eastAsia" w:hAnsi="宋体"/>
          <w:color w:val="auto"/>
          <w:highlight w:val="none"/>
        </w:rPr>
        <w:t>在服务采购项目中，服务由中小企业承接，即提供服</w:t>
      </w:r>
      <w:r>
        <w:rPr>
          <w:rFonts w:hint="eastAsia" w:hAnsi="宋体"/>
          <w:color w:val="auto"/>
          <w:spacing w:val="-3"/>
          <w:highlight w:val="none"/>
        </w:rPr>
        <w:t>务的人员为中小企业依照《中华人民共和国劳动合同法》订</w:t>
      </w:r>
      <w:r>
        <w:rPr>
          <w:rFonts w:hint="eastAsia" w:hAnsi="宋体"/>
          <w:color w:val="auto"/>
          <w:highlight w:val="none"/>
        </w:rPr>
        <w:t>立劳动合同的从业人员。</w:t>
      </w:r>
    </w:p>
    <w:p>
      <w:pPr>
        <w:pStyle w:val="69"/>
        <w:numPr>
          <w:ilvl w:val="3"/>
          <w:numId w:val="9"/>
        </w:numPr>
        <w:tabs>
          <w:tab w:val="left" w:pos="3427"/>
        </w:tabs>
        <w:kinsoku w:val="0"/>
        <w:overflowPunct w:val="0"/>
        <w:spacing w:line="362" w:lineRule="auto"/>
        <w:ind w:right="518"/>
        <w:jc w:val="both"/>
        <w:rPr>
          <w:rFonts w:hAnsi="宋体"/>
          <w:color w:val="auto"/>
          <w:spacing w:val="-7"/>
          <w:highlight w:val="none"/>
        </w:rPr>
      </w:pPr>
      <w:r>
        <w:rPr>
          <w:rFonts w:hint="eastAsia" w:hAnsi="宋体"/>
          <w:color w:val="auto"/>
          <w:spacing w:val="-6"/>
          <w:highlight w:val="none"/>
        </w:rPr>
        <w:t>在货物采购项目中，供应商提供的货物既有中小企业制造货</w:t>
      </w:r>
      <w:r>
        <w:rPr>
          <w:rFonts w:hint="eastAsia" w:hAnsi="宋体"/>
          <w:color w:val="auto"/>
          <w:spacing w:val="-7"/>
          <w:highlight w:val="none"/>
        </w:rPr>
        <w:t>物，也有大型企业制造货物的，不享受中小企业扶持政策。</w:t>
      </w:r>
    </w:p>
    <w:p>
      <w:pPr>
        <w:pStyle w:val="69"/>
        <w:numPr>
          <w:ilvl w:val="3"/>
          <w:numId w:val="9"/>
        </w:numPr>
        <w:tabs>
          <w:tab w:val="left" w:pos="3427"/>
        </w:tabs>
        <w:kinsoku w:val="0"/>
        <w:overflowPunct w:val="0"/>
        <w:spacing w:before="3" w:line="364" w:lineRule="auto"/>
        <w:ind w:right="570"/>
        <w:jc w:val="both"/>
        <w:rPr>
          <w:rFonts w:hAnsi="宋体"/>
          <w:color w:val="auto"/>
          <w:highlight w:val="none"/>
        </w:rPr>
      </w:pPr>
      <w:r>
        <w:rPr>
          <w:rFonts w:hint="eastAsia" w:hAnsi="宋体"/>
          <w:color w:val="auto"/>
          <w:spacing w:val="-5"/>
          <w:highlight w:val="none"/>
        </w:rPr>
        <w:t>以联合体形式参加政府采购活动，联合体各方均为中小企业</w:t>
      </w:r>
      <w:r>
        <w:rPr>
          <w:rFonts w:hint="eastAsia" w:hAnsi="宋体"/>
          <w:color w:val="auto"/>
          <w:spacing w:val="-8"/>
          <w:highlight w:val="none"/>
        </w:rPr>
        <w:t>的，联合体视同中小企业。其中，联合体各方均为小微企业</w:t>
      </w:r>
      <w:r>
        <w:rPr>
          <w:rFonts w:hint="eastAsia" w:hAnsi="宋体"/>
          <w:color w:val="auto"/>
          <w:highlight w:val="none"/>
        </w:rPr>
        <w:t>的，联合体视同小微企业。</w:t>
      </w:r>
    </w:p>
    <w:p>
      <w:pPr>
        <w:pStyle w:val="69"/>
        <w:numPr>
          <w:ilvl w:val="2"/>
          <w:numId w:val="9"/>
        </w:numPr>
        <w:tabs>
          <w:tab w:val="left" w:pos="2522"/>
        </w:tabs>
        <w:kinsoku w:val="0"/>
        <w:overflowPunct w:val="0"/>
        <w:spacing w:line="304" w:lineRule="exact"/>
        <w:ind w:hanging="901"/>
        <w:jc w:val="both"/>
        <w:rPr>
          <w:rFonts w:hAnsi="宋体"/>
          <w:color w:val="auto"/>
          <w:highlight w:val="none"/>
        </w:rPr>
      </w:pPr>
      <w:r>
        <w:rPr>
          <w:rFonts w:hint="eastAsia" w:hAnsi="宋体"/>
          <w:color w:val="auto"/>
          <w:highlight w:val="none"/>
        </w:rPr>
        <w:t>在政府采购活动中，监狱企业视同小型、微型企业，享受预留份额、</w:t>
      </w:r>
    </w:p>
    <w:p>
      <w:pPr>
        <w:pStyle w:val="17"/>
        <w:kinsoku w:val="0"/>
        <w:overflowPunct w:val="0"/>
        <w:spacing w:before="72" w:line="364" w:lineRule="auto"/>
        <w:ind w:left="2521" w:right="570"/>
        <w:jc w:val="both"/>
        <w:rPr>
          <w:rFonts w:hAnsi="宋体"/>
          <w:color w:val="auto"/>
          <w:highlight w:val="none"/>
        </w:rPr>
      </w:pPr>
      <w:r>
        <w:rPr>
          <w:rFonts w:hint="eastAsia" w:hAnsi="宋体"/>
          <w:color w:val="auto"/>
          <w:spacing w:val="-5"/>
          <w:highlight w:val="none"/>
        </w:rPr>
        <w:t>评审中价格扣除等政府采购促进中小企业发展的政府采购政策。监狱</w:t>
      </w:r>
      <w:r>
        <w:rPr>
          <w:rFonts w:hint="eastAsia" w:hAnsi="宋体"/>
          <w:color w:val="auto"/>
          <w:spacing w:val="-12"/>
          <w:highlight w:val="none"/>
        </w:rPr>
        <w:t>企业定义：是指由司法部认定的为罪犯、戒毒人员提供生产项目和劳</w:t>
      </w:r>
      <w:r>
        <w:rPr>
          <w:rFonts w:hint="eastAsia" w:hAnsi="宋体"/>
          <w:color w:val="auto"/>
          <w:spacing w:val="-11"/>
          <w:highlight w:val="none"/>
        </w:rPr>
        <w:t>动对象，且全部产权属于司法部监狱管理局、戒毒管理局、直属煤矿管理局，各省、自治区、直辖市监狱管理局、戒毒管理局，各地</w:t>
      </w:r>
      <w:r>
        <w:rPr>
          <w:rFonts w:hint="eastAsia" w:hAnsi="宋体"/>
          <w:color w:val="auto"/>
          <w:highlight w:val="none"/>
        </w:rPr>
        <w:t>（</w:t>
      </w:r>
      <w:r>
        <w:rPr>
          <w:rFonts w:hint="eastAsia" w:hAnsi="宋体"/>
          <w:color w:val="auto"/>
          <w:spacing w:val="-15"/>
          <w:highlight w:val="none"/>
        </w:rPr>
        <w:t>设</w:t>
      </w:r>
      <w:r>
        <w:rPr>
          <w:rFonts w:hint="eastAsia" w:hAnsi="宋体"/>
          <w:color w:val="auto"/>
          <w:highlight w:val="none"/>
        </w:rPr>
        <w:t>区的市</w:t>
      </w:r>
      <w:r>
        <w:rPr>
          <w:rFonts w:hint="eastAsia" w:hAnsi="宋体"/>
          <w:color w:val="auto"/>
          <w:spacing w:val="-29"/>
          <w:highlight w:val="none"/>
        </w:rPr>
        <w:t>）</w:t>
      </w:r>
      <w:r>
        <w:rPr>
          <w:rFonts w:hint="eastAsia" w:hAnsi="宋体"/>
          <w:color w:val="auto"/>
          <w:spacing w:val="-10"/>
          <w:highlight w:val="none"/>
        </w:rPr>
        <w:t>监狱、强制隔离戒毒所、戒毒康复所，以及新疆生产建设兵</w:t>
      </w:r>
      <w:r>
        <w:rPr>
          <w:rFonts w:hint="eastAsia" w:hAnsi="宋体"/>
          <w:color w:val="auto"/>
          <w:highlight w:val="none"/>
        </w:rPr>
        <w:t>团监狱管理局、戒毒管理局的企业。</w:t>
      </w:r>
    </w:p>
    <w:p>
      <w:pPr>
        <w:pStyle w:val="69"/>
        <w:numPr>
          <w:ilvl w:val="2"/>
          <w:numId w:val="9"/>
        </w:numPr>
        <w:tabs>
          <w:tab w:val="left" w:pos="2522"/>
        </w:tabs>
        <w:kinsoku w:val="0"/>
        <w:overflowPunct w:val="0"/>
        <w:spacing w:line="364" w:lineRule="auto"/>
        <w:ind w:right="570"/>
        <w:jc w:val="both"/>
        <w:rPr>
          <w:rFonts w:hAnsi="宋体"/>
          <w:color w:val="auto"/>
          <w:highlight w:val="none"/>
        </w:rPr>
      </w:pPr>
      <w:r>
        <w:rPr>
          <w:rFonts w:hint="eastAsia" w:hAnsi="宋体"/>
          <w:color w:val="auto"/>
          <w:spacing w:val="-9"/>
          <w:highlight w:val="none"/>
        </w:rPr>
        <w:t>在政府采购活动中，残疾人福利性单位视同小型、微型企业，享受预</w:t>
      </w:r>
      <w:r>
        <w:rPr>
          <w:rFonts w:hint="eastAsia" w:hAnsi="宋体"/>
          <w:color w:val="auto"/>
          <w:spacing w:val="-11"/>
          <w:highlight w:val="none"/>
        </w:rPr>
        <w:t>留份额、评审中价格扣除等促进中小企业发展的政府采购政策。残疾</w:t>
      </w:r>
      <w:r>
        <w:rPr>
          <w:rFonts w:hint="eastAsia" w:hAnsi="宋体"/>
          <w:color w:val="auto"/>
          <w:spacing w:val="-12"/>
          <w:highlight w:val="none"/>
        </w:rPr>
        <w:t>人福利性单位定义：享受政府采购支持政策的残疾人福利性单位应当</w:t>
      </w:r>
      <w:r>
        <w:rPr>
          <w:rFonts w:hint="eastAsia" w:hAnsi="宋体"/>
          <w:color w:val="auto"/>
          <w:highlight w:val="none"/>
        </w:rPr>
        <w:t>同时满足以下条件：</w:t>
      </w:r>
    </w:p>
    <w:p>
      <w:pPr>
        <w:pStyle w:val="69"/>
        <w:numPr>
          <w:ilvl w:val="3"/>
          <w:numId w:val="9"/>
        </w:numPr>
        <w:tabs>
          <w:tab w:val="left" w:pos="3427"/>
        </w:tabs>
        <w:kinsoku w:val="0"/>
        <w:overflowPunct w:val="0"/>
        <w:spacing w:line="305" w:lineRule="exact"/>
        <w:ind w:hanging="901"/>
        <w:jc w:val="both"/>
        <w:rPr>
          <w:rFonts w:hAnsi="宋体" w:cs="Arial"/>
          <w:color w:val="auto"/>
          <w:highlight w:val="none"/>
        </w:rPr>
      </w:pPr>
      <w:r>
        <w:rPr>
          <w:rFonts w:hint="eastAsia" w:hAnsi="宋体"/>
          <w:color w:val="auto"/>
          <w:spacing w:val="9"/>
          <w:highlight w:val="none"/>
        </w:rPr>
        <w:t>安置的残疾人占本单位在职职工人数的比例不低于</w:t>
      </w:r>
      <w:r>
        <w:rPr>
          <w:rFonts w:hAnsi="宋体"/>
          <w:color w:val="auto"/>
          <w:spacing w:val="9"/>
          <w:highlight w:val="none"/>
        </w:rPr>
        <w:t xml:space="preserve"> </w:t>
      </w:r>
      <w:r>
        <w:rPr>
          <w:rFonts w:hAnsi="宋体" w:cs="Arial"/>
          <w:color w:val="auto"/>
          <w:highlight w:val="none"/>
        </w:rPr>
        <w:t>25%</w:t>
      </w:r>
    </w:p>
    <w:p>
      <w:pPr>
        <w:pStyle w:val="17"/>
        <w:kinsoku w:val="0"/>
        <w:overflowPunct w:val="0"/>
        <w:spacing w:before="155"/>
        <w:ind w:left="3426"/>
        <w:rPr>
          <w:rFonts w:hAnsi="宋体" w:cs="Arial"/>
          <w:color w:val="auto"/>
          <w:w w:val="114"/>
          <w:highlight w:val="none"/>
        </w:rPr>
      </w:pPr>
      <w:r>
        <w:rPr>
          <w:rFonts w:hint="eastAsia" w:hAnsi="宋体"/>
          <w:color w:val="auto"/>
          <w:spacing w:val="2"/>
          <w:highlight w:val="none"/>
        </w:rPr>
        <w:t>（</w:t>
      </w:r>
      <w:r>
        <w:rPr>
          <w:rFonts w:hint="eastAsia" w:hAnsi="宋体"/>
          <w:color w:val="auto"/>
          <w:spacing w:val="-29"/>
          <w:highlight w:val="none"/>
        </w:rPr>
        <w:t>含</w:t>
      </w:r>
      <w:r>
        <w:rPr>
          <w:rFonts w:hAnsi="宋体"/>
          <w:color w:val="auto"/>
          <w:spacing w:val="-29"/>
          <w:highlight w:val="none"/>
        </w:rPr>
        <w:t xml:space="preserve"> </w:t>
      </w:r>
      <w:r>
        <w:rPr>
          <w:rFonts w:hAnsi="宋体" w:cs="Arial"/>
          <w:color w:val="auto"/>
          <w:spacing w:val="-2"/>
          <w:w w:val="114"/>
          <w:highlight w:val="none"/>
        </w:rPr>
        <w:t>2</w:t>
      </w:r>
      <w:r>
        <w:rPr>
          <w:rFonts w:hAnsi="宋体" w:cs="Arial"/>
          <w:color w:val="auto"/>
          <w:w w:val="114"/>
          <w:highlight w:val="none"/>
        </w:rPr>
        <w:t>5</w:t>
      </w:r>
      <w:r>
        <w:rPr>
          <w:rFonts w:hAnsi="宋体" w:cs="Arial"/>
          <w:color w:val="auto"/>
          <w:spacing w:val="4"/>
          <w:w w:val="106"/>
          <w:highlight w:val="none"/>
        </w:rPr>
        <w:t>%</w:t>
      </w:r>
      <w:r>
        <w:rPr>
          <w:rFonts w:hint="eastAsia" w:hAnsi="宋体"/>
          <w:color w:val="auto"/>
          <w:spacing w:val="-118"/>
          <w:highlight w:val="none"/>
        </w:rPr>
        <w:t>）</w:t>
      </w:r>
      <w:r>
        <w:rPr>
          <w:rFonts w:hint="eastAsia" w:hAnsi="宋体"/>
          <w:color w:val="auto"/>
          <w:spacing w:val="-3"/>
          <w:highlight w:val="none"/>
        </w:rPr>
        <w:t>，并且安置的残疾人人数不少于</w:t>
      </w:r>
      <w:r>
        <w:rPr>
          <w:rFonts w:hAnsi="宋体"/>
          <w:color w:val="auto"/>
          <w:spacing w:val="-3"/>
          <w:highlight w:val="none"/>
        </w:rPr>
        <w:t xml:space="preserve"> </w:t>
      </w:r>
      <w:r>
        <w:rPr>
          <w:rFonts w:hAnsi="宋体" w:cs="Arial"/>
          <w:color w:val="auto"/>
          <w:spacing w:val="-2"/>
          <w:w w:val="114"/>
          <w:highlight w:val="none"/>
        </w:rPr>
        <w:t>1</w:t>
      </w:r>
      <w:r>
        <w:rPr>
          <w:rFonts w:hAnsi="宋体" w:cs="Arial"/>
          <w:color w:val="auto"/>
          <w:w w:val="114"/>
          <w:highlight w:val="none"/>
        </w:rPr>
        <w:t>0</w:t>
      </w:r>
      <w:r>
        <w:rPr>
          <w:rFonts w:hAnsi="宋体" w:cs="Arial"/>
          <w:color w:val="auto"/>
          <w:spacing w:val="-6"/>
          <w:highlight w:val="none"/>
        </w:rPr>
        <w:t xml:space="preserve">  </w:t>
      </w:r>
      <w:r>
        <w:rPr>
          <w:rFonts w:hint="eastAsia" w:hAnsi="宋体"/>
          <w:color w:val="auto"/>
          <w:spacing w:val="2"/>
          <w:highlight w:val="none"/>
        </w:rPr>
        <w:t>人</w:t>
      </w:r>
      <w:r>
        <w:rPr>
          <w:rFonts w:hint="eastAsia" w:hAnsi="宋体"/>
          <w:color w:val="auto"/>
          <w:spacing w:val="4"/>
          <w:highlight w:val="none"/>
        </w:rPr>
        <w:t>（</w:t>
      </w:r>
      <w:r>
        <w:rPr>
          <w:rFonts w:hint="eastAsia" w:hAnsi="宋体"/>
          <w:color w:val="auto"/>
          <w:spacing w:val="-29"/>
          <w:highlight w:val="none"/>
        </w:rPr>
        <w:t>含</w:t>
      </w:r>
      <w:r>
        <w:rPr>
          <w:rFonts w:hAnsi="宋体"/>
          <w:color w:val="auto"/>
          <w:spacing w:val="-29"/>
          <w:highlight w:val="none"/>
        </w:rPr>
        <w:t xml:space="preserve"> </w:t>
      </w:r>
      <w:r>
        <w:rPr>
          <w:rFonts w:hAnsi="宋体" w:cs="Arial"/>
          <w:color w:val="auto"/>
          <w:spacing w:val="-2"/>
          <w:w w:val="114"/>
          <w:highlight w:val="none"/>
        </w:rPr>
        <w:t>1</w:t>
      </w:r>
      <w:r>
        <w:rPr>
          <w:rFonts w:hAnsi="宋体" w:cs="Arial"/>
          <w:color w:val="auto"/>
          <w:w w:val="114"/>
          <w:highlight w:val="none"/>
        </w:rPr>
        <w:t>0</w:t>
      </w:r>
    </w:p>
    <w:p>
      <w:pPr>
        <w:pStyle w:val="17"/>
        <w:kinsoku w:val="0"/>
        <w:overflowPunct w:val="0"/>
        <w:spacing w:before="160"/>
        <w:ind w:left="3426"/>
        <w:rPr>
          <w:rFonts w:hAnsi="宋体"/>
          <w:color w:val="auto"/>
          <w:highlight w:val="none"/>
        </w:rPr>
      </w:pPr>
      <w:r>
        <w:rPr>
          <w:rFonts w:hint="eastAsia" w:hAnsi="宋体"/>
          <w:color w:val="auto"/>
          <w:highlight w:val="none"/>
        </w:rPr>
        <w:t>人</w:t>
      </w:r>
      <w:r>
        <w:rPr>
          <w:rFonts w:hint="eastAsia" w:hAnsi="宋体"/>
          <w:color w:val="auto"/>
          <w:spacing w:val="-120"/>
          <w:highlight w:val="none"/>
        </w:rPr>
        <w:t>）</w:t>
      </w:r>
      <w:r>
        <w:rPr>
          <w:rFonts w:hint="eastAsia" w:hAnsi="宋体"/>
          <w:color w:val="auto"/>
          <w:highlight w:val="none"/>
        </w:rPr>
        <w:t>；</w:t>
      </w:r>
    </w:p>
    <w:p>
      <w:pPr>
        <w:pStyle w:val="69"/>
        <w:numPr>
          <w:ilvl w:val="3"/>
          <w:numId w:val="9"/>
        </w:numPr>
        <w:tabs>
          <w:tab w:val="left" w:pos="3427"/>
        </w:tabs>
        <w:kinsoku w:val="0"/>
        <w:overflowPunct w:val="0"/>
        <w:spacing w:before="161" w:line="362" w:lineRule="auto"/>
        <w:ind w:right="571"/>
        <w:jc w:val="both"/>
        <w:rPr>
          <w:rFonts w:hAnsi="宋体"/>
          <w:color w:val="auto"/>
          <w:highlight w:val="none"/>
        </w:rPr>
      </w:pPr>
      <w:r>
        <w:rPr>
          <w:rFonts w:hint="eastAsia" w:hAnsi="宋体"/>
          <w:color w:val="auto"/>
          <w:spacing w:val="-2"/>
          <w:highlight w:val="none"/>
        </w:rPr>
        <w:t>依法与安置的每位残疾人签订了一年以上</w:t>
      </w:r>
      <w:r>
        <w:rPr>
          <w:rFonts w:hint="eastAsia" w:hAnsi="宋体"/>
          <w:color w:val="auto"/>
          <w:highlight w:val="none"/>
        </w:rPr>
        <w:t>（含一年</w:t>
      </w:r>
      <w:r>
        <w:rPr>
          <w:rFonts w:hint="eastAsia" w:hAnsi="宋体"/>
          <w:color w:val="auto"/>
          <w:spacing w:val="-27"/>
          <w:highlight w:val="none"/>
        </w:rPr>
        <w:t>）</w:t>
      </w:r>
      <w:r>
        <w:rPr>
          <w:rFonts w:hint="eastAsia" w:hAnsi="宋体"/>
          <w:color w:val="auto"/>
          <w:spacing w:val="-5"/>
          <w:highlight w:val="none"/>
        </w:rPr>
        <w:t>的劳动</w:t>
      </w:r>
      <w:r>
        <w:rPr>
          <w:rFonts w:hint="eastAsia" w:hAnsi="宋体"/>
          <w:color w:val="auto"/>
          <w:highlight w:val="none"/>
        </w:rPr>
        <w:t>合同或服务协议；</w:t>
      </w:r>
    </w:p>
    <w:p>
      <w:pPr>
        <w:pStyle w:val="69"/>
        <w:numPr>
          <w:ilvl w:val="3"/>
          <w:numId w:val="9"/>
        </w:numPr>
        <w:tabs>
          <w:tab w:val="left" w:pos="3427"/>
        </w:tabs>
        <w:kinsoku w:val="0"/>
        <w:overflowPunct w:val="0"/>
        <w:spacing w:before="5" w:line="362" w:lineRule="auto"/>
        <w:ind w:right="570"/>
        <w:jc w:val="both"/>
        <w:rPr>
          <w:rFonts w:hAnsi="宋体"/>
          <w:color w:val="auto"/>
          <w:highlight w:val="none"/>
        </w:rPr>
      </w:pPr>
      <w:r>
        <w:rPr>
          <w:rFonts w:hint="eastAsia" w:hAnsi="宋体"/>
          <w:color w:val="auto"/>
          <w:spacing w:val="-4"/>
          <w:highlight w:val="none"/>
        </w:rPr>
        <w:t>为安置的每位残疾人按月足额缴纳了基本养老保险、基本医</w:t>
      </w:r>
      <w:r>
        <w:rPr>
          <w:rFonts w:hint="eastAsia" w:hAnsi="宋体"/>
          <w:color w:val="auto"/>
          <w:highlight w:val="none"/>
        </w:rPr>
        <w:t>疗保险、失业保险、工伤保险和生育保险等社会保险费；</w:t>
      </w:r>
    </w:p>
    <w:p>
      <w:pPr>
        <w:pStyle w:val="69"/>
        <w:numPr>
          <w:ilvl w:val="3"/>
          <w:numId w:val="9"/>
        </w:numPr>
        <w:tabs>
          <w:tab w:val="left" w:pos="3427"/>
        </w:tabs>
        <w:kinsoku w:val="0"/>
        <w:overflowPunct w:val="0"/>
        <w:spacing w:before="5" w:line="364" w:lineRule="auto"/>
        <w:ind w:right="570"/>
        <w:jc w:val="both"/>
        <w:rPr>
          <w:rFonts w:hAnsi="宋体"/>
          <w:color w:val="auto"/>
          <w:spacing w:val="6"/>
          <w:highlight w:val="none"/>
        </w:rPr>
      </w:pPr>
      <w:r>
        <w:rPr>
          <w:rFonts w:hint="eastAsia" w:hAnsi="宋体"/>
          <w:color w:val="auto"/>
          <w:spacing w:val="-4"/>
          <w:highlight w:val="none"/>
        </w:rPr>
        <w:t>通过银行等金融机构向安置的每位残疾人，按月支付了不低</w:t>
      </w:r>
      <w:r>
        <w:rPr>
          <w:rFonts w:hint="eastAsia" w:hAnsi="宋体"/>
          <w:color w:val="auto"/>
          <w:spacing w:val="6"/>
          <w:highlight w:val="none"/>
        </w:rPr>
        <w:t>于单位所在区县适用的经省级人民政府批准的月最低工资标准的工资；</w:t>
      </w:r>
    </w:p>
    <w:p>
      <w:pPr>
        <w:pStyle w:val="69"/>
        <w:numPr>
          <w:ilvl w:val="3"/>
          <w:numId w:val="9"/>
        </w:numPr>
        <w:tabs>
          <w:tab w:val="left" w:pos="3427"/>
        </w:tabs>
        <w:kinsoku w:val="0"/>
        <w:overflowPunct w:val="0"/>
        <w:spacing w:line="364" w:lineRule="auto"/>
        <w:ind w:right="571"/>
        <w:jc w:val="both"/>
        <w:rPr>
          <w:rFonts w:hAnsi="宋体"/>
          <w:color w:val="auto"/>
          <w:highlight w:val="none"/>
        </w:rPr>
      </w:pPr>
      <w:r>
        <w:rPr>
          <w:rFonts w:hint="eastAsia" w:hAnsi="宋体"/>
          <w:color w:val="auto"/>
          <w:spacing w:val="-5"/>
          <w:highlight w:val="none"/>
        </w:rPr>
        <w:t>提供本单位制造的货物、承担的工程或者服务</w:t>
      </w:r>
      <w:r>
        <w:rPr>
          <w:rFonts w:hint="eastAsia" w:hAnsi="宋体"/>
          <w:color w:val="auto"/>
          <w:highlight w:val="none"/>
        </w:rPr>
        <w:t>（</w:t>
      </w:r>
      <w:r>
        <w:rPr>
          <w:rFonts w:hint="eastAsia" w:hAnsi="宋体"/>
          <w:color w:val="auto"/>
          <w:spacing w:val="-3"/>
          <w:highlight w:val="none"/>
        </w:rPr>
        <w:t>以下简称产</w:t>
      </w:r>
      <w:r>
        <w:rPr>
          <w:rFonts w:hint="eastAsia" w:hAnsi="宋体"/>
          <w:color w:val="auto"/>
          <w:spacing w:val="2"/>
          <w:highlight w:val="none"/>
        </w:rPr>
        <w:t>品</w:t>
      </w:r>
      <w:r>
        <w:rPr>
          <w:rFonts w:hint="eastAsia" w:hAnsi="宋体"/>
          <w:color w:val="auto"/>
          <w:spacing w:val="-118"/>
          <w:highlight w:val="none"/>
        </w:rPr>
        <w:t>）</w:t>
      </w:r>
      <w:r>
        <w:rPr>
          <w:rFonts w:hint="eastAsia" w:hAnsi="宋体"/>
          <w:color w:val="auto"/>
          <w:spacing w:val="2"/>
          <w:highlight w:val="none"/>
        </w:rPr>
        <w:t>，或者提供其他残疾人福利性单位制造的货物（不包括使用非残疾人福利性单位注册商标的货物</w:t>
      </w:r>
      <w:r>
        <w:rPr>
          <w:rFonts w:hint="eastAsia" w:hAnsi="宋体"/>
          <w:color w:val="auto"/>
          <w:spacing w:val="-120"/>
          <w:highlight w:val="none"/>
        </w:rPr>
        <w:t>）</w:t>
      </w:r>
      <w:r>
        <w:rPr>
          <w:rFonts w:hint="eastAsia" w:hAnsi="宋体"/>
          <w:color w:val="auto"/>
          <w:highlight w:val="none"/>
        </w:rPr>
        <w:t>；</w:t>
      </w:r>
    </w:p>
    <w:p>
      <w:pPr>
        <w:pStyle w:val="69"/>
        <w:numPr>
          <w:ilvl w:val="3"/>
          <w:numId w:val="9"/>
        </w:numPr>
        <w:tabs>
          <w:tab w:val="left" w:pos="3427"/>
        </w:tabs>
        <w:kinsoku w:val="0"/>
        <w:overflowPunct w:val="0"/>
        <w:spacing w:line="364" w:lineRule="auto"/>
        <w:ind w:right="331"/>
        <w:rPr>
          <w:rFonts w:hAnsi="宋体"/>
          <w:color w:val="auto"/>
          <w:spacing w:val="6"/>
          <w:highlight w:val="none"/>
        </w:rPr>
      </w:pPr>
      <w:r>
        <w:rPr>
          <w:rFonts w:hint="eastAsia" w:hAnsi="宋体"/>
          <w:color w:val="auto"/>
          <w:spacing w:val="-4"/>
          <w:highlight w:val="none"/>
        </w:rPr>
        <w:t>前款所称残疾人是指法定劳动年龄内，持有《中华人民共和</w:t>
      </w:r>
      <w:r>
        <w:rPr>
          <w:rFonts w:hAnsi="宋体"/>
          <w:color w:val="auto"/>
          <w:spacing w:val="-4"/>
          <w:highlight w:val="none"/>
        </w:rPr>
        <w:t xml:space="preserve"> </w:t>
      </w:r>
      <w:r>
        <w:rPr>
          <w:rFonts w:hint="eastAsia" w:hAnsi="宋体"/>
          <w:color w:val="auto"/>
          <w:spacing w:val="-20"/>
          <w:highlight w:val="none"/>
        </w:rPr>
        <w:t>国残疾人证》或者《中华人民共和国残疾军人证</w:t>
      </w:r>
      <w:r>
        <w:rPr>
          <w:rFonts w:hint="eastAsia" w:hAnsi="宋体"/>
          <w:color w:val="auto"/>
          <w:highlight w:val="none"/>
        </w:rPr>
        <w:t>（</w:t>
      </w:r>
      <w:r>
        <w:rPr>
          <w:rFonts w:hAnsi="宋体" w:cs="Arial"/>
          <w:color w:val="auto"/>
          <w:highlight w:val="none"/>
        </w:rPr>
        <w:t xml:space="preserve">1 </w:t>
      </w:r>
      <w:r>
        <w:rPr>
          <w:rFonts w:hint="eastAsia" w:hAnsi="宋体"/>
          <w:color w:val="auto"/>
          <w:spacing w:val="-28"/>
          <w:highlight w:val="none"/>
        </w:rPr>
        <w:t>至</w:t>
      </w:r>
      <w:r>
        <w:rPr>
          <w:rFonts w:hAnsi="宋体"/>
          <w:color w:val="auto"/>
          <w:spacing w:val="-28"/>
          <w:highlight w:val="none"/>
        </w:rPr>
        <w:t xml:space="preserve"> </w:t>
      </w:r>
      <w:r>
        <w:rPr>
          <w:rFonts w:hAnsi="宋体" w:cs="Arial"/>
          <w:color w:val="auto"/>
          <w:highlight w:val="none"/>
        </w:rPr>
        <w:t xml:space="preserve">8 </w:t>
      </w:r>
      <w:r>
        <w:rPr>
          <w:rFonts w:hint="eastAsia" w:hAnsi="宋体"/>
          <w:color w:val="auto"/>
          <w:highlight w:val="none"/>
        </w:rPr>
        <w:t>级</w:t>
      </w:r>
      <w:r>
        <w:rPr>
          <w:rFonts w:hint="eastAsia" w:hAnsi="宋体"/>
          <w:color w:val="auto"/>
          <w:spacing w:val="-120"/>
          <w:highlight w:val="none"/>
        </w:rPr>
        <w:t>）</w:t>
      </w:r>
      <w:r>
        <w:rPr>
          <w:rFonts w:hint="eastAsia" w:hAnsi="宋体"/>
          <w:color w:val="auto"/>
          <w:spacing w:val="-13"/>
          <w:highlight w:val="none"/>
        </w:rPr>
        <w:t>》</w:t>
      </w:r>
      <w:r>
        <w:rPr>
          <w:rFonts w:hint="eastAsia" w:hAnsi="宋体"/>
          <w:color w:val="auto"/>
          <w:spacing w:val="-6"/>
          <w:highlight w:val="none"/>
        </w:rPr>
        <w:t>的自然人，包括具有劳动条件和劳动意愿的精神残疾人。在</w:t>
      </w:r>
      <w:r>
        <w:rPr>
          <w:rFonts w:hAnsi="宋体"/>
          <w:color w:val="auto"/>
          <w:spacing w:val="-6"/>
          <w:highlight w:val="none"/>
        </w:rPr>
        <w:t xml:space="preserve"> </w:t>
      </w:r>
      <w:r>
        <w:rPr>
          <w:rFonts w:hint="eastAsia" w:hAnsi="宋体"/>
          <w:color w:val="auto"/>
          <w:spacing w:val="6"/>
          <w:highlight w:val="none"/>
        </w:rPr>
        <w:t>职职工人数是指与残疾人福利性单位建立劳动关系并依法</w:t>
      </w:r>
      <w:r>
        <w:rPr>
          <w:rFonts w:hAnsi="宋体"/>
          <w:color w:val="auto"/>
          <w:spacing w:val="6"/>
          <w:highlight w:val="none"/>
        </w:rPr>
        <w:t xml:space="preserve"> </w:t>
      </w:r>
      <w:r>
        <w:rPr>
          <w:rFonts w:hint="eastAsia" w:hAnsi="宋体"/>
          <w:color w:val="auto"/>
          <w:spacing w:val="6"/>
          <w:highlight w:val="none"/>
        </w:rPr>
        <w:t>签订劳动合同或服务协议的雇员人数。</w:t>
      </w:r>
    </w:p>
    <w:p>
      <w:pPr>
        <w:pStyle w:val="69"/>
        <w:numPr>
          <w:ilvl w:val="2"/>
          <w:numId w:val="9"/>
        </w:numPr>
        <w:tabs>
          <w:tab w:val="left" w:pos="2522"/>
        </w:tabs>
        <w:kinsoku w:val="0"/>
        <w:overflowPunct w:val="0"/>
        <w:spacing w:line="303" w:lineRule="exact"/>
        <w:ind w:hanging="901"/>
        <w:rPr>
          <w:rFonts w:hAnsi="宋体"/>
          <w:color w:val="auto"/>
          <w:spacing w:val="-5"/>
          <w:highlight w:val="none"/>
        </w:rPr>
      </w:pPr>
      <w:r>
        <w:rPr>
          <w:rFonts w:hint="eastAsia" w:hAnsi="宋体"/>
          <w:color w:val="auto"/>
          <w:spacing w:val="-5"/>
          <w:highlight w:val="none"/>
        </w:rPr>
        <w:t>本项目是否专门面向中小企业预留采购份额见第一章《采购邀请》。</w:t>
      </w:r>
    </w:p>
    <w:p>
      <w:pPr>
        <w:pStyle w:val="69"/>
        <w:numPr>
          <w:ilvl w:val="2"/>
          <w:numId w:val="9"/>
        </w:numPr>
        <w:tabs>
          <w:tab w:val="left" w:pos="2522"/>
        </w:tabs>
        <w:kinsoku w:val="0"/>
        <w:overflowPunct w:val="0"/>
        <w:spacing w:before="157"/>
        <w:ind w:hanging="901"/>
        <w:rPr>
          <w:rFonts w:hAnsi="宋体"/>
          <w:color w:val="auto"/>
          <w:spacing w:val="-10"/>
          <w:highlight w:val="none"/>
        </w:rPr>
      </w:pPr>
      <w:r>
        <w:rPr>
          <w:rFonts w:hint="eastAsia" w:hAnsi="宋体"/>
          <w:color w:val="auto"/>
          <w:spacing w:val="-10"/>
          <w:highlight w:val="none"/>
        </w:rPr>
        <w:t>采购标的对应的中小企业划分标准所属行业见《供应商须知资料表》。</w:t>
      </w:r>
    </w:p>
    <w:p>
      <w:pPr>
        <w:pStyle w:val="69"/>
        <w:numPr>
          <w:ilvl w:val="2"/>
          <w:numId w:val="9"/>
        </w:numPr>
        <w:tabs>
          <w:tab w:val="left" w:pos="2522"/>
        </w:tabs>
        <w:kinsoku w:val="0"/>
        <w:overflowPunct w:val="0"/>
        <w:spacing w:before="157"/>
        <w:ind w:hanging="901"/>
        <w:rPr>
          <w:rFonts w:hAnsi="宋体"/>
          <w:color w:val="auto"/>
          <w:spacing w:val="-10"/>
          <w:highlight w:val="none"/>
        </w:rPr>
        <w:sectPr>
          <w:pgSz w:w="11910" w:h="16840"/>
          <w:pgMar w:top="1340" w:right="560" w:bottom="1080" w:left="1160" w:header="879" w:footer="879" w:gutter="0"/>
          <w:cols w:space="720" w:num="1"/>
        </w:sectPr>
      </w:pPr>
    </w:p>
    <w:p>
      <w:pPr>
        <w:pStyle w:val="69"/>
        <w:numPr>
          <w:ilvl w:val="2"/>
          <w:numId w:val="9"/>
        </w:numPr>
        <w:tabs>
          <w:tab w:val="left" w:pos="2522"/>
        </w:tabs>
        <w:kinsoku w:val="0"/>
        <w:overflowPunct w:val="0"/>
        <w:spacing w:before="72"/>
        <w:ind w:hanging="901"/>
        <w:rPr>
          <w:rFonts w:hAnsi="宋体"/>
          <w:color w:val="auto"/>
          <w:spacing w:val="-18"/>
          <w:highlight w:val="none"/>
        </w:rPr>
      </w:pPr>
      <w:r>
        <w:rPr>
          <w:rFonts w:hint="eastAsia" w:hAnsi="宋体"/>
          <w:color w:val="auto"/>
          <w:spacing w:val="-18"/>
          <w:highlight w:val="none"/>
        </w:rPr>
        <w:t>小微企业价格评审优惠的政策调整：见第三章《评审方法和评审标准》。</w:t>
      </w:r>
    </w:p>
    <w:p>
      <w:pPr>
        <w:pStyle w:val="69"/>
        <w:numPr>
          <w:ilvl w:val="1"/>
          <w:numId w:val="9"/>
        </w:numPr>
        <w:tabs>
          <w:tab w:val="left" w:pos="1622"/>
        </w:tabs>
        <w:kinsoku w:val="0"/>
        <w:overflowPunct w:val="0"/>
        <w:spacing w:before="159"/>
        <w:ind w:hanging="721"/>
        <w:jc w:val="both"/>
        <w:rPr>
          <w:rFonts w:hAnsi="宋体"/>
          <w:color w:val="auto"/>
          <w:highlight w:val="none"/>
        </w:rPr>
      </w:pPr>
      <w:r>
        <w:rPr>
          <w:rFonts w:hint="eastAsia" w:hAnsi="宋体"/>
          <w:color w:val="auto"/>
          <w:highlight w:val="none"/>
        </w:rPr>
        <w:t>政府采购节能产品、环境标志产品</w:t>
      </w:r>
    </w:p>
    <w:p>
      <w:pPr>
        <w:pStyle w:val="69"/>
        <w:numPr>
          <w:ilvl w:val="2"/>
          <w:numId w:val="9"/>
        </w:numPr>
        <w:tabs>
          <w:tab w:val="left" w:pos="2522"/>
        </w:tabs>
        <w:kinsoku w:val="0"/>
        <w:overflowPunct w:val="0"/>
        <w:spacing w:before="160" w:line="364" w:lineRule="auto"/>
        <w:ind w:right="570"/>
        <w:jc w:val="both"/>
        <w:rPr>
          <w:rFonts w:hAnsi="宋体"/>
          <w:color w:val="auto"/>
          <w:highlight w:val="none"/>
        </w:rPr>
      </w:pPr>
      <w:r>
        <w:rPr>
          <w:rFonts w:hint="eastAsia" w:hAnsi="宋体"/>
          <w:color w:val="auto"/>
          <w:spacing w:val="-9"/>
          <w:highlight w:val="none"/>
        </w:rPr>
        <w:t>政府采购节能产品、环境标志产品实施品目清单管理。财政部、发展</w:t>
      </w:r>
      <w:r>
        <w:rPr>
          <w:rFonts w:hint="eastAsia" w:hAnsi="宋体"/>
          <w:color w:val="auto"/>
          <w:spacing w:val="-11"/>
          <w:highlight w:val="none"/>
        </w:rPr>
        <w:t>改革委、生态环境部等部门根据产品节能环保性能、技术水平和市场</w:t>
      </w:r>
      <w:r>
        <w:rPr>
          <w:rFonts w:hint="eastAsia" w:hAnsi="宋体"/>
          <w:color w:val="auto"/>
          <w:spacing w:val="-12"/>
          <w:highlight w:val="none"/>
        </w:rPr>
        <w:t>成熟程度等因素，确定实施政府优先采购和强制采购的产品类别及所</w:t>
      </w:r>
      <w:r>
        <w:rPr>
          <w:rFonts w:hint="eastAsia" w:hAnsi="宋体"/>
          <w:color w:val="auto"/>
          <w:spacing w:val="-9"/>
          <w:highlight w:val="none"/>
        </w:rPr>
        <w:t>依据的相关标准规范，以品目清单的形式发布并适时调整。依据品目</w:t>
      </w:r>
      <w:r>
        <w:rPr>
          <w:rFonts w:hint="eastAsia" w:hAnsi="宋体"/>
          <w:color w:val="auto"/>
          <w:highlight w:val="none"/>
        </w:rPr>
        <w:t>清单和认证证书实施政府优先采购和强制采购。</w:t>
      </w:r>
    </w:p>
    <w:p>
      <w:pPr>
        <w:pStyle w:val="69"/>
        <w:numPr>
          <w:ilvl w:val="2"/>
          <w:numId w:val="9"/>
        </w:numPr>
        <w:tabs>
          <w:tab w:val="left" w:pos="2522"/>
        </w:tabs>
        <w:kinsoku w:val="0"/>
        <w:overflowPunct w:val="0"/>
        <w:spacing w:line="364" w:lineRule="auto"/>
        <w:ind w:right="330"/>
        <w:rPr>
          <w:rFonts w:hAnsi="宋体"/>
          <w:color w:val="auto"/>
          <w:highlight w:val="none"/>
        </w:rPr>
      </w:pPr>
      <w:r>
        <w:rPr>
          <w:rFonts w:hint="eastAsia" w:hAnsi="宋体"/>
          <w:color w:val="auto"/>
          <w:spacing w:val="-6"/>
          <w:highlight w:val="none"/>
        </w:rPr>
        <w:t>采购人拟采购的产品属于品目清单范围的，采购人及其委托的采购代</w:t>
      </w:r>
      <w:r>
        <w:rPr>
          <w:rFonts w:hAnsi="宋体"/>
          <w:color w:val="auto"/>
          <w:spacing w:val="-6"/>
          <w:highlight w:val="none"/>
        </w:rPr>
        <w:t xml:space="preserve"> </w:t>
      </w:r>
      <w:r>
        <w:rPr>
          <w:rFonts w:hint="eastAsia" w:hAnsi="宋体"/>
          <w:color w:val="auto"/>
          <w:spacing w:val="-13"/>
          <w:highlight w:val="none"/>
        </w:rPr>
        <w:t>理机构依据国家确定的认证机构出具的、处于有效期之内的节能产品、</w:t>
      </w:r>
      <w:r>
        <w:rPr>
          <w:rFonts w:hint="eastAsia" w:hAnsi="宋体"/>
          <w:color w:val="auto"/>
          <w:spacing w:val="-10"/>
          <w:highlight w:val="none"/>
        </w:rPr>
        <w:t>环境标志产品认证证书，对获得证书的产品实施政府优先采购或强制</w:t>
      </w:r>
      <w:r>
        <w:rPr>
          <w:rFonts w:hAnsi="宋体"/>
          <w:color w:val="auto"/>
          <w:spacing w:val="-10"/>
          <w:highlight w:val="none"/>
        </w:rPr>
        <w:t xml:space="preserve"> </w:t>
      </w:r>
      <w:r>
        <w:rPr>
          <w:rFonts w:hint="eastAsia" w:hAnsi="宋体"/>
          <w:color w:val="auto"/>
          <w:spacing w:val="-11"/>
          <w:highlight w:val="none"/>
        </w:rPr>
        <w:t>采购。关于政府采购节能产品、环境标志产品的相关规定依据《关于</w:t>
      </w:r>
      <w:r>
        <w:rPr>
          <w:rFonts w:hAnsi="宋体"/>
          <w:color w:val="auto"/>
          <w:spacing w:val="-11"/>
          <w:highlight w:val="none"/>
        </w:rPr>
        <w:t xml:space="preserve"> </w:t>
      </w:r>
      <w:r>
        <w:rPr>
          <w:rFonts w:hint="eastAsia" w:hAnsi="宋体"/>
          <w:color w:val="auto"/>
          <w:spacing w:val="-16"/>
          <w:highlight w:val="none"/>
        </w:rPr>
        <w:t>调整优化节能产品、环境标志产品政府采购执行机制的通知》</w:t>
      </w:r>
      <w:r>
        <w:rPr>
          <w:rFonts w:hint="eastAsia" w:hAnsi="宋体"/>
          <w:color w:val="auto"/>
          <w:highlight w:val="none"/>
        </w:rPr>
        <w:t>（财库</w:t>
      </w:r>
    </w:p>
    <w:p>
      <w:pPr>
        <w:pStyle w:val="17"/>
        <w:kinsoku w:val="0"/>
        <w:overflowPunct w:val="0"/>
        <w:spacing w:line="303" w:lineRule="exact"/>
        <w:ind w:left="2521"/>
        <w:rPr>
          <w:rFonts w:hAnsi="宋体"/>
          <w:color w:val="auto"/>
          <w:w w:val="105"/>
          <w:highlight w:val="none"/>
        </w:rPr>
      </w:pPr>
      <w:r>
        <w:rPr>
          <w:rFonts w:hint="eastAsia" w:hAnsi="宋体"/>
          <w:color w:val="auto"/>
          <w:w w:val="105"/>
          <w:highlight w:val="none"/>
        </w:rPr>
        <w:t>〔</w:t>
      </w:r>
      <w:r>
        <w:rPr>
          <w:rFonts w:hAnsi="宋体" w:cs="Arial"/>
          <w:color w:val="auto"/>
          <w:w w:val="105"/>
          <w:highlight w:val="none"/>
        </w:rPr>
        <w:t>2019</w:t>
      </w:r>
      <w:r>
        <w:rPr>
          <w:rFonts w:hint="eastAsia" w:hAnsi="宋体"/>
          <w:color w:val="auto"/>
          <w:w w:val="105"/>
          <w:highlight w:val="none"/>
        </w:rPr>
        <w:t>〕</w:t>
      </w:r>
      <w:r>
        <w:rPr>
          <w:rFonts w:hAnsi="宋体" w:cs="Arial"/>
          <w:color w:val="auto"/>
          <w:w w:val="105"/>
          <w:highlight w:val="none"/>
        </w:rPr>
        <w:t xml:space="preserve">9 </w:t>
      </w:r>
      <w:r>
        <w:rPr>
          <w:rFonts w:hint="eastAsia" w:hAnsi="宋体"/>
          <w:color w:val="auto"/>
          <w:w w:val="105"/>
          <w:highlight w:val="none"/>
        </w:rPr>
        <w:t>号</w:t>
      </w:r>
      <w:r>
        <w:rPr>
          <w:rFonts w:hint="eastAsia" w:hAnsi="宋体"/>
          <w:color w:val="auto"/>
          <w:spacing w:val="-120"/>
          <w:w w:val="105"/>
          <w:highlight w:val="none"/>
        </w:rPr>
        <w:t>）</w:t>
      </w:r>
      <w:r>
        <w:rPr>
          <w:rFonts w:hint="eastAsia" w:hAnsi="宋体"/>
          <w:color w:val="auto"/>
          <w:w w:val="105"/>
          <w:highlight w:val="none"/>
        </w:rPr>
        <w:t>。</w:t>
      </w:r>
    </w:p>
    <w:p>
      <w:pPr>
        <w:pStyle w:val="69"/>
        <w:numPr>
          <w:ilvl w:val="2"/>
          <w:numId w:val="9"/>
        </w:numPr>
        <w:tabs>
          <w:tab w:val="left" w:pos="2522"/>
        </w:tabs>
        <w:kinsoku w:val="0"/>
        <w:overflowPunct w:val="0"/>
        <w:spacing w:before="159" w:line="364" w:lineRule="auto"/>
        <w:ind w:right="463"/>
        <w:rPr>
          <w:rFonts w:hAnsi="宋体"/>
          <w:color w:val="auto"/>
          <w:spacing w:val="-5"/>
          <w:highlight w:val="none"/>
        </w:rPr>
      </w:pPr>
      <w:r>
        <w:rPr>
          <w:rFonts w:hint="eastAsia" w:hAnsi="宋体"/>
          <w:color w:val="auto"/>
          <w:spacing w:val="-1"/>
          <w:highlight w:val="none"/>
        </w:rPr>
        <w:t>如本项目采购产品属于实施政府强制采购品目清单范围的节能产品，</w:t>
      </w:r>
      <w:r>
        <w:rPr>
          <w:rFonts w:hAnsi="宋体"/>
          <w:color w:val="auto"/>
          <w:spacing w:val="-1"/>
          <w:highlight w:val="none"/>
        </w:rPr>
        <w:t xml:space="preserve"> </w:t>
      </w:r>
      <w:r>
        <w:rPr>
          <w:rFonts w:hint="eastAsia" w:hAnsi="宋体"/>
          <w:color w:val="auto"/>
          <w:spacing w:val="-5"/>
          <w:highlight w:val="none"/>
        </w:rPr>
        <w:t>则供应商所报产品必须获得国家确定的认证机构出具的、处于有效期之内的节能产品认证证书，否则响应无效；</w:t>
      </w:r>
    </w:p>
    <w:p>
      <w:pPr>
        <w:pStyle w:val="69"/>
        <w:numPr>
          <w:ilvl w:val="2"/>
          <w:numId w:val="9"/>
        </w:numPr>
        <w:tabs>
          <w:tab w:val="left" w:pos="2522"/>
        </w:tabs>
        <w:kinsoku w:val="0"/>
        <w:overflowPunct w:val="0"/>
        <w:spacing w:line="362" w:lineRule="auto"/>
        <w:ind w:right="570"/>
        <w:jc w:val="both"/>
        <w:rPr>
          <w:rFonts w:hAnsi="宋体"/>
          <w:color w:val="auto"/>
          <w:highlight w:val="none"/>
        </w:rPr>
      </w:pPr>
      <w:r>
        <w:rPr>
          <w:rFonts w:hint="eastAsia" w:hAnsi="宋体"/>
          <w:color w:val="auto"/>
          <w:spacing w:val="-7"/>
          <w:highlight w:val="none"/>
        </w:rPr>
        <w:t>非政府强制采购的节能产品或环境标志产品，依据品目清单和认证证</w:t>
      </w:r>
      <w:r>
        <w:rPr>
          <w:rFonts w:hint="eastAsia" w:hAnsi="宋体"/>
          <w:color w:val="auto"/>
          <w:spacing w:val="-10"/>
          <w:highlight w:val="none"/>
        </w:rPr>
        <w:t>书实施政府优先采购。优先采购的具体规定见第三章《评审方法和评</w:t>
      </w:r>
      <w:r>
        <w:rPr>
          <w:rFonts w:hint="eastAsia" w:hAnsi="宋体"/>
          <w:color w:val="auto"/>
          <w:spacing w:val="-30"/>
          <w:highlight w:val="none"/>
        </w:rPr>
        <w:t>审标准》</w:t>
      </w:r>
      <w:r>
        <w:rPr>
          <w:rFonts w:hint="eastAsia" w:hAnsi="宋体"/>
          <w:color w:val="auto"/>
          <w:highlight w:val="none"/>
        </w:rPr>
        <w:t>（如涉及</w:t>
      </w:r>
      <w:r>
        <w:rPr>
          <w:rFonts w:hint="eastAsia" w:hAnsi="宋体"/>
          <w:color w:val="auto"/>
          <w:spacing w:val="-120"/>
          <w:highlight w:val="none"/>
        </w:rPr>
        <w:t>）</w:t>
      </w:r>
      <w:r>
        <w:rPr>
          <w:rFonts w:hint="eastAsia" w:hAnsi="宋体"/>
          <w:color w:val="auto"/>
          <w:highlight w:val="none"/>
        </w:rPr>
        <w:t>。</w:t>
      </w:r>
    </w:p>
    <w:p>
      <w:pPr>
        <w:pStyle w:val="69"/>
        <w:numPr>
          <w:ilvl w:val="1"/>
          <w:numId w:val="9"/>
        </w:numPr>
        <w:tabs>
          <w:tab w:val="left" w:pos="1622"/>
        </w:tabs>
        <w:kinsoku w:val="0"/>
        <w:overflowPunct w:val="0"/>
        <w:spacing w:before="5"/>
        <w:ind w:hanging="721"/>
        <w:jc w:val="both"/>
        <w:rPr>
          <w:rFonts w:hAnsi="宋体"/>
          <w:color w:val="auto"/>
          <w:highlight w:val="none"/>
        </w:rPr>
      </w:pPr>
      <w:bookmarkStart w:id="24" w:name="_Hlk149134809"/>
      <w:r>
        <w:rPr>
          <w:rFonts w:hint="eastAsia" w:hAnsi="宋体"/>
          <w:color w:val="auto"/>
          <w:highlight w:val="none"/>
        </w:rPr>
        <w:t>正版软件</w:t>
      </w:r>
    </w:p>
    <w:p>
      <w:pPr>
        <w:pStyle w:val="69"/>
        <w:numPr>
          <w:ilvl w:val="2"/>
          <w:numId w:val="9"/>
        </w:numPr>
        <w:tabs>
          <w:tab w:val="left" w:pos="2522"/>
        </w:tabs>
        <w:kinsoku w:val="0"/>
        <w:overflowPunct w:val="0"/>
        <w:spacing w:before="161" w:line="364" w:lineRule="auto"/>
        <w:ind w:right="450"/>
        <w:rPr>
          <w:rFonts w:hAnsi="宋体"/>
          <w:color w:val="auto"/>
          <w:highlight w:val="none"/>
        </w:rPr>
      </w:pPr>
      <w:r>
        <w:rPr>
          <w:rFonts w:hint="eastAsia" w:hAnsi="宋体"/>
          <w:color w:val="auto"/>
          <w:spacing w:val="-11"/>
          <w:highlight w:val="none"/>
        </w:rPr>
        <w:t>依据《财政部</w:t>
      </w:r>
      <w:r>
        <w:rPr>
          <w:rFonts w:hAnsi="宋体"/>
          <w:color w:val="auto"/>
          <w:spacing w:val="-11"/>
          <w:highlight w:val="none"/>
        </w:rPr>
        <w:t xml:space="preserve"> </w:t>
      </w:r>
      <w:r>
        <w:rPr>
          <w:rFonts w:hint="eastAsia" w:hAnsi="宋体"/>
          <w:color w:val="auto"/>
          <w:spacing w:val="-11"/>
          <w:highlight w:val="none"/>
        </w:rPr>
        <w:t>国家发展改革委</w:t>
      </w:r>
      <w:r>
        <w:rPr>
          <w:rFonts w:hAnsi="宋体"/>
          <w:color w:val="auto"/>
          <w:spacing w:val="-11"/>
          <w:highlight w:val="none"/>
        </w:rPr>
        <w:t xml:space="preserve"> </w:t>
      </w:r>
      <w:r>
        <w:rPr>
          <w:rFonts w:hint="eastAsia" w:hAnsi="宋体"/>
          <w:color w:val="auto"/>
          <w:spacing w:val="-11"/>
          <w:highlight w:val="none"/>
        </w:rPr>
        <w:t>信息产业部关于印发无线局域网产品政府采购实施意见的通知</w:t>
      </w:r>
      <w:r>
        <w:rPr>
          <w:rFonts w:hint="eastAsia" w:hAnsi="宋体"/>
          <w:color w:val="auto"/>
          <w:spacing w:val="-144"/>
          <w:highlight w:val="none"/>
        </w:rPr>
        <w:t>》</w:t>
      </w:r>
      <w:r>
        <w:rPr>
          <w:rFonts w:hint="eastAsia" w:hAnsi="宋体"/>
          <w:color w:val="auto"/>
          <w:highlight w:val="none"/>
        </w:rPr>
        <w:t>（</w:t>
      </w:r>
      <w:r>
        <w:rPr>
          <w:rFonts w:hint="eastAsia" w:hAnsi="宋体"/>
          <w:color w:val="auto"/>
          <w:spacing w:val="-8"/>
          <w:highlight w:val="none"/>
        </w:rPr>
        <w:t>财库〔</w:t>
      </w:r>
      <w:r>
        <w:rPr>
          <w:rFonts w:hAnsi="宋体" w:cs="Arial"/>
          <w:color w:val="auto"/>
          <w:highlight w:val="none"/>
        </w:rPr>
        <w:t>2005</w:t>
      </w:r>
      <w:r>
        <w:rPr>
          <w:rFonts w:hint="eastAsia" w:hAnsi="宋体"/>
          <w:color w:val="auto"/>
          <w:spacing w:val="-25"/>
          <w:highlight w:val="none"/>
        </w:rPr>
        <w:t>〕</w:t>
      </w:r>
      <w:r>
        <w:rPr>
          <w:rFonts w:hAnsi="宋体" w:cs="Arial"/>
          <w:color w:val="auto"/>
          <w:highlight w:val="none"/>
        </w:rPr>
        <w:t>366</w:t>
      </w:r>
      <w:r>
        <w:rPr>
          <w:rFonts w:hAnsi="宋体" w:cs="Arial"/>
          <w:color w:val="auto"/>
          <w:spacing w:val="26"/>
          <w:highlight w:val="none"/>
        </w:rPr>
        <w:t xml:space="preserve">  </w:t>
      </w:r>
      <w:r>
        <w:rPr>
          <w:rFonts w:hint="eastAsia" w:hAnsi="宋体"/>
          <w:color w:val="auto"/>
          <w:highlight w:val="none"/>
        </w:rPr>
        <w:t>号</w:t>
      </w:r>
      <w:r>
        <w:rPr>
          <w:rFonts w:hint="eastAsia" w:hAnsi="宋体"/>
          <w:color w:val="auto"/>
          <w:spacing w:val="-72"/>
          <w:highlight w:val="none"/>
        </w:rPr>
        <w:t>）</w:t>
      </w:r>
      <w:r>
        <w:rPr>
          <w:rFonts w:hint="eastAsia" w:hAnsi="宋体"/>
          <w:color w:val="auto"/>
          <w:spacing w:val="-12"/>
          <w:highlight w:val="none"/>
        </w:rPr>
        <w:t>，采购无线局域</w:t>
      </w:r>
      <w:r>
        <w:rPr>
          <w:rFonts w:hint="eastAsia" w:hAnsi="宋体"/>
          <w:color w:val="auto"/>
          <w:spacing w:val="-22"/>
          <w:highlight w:val="none"/>
        </w:rPr>
        <w:t>网产品和含有无线局域网功能的计算机、通信设备、打印机、复印机、</w:t>
      </w:r>
      <w:r>
        <w:rPr>
          <w:rFonts w:hint="eastAsia" w:hAnsi="宋体"/>
          <w:color w:val="auto"/>
          <w:spacing w:val="19"/>
          <w:highlight w:val="none"/>
        </w:rPr>
        <w:t>投影仪等产品的，优先采购符合国家无线局域网安全标准</w:t>
      </w:r>
      <w:r>
        <w:rPr>
          <w:rFonts w:hint="eastAsia" w:hAnsi="宋体"/>
          <w:color w:val="auto"/>
          <w:spacing w:val="4"/>
          <w:highlight w:val="none"/>
        </w:rPr>
        <w:t>（</w:t>
      </w:r>
      <w:r>
        <w:rPr>
          <w:rFonts w:hAnsi="宋体" w:cs="Arial"/>
          <w:color w:val="auto"/>
          <w:spacing w:val="4"/>
          <w:highlight w:val="none"/>
        </w:rPr>
        <w:t xml:space="preserve">GB </w:t>
      </w:r>
      <w:r>
        <w:rPr>
          <w:rFonts w:hAnsi="宋体" w:cs="Arial"/>
          <w:color w:val="auto"/>
          <w:highlight w:val="none"/>
        </w:rPr>
        <w:t>15629.11/1102</w:t>
      </w:r>
      <w:r>
        <w:rPr>
          <w:rFonts w:hint="eastAsia" w:hAnsi="宋体"/>
          <w:color w:val="auto"/>
          <w:highlight w:val="none"/>
        </w:rPr>
        <w:t>）</w:t>
      </w:r>
      <w:r>
        <w:rPr>
          <w:rFonts w:hint="eastAsia" w:hAnsi="宋体"/>
          <w:color w:val="auto"/>
          <w:spacing w:val="-2"/>
          <w:highlight w:val="none"/>
        </w:rPr>
        <w:t>并通过国家产品认证的产品。其中，国家有特殊</w:t>
      </w:r>
      <w:r>
        <w:rPr>
          <w:rFonts w:hAnsi="宋体"/>
          <w:color w:val="auto"/>
          <w:spacing w:val="-2"/>
          <w:highlight w:val="none"/>
        </w:rPr>
        <w:t xml:space="preserve"> </w:t>
      </w:r>
      <w:r>
        <w:rPr>
          <w:rFonts w:hint="eastAsia" w:hAnsi="宋体"/>
          <w:color w:val="auto"/>
          <w:spacing w:val="-8"/>
          <w:highlight w:val="none"/>
        </w:rPr>
        <w:t>信息安全要求的项目必须采购认证产品，否则响应无效。财政部、国</w:t>
      </w:r>
      <w:r>
        <w:rPr>
          <w:rFonts w:hint="eastAsia" w:hAnsi="宋体"/>
          <w:color w:val="auto"/>
          <w:spacing w:val="-14"/>
          <w:highlight w:val="none"/>
        </w:rPr>
        <w:t>家发展改革委、信息产业部根据政府采购改革进展和无线局域网产品</w:t>
      </w:r>
      <w:r>
        <w:rPr>
          <w:rFonts w:hint="eastAsia" w:hAnsi="宋体"/>
          <w:color w:val="auto"/>
          <w:spacing w:val="-17"/>
          <w:highlight w:val="none"/>
        </w:rPr>
        <w:t>技术及市场成熟等情况，从国家指定的认证机构认证的生产厂商和产品型号中确定优先采购的产品，并以</w:t>
      </w:r>
      <w:r>
        <w:rPr>
          <w:rFonts w:hAnsi="宋体" w:cs="Arial"/>
          <w:color w:val="auto"/>
          <w:highlight w:val="none"/>
        </w:rPr>
        <w:t>“</w:t>
      </w:r>
      <w:r>
        <w:rPr>
          <w:rFonts w:hint="eastAsia" w:hAnsi="宋体"/>
          <w:color w:val="auto"/>
          <w:highlight w:val="none"/>
        </w:rPr>
        <w:t>无线局域网认证产品政府采购清单</w:t>
      </w:r>
      <w:r>
        <w:rPr>
          <w:rFonts w:hAnsi="宋体" w:cs="Arial"/>
          <w:color w:val="auto"/>
          <w:highlight w:val="none"/>
        </w:rPr>
        <w:t>”</w:t>
      </w:r>
      <w:r>
        <w:rPr>
          <w:rFonts w:hint="eastAsia" w:hAnsi="宋体"/>
          <w:color w:val="auto"/>
          <w:highlight w:val="none"/>
        </w:rPr>
        <w:t>（以下简称清单）的形式公布。清单中新增认证产品厂商和型</w:t>
      </w:r>
    </w:p>
    <w:p>
      <w:pPr>
        <w:pStyle w:val="69"/>
        <w:numPr>
          <w:ilvl w:val="2"/>
          <w:numId w:val="9"/>
        </w:numPr>
        <w:tabs>
          <w:tab w:val="left" w:pos="2522"/>
        </w:tabs>
        <w:kinsoku w:val="0"/>
        <w:overflowPunct w:val="0"/>
        <w:spacing w:before="161" w:line="364" w:lineRule="auto"/>
        <w:ind w:right="450"/>
        <w:rPr>
          <w:rFonts w:hAnsi="宋体"/>
          <w:color w:val="auto"/>
          <w:highlight w:val="none"/>
        </w:rPr>
        <w:sectPr>
          <w:pgSz w:w="11910" w:h="16840"/>
          <w:pgMar w:top="1340" w:right="560" w:bottom="1080" w:left="1160" w:header="879" w:footer="879" w:gutter="0"/>
          <w:cols w:space="720" w:num="1"/>
        </w:sectPr>
      </w:pPr>
    </w:p>
    <w:p>
      <w:pPr>
        <w:pStyle w:val="17"/>
        <w:kinsoku w:val="0"/>
        <w:overflowPunct w:val="0"/>
        <w:spacing w:before="73" w:line="362" w:lineRule="auto"/>
        <w:ind w:left="2521" w:right="570"/>
        <w:rPr>
          <w:rFonts w:hAnsi="宋体"/>
          <w:color w:val="auto"/>
          <w:highlight w:val="none"/>
        </w:rPr>
      </w:pPr>
      <w:r>
        <w:rPr>
          <w:rFonts w:hint="eastAsia" w:hAnsi="宋体"/>
          <w:color w:val="auto"/>
          <w:spacing w:val="-12"/>
          <w:highlight w:val="none"/>
        </w:rPr>
        <w:t>号，由财政部、国家发展改革委、信息产业部以文件形式确定、公布</w:t>
      </w:r>
      <w:r>
        <w:rPr>
          <w:rFonts w:hint="eastAsia" w:hAnsi="宋体"/>
          <w:color w:val="auto"/>
          <w:highlight w:val="none"/>
        </w:rPr>
        <w:t>并适时调整。</w:t>
      </w:r>
    </w:p>
    <w:p>
      <w:pPr>
        <w:pStyle w:val="69"/>
        <w:numPr>
          <w:ilvl w:val="2"/>
          <w:numId w:val="9"/>
        </w:numPr>
        <w:tabs>
          <w:tab w:val="left" w:pos="2522"/>
        </w:tabs>
        <w:kinsoku w:val="0"/>
        <w:overflowPunct w:val="0"/>
        <w:spacing w:before="4" w:line="364" w:lineRule="auto"/>
        <w:ind w:right="448"/>
        <w:jc w:val="both"/>
        <w:rPr>
          <w:rFonts w:hAnsi="宋体"/>
          <w:color w:val="auto"/>
          <w:highlight w:val="none"/>
        </w:rPr>
      </w:pPr>
      <w:r>
        <w:rPr>
          <w:rFonts w:hint="eastAsia" w:hAnsi="宋体"/>
          <w:color w:val="auto"/>
          <w:spacing w:val="-7"/>
          <w:highlight w:val="none"/>
        </w:rPr>
        <w:t>各级政府部门在购置计算机办公设备时，必须采购预装正版操作系统</w:t>
      </w:r>
      <w:r>
        <w:rPr>
          <w:rFonts w:hint="eastAsia" w:hAnsi="宋体"/>
          <w:color w:val="auto"/>
          <w:spacing w:val="-13"/>
          <w:highlight w:val="none"/>
        </w:rPr>
        <w:t>软件的计算机产品，相关规定依据《国家版权局、信息产业部、财政</w:t>
      </w:r>
      <w:r>
        <w:rPr>
          <w:rFonts w:hint="eastAsia" w:hAnsi="宋体"/>
          <w:color w:val="auto"/>
          <w:spacing w:val="-12"/>
          <w:highlight w:val="none"/>
        </w:rPr>
        <w:t>部、国务院机关事务管理局关于政府部门购置计算机办公设备必须采</w:t>
      </w:r>
      <w:r>
        <w:rPr>
          <w:rFonts w:hint="eastAsia" w:hAnsi="宋体"/>
          <w:color w:val="auto"/>
          <w:spacing w:val="-9"/>
          <w:highlight w:val="none"/>
        </w:rPr>
        <w:t>购已预装正版操作系统软件产品的通知》</w:t>
      </w:r>
      <w:r>
        <w:rPr>
          <w:rFonts w:hint="eastAsia" w:hAnsi="宋体"/>
          <w:color w:val="auto"/>
          <w:highlight w:val="none"/>
        </w:rPr>
        <w:t>（</w:t>
      </w:r>
      <w:r>
        <w:rPr>
          <w:rFonts w:hint="eastAsia" w:hAnsi="宋体"/>
          <w:color w:val="auto"/>
          <w:spacing w:val="1"/>
          <w:highlight w:val="none"/>
        </w:rPr>
        <w:t>国权联〔</w:t>
      </w:r>
      <w:r>
        <w:rPr>
          <w:rFonts w:hAnsi="宋体" w:cs="Arial"/>
          <w:color w:val="auto"/>
          <w:highlight w:val="none"/>
        </w:rPr>
        <w:t>2006</w:t>
      </w:r>
      <w:r>
        <w:rPr>
          <w:rFonts w:hint="eastAsia" w:hAnsi="宋体"/>
          <w:color w:val="auto"/>
          <w:highlight w:val="none"/>
        </w:rPr>
        <w:t>〕</w:t>
      </w:r>
      <w:r>
        <w:rPr>
          <w:rFonts w:hAnsi="宋体" w:cs="Arial"/>
          <w:color w:val="auto"/>
          <w:highlight w:val="none"/>
        </w:rPr>
        <w:t>1</w:t>
      </w:r>
      <w:r>
        <w:rPr>
          <w:rFonts w:hAnsi="宋体" w:cs="Arial"/>
          <w:color w:val="auto"/>
          <w:spacing w:val="28"/>
          <w:highlight w:val="none"/>
        </w:rPr>
        <w:t xml:space="preserve"> </w:t>
      </w:r>
      <w:r>
        <w:rPr>
          <w:rFonts w:hint="eastAsia" w:hAnsi="宋体"/>
          <w:color w:val="auto"/>
          <w:spacing w:val="4"/>
          <w:highlight w:val="none"/>
        </w:rPr>
        <w:t>号</w:t>
      </w:r>
      <w:r>
        <w:rPr>
          <w:rFonts w:hint="eastAsia" w:hAnsi="宋体"/>
          <w:color w:val="auto"/>
          <w:spacing w:val="-118"/>
          <w:highlight w:val="none"/>
        </w:rPr>
        <w:t>）</w:t>
      </w:r>
      <w:r>
        <w:rPr>
          <w:rFonts w:hint="eastAsia" w:hAnsi="宋体"/>
          <w:color w:val="auto"/>
          <w:highlight w:val="none"/>
        </w:rPr>
        <w:t>、</w:t>
      </w:r>
    </w:p>
    <w:p>
      <w:pPr>
        <w:pStyle w:val="17"/>
        <w:kinsoku w:val="0"/>
        <w:overflowPunct w:val="0"/>
        <w:spacing w:line="305" w:lineRule="exact"/>
        <w:ind w:left="2521"/>
        <w:rPr>
          <w:rFonts w:hAnsi="宋体"/>
          <w:color w:val="auto"/>
          <w:highlight w:val="none"/>
        </w:rPr>
      </w:pPr>
      <w:r>
        <w:rPr>
          <w:rFonts w:hint="eastAsia" w:hAnsi="宋体"/>
          <w:color w:val="auto"/>
          <w:highlight w:val="none"/>
        </w:rPr>
        <w:t>《国务院办公厅关于进一步做好政府机关使用正版软件工作的通知》</w:t>
      </w:r>
    </w:p>
    <w:p>
      <w:pPr>
        <w:pStyle w:val="17"/>
        <w:kinsoku w:val="0"/>
        <w:overflowPunct w:val="0"/>
        <w:spacing w:before="161" w:line="362" w:lineRule="auto"/>
        <w:ind w:left="2521" w:right="568"/>
        <w:rPr>
          <w:rFonts w:hAnsi="宋体"/>
          <w:color w:val="auto"/>
          <w:highlight w:val="none"/>
        </w:rPr>
      </w:pPr>
      <w:r>
        <w:rPr>
          <w:rFonts w:hint="eastAsia" w:hAnsi="宋体"/>
          <w:color w:val="auto"/>
          <w:highlight w:val="none"/>
        </w:rPr>
        <w:t>（国办发〔</w:t>
      </w:r>
      <w:r>
        <w:rPr>
          <w:rFonts w:hAnsi="宋体" w:cs="Arial"/>
          <w:color w:val="auto"/>
          <w:highlight w:val="none"/>
        </w:rPr>
        <w:t>2010</w:t>
      </w:r>
      <w:r>
        <w:rPr>
          <w:rFonts w:hint="eastAsia" w:hAnsi="宋体"/>
          <w:color w:val="auto"/>
          <w:highlight w:val="none"/>
        </w:rPr>
        <w:t>〕</w:t>
      </w:r>
      <w:r>
        <w:rPr>
          <w:rFonts w:hAnsi="宋体" w:cs="Arial"/>
          <w:color w:val="auto"/>
          <w:highlight w:val="none"/>
        </w:rPr>
        <w:t>47</w:t>
      </w:r>
      <w:r>
        <w:rPr>
          <w:rFonts w:hAnsi="宋体" w:cs="Arial"/>
          <w:color w:val="auto"/>
          <w:spacing w:val="51"/>
          <w:highlight w:val="none"/>
        </w:rPr>
        <w:t xml:space="preserve"> </w:t>
      </w:r>
      <w:r>
        <w:rPr>
          <w:rFonts w:hint="eastAsia" w:hAnsi="宋体"/>
          <w:color w:val="auto"/>
          <w:spacing w:val="4"/>
          <w:highlight w:val="none"/>
        </w:rPr>
        <w:t>号</w:t>
      </w:r>
      <w:r>
        <w:rPr>
          <w:rFonts w:hint="eastAsia" w:hAnsi="宋体"/>
          <w:color w:val="auto"/>
          <w:spacing w:val="-118"/>
          <w:highlight w:val="none"/>
        </w:rPr>
        <w:t>）</w:t>
      </w:r>
      <w:r>
        <w:rPr>
          <w:rFonts w:hint="eastAsia" w:hAnsi="宋体"/>
          <w:color w:val="auto"/>
          <w:spacing w:val="-12"/>
          <w:highlight w:val="none"/>
        </w:rPr>
        <w:t>、《财政部关于进一步做好政府机关使用</w:t>
      </w:r>
      <w:r>
        <w:rPr>
          <w:rFonts w:hint="eastAsia" w:hAnsi="宋体"/>
          <w:color w:val="auto"/>
          <w:spacing w:val="-23"/>
          <w:highlight w:val="none"/>
        </w:rPr>
        <w:t>正版软件工作的通知》</w:t>
      </w:r>
      <w:r>
        <w:rPr>
          <w:rFonts w:hint="eastAsia" w:hAnsi="宋体"/>
          <w:color w:val="auto"/>
          <w:highlight w:val="none"/>
        </w:rPr>
        <w:t>（财预〔</w:t>
      </w:r>
      <w:r>
        <w:rPr>
          <w:rFonts w:hAnsi="宋体" w:cs="Arial"/>
          <w:color w:val="auto"/>
          <w:highlight w:val="none"/>
        </w:rPr>
        <w:t>2010</w:t>
      </w:r>
      <w:r>
        <w:rPr>
          <w:rFonts w:hint="eastAsia" w:hAnsi="宋体"/>
          <w:color w:val="auto"/>
          <w:highlight w:val="none"/>
        </w:rPr>
        <w:t>〕</w:t>
      </w:r>
      <w:r>
        <w:rPr>
          <w:rFonts w:hAnsi="宋体" w:cs="Arial"/>
          <w:color w:val="auto"/>
          <w:highlight w:val="none"/>
        </w:rPr>
        <w:t>536</w:t>
      </w:r>
      <w:r>
        <w:rPr>
          <w:rFonts w:hAnsi="宋体" w:cs="Arial"/>
          <w:color w:val="auto"/>
          <w:spacing w:val="61"/>
          <w:highlight w:val="none"/>
        </w:rPr>
        <w:t xml:space="preserve"> </w:t>
      </w:r>
      <w:r>
        <w:rPr>
          <w:rFonts w:hint="eastAsia" w:hAnsi="宋体"/>
          <w:color w:val="auto"/>
          <w:highlight w:val="none"/>
        </w:rPr>
        <w:t>号</w:t>
      </w:r>
      <w:r>
        <w:rPr>
          <w:rFonts w:hint="eastAsia" w:hAnsi="宋体"/>
          <w:color w:val="auto"/>
          <w:spacing w:val="-120"/>
          <w:highlight w:val="none"/>
        </w:rPr>
        <w:t>）</w:t>
      </w:r>
      <w:r>
        <w:rPr>
          <w:rFonts w:hint="eastAsia" w:hAnsi="宋体"/>
          <w:color w:val="auto"/>
          <w:highlight w:val="none"/>
        </w:rPr>
        <w:t>。</w:t>
      </w:r>
    </w:p>
    <w:p>
      <w:pPr>
        <w:pStyle w:val="69"/>
        <w:numPr>
          <w:ilvl w:val="1"/>
          <w:numId w:val="9"/>
        </w:numPr>
        <w:tabs>
          <w:tab w:val="left" w:pos="1622"/>
        </w:tabs>
        <w:kinsoku w:val="0"/>
        <w:overflowPunct w:val="0"/>
        <w:spacing w:before="5"/>
        <w:ind w:hanging="721"/>
        <w:rPr>
          <w:rFonts w:hAnsi="宋体"/>
          <w:color w:val="auto"/>
          <w:highlight w:val="none"/>
        </w:rPr>
      </w:pPr>
      <w:r>
        <w:rPr>
          <w:rFonts w:hint="eastAsia" w:hAnsi="宋体"/>
          <w:color w:val="auto"/>
          <w:highlight w:val="none"/>
        </w:rPr>
        <w:t>网络安全专用产品</w:t>
      </w:r>
    </w:p>
    <w:p>
      <w:pPr>
        <w:pStyle w:val="69"/>
        <w:numPr>
          <w:ilvl w:val="2"/>
          <w:numId w:val="9"/>
        </w:numPr>
        <w:tabs>
          <w:tab w:val="left" w:pos="2522"/>
        </w:tabs>
        <w:kinsoku w:val="0"/>
        <w:overflowPunct w:val="0"/>
        <w:spacing w:before="158" w:line="364" w:lineRule="auto"/>
        <w:ind w:right="463"/>
        <w:rPr>
          <w:rFonts w:hAnsi="宋体"/>
          <w:color w:val="auto"/>
          <w:spacing w:val="-11"/>
          <w:highlight w:val="none"/>
        </w:rPr>
      </w:pPr>
      <w:r>
        <w:rPr>
          <w:rFonts w:hint="eastAsia" w:hAnsi="宋体"/>
          <w:color w:val="auto"/>
          <w:spacing w:val="-9"/>
          <w:highlight w:val="none"/>
        </w:rPr>
        <w:t>所投产品属于列入《网络关键设备和网络安全专用产品目录》的网络</w:t>
      </w:r>
      <w:r>
        <w:rPr>
          <w:rFonts w:hint="eastAsia" w:hAnsi="宋体"/>
          <w:color w:val="auto"/>
          <w:spacing w:val="-10"/>
          <w:highlight w:val="none"/>
        </w:rPr>
        <w:t>安全专用产品，应当在国家互联网信息办公室会同工业和信息化部、</w:t>
      </w:r>
      <w:r>
        <w:rPr>
          <w:rFonts w:hint="eastAsia" w:hAnsi="宋体"/>
          <w:color w:val="auto"/>
          <w:spacing w:val="-11"/>
          <w:highlight w:val="none"/>
        </w:rPr>
        <w:t>公安部、国家认证认可监督管理委员会统一公布和更新的符合要求的网络关键设备和网络安全专用产品清单中。</w:t>
      </w:r>
    </w:p>
    <w:p>
      <w:pPr>
        <w:pStyle w:val="69"/>
        <w:numPr>
          <w:ilvl w:val="1"/>
          <w:numId w:val="9"/>
        </w:numPr>
        <w:tabs>
          <w:tab w:val="left" w:pos="1622"/>
        </w:tabs>
        <w:kinsoku w:val="0"/>
        <w:overflowPunct w:val="0"/>
        <w:ind w:hanging="721"/>
        <w:rPr>
          <w:rFonts w:hAnsi="宋体"/>
          <w:color w:val="auto"/>
          <w:highlight w:val="none"/>
        </w:rPr>
      </w:pPr>
      <w:r>
        <w:rPr>
          <w:rFonts w:hint="eastAsia" w:hAnsi="宋体"/>
          <w:color w:val="auto"/>
          <w:highlight w:val="none"/>
        </w:rPr>
        <w:t>推广使用低挥发性有机化合物（</w:t>
      </w:r>
      <w:r>
        <w:rPr>
          <w:rFonts w:hAnsi="宋体" w:cs="Arial"/>
          <w:color w:val="auto"/>
          <w:highlight w:val="none"/>
        </w:rPr>
        <w:t>VOCs</w:t>
      </w:r>
      <w:r>
        <w:rPr>
          <w:rFonts w:hint="eastAsia" w:hAnsi="宋体"/>
          <w:color w:val="auto"/>
          <w:highlight w:val="none"/>
        </w:rPr>
        <w:t>）</w:t>
      </w:r>
    </w:p>
    <w:p>
      <w:pPr>
        <w:pStyle w:val="69"/>
        <w:numPr>
          <w:ilvl w:val="2"/>
          <w:numId w:val="9"/>
        </w:numPr>
        <w:tabs>
          <w:tab w:val="left" w:pos="2522"/>
        </w:tabs>
        <w:kinsoku w:val="0"/>
        <w:overflowPunct w:val="0"/>
        <w:spacing w:before="158" w:line="364" w:lineRule="auto"/>
        <w:ind w:right="444"/>
        <w:rPr>
          <w:rFonts w:hAnsi="宋体"/>
          <w:color w:val="auto"/>
          <w:spacing w:val="-22"/>
          <w:highlight w:val="none"/>
        </w:rPr>
      </w:pPr>
      <w:r>
        <w:rPr>
          <w:rFonts w:hint="eastAsia" w:hAnsi="宋体"/>
          <w:color w:val="auto"/>
          <w:spacing w:val="-1"/>
          <w:highlight w:val="none"/>
        </w:rPr>
        <w:t>为全面推进本市挥发性有机物</w:t>
      </w:r>
      <w:r>
        <w:rPr>
          <w:rFonts w:hint="eastAsia" w:hAnsi="宋体"/>
          <w:color w:val="auto"/>
          <w:spacing w:val="-3"/>
          <w:highlight w:val="none"/>
        </w:rPr>
        <w:t>（</w:t>
      </w:r>
      <w:r>
        <w:rPr>
          <w:rFonts w:hAnsi="宋体" w:cs="Arial"/>
          <w:color w:val="auto"/>
          <w:spacing w:val="-3"/>
          <w:highlight w:val="none"/>
        </w:rPr>
        <w:t>VOCs</w:t>
      </w:r>
      <w:r>
        <w:rPr>
          <w:rFonts w:hint="eastAsia" w:hAnsi="宋体"/>
          <w:color w:val="auto"/>
          <w:spacing w:val="-3"/>
          <w:highlight w:val="none"/>
        </w:rPr>
        <w:t>）治理，贯彻落实挥发性有机</w:t>
      </w:r>
      <w:r>
        <w:rPr>
          <w:rFonts w:hint="eastAsia" w:hAnsi="宋体"/>
          <w:color w:val="auto"/>
          <w:spacing w:val="-10"/>
          <w:highlight w:val="none"/>
        </w:rPr>
        <w:t>物污染治理专项行动有关要求，相关规定依据《北京市财政局北京市</w:t>
      </w:r>
      <w:r>
        <w:rPr>
          <w:rFonts w:hint="eastAsia" w:hAnsi="宋体"/>
          <w:color w:val="auto"/>
          <w:spacing w:val="-11"/>
          <w:highlight w:val="none"/>
        </w:rPr>
        <w:t>生态环境局关于政府采购推广使用低挥发性有机化合物</w:t>
      </w:r>
      <w:r>
        <w:rPr>
          <w:rFonts w:hint="eastAsia" w:hAnsi="宋体"/>
          <w:color w:val="auto"/>
          <w:spacing w:val="-4"/>
          <w:highlight w:val="none"/>
        </w:rPr>
        <w:t>（</w:t>
      </w:r>
      <w:r>
        <w:rPr>
          <w:rFonts w:hAnsi="宋体" w:cs="Arial"/>
          <w:color w:val="auto"/>
          <w:spacing w:val="-4"/>
          <w:highlight w:val="none"/>
        </w:rPr>
        <w:t>VOCs</w:t>
      </w:r>
      <w:r>
        <w:rPr>
          <w:rFonts w:hint="eastAsia" w:hAnsi="宋体"/>
          <w:color w:val="auto"/>
          <w:spacing w:val="-4"/>
          <w:highlight w:val="none"/>
        </w:rPr>
        <w:t>）</w:t>
      </w:r>
      <w:r>
        <w:rPr>
          <w:rFonts w:hint="eastAsia" w:hAnsi="宋体"/>
          <w:color w:val="auto"/>
          <w:highlight w:val="none"/>
        </w:rPr>
        <w:t>有</w:t>
      </w:r>
      <w:r>
        <w:rPr>
          <w:rFonts w:hint="eastAsia" w:hAnsi="宋体"/>
          <w:color w:val="auto"/>
          <w:spacing w:val="-1"/>
          <w:highlight w:val="none"/>
        </w:rPr>
        <w:t>关事项的通知</w:t>
      </w:r>
      <w:r>
        <w:rPr>
          <w:rFonts w:hint="eastAsia" w:hAnsi="宋体"/>
          <w:color w:val="auto"/>
          <w:spacing w:val="-151"/>
          <w:highlight w:val="none"/>
        </w:rPr>
        <w:t>》</w:t>
      </w:r>
      <w:r>
        <w:rPr>
          <w:rFonts w:hint="eastAsia" w:hAnsi="宋体"/>
          <w:color w:val="auto"/>
          <w:highlight w:val="none"/>
        </w:rPr>
        <w:t>（</w:t>
      </w:r>
      <w:r>
        <w:rPr>
          <w:rFonts w:hint="eastAsia" w:hAnsi="宋体"/>
          <w:color w:val="auto"/>
          <w:spacing w:val="-7"/>
          <w:highlight w:val="none"/>
        </w:rPr>
        <w:t>京财采购〔</w:t>
      </w:r>
      <w:r>
        <w:rPr>
          <w:rFonts w:hAnsi="宋体" w:cs="Arial"/>
          <w:color w:val="auto"/>
          <w:highlight w:val="none"/>
        </w:rPr>
        <w:t>2020</w:t>
      </w:r>
      <w:r>
        <w:rPr>
          <w:rFonts w:hint="eastAsia" w:hAnsi="宋体"/>
          <w:color w:val="auto"/>
          <w:spacing w:val="-32"/>
          <w:highlight w:val="none"/>
        </w:rPr>
        <w:t>〕</w:t>
      </w:r>
      <w:r>
        <w:rPr>
          <w:rFonts w:hAnsi="宋体" w:cs="Arial"/>
          <w:color w:val="auto"/>
          <w:highlight w:val="none"/>
        </w:rPr>
        <w:t>2381</w:t>
      </w:r>
      <w:r>
        <w:rPr>
          <w:rFonts w:hAnsi="宋体" w:cs="Arial"/>
          <w:color w:val="auto"/>
          <w:spacing w:val="55"/>
          <w:highlight w:val="none"/>
        </w:rPr>
        <w:t xml:space="preserve"> </w:t>
      </w:r>
      <w:r>
        <w:rPr>
          <w:rFonts w:hint="eastAsia" w:hAnsi="宋体"/>
          <w:color w:val="auto"/>
          <w:highlight w:val="none"/>
        </w:rPr>
        <w:t>号</w:t>
      </w:r>
      <w:r>
        <w:rPr>
          <w:rFonts w:hint="eastAsia" w:hAnsi="宋体"/>
          <w:color w:val="auto"/>
          <w:spacing w:val="-120"/>
          <w:highlight w:val="none"/>
        </w:rPr>
        <w:t>）</w:t>
      </w:r>
      <w:r>
        <w:rPr>
          <w:rFonts w:hint="eastAsia" w:hAnsi="宋体"/>
          <w:color w:val="auto"/>
          <w:spacing w:val="-6"/>
          <w:highlight w:val="none"/>
        </w:rPr>
        <w:t>。本项目中涉及涂料、胶黏剂、油墨、清洗剂等挥发性有机物产品的，属于强制性标准的，</w:t>
      </w:r>
      <w:r>
        <w:rPr>
          <w:rFonts w:hAnsi="宋体"/>
          <w:color w:val="auto"/>
          <w:spacing w:val="-6"/>
          <w:highlight w:val="none"/>
        </w:rPr>
        <w:t xml:space="preserve"> </w:t>
      </w:r>
      <w:r>
        <w:rPr>
          <w:rFonts w:hint="eastAsia" w:hAnsi="宋体"/>
          <w:color w:val="auto"/>
          <w:spacing w:val="-10"/>
          <w:highlight w:val="none"/>
        </w:rPr>
        <w:t>供应商应执行符合本市和国家的</w:t>
      </w:r>
      <w:r>
        <w:rPr>
          <w:rFonts w:hAnsi="宋体"/>
          <w:color w:val="auto"/>
          <w:spacing w:val="-10"/>
          <w:highlight w:val="none"/>
        </w:rPr>
        <w:t xml:space="preserve"> </w:t>
      </w:r>
      <w:r>
        <w:rPr>
          <w:rFonts w:hAnsi="宋体" w:cs="Arial"/>
          <w:color w:val="auto"/>
          <w:highlight w:val="none"/>
        </w:rPr>
        <w:t>VOCs</w:t>
      </w:r>
      <w:r>
        <w:rPr>
          <w:rFonts w:hAnsi="宋体" w:cs="Arial"/>
          <w:color w:val="auto"/>
          <w:spacing w:val="64"/>
          <w:highlight w:val="none"/>
        </w:rPr>
        <w:t xml:space="preserve"> </w:t>
      </w:r>
      <w:r>
        <w:rPr>
          <w:rFonts w:hint="eastAsia" w:hAnsi="宋体"/>
          <w:color w:val="auto"/>
          <w:highlight w:val="none"/>
        </w:rPr>
        <w:t>含量限制标准（具体标准见</w:t>
      </w:r>
      <w:r>
        <w:rPr>
          <w:rFonts w:hint="eastAsia" w:hAnsi="宋体"/>
          <w:color w:val="auto"/>
          <w:spacing w:val="-21"/>
          <w:highlight w:val="none"/>
        </w:rPr>
        <w:t>第四章《采购需求》</w:t>
      </w:r>
      <w:r>
        <w:rPr>
          <w:rFonts w:hint="eastAsia" w:hAnsi="宋体"/>
          <w:color w:val="auto"/>
          <w:spacing w:val="-89"/>
          <w:highlight w:val="none"/>
        </w:rPr>
        <w:t>）</w:t>
      </w:r>
      <w:r>
        <w:rPr>
          <w:rFonts w:hint="eastAsia" w:hAnsi="宋体"/>
          <w:color w:val="auto"/>
          <w:spacing w:val="-16"/>
          <w:highlight w:val="none"/>
        </w:rPr>
        <w:t>，否则响应无效；属于推荐性标准的，优先采购，</w:t>
      </w:r>
      <w:r>
        <w:rPr>
          <w:rFonts w:hAnsi="宋体"/>
          <w:color w:val="auto"/>
          <w:spacing w:val="-16"/>
          <w:highlight w:val="none"/>
        </w:rPr>
        <w:t xml:space="preserve"> </w:t>
      </w:r>
      <w:r>
        <w:rPr>
          <w:rFonts w:hint="eastAsia" w:hAnsi="宋体"/>
          <w:color w:val="auto"/>
          <w:spacing w:val="-22"/>
          <w:highlight w:val="none"/>
        </w:rPr>
        <w:t>具体见第三章《评审方法和评审标准》。</w:t>
      </w:r>
    </w:p>
    <w:p>
      <w:pPr>
        <w:pStyle w:val="69"/>
        <w:numPr>
          <w:ilvl w:val="1"/>
          <w:numId w:val="9"/>
        </w:numPr>
        <w:tabs>
          <w:tab w:val="left" w:pos="1622"/>
        </w:tabs>
        <w:kinsoku w:val="0"/>
        <w:overflowPunct w:val="0"/>
        <w:spacing w:line="303" w:lineRule="exact"/>
        <w:ind w:hanging="514"/>
        <w:rPr>
          <w:rFonts w:hAnsi="宋体"/>
          <w:color w:val="auto"/>
          <w:highlight w:val="none"/>
        </w:rPr>
      </w:pPr>
      <w:r>
        <w:rPr>
          <w:rFonts w:hint="eastAsia" w:hAnsi="宋体"/>
          <w:color w:val="auto"/>
          <w:highlight w:val="none"/>
        </w:rPr>
        <w:t>采购需求标准</w:t>
      </w:r>
    </w:p>
    <w:p>
      <w:pPr>
        <w:pStyle w:val="69"/>
        <w:numPr>
          <w:ilvl w:val="2"/>
          <w:numId w:val="9"/>
        </w:numPr>
        <w:tabs>
          <w:tab w:val="left" w:pos="2522"/>
        </w:tabs>
        <w:kinsoku w:val="0"/>
        <w:overflowPunct w:val="0"/>
        <w:spacing w:before="161"/>
        <w:ind w:hanging="901"/>
        <w:jc w:val="both"/>
        <w:rPr>
          <w:rFonts w:hAnsi="宋体"/>
          <w:color w:val="auto"/>
          <w:highlight w:val="none"/>
        </w:rPr>
      </w:pPr>
      <w:r>
        <w:rPr>
          <w:rFonts w:hint="eastAsia" w:hAnsi="宋体"/>
          <w:color w:val="auto"/>
          <w:highlight w:val="none"/>
        </w:rPr>
        <w:t>商品包装、快递包装政府采购需求标准（试行）</w:t>
      </w:r>
    </w:p>
    <w:p>
      <w:pPr>
        <w:pStyle w:val="17"/>
        <w:kinsoku w:val="0"/>
        <w:overflowPunct w:val="0"/>
        <w:spacing w:before="158" w:line="364" w:lineRule="auto"/>
        <w:ind w:left="2526" w:right="568"/>
        <w:jc w:val="both"/>
        <w:rPr>
          <w:rFonts w:hAnsi="宋体"/>
          <w:color w:val="auto"/>
          <w:spacing w:val="-5"/>
          <w:highlight w:val="none"/>
        </w:rPr>
      </w:pPr>
      <w:r>
        <w:rPr>
          <w:rFonts w:hint="eastAsia" w:hAnsi="宋体"/>
          <w:color w:val="auto"/>
          <w:spacing w:val="-9"/>
          <w:highlight w:val="none"/>
        </w:rPr>
        <w:t>为助力打好污染防治攻坚战，推广使用绿色包装，根据财政部关于印</w:t>
      </w:r>
      <w:r>
        <w:rPr>
          <w:rFonts w:hint="eastAsia" w:hAnsi="宋体"/>
          <w:color w:val="auto"/>
          <w:highlight w:val="none"/>
        </w:rPr>
        <w:t>发《商品包装政府采购需求标准（</w:t>
      </w:r>
      <w:r>
        <w:rPr>
          <w:rFonts w:hint="eastAsia" w:hAnsi="宋体"/>
          <w:color w:val="auto"/>
          <w:spacing w:val="-2"/>
          <w:highlight w:val="none"/>
        </w:rPr>
        <w:t>试行</w:t>
      </w:r>
      <w:r>
        <w:rPr>
          <w:rFonts w:hint="eastAsia" w:hAnsi="宋体"/>
          <w:color w:val="auto"/>
          <w:spacing w:val="-120"/>
          <w:highlight w:val="none"/>
        </w:rPr>
        <w:t>）</w:t>
      </w:r>
      <w:r>
        <w:rPr>
          <w:rFonts w:hint="eastAsia" w:hAnsi="宋体"/>
          <w:color w:val="auto"/>
          <w:spacing w:val="-22"/>
          <w:highlight w:val="none"/>
        </w:rPr>
        <w:t>》、《快递包装政府采购需求</w:t>
      </w:r>
      <w:r>
        <w:rPr>
          <w:rFonts w:hint="eastAsia" w:hAnsi="宋体"/>
          <w:color w:val="auto"/>
          <w:spacing w:val="-4"/>
          <w:highlight w:val="none"/>
        </w:rPr>
        <w:t>标准</w:t>
      </w:r>
      <w:r>
        <w:rPr>
          <w:rFonts w:hint="eastAsia" w:hAnsi="宋体"/>
          <w:color w:val="auto"/>
          <w:highlight w:val="none"/>
        </w:rPr>
        <w:t>（试行</w:t>
      </w:r>
      <w:r>
        <w:rPr>
          <w:rFonts w:hint="eastAsia" w:hAnsi="宋体"/>
          <w:color w:val="auto"/>
          <w:spacing w:val="-120"/>
          <w:highlight w:val="none"/>
        </w:rPr>
        <w:t>）</w:t>
      </w:r>
      <w:r>
        <w:rPr>
          <w:rFonts w:hint="eastAsia" w:hAnsi="宋体"/>
          <w:color w:val="auto"/>
          <w:spacing w:val="-4"/>
          <w:highlight w:val="none"/>
        </w:rPr>
        <w:t>》的通知</w:t>
      </w:r>
      <w:r>
        <w:rPr>
          <w:rFonts w:hint="eastAsia" w:hAnsi="宋体"/>
          <w:color w:val="auto"/>
          <w:highlight w:val="none"/>
        </w:rPr>
        <w:t>（</w:t>
      </w:r>
      <w:r>
        <w:rPr>
          <w:rFonts w:hint="eastAsia" w:hAnsi="宋体"/>
          <w:color w:val="auto"/>
          <w:spacing w:val="-3"/>
          <w:highlight w:val="none"/>
        </w:rPr>
        <w:t>财办库〔</w:t>
      </w:r>
      <w:r>
        <w:rPr>
          <w:rFonts w:hAnsi="宋体" w:cs="Arial"/>
          <w:color w:val="auto"/>
          <w:spacing w:val="-2"/>
          <w:w w:val="114"/>
          <w:highlight w:val="none"/>
        </w:rPr>
        <w:t>2</w:t>
      </w:r>
      <w:r>
        <w:rPr>
          <w:rFonts w:hAnsi="宋体" w:cs="Arial"/>
          <w:color w:val="auto"/>
          <w:w w:val="114"/>
          <w:highlight w:val="none"/>
        </w:rPr>
        <w:t>0</w:t>
      </w:r>
      <w:r>
        <w:rPr>
          <w:rFonts w:hAnsi="宋体" w:cs="Arial"/>
          <w:color w:val="auto"/>
          <w:spacing w:val="-2"/>
          <w:w w:val="114"/>
          <w:highlight w:val="none"/>
        </w:rPr>
        <w:t>2</w:t>
      </w:r>
      <w:r>
        <w:rPr>
          <w:rFonts w:hAnsi="宋体" w:cs="Arial"/>
          <w:color w:val="auto"/>
          <w:spacing w:val="3"/>
          <w:w w:val="114"/>
          <w:highlight w:val="none"/>
        </w:rPr>
        <w:t>0</w:t>
      </w:r>
      <w:r>
        <w:rPr>
          <w:rFonts w:hint="eastAsia" w:hAnsi="宋体"/>
          <w:color w:val="auto"/>
          <w:spacing w:val="-8"/>
          <w:highlight w:val="none"/>
        </w:rPr>
        <w:t>〕</w:t>
      </w:r>
      <w:r>
        <w:rPr>
          <w:rFonts w:hAnsi="宋体" w:cs="Arial"/>
          <w:color w:val="auto"/>
          <w:spacing w:val="-2"/>
          <w:w w:val="114"/>
          <w:highlight w:val="none"/>
        </w:rPr>
        <w:t>1</w:t>
      </w:r>
      <w:r>
        <w:rPr>
          <w:rFonts w:hAnsi="宋体" w:cs="Arial"/>
          <w:color w:val="auto"/>
          <w:w w:val="114"/>
          <w:highlight w:val="none"/>
        </w:rPr>
        <w:t>23</w:t>
      </w:r>
      <w:r>
        <w:rPr>
          <w:rFonts w:hAnsi="宋体" w:cs="Arial"/>
          <w:color w:val="auto"/>
          <w:highlight w:val="none"/>
        </w:rPr>
        <w:t xml:space="preserve"> </w:t>
      </w:r>
      <w:r>
        <w:rPr>
          <w:rFonts w:hint="eastAsia" w:hAnsi="宋体"/>
          <w:color w:val="auto"/>
          <w:highlight w:val="none"/>
        </w:rPr>
        <w:t>号</w:t>
      </w:r>
      <w:r>
        <w:rPr>
          <w:rFonts w:hint="eastAsia" w:hAnsi="宋体"/>
          <w:color w:val="auto"/>
          <w:spacing w:val="-120"/>
          <w:highlight w:val="none"/>
        </w:rPr>
        <w:t>）</w:t>
      </w:r>
      <w:r>
        <w:rPr>
          <w:rFonts w:hint="eastAsia" w:hAnsi="宋体"/>
          <w:color w:val="auto"/>
          <w:spacing w:val="-4"/>
          <w:highlight w:val="none"/>
        </w:rPr>
        <w:t>，本项目如涉及商</w:t>
      </w:r>
      <w:r>
        <w:rPr>
          <w:rFonts w:hint="eastAsia" w:hAnsi="宋体"/>
          <w:color w:val="auto"/>
          <w:spacing w:val="-5"/>
          <w:highlight w:val="none"/>
        </w:rPr>
        <w:t>品包装和快递包装的，则其具体要求见第四章《采购需求》。</w:t>
      </w:r>
    </w:p>
    <w:p>
      <w:pPr>
        <w:pStyle w:val="69"/>
        <w:numPr>
          <w:ilvl w:val="2"/>
          <w:numId w:val="9"/>
        </w:numPr>
        <w:spacing w:line="360" w:lineRule="auto"/>
        <w:ind w:hanging="901"/>
        <w:jc w:val="both"/>
        <w:rPr>
          <w:rFonts w:hAnsi="宋体"/>
          <w:color w:val="auto"/>
          <w:highlight w:val="none"/>
        </w:rPr>
      </w:pPr>
      <w:r>
        <w:rPr>
          <w:rFonts w:hint="eastAsia" w:hAnsi="宋体"/>
          <w:color w:val="auto"/>
          <w:highlight w:val="none"/>
        </w:rPr>
        <w:t>绿色数据中心政府采购需求标准（试行）为加快数据中心绿色转型，根据财政部</w:t>
      </w:r>
      <w:r>
        <w:rPr>
          <w:rFonts w:hAnsi="宋体"/>
          <w:color w:val="auto"/>
          <w:highlight w:val="none"/>
        </w:rPr>
        <w:t xml:space="preserve"> </w:t>
      </w:r>
      <w:r>
        <w:rPr>
          <w:rFonts w:hint="eastAsia" w:hAnsi="宋体"/>
          <w:color w:val="auto"/>
          <w:highlight w:val="none"/>
        </w:rPr>
        <w:t>生态环境部</w:t>
      </w:r>
      <w:r>
        <w:rPr>
          <w:rFonts w:hAnsi="宋体"/>
          <w:color w:val="auto"/>
          <w:highlight w:val="none"/>
        </w:rPr>
        <w:t xml:space="preserve"> </w:t>
      </w:r>
      <w:r>
        <w:rPr>
          <w:rFonts w:hint="eastAsia" w:hAnsi="宋体"/>
          <w:color w:val="auto"/>
          <w:highlight w:val="none"/>
        </w:rPr>
        <w:t>工业和信息化部关于印发《绿色数据中心政府采购需求标准（试行）》的通知（财库〔</w:t>
      </w:r>
      <w:r>
        <w:rPr>
          <w:rFonts w:hAnsi="宋体"/>
          <w:color w:val="auto"/>
          <w:highlight w:val="none"/>
        </w:rPr>
        <w:t>2023</w:t>
      </w:r>
      <w:r>
        <w:rPr>
          <w:rFonts w:hint="eastAsia" w:hAnsi="宋体"/>
          <w:color w:val="auto"/>
          <w:highlight w:val="none"/>
        </w:rPr>
        <w:t>〕</w:t>
      </w:r>
      <w:r>
        <w:rPr>
          <w:rFonts w:hAnsi="宋体"/>
          <w:color w:val="auto"/>
          <w:highlight w:val="none"/>
        </w:rPr>
        <w:t xml:space="preserve">7  </w:t>
      </w:r>
      <w:r>
        <w:rPr>
          <w:rFonts w:hint="eastAsia" w:hAnsi="宋体"/>
          <w:color w:val="auto"/>
          <w:highlight w:val="none"/>
        </w:rPr>
        <w:t>号），本项目如涉及绿色数据中心，则具体要求见第四章《采购需求》。</w:t>
      </w:r>
    </w:p>
    <w:p>
      <w:pPr>
        <w:pStyle w:val="69"/>
        <w:numPr>
          <w:ilvl w:val="0"/>
          <w:numId w:val="9"/>
        </w:numPr>
        <w:tabs>
          <w:tab w:val="left" w:pos="2522"/>
        </w:tabs>
        <w:kinsoku w:val="0"/>
        <w:overflowPunct w:val="0"/>
        <w:spacing w:line="305" w:lineRule="exact"/>
        <w:jc w:val="both"/>
        <w:rPr>
          <w:rFonts w:hAnsi="宋体"/>
          <w:color w:val="auto"/>
          <w:highlight w:val="none"/>
        </w:rPr>
      </w:pPr>
      <w:r>
        <w:rPr>
          <w:rFonts w:hint="eastAsia" w:hAnsi="宋体"/>
          <w:color w:val="auto"/>
          <w:highlight w:val="none"/>
        </w:rPr>
        <w:t>响应费用</w:t>
      </w:r>
    </w:p>
    <w:bookmarkEnd w:id="24"/>
    <w:p>
      <w:pPr>
        <w:pStyle w:val="69"/>
        <w:numPr>
          <w:ilvl w:val="1"/>
          <w:numId w:val="9"/>
        </w:numPr>
        <w:tabs>
          <w:tab w:val="left" w:pos="1622"/>
        </w:tabs>
        <w:kinsoku w:val="0"/>
        <w:overflowPunct w:val="0"/>
        <w:spacing w:before="160" w:line="362" w:lineRule="auto"/>
        <w:ind w:right="450"/>
        <w:rPr>
          <w:rFonts w:hAnsi="宋体"/>
          <w:color w:val="auto"/>
          <w:highlight w:val="none"/>
        </w:rPr>
      </w:pPr>
      <w:bookmarkStart w:id="25" w:name="_Hlk149134889"/>
      <w:r>
        <w:rPr>
          <w:rFonts w:hint="eastAsia" w:hAnsi="宋体"/>
          <w:color w:val="auto"/>
          <w:spacing w:val="-3"/>
          <w:highlight w:val="none"/>
        </w:rPr>
        <w:t>供应商应自行承担所有与准备和参加磋商有关的费用，无论磋商的结果如何，</w:t>
      </w:r>
      <w:r>
        <w:rPr>
          <w:rFonts w:hAnsi="宋体"/>
          <w:color w:val="auto"/>
          <w:spacing w:val="-3"/>
          <w:highlight w:val="none"/>
        </w:rPr>
        <w:t xml:space="preserve"> </w:t>
      </w:r>
      <w:r>
        <w:rPr>
          <w:rFonts w:hint="eastAsia" w:hAnsi="宋体"/>
          <w:color w:val="auto"/>
          <w:highlight w:val="none"/>
        </w:rPr>
        <w:t>采购人或采购代理机构在任何情况下均无承担这些费用的义务和责任。</w:t>
      </w:r>
    </w:p>
    <w:bookmarkEnd w:id="25"/>
    <w:p>
      <w:pPr>
        <w:pStyle w:val="17"/>
        <w:kinsoku w:val="0"/>
        <w:overflowPunct w:val="0"/>
        <w:rPr>
          <w:rFonts w:hAnsi="宋体"/>
          <w:color w:val="auto"/>
          <w:sz w:val="20"/>
          <w:szCs w:val="20"/>
          <w:highlight w:val="none"/>
        </w:rPr>
      </w:pPr>
    </w:p>
    <w:p>
      <w:pPr>
        <w:pStyle w:val="4"/>
        <w:tabs>
          <w:tab w:val="left" w:pos="700"/>
        </w:tabs>
        <w:kinsoku w:val="0"/>
        <w:overflowPunct w:val="0"/>
        <w:spacing w:before="240"/>
        <w:rPr>
          <w:rFonts w:hAnsi="宋体"/>
          <w:color w:val="auto"/>
          <w:highlight w:val="none"/>
        </w:rPr>
      </w:pPr>
      <w:bookmarkStart w:id="26" w:name="_Toc149147544"/>
      <w:bookmarkStart w:id="27" w:name="_Toc149147477"/>
      <w:bookmarkStart w:id="28" w:name="_Toc149147699"/>
      <w:r>
        <w:rPr>
          <w:rFonts w:hint="eastAsia" w:hAnsi="宋体"/>
          <w:color w:val="auto"/>
          <w:highlight w:val="none"/>
        </w:rPr>
        <w:t>二</w:t>
      </w:r>
      <w:r>
        <w:rPr>
          <w:rFonts w:hAnsi="宋体"/>
          <w:color w:val="auto"/>
          <w:highlight w:val="none"/>
        </w:rPr>
        <w:tab/>
      </w:r>
      <w:r>
        <w:rPr>
          <w:rFonts w:hint="eastAsia" w:hAnsi="宋体"/>
          <w:color w:val="auto"/>
          <w:highlight w:val="none"/>
        </w:rPr>
        <w:t>竞争性磋商文件</w:t>
      </w:r>
      <w:bookmarkEnd w:id="26"/>
      <w:bookmarkEnd w:id="27"/>
      <w:bookmarkEnd w:id="28"/>
    </w:p>
    <w:p>
      <w:pPr>
        <w:pStyle w:val="69"/>
        <w:numPr>
          <w:ilvl w:val="0"/>
          <w:numId w:val="9"/>
        </w:numPr>
        <w:tabs>
          <w:tab w:val="left" w:pos="897"/>
        </w:tabs>
        <w:kinsoku w:val="0"/>
        <w:overflowPunct w:val="0"/>
        <w:spacing w:before="182"/>
        <w:rPr>
          <w:rFonts w:hAnsi="宋体"/>
          <w:color w:val="auto"/>
          <w:highlight w:val="none"/>
        </w:rPr>
      </w:pPr>
      <w:r>
        <w:rPr>
          <w:rFonts w:hint="eastAsia" w:hAnsi="宋体"/>
          <w:color w:val="auto"/>
          <w:highlight w:val="none"/>
        </w:rPr>
        <w:t>竞争性磋商文件构成</w:t>
      </w:r>
    </w:p>
    <w:p>
      <w:pPr>
        <w:pStyle w:val="69"/>
        <w:numPr>
          <w:ilvl w:val="1"/>
          <w:numId w:val="9"/>
        </w:numPr>
        <w:tabs>
          <w:tab w:val="left" w:pos="1622"/>
          <w:tab w:val="left" w:pos="3061"/>
        </w:tabs>
        <w:kinsoku w:val="0"/>
        <w:overflowPunct w:val="0"/>
        <w:spacing w:before="161" w:line="362" w:lineRule="auto"/>
        <w:ind w:left="1986" w:right="5203" w:hanging="1085"/>
        <w:rPr>
          <w:rFonts w:hAnsi="宋体"/>
          <w:color w:val="auto"/>
          <w:highlight w:val="none"/>
        </w:rPr>
      </w:pPr>
      <w:r>
        <w:rPr>
          <w:rFonts w:hint="eastAsia" w:hAnsi="宋体"/>
          <w:color w:val="auto"/>
          <w:highlight w:val="none"/>
        </w:rPr>
        <w:t>竞争性磋商文件包括以下部分</w:t>
      </w:r>
      <w:r>
        <w:rPr>
          <w:rFonts w:hint="eastAsia" w:hAnsi="宋体"/>
          <w:color w:val="auto"/>
          <w:spacing w:val="-17"/>
          <w:highlight w:val="none"/>
        </w:rPr>
        <w:t>：</w:t>
      </w:r>
      <w:r>
        <w:rPr>
          <w:rFonts w:hAnsi="宋体"/>
          <w:color w:val="auto"/>
          <w:spacing w:val="-17"/>
          <w:highlight w:val="none"/>
        </w:rPr>
        <w:t xml:space="preserve"> </w:t>
      </w:r>
      <w:r>
        <w:rPr>
          <w:rFonts w:hint="eastAsia" w:hAnsi="宋体"/>
          <w:color w:val="auto"/>
          <w:highlight w:val="none"/>
        </w:rPr>
        <w:t>第一章</w:t>
      </w:r>
      <w:r>
        <w:rPr>
          <w:rFonts w:hAnsi="宋体"/>
          <w:color w:val="auto"/>
          <w:highlight w:val="none"/>
        </w:rPr>
        <w:tab/>
      </w:r>
      <w:r>
        <w:rPr>
          <w:rFonts w:hint="eastAsia" w:hAnsi="宋体"/>
          <w:color w:val="auto"/>
          <w:highlight w:val="none"/>
        </w:rPr>
        <w:t>采购邀请</w:t>
      </w:r>
    </w:p>
    <w:p>
      <w:pPr>
        <w:pStyle w:val="17"/>
        <w:tabs>
          <w:tab w:val="left" w:pos="3061"/>
        </w:tabs>
        <w:kinsoku w:val="0"/>
        <w:overflowPunct w:val="0"/>
        <w:spacing w:before="5"/>
        <w:ind w:left="1986"/>
        <w:rPr>
          <w:rFonts w:hAnsi="宋体"/>
          <w:color w:val="auto"/>
          <w:highlight w:val="none"/>
        </w:rPr>
      </w:pPr>
      <w:r>
        <w:rPr>
          <w:rFonts w:hint="eastAsia" w:hAnsi="宋体"/>
          <w:color w:val="auto"/>
          <w:highlight w:val="none"/>
        </w:rPr>
        <w:t>第二章</w:t>
      </w:r>
      <w:r>
        <w:rPr>
          <w:rFonts w:hAnsi="宋体"/>
          <w:color w:val="auto"/>
          <w:highlight w:val="none"/>
        </w:rPr>
        <w:tab/>
      </w:r>
      <w:r>
        <w:rPr>
          <w:rFonts w:hint="eastAsia" w:hAnsi="宋体"/>
          <w:color w:val="auto"/>
          <w:highlight w:val="none"/>
        </w:rPr>
        <w:t>供应商须知</w:t>
      </w:r>
    </w:p>
    <w:p>
      <w:pPr>
        <w:pStyle w:val="17"/>
        <w:tabs>
          <w:tab w:val="left" w:pos="3061"/>
        </w:tabs>
        <w:kinsoku w:val="0"/>
        <w:overflowPunct w:val="0"/>
        <w:spacing w:before="160" w:line="362" w:lineRule="auto"/>
        <w:ind w:left="1986" w:right="4963"/>
        <w:rPr>
          <w:rFonts w:hAnsi="宋体"/>
          <w:color w:val="auto"/>
          <w:highlight w:val="none"/>
        </w:rPr>
      </w:pPr>
      <w:r>
        <w:rPr>
          <w:rFonts w:hint="eastAsia" w:hAnsi="宋体"/>
          <w:color w:val="auto"/>
          <w:highlight w:val="none"/>
        </w:rPr>
        <w:t>第三章</w:t>
      </w:r>
      <w:r>
        <w:rPr>
          <w:rFonts w:hAnsi="宋体"/>
          <w:color w:val="auto"/>
          <w:highlight w:val="none"/>
        </w:rPr>
        <w:tab/>
      </w:r>
      <w:r>
        <w:rPr>
          <w:rFonts w:hint="eastAsia" w:hAnsi="宋体"/>
          <w:color w:val="auto"/>
          <w:highlight w:val="none"/>
        </w:rPr>
        <w:t>评审方法和评审标</w:t>
      </w:r>
      <w:r>
        <w:rPr>
          <w:rFonts w:hint="eastAsia" w:hAnsi="宋体"/>
          <w:color w:val="auto"/>
          <w:spacing w:val="-17"/>
          <w:highlight w:val="none"/>
        </w:rPr>
        <w:t>准</w:t>
      </w:r>
      <w:r>
        <w:rPr>
          <w:rFonts w:hint="eastAsia" w:hAnsi="宋体"/>
          <w:color w:val="auto"/>
          <w:highlight w:val="none"/>
        </w:rPr>
        <w:t>第四章</w:t>
      </w:r>
      <w:r>
        <w:rPr>
          <w:rFonts w:hAnsi="宋体"/>
          <w:color w:val="auto"/>
          <w:highlight w:val="none"/>
        </w:rPr>
        <w:tab/>
      </w:r>
      <w:r>
        <w:rPr>
          <w:rFonts w:hint="eastAsia" w:hAnsi="宋体"/>
          <w:color w:val="auto"/>
          <w:highlight w:val="none"/>
        </w:rPr>
        <w:t>采购需求</w:t>
      </w:r>
    </w:p>
    <w:p>
      <w:pPr>
        <w:pStyle w:val="17"/>
        <w:tabs>
          <w:tab w:val="left" w:pos="3061"/>
        </w:tabs>
        <w:kinsoku w:val="0"/>
        <w:overflowPunct w:val="0"/>
        <w:spacing w:before="3" w:line="364" w:lineRule="auto"/>
        <w:ind w:left="1986" w:right="5683"/>
        <w:rPr>
          <w:rFonts w:hAnsi="宋体"/>
          <w:color w:val="auto"/>
          <w:spacing w:val="-17"/>
          <w:highlight w:val="none"/>
        </w:rPr>
      </w:pPr>
      <w:r>
        <w:rPr>
          <w:rFonts w:hint="eastAsia" w:hAnsi="宋体"/>
          <w:color w:val="auto"/>
          <w:highlight w:val="none"/>
        </w:rPr>
        <w:t>第五章</w:t>
      </w:r>
      <w:r>
        <w:rPr>
          <w:rFonts w:hAnsi="宋体"/>
          <w:color w:val="auto"/>
          <w:highlight w:val="none"/>
        </w:rPr>
        <w:tab/>
      </w:r>
      <w:r>
        <w:rPr>
          <w:rFonts w:hint="eastAsia" w:hAnsi="宋体"/>
          <w:color w:val="auto"/>
          <w:highlight w:val="none"/>
        </w:rPr>
        <w:t>合同草案条</w:t>
      </w:r>
      <w:r>
        <w:rPr>
          <w:rFonts w:hint="eastAsia" w:hAnsi="宋体"/>
          <w:color w:val="auto"/>
          <w:spacing w:val="-17"/>
          <w:highlight w:val="none"/>
        </w:rPr>
        <w:t>款</w:t>
      </w:r>
      <w:r>
        <w:rPr>
          <w:rFonts w:hint="eastAsia" w:hAnsi="宋体"/>
          <w:color w:val="auto"/>
          <w:highlight w:val="none"/>
        </w:rPr>
        <w:t>第六章</w:t>
      </w:r>
      <w:r>
        <w:rPr>
          <w:rFonts w:hAnsi="宋体"/>
          <w:color w:val="auto"/>
          <w:highlight w:val="none"/>
        </w:rPr>
        <w:tab/>
      </w:r>
      <w:r>
        <w:rPr>
          <w:rFonts w:hint="eastAsia" w:hAnsi="宋体"/>
          <w:color w:val="auto"/>
          <w:highlight w:val="none"/>
        </w:rPr>
        <w:t>响应文件格</w:t>
      </w:r>
      <w:r>
        <w:rPr>
          <w:rFonts w:hint="eastAsia" w:hAnsi="宋体"/>
          <w:color w:val="auto"/>
          <w:spacing w:val="-17"/>
          <w:highlight w:val="none"/>
        </w:rPr>
        <w:t>式</w:t>
      </w:r>
    </w:p>
    <w:p>
      <w:pPr>
        <w:pStyle w:val="69"/>
        <w:numPr>
          <w:ilvl w:val="1"/>
          <w:numId w:val="9"/>
        </w:numPr>
        <w:tabs>
          <w:tab w:val="left" w:pos="1622"/>
        </w:tabs>
        <w:kinsoku w:val="0"/>
        <w:overflowPunct w:val="0"/>
        <w:spacing w:before="1" w:line="364" w:lineRule="auto"/>
        <w:ind w:right="571"/>
        <w:jc w:val="both"/>
        <w:rPr>
          <w:rFonts w:hAnsi="宋体"/>
          <w:color w:val="auto"/>
          <w:highlight w:val="none"/>
        </w:rPr>
      </w:pPr>
      <w:r>
        <w:rPr>
          <w:rFonts w:hint="eastAsia" w:hAnsi="宋体"/>
          <w:color w:val="auto"/>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hAnsi="宋体"/>
          <w:b/>
          <w:bCs/>
          <w:color w:val="auto"/>
          <w:highlight w:val="none"/>
        </w:rPr>
        <w:t>响应无效</w:t>
      </w:r>
      <w:r>
        <w:rPr>
          <w:rFonts w:hint="eastAsia" w:hAnsi="宋体"/>
          <w:color w:val="auto"/>
          <w:highlight w:val="none"/>
        </w:rPr>
        <w:t>。</w:t>
      </w:r>
    </w:p>
    <w:p>
      <w:pPr>
        <w:pStyle w:val="69"/>
        <w:numPr>
          <w:ilvl w:val="0"/>
          <w:numId w:val="9"/>
        </w:numPr>
        <w:tabs>
          <w:tab w:val="left" w:pos="897"/>
        </w:tabs>
        <w:kinsoku w:val="0"/>
        <w:overflowPunct w:val="0"/>
        <w:spacing w:line="304" w:lineRule="exact"/>
        <w:jc w:val="both"/>
        <w:rPr>
          <w:rFonts w:hAnsi="宋体"/>
          <w:color w:val="auto"/>
          <w:highlight w:val="none"/>
        </w:rPr>
      </w:pPr>
      <w:bookmarkStart w:id="29" w:name="_Hlk149134983"/>
      <w:r>
        <w:rPr>
          <w:rFonts w:hint="eastAsia" w:hAnsi="宋体"/>
          <w:color w:val="auto"/>
          <w:highlight w:val="none"/>
        </w:rPr>
        <w:t>对竞争性磋商文件的澄清或修改</w:t>
      </w:r>
    </w:p>
    <w:p>
      <w:pPr>
        <w:pStyle w:val="69"/>
        <w:numPr>
          <w:ilvl w:val="1"/>
          <w:numId w:val="9"/>
        </w:numPr>
        <w:tabs>
          <w:tab w:val="left" w:pos="1622"/>
        </w:tabs>
        <w:kinsoku w:val="0"/>
        <w:overflowPunct w:val="0"/>
        <w:spacing w:before="161" w:line="364" w:lineRule="auto"/>
        <w:ind w:right="571"/>
        <w:jc w:val="both"/>
        <w:rPr>
          <w:rFonts w:hAnsi="宋体"/>
          <w:color w:val="auto"/>
          <w:highlight w:val="none"/>
        </w:rPr>
      </w:pPr>
      <w:r>
        <w:rPr>
          <w:rFonts w:hint="eastAsia" w:hAnsi="宋体"/>
          <w:color w:val="auto"/>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pStyle w:val="69"/>
        <w:numPr>
          <w:ilvl w:val="1"/>
          <w:numId w:val="9"/>
        </w:numPr>
        <w:tabs>
          <w:tab w:val="left" w:pos="1622"/>
        </w:tabs>
        <w:kinsoku w:val="0"/>
        <w:overflowPunct w:val="0"/>
        <w:spacing w:line="360" w:lineRule="auto"/>
        <w:ind w:right="451"/>
        <w:rPr>
          <w:rFonts w:hAnsi="宋体"/>
          <w:color w:val="auto"/>
          <w:highlight w:val="none"/>
        </w:rPr>
      </w:pPr>
      <w:r>
        <w:rPr>
          <w:rFonts w:hint="eastAsia" w:hAnsi="宋体"/>
          <w:color w:val="auto"/>
          <w:spacing w:val="-8"/>
          <w:highlight w:val="none"/>
        </w:rPr>
        <w:t>上述书面通知，按照获取竞争性磋商文件的潜在供应商提供的联系方式发出，</w:t>
      </w:r>
      <w:r>
        <w:rPr>
          <w:rFonts w:hAnsi="宋体"/>
          <w:color w:val="auto"/>
          <w:spacing w:val="-8"/>
          <w:highlight w:val="none"/>
        </w:rPr>
        <w:t xml:space="preserve"> </w:t>
      </w:r>
      <w:r>
        <w:rPr>
          <w:rFonts w:hint="eastAsia" w:hAnsi="宋体"/>
          <w:color w:val="auto"/>
          <w:highlight w:val="none"/>
        </w:rPr>
        <w:t>因提供的信息有误导致通知延迟或无法通知的，采购人或采购代理机构不承担责任。</w:t>
      </w:r>
    </w:p>
    <w:p>
      <w:pPr>
        <w:pStyle w:val="17"/>
        <w:kinsoku w:val="0"/>
        <w:overflowPunct w:val="0"/>
        <w:spacing w:before="72" w:line="360" w:lineRule="auto"/>
        <w:ind w:left="1552" w:leftChars="400" w:hanging="672" w:hangingChars="300"/>
        <w:rPr>
          <w:rFonts w:hAnsi="宋体"/>
          <w:color w:val="auto"/>
          <w:highlight w:val="none"/>
        </w:rPr>
      </w:pPr>
      <w:r>
        <w:rPr>
          <w:rFonts w:hAnsi="宋体"/>
          <w:color w:val="auto"/>
          <w:spacing w:val="-8"/>
          <w:highlight w:val="none"/>
        </w:rPr>
        <w:t xml:space="preserve">7.3   </w:t>
      </w:r>
      <w:r>
        <w:rPr>
          <w:rFonts w:hint="eastAsia" w:hAnsi="宋体"/>
          <w:color w:val="auto"/>
          <w:spacing w:val="-8"/>
          <w:highlight w:val="none"/>
        </w:rPr>
        <w:t>澄清或者修改的内容为竞争性磋商文件的组成部分，并对所有获取竞争性磋商文件的潜在供应商具有约束力。澄清或者修改的内容可能影响响应文件编制的，将在提交首次响应文件截止之日</w:t>
      </w:r>
      <w:r>
        <w:rPr>
          <w:rFonts w:hAnsi="宋体"/>
          <w:color w:val="auto"/>
          <w:spacing w:val="-8"/>
          <w:highlight w:val="none"/>
        </w:rPr>
        <w:t xml:space="preserve"> 3 </w:t>
      </w:r>
      <w:r>
        <w:rPr>
          <w:rFonts w:hint="eastAsia" w:hAnsi="宋体"/>
          <w:color w:val="auto"/>
          <w:spacing w:val="-8"/>
          <w:highlight w:val="none"/>
        </w:rPr>
        <w:t>个工作日前，以书面形式通知所有获取磋商文件的供应商；不足上述时间的，将顺延提交响应文件截止时间。</w:t>
      </w:r>
    </w:p>
    <w:bookmarkEnd w:id="29"/>
    <w:p>
      <w:pPr>
        <w:pStyle w:val="17"/>
        <w:kinsoku w:val="0"/>
        <w:overflowPunct w:val="0"/>
        <w:spacing w:before="8"/>
        <w:rPr>
          <w:rFonts w:hAnsi="宋体"/>
          <w:color w:val="auto"/>
          <w:sz w:val="26"/>
          <w:szCs w:val="26"/>
          <w:highlight w:val="none"/>
        </w:rPr>
      </w:pPr>
    </w:p>
    <w:p>
      <w:pPr>
        <w:pStyle w:val="4"/>
        <w:tabs>
          <w:tab w:val="left" w:pos="700"/>
        </w:tabs>
        <w:kinsoku w:val="0"/>
        <w:overflowPunct w:val="0"/>
        <w:spacing w:before="0"/>
        <w:rPr>
          <w:rFonts w:hAnsi="宋体"/>
          <w:color w:val="auto"/>
          <w:highlight w:val="none"/>
        </w:rPr>
      </w:pPr>
      <w:bookmarkStart w:id="30" w:name="_Toc149147478"/>
      <w:bookmarkStart w:id="31" w:name="_Toc149147700"/>
      <w:bookmarkStart w:id="32" w:name="_Toc149147545"/>
      <w:r>
        <w:rPr>
          <w:rFonts w:hint="eastAsia" w:hAnsi="宋体"/>
          <w:color w:val="auto"/>
          <w:highlight w:val="none"/>
        </w:rPr>
        <w:t>三</w:t>
      </w:r>
      <w:r>
        <w:rPr>
          <w:rFonts w:hAnsi="宋体"/>
          <w:color w:val="auto"/>
          <w:highlight w:val="none"/>
        </w:rPr>
        <w:tab/>
      </w:r>
      <w:r>
        <w:rPr>
          <w:rFonts w:hint="eastAsia" w:hAnsi="宋体"/>
          <w:color w:val="auto"/>
          <w:highlight w:val="none"/>
        </w:rPr>
        <w:t>响应文件的编制</w:t>
      </w:r>
      <w:bookmarkEnd w:id="30"/>
      <w:bookmarkEnd w:id="31"/>
      <w:bookmarkEnd w:id="32"/>
    </w:p>
    <w:p>
      <w:pPr>
        <w:pStyle w:val="69"/>
        <w:numPr>
          <w:ilvl w:val="0"/>
          <w:numId w:val="9"/>
        </w:numPr>
        <w:tabs>
          <w:tab w:val="left" w:pos="897"/>
        </w:tabs>
        <w:kinsoku w:val="0"/>
        <w:overflowPunct w:val="0"/>
        <w:spacing w:before="186"/>
        <w:jc w:val="both"/>
        <w:rPr>
          <w:rFonts w:hAnsi="宋体"/>
          <w:color w:val="auto"/>
          <w:highlight w:val="none"/>
        </w:rPr>
      </w:pPr>
      <w:r>
        <w:rPr>
          <w:rFonts w:hint="eastAsia" w:hAnsi="宋体"/>
          <w:color w:val="auto"/>
          <w:highlight w:val="none"/>
        </w:rPr>
        <w:t>响应范围、竞争性磋商文件中计量单位的使用及磋商语言</w:t>
      </w:r>
    </w:p>
    <w:p>
      <w:pPr>
        <w:pStyle w:val="69"/>
        <w:numPr>
          <w:ilvl w:val="1"/>
          <w:numId w:val="9"/>
        </w:numPr>
        <w:tabs>
          <w:tab w:val="left" w:pos="1622"/>
        </w:tabs>
        <w:kinsoku w:val="0"/>
        <w:overflowPunct w:val="0"/>
        <w:spacing w:before="160" w:line="364" w:lineRule="auto"/>
        <w:ind w:right="571"/>
        <w:jc w:val="both"/>
        <w:rPr>
          <w:rFonts w:hAnsi="宋体"/>
          <w:color w:val="auto"/>
          <w:highlight w:val="none"/>
        </w:rPr>
      </w:pPr>
      <w:r>
        <w:rPr>
          <w:rFonts w:hint="eastAsia" w:hAnsi="宋体"/>
          <w:color w:val="auto"/>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w:t>
      </w:r>
      <w:r>
        <w:rPr>
          <w:rFonts w:hAnsi="宋体"/>
          <w:color w:val="auto"/>
          <w:highlight w:val="none"/>
        </w:rPr>
        <w:t xml:space="preserve"> </w:t>
      </w:r>
      <w:r>
        <w:rPr>
          <w:rFonts w:hint="eastAsia" w:hAnsi="宋体"/>
          <w:color w:val="auto"/>
          <w:highlight w:val="none"/>
        </w:rPr>
        <w:t>否则其对该采购包的响应将被认定为无效响应。</w:t>
      </w:r>
    </w:p>
    <w:p>
      <w:pPr>
        <w:pStyle w:val="69"/>
        <w:numPr>
          <w:ilvl w:val="1"/>
          <w:numId w:val="9"/>
        </w:numPr>
        <w:tabs>
          <w:tab w:val="left" w:pos="1622"/>
        </w:tabs>
        <w:kinsoku w:val="0"/>
        <w:overflowPunct w:val="0"/>
        <w:spacing w:line="362" w:lineRule="auto"/>
        <w:ind w:right="571"/>
        <w:jc w:val="both"/>
        <w:rPr>
          <w:rFonts w:hAnsi="宋体"/>
          <w:color w:val="auto"/>
          <w:highlight w:val="none"/>
        </w:rPr>
      </w:pPr>
      <w:r>
        <w:rPr>
          <w:rFonts w:hint="eastAsia" w:hAnsi="宋体"/>
          <w:color w:val="auto"/>
          <w:highlight w:val="none"/>
        </w:rPr>
        <w:t>除竞争性磋商文件有特殊要求外，本项目磋商所使用的计量单位，应采用中华人民共和国法定计量单位。</w:t>
      </w:r>
    </w:p>
    <w:p>
      <w:pPr>
        <w:pStyle w:val="69"/>
        <w:numPr>
          <w:ilvl w:val="1"/>
          <w:numId w:val="9"/>
        </w:numPr>
        <w:tabs>
          <w:tab w:val="left" w:pos="1622"/>
        </w:tabs>
        <w:kinsoku w:val="0"/>
        <w:overflowPunct w:val="0"/>
        <w:spacing w:before="3" w:line="364" w:lineRule="auto"/>
        <w:ind w:right="571"/>
        <w:jc w:val="both"/>
        <w:rPr>
          <w:rFonts w:hAnsi="宋体"/>
          <w:color w:val="auto"/>
          <w:highlight w:val="none"/>
        </w:rPr>
      </w:pPr>
      <w:r>
        <w:rPr>
          <w:rFonts w:hint="eastAsia" w:hAnsi="宋体"/>
          <w:color w:val="auto"/>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pStyle w:val="69"/>
        <w:numPr>
          <w:ilvl w:val="0"/>
          <w:numId w:val="9"/>
        </w:numPr>
        <w:tabs>
          <w:tab w:val="left" w:pos="897"/>
        </w:tabs>
        <w:kinsoku w:val="0"/>
        <w:overflowPunct w:val="0"/>
        <w:spacing w:line="303" w:lineRule="exact"/>
        <w:jc w:val="both"/>
        <w:rPr>
          <w:rFonts w:hAnsi="宋体"/>
          <w:color w:val="auto"/>
          <w:highlight w:val="none"/>
        </w:rPr>
      </w:pPr>
      <w:r>
        <w:rPr>
          <w:rFonts w:hint="eastAsia" w:hAnsi="宋体"/>
          <w:color w:val="auto"/>
          <w:highlight w:val="none"/>
        </w:rPr>
        <w:t>响应文件构成</w:t>
      </w:r>
    </w:p>
    <w:p>
      <w:pPr>
        <w:pStyle w:val="69"/>
        <w:numPr>
          <w:ilvl w:val="1"/>
          <w:numId w:val="9"/>
        </w:numPr>
        <w:tabs>
          <w:tab w:val="left" w:pos="1617"/>
        </w:tabs>
        <w:kinsoku w:val="0"/>
        <w:overflowPunct w:val="0"/>
        <w:spacing w:before="160" w:line="364" w:lineRule="auto"/>
        <w:ind w:left="1616" w:right="568"/>
        <w:jc w:val="both"/>
        <w:rPr>
          <w:rFonts w:hAnsi="宋体"/>
          <w:color w:val="auto"/>
          <w:spacing w:val="-18"/>
          <w:highlight w:val="none"/>
        </w:rPr>
      </w:pPr>
      <w:r>
        <w:rPr>
          <w:rFonts w:hint="eastAsia" w:hAnsi="宋体"/>
          <w:color w:val="auto"/>
          <w:highlight w:val="none"/>
        </w:rPr>
        <w:t>供应商应当按照竞争性磋商文件的要求编制响应文件，并对其提交的响应文</w:t>
      </w:r>
      <w:r>
        <w:rPr>
          <w:rFonts w:hint="eastAsia" w:hAnsi="宋体"/>
          <w:color w:val="auto"/>
          <w:spacing w:val="-13"/>
          <w:highlight w:val="none"/>
        </w:rPr>
        <w:t>件的真实性、合法性承担法律责任。响应文件的部分格式要求，见第六章《响</w:t>
      </w:r>
      <w:r>
        <w:rPr>
          <w:rFonts w:hint="eastAsia" w:hAnsi="宋体"/>
          <w:color w:val="auto"/>
          <w:spacing w:val="-18"/>
          <w:highlight w:val="none"/>
        </w:rPr>
        <w:t>应文件格式》。</w:t>
      </w:r>
    </w:p>
    <w:p>
      <w:pPr>
        <w:pStyle w:val="69"/>
        <w:numPr>
          <w:ilvl w:val="1"/>
          <w:numId w:val="9"/>
        </w:numPr>
        <w:tabs>
          <w:tab w:val="left" w:pos="1617"/>
        </w:tabs>
        <w:kinsoku w:val="0"/>
        <w:overflowPunct w:val="0"/>
        <w:spacing w:line="364" w:lineRule="auto"/>
        <w:ind w:left="1616" w:right="566"/>
        <w:jc w:val="both"/>
        <w:rPr>
          <w:rFonts w:hAnsi="宋体"/>
          <w:color w:val="auto"/>
          <w:highlight w:val="none"/>
        </w:rPr>
      </w:pPr>
      <w:r>
        <w:rPr>
          <w:rFonts w:hint="eastAsia" w:hAnsi="宋体"/>
          <w:color w:val="auto"/>
          <w:highlight w:val="none"/>
        </w:rPr>
        <w:t>对于竞争性磋商文件中标记了</w:t>
      </w:r>
      <w:r>
        <w:rPr>
          <w:rFonts w:hAnsi="宋体" w:cs="Arial"/>
          <w:color w:val="auto"/>
          <w:w w:val="135"/>
          <w:highlight w:val="none"/>
        </w:rPr>
        <w:t>“</w:t>
      </w:r>
      <w:r>
        <w:rPr>
          <w:rFonts w:hint="eastAsia" w:hAnsi="宋体"/>
          <w:color w:val="auto"/>
          <w:highlight w:val="none"/>
        </w:rPr>
        <w:t>实质性格式</w:t>
      </w:r>
      <w:r>
        <w:rPr>
          <w:rFonts w:hAnsi="宋体" w:cs="Arial"/>
          <w:color w:val="auto"/>
          <w:w w:val="135"/>
          <w:highlight w:val="none"/>
        </w:rPr>
        <w:t>”</w:t>
      </w:r>
      <w:r>
        <w:rPr>
          <w:rFonts w:hint="eastAsia" w:hAnsi="宋体"/>
          <w:color w:val="auto"/>
          <w:highlight w:val="none"/>
        </w:rPr>
        <w:t>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hAnsi="宋体" w:cs="Arial"/>
          <w:color w:val="auto"/>
          <w:w w:val="135"/>
          <w:highlight w:val="none"/>
        </w:rPr>
        <w:t>“</w:t>
      </w:r>
      <w:r>
        <w:rPr>
          <w:rFonts w:hint="eastAsia" w:hAnsi="宋体"/>
          <w:color w:val="auto"/>
          <w:highlight w:val="none"/>
        </w:rPr>
        <w:t>实质性格式</w:t>
      </w:r>
      <w:r>
        <w:rPr>
          <w:rFonts w:hAnsi="宋体" w:cs="Arial"/>
          <w:color w:val="auto"/>
          <w:w w:val="135"/>
          <w:highlight w:val="none"/>
        </w:rPr>
        <w:t>”</w:t>
      </w:r>
      <w:r>
        <w:rPr>
          <w:rFonts w:hint="eastAsia" w:hAnsi="宋体"/>
          <w:color w:val="auto"/>
          <w:highlight w:val="none"/>
        </w:rPr>
        <w:t>的文件和竞争性磋商文件未提供格式的内容，可由供应商自行编写。</w:t>
      </w:r>
    </w:p>
    <w:p>
      <w:pPr>
        <w:pStyle w:val="69"/>
        <w:numPr>
          <w:ilvl w:val="1"/>
          <w:numId w:val="9"/>
        </w:numPr>
        <w:tabs>
          <w:tab w:val="left" w:pos="1617"/>
        </w:tabs>
        <w:kinsoku w:val="0"/>
        <w:overflowPunct w:val="0"/>
        <w:spacing w:line="303" w:lineRule="exact"/>
        <w:ind w:left="1616" w:hanging="721"/>
        <w:jc w:val="both"/>
        <w:rPr>
          <w:rFonts w:hAnsi="宋体"/>
          <w:color w:val="auto"/>
          <w:highlight w:val="none"/>
        </w:rPr>
      </w:pPr>
      <w:r>
        <w:rPr>
          <w:rFonts w:hint="eastAsia" w:hAnsi="宋体"/>
          <w:color w:val="auto"/>
          <w:highlight w:val="none"/>
        </w:rPr>
        <w:t>第三章《评审方法和评审标准》中涉及的证明文件。</w:t>
      </w:r>
    </w:p>
    <w:p>
      <w:pPr>
        <w:pStyle w:val="69"/>
        <w:numPr>
          <w:ilvl w:val="1"/>
          <w:numId w:val="9"/>
        </w:numPr>
        <w:tabs>
          <w:tab w:val="left" w:pos="1617"/>
        </w:tabs>
        <w:kinsoku w:val="0"/>
        <w:overflowPunct w:val="0"/>
        <w:spacing w:before="160" w:line="364" w:lineRule="auto"/>
        <w:ind w:left="1616" w:right="568"/>
        <w:jc w:val="both"/>
        <w:rPr>
          <w:rFonts w:hAnsi="宋体"/>
          <w:color w:val="auto"/>
          <w:highlight w:val="none"/>
        </w:rPr>
      </w:pPr>
      <w:r>
        <w:rPr>
          <w:rFonts w:hint="eastAsia" w:hAnsi="宋体"/>
          <w:color w:val="auto"/>
          <w:spacing w:val="-13"/>
          <w:highlight w:val="none"/>
        </w:rPr>
        <w:t>对照第四章《采购需求》，说明所提供货物和服务已对第四章《采购需求》做</w:t>
      </w:r>
      <w:r>
        <w:rPr>
          <w:rFonts w:hint="eastAsia" w:hAnsi="宋体"/>
          <w:color w:val="auto"/>
          <w:highlight w:val="none"/>
        </w:rPr>
        <w:t>出了响应，或申明与第四章《采购需求》的偏差和例外。如第四章《采购需求》中要求提供证明文件的，供应商应当按具体要求提供证明文件。</w:t>
      </w:r>
    </w:p>
    <w:p>
      <w:pPr>
        <w:pStyle w:val="69"/>
        <w:numPr>
          <w:ilvl w:val="1"/>
          <w:numId w:val="9"/>
        </w:numPr>
        <w:tabs>
          <w:tab w:val="left" w:pos="1617"/>
        </w:tabs>
        <w:kinsoku w:val="0"/>
        <w:overflowPunct w:val="0"/>
        <w:spacing w:line="307" w:lineRule="exact"/>
        <w:ind w:left="1616" w:hanging="721"/>
        <w:jc w:val="both"/>
        <w:rPr>
          <w:rFonts w:hAnsi="宋体"/>
          <w:color w:val="auto"/>
          <w:highlight w:val="none"/>
        </w:rPr>
      </w:pPr>
      <w:r>
        <w:rPr>
          <w:rFonts w:hint="eastAsia" w:hAnsi="宋体"/>
          <w:color w:val="auto"/>
          <w:highlight w:val="none"/>
        </w:rPr>
        <w:t>供应商认为应附的其他材料。</w:t>
      </w:r>
    </w:p>
    <w:p>
      <w:pPr>
        <w:pStyle w:val="69"/>
        <w:numPr>
          <w:ilvl w:val="0"/>
          <w:numId w:val="9"/>
        </w:numPr>
        <w:tabs>
          <w:tab w:val="left" w:pos="897"/>
        </w:tabs>
        <w:kinsoku w:val="0"/>
        <w:overflowPunct w:val="0"/>
        <w:spacing w:before="158"/>
        <w:rPr>
          <w:rFonts w:hAnsi="宋体"/>
          <w:color w:val="auto"/>
          <w:highlight w:val="none"/>
        </w:rPr>
      </w:pPr>
      <w:r>
        <w:rPr>
          <w:rFonts w:hint="eastAsia" w:hAnsi="宋体"/>
          <w:color w:val="auto"/>
          <w:highlight w:val="none"/>
        </w:rPr>
        <w:t>报价</w:t>
      </w:r>
    </w:p>
    <w:p>
      <w:pPr>
        <w:pStyle w:val="69"/>
        <w:numPr>
          <w:ilvl w:val="1"/>
          <w:numId w:val="9"/>
        </w:numPr>
        <w:tabs>
          <w:tab w:val="left" w:pos="1617"/>
        </w:tabs>
        <w:kinsoku w:val="0"/>
        <w:overflowPunct w:val="0"/>
        <w:spacing w:before="73"/>
        <w:ind w:left="1616" w:hanging="721"/>
        <w:jc w:val="both"/>
        <w:rPr>
          <w:rFonts w:hAnsi="宋体"/>
          <w:color w:val="auto"/>
          <w:highlight w:val="none"/>
        </w:rPr>
      </w:pPr>
      <w:r>
        <w:rPr>
          <w:rFonts w:hint="eastAsia" w:hAnsi="宋体"/>
          <w:color w:val="auto"/>
          <w:highlight w:val="none"/>
        </w:rPr>
        <w:t>所有响应均以人民币报价。</w:t>
      </w:r>
    </w:p>
    <w:p>
      <w:pPr>
        <w:pStyle w:val="69"/>
        <w:numPr>
          <w:ilvl w:val="1"/>
          <w:numId w:val="9"/>
        </w:numPr>
        <w:tabs>
          <w:tab w:val="left" w:pos="2008"/>
        </w:tabs>
        <w:kinsoku w:val="0"/>
        <w:overflowPunct w:val="0"/>
        <w:spacing w:before="158" w:line="364" w:lineRule="auto"/>
        <w:ind w:left="2007" w:right="571" w:hanging="900"/>
        <w:jc w:val="both"/>
        <w:rPr>
          <w:rFonts w:hAnsi="宋体"/>
          <w:color w:val="auto"/>
          <w:highlight w:val="none"/>
        </w:rPr>
      </w:pPr>
      <w:r>
        <w:rPr>
          <w:rFonts w:hint="eastAsia" w:hAnsi="宋体"/>
          <w:color w:val="auto"/>
          <w:spacing w:val="-4"/>
          <w:highlight w:val="none"/>
        </w:rPr>
        <w:t>供应商的报价应包括为完成本项目所发生的一切费用和税费，采购人将不</w:t>
      </w:r>
      <w:r>
        <w:rPr>
          <w:rFonts w:hint="eastAsia" w:hAnsi="宋体"/>
          <w:color w:val="auto"/>
          <w:spacing w:val="-8"/>
          <w:highlight w:val="none"/>
        </w:rPr>
        <w:t>再支付报价以外的任何费用。供应商的报价应包括但不限于下列内容</w:t>
      </w:r>
      <w:r>
        <w:rPr>
          <w:rFonts w:hint="eastAsia" w:hAnsi="宋体"/>
          <w:color w:val="auto"/>
          <w:spacing w:val="-79"/>
          <w:highlight w:val="none"/>
        </w:rPr>
        <w:t>，《供</w:t>
      </w:r>
      <w:r>
        <w:rPr>
          <w:rFonts w:hint="eastAsia" w:hAnsi="宋体"/>
          <w:color w:val="auto"/>
          <w:highlight w:val="none"/>
        </w:rPr>
        <w:t>应商须知资料表》中有特殊规定的，从其规定。</w:t>
      </w:r>
    </w:p>
    <w:p>
      <w:pPr>
        <w:pStyle w:val="69"/>
        <w:numPr>
          <w:ilvl w:val="2"/>
          <w:numId w:val="9"/>
        </w:numPr>
        <w:tabs>
          <w:tab w:val="left" w:pos="2522"/>
        </w:tabs>
        <w:kinsoku w:val="0"/>
        <w:overflowPunct w:val="0"/>
        <w:spacing w:line="364" w:lineRule="auto"/>
        <w:ind w:right="463"/>
        <w:rPr>
          <w:rFonts w:hAnsi="宋体"/>
          <w:color w:val="auto"/>
          <w:highlight w:val="none"/>
        </w:rPr>
      </w:pPr>
      <w:r>
        <w:rPr>
          <w:rFonts w:hint="eastAsia" w:hAnsi="宋体"/>
          <w:color w:val="auto"/>
          <w:spacing w:val="-9"/>
          <w:highlight w:val="none"/>
        </w:rPr>
        <w:t>响应货物及标准附件、备品备件、专用工具等的出厂价</w:t>
      </w:r>
      <w:r>
        <w:rPr>
          <w:rFonts w:hint="eastAsia" w:hAnsi="宋体"/>
          <w:color w:val="auto"/>
          <w:highlight w:val="none"/>
        </w:rPr>
        <w:t>（包括已在中国国内的进口货物完税后的仓库交货价、展室交货价或货架交货价</w:t>
      </w:r>
      <w:r>
        <w:rPr>
          <w:rFonts w:hint="eastAsia" w:hAnsi="宋体"/>
          <w:color w:val="auto"/>
          <w:spacing w:val="-17"/>
          <w:highlight w:val="none"/>
        </w:rPr>
        <w:t>）</w:t>
      </w:r>
      <w:r>
        <w:rPr>
          <w:rFonts w:hAnsi="宋体"/>
          <w:color w:val="auto"/>
          <w:spacing w:val="-17"/>
          <w:highlight w:val="none"/>
        </w:rPr>
        <w:t xml:space="preserve"> </w:t>
      </w:r>
      <w:r>
        <w:rPr>
          <w:rFonts w:hint="eastAsia" w:hAnsi="宋体"/>
          <w:color w:val="auto"/>
          <w:spacing w:val="-1"/>
          <w:highlight w:val="none"/>
        </w:rPr>
        <w:t>和运至最终目的地的运输费和保险费，安装调试、检验、技术服务、</w:t>
      </w:r>
      <w:r>
        <w:rPr>
          <w:rFonts w:hint="eastAsia" w:hAnsi="宋体"/>
          <w:color w:val="auto"/>
          <w:highlight w:val="none"/>
        </w:rPr>
        <w:t>培训、质量保证、售后服务、税费等全部费用；</w:t>
      </w:r>
    </w:p>
    <w:p>
      <w:pPr>
        <w:pStyle w:val="69"/>
        <w:numPr>
          <w:ilvl w:val="2"/>
          <w:numId w:val="9"/>
        </w:numPr>
        <w:tabs>
          <w:tab w:val="left" w:pos="2522"/>
        </w:tabs>
        <w:kinsoku w:val="0"/>
        <w:overflowPunct w:val="0"/>
        <w:spacing w:line="305" w:lineRule="exact"/>
        <w:ind w:hanging="901"/>
        <w:rPr>
          <w:rFonts w:hAnsi="宋体"/>
          <w:color w:val="auto"/>
          <w:highlight w:val="none"/>
        </w:rPr>
      </w:pPr>
      <w:r>
        <w:rPr>
          <w:rFonts w:hint="eastAsia" w:hAnsi="宋体"/>
          <w:color w:val="auto"/>
          <w:highlight w:val="none"/>
        </w:rPr>
        <w:t>按照竞争性磋商文件要求完成本项目的全部相关费用。</w:t>
      </w:r>
    </w:p>
    <w:p>
      <w:pPr>
        <w:pStyle w:val="69"/>
        <w:numPr>
          <w:ilvl w:val="1"/>
          <w:numId w:val="9"/>
        </w:numPr>
        <w:tabs>
          <w:tab w:val="left" w:pos="1617"/>
        </w:tabs>
        <w:kinsoku w:val="0"/>
        <w:overflowPunct w:val="0"/>
        <w:spacing w:before="159" w:line="362" w:lineRule="auto"/>
        <w:ind w:left="1616" w:right="573"/>
        <w:rPr>
          <w:rFonts w:hAnsi="宋体"/>
          <w:color w:val="auto"/>
          <w:highlight w:val="none"/>
        </w:rPr>
      </w:pPr>
      <w:r>
        <w:rPr>
          <w:rFonts w:hint="eastAsia" w:hAnsi="宋体"/>
          <w:color w:val="auto"/>
          <w:highlight w:val="none"/>
        </w:rPr>
        <w:t>采购人不得向供应商索要或者接受其给予的赠品、回扣或者与采购无关的其他商品、服务。</w:t>
      </w:r>
    </w:p>
    <w:p>
      <w:pPr>
        <w:pStyle w:val="69"/>
        <w:numPr>
          <w:ilvl w:val="1"/>
          <w:numId w:val="9"/>
        </w:numPr>
        <w:tabs>
          <w:tab w:val="left" w:pos="1622"/>
        </w:tabs>
        <w:kinsoku w:val="0"/>
        <w:overflowPunct w:val="0"/>
        <w:spacing w:before="5" w:line="362" w:lineRule="auto"/>
        <w:ind w:right="570"/>
        <w:rPr>
          <w:rFonts w:hAnsi="宋体"/>
          <w:color w:val="auto"/>
          <w:spacing w:val="-1"/>
          <w:highlight w:val="none"/>
        </w:rPr>
      </w:pPr>
      <w:r>
        <w:rPr>
          <w:rFonts w:hint="eastAsia" w:hAnsi="宋体"/>
          <w:color w:val="auto"/>
          <w:highlight w:val="none"/>
        </w:rPr>
        <w:t>供应商不能提供任何有选择性或可调整的最后报价（竞争性磋商文件另有规定的除外</w:t>
      </w:r>
      <w:r>
        <w:rPr>
          <w:rFonts w:hint="eastAsia" w:hAnsi="宋体"/>
          <w:color w:val="auto"/>
          <w:spacing w:val="-120"/>
          <w:highlight w:val="none"/>
        </w:rPr>
        <w:t>）</w:t>
      </w:r>
      <w:r>
        <w:rPr>
          <w:rFonts w:hint="eastAsia" w:hAnsi="宋体"/>
          <w:color w:val="auto"/>
          <w:spacing w:val="-1"/>
          <w:highlight w:val="none"/>
        </w:rPr>
        <w:t>，否则其响应无效。</w:t>
      </w:r>
    </w:p>
    <w:p>
      <w:pPr>
        <w:pStyle w:val="69"/>
        <w:numPr>
          <w:ilvl w:val="1"/>
          <w:numId w:val="9"/>
        </w:numPr>
        <w:tabs>
          <w:tab w:val="left" w:pos="1622"/>
        </w:tabs>
        <w:kinsoku w:val="0"/>
        <w:overflowPunct w:val="0"/>
        <w:spacing w:before="5" w:line="362" w:lineRule="auto"/>
        <w:ind w:right="570"/>
        <w:rPr>
          <w:rFonts w:hAnsi="宋体"/>
          <w:color w:val="auto"/>
          <w:spacing w:val="-1"/>
          <w:highlight w:val="none"/>
        </w:rPr>
      </w:pPr>
      <w:r>
        <w:rPr>
          <w:rFonts w:hint="eastAsia" w:hAnsi="宋体"/>
          <w:color w:val="auto"/>
          <w:spacing w:val="-1"/>
          <w:highlight w:val="none"/>
        </w:rPr>
        <w:t>供应商应在磋商小组规定的时间内提交最后报价的总价金额，未按要求提供则最后报价等同首次提交的响应文件报价。注</w:t>
      </w:r>
      <w:r>
        <w:rPr>
          <w:rFonts w:hAnsi="宋体"/>
          <w:color w:val="auto"/>
          <w:spacing w:val="-1"/>
          <w:highlight w:val="none"/>
        </w:rPr>
        <w:t>:</w:t>
      </w:r>
      <w:r>
        <w:rPr>
          <w:rFonts w:hint="eastAsia" w:hAnsi="宋体"/>
          <w:color w:val="auto"/>
          <w:spacing w:val="-1"/>
          <w:highlight w:val="none"/>
        </w:rPr>
        <w:t>供应商在磋商小组规定的时间内提交最后报价的总价金额。并按要求在签订合同前提交调整后的投标组价。</w:t>
      </w:r>
      <w:r>
        <w:rPr>
          <w:rFonts w:hAnsi="宋体"/>
          <w:color w:val="auto"/>
          <w:spacing w:val="-1"/>
          <w:highlight w:val="none"/>
        </w:rPr>
        <w:t xml:space="preserve"> </w:t>
      </w:r>
    </w:p>
    <w:p>
      <w:pPr>
        <w:pStyle w:val="69"/>
        <w:numPr>
          <w:ilvl w:val="0"/>
          <w:numId w:val="9"/>
        </w:numPr>
        <w:tabs>
          <w:tab w:val="left" w:pos="897"/>
        </w:tabs>
        <w:kinsoku w:val="0"/>
        <w:overflowPunct w:val="0"/>
        <w:spacing w:before="5"/>
        <w:rPr>
          <w:rFonts w:hAnsi="宋体"/>
          <w:color w:val="auto"/>
          <w:highlight w:val="none"/>
        </w:rPr>
      </w:pPr>
      <w:r>
        <w:rPr>
          <w:rFonts w:hint="eastAsia" w:hAnsi="宋体"/>
          <w:color w:val="auto"/>
          <w:highlight w:val="none"/>
        </w:rPr>
        <w:t>磋商保证金（本项目不适用）</w:t>
      </w:r>
    </w:p>
    <w:p>
      <w:pPr>
        <w:pStyle w:val="69"/>
        <w:numPr>
          <w:ilvl w:val="1"/>
          <w:numId w:val="9"/>
        </w:numPr>
        <w:tabs>
          <w:tab w:val="left" w:pos="1617"/>
        </w:tabs>
        <w:kinsoku w:val="0"/>
        <w:overflowPunct w:val="0"/>
        <w:spacing w:before="161"/>
        <w:ind w:left="1616" w:hanging="721"/>
        <w:jc w:val="both"/>
        <w:rPr>
          <w:rFonts w:hAnsi="宋体"/>
          <w:color w:val="auto"/>
          <w:highlight w:val="none"/>
        </w:rPr>
      </w:pPr>
      <w:r>
        <w:rPr>
          <w:rFonts w:hint="eastAsia" w:hAnsi="宋体"/>
          <w:color w:val="auto"/>
          <w:highlight w:val="none"/>
        </w:rPr>
        <w:t>供应商应按《供应商须知资料表》中规定的金额及要求交纳磋商保证金。</w:t>
      </w:r>
    </w:p>
    <w:p>
      <w:pPr>
        <w:pStyle w:val="69"/>
        <w:numPr>
          <w:ilvl w:val="1"/>
          <w:numId w:val="9"/>
        </w:numPr>
        <w:tabs>
          <w:tab w:val="left" w:pos="1617"/>
        </w:tabs>
        <w:kinsoku w:val="0"/>
        <w:overflowPunct w:val="0"/>
        <w:spacing w:before="158" w:line="364" w:lineRule="auto"/>
        <w:ind w:left="1616" w:right="451"/>
        <w:jc w:val="both"/>
        <w:rPr>
          <w:rFonts w:hAnsi="宋体"/>
          <w:color w:val="auto"/>
          <w:highlight w:val="none"/>
        </w:rPr>
      </w:pPr>
      <w:r>
        <w:rPr>
          <w:rFonts w:hint="eastAsia" w:hAnsi="宋体"/>
          <w:color w:val="auto"/>
          <w:spacing w:val="-5"/>
          <w:highlight w:val="none"/>
        </w:rPr>
        <w:t>交纳磋商保证金可采用的形式：政府采购法律法规接受的支票、汇票、本票、</w:t>
      </w:r>
      <w:r>
        <w:rPr>
          <w:rFonts w:hint="eastAsia" w:hAnsi="宋体"/>
          <w:color w:val="auto"/>
          <w:highlight w:val="none"/>
        </w:rPr>
        <w:t>网上银行支付或者金融机构、担保机构出具的保函等非现金形式。</w:t>
      </w:r>
    </w:p>
    <w:p>
      <w:pPr>
        <w:pStyle w:val="69"/>
        <w:numPr>
          <w:ilvl w:val="1"/>
          <w:numId w:val="9"/>
        </w:numPr>
        <w:tabs>
          <w:tab w:val="left" w:pos="1617"/>
        </w:tabs>
        <w:kinsoku w:val="0"/>
        <w:overflowPunct w:val="0"/>
        <w:spacing w:line="364" w:lineRule="auto"/>
        <w:ind w:left="1616" w:right="570"/>
        <w:jc w:val="both"/>
        <w:rPr>
          <w:rFonts w:hAnsi="宋体"/>
          <w:color w:val="auto"/>
          <w:highlight w:val="none"/>
        </w:rPr>
      </w:pPr>
      <w:r>
        <w:rPr>
          <w:rFonts w:hint="eastAsia" w:hAnsi="宋体"/>
          <w:color w:val="auto"/>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w:t>
      </w:r>
      <w:r>
        <w:rPr>
          <w:rFonts w:hAnsi="宋体"/>
          <w:color w:val="auto"/>
          <w:highlight w:val="none"/>
        </w:rPr>
        <w:t xml:space="preserve"> </w:t>
      </w:r>
      <w:r>
        <w:rPr>
          <w:rFonts w:hint="eastAsia" w:hAnsi="宋体"/>
          <w:color w:val="auto"/>
          <w:highlight w:val="none"/>
        </w:rPr>
        <w:t>由于到账时间晚于首次响应文件提交截止时间的，或者票据错误、印鉴不清等原因导致不能到账的，其响应无效。</w:t>
      </w:r>
    </w:p>
    <w:p>
      <w:pPr>
        <w:pStyle w:val="69"/>
        <w:numPr>
          <w:ilvl w:val="1"/>
          <w:numId w:val="9"/>
        </w:numPr>
        <w:tabs>
          <w:tab w:val="left" w:pos="1617"/>
        </w:tabs>
        <w:kinsoku w:val="0"/>
        <w:overflowPunct w:val="0"/>
        <w:spacing w:line="304" w:lineRule="exact"/>
        <w:ind w:left="1616" w:hanging="721"/>
        <w:jc w:val="both"/>
        <w:rPr>
          <w:rFonts w:hAnsi="宋体"/>
          <w:color w:val="auto"/>
          <w:highlight w:val="none"/>
        </w:rPr>
      </w:pPr>
      <w:r>
        <w:rPr>
          <w:rFonts w:hint="eastAsia" w:hAnsi="宋体"/>
          <w:color w:val="auto"/>
          <w:highlight w:val="none"/>
        </w:rPr>
        <w:t>磋商保证金有效期同响应有效期。</w:t>
      </w:r>
    </w:p>
    <w:p>
      <w:pPr>
        <w:pStyle w:val="69"/>
        <w:numPr>
          <w:ilvl w:val="1"/>
          <w:numId w:val="9"/>
        </w:numPr>
        <w:tabs>
          <w:tab w:val="left" w:pos="1617"/>
        </w:tabs>
        <w:kinsoku w:val="0"/>
        <w:overflowPunct w:val="0"/>
        <w:spacing w:before="159" w:line="362" w:lineRule="auto"/>
        <w:ind w:left="1616" w:right="573"/>
        <w:jc w:val="both"/>
        <w:rPr>
          <w:rFonts w:hAnsi="宋体"/>
          <w:color w:val="auto"/>
          <w:highlight w:val="none"/>
        </w:rPr>
      </w:pPr>
      <w:r>
        <w:rPr>
          <w:rFonts w:hint="eastAsia" w:hAnsi="宋体"/>
          <w:color w:val="auto"/>
          <w:highlight w:val="none"/>
        </w:rPr>
        <w:t>供应商为联合体的，可以由联合体中的一方或者多方共同交纳磋商保证金，</w:t>
      </w:r>
      <w:r>
        <w:rPr>
          <w:rFonts w:hAnsi="宋体"/>
          <w:color w:val="auto"/>
          <w:highlight w:val="none"/>
        </w:rPr>
        <w:t xml:space="preserve"> </w:t>
      </w:r>
      <w:r>
        <w:rPr>
          <w:rFonts w:hint="eastAsia" w:hAnsi="宋体"/>
          <w:color w:val="auto"/>
          <w:highlight w:val="none"/>
        </w:rPr>
        <w:t>其交纳的保证金对联合体各方均具有约束力。</w:t>
      </w:r>
    </w:p>
    <w:p>
      <w:pPr>
        <w:pStyle w:val="69"/>
        <w:numPr>
          <w:ilvl w:val="1"/>
          <w:numId w:val="9"/>
        </w:numPr>
        <w:tabs>
          <w:tab w:val="left" w:pos="1617"/>
        </w:tabs>
        <w:kinsoku w:val="0"/>
        <w:overflowPunct w:val="0"/>
        <w:spacing w:before="5" w:line="364" w:lineRule="auto"/>
        <w:ind w:left="1616" w:right="573"/>
        <w:jc w:val="both"/>
        <w:rPr>
          <w:rFonts w:hAnsi="宋体"/>
          <w:color w:val="auto"/>
          <w:highlight w:val="none"/>
        </w:rPr>
      </w:pPr>
      <w:r>
        <w:rPr>
          <w:rFonts w:hint="eastAsia" w:hAnsi="宋体"/>
          <w:color w:val="auto"/>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pStyle w:val="69"/>
        <w:numPr>
          <w:ilvl w:val="2"/>
          <w:numId w:val="9"/>
        </w:numPr>
        <w:tabs>
          <w:tab w:val="left" w:pos="2522"/>
        </w:tabs>
        <w:kinsoku w:val="0"/>
        <w:overflowPunct w:val="0"/>
        <w:spacing w:line="304" w:lineRule="exact"/>
        <w:ind w:hanging="901"/>
        <w:jc w:val="both"/>
        <w:rPr>
          <w:rFonts w:hAnsi="宋体"/>
          <w:color w:val="auto"/>
          <w:spacing w:val="-8"/>
          <w:highlight w:val="none"/>
        </w:rPr>
      </w:pPr>
      <w:r>
        <w:rPr>
          <w:rFonts w:hint="eastAsia" w:hAnsi="宋体"/>
          <w:color w:val="auto"/>
          <w:spacing w:val="-8"/>
          <w:highlight w:val="none"/>
        </w:rPr>
        <w:t>已提交响应文件的供应商，在提交最后报价之前，可以根据磋商情况</w:t>
      </w:r>
    </w:p>
    <w:p>
      <w:pPr>
        <w:pStyle w:val="17"/>
        <w:kinsoku w:val="0"/>
        <w:overflowPunct w:val="0"/>
        <w:spacing w:before="73" w:line="362" w:lineRule="auto"/>
        <w:ind w:left="2521" w:right="570"/>
        <w:rPr>
          <w:rFonts w:hAnsi="宋体"/>
          <w:color w:val="auto"/>
          <w:highlight w:val="none"/>
        </w:rPr>
      </w:pPr>
      <w:r>
        <w:rPr>
          <w:rFonts w:hint="eastAsia" w:hAnsi="宋体"/>
          <w:color w:val="auto"/>
          <w:spacing w:val="-12"/>
          <w:highlight w:val="none"/>
        </w:rPr>
        <w:t>退出磋商。采购人、采购代理机构将退还退出磋商的供应商的磋商保</w:t>
      </w:r>
      <w:r>
        <w:rPr>
          <w:rFonts w:hint="eastAsia" w:hAnsi="宋体"/>
          <w:color w:val="auto"/>
          <w:highlight w:val="none"/>
        </w:rPr>
        <w:t>证金；</w:t>
      </w:r>
    </w:p>
    <w:p>
      <w:pPr>
        <w:pStyle w:val="69"/>
        <w:numPr>
          <w:ilvl w:val="2"/>
          <w:numId w:val="9"/>
        </w:numPr>
        <w:tabs>
          <w:tab w:val="left" w:pos="2522"/>
        </w:tabs>
        <w:kinsoku w:val="0"/>
        <w:overflowPunct w:val="0"/>
        <w:spacing w:before="4" w:line="364" w:lineRule="auto"/>
        <w:ind w:right="573"/>
        <w:rPr>
          <w:rFonts w:hAnsi="宋体"/>
          <w:color w:val="auto"/>
          <w:highlight w:val="none"/>
        </w:rPr>
      </w:pPr>
      <w:r>
        <w:rPr>
          <w:rFonts w:hint="eastAsia" w:hAnsi="宋体"/>
          <w:color w:val="auto"/>
          <w:spacing w:val="-2"/>
          <w:highlight w:val="none"/>
        </w:rPr>
        <w:t>成交供应商的磋商保证金，在采购合同签订后</w:t>
      </w:r>
      <w:r>
        <w:rPr>
          <w:rFonts w:hAnsi="宋体"/>
          <w:color w:val="auto"/>
          <w:spacing w:val="-2"/>
          <w:highlight w:val="none"/>
        </w:rPr>
        <w:t xml:space="preserve"> </w:t>
      </w:r>
      <w:r>
        <w:rPr>
          <w:rFonts w:hAnsi="宋体" w:cs="Arial"/>
          <w:color w:val="auto"/>
          <w:highlight w:val="none"/>
        </w:rPr>
        <w:t>5</w:t>
      </w:r>
      <w:r>
        <w:rPr>
          <w:rFonts w:hAnsi="宋体" w:cs="Arial"/>
          <w:color w:val="auto"/>
          <w:spacing w:val="16"/>
          <w:highlight w:val="none"/>
        </w:rPr>
        <w:t xml:space="preserve"> </w:t>
      </w:r>
      <w:r>
        <w:rPr>
          <w:rFonts w:hint="eastAsia" w:hAnsi="宋体"/>
          <w:color w:val="auto"/>
          <w:highlight w:val="none"/>
        </w:rPr>
        <w:t>个工作日内退还成交供应商；</w:t>
      </w:r>
    </w:p>
    <w:p>
      <w:pPr>
        <w:pStyle w:val="69"/>
        <w:numPr>
          <w:ilvl w:val="2"/>
          <w:numId w:val="9"/>
        </w:numPr>
        <w:tabs>
          <w:tab w:val="left" w:pos="2522"/>
        </w:tabs>
        <w:kinsoku w:val="0"/>
        <w:overflowPunct w:val="0"/>
        <w:spacing w:line="364" w:lineRule="auto"/>
        <w:ind w:right="573"/>
        <w:rPr>
          <w:rFonts w:hAnsi="宋体"/>
          <w:color w:val="auto"/>
          <w:highlight w:val="none"/>
        </w:rPr>
      </w:pPr>
      <w:r>
        <w:rPr>
          <w:rFonts w:hint="eastAsia" w:hAnsi="宋体"/>
          <w:color w:val="auto"/>
          <w:spacing w:val="-2"/>
          <w:highlight w:val="none"/>
        </w:rPr>
        <w:t>未成交供应商的磋商保证金，在成交通知书发出后</w:t>
      </w:r>
      <w:r>
        <w:rPr>
          <w:rFonts w:hAnsi="宋体"/>
          <w:color w:val="auto"/>
          <w:spacing w:val="-2"/>
          <w:highlight w:val="none"/>
        </w:rPr>
        <w:t xml:space="preserve"> </w:t>
      </w:r>
      <w:r>
        <w:rPr>
          <w:rFonts w:hAnsi="宋体" w:cs="Arial"/>
          <w:color w:val="auto"/>
          <w:highlight w:val="none"/>
        </w:rPr>
        <w:t>5</w:t>
      </w:r>
      <w:r>
        <w:rPr>
          <w:rFonts w:hAnsi="宋体" w:cs="Arial"/>
          <w:color w:val="auto"/>
          <w:spacing w:val="16"/>
          <w:highlight w:val="none"/>
        </w:rPr>
        <w:t xml:space="preserve"> </w:t>
      </w:r>
      <w:r>
        <w:rPr>
          <w:rFonts w:hint="eastAsia" w:hAnsi="宋体"/>
          <w:color w:val="auto"/>
          <w:highlight w:val="none"/>
        </w:rPr>
        <w:t>个工作日内退还。</w:t>
      </w:r>
    </w:p>
    <w:p>
      <w:pPr>
        <w:pStyle w:val="69"/>
        <w:numPr>
          <w:ilvl w:val="1"/>
          <w:numId w:val="9"/>
        </w:numPr>
        <w:tabs>
          <w:tab w:val="left" w:pos="1617"/>
        </w:tabs>
        <w:kinsoku w:val="0"/>
        <w:overflowPunct w:val="0"/>
        <w:spacing w:line="306" w:lineRule="exact"/>
        <w:ind w:left="1616" w:hanging="721"/>
        <w:rPr>
          <w:rFonts w:hAnsi="宋体"/>
          <w:color w:val="auto"/>
          <w:highlight w:val="none"/>
        </w:rPr>
      </w:pPr>
      <w:r>
        <w:rPr>
          <w:rFonts w:hint="eastAsia" w:hAnsi="宋体"/>
          <w:color w:val="auto"/>
          <w:highlight w:val="none"/>
        </w:rPr>
        <w:t>有下列情形之一的，采购人或采购代理机构不予退还磋商保证金：</w:t>
      </w:r>
    </w:p>
    <w:p>
      <w:pPr>
        <w:pStyle w:val="69"/>
        <w:numPr>
          <w:ilvl w:val="2"/>
          <w:numId w:val="9"/>
        </w:numPr>
        <w:tabs>
          <w:tab w:val="left" w:pos="2522"/>
        </w:tabs>
        <w:kinsoku w:val="0"/>
        <w:overflowPunct w:val="0"/>
        <w:spacing w:before="160"/>
        <w:ind w:hanging="901"/>
        <w:rPr>
          <w:rFonts w:hAnsi="宋体"/>
          <w:color w:val="auto"/>
          <w:highlight w:val="none"/>
        </w:rPr>
      </w:pPr>
      <w:r>
        <w:rPr>
          <w:rFonts w:hint="eastAsia" w:hAnsi="宋体"/>
          <w:color w:val="auto"/>
          <w:highlight w:val="none"/>
        </w:rPr>
        <w:t>供应商在提交响应文件截止时间后撤回响应文件的；</w:t>
      </w:r>
    </w:p>
    <w:p>
      <w:pPr>
        <w:pStyle w:val="69"/>
        <w:numPr>
          <w:ilvl w:val="2"/>
          <w:numId w:val="9"/>
        </w:numPr>
        <w:tabs>
          <w:tab w:val="left" w:pos="2522"/>
        </w:tabs>
        <w:kinsoku w:val="0"/>
        <w:overflowPunct w:val="0"/>
        <w:spacing w:before="158"/>
        <w:ind w:hanging="901"/>
        <w:rPr>
          <w:rFonts w:hAnsi="宋体"/>
          <w:color w:val="auto"/>
          <w:highlight w:val="none"/>
        </w:rPr>
      </w:pPr>
      <w:r>
        <w:rPr>
          <w:rFonts w:hint="eastAsia" w:hAnsi="宋体"/>
          <w:color w:val="auto"/>
          <w:highlight w:val="none"/>
        </w:rPr>
        <w:t>供应商在响应文件中提供虚假材料的；</w:t>
      </w:r>
    </w:p>
    <w:p>
      <w:pPr>
        <w:pStyle w:val="69"/>
        <w:numPr>
          <w:ilvl w:val="2"/>
          <w:numId w:val="9"/>
        </w:numPr>
        <w:tabs>
          <w:tab w:val="left" w:pos="2522"/>
        </w:tabs>
        <w:kinsoku w:val="0"/>
        <w:overflowPunct w:val="0"/>
        <w:spacing w:before="160" w:line="362" w:lineRule="auto"/>
        <w:ind w:right="570"/>
        <w:rPr>
          <w:rFonts w:hAnsi="宋体"/>
          <w:color w:val="auto"/>
          <w:highlight w:val="none"/>
        </w:rPr>
      </w:pPr>
      <w:r>
        <w:rPr>
          <w:rFonts w:hint="eastAsia" w:hAnsi="宋体"/>
          <w:color w:val="auto"/>
          <w:spacing w:val="-7"/>
          <w:highlight w:val="none"/>
        </w:rPr>
        <w:t>除因不可抗力或磋商文件认可的情形以外，成交供应商不与采购人签</w:t>
      </w:r>
      <w:r>
        <w:rPr>
          <w:rFonts w:hint="eastAsia" w:hAnsi="宋体"/>
          <w:color w:val="auto"/>
          <w:highlight w:val="none"/>
        </w:rPr>
        <w:t>订合同的；</w:t>
      </w:r>
    </w:p>
    <w:p>
      <w:pPr>
        <w:pStyle w:val="69"/>
        <w:numPr>
          <w:ilvl w:val="2"/>
          <w:numId w:val="9"/>
        </w:numPr>
        <w:tabs>
          <w:tab w:val="left" w:pos="2522"/>
        </w:tabs>
        <w:kinsoku w:val="0"/>
        <w:overflowPunct w:val="0"/>
        <w:spacing w:before="5"/>
        <w:ind w:hanging="901"/>
        <w:rPr>
          <w:rFonts w:hAnsi="宋体"/>
          <w:color w:val="auto"/>
          <w:highlight w:val="none"/>
        </w:rPr>
      </w:pPr>
      <w:r>
        <w:rPr>
          <w:rFonts w:hint="eastAsia" w:hAnsi="宋体"/>
          <w:color w:val="auto"/>
          <w:highlight w:val="none"/>
        </w:rPr>
        <w:t>供应商与采购人、其他供应商或者采购代理机构恶意串通的；</w:t>
      </w:r>
    </w:p>
    <w:p>
      <w:pPr>
        <w:pStyle w:val="69"/>
        <w:numPr>
          <w:ilvl w:val="2"/>
          <w:numId w:val="9"/>
        </w:numPr>
        <w:tabs>
          <w:tab w:val="left" w:pos="2522"/>
        </w:tabs>
        <w:kinsoku w:val="0"/>
        <w:overflowPunct w:val="0"/>
        <w:spacing w:before="158"/>
        <w:ind w:hanging="901"/>
        <w:rPr>
          <w:rFonts w:hAnsi="宋体"/>
          <w:color w:val="auto"/>
          <w:highlight w:val="none"/>
        </w:rPr>
      </w:pPr>
      <w:r>
        <w:rPr>
          <w:rFonts w:hint="eastAsia" w:hAnsi="宋体"/>
          <w:color w:val="auto"/>
          <w:highlight w:val="none"/>
        </w:rPr>
        <w:t>《供应商须知资料表》规定的其他情形。</w:t>
      </w:r>
    </w:p>
    <w:p>
      <w:pPr>
        <w:pStyle w:val="69"/>
        <w:numPr>
          <w:ilvl w:val="0"/>
          <w:numId w:val="9"/>
        </w:numPr>
        <w:tabs>
          <w:tab w:val="left" w:pos="897"/>
        </w:tabs>
        <w:kinsoku w:val="0"/>
        <w:overflowPunct w:val="0"/>
        <w:spacing w:before="161"/>
        <w:jc w:val="both"/>
        <w:rPr>
          <w:rFonts w:hAnsi="宋体"/>
          <w:color w:val="auto"/>
          <w:highlight w:val="none"/>
        </w:rPr>
      </w:pPr>
      <w:r>
        <w:rPr>
          <w:rFonts w:hint="eastAsia" w:hAnsi="宋体"/>
          <w:color w:val="auto"/>
          <w:highlight w:val="none"/>
        </w:rPr>
        <w:t>响应有效期</w:t>
      </w:r>
    </w:p>
    <w:p>
      <w:pPr>
        <w:pStyle w:val="69"/>
        <w:numPr>
          <w:ilvl w:val="1"/>
          <w:numId w:val="9"/>
        </w:numPr>
        <w:tabs>
          <w:tab w:val="left" w:pos="1617"/>
        </w:tabs>
        <w:kinsoku w:val="0"/>
        <w:overflowPunct w:val="0"/>
        <w:spacing w:before="160" w:line="362" w:lineRule="auto"/>
        <w:ind w:left="1616" w:right="573"/>
        <w:jc w:val="both"/>
        <w:rPr>
          <w:rFonts w:hAnsi="宋体"/>
          <w:color w:val="auto"/>
          <w:highlight w:val="none"/>
        </w:rPr>
      </w:pPr>
      <w:r>
        <w:rPr>
          <w:rFonts w:hint="eastAsia" w:hAnsi="宋体"/>
          <w:color w:val="auto"/>
          <w:highlight w:val="none"/>
        </w:rPr>
        <w:t>响应文件应在本竞争性磋商文件《供应商须知资料表》中规定的响应有效期内保持有效，响应有效期少于竞争性磋商文件规定期限的，其响应无效。</w:t>
      </w:r>
    </w:p>
    <w:p>
      <w:pPr>
        <w:pStyle w:val="69"/>
        <w:numPr>
          <w:ilvl w:val="0"/>
          <w:numId w:val="9"/>
        </w:numPr>
        <w:tabs>
          <w:tab w:val="left" w:pos="897"/>
        </w:tabs>
        <w:kinsoku w:val="0"/>
        <w:overflowPunct w:val="0"/>
        <w:spacing w:before="5"/>
        <w:jc w:val="both"/>
        <w:rPr>
          <w:rFonts w:hAnsi="宋体"/>
          <w:color w:val="auto"/>
          <w:highlight w:val="none"/>
        </w:rPr>
      </w:pPr>
      <w:r>
        <w:rPr>
          <w:rFonts w:hint="eastAsia" w:hAnsi="宋体"/>
          <w:color w:val="auto"/>
          <w:highlight w:val="none"/>
        </w:rPr>
        <w:t>响应文件的签署、盖章</w:t>
      </w:r>
    </w:p>
    <w:p>
      <w:pPr>
        <w:numPr>
          <w:ilvl w:val="1"/>
          <w:numId w:val="9"/>
        </w:numPr>
        <w:tabs>
          <w:tab w:val="left" w:pos="1080"/>
          <w:tab w:val="left" w:pos="2014"/>
        </w:tabs>
        <w:autoSpaceDE/>
        <w:autoSpaceDN/>
        <w:adjustRightInd/>
        <w:snapToGrid w:val="0"/>
        <w:spacing w:line="360" w:lineRule="auto"/>
        <w:jc w:val="both"/>
        <w:rPr>
          <w:rFonts w:hAnsi="宋体"/>
          <w:color w:val="auto"/>
          <w:sz w:val="24"/>
          <w:szCs w:val="24"/>
          <w:highlight w:val="none"/>
        </w:rPr>
      </w:pPr>
      <w:r>
        <w:rPr>
          <w:rFonts w:hint="eastAsia" w:hAnsi="宋体"/>
          <w:color w:val="auto"/>
          <w:sz w:val="24"/>
          <w:szCs w:val="24"/>
          <w:highlight w:val="none"/>
        </w:rPr>
        <w:t>响应文件正本一份，副本二份，电子文件一份。正本和副本的封面右上角上应清楚地标记</w:t>
      </w:r>
      <w:r>
        <w:rPr>
          <w:rFonts w:hAnsi="宋体"/>
          <w:color w:val="auto"/>
          <w:sz w:val="24"/>
          <w:szCs w:val="24"/>
          <w:highlight w:val="none"/>
        </w:rPr>
        <w:t>“</w:t>
      </w:r>
      <w:r>
        <w:rPr>
          <w:rFonts w:hint="eastAsia" w:hAnsi="宋体"/>
          <w:color w:val="auto"/>
          <w:sz w:val="24"/>
          <w:szCs w:val="24"/>
          <w:highlight w:val="none"/>
        </w:rPr>
        <w:t>正本</w:t>
      </w:r>
      <w:r>
        <w:rPr>
          <w:rFonts w:hAnsi="宋体"/>
          <w:color w:val="auto"/>
          <w:sz w:val="24"/>
          <w:szCs w:val="24"/>
          <w:highlight w:val="none"/>
        </w:rPr>
        <w:t>”</w:t>
      </w:r>
      <w:r>
        <w:rPr>
          <w:rFonts w:hint="eastAsia" w:hAnsi="宋体"/>
          <w:color w:val="auto"/>
          <w:sz w:val="24"/>
          <w:szCs w:val="24"/>
          <w:highlight w:val="none"/>
        </w:rPr>
        <w:t>或</w:t>
      </w:r>
      <w:r>
        <w:rPr>
          <w:rFonts w:hAnsi="宋体"/>
          <w:color w:val="auto"/>
          <w:sz w:val="24"/>
          <w:szCs w:val="24"/>
          <w:highlight w:val="none"/>
        </w:rPr>
        <w:t>“</w:t>
      </w:r>
      <w:r>
        <w:rPr>
          <w:rFonts w:hint="eastAsia" w:hAnsi="宋体"/>
          <w:color w:val="auto"/>
          <w:sz w:val="24"/>
          <w:szCs w:val="24"/>
          <w:highlight w:val="none"/>
        </w:rPr>
        <w:t>副本</w:t>
      </w:r>
      <w:r>
        <w:rPr>
          <w:rFonts w:hAnsi="宋体"/>
          <w:color w:val="auto"/>
          <w:sz w:val="24"/>
          <w:szCs w:val="24"/>
          <w:highlight w:val="none"/>
        </w:rPr>
        <w:t>”</w:t>
      </w:r>
      <w:r>
        <w:rPr>
          <w:rFonts w:hint="eastAsia" w:hAnsi="宋体"/>
          <w:color w:val="auto"/>
          <w:sz w:val="24"/>
          <w:szCs w:val="24"/>
          <w:highlight w:val="none"/>
        </w:rPr>
        <w:t>的字样。电子文件的形式为</w:t>
      </w:r>
      <w:r>
        <w:rPr>
          <w:rFonts w:hAnsi="宋体"/>
          <w:color w:val="auto"/>
          <w:sz w:val="24"/>
          <w:szCs w:val="24"/>
          <w:highlight w:val="none"/>
        </w:rPr>
        <w:t>U</w:t>
      </w:r>
      <w:r>
        <w:rPr>
          <w:rFonts w:hint="eastAsia" w:hAnsi="宋体"/>
          <w:color w:val="auto"/>
          <w:sz w:val="24"/>
          <w:szCs w:val="24"/>
          <w:highlight w:val="none"/>
        </w:rPr>
        <w:t>盘（电子版文件须包括</w:t>
      </w:r>
      <w:r>
        <w:rPr>
          <w:rFonts w:hAnsi="宋体"/>
          <w:color w:val="auto"/>
          <w:sz w:val="24"/>
          <w:szCs w:val="24"/>
          <w:highlight w:val="none"/>
        </w:rPr>
        <w:t>word</w:t>
      </w:r>
      <w:r>
        <w:rPr>
          <w:rFonts w:hint="eastAsia" w:hAnsi="宋体"/>
          <w:color w:val="auto"/>
          <w:sz w:val="24"/>
          <w:szCs w:val="24"/>
          <w:highlight w:val="none"/>
        </w:rPr>
        <w:t>文档及签字盖章后扫描的</w:t>
      </w:r>
      <w:r>
        <w:rPr>
          <w:rFonts w:hAnsi="宋体"/>
          <w:color w:val="auto"/>
          <w:sz w:val="24"/>
          <w:szCs w:val="24"/>
          <w:highlight w:val="none"/>
        </w:rPr>
        <w:t>PDF</w:t>
      </w:r>
      <w:r>
        <w:rPr>
          <w:rFonts w:hint="eastAsia" w:hAnsi="宋体"/>
          <w:color w:val="auto"/>
          <w:sz w:val="24"/>
          <w:szCs w:val="24"/>
          <w:highlight w:val="none"/>
        </w:rPr>
        <w:t>文档）。当副本和正本不一致或电子版文件和纸质正本文件不一致时，以纸质正本文件为准。</w:t>
      </w:r>
    </w:p>
    <w:p>
      <w:pPr>
        <w:numPr>
          <w:ilvl w:val="1"/>
          <w:numId w:val="9"/>
        </w:numPr>
        <w:tabs>
          <w:tab w:val="left" w:pos="1080"/>
          <w:tab w:val="left" w:pos="2014"/>
        </w:tabs>
        <w:autoSpaceDE/>
        <w:autoSpaceDN/>
        <w:adjustRightInd/>
        <w:snapToGrid w:val="0"/>
        <w:spacing w:line="360" w:lineRule="auto"/>
        <w:jc w:val="both"/>
        <w:rPr>
          <w:rFonts w:hAnsi="宋体"/>
          <w:color w:val="auto"/>
          <w:sz w:val="24"/>
          <w:szCs w:val="24"/>
          <w:highlight w:val="none"/>
        </w:rPr>
      </w:pPr>
      <w:r>
        <w:rPr>
          <w:rFonts w:hint="eastAsia" w:hAnsi="宋体"/>
          <w:color w:val="auto"/>
          <w:sz w:val="24"/>
          <w:szCs w:val="24"/>
          <w:highlight w:val="none"/>
        </w:rPr>
        <w:t>响应文件的正本需打印或用不退色墨水书写，在竞争性磋商文件明确标明签字或盖章处由法定代表人或授权委托人签字或盖单位公章，法定代表人签字处可为签字或加盖法定代表人印章。副本可为正本的复印件。</w:t>
      </w:r>
    </w:p>
    <w:p>
      <w:pPr>
        <w:numPr>
          <w:ilvl w:val="1"/>
          <w:numId w:val="9"/>
        </w:numPr>
        <w:tabs>
          <w:tab w:val="left" w:pos="1080"/>
          <w:tab w:val="left" w:pos="2014"/>
        </w:tabs>
        <w:autoSpaceDE/>
        <w:autoSpaceDN/>
        <w:adjustRightInd/>
        <w:snapToGrid w:val="0"/>
        <w:spacing w:line="360" w:lineRule="auto"/>
        <w:jc w:val="both"/>
        <w:rPr>
          <w:rFonts w:hAnsi="宋体"/>
          <w:color w:val="auto"/>
          <w:sz w:val="24"/>
          <w:szCs w:val="24"/>
          <w:highlight w:val="none"/>
        </w:rPr>
      </w:pPr>
      <w:r>
        <w:rPr>
          <w:rFonts w:hint="eastAsia" w:hAnsi="宋体"/>
          <w:color w:val="auto"/>
          <w:sz w:val="24"/>
          <w:szCs w:val="24"/>
          <w:highlight w:val="none"/>
        </w:rPr>
        <w:t>任何行间插字、涂改和增删，必须由供应商的法定代表人或经其正式授权的代表签字或盖章后才有效。</w:t>
      </w:r>
    </w:p>
    <w:p>
      <w:pPr>
        <w:numPr>
          <w:ilvl w:val="1"/>
          <w:numId w:val="9"/>
        </w:numPr>
        <w:tabs>
          <w:tab w:val="left" w:pos="1080"/>
          <w:tab w:val="left" w:pos="2014"/>
        </w:tabs>
        <w:autoSpaceDE/>
        <w:autoSpaceDN/>
        <w:adjustRightInd/>
        <w:snapToGrid w:val="0"/>
        <w:spacing w:line="360" w:lineRule="auto"/>
        <w:jc w:val="both"/>
        <w:rPr>
          <w:rFonts w:hAnsi="宋体"/>
          <w:color w:val="auto"/>
          <w:sz w:val="24"/>
          <w:szCs w:val="24"/>
          <w:highlight w:val="none"/>
        </w:rPr>
      </w:pPr>
      <w:r>
        <w:rPr>
          <w:rFonts w:hint="eastAsia" w:hAnsi="宋体"/>
          <w:color w:val="auto"/>
          <w:sz w:val="24"/>
          <w:szCs w:val="24"/>
          <w:highlight w:val="none"/>
        </w:rPr>
        <w:t>响应文件因字迹潦草或表达不清所引起的后果由供应商负责。</w:t>
      </w:r>
    </w:p>
    <w:p>
      <w:pPr>
        <w:numPr>
          <w:ilvl w:val="1"/>
          <w:numId w:val="9"/>
        </w:numPr>
        <w:tabs>
          <w:tab w:val="left" w:pos="1080"/>
          <w:tab w:val="left" w:pos="2014"/>
        </w:tabs>
        <w:autoSpaceDE/>
        <w:autoSpaceDN/>
        <w:adjustRightInd/>
        <w:snapToGrid w:val="0"/>
        <w:spacing w:line="360" w:lineRule="auto"/>
        <w:jc w:val="both"/>
        <w:rPr>
          <w:rFonts w:hAnsi="宋体"/>
          <w:color w:val="auto"/>
          <w:sz w:val="24"/>
          <w:szCs w:val="24"/>
          <w:highlight w:val="none"/>
        </w:rPr>
      </w:pPr>
      <w:r>
        <w:rPr>
          <w:rFonts w:hint="eastAsia" w:hAnsi="宋体"/>
          <w:color w:val="auto"/>
          <w:sz w:val="24"/>
          <w:szCs w:val="24"/>
          <w:highlight w:val="none"/>
        </w:rPr>
        <w:t>响应文件的正本与副本均需编制页码，正本与副本应分别装订，不得采用活页装订。</w:t>
      </w:r>
    </w:p>
    <w:p>
      <w:pPr>
        <w:pStyle w:val="17"/>
        <w:kinsoku w:val="0"/>
        <w:overflowPunct w:val="0"/>
        <w:spacing w:before="4"/>
        <w:rPr>
          <w:rFonts w:hAnsi="宋体"/>
          <w:color w:val="auto"/>
          <w:sz w:val="16"/>
          <w:szCs w:val="16"/>
          <w:highlight w:val="none"/>
        </w:rPr>
      </w:pPr>
    </w:p>
    <w:p>
      <w:pPr>
        <w:pStyle w:val="4"/>
        <w:tabs>
          <w:tab w:val="left" w:pos="700"/>
        </w:tabs>
        <w:kinsoku w:val="0"/>
        <w:overflowPunct w:val="0"/>
        <w:spacing w:before="61"/>
        <w:rPr>
          <w:rFonts w:hAnsi="宋体"/>
          <w:color w:val="auto"/>
          <w:highlight w:val="none"/>
        </w:rPr>
      </w:pPr>
      <w:bookmarkStart w:id="33" w:name="_Toc149147546"/>
      <w:bookmarkStart w:id="34" w:name="_Toc149147701"/>
      <w:bookmarkStart w:id="35" w:name="_Toc149147479"/>
      <w:r>
        <w:rPr>
          <w:rFonts w:hint="eastAsia" w:hAnsi="宋体"/>
          <w:color w:val="auto"/>
          <w:highlight w:val="none"/>
        </w:rPr>
        <w:t>四</w:t>
      </w:r>
      <w:r>
        <w:rPr>
          <w:rFonts w:hAnsi="宋体"/>
          <w:color w:val="auto"/>
          <w:highlight w:val="none"/>
        </w:rPr>
        <w:tab/>
      </w:r>
      <w:r>
        <w:rPr>
          <w:rFonts w:hint="eastAsia" w:hAnsi="宋体"/>
          <w:color w:val="auto"/>
          <w:highlight w:val="none"/>
        </w:rPr>
        <w:t>响应文件的提交</w:t>
      </w:r>
      <w:bookmarkEnd w:id="33"/>
      <w:bookmarkEnd w:id="34"/>
      <w:bookmarkEnd w:id="35"/>
    </w:p>
    <w:p>
      <w:pPr>
        <w:pStyle w:val="69"/>
        <w:numPr>
          <w:ilvl w:val="0"/>
          <w:numId w:val="9"/>
        </w:numPr>
        <w:tabs>
          <w:tab w:val="left" w:pos="897"/>
        </w:tabs>
        <w:kinsoku w:val="0"/>
        <w:overflowPunct w:val="0"/>
        <w:spacing w:before="161" w:line="360" w:lineRule="auto"/>
        <w:jc w:val="both"/>
        <w:rPr>
          <w:rFonts w:hAnsi="宋体"/>
          <w:color w:val="auto"/>
          <w:highlight w:val="none"/>
        </w:rPr>
      </w:pPr>
      <w:bookmarkStart w:id="36" w:name="_Toc151193633"/>
      <w:bookmarkStart w:id="37" w:name="_Toc150509286"/>
      <w:bookmarkStart w:id="38" w:name="_Toc195842900"/>
      <w:bookmarkStart w:id="39" w:name="_Toc151190162"/>
      <w:bookmarkStart w:id="40" w:name="_Toc226965725"/>
      <w:bookmarkStart w:id="41" w:name="_Toc264969225"/>
      <w:bookmarkStart w:id="42" w:name="_Toc164608804"/>
      <w:bookmarkStart w:id="43" w:name="_Toc151193777"/>
      <w:bookmarkStart w:id="44" w:name="_Toc164608649"/>
      <w:bookmarkStart w:id="45" w:name="_Toc142311037"/>
      <w:bookmarkStart w:id="46" w:name="_Toc150774740"/>
      <w:bookmarkStart w:id="47" w:name="_Toc150774635"/>
      <w:bookmarkStart w:id="48" w:name="_Toc164229376"/>
      <w:bookmarkStart w:id="49" w:name="_Toc127161449"/>
      <w:bookmarkStart w:id="50" w:name="_Toc265228373"/>
      <w:bookmarkStart w:id="51" w:name="_Toc151193849"/>
      <w:bookmarkStart w:id="52" w:name="_Toc149720828"/>
      <w:bookmarkStart w:id="53" w:name="_Toc151193705"/>
      <w:bookmarkStart w:id="54" w:name="_Toc164229230"/>
      <w:bookmarkStart w:id="55" w:name="_Toc127151535"/>
      <w:bookmarkStart w:id="56" w:name="_Toc127151736"/>
      <w:bookmarkStart w:id="57" w:name="_Toc520356160"/>
      <w:bookmarkStart w:id="58" w:name="_Toc164351629"/>
      <w:bookmarkStart w:id="59" w:name="_Toc305158877"/>
      <w:bookmarkStart w:id="60" w:name="_Toc150480773"/>
      <w:bookmarkStart w:id="61" w:name="_Toc226309779"/>
      <w:bookmarkStart w:id="62" w:name="_Toc226965808"/>
      <w:bookmarkStart w:id="63" w:name="_Toc226337231"/>
      <w:bookmarkStart w:id="64" w:name="_Toc151193923"/>
      <w:bookmarkStart w:id="65" w:name="_Toc305158803"/>
      <w:r>
        <w:rPr>
          <w:rFonts w:hint="eastAsia" w:hAnsi="宋体"/>
          <w:color w:val="auto"/>
          <w:highlight w:val="none"/>
        </w:rPr>
        <w:t>响应文件的</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rFonts w:hint="eastAsia" w:hAnsi="宋体"/>
          <w:color w:val="auto"/>
          <w:highlight w:val="none"/>
        </w:rPr>
        <w:t>提交</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供应商应将响应文件正本和所有的副本密封装在密封袋或密封箱中。</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所有密封袋或密封箱上均应：</w:t>
      </w:r>
    </w:p>
    <w:p>
      <w:pPr>
        <w:pStyle w:val="260"/>
        <w:spacing w:line="360" w:lineRule="auto"/>
        <w:ind w:firstLine="1134"/>
        <w:rPr>
          <w:rFonts w:ascii="宋体" w:hAnsi="宋体"/>
          <w:color w:val="auto"/>
          <w:highlight w:val="none"/>
        </w:rPr>
      </w:pPr>
      <w:r>
        <w:rPr>
          <w:rFonts w:ascii="宋体" w:hAnsi="宋体"/>
          <w:color w:val="auto"/>
          <w:highlight w:val="none"/>
        </w:rPr>
        <w:t>1</w:t>
      </w:r>
      <w:r>
        <w:rPr>
          <w:rFonts w:hint="eastAsia" w:ascii="宋体" w:hAnsi="宋体"/>
          <w:color w:val="auto"/>
          <w:highlight w:val="none"/>
        </w:rPr>
        <w:t>）清楚标明递交至竞争性磋商公告中载明的地址。</w:t>
      </w:r>
    </w:p>
    <w:p>
      <w:pPr>
        <w:pStyle w:val="260"/>
        <w:spacing w:line="360" w:lineRule="auto"/>
        <w:ind w:firstLine="1134"/>
        <w:rPr>
          <w:rFonts w:ascii="宋体" w:hAnsi="宋体"/>
          <w:color w:val="auto"/>
          <w:highlight w:val="none"/>
        </w:rPr>
      </w:pPr>
      <w:r>
        <w:rPr>
          <w:rFonts w:ascii="宋体" w:hAnsi="宋体"/>
          <w:color w:val="auto"/>
          <w:highlight w:val="none"/>
        </w:rPr>
        <w:t>2</w:t>
      </w:r>
      <w:r>
        <w:rPr>
          <w:rFonts w:hint="eastAsia" w:ascii="宋体" w:hAnsi="宋体"/>
          <w:color w:val="auto"/>
          <w:highlight w:val="none"/>
        </w:rPr>
        <w:t>）注明竞争性磋商公告中载明的项目名称、项目编号和“在</w:t>
      </w:r>
      <w:r>
        <w:rPr>
          <w:rFonts w:ascii="宋体" w:hAnsi="宋体"/>
          <w:color w:val="auto"/>
          <w:highlight w:val="none"/>
        </w:rPr>
        <w:t xml:space="preserve">  </w:t>
      </w:r>
      <w:r>
        <w:rPr>
          <w:rFonts w:hint="eastAsia" w:ascii="宋体" w:hAnsi="宋体"/>
          <w:color w:val="auto"/>
          <w:highlight w:val="none"/>
        </w:rPr>
        <w:t>年</w:t>
      </w:r>
      <w:r>
        <w:rPr>
          <w:rFonts w:ascii="宋体" w:hAnsi="宋体"/>
          <w:color w:val="auto"/>
          <w:highlight w:val="none"/>
        </w:rPr>
        <w:t xml:space="preserve">  </w:t>
      </w:r>
      <w:r>
        <w:rPr>
          <w:rFonts w:hint="eastAsia" w:ascii="宋体" w:hAnsi="宋体"/>
          <w:color w:val="auto"/>
          <w:highlight w:val="none"/>
        </w:rPr>
        <w:t>月</w:t>
      </w:r>
      <w:r>
        <w:rPr>
          <w:rFonts w:ascii="宋体" w:hAnsi="宋体"/>
          <w:color w:val="auto"/>
          <w:highlight w:val="none"/>
        </w:rPr>
        <w:t xml:space="preserve">  </w:t>
      </w:r>
      <w:r>
        <w:rPr>
          <w:rFonts w:hint="eastAsia" w:ascii="宋体" w:hAnsi="宋体"/>
          <w:color w:val="auto"/>
          <w:highlight w:val="none"/>
        </w:rPr>
        <w:t>日</w:t>
      </w:r>
      <w:r>
        <w:rPr>
          <w:rFonts w:ascii="宋体" w:hAnsi="宋体"/>
          <w:color w:val="auto"/>
          <w:highlight w:val="none"/>
        </w:rPr>
        <w:t xml:space="preserve">  </w:t>
      </w:r>
      <w:r>
        <w:rPr>
          <w:rFonts w:hint="eastAsia" w:ascii="宋体" w:hAnsi="宋体"/>
          <w:color w:val="auto"/>
          <w:highlight w:val="none"/>
        </w:rPr>
        <w:t>时</w:t>
      </w:r>
      <w:r>
        <w:rPr>
          <w:rFonts w:ascii="宋体" w:hAnsi="宋体"/>
          <w:color w:val="auto"/>
          <w:highlight w:val="none"/>
        </w:rPr>
        <w:t xml:space="preserve">  </w:t>
      </w:r>
      <w:r>
        <w:rPr>
          <w:rFonts w:hint="eastAsia" w:ascii="宋体" w:hAnsi="宋体"/>
          <w:color w:val="auto"/>
          <w:highlight w:val="none"/>
        </w:rPr>
        <w:t>分（开启日期、时间）之前不得启封”的字样。</w:t>
      </w:r>
    </w:p>
    <w:p>
      <w:pPr>
        <w:pStyle w:val="260"/>
        <w:spacing w:line="360" w:lineRule="auto"/>
        <w:ind w:firstLine="1134"/>
        <w:rPr>
          <w:rFonts w:ascii="宋体" w:hAnsi="宋体"/>
          <w:color w:val="auto"/>
          <w:highlight w:val="none"/>
        </w:rPr>
      </w:pPr>
      <w:r>
        <w:rPr>
          <w:rFonts w:ascii="宋体" w:hAnsi="宋体"/>
          <w:color w:val="auto"/>
          <w:highlight w:val="none"/>
        </w:rPr>
        <w:t>3</w:t>
      </w:r>
      <w:r>
        <w:rPr>
          <w:rFonts w:hint="eastAsia" w:ascii="宋体" w:hAnsi="宋体"/>
          <w:color w:val="auto"/>
          <w:highlight w:val="none"/>
        </w:rPr>
        <w:t>）在密封袋或密封箱的封装处加盖供应商公章。</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所有密封袋或密封箱上还应写明供应商名称和地址，以便若其报价被宣布为“迟到”时，能原封退回。</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如果供应商未按上述要求密封的，</w:t>
      </w:r>
      <w:r>
        <w:rPr>
          <w:rFonts w:hint="eastAsia" w:hAnsi="宋体"/>
          <w:b/>
          <w:color w:val="auto"/>
          <w:sz w:val="24"/>
          <w:highlight w:val="none"/>
        </w:rPr>
        <w:t>响应无效</w:t>
      </w:r>
      <w:r>
        <w:rPr>
          <w:rFonts w:hint="eastAsia" w:hAnsi="宋体"/>
          <w:color w:val="auto"/>
          <w:sz w:val="24"/>
          <w:highlight w:val="none"/>
        </w:rPr>
        <w:t>，并且采购人或采购代理机构对响应文件的误投或过早启封概不负责。</w:t>
      </w:r>
    </w:p>
    <w:p>
      <w:pPr>
        <w:pStyle w:val="69"/>
        <w:numPr>
          <w:ilvl w:val="0"/>
          <w:numId w:val="9"/>
        </w:numPr>
        <w:tabs>
          <w:tab w:val="left" w:pos="897"/>
        </w:tabs>
        <w:kinsoku w:val="0"/>
        <w:overflowPunct w:val="0"/>
        <w:spacing w:line="306" w:lineRule="exact"/>
        <w:rPr>
          <w:rFonts w:hAnsi="宋体"/>
          <w:color w:val="auto"/>
          <w:highlight w:val="none"/>
        </w:rPr>
      </w:pPr>
      <w:r>
        <w:rPr>
          <w:rFonts w:hint="eastAsia" w:hAnsi="宋体"/>
          <w:color w:val="auto"/>
          <w:highlight w:val="none"/>
        </w:rPr>
        <w:t>响应文件提交截止时间</w:t>
      </w:r>
    </w:p>
    <w:p>
      <w:pPr>
        <w:pStyle w:val="69"/>
        <w:tabs>
          <w:tab w:val="left" w:pos="897"/>
        </w:tabs>
        <w:kinsoku w:val="0"/>
        <w:overflowPunct w:val="0"/>
        <w:spacing w:line="306" w:lineRule="exact"/>
        <w:rPr>
          <w:rFonts w:hAnsi="宋体"/>
          <w:color w:val="auto"/>
          <w:highlight w:val="none"/>
        </w:rPr>
      </w:pP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供应商应在采购邀请中规定的响应文件送达截止日期和时间内，将响应文件递交至竞争性磋商文件规定的地点。供应商代表应签名报到以证明其出席，签到并递交响应文件后，供应商代表应在指定区域等待磋商通知。</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采购人及代理机构有权按本须知的规定，通过修改竞争性磋商文件延长响应文件送达截止日期和时间。在此情况下，采购人及采购代理机构和供应商受截止日期和时间制约的所有权利和义务均应延长至新的截止日期和时间。</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采购人及采购代理机构将拒收并原封退回在本须知规定的响应文件送达截止日期和时间后收到的任何响应文件。</w:t>
      </w:r>
    </w:p>
    <w:p>
      <w:pPr>
        <w:pStyle w:val="69"/>
        <w:numPr>
          <w:ilvl w:val="0"/>
          <w:numId w:val="9"/>
        </w:numPr>
        <w:tabs>
          <w:tab w:val="left" w:pos="897"/>
        </w:tabs>
        <w:kinsoku w:val="0"/>
        <w:overflowPunct w:val="0"/>
        <w:spacing w:before="5"/>
        <w:jc w:val="both"/>
        <w:rPr>
          <w:rFonts w:hAnsi="宋体"/>
          <w:color w:val="auto"/>
          <w:highlight w:val="none"/>
        </w:rPr>
      </w:pPr>
      <w:r>
        <w:rPr>
          <w:rFonts w:hint="eastAsia" w:hAnsi="宋体"/>
          <w:color w:val="auto"/>
          <w:highlight w:val="none"/>
        </w:rPr>
        <w:t>响应文件的修改与撤回</w:t>
      </w:r>
    </w:p>
    <w:p>
      <w:pPr>
        <w:pStyle w:val="69"/>
        <w:tabs>
          <w:tab w:val="left" w:pos="897"/>
        </w:tabs>
        <w:kinsoku w:val="0"/>
        <w:overflowPunct w:val="0"/>
        <w:spacing w:before="5"/>
        <w:ind w:left="896" w:firstLine="0"/>
        <w:jc w:val="both"/>
        <w:rPr>
          <w:rFonts w:hAnsi="宋体"/>
          <w:color w:val="auto"/>
          <w:highlight w:val="none"/>
        </w:rPr>
      </w:pP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提交响应文件截止时间前，供应商可以修改或撤回已递交的响应文件，但应以书面形式通知采购人或采购代理机构。</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供应商补充、修改的内容作为响应文件的组成部分，应当按照竞争性磋商文件要求签署、盖章、密封后递交，并标明“修改”字样。供应商撤回响应文件的通知，必须由法定代表人或其授权代表签字并加盖公章，授权代表应当同时出具法定代表人授权书，并明确“撤回响应文件”的授权。</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在提交响应文件截止时间之后，供应商不得对其响应文件做任何补充或修改。</w:t>
      </w:r>
    </w:p>
    <w:p>
      <w:pPr>
        <w:pStyle w:val="69"/>
        <w:tabs>
          <w:tab w:val="left" w:pos="897"/>
        </w:tabs>
        <w:kinsoku w:val="0"/>
        <w:overflowPunct w:val="0"/>
        <w:spacing w:line="306" w:lineRule="exact"/>
        <w:rPr>
          <w:rFonts w:hAnsi="宋体"/>
          <w:color w:val="auto"/>
          <w:highlight w:val="none"/>
        </w:rPr>
      </w:pPr>
    </w:p>
    <w:p>
      <w:pPr>
        <w:pStyle w:val="4"/>
        <w:tabs>
          <w:tab w:val="left" w:pos="700"/>
        </w:tabs>
        <w:kinsoku w:val="0"/>
        <w:overflowPunct w:val="0"/>
        <w:ind w:right="34"/>
        <w:rPr>
          <w:rFonts w:hAnsi="宋体"/>
          <w:color w:val="auto"/>
          <w:highlight w:val="none"/>
        </w:rPr>
      </w:pPr>
      <w:bookmarkStart w:id="66" w:name="_Toc149147547"/>
      <w:bookmarkStart w:id="67" w:name="_Toc149147480"/>
      <w:bookmarkStart w:id="68" w:name="_Toc149147702"/>
      <w:r>
        <w:rPr>
          <w:rFonts w:hint="eastAsia" w:hAnsi="宋体"/>
          <w:color w:val="auto"/>
          <w:highlight w:val="none"/>
        </w:rPr>
        <w:t>五</w:t>
      </w:r>
      <w:r>
        <w:rPr>
          <w:rFonts w:hAnsi="宋体"/>
          <w:color w:val="auto"/>
          <w:highlight w:val="none"/>
        </w:rPr>
        <w:tab/>
      </w:r>
      <w:r>
        <w:rPr>
          <w:rFonts w:hint="eastAsia" w:hAnsi="宋体"/>
          <w:color w:val="auto"/>
          <w:highlight w:val="none"/>
        </w:rPr>
        <w:t>评审</w:t>
      </w:r>
      <w:bookmarkEnd w:id="66"/>
      <w:bookmarkEnd w:id="67"/>
      <w:bookmarkEnd w:id="68"/>
    </w:p>
    <w:p>
      <w:pPr>
        <w:pStyle w:val="69"/>
        <w:numPr>
          <w:ilvl w:val="0"/>
          <w:numId w:val="9"/>
        </w:numPr>
        <w:tabs>
          <w:tab w:val="left" w:pos="897"/>
        </w:tabs>
        <w:kinsoku w:val="0"/>
        <w:overflowPunct w:val="0"/>
        <w:spacing w:before="161" w:line="360" w:lineRule="auto"/>
        <w:jc w:val="both"/>
        <w:rPr>
          <w:rFonts w:hAnsi="宋体"/>
          <w:color w:val="auto"/>
          <w:highlight w:val="none"/>
        </w:rPr>
      </w:pPr>
      <w:r>
        <w:rPr>
          <w:rFonts w:hint="eastAsia" w:hAnsi="宋体"/>
          <w:color w:val="auto"/>
          <w:highlight w:val="none"/>
        </w:rPr>
        <w:t>响应文件的开启</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采购人或采购代理机构将按竞争性磋商文件的规定，在响应文件提交截止时间的同一时间和竞争性磋商文件预先确定的地点开启响应文件。</w:t>
      </w:r>
      <w:r>
        <w:rPr>
          <w:rFonts w:hint="eastAsia" w:hAnsi="宋体"/>
          <w:b/>
          <w:bCs/>
          <w:color w:val="auto"/>
          <w:sz w:val="24"/>
          <w:highlight w:val="none"/>
        </w:rPr>
        <w:t>参加磋商的代表应出示法定代表人身份证明文件、身份证原件及复印件加盖公章（适用于法定代表人参加开标会）或法定代表人授权委托书、经办人身份证原件及复印件加盖公章（适用于授权代表参加开标会），并签到以证明其出席。</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供应商不足</w:t>
      </w:r>
      <w:r>
        <w:rPr>
          <w:rFonts w:hAnsi="宋体"/>
          <w:color w:val="auto"/>
          <w:sz w:val="24"/>
          <w:highlight w:val="none"/>
        </w:rPr>
        <w:t>3</w:t>
      </w:r>
      <w:r>
        <w:rPr>
          <w:rFonts w:hint="eastAsia" w:hAnsi="宋体"/>
          <w:color w:val="auto"/>
          <w:sz w:val="24"/>
          <w:highlight w:val="none"/>
        </w:rPr>
        <w:t>家的，不予磋商。</w:t>
      </w:r>
    </w:p>
    <w:p>
      <w:pPr>
        <w:numPr>
          <w:ilvl w:val="1"/>
          <w:numId w:val="9"/>
        </w:numPr>
        <w:tabs>
          <w:tab w:val="left" w:pos="1080"/>
          <w:tab w:val="left" w:pos="2014"/>
        </w:tabs>
        <w:autoSpaceDE/>
        <w:autoSpaceDN/>
        <w:adjustRightInd/>
        <w:snapToGrid w:val="0"/>
        <w:spacing w:line="360" w:lineRule="auto"/>
        <w:jc w:val="both"/>
        <w:rPr>
          <w:rFonts w:hAnsi="宋体"/>
          <w:color w:val="auto"/>
          <w:sz w:val="24"/>
          <w:highlight w:val="none"/>
        </w:rPr>
      </w:pPr>
      <w:bookmarkStart w:id="69" w:name="_Toc520356165"/>
      <w:r>
        <w:rPr>
          <w:rFonts w:hint="eastAsia" w:hAnsi="宋体"/>
          <w:color w:val="auto"/>
          <w:sz w:val="24"/>
          <w:highlight w:val="none"/>
        </w:rPr>
        <w:t>本项目不公开报价。</w:t>
      </w:r>
    </w:p>
    <w:bookmarkEnd w:id="69"/>
    <w:p>
      <w:pPr>
        <w:pStyle w:val="69"/>
        <w:numPr>
          <w:ilvl w:val="0"/>
          <w:numId w:val="9"/>
        </w:numPr>
        <w:tabs>
          <w:tab w:val="left" w:pos="897"/>
        </w:tabs>
        <w:kinsoku w:val="0"/>
        <w:overflowPunct w:val="0"/>
        <w:spacing w:before="161"/>
        <w:jc w:val="both"/>
        <w:rPr>
          <w:rFonts w:hAnsi="宋体"/>
          <w:color w:val="auto"/>
          <w:highlight w:val="none"/>
        </w:rPr>
      </w:pPr>
      <w:r>
        <w:rPr>
          <w:rFonts w:hint="eastAsia" w:hAnsi="宋体"/>
          <w:color w:val="auto"/>
          <w:highlight w:val="none"/>
        </w:rPr>
        <w:t>磋商小组</w:t>
      </w:r>
    </w:p>
    <w:p>
      <w:pPr>
        <w:pStyle w:val="69"/>
        <w:numPr>
          <w:ilvl w:val="1"/>
          <w:numId w:val="9"/>
        </w:numPr>
        <w:tabs>
          <w:tab w:val="left" w:pos="1617"/>
        </w:tabs>
        <w:kinsoku w:val="0"/>
        <w:overflowPunct w:val="0"/>
        <w:spacing w:before="158" w:line="364" w:lineRule="auto"/>
        <w:ind w:left="1616" w:right="573"/>
        <w:jc w:val="both"/>
        <w:rPr>
          <w:rFonts w:hAnsi="宋体"/>
          <w:color w:val="auto"/>
          <w:highlight w:val="none"/>
        </w:rPr>
      </w:pPr>
      <w:r>
        <w:rPr>
          <w:rFonts w:hint="eastAsia" w:hAnsi="宋体"/>
          <w:color w:val="auto"/>
          <w:highlight w:val="none"/>
        </w:rPr>
        <w:t>磋商小组根据政府采购有关规定和本次采购项目的特点进行组建，并负责具体评审与磋商事务，独立履行职责。</w:t>
      </w:r>
    </w:p>
    <w:p>
      <w:pPr>
        <w:pStyle w:val="69"/>
        <w:numPr>
          <w:ilvl w:val="1"/>
          <w:numId w:val="9"/>
        </w:numPr>
        <w:tabs>
          <w:tab w:val="left" w:pos="1617"/>
        </w:tabs>
        <w:kinsoku w:val="0"/>
        <w:overflowPunct w:val="0"/>
        <w:spacing w:line="364" w:lineRule="auto"/>
        <w:ind w:left="1616" w:right="566"/>
        <w:jc w:val="both"/>
        <w:rPr>
          <w:rFonts w:hAnsi="宋体"/>
          <w:color w:val="auto"/>
          <w:highlight w:val="none"/>
        </w:rPr>
      </w:pPr>
      <w:r>
        <w:rPr>
          <w:rFonts w:hint="eastAsia" w:hAnsi="宋体"/>
          <w:color w:val="auto"/>
          <w:highlight w:val="none"/>
        </w:rPr>
        <w:t>评审专家须符合《财政部关于在政府采购活动中查询及使用信用记录有关问</w:t>
      </w:r>
      <w:r>
        <w:rPr>
          <w:rFonts w:hint="eastAsia" w:hAnsi="宋体"/>
          <w:color w:val="auto"/>
          <w:spacing w:val="-24"/>
          <w:highlight w:val="none"/>
        </w:rPr>
        <w:t>题的通知》</w:t>
      </w:r>
      <w:r>
        <w:rPr>
          <w:rFonts w:hint="eastAsia" w:hAnsi="宋体"/>
          <w:color w:val="auto"/>
          <w:highlight w:val="none"/>
        </w:rPr>
        <w:t>（财库〔</w:t>
      </w:r>
      <w:r>
        <w:rPr>
          <w:rFonts w:hAnsi="宋体" w:cs="Arial"/>
          <w:color w:val="auto"/>
          <w:highlight w:val="none"/>
        </w:rPr>
        <w:t>2016</w:t>
      </w:r>
      <w:r>
        <w:rPr>
          <w:rFonts w:hint="eastAsia" w:hAnsi="宋体"/>
          <w:color w:val="auto"/>
          <w:highlight w:val="none"/>
        </w:rPr>
        <w:t>〕</w:t>
      </w:r>
      <w:r>
        <w:rPr>
          <w:rFonts w:hAnsi="宋体" w:cs="Arial"/>
          <w:color w:val="auto"/>
          <w:highlight w:val="none"/>
        </w:rPr>
        <w:t>125</w:t>
      </w:r>
      <w:r>
        <w:rPr>
          <w:rFonts w:hAnsi="宋体" w:cs="Arial"/>
          <w:color w:val="auto"/>
          <w:spacing w:val="50"/>
          <w:highlight w:val="none"/>
        </w:rPr>
        <w:t xml:space="preserve"> </w:t>
      </w:r>
      <w:r>
        <w:rPr>
          <w:rFonts w:hint="eastAsia" w:hAnsi="宋体"/>
          <w:color w:val="auto"/>
          <w:highlight w:val="none"/>
        </w:rPr>
        <w:t>号）的规定。依法自行选定评审专家的，采购人和采购代理机构将查询有关信用记录，对具有行贿、受贿、欺诈等不良信用记录的人员，拒绝其参与政府采购活动。</w:t>
      </w:r>
    </w:p>
    <w:p>
      <w:pPr>
        <w:pStyle w:val="69"/>
        <w:numPr>
          <w:ilvl w:val="0"/>
          <w:numId w:val="9"/>
        </w:numPr>
        <w:tabs>
          <w:tab w:val="left" w:pos="902"/>
        </w:tabs>
        <w:kinsoku w:val="0"/>
        <w:overflowPunct w:val="0"/>
        <w:spacing w:line="305" w:lineRule="exact"/>
        <w:ind w:left="901" w:hanging="361"/>
        <w:jc w:val="both"/>
        <w:rPr>
          <w:rFonts w:hAnsi="宋体"/>
          <w:color w:val="auto"/>
          <w:highlight w:val="none"/>
        </w:rPr>
      </w:pPr>
      <w:r>
        <w:rPr>
          <w:rFonts w:hint="eastAsia" w:hAnsi="宋体"/>
          <w:color w:val="auto"/>
          <w:highlight w:val="none"/>
        </w:rPr>
        <w:t>评审方法和评审标准</w:t>
      </w:r>
    </w:p>
    <w:p>
      <w:pPr>
        <w:pStyle w:val="69"/>
        <w:numPr>
          <w:ilvl w:val="1"/>
          <w:numId w:val="9"/>
        </w:numPr>
        <w:tabs>
          <w:tab w:val="left" w:pos="1617"/>
        </w:tabs>
        <w:kinsoku w:val="0"/>
        <w:overflowPunct w:val="0"/>
        <w:spacing w:before="159"/>
        <w:ind w:left="1616" w:hanging="721"/>
        <w:rPr>
          <w:rFonts w:hAnsi="宋体"/>
          <w:color w:val="auto"/>
          <w:spacing w:val="-8"/>
          <w:highlight w:val="none"/>
        </w:rPr>
      </w:pPr>
      <w:r>
        <w:rPr>
          <w:rFonts w:hint="eastAsia" w:hAnsi="宋体"/>
          <w:color w:val="auto"/>
          <w:spacing w:val="-8"/>
          <w:highlight w:val="none"/>
        </w:rPr>
        <w:t>见第三章《评审方法和评审标准》。</w:t>
      </w:r>
    </w:p>
    <w:p>
      <w:pPr>
        <w:pStyle w:val="4"/>
        <w:tabs>
          <w:tab w:val="left" w:pos="700"/>
        </w:tabs>
        <w:kinsoku w:val="0"/>
        <w:overflowPunct w:val="0"/>
        <w:spacing w:before="237"/>
        <w:ind w:right="33"/>
        <w:rPr>
          <w:rFonts w:hAnsi="宋体"/>
          <w:color w:val="auto"/>
          <w:highlight w:val="none"/>
        </w:rPr>
      </w:pPr>
      <w:bookmarkStart w:id="70" w:name="_Toc149147548"/>
      <w:bookmarkStart w:id="71" w:name="_Toc149147481"/>
      <w:bookmarkStart w:id="72" w:name="_Toc149147703"/>
      <w:r>
        <w:rPr>
          <w:rFonts w:hint="eastAsia" w:hAnsi="宋体"/>
          <w:color w:val="auto"/>
          <w:highlight w:val="none"/>
        </w:rPr>
        <w:t>六</w:t>
      </w:r>
      <w:r>
        <w:rPr>
          <w:rFonts w:hAnsi="宋体"/>
          <w:color w:val="auto"/>
          <w:highlight w:val="none"/>
        </w:rPr>
        <w:tab/>
      </w:r>
      <w:r>
        <w:rPr>
          <w:rFonts w:hint="eastAsia" w:hAnsi="宋体"/>
          <w:color w:val="auto"/>
          <w:highlight w:val="none"/>
        </w:rPr>
        <w:t>确定成交</w:t>
      </w:r>
      <w:bookmarkEnd w:id="70"/>
      <w:bookmarkEnd w:id="71"/>
      <w:bookmarkEnd w:id="72"/>
    </w:p>
    <w:p>
      <w:pPr>
        <w:pStyle w:val="69"/>
        <w:numPr>
          <w:ilvl w:val="0"/>
          <w:numId w:val="9"/>
        </w:numPr>
        <w:tabs>
          <w:tab w:val="left" w:pos="897"/>
        </w:tabs>
        <w:kinsoku w:val="0"/>
        <w:overflowPunct w:val="0"/>
        <w:spacing w:before="183"/>
        <w:rPr>
          <w:rFonts w:hAnsi="宋体"/>
          <w:color w:val="auto"/>
          <w:highlight w:val="none"/>
        </w:rPr>
      </w:pPr>
      <w:r>
        <w:rPr>
          <w:rFonts w:hint="eastAsia" w:hAnsi="宋体"/>
          <w:color w:val="auto"/>
          <w:highlight w:val="none"/>
        </w:rPr>
        <w:t>确定成交供应商</w:t>
      </w:r>
    </w:p>
    <w:p>
      <w:pPr>
        <w:pStyle w:val="69"/>
        <w:numPr>
          <w:ilvl w:val="1"/>
          <w:numId w:val="9"/>
        </w:numPr>
        <w:tabs>
          <w:tab w:val="left" w:pos="1617"/>
        </w:tabs>
        <w:kinsoku w:val="0"/>
        <w:overflowPunct w:val="0"/>
        <w:spacing w:before="160" w:line="364" w:lineRule="auto"/>
        <w:ind w:left="1616" w:right="570"/>
        <w:jc w:val="both"/>
        <w:rPr>
          <w:rFonts w:hAnsi="宋体"/>
          <w:color w:val="auto"/>
          <w:highlight w:val="none"/>
        </w:rPr>
      </w:pPr>
      <w:r>
        <w:rPr>
          <w:rFonts w:hint="eastAsia" w:hAnsi="宋体"/>
          <w:color w:val="auto"/>
          <w:highlight w:val="none"/>
        </w:rPr>
        <w:t>采购人将在收到评审报告后，从评审报告提出的成交候选供应商中，按照排序由高到低的原则确定成交供应商。采购人是否授权磋商小组直接确定成交</w:t>
      </w:r>
      <w:r>
        <w:rPr>
          <w:rFonts w:hint="eastAsia" w:hAnsi="宋体"/>
          <w:color w:val="auto"/>
          <w:spacing w:val="-13"/>
          <w:highlight w:val="none"/>
        </w:rPr>
        <w:t>供应商，见《供应商须知资料表》。成交候选人并列的，按照《供应商须知资</w:t>
      </w:r>
      <w:r>
        <w:rPr>
          <w:rFonts w:hint="eastAsia" w:hAnsi="宋体"/>
          <w:color w:val="auto"/>
          <w:highlight w:val="none"/>
        </w:rPr>
        <w:t>料表》要求确定成交供应商。</w:t>
      </w:r>
    </w:p>
    <w:p>
      <w:pPr>
        <w:pStyle w:val="69"/>
        <w:numPr>
          <w:ilvl w:val="0"/>
          <w:numId w:val="9"/>
        </w:numPr>
        <w:tabs>
          <w:tab w:val="left" w:pos="897"/>
        </w:tabs>
        <w:kinsoku w:val="0"/>
        <w:overflowPunct w:val="0"/>
        <w:spacing w:line="305" w:lineRule="exact"/>
        <w:jc w:val="both"/>
        <w:rPr>
          <w:rFonts w:hAnsi="宋体"/>
          <w:color w:val="auto"/>
          <w:highlight w:val="none"/>
        </w:rPr>
      </w:pPr>
      <w:r>
        <w:rPr>
          <w:rFonts w:hint="eastAsia" w:hAnsi="宋体"/>
          <w:color w:val="auto"/>
          <w:highlight w:val="none"/>
        </w:rPr>
        <w:t>成交公告与成交通知书</w:t>
      </w:r>
    </w:p>
    <w:p>
      <w:pPr>
        <w:pStyle w:val="69"/>
        <w:numPr>
          <w:ilvl w:val="1"/>
          <w:numId w:val="9"/>
        </w:numPr>
        <w:tabs>
          <w:tab w:val="left" w:pos="1617"/>
        </w:tabs>
        <w:kinsoku w:val="0"/>
        <w:overflowPunct w:val="0"/>
        <w:spacing w:before="161" w:line="364" w:lineRule="auto"/>
        <w:ind w:left="1616" w:right="571"/>
        <w:jc w:val="both"/>
        <w:rPr>
          <w:rFonts w:hAnsi="宋体"/>
          <w:color w:val="auto"/>
          <w:highlight w:val="none"/>
        </w:rPr>
      </w:pPr>
      <w:r>
        <w:rPr>
          <w:rFonts w:hint="eastAsia" w:hAnsi="宋体"/>
          <w:color w:val="auto"/>
          <w:spacing w:val="-2"/>
          <w:highlight w:val="none"/>
        </w:rPr>
        <w:t>采购人或采购代理机构将在成交供应商确定后</w:t>
      </w:r>
      <w:r>
        <w:rPr>
          <w:rFonts w:hAnsi="宋体"/>
          <w:color w:val="auto"/>
          <w:spacing w:val="-2"/>
          <w:highlight w:val="none"/>
        </w:rPr>
        <w:t xml:space="preserve"> </w:t>
      </w:r>
      <w:r>
        <w:rPr>
          <w:rFonts w:hAnsi="宋体" w:cs="Arial"/>
          <w:color w:val="auto"/>
          <w:highlight w:val="none"/>
        </w:rPr>
        <w:t>2</w:t>
      </w:r>
      <w:r>
        <w:rPr>
          <w:rFonts w:hAnsi="宋体" w:cs="Arial"/>
          <w:color w:val="auto"/>
          <w:spacing w:val="16"/>
          <w:highlight w:val="none"/>
        </w:rPr>
        <w:t xml:space="preserve"> </w:t>
      </w:r>
      <w:r>
        <w:rPr>
          <w:rFonts w:hint="eastAsia" w:hAnsi="宋体"/>
          <w:color w:val="auto"/>
          <w:highlight w:val="none"/>
        </w:rPr>
        <w:t>个工作日内，在北京市政府</w:t>
      </w:r>
      <w:r>
        <w:rPr>
          <w:rFonts w:hint="eastAsia" w:hAnsi="宋体"/>
          <w:color w:val="auto"/>
          <w:spacing w:val="-12"/>
          <w:highlight w:val="none"/>
        </w:rPr>
        <w:t>采购网公告成交结果，同时向成交供应商发出成交通知书，成交公告期限为</w:t>
      </w:r>
      <w:r>
        <w:rPr>
          <w:rFonts w:hAnsi="宋体"/>
          <w:color w:val="auto"/>
          <w:spacing w:val="-12"/>
          <w:highlight w:val="none"/>
        </w:rPr>
        <w:t xml:space="preserve"> </w:t>
      </w:r>
      <w:r>
        <w:rPr>
          <w:rFonts w:hAnsi="宋体" w:cs="Arial"/>
          <w:color w:val="auto"/>
          <w:spacing w:val="-14"/>
          <w:highlight w:val="none"/>
        </w:rPr>
        <w:t xml:space="preserve">1 </w:t>
      </w:r>
      <w:r>
        <w:rPr>
          <w:rFonts w:hint="eastAsia" w:hAnsi="宋体"/>
          <w:color w:val="auto"/>
          <w:highlight w:val="none"/>
        </w:rPr>
        <w:t>个工作日。</w:t>
      </w:r>
    </w:p>
    <w:p>
      <w:pPr>
        <w:pStyle w:val="69"/>
        <w:numPr>
          <w:ilvl w:val="1"/>
          <w:numId w:val="9"/>
        </w:numPr>
        <w:tabs>
          <w:tab w:val="left" w:pos="1622"/>
        </w:tabs>
        <w:kinsoku w:val="0"/>
        <w:overflowPunct w:val="0"/>
        <w:spacing w:line="364" w:lineRule="auto"/>
        <w:ind w:right="571"/>
        <w:jc w:val="both"/>
        <w:rPr>
          <w:rFonts w:hAnsi="宋体"/>
          <w:color w:val="auto"/>
          <w:highlight w:val="none"/>
        </w:rPr>
      </w:pPr>
      <w:r>
        <w:rPr>
          <w:rFonts w:hint="eastAsia" w:hAnsi="宋体"/>
          <w:color w:val="auto"/>
          <w:highlight w:val="none"/>
        </w:rPr>
        <w:t>成交通知书对采购人和成交供应商均具有法律效力。成交通知书发出后，采购人改变成交结果的，或者成交供应商放弃成交项目的，应当依法承担法律责任。</w:t>
      </w:r>
    </w:p>
    <w:p>
      <w:pPr>
        <w:pStyle w:val="69"/>
        <w:numPr>
          <w:ilvl w:val="0"/>
          <w:numId w:val="9"/>
        </w:numPr>
        <w:tabs>
          <w:tab w:val="left" w:pos="897"/>
        </w:tabs>
        <w:kinsoku w:val="0"/>
        <w:overflowPunct w:val="0"/>
        <w:spacing w:line="304" w:lineRule="exact"/>
        <w:rPr>
          <w:rFonts w:hAnsi="宋体"/>
          <w:color w:val="auto"/>
          <w:highlight w:val="none"/>
        </w:rPr>
      </w:pPr>
      <w:r>
        <w:rPr>
          <w:rFonts w:hint="eastAsia" w:hAnsi="宋体"/>
          <w:color w:val="auto"/>
          <w:highlight w:val="none"/>
        </w:rPr>
        <w:t>终止</w:t>
      </w:r>
    </w:p>
    <w:p>
      <w:pPr>
        <w:pStyle w:val="69"/>
        <w:numPr>
          <w:ilvl w:val="1"/>
          <w:numId w:val="9"/>
        </w:numPr>
        <w:tabs>
          <w:tab w:val="left" w:pos="1617"/>
        </w:tabs>
        <w:kinsoku w:val="0"/>
        <w:overflowPunct w:val="0"/>
        <w:spacing w:before="160" w:line="362" w:lineRule="auto"/>
        <w:ind w:left="1616" w:right="573"/>
        <w:rPr>
          <w:rFonts w:hAnsi="宋体"/>
          <w:color w:val="auto"/>
          <w:highlight w:val="none"/>
        </w:rPr>
      </w:pPr>
      <w:r>
        <w:rPr>
          <w:rFonts w:hint="eastAsia" w:hAnsi="宋体"/>
          <w:color w:val="auto"/>
          <w:highlight w:val="none"/>
        </w:rPr>
        <w:t>出现下列情形之一的，采购人或采购代理机构将终止竞争性磋商采购活动，</w:t>
      </w:r>
      <w:r>
        <w:rPr>
          <w:rFonts w:hAnsi="宋体"/>
          <w:color w:val="auto"/>
          <w:highlight w:val="none"/>
        </w:rPr>
        <w:t xml:space="preserve"> </w:t>
      </w:r>
      <w:r>
        <w:rPr>
          <w:rFonts w:hint="eastAsia" w:hAnsi="宋体"/>
          <w:color w:val="auto"/>
          <w:highlight w:val="none"/>
        </w:rPr>
        <w:t>发布项目终止公告并说明原因，重新开展采购活动：</w:t>
      </w:r>
    </w:p>
    <w:p>
      <w:pPr>
        <w:pStyle w:val="69"/>
        <w:numPr>
          <w:ilvl w:val="2"/>
          <w:numId w:val="9"/>
        </w:numPr>
        <w:tabs>
          <w:tab w:val="left" w:pos="2522"/>
        </w:tabs>
        <w:kinsoku w:val="0"/>
        <w:overflowPunct w:val="0"/>
        <w:spacing w:before="3"/>
        <w:ind w:hanging="901"/>
        <w:jc w:val="both"/>
        <w:rPr>
          <w:rFonts w:hAnsi="宋体"/>
          <w:color w:val="auto"/>
          <w:highlight w:val="none"/>
        </w:rPr>
      </w:pPr>
      <w:r>
        <w:rPr>
          <w:rFonts w:hint="eastAsia" w:hAnsi="宋体"/>
          <w:color w:val="auto"/>
          <w:highlight w:val="none"/>
        </w:rPr>
        <w:t>因情况变化，不再符合规定的竞争性磋商采购方式适用情形的；</w:t>
      </w:r>
    </w:p>
    <w:p>
      <w:pPr>
        <w:pStyle w:val="69"/>
        <w:numPr>
          <w:ilvl w:val="2"/>
          <w:numId w:val="9"/>
        </w:numPr>
        <w:tabs>
          <w:tab w:val="left" w:pos="2522"/>
        </w:tabs>
        <w:kinsoku w:val="0"/>
        <w:overflowPunct w:val="0"/>
        <w:spacing w:before="160"/>
        <w:ind w:hanging="901"/>
        <w:jc w:val="both"/>
        <w:rPr>
          <w:rFonts w:hAnsi="宋体"/>
          <w:color w:val="auto"/>
          <w:highlight w:val="none"/>
        </w:rPr>
      </w:pPr>
      <w:r>
        <w:rPr>
          <w:rFonts w:hint="eastAsia" w:hAnsi="宋体"/>
          <w:color w:val="auto"/>
          <w:highlight w:val="none"/>
        </w:rPr>
        <w:t>出现影响采购公正的违法、违规行为的；</w:t>
      </w:r>
    </w:p>
    <w:p>
      <w:pPr>
        <w:pStyle w:val="69"/>
        <w:numPr>
          <w:ilvl w:val="2"/>
          <w:numId w:val="9"/>
        </w:numPr>
        <w:tabs>
          <w:tab w:val="left" w:pos="2522"/>
        </w:tabs>
        <w:kinsoku w:val="0"/>
        <w:overflowPunct w:val="0"/>
        <w:spacing w:before="161" w:line="364" w:lineRule="auto"/>
        <w:ind w:right="568"/>
        <w:jc w:val="both"/>
        <w:rPr>
          <w:rFonts w:hAnsi="宋体"/>
          <w:color w:val="auto"/>
          <w:highlight w:val="none"/>
        </w:rPr>
      </w:pPr>
      <w:r>
        <w:rPr>
          <w:rFonts w:hint="eastAsia" w:hAnsi="宋体"/>
          <w:color w:val="auto"/>
          <w:highlight w:val="none"/>
        </w:rPr>
        <w:t>除了</w:t>
      </w:r>
      <w:r>
        <w:rPr>
          <w:rFonts w:hAnsi="宋体" w:cs="Arial"/>
          <w:color w:val="auto"/>
          <w:w w:val="135"/>
          <w:highlight w:val="none"/>
        </w:rPr>
        <w:t>“</w:t>
      </w:r>
      <w:r>
        <w:rPr>
          <w:rFonts w:hint="eastAsia" w:hAnsi="宋体"/>
          <w:color w:val="auto"/>
          <w:highlight w:val="none"/>
        </w:rPr>
        <w:t>市场竞争不充分的科研项目，以及需要扶持的科技成果转化项</w:t>
      </w:r>
      <w:r>
        <w:rPr>
          <w:rFonts w:hint="eastAsia" w:hAnsi="宋体"/>
          <w:color w:val="auto"/>
          <w:spacing w:val="-3"/>
          <w:highlight w:val="none"/>
        </w:rPr>
        <w:t>目，提交最后报价的供应商可以为</w:t>
      </w:r>
      <w:r>
        <w:rPr>
          <w:rFonts w:hAnsi="宋体"/>
          <w:color w:val="auto"/>
          <w:spacing w:val="-3"/>
          <w:highlight w:val="none"/>
        </w:rPr>
        <w:t xml:space="preserve"> </w:t>
      </w:r>
      <w:r>
        <w:rPr>
          <w:rFonts w:hAnsi="宋体" w:cs="Arial"/>
          <w:color w:val="auto"/>
          <w:highlight w:val="none"/>
        </w:rPr>
        <w:t>2</w:t>
      </w:r>
      <w:r>
        <w:rPr>
          <w:rFonts w:hAnsi="宋体" w:cs="Arial"/>
          <w:color w:val="auto"/>
          <w:spacing w:val="15"/>
          <w:highlight w:val="none"/>
        </w:rPr>
        <w:t xml:space="preserve"> </w:t>
      </w:r>
      <w:r>
        <w:rPr>
          <w:rFonts w:hint="eastAsia" w:hAnsi="宋体"/>
          <w:color w:val="auto"/>
          <w:highlight w:val="none"/>
        </w:rPr>
        <w:t>家；政府购买服务项目（</w:t>
      </w:r>
      <w:r>
        <w:rPr>
          <w:rFonts w:hint="eastAsia" w:hAnsi="宋体"/>
          <w:color w:val="auto"/>
          <w:spacing w:val="2"/>
          <w:highlight w:val="none"/>
        </w:rPr>
        <w:t>含政府和社会资本合作项目</w:t>
      </w:r>
      <w:r>
        <w:rPr>
          <w:rFonts w:hint="eastAsia" w:hAnsi="宋体"/>
          <w:color w:val="auto"/>
          <w:spacing w:val="-36"/>
          <w:highlight w:val="none"/>
        </w:rPr>
        <w:t>），</w:t>
      </w:r>
      <w:r>
        <w:rPr>
          <w:rFonts w:hint="eastAsia" w:hAnsi="宋体"/>
          <w:color w:val="auto"/>
          <w:spacing w:val="-3"/>
          <w:highlight w:val="none"/>
        </w:rPr>
        <w:t>在采购过程中符合要求的供应商</w:t>
      </w:r>
      <w:r>
        <w:rPr>
          <w:rFonts w:hint="eastAsia" w:hAnsi="宋体"/>
          <w:color w:val="auto"/>
          <w:highlight w:val="none"/>
        </w:rPr>
        <w:t>（</w:t>
      </w:r>
      <w:r>
        <w:rPr>
          <w:rFonts w:hint="eastAsia" w:hAnsi="宋体"/>
          <w:color w:val="auto"/>
          <w:spacing w:val="-5"/>
          <w:highlight w:val="none"/>
        </w:rPr>
        <w:t>社会资</w:t>
      </w:r>
      <w:r>
        <w:rPr>
          <w:rFonts w:hint="eastAsia" w:hAnsi="宋体"/>
          <w:color w:val="auto"/>
          <w:highlight w:val="none"/>
        </w:rPr>
        <w:t>本</w:t>
      </w:r>
      <w:r>
        <w:rPr>
          <w:rFonts w:hint="eastAsia" w:hAnsi="宋体"/>
          <w:color w:val="auto"/>
          <w:spacing w:val="-10"/>
          <w:highlight w:val="none"/>
        </w:rPr>
        <w:t>）</w:t>
      </w:r>
      <w:r>
        <w:rPr>
          <w:rFonts w:hint="eastAsia" w:hAnsi="宋体"/>
          <w:color w:val="auto"/>
          <w:spacing w:val="-16"/>
          <w:highlight w:val="none"/>
        </w:rPr>
        <w:t>只有</w:t>
      </w:r>
      <w:r>
        <w:rPr>
          <w:rFonts w:hAnsi="宋体"/>
          <w:color w:val="auto"/>
          <w:spacing w:val="-16"/>
          <w:highlight w:val="none"/>
        </w:rPr>
        <w:t xml:space="preserve"> </w:t>
      </w:r>
      <w:r>
        <w:rPr>
          <w:rFonts w:hAnsi="宋体" w:cs="Arial"/>
          <w:color w:val="auto"/>
          <w:highlight w:val="none"/>
        </w:rPr>
        <w:t>2</w:t>
      </w:r>
      <w:r>
        <w:rPr>
          <w:rFonts w:hAnsi="宋体" w:cs="Arial"/>
          <w:color w:val="auto"/>
          <w:spacing w:val="9"/>
          <w:highlight w:val="none"/>
        </w:rPr>
        <w:t xml:space="preserve"> </w:t>
      </w:r>
      <w:r>
        <w:rPr>
          <w:rFonts w:hint="eastAsia" w:hAnsi="宋体"/>
          <w:color w:val="auto"/>
          <w:spacing w:val="-3"/>
          <w:highlight w:val="none"/>
        </w:rPr>
        <w:t>家的，竞争性磋商采购活动可以继续进行</w:t>
      </w:r>
      <w:r>
        <w:rPr>
          <w:rFonts w:hAnsi="宋体" w:cs="Arial"/>
          <w:color w:val="auto"/>
          <w:w w:val="135"/>
          <w:highlight w:val="none"/>
        </w:rPr>
        <w:t>”</w:t>
      </w:r>
      <w:r>
        <w:rPr>
          <w:rFonts w:hint="eastAsia" w:hAnsi="宋体"/>
          <w:color w:val="auto"/>
          <w:spacing w:val="-4"/>
          <w:highlight w:val="none"/>
        </w:rPr>
        <w:t>的情形外，在</w:t>
      </w:r>
      <w:r>
        <w:rPr>
          <w:rFonts w:hint="eastAsia" w:hAnsi="宋体"/>
          <w:color w:val="auto"/>
          <w:spacing w:val="2"/>
          <w:highlight w:val="none"/>
        </w:rPr>
        <w:t>采购过程中符合要求的供应商或者报价未超过采购预算的供应商不</w:t>
      </w:r>
      <w:r>
        <w:rPr>
          <w:rFonts w:hint="eastAsia" w:hAnsi="宋体"/>
          <w:color w:val="auto"/>
          <w:spacing w:val="-30"/>
          <w:highlight w:val="none"/>
        </w:rPr>
        <w:t>足</w:t>
      </w:r>
      <w:r>
        <w:rPr>
          <w:rFonts w:hAnsi="宋体"/>
          <w:color w:val="auto"/>
          <w:spacing w:val="-30"/>
          <w:highlight w:val="none"/>
        </w:rPr>
        <w:t xml:space="preserve"> </w:t>
      </w:r>
      <w:r>
        <w:rPr>
          <w:rFonts w:hAnsi="宋体" w:cs="Arial"/>
          <w:color w:val="auto"/>
          <w:highlight w:val="none"/>
        </w:rPr>
        <w:t>3</w:t>
      </w:r>
      <w:r>
        <w:rPr>
          <w:rFonts w:hAnsi="宋体" w:cs="Arial"/>
          <w:color w:val="auto"/>
          <w:spacing w:val="-9"/>
          <w:highlight w:val="none"/>
        </w:rPr>
        <w:t xml:space="preserve"> </w:t>
      </w:r>
      <w:r>
        <w:rPr>
          <w:rFonts w:hint="eastAsia" w:hAnsi="宋体"/>
          <w:color w:val="auto"/>
          <w:highlight w:val="none"/>
        </w:rPr>
        <w:t>家的。</w:t>
      </w:r>
    </w:p>
    <w:p>
      <w:pPr>
        <w:pStyle w:val="69"/>
        <w:numPr>
          <w:ilvl w:val="0"/>
          <w:numId w:val="9"/>
        </w:numPr>
        <w:tabs>
          <w:tab w:val="left" w:pos="897"/>
        </w:tabs>
        <w:kinsoku w:val="0"/>
        <w:overflowPunct w:val="0"/>
        <w:spacing w:line="304" w:lineRule="exact"/>
        <w:jc w:val="both"/>
        <w:rPr>
          <w:rFonts w:hAnsi="宋体"/>
          <w:color w:val="auto"/>
          <w:highlight w:val="none"/>
        </w:rPr>
      </w:pPr>
      <w:r>
        <w:rPr>
          <w:rFonts w:hint="eastAsia" w:hAnsi="宋体"/>
          <w:color w:val="auto"/>
          <w:highlight w:val="none"/>
        </w:rPr>
        <w:t>签订合同</w:t>
      </w:r>
    </w:p>
    <w:p>
      <w:pPr>
        <w:pStyle w:val="69"/>
        <w:numPr>
          <w:ilvl w:val="1"/>
          <w:numId w:val="9"/>
        </w:numPr>
        <w:tabs>
          <w:tab w:val="left" w:pos="1617"/>
        </w:tabs>
        <w:kinsoku w:val="0"/>
        <w:overflowPunct w:val="0"/>
        <w:spacing w:before="158" w:line="364" w:lineRule="auto"/>
        <w:ind w:left="1616" w:right="571"/>
        <w:jc w:val="both"/>
        <w:rPr>
          <w:rFonts w:hAnsi="宋体"/>
          <w:color w:val="auto"/>
          <w:highlight w:val="none"/>
        </w:rPr>
      </w:pPr>
      <w:r>
        <w:rPr>
          <w:rFonts w:hint="eastAsia" w:hAnsi="宋体"/>
          <w:color w:val="auto"/>
          <w:spacing w:val="-2"/>
          <w:highlight w:val="none"/>
        </w:rPr>
        <w:t>采购人与成交供应商应当在成交通知书发出之日起</w:t>
      </w:r>
      <w:r>
        <w:rPr>
          <w:rFonts w:hAnsi="宋体"/>
          <w:color w:val="auto"/>
          <w:spacing w:val="-2"/>
          <w:highlight w:val="none"/>
        </w:rPr>
        <w:t xml:space="preserve"> </w:t>
      </w:r>
      <w:r>
        <w:rPr>
          <w:rFonts w:hAnsi="宋体" w:cs="Arial"/>
          <w:color w:val="auto"/>
          <w:highlight w:val="none"/>
        </w:rPr>
        <w:t>30</w:t>
      </w:r>
      <w:r>
        <w:rPr>
          <w:rFonts w:hAnsi="宋体" w:cs="Arial"/>
          <w:color w:val="auto"/>
          <w:spacing w:val="11"/>
          <w:highlight w:val="none"/>
        </w:rPr>
        <w:t xml:space="preserve"> </w:t>
      </w:r>
      <w:r>
        <w:rPr>
          <w:rFonts w:hint="eastAsia" w:hAnsi="宋体"/>
          <w:color w:val="auto"/>
          <w:spacing w:val="-15"/>
          <w:highlight w:val="none"/>
        </w:rPr>
        <w:t>日内，按照磋商文件确</w:t>
      </w:r>
      <w:r>
        <w:rPr>
          <w:rFonts w:hint="eastAsia" w:hAnsi="宋体"/>
          <w:color w:val="auto"/>
          <w:highlight w:val="none"/>
        </w:rPr>
        <w:t>定的合同文本以及采购标的、规格型号、采购金额、采购数量、技术和服务要求等事项签订政府采购合同。</w:t>
      </w:r>
    </w:p>
    <w:p>
      <w:pPr>
        <w:pStyle w:val="69"/>
        <w:numPr>
          <w:ilvl w:val="1"/>
          <w:numId w:val="9"/>
        </w:numPr>
        <w:tabs>
          <w:tab w:val="left" w:pos="1617"/>
        </w:tabs>
        <w:kinsoku w:val="0"/>
        <w:overflowPunct w:val="0"/>
        <w:spacing w:line="307" w:lineRule="exact"/>
        <w:ind w:left="1616" w:hanging="721"/>
        <w:jc w:val="both"/>
        <w:rPr>
          <w:rFonts w:hAnsi="宋体"/>
          <w:color w:val="auto"/>
          <w:highlight w:val="none"/>
        </w:rPr>
      </w:pPr>
      <w:r>
        <w:rPr>
          <w:rFonts w:hint="eastAsia" w:hAnsi="宋体"/>
          <w:color w:val="auto"/>
          <w:highlight w:val="none"/>
        </w:rPr>
        <w:t>成交供应商拒绝签订政府采购合同的，采购人可以按照评审报告推荐的成交</w:t>
      </w:r>
    </w:p>
    <w:p>
      <w:pPr>
        <w:pStyle w:val="17"/>
        <w:kinsoku w:val="0"/>
        <w:overflowPunct w:val="0"/>
        <w:spacing w:before="72" w:line="362" w:lineRule="auto"/>
        <w:ind w:left="1616" w:right="407"/>
        <w:rPr>
          <w:rFonts w:hAnsi="宋体"/>
          <w:color w:val="auto"/>
          <w:highlight w:val="none"/>
        </w:rPr>
      </w:pPr>
      <w:r>
        <w:rPr>
          <w:rFonts w:hint="eastAsia" w:hAnsi="宋体"/>
          <w:color w:val="auto"/>
          <w:highlight w:val="none"/>
        </w:rPr>
        <w:t>候选人名单排序，确定下一候选人为成交供应商，也可以重新开展采购活动。拒绝签订政府采购合同的成交供应商不得参加对该项目重新开展的采购活动。</w:t>
      </w:r>
    </w:p>
    <w:p>
      <w:pPr>
        <w:pStyle w:val="69"/>
        <w:numPr>
          <w:ilvl w:val="1"/>
          <w:numId w:val="9"/>
        </w:numPr>
        <w:tabs>
          <w:tab w:val="left" w:pos="1617"/>
        </w:tabs>
        <w:kinsoku w:val="0"/>
        <w:overflowPunct w:val="0"/>
        <w:spacing w:before="5" w:line="364" w:lineRule="auto"/>
        <w:ind w:left="1616" w:right="573"/>
        <w:rPr>
          <w:rFonts w:hAnsi="宋体"/>
          <w:color w:val="auto"/>
          <w:highlight w:val="none"/>
        </w:rPr>
      </w:pPr>
      <w:r>
        <w:rPr>
          <w:rFonts w:hint="eastAsia" w:hAnsi="宋体"/>
          <w:color w:val="auto"/>
          <w:highlight w:val="none"/>
        </w:rPr>
        <w:t>联合体成交的，联合体各方应当共同与采购人签订合同，就采购合同约定的事项向采购人承担连带责任。</w:t>
      </w:r>
    </w:p>
    <w:p>
      <w:pPr>
        <w:pStyle w:val="69"/>
        <w:numPr>
          <w:ilvl w:val="1"/>
          <w:numId w:val="9"/>
        </w:numPr>
        <w:tabs>
          <w:tab w:val="left" w:pos="1617"/>
        </w:tabs>
        <w:kinsoku w:val="0"/>
        <w:overflowPunct w:val="0"/>
        <w:spacing w:line="306" w:lineRule="exact"/>
        <w:ind w:left="1616" w:hanging="721"/>
        <w:rPr>
          <w:rFonts w:hAnsi="宋体"/>
          <w:color w:val="auto"/>
          <w:highlight w:val="none"/>
        </w:rPr>
      </w:pPr>
      <w:r>
        <w:rPr>
          <w:rFonts w:hint="eastAsia" w:hAnsi="宋体"/>
          <w:color w:val="auto"/>
          <w:highlight w:val="none"/>
        </w:rPr>
        <w:t>政府采购合同不能转包。</w:t>
      </w:r>
    </w:p>
    <w:p>
      <w:pPr>
        <w:pStyle w:val="69"/>
        <w:numPr>
          <w:ilvl w:val="1"/>
          <w:numId w:val="9"/>
        </w:numPr>
        <w:tabs>
          <w:tab w:val="left" w:pos="1617"/>
        </w:tabs>
        <w:kinsoku w:val="0"/>
        <w:overflowPunct w:val="0"/>
        <w:spacing w:before="161" w:line="364" w:lineRule="auto"/>
        <w:ind w:left="1616" w:right="566"/>
        <w:jc w:val="both"/>
        <w:rPr>
          <w:rFonts w:hAnsi="宋体"/>
          <w:color w:val="auto"/>
          <w:highlight w:val="none"/>
        </w:rPr>
      </w:pPr>
      <w:r>
        <w:rPr>
          <w:rFonts w:hint="eastAsia" w:hAnsi="宋体"/>
          <w:color w:val="auto"/>
          <w:highlight w:val="none"/>
        </w:rPr>
        <w:t>采购人允许采用分包方式履行合同的，成交供应商可以依法采取分包方式履</w:t>
      </w:r>
      <w:r>
        <w:rPr>
          <w:rFonts w:hint="eastAsia" w:hAnsi="宋体"/>
          <w:color w:val="auto"/>
          <w:spacing w:val="-11"/>
          <w:highlight w:val="none"/>
        </w:rPr>
        <w:t>行合同。本项目是否允许分包，见《供应商须知资料表》。政府采购合同分包</w:t>
      </w:r>
      <w:r>
        <w:rPr>
          <w:rFonts w:hint="eastAsia" w:hAnsi="宋体"/>
          <w:color w:val="auto"/>
          <w:highlight w:val="none"/>
        </w:rPr>
        <w:t>履行的，应当在响应文件中载明分包承担主体，分包承担主体应当具备相应资质条件且不得再次分包，否则响应无效。成交供应商就采购项目和分包项目向采购人负责，分包供应商就分包项目承担责任。</w:t>
      </w:r>
    </w:p>
    <w:p>
      <w:pPr>
        <w:pStyle w:val="69"/>
        <w:numPr>
          <w:ilvl w:val="0"/>
          <w:numId w:val="9"/>
        </w:numPr>
        <w:tabs>
          <w:tab w:val="left" w:pos="897"/>
        </w:tabs>
        <w:kinsoku w:val="0"/>
        <w:overflowPunct w:val="0"/>
        <w:spacing w:line="303" w:lineRule="exact"/>
        <w:jc w:val="both"/>
        <w:rPr>
          <w:rFonts w:hAnsi="宋体"/>
          <w:color w:val="auto"/>
          <w:highlight w:val="none"/>
        </w:rPr>
      </w:pPr>
      <w:r>
        <w:rPr>
          <w:rFonts w:hint="eastAsia" w:hAnsi="宋体"/>
          <w:color w:val="auto"/>
          <w:highlight w:val="none"/>
        </w:rPr>
        <w:t>询问与质疑</w:t>
      </w:r>
    </w:p>
    <w:p>
      <w:pPr>
        <w:pStyle w:val="69"/>
        <w:numPr>
          <w:ilvl w:val="1"/>
          <w:numId w:val="9"/>
        </w:numPr>
        <w:tabs>
          <w:tab w:val="left" w:pos="1617"/>
        </w:tabs>
        <w:kinsoku w:val="0"/>
        <w:overflowPunct w:val="0"/>
        <w:spacing w:before="160"/>
        <w:ind w:left="1616" w:hanging="721"/>
        <w:rPr>
          <w:rFonts w:hAnsi="宋体"/>
          <w:color w:val="auto"/>
          <w:highlight w:val="none"/>
        </w:rPr>
      </w:pPr>
      <w:r>
        <w:rPr>
          <w:rFonts w:hint="eastAsia" w:hAnsi="宋体"/>
          <w:color w:val="auto"/>
          <w:highlight w:val="none"/>
        </w:rPr>
        <w:t>询问</w:t>
      </w:r>
    </w:p>
    <w:p>
      <w:pPr>
        <w:pStyle w:val="69"/>
        <w:numPr>
          <w:ilvl w:val="2"/>
          <w:numId w:val="9"/>
        </w:numPr>
        <w:tabs>
          <w:tab w:val="left" w:pos="2522"/>
        </w:tabs>
        <w:kinsoku w:val="0"/>
        <w:overflowPunct w:val="0"/>
        <w:spacing w:before="159" w:line="364" w:lineRule="auto"/>
        <w:ind w:right="570"/>
        <w:rPr>
          <w:rFonts w:hAnsi="宋体"/>
          <w:color w:val="auto"/>
          <w:highlight w:val="none"/>
        </w:rPr>
      </w:pPr>
      <w:r>
        <w:rPr>
          <w:rFonts w:hint="eastAsia" w:hAnsi="宋体"/>
          <w:color w:val="auto"/>
          <w:spacing w:val="-8"/>
          <w:highlight w:val="none"/>
        </w:rPr>
        <w:t>供应商对政府采购活动事项有疑问的，可依法提出询问，并按《供应</w:t>
      </w:r>
      <w:r>
        <w:rPr>
          <w:rFonts w:hint="eastAsia" w:hAnsi="宋体"/>
          <w:color w:val="auto"/>
          <w:highlight w:val="none"/>
        </w:rPr>
        <w:t>商须知资料表》载明的形式送达采购人或采购代理机构。</w:t>
      </w:r>
    </w:p>
    <w:p>
      <w:pPr>
        <w:pStyle w:val="69"/>
        <w:numPr>
          <w:ilvl w:val="2"/>
          <w:numId w:val="9"/>
        </w:numPr>
        <w:tabs>
          <w:tab w:val="left" w:pos="2522"/>
        </w:tabs>
        <w:kinsoku w:val="0"/>
        <w:overflowPunct w:val="0"/>
        <w:spacing w:before="1" w:line="362" w:lineRule="auto"/>
        <w:ind w:right="571"/>
        <w:rPr>
          <w:rFonts w:hAnsi="宋体"/>
          <w:color w:val="auto"/>
          <w:highlight w:val="none"/>
        </w:rPr>
      </w:pPr>
      <w:r>
        <w:rPr>
          <w:rFonts w:hint="eastAsia" w:hAnsi="宋体"/>
          <w:color w:val="auto"/>
          <w:spacing w:val="-2"/>
          <w:highlight w:val="none"/>
        </w:rPr>
        <w:t>采购人或采购代理机构对供应商依法提出的询问，在</w:t>
      </w:r>
      <w:r>
        <w:rPr>
          <w:rFonts w:hAnsi="宋体"/>
          <w:color w:val="auto"/>
          <w:spacing w:val="-2"/>
          <w:highlight w:val="none"/>
        </w:rPr>
        <w:t xml:space="preserve"> </w:t>
      </w:r>
      <w:r>
        <w:rPr>
          <w:rFonts w:hAnsi="宋体" w:cs="Arial"/>
          <w:color w:val="auto"/>
          <w:highlight w:val="none"/>
        </w:rPr>
        <w:t>3</w:t>
      </w:r>
      <w:r>
        <w:rPr>
          <w:rFonts w:hAnsi="宋体" w:cs="Arial"/>
          <w:color w:val="auto"/>
          <w:spacing w:val="15"/>
          <w:highlight w:val="none"/>
        </w:rPr>
        <w:t xml:space="preserve"> </w:t>
      </w:r>
      <w:r>
        <w:rPr>
          <w:rFonts w:hint="eastAsia" w:hAnsi="宋体"/>
          <w:color w:val="auto"/>
          <w:highlight w:val="none"/>
        </w:rPr>
        <w:t>个工作日内作出答复，但答复的内容不得涉及商业秘密。</w:t>
      </w:r>
    </w:p>
    <w:p>
      <w:pPr>
        <w:pStyle w:val="69"/>
        <w:numPr>
          <w:ilvl w:val="1"/>
          <w:numId w:val="9"/>
        </w:numPr>
        <w:tabs>
          <w:tab w:val="left" w:pos="1617"/>
        </w:tabs>
        <w:kinsoku w:val="0"/>
        <w:overflowPunct w:val="0"/>
        <w:spacing w:before="5"/>
        <w:ind w:left="1616" w:hanging="721"/>
        <w:rPr>
          <w:rFonts w:hAnsi="宋体"/>
          <w:color w:val="auto"/>
          <w:highlight w:val="none"/>
        </w:rPr>
      </w:pPr>
      <w:r>
        <w:rPr>
          <w:rFonts w:hint="eastAsia" w:hAnsi="宋体"/>
          <w:color w:val="auto"/>
          <w:highlight w:val="none"/>
        </w:rPr>
        <w:t>质疑</w:t>
      </w:r>
    </w:p>
    <w:p>
      <w:pPr>
        <w:pStyle w:val="69"/>
        <w:numPr>
          <w:ilvl w:val="2"/>
          <w:numId w:val="9"/>
        </w:numPr>
        <w:tabs>
          <w:tab w:val="left" w:pos="2522"/>
        </w:tabs>
        <w:kinsoku w:val="0"/>
        <w:overflowPunct w:val="0"/>
        <w:spacing w:before="158" w:line="364" w:lineRule="auto"/>
        <w:ind w:right="451"/>
        <w:rPr>
          <w:rFonts w:hAnsi="宋体"/>
          <w:color w:val="auto"/>
          <w:highlight w:val="none"/>
        </w:rPr>
      </w:pPr>
      <w:r>
        <w:rPr>
          <w:rFonts w:hint="eastAsia" w:hAnsi="宋体"/>
          <w:color w:val="auto"/>
          <w:spacing w:val="-8"/>
          <w:highlight w:val="none"/>
        </w:rPr>
        <w:t>供应商认为竞争性磋商文件、采购过程、成交结果使自己的权益受到</w:t>
      </w:r>
      <w:r>
        <w:rPr>
          <w:rFonts w:hint="eastAsia" w:hAnsi="宋体"/>
          <w:color w:val="auto"/>
          <w:spacing w:val="-9"/>
          <w:highlight w:val="none"/>
        </w:rPr>
        <w:t>损害的，可以在知道或者应知其权益受到损害之日起</w:t>
      </w:r>
      <w:r>
        <w:rPr>
          <w:rFonts w:hAnsi="宋体"/>
          <w:color w:val="auto"/>
          <w:spacing w:val="-9"/>
          <w:highlight w:val="none"/>
        </w:rPr>
        <w:t xml:space="preserve"> </w:t>
      </w:r>
      <w:r>
        <w:rPr>
          <w:rFonts w:hAnsi="宋体" w:cs="Arial"/>
          <w:color w:val="auto"/>
          <w:highlight w:val="none"/>
        </w:rPr>
        <w:t>7</w:t>
      </w:r>
      <w:r>
        <w:rPr>
          <w:rFonts w:hAnsi="宋体" w:cs="Arial"/>
          <w:color w:val="auto"/>
          <w:spacing w:val="2"/>
          <w:highlight w:val="none"/>
        </w:rPr>
        <w:t xml:space="preserve"> </w:t>
      </w:r>
      <w:r>
        <w:rPr>
          <w:rFonts w:hint="eastAsia" w:hAnsi="宋体"/>
          <w:color w:val="auto"/>
          <w:spacing w:val="-3"/>
          <w:highlight w:val="none"/>
        </w:rPr>
        <w:t>个工作日内，</w:t>
      </w:r>
      <w:r>
        <w:rPr>
          <w:rFonts w:hAnsi="宋体"/>
          <w:color w:val="auto"/>
          <w:spacing w:val="-3"/>
          <w:highlight w:val="none"/>
        </w:rPr>
        <w:t xml:space="preserve"> </w:t>
      </w:r>
      <w:r>
        <w:rPr>
          <w:rFonts w:hint="eastAsia" w:hAnsi="宋体"/>
          <w:color w:val="auto"/>
          <w:spacing w:val="-8"/>
          <w:highlight w:val="none"/>
        </w:rPr>
        <w:t>以书面形式向采购人、采购代理机构提出质疑。采购人、采购代理机</w:t>
      </w:r>
      <w:r>
        <w:rPr>
          <w:rFonts w:hint="eastAsia" w:hAnsi="宋体"/>
          <w:color w:val="auto"/>
          <w:spacing w:val="-14"/>
          <w:highlight w:val="none"/>
        </w:rPr>
        <w:t>构在收到质疑函后</w:t>
      </w:r>
      <w:r>
        <w:rPr>
          <w:rFonts w:hAnsi="宋体"/>
          <w:color w:val="auto"/>
          <w:spacing w:val="-14"/>
          <w:highlight w:val="none"/>
        </w:rPr>
        <w:t xml:space="preserve"> </w:t>
      </w:r>
      <w:r>
        <w:rPr>
          <w:rFonts w:hAnsi="宋体" w:cs="Arial"/>
          <w:color w:val="auto"/>
          <w:highlight w:val="none"/>
        </w:rPr>
        <w:t>7</w:t>
      </w:r>
      <w:r>
        <w:rPr>
          <w:rFonts w:hAnsi="宋体" w:cs="Arial"/>
          <w:color w:val="auto"/>
          <w:spacing w:val="-9"/>
          <w:highlight w:val="none"/>
        </w:rPr>
        <w:t xml:space="preserve"> </w:t>
      </w:r>
      <w:r>
        <w:rPr>
          <w:rFonts w:hint="eastAsia" w:hAnsi="宋体"/>
          <w:color w:val="auto"/>
          <w:highlight w:val="none"/>
        </w:rPr>
        <w:t>个工作日内作出答复。</w:t>
      </w:r>
    </w:p>
    <w:p>
      <w:pPr>
        <w:pStyle w:val="69"/>
        <w:numPr>
          <w:ilvl w:val="2"/>
          <w:numId w:val="9"/>
        </w:numPr>
        <w:tabs>
          <w:tab w:val="left" w:pos="2522"/>
        </w:tabs>
        <w:kinsoku w:val="0"/>
        <w:overflowPunct w:val="0"/>
        <w:spacing w:line="364" w:lineRule="auto"/>
        <w:ind w:right="570"/>
        <w:jc w:val="both"/>
        <w:rPr>
          <w:rFonts w:hAnsi="宋体"/>
          <w:color w:val="auto"/>
          <w:highlight w:val="none"/>
        </w:rPr>
      </w:pPr>
      <w:r>
        <w:rPr>
          <w:rFonts w:hint="eastAsia" w:hAnsi="宋体"/>
          <w:color w:val="auto"/>
          <w:spacing w:val="-7"/>
          <w:highlight w:val="none"/>
        </w:rPr>
        <w:t>质疑函须使用财政部制定的范本文件。供应商为自然人的，质疑函应</w:t>
      </w:r>
      <w:r>
        <w:rPr>
          <w:rFonts w:hint="eastAsia" w:hAnsi="宋体"/>
          <w:color w:val="auto"/>
          <w:spacing w:val="-11"/>
          <w:highlight w:val="none"/>
        </w:rPr>
        <w:t>当由本人签字；供应商为法人或者其他组织的，质疑函应当由法定代</w:t>
      </w:r>
      <w:r>
        <w:rPr>
          <w:rFonts w:hint="eastAsia" w:hAnsi="宋体"/>
          <w:color w:val="auto"/>
          <w:highlight w:val="none"/>
        </w:rPr>
        <w:t>表人、主要负责人，或者其授权代表签字或者盖章，并加盖公章。</w:t>
      </w:r>
    </w:p>
    <w:p>
      <w:pPr>
        <w:pStyle w:val="69"/>
        <w:numPr>
          <w:ilvl w:val="2"/>
          <w:numId w:val="9"/>
        </w:numPr>
        <w:tabs>
          <w:tab w:val="left" w:pos="2522"/>
        </w:tabs>
        <w:kinsoku w:val="0"/>
        <w:overflowPunct w:val="0"/>
        <w:spacing w:line="364" w:lineRule="auto"/>
        <w:ind w:right="450"/>
        <w:rPr>
          <w:rFonts w:hAnsi="宋体"/>
          <w:color w:val="auto"/>
          <w:spacing w:val="-7"/>
          <w:highlight w:val="none"/>
        </w:rPr>
      </w:pPr>
      <w:r>
        <w:rPr>
          <w:rFonts w:hint="eastAsia" w:hAnsi="宋体"/>
          <w:color w:val="auto"/>
          <w:spacing w:val="-8"/>
          <w:highlight w:val="none"/>
        </w:rPr>
        <w:t>供应商委托代理人进行质疑的，应当随质疑函同时提交供应商签署的</w:t>
      </w:r>
      <w:r>
        <w:rPr>
          <w:rFonts w:hint="eastAsia" w:hAnsi="宋体"/>
          <w:color w:val="auto"/>
          <w:spacing w:val="-18"/>
          <w:highlight w:val="none"/>
        </w:rPr>
        <w:t>授权委托书。授权委托书应当载明代理人的姓名或者名称、代理事项、</w:t>
      </w:r>
      <w:r>
        <w:rPr>
          <w:rFonts w:hint="eastAsia" w:hAnsi="宋体"/>
          <w:color w:val="auto"/>
          <w:highlight w:val="none"/>
        </w:rPr>
        <w:t>具体权限、期限和相关事项。供应商为自然人的，应当由本人签字；</w:t>
      </w:r>
      <w:r>
        <w:rPr>
          <w:rFonts w:hAnsi="宋体"/>
          <w:color w:val="auto"/>
          <w:highlight w:val="none"/>
        </w:rPr>
        <w:t xml:space="preserve"> </w:t>
      </w:r>
      <w:r>
        <w:rPr>
          <w:rFonts w:hint="eastAsia" w:hAnsi="宋体"/>
          <w:color w:val="auto"/>
          <w:spacing w:val="-7"/>
          <w:highlight w:val="none"/>
        </w:rPr>
        <w:t>供应商为法人或者其他组织的，应当由法定代表人、主要负责人签字或者盖章，并加盖公章。</w:t>
      </w:r>
    </w:p>
    <w:p>
      <w:pPr>
        <w:pStyle w:val="69"/>
        <w:numPr>
          <w:ilvl w:val="2"/>
          <w:numId w:val="9"/>
        </w:numPr>
        <w:tabs>
          <w:tab w:val="left" w:pos="2522"/>
        </w:tabs>
        <w:kinsoku w:val="0"/>
        <w:overflowPunct w:val="0"/>
        <w:spacing w:line="303" w:lineRule="exact"/>
        <w:ind w:hanging="901"/>
        <w:rPr>
          <w:rFonts w:hAnsi="宋体"/>
          <w:color w:val="auto"/>
          <w:highlight w:val="none"/>
        </w:rPr>
      </w:pPr>
      <w:r>
        <w:rPr>
          <w:rFonts w:hint="eastAsia" w:hAnsi="宋体"/>
          <w:color w:val="auto"/>
          <w:highlight w:val="none"/>
        </w:rPr>
        <w:t>供应商应在法定质疑期内一次性提出针对同一采购程序环节的质疑，</w:t>
      </w:r>
    </w:p>
    <w:p>
      <w:pPr>
        <w:pStyle w:val="17"/>
        <w:kinsoku w:val="0"/>
        <w:overflowPunct w:val="0"/>
        <w:spacing w:before="72" w:line="362" w:lineRule="auto"/>
        <w:ind w:left="2521" w:right="570"/>
        <w:rPr>
          <w:rFonts w:hAnsi="宋体"/>
          <w:color w:val="auto"/>
          <w:highlight w:val="none"/>
        </w:rPr>
      </w:pPr>
      <w:r>
        <w:rPr>
          <w:rFonts w:hint="eastAsia" w:hAnsi="宋体"/>
          <w:color w:val="auto"/>
          <w:spacing w:val="-6"/>
          <w:highlight w:val="none"/>
        </w:rPr>
        <w:t>法定质疑期内针对同一采购程序环节再次提出的质疑，采购人、采购</w:t>
      </w:r>
      <w:r>
        <w:rPr>
          <w:rFonts w:hint="eastAsia" w:hAnsi="宋体"/>
          <w:color w:val="auto"/>
          <w:highlight w:val="none"/>
        </w:rPr>
        <w:t>代理机构有权不予答复。</w:t>
      </w:r>
    </w:p>
    <w:p>
      <w:pPr>
        <w:pStyle w:val="69"/>
        <w:numPr>
          <w:ilvl w:val="1"/>
          <w:numId w:val="9"/>
        </w:numPr>
        <w:tabs>
          <w:tab w:val="left" w:pos="1617"/>
        </w:tabs>
        <w:kinsoku w:val="0"/>
        <w:overflowPunct w:val="0"/>
        <w:spacing w:before="5"/>
        <w:ind w:left="1616" w:hanging="721"/>
        <w:rPr>
          <w:rFonts w:hAnsi="宋体"/>
          <w:color w:val="auto"/>
          <w:spacing w:val="-4"/>
          <w:highlight w:val="none"/>
        </w:rPr>
      </w:pPr>
      <w:r>
        <w:rPr>
          <w:rFonts w:hint="eastAsia" w:hAnsi="宋体"/>
          <w:color w:val="auto"/>
          <w:spacing w:val="-4"/>
          <w:highlight w:val="none"/>
        </w:rPr>
        <w:t>接收询问和质疑的联系部门、联系电话和通讯地址见《供应商须知资料表》。</w:t>
      </w:r>
    </w:p>
    <w:p>
      <w:pPr>
        <w:pStyle w:val="69"/>
        <w:numPr>
          <w:ilvl w:val="0"/>
          <w:numId w:val="9"/>
        </w:numPr>
        <w:tabs>
          <w:tab w:val="left" w:pos="897"/>
        </w:tabs>
        <w:kinsoku w:val="0"/>
        <w:overflowPunct w:val="0"/>
        <w:spacing w:before="161"/>
        <w:rPr>
          <w:rFonts w:hAnsi="宋体"/>
          <w:color w:val="auto"/>
          <w:highlight w:val="none"/>
        </w:rPr>
      </w:pPr>
      <w:r>
        <w:rPr>
          <w:rFonts w:hint="eastAsia" w:hAnsi="宋体"/>
          <w:color w:val="auto"/>
          <w:highlight w:val="none"/>
        </w:rPr>
        <w:t>代理费</w:t>
      </w:r>
    </w:p>
    <w:p>
      <w:pPr>
        <w:pStyle w:val="69"/>
        <w:numPr>
          <w:ilvl w:val="1"/>
          <w:numId w:val="9"/>
        </w:numPr>
        <w:tabs>
          <w:tab w:val="left" w:pos="1617"/>
        </w:tabs>
        <w:kinsoku w:val="0"/>
        <w:overflowPunct w:val="0"/>
        <w:spacing w:before="158" w:line="364" w:lineRule="auto"/>
        <w:ind w:left="1616" w:right="450"/>
        <w:rPr>
          <w:rFonts w:hAnsi="宋体"/>
          <w:color w:val="auto"/>
          <w:spacing w:val="-8"/>
          <w:highlight w:val="none"/>
        </w:rPr>
      </w:pPr>
      <w:r>
        <w:rPr>
          <w:rFonts w:hint="eastAsia" w:hAnsi="宋体"/>
          <w:color w:val="auto"/>
          <w:spacing w:val="-10"/>
          <w:highlight w:val="none"/>
        </w:rPr>
        <w:t>收费对象、收费标准及缴纳时间见《供应商须知资料表》。由成交供应商支付</w:t>
      </w:r>
      <w:r>
        <w:rPr>
          <w:rFonts w:hint="eastAsia" w:hAnsi="宋体"/>
          <w:color w:val="auto"/>
          <w:spacing w:val="-8"/>
          <w:highlight w:val="none"/>
        </w:rPr>
        <w:t>的，成交供应商须一次性向采购代理机构缴纳代理费，报价应包含代理费用。</w:t>
      </w:r>
    </w:p>
    <w:p>
      <w:pPr>
        <w:pStyle w:val="69"/>
        <w:numPr>
          <w:ilvl w:val="1"/>
          <w:numId w:val="9"/>
        </w:numPr>
        <w:tabs>
          <w:tab w:val="left" w:pos="1617"/>
        </w:tabs>
        <w:kinsoku w:val="0"/>
        <w:overflowPunct w:val="0"/>
        <w:spacing w:before="158" w:line="364" w:lineRule="auto"/>
        <w:ind w:left="1616" w:right="450"/>
        <w:rPr>
          <w:rFonts w:hAnsi="宋体"/>
          <w:color w:val="auto"/>
          <w:spacing w:val="-8"/>
          <w:highlight w:val="none"/>
        </w:rPr>
        <w:sectPr>
          <w:pgSz w:w="11910" w:h="16840"/>
          <w:pgMar w:top="1340" w:right="560" w:bottom="1080" w:left="1160" w:header="879" w:footer="879" w:gutter="0"/>
          <w:cols w:space="720" w:num="1"/>
        </w:sectPr>
      </w:pPr>
    </w:p>
    <w:p>
      <w:pPr>
        <w:pStyle w:val="3"/>
        <w:tabs>
          <w:tab w:val="left" w:pos="1622"/>
        </w:tabs>
        <w:kinsoku w:val="0"/>
        <w:overflowPunct w:val="0"/>
        <w:ind w:right="26"/>
        <w:rPr>
          <w:rFonts w:hAnsi="宋体"/>
          <w:color w:val="auto"/>
          <w:highlight w:val="none"/>
        </w:rPr>
      </w:pPr>
      <w:bookmarkStart w:id="73" w:name="_Toc149147549"/>
      <w:bookmarkStart w:id="74" w:name="_Toc149147704"/>
      <w:r>
        <w:rPr>
          <w:rFonts w:hint="eastAsia" w:hAnsi="宋体"/>
          <w:color w:val="auto"/>
          <w:highlight w:val="none"/>
        </w:rPr>
        <w:t>第三章</w:t>
      </w:r>
      <w:r>
        <w:rPr>
          <w:rFonts w:hAnsi="宋体"/>
          <w:color w:val="auto"/>
          <w:highlight w:val="none"/>
        </w:rPr>
        <w:tab/>
      </w:r>
      <w:r>
        <w:rPr>
          <w:rFonts w:hint="eastAsia" w:hAnsi="宋体"/>
          <w:color w:val="auto"/>
          <w:highlight w:val="none"/>
        </w:rPr>
        <w:t>评审方法和评审标准</w:t>
      </w:r>
      <w:bookmarkEnd w:id="73"/>
      <w:bookmarkEnd w:id="74"/>
    </w:p>
    <w:p>
      <w:pPr>
        <w:pStyle w:val="17"/>
        <w:kinsoku w:val="0"/>
        <w:overflowPunct w:val="0"/>
        <w:spacing w:before="239"/>
        <w:ind w:right="22"/>
        <w:jc w:val="center"/>
        <w:rPr>
          <w:rFonts w:hAnsi="宋体"/>
          <w:color w:val="auto"/>
          <w:highlight w:val="none"/>
        </w:rPr>
      </w:pPr>
      <w:r>
        <w:rPr>
          <w:rFonts w:hint="eastAsia" w:hAnsi="宋体"/>
          <w:color w:val="auto"/>
          <w:highlight w:val="none"/>
        </w:rPr>
        <w:t>一、资格审查程序</w:t>
      </w:r>
    </w:p>
    <w:p>
      <w:pPr>
        <w:pStyle w:val="17"/>
        <w:kinsoku w:val="0"/>
        <w:overflowPunct w:val="0"/>
        <w:spacing w:before="3"/>
        <w:rPr>
          <w:rFonts w:hAnsi="宋体"/>
          <w:color w:val="auto"/>
          <w:sz w:val="34"/>
          <w:szCs w:val="34"/>
          <w:highlight w:val="none"/>
        </w:rPr>
      </w:pPr>
    </w:p>
    <w:p>
      <w:pPr>
        <w:pStyle w:val="69"/>
        <w:numPr>
          <w:ilvl w:val="0"/>
          <w:numId w:val="10"/>
        </w:numPr>
        <w:tabs>
          <w:tab w:val="left" w:pos="902"/>
        </w:tabs>
        <w:kinsoku w:val="0"/>
        <w:overflowPunct w:val="0"/>
        <w:ind w:hanging="361"/>
        <w:jc w:val="both"/>
        <w:rPr>
          <w:rFonts w:hAnsi="宋体"/>
          <w:color w:val="auto"/>
          <w:highlight w:val="none"/>
        </w:rPr>
      </w:pPr>
      <w:r>
        <w:rPr>
          <w:rFonts w:hint="eastAsia" w:hAnsi="宋体"/>
          <w:color w:val="auto"/>
          <w:highlight w:val="none"/>
        </w:rPr>
        <w:t>响应文件的资格审查和符合性审查</w:t>
      </w:r>
    </w:p>
    <w:p>
      <w:pPr>
        <w:pStyle w:val="69"/>
        <w:numPr>
          <w:ilvl w:val="1"/>
          <w:numId w:val="10"/>
        </w:numPr>
        <w:tabs>
          <w:tab w:val="left" w:pos="1617"/>
        </w:tabs>
        <w:kinsoku w:val="0"/>
        <w:overflowPunct w:val="0"/>
        <w:spacing w:before="158" w:line="364" w:lineRule="auto"/>
        <w:ind w:right="573"/>
        <w:jc w:val="both"/>
        <w:rPr>
          <w:rFonts w:hAnsi="宋体"/>
          <w:color w:val="auto"/>
          <w:highlight w:val="none"/>
        </w:rPr>
      </w:pPr>
      <w:r>
        <w:rPr>
          <w:rFonts w:hint="eastAsia" w:hAnsi="宋体"/>
          <w:color w:val="auto"/>
          <w:highlight w:val="none"/>
        </w:rPr>
        <w:t>磋商小组将根据《资格审查要求》和《符合性审查要求》中规定的内容，对供应商进行检查，并形成检查结果。供应商《响应文件》有任何一项不符合</w:t>
      </w:r>
    </w:p>
    <w:p>
      <w:pPr>
        <w:pStyle w:val="17"/>
        <w:kinsoku w:val="0"/>
        <w:overflowPunct w:val="0"/>
        <w:spacing w:line="364" w:lineRule="auto"/>
        <w:ind w:left="1616" w:right="568"/>
        <w:jc w:val="both"/>
        <w:rPr>
          <w:rFonts w:hAnsi="宋体"/>
          <w:color w:val="auto"/>
          <w:highlight w:val="none"/>
        </w:rPr>
      </w:pPr>
      <w:r>
        <w:rPr>
          <w:rFonts w:hint="eastAsia" w:hAnsi="宋体"/>
          <w:color w:val="auto"/>
          <w:highlight w:val="none"/>
        </w:rPr>
        <w:t>《资格审查要求》和《符合性审查要求》要求的，视为未实质性响应磋商文件。未实质性响应磋商文件的响应文件按无效响应处理，磋商小组应当告知提交响应文件的供应商。</w:t>
      </w:r>
    </w:p>
    <w:p>
      <w:pPr>
        <w:pStyle w:val="69"/>
        <w:numPr>
          <w:ilvl w:val="1"/>
          <w:numId w:val="10"/>
        </w:numPr>
        <w:tabs>
          <w:tab w:val="left" w:pos="1617"/>
        </w:tabs>
        <w:kinsoku w:val="0"/>
        <w:overflowPunct w:val="0"/>
        <w:spacing w:line="362" w:lineRule="auto"/>
        <w:ind w:right="571"/>
        <w:jc w:val="both"/>
        <w:rPr>
          <w:rFonts w:hAnsi="宋体"/>
          <w:color w:val="auto"/>
          <w:highlight w:val="none"/>
        </w:rPr>
      </w:pPr>
      <w:r>
        <w:rPr>
          <w:rFonts w:hint="eastAsia" w:hAnsi="宋体"/>
          <w:color w:val="auto"/>
          <w:spacing w:val="-19"/>
          <w:highlight w:val="none"/>
        </w:rPr>
        <w:t>《资格审查要求》中对格式有要求的，除竞争性磋商文件另有规定外，均为</w:t>
      </w:r>
      <w:r>
        <w:rPr>
          <w:rFonts w:hAnsi="宋体" w:cs="Arial"/>
          <w:color w:val="auto"/>
          <w:w w:val="135"/>
          <w:highlight w:val="none"/>
        </w:rPr>
        <w:t>“</w:t>
      </w:r>
      <w:r>
        <w:rPr>
          <w:rFonts w:hint="eastAsia" w:hAnsi="宋体"/>
          <w:color w:val="auto"/>
          <w:spacing w:val="-14"/>
          <w:highlight w:val="none"/>
        </w:rPr>
        <w:t>实</w:t>
      </w:r>
      <w:r>
        <w:rPr>
          <w:rFonts w:hint="eastAsia" w:hAnsi="宋体"/>
          <w:color w:val="auto"/>
          <w:highlight w:val="none"/>
        </w:rPr>
        <w:t>质性格式</w:t>
      </w:r>
      <w:r>
        <w:rPr>
          <w:rFonts w:hAnsi="宋体" w:cs="Arial"/>
          <w:color w:val="auto"/>
          <w:w w:val="135"/>
          <w:highlight w:val="none"/>
        </w:rPr>
        <w:t>”</w:t>
      </w:r>
      <w:r>
        <w:rPr>
          <w:rFonts w:hint="eastAsia" w:hAnsi="宋体"/>
          <w:color w:val="auto"/>
          <w:highlight w:val="none"/>
        </w:rPr>
        <w:t>文件。</w:t>
      </w:r>
    </w:p>
    <w:p>
      <w:pPr>
        <w:pStyle w:val="69"/>
        <w:numPr>
          <w:ilvl w:val="1"/>
          <w:numId w:val="10"/>
        </w:numPr>
        <w:tabs>
          <w:tab w:val="left" w:pos="1617"/>
        </w:tabs>
        <w:kinsoku w:val="0"/>
        <w:overflowPunct w:val="0"/>
        <w:spacing w:before="4"/>
        <w:ind w:hanging="721"/>
        <w:jc w:val="both"/>
        <w:rPr>
          <w:rFonts w:hAnsi="宋体"/>
          <w:color w:val="auto"/>
          <w:highlight w:val="none"/>
        </w:rPr>
      </w:pPr>
      <w:r>
        <w:rPr>
          <w:rFonts w:hint="eastAsia" w:hAnsi="宋体"/>
          <w:color w:val="auto"/>
          <w:highlight w:val="none"/>
        </w:rPr>
        <w:t>《资格审查要求》见下表：</w:t>
      </w:r>
    </w:p>
    <w:p>
      <w:pPr>
        <w:pStyle w:val="17"/>
        <w:kinsoku w:val="0"/>
        <w:overflowPunct w:val="0"/>
        <w:spacing w:before="1" w:after="1"/>
        <w:rPr>
          <w:rFonts w:hAnsi="宋体"/>
          <w:color w:val="auto"/>
          <w:sz w:val="12"/>
          <w:szCs w:val="12"/>
          <w:highlight w:val="none"/>
        </w:rPr>
      </w:pPr>
    </w:p>
    <w:p>
      <w:pPr>
        <w:tabs>
          <w:tab w:val="left" w:pos="900"/>
          <w:tab w:val="left" w:pos="1080"/>
        </w:tabs>
        <w:snapToGrid w:val="0"/>
        <w:spacing w:line="360" w:lineRule="auto"/>
        <w:ind w:left="1077" w:firstLine="2650" w:firstLineChars="1100"/>
        <w:rPr>
          <w:rFonts w:hAnsi="宋体"/>
          <w:b/>
          <w:color w:val="auto"/>
          <w:sz w:val="24"/>
          <w:highlight w:val="none"/>
        </w:rPr>
      </w:pPr>
      <w:r>
        <w:rPr>
          <w:rFonts w:hint="eastAsia" w:hAnsi="宋体"/>
          <w:b/>
          <w:color w:val="auto"/>
          <w:sz w:val="24"/>
          <w:highlight w:val="none"/>
        </w:rPr>
        <w:t>资格性检查要求</w:t>
      </w:r>
    </w:p>
    <w:tbl>
      <w:tblPr>
        <w:tblStyle w:val="44"/>
        <w:tblW w:w="99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4"/>
        <w:gridCol w:w="1887"/>
        <w:gridCol w:w="5204"/>
        <w:gridCol w:w="19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74" w:type="dxa"/>
            <w:vAlign w:val="center"/>
          </w:tcPr>
          <w:p>
            <w:pPr>
              <w:tabs>
                <w:tab w:val="left" w:pos="1080"/>
              </w:tabs>
              <w:snapToGrid w:val="0"/>
              <w:jc w:val="center"/>
              <w:rPr>
                <w:rFonts w:hAnsi="宋体"/>
                <w:b/>
                <w:color w:val="auto"/>
                <w:sz w:val="24"/>
                <w:highlight w:val="none"/>
              </w:rPr>
            </w:pPr>
            <w:r>
              <w:rPr>
                <w:rFonts w:hint="eastAsia" w:hAnsi="宋体"/>
                <w:b/>
                <w:color w:val="auto"/>
                <w:sz w:val="24"/>
                <w:highlight w:val="none"/>
              </w:rPr>
              <w:t>序号</w:t>
            </w:r>
          </w:p>
        </w:tc>
        <w:tc>
          <w:tcPr>
            <w:tcW w:w="1887" w:type="dxa"/>
            <w:vAlign w:val="center"/>
          </w:tcPr>
          <w:p>
            <w:pPr>
              <w:tabs>
                <w:tab w:val="left" w:pos="1080"/>
              </w:tabs>
              <w:snapToGrid w:val="0"/>
              <w:jc w:val="center"/>
              <w:rPr>
                <w:rFonts w:hAnsi="宋体"/>
                <w:b/>
                <w:color w:val="auto"/>
                <w:sz w:val="24"/>
                <w:highlight w:val="none"/>
              </w:rPr>
            </w:pPr>
            <w:r>
              <w:rPr>
                <w:rFonts w:hint="eastAsia" w:hAnsi="宋体"/>
                <w:b/>
                <w:color w:val="auto"/>
                <w:sz w:val="24"/>
                <w:highlight w:val="none"/>
              </w:rPr>
              <w:t>检查因素</w:t>
            </w:r>
          </w:p>
        </w:tc>
        <w:tc>
          <w:tcPr>
            <w:tcW w:w="5204" w:type="dxa"/>
            <w:vAlign w:val="center"/>
          </w:tcPr>
          <w:p>
            <w:pPr>
              <w:tabs>
                <w:tab w:val="left" w:pos="1080"/>
              </w:tabs>
              <w:snapToGrid w:val="0"/>
              <w:jc w:val="center"/>
              <w:rPr>
                <w:rFonts w:hAnsi="宋体"/>
                <w:b/>
                <w:color w:val="auto"/>
                <w:sz w:val="24"/>
                <w:highlight w:val="none"/>
              </w:rPr>
            </w:pPr>
            <w:r>
              <w:rPr>
                <w:rFonts w:hint="eastAsia" w:hAnsi="宋体"/>
                <w:b/>
                <w:color w:val="auto"/>
                <w:sz w:val="24"/>
                <w:highlight w:val="none"/>
              </w:rPr>
              <w:t>检查内容</w:t>
            </w:r>
          </w:p>
        </w:tc>
        <w:tc>
          <w:tcPr>
            <w:tcW w:w="1944" w:type="dxa"/>
            <w:vAlign w:val="center"/>
          </w:tcPr>
          <w:p>
            <w:pPr>
              <w:tabs>
                <w:tab w:val="left" w:pos="1080"/>
              </w:tabs>
              <w:snapToGrid w:val="0"/>
              <w:jc w:val="center"/>
              <w:rPr>
                <w:rFonts w:hAnsi="宋体"/>
                <w:b/>
                <w:color w:val="auto"/>
                <w:sz w:val="24"/>
                <w:highlight w:val="none"/>
              </w:rPr>
            </w:pPr>
            <w:r>
              <w:rPr>
                <w:rFonts w:hint="eastAsia" w:hAnsi="宋体"/>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1</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满足《中华人民共和国政府采购法》第二十二条规定及法律法规的其他规定</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具体规定见第一章《采购邀请》</w:t>
            </w:r>
          </w:p>
        </w:tc>
        <w:tc>
          <w:tcPr>
            <w:tcW w:w="1944" w:type="dxa"/>
            <w:vAlign w:val="center"/>
          </w:tcPr>
          <w:p>
            <w:pPr>
              <w:tabs>
                <w:tab w:val="left" w:pos="1080"/>
              </w:tabs>
              <w:snapToGrid w:val="0"/>
              <w:rPr>
                <w:rFonts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1-1</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营业执照等证明文件</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供应商为企业（包括合伙企业）的，应提供有效的</w:t>
            </w:r>
            <w:r>
              <w:rPr>
                <w:rFonts w:hAnsi="宋体"/>
                <w:color w:val="auto"/>
                <w:sz w:val="24"/>
                <w:highlight w:val="none"/>
              </w:rPr>
              <w:t>“</w:t>
            </w:r>
            <w:r>
              <w:rPr>
                <w:rFonts w:hint="eastAsia" w:hAnsi="宋体"/>
                <w:color w:val="auto"/>
                <w:sz w:val="24"/>
                <w:highlight w:val="none"/>
              </w:rPr>
              <w:t>营业执照</w:t>
            </w:r>
            <w:r>
              <w:rPr>
                <w:rFonts w:hAnsi="宋体"/>
                <w:color w:val="auto"/>
                <w:sz w:val="24"/>
                <w:highlight w:val="none"/>
              </w:rPr>
              <w:t>”</w:t>
            </w:r>
            <w:r>
              <w:rPr>
                <w:rFonts w:hint="eastAsia" w:hAnsi="宋体"/>
                <w:color w:val="auto"/>
                <w:sz w:val="24"/>
                <w:highlight w:val="none"/>
              </w:rPr>
              <w:t>；</w:t>
            </w:r>
          </w:p>
          <w:p>
            <w:pPr>
              <w:tabs>
                <w:tab w:val="left" w:pos="1080"/>
              </w:tabs>
              <w:snapToGrid w:val="0"/>
              <w:rPr>
                <w:rFonts w:hAnsi="宋体"/>
                <w:color w:val="auto"/>
                <w:sz w:val="24"/>
                <w:highlight w:val="none"/>
              </w:rPr>
            </w:pPr>
            <w:r>
              <w:rPr>
                <w:rFonts w:hint="eastAsia" w:hAnsi="宋体"/>
                <w:color w:val="auto"/>
                <w:sz w:val="24"/>
                <w:highlight w:val="none"/>
              </w:rPr>
              <w:t>供应商为事业单位的，应提供有效的</w:t>
            </w:r>
            <w:r>
              <w:rPr>
                <w:rFonts w:hAnsi="宋体"/>
                <w:color w:val="auto"/>
                <w:sz w:val="24"/>
                <w:highlight w:val="none"/>
              </w:rPr>
              <w:t>“</w:t>
            </w:r>
            <w:r>
              <w:rPr>
                <w:rFonts w:hint="eastAsia" w:hAnsi="宋体"/>
                <w:color w:val="auto"/>
                <w:sz w:val="24"/>
                <w:highlight w:val="none"/>
              </w:rPr>
              <w:t>事业单位法人证书</w:t>
            </w:r>
            <w:r>
              <w:rPr>
                <w:rFonts w:hAnsi="宋体"/>
                <w:color w:val="auto"/>
                <w:sz w:val="24"/>
                <w:highlight w:val="none"/>
              </w:rPr>
              <w:t>”</w:t>
            </w:r>
            <w:r>
              <w:rPr>
                <w:rFonts w:hint="eastAsia" w:hAnsi="宋体"/>
                <w:color w:val="auto"/>
                <w:sz w:val="24"/>
                <w:highlight w:val="none"/>
              </w:rPr>
              <w:t>；</w:t>
            </w:r>
          </w:p>
          <w:p>
            <w:pPr>
              <w:tabs>
                <w:tab w:val="left" w:pos="1080"/>
              </w:tabs>
              <w:snapToGrid w:val="0"/>
              <w:rPr>
                <w:rFonts w:hAnsi="宋体"/>
                <w:color w:val="auto"/>
                <w:sz w:val="24"/>
                <w:highlight w:val="none"/>
              </w:rPr>
            </w:pPr>
            <w:r>
              <w:rPr>
                <w:rFonts w:hint="eastAsia" w:hAnsi="宋体"/>
                <w:color w:val="auto"/>
                <w:sz w:val="24"/>
                <w:highlight w:val="none"/>
              </w:rPr>
              <w:t>供应商是非企业机构的，应提供有效的“执业许可证”、“登记证书”等证明文件；</w:t>
            </w:r>
          </w:p>
          <w:p>
            <w:pPr>
              <w:tabs>
                <w:tab w:val="left" w:pos="1080"/>
              </w:tabs>
              <w:snapToGrid w:val="0"/>
              <w:rPr>
                <w:rFonts w:hAnsi="宋体"/>
                <w:color w:val="auto"/>
                <w:sz w:val="24"/>
                <w:highlight w:val="none"/>
              </w:rPr>
            </w:pPr>
            <w:r>
              <w:rPr>
                <w:rFonts w:hint="eastAsia" w:hAnsi="宋体"/>
                <w:color w:val="auto"/>
                <w:sz w:val="24"/>
                <w:highlight w:val="none"/>
              </w:rPr>
              <w:t>供应商是个体工商户的，应提供有效的</w:t>
            </w:r>
            <w:r>
              <w:rPr>
                <w:rFonts w:hAnsi="宋体"/>
                <w:color w:val="auto"/>
                <w:sz w:val="24"/>
                <w:highlight w:val="none"/>
              </w:rPr>
              <w:t>“</w:t>
            </w:r>
            <w:r>
              <w:rPr>
                <w:rFonts w:hint="eastAsia" w:hAnsi="宋体"/>
                <w:color w:val="auto"/>
                <w:sz w:val="24"/>
                <w:highlight w:val="none"/>
              </w:rPr>
              <w:t>个体工商户营业执照</w:t>
            </w:r>
            <w:r>
              <w:rPr>
                <w:rFonts w:hAnsi="宋体"/>
                <w:color w:val="auto"/>
                <w:sz w:val="24"/>
                <w:highlight w:val="none"/>
              </w:rPr>
              <w:t>”</w:t>
            </w:r>
            <w:r>
              <w:rPr>
                <w:rFonts w:hint="eastAsia" w:hAnsi="宋体"/>
                <w:color w:val="auto"/>
                <w:sz w:val="24"/>
                <w:highlight w:val="none"/>
              </w:rPr>
              <w:t>；</w:t>
            </w:r>
          </w:p>
          <w:p>
            <w:pPr>
              <w:tabs>
                <w:tab w:val="left" w:pos="1080"/>
              </w:tabs>
              <w:snapToGrid w:val="0"/>
              <w:rPr>
                <w:rFonts w:hAnsi="宋体"/>
                <w:color w:val="auto"/>
                <w:sz w:val="24"/>
                <w:highlight w:val="none"/>
              </w:rPr>
            </w:pPr>
            <w:r>
              <w:rPr>
                <w:rFonts w:hint="eastAsia" w:hAnsi="宋体"/>
                <w:color w:val="auto"/>
                <w:sz w:val="24"/>
                <w:highlight w:val="none"/>
              </w:rPr>
              <w:t>供应商是自然人的，应提供有效的自然人身份证明。</w:t>
            </w:r>
          </w:p>
        </w:tc>
        <w:tc>
          <w:tcPr>
            <w:tcW w:w="1944" w:type="dxa"/>
            <w:vAlign w:val="center"/>
          </w:tcPr>
          <w:p>
            <w:pPr>
              <w:tabs>
                <w:tab w:val="left" w:pos="1080"/>
              </w:tabs>
              <w:snapToGrid w:val="0"/>
              <w:rPr>
                <w:rFonts w:hAnsi="宋体"/>
                <w:color w:val="auto"/>
                <w:sz w:val="24"/>
                <w:highlight w:val="none"/>
              </w:rPr>
            </w:pPr>
            <w:r>
              <w:rPr>
                <w:rFonts w:hint="eastAsia" w:hAnsi="宋体"/>
                <w:color w:val="auto"/>
                <w:sz w:val="24"/>
                <w:highlight w:val="none"/>
              </w:rPr>
              <w:t>提供证明文件的复印件加盖公章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1-2</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供应商资格声明书</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提供了符合竞争性磋商文件要求的《供应商资格声明书》。</w:t>
            </w:r>
          </w:p>
        </w:tc>
        <w:tc>
          <w:tcPr>
            <w:tcW w:w="1944" w:type="dxa"/>
            <w:vAlign w:val="center"/>
          </w:tcPr>
          <w:p>
            <w:pPr>
              <w:tabs>
                <w:tab w:val="left" w:pos="1080"/>
              </w:tabs>
              <w:snapToGrid w:val="0"/>
              <w:rPr>
                <w:rFonts w:hAnsi="宋体"/>
                <w:color w:val="auto"/>
                <w:sz w:val="24"/>
                <w:highlight w:val="none"/>
              </w:rPr>
            </w:pPr>
            <w:r>
              <w:rPr>
                <w:rFonts w:hint="eastAsia" w:hAnsi="宋体"/>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1-3</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供应商信用记录</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查询渠道：信用中国网站和中国政府采购网（</w:t>
            </w:r>
            <w:r>
              <w:rPr>
                <w:rFonts w:hAnsi="宋体"/>
                <w:color w:val="auto"/>
                <w:highlight w:val="none"/>
              </w:rPr>
              <w:t>www.creditchina.gov.cn</w:t>
            </w:r>
            <w:r>
              <w:rPr>
                <w:rFonts w:hint="eastAsia" w:hAnsi="宋体"/>
                <w:color w:val="auto"/>
                <w:sz w:val="24"/>
                <w:highlight w:val="none"/>
              </w:rPr>
              <w:t>、</w:t>
            </w:r>
            <w:r>
              <w:rPr>
                <w:rFonts w:hAnsi="宋体"/>
                <w:color w:val="auto"/>
                <w:highlight w:val="none"/>
              </w:rPr>
              <w:t>www.ccgp.gov.cn</w:t>
            </w:r>
            <w:r>
              <w:rPr>
                <w:rFonts w:hint="eastAsia" w:hAnsi="宋体"/>
                <w:color w:val="auto"/>
                <w:sz w:val="24"/>
                <w:highlight w:val="none"/>
              </w:rPr>
              <w:t>）；</w:t>
            </w:r>
          </w:p>
          <w:p>
            <w:pPr>
              <w:tabs>
                <w:tab w:val="left" w:pos="900"/>
                <w:tab w:val="left" w:pos="1980"/>
              </w:tabs>
              <w:snapToGrid w:val="0"/>
              <w:rPr>
                <w:rFonts w:hAnsi="宋体"/>
                <w:color w:val="auto"/>
                <w:sz w:val="24"/>
                <w:highlight w:val="none"/>
              </w:rPr>
            </w:pPr>
            <w:r>
              <w:rPr>
                <w:rFonts w:hint="eastAsia" w:hAnsi="宋体"/>
                <w:color w:val="auto"/>
                <w:sz w:val="24"/>
                <w:highlight w:val="none"/>
              </w:rPr>
              <w:t>截止时点：</w:t>
            </w:r>
            <w:r>
              <w:rPr>
                <w:rFonts w:hint="eastAsia" w:hAnsi="宋体"/>
                <w:color w:val="auto"/>
                <w:sz w:val="24"/>
                <w:szCs w:val="20"/>
                <w:highlight w:val="none"/>
              </w:rPr>
              <w:t>首次响应文件提交截止时间以后</w:t>
            </w:r>
            <w:r>
              <w:rPr>
                <w:rFonts w:hint="eastAsia" w:hAnsi="宋体"/>
                <w:color w:val="auto"/>
                <w:sz w:val="24"/>
                <w:highlight w:val="none"/>
              </w:rPr>
              <w:t>、资格性检查阶段采购人或采购代理机构的实际查询时间为准；</w:t>
            </w:r>
          </w:p>
          <w:p>
            <w:pPr>
              <w:tabs>
                <w:tab w:val="left" w:pos="900"/>
                <w:tab w:val="left" w:pos="1980"/>
              </w:tabs>
              <w:snapToGrid w:val="0"/>
              <w:rPr>
                <w:rFonts w:hAnsi="宋体"/>
                <w:color w:val="auto"/>
                <w:sz w:val="24"/>
                <w:highlight w:val="none"/>
              </w:rPr>
            </w:pPr>
            <w:r>
              <w:rPr>
                <w:rFonts w:hint="eastAsia" w:hAnsi="宋体"/>
                <w:color w:val="auto"/>
                <w:sz w:val="24"/>
                <w:highlight w:val="none"/>
              </w:rPr>
              <w:t>信用信息查询记录和证据留存具体方式：查询结果网页打印页作为查询记录和证据，与其他竞争性磋商文件一并保存；</w:t>
            </w:r>
          </w:p>
          <w:p>
            <w:pPr>
              <w:tabs>
                <w:tab w:val="left" w:pos="1080"/>
              </w:tabs>
              <w:snapToGrid w:val="0"/>
              <w:rPr>
                <w:rFonts w:hAnsi="宋体"/>
                <w:color w:val="auto"/>
                <w:sz w:val="24"/>
                <w:highlight w:val="none"/>
              </w:rPr>
            </w:pPr>
            <w:r>
              <w:rPr>
                <w:rFonts w:hint="eastAsia" w:hAnsi="宋体"/>
                <w:color w:val="auto"/>
                <w:sz w:val="24"/>
                <w:highlight w:val="none"/>
              </w:rPr>
              <w:t>信用信息的使用原则：经认定的被列入失信被执行人、重大税收违法案件当事人名单、政府采购严重违法失信行为记录名单的供应商，其</w:t>
            </w:r>
            <w:r>
              <w:rPr>
                <w:rFonts w:hint="eastAsia" w:hAnsi="宋体"/>
                <w:b/>
                <w:color w:val="auto"/>
                <w:sz w:val="24"/>
                <w:highlight w:val="none"/>
              </w:rPr>
              <w:t>响应无效</w:t>
            </w:r>
            <w:r>
              <w:rPr>
                <w:rFonts w:hint="eastAsia" w:hAnsi="宋体"/>
                <w:color w:val="auto"/>
                <w:sz w:val="24"/>
                <w:highlight w:val="none"/>
              </w:rPr>
              <w:t>。联合体形式磋商的，联合体成员存在不良信用记录，视同联合体存在不良信用记录。</w:t>
            </w:r>
          </w:p>
        </w:tc>
        <w:tc>
          <w:tcPr>
            <w:tcW w:w="1944" w:type="dxa"/>
            <w:vAlign w:val="center"/>
          </w:tcPr>
          <w:p>
            <w:pPr>
              <w:tabs>
                <w:tab w:val="left" w:pos="1080"/>
              </w:tabs>
              <w:snapToGrid w:val="0"/>
              <w:rPr>
                <w:rFonts w:hAnsi="宋体"/>
                <w:color w:val="auto"/>
                <w:sz w:val="24"/>
                <w:highlight w:val="none"/>
              </w:rPr>
            </w:pPr>
            <w:r>
              <w:rPr>
                <w:rFonts w:hint="eastAsia" w:hAnsi="宋体"/>
                <w:color w:val="auto"/>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1-4</w:t>
            </w:r>
          </w:p>
          <w:p>
            <w:pPr>
              <w:tabs>
                <w:tab w:val="left" w:pos="1080"/>
              </w:tabs>
              <w:snapToGrid w:val="0"/>
              <w:jc w:val="center"/>
              <w:rPr>
                <w:rFonts w:hAnsi="宋体"/>
                <w:color w:val="auto"/>
                <w:sz w:val="24"/>
                <w:highlight w:val="none"/>
              </w:rPr>
            </w:pPr>
          </w:p>
        </w:tc>
        <w:tc>
          <w:tcPr>
            <w:tcW w:w="1887" w:type="dxa"/>
            <w:vAlign w:val="center"/>
          </w:tcPr>
          <w:p>
            <w:pPr>
              <w:widowControl/>
              <w:rPr>
                <w:color w:val="auto"/>
                <w:highlight w:val="none"/>
              </w:rPr>
            </w:pPr>
            <w:r>
              <w:rPr>
                <w:rFonts w:hint="eastAsia" w:hAnsi="宋体"/>
                <w:color w:val="auto"/>
                <w:sz w:val="24"/>
                <w:szCs w:val="24"/>
                <w:highlight w:val="none"/>
                <w:lang w:bidi="ar"/>
              </w:rPr>
              <w:t xml:space="preserve">法律、行政法 </w:t>
            </w:r>
          </w:p>
          <w:p>
            <w:pPr>
              <w:widowControl/>
              <w:rPr>
                <w:color w:val="auto"/>
                <w:highlight w:val="none"/>
              </w:rPr>
            </w:pPr>
            <w:r>
              <w:rPr>
                <w:rFonts w:hint="eastAsia" w:hAnsi="宋体"/>
                <w:color w:val="auto"/>
                <w:sz w:val="24"/>
                <w:szCs w:val="24"/>
                <w:highlight w:val="none"/>
                <w:lang w:bidi="ar"/>
              </w:rPr>
              <w:t xml:space="preserve">规规定的其他 </w:t>
            </w:r>
          </w:p>
          <w:p>
            <w:pPr>
              <w:widowControl/>
              <w:rPr>
                <w:rFonts w:hAnsi="宋体"/>
                <w:color w:val="auto"/>
                <w:sz w:val="24"/>
                <w:highlight w:val="none"/>
              </w:rPr>
            </w:pPr>
            <w:r>
              <w:rPr>
                <w:rFonts w:hint="eastAsia" w:hAnsi="宋体"/>
                <w:color w:val="auto"/>
                <w:sz w:val="24"/>
                <w:szCs w:val="24"/>
                <w:highlight w:val="none"/>
                <w:lang w:bidi="ar"/>
              </w:rPr>
              <w:t xml:space="preserve">条件 </w:t>
            </w:r>
          </w:p>
        </w:tc>
        <w:tc>
          <w:tcPr>
            <w:tcW w:w="5204" w:type="dxa"/>
            <w:vAlign w:val="center"/>
          </w:tcPr>
          <w:p>
            <w:pPr>
              <w:widowControl/>
              <w:rPr>
                <w:color w:val="auto"/>
                <w:highlight w:val="none"/>
              </w:rPr>
            </w:pPr>
            <w:r>
              <w:rPr>
                <w:rFonts w:hint="eastAsia" w:hAnsi="宋体"/>
                <w:color w:val="auto"/>
                <w:sz w:val="24"/>
                <w:szCs w:val="24"/>
                <w:highlight w:val="none"/>
                <w:lang w:bidi="ar"/>
              </w:rPr>
              <w:t xml:space="preserve">法律、行政法规规定的其他条件 </w:t>
            </w:r>
          </w:p>
          <w:p>
            <w:pPr>
              <w:tabs>
                <w:tab w:val="left" w:pos="1080"/>
              </w:tabs>
              <w:snapToGrid w:val="0"/>
              <w:rPr>
                <w:rFonts w:hAnsi="宋体"/>
                <w:color w:val="auto"/>
                <w:sz w:val="24"/>
                <w:highlight w:val="none"/>
              </w:rPr>
            </w:pPr>
          </w:p>
        </w:tc>
        <w:tc>
          <w:tcPr>
            <w:tcW w:w="1944" w:type="dxa"/>
            <w:vAlign w:val="center"/>
          </w:tcPr>
          <w:p>
            <w:pPr>
              <w:tabs>
                <w:tab w:val="left" w:pos="1080"/>
              </w:tabs>
              <w:snapToGrid w:val="0"/>
              <w:rPr>
                <w:rFonts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2</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落实政府采购政策需满足的资格要求</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具体要求见第一章《采购邀请》</w:t>
            </w:r>
          </w:p>
        </w:tc>
        <w:tc>
          <w:tcPr>
            <w:tcW w:w="1944" w:type="dxa"/>
            <w:vAlign w:val="center"/>
          </w:tcPr>
          <w:p>
            <w:pPr>
              <w:tabs>
                <w:tab w:val="left" w:pos="1080"/>
              </w:tabs>
              <w:snapToGrid w:val="0"/>
              <w:rPr>
                <w:rFonts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widowControl/>
              <w:ind w:firstLine="240" w:firstLineChars="100"/>
              <w:rPr>
                <w:rFonts w:hAnsi="宋体"/>
                <w:color w:val="auto"/>
                <w:sz w:val="24"/>
                <w:highlight w:val="none"/>
              </w:rPr>
            </w:pPr>
            <w:r>
              <w:rPr>
                <w:rFonts w:hint="eastAsia" w:hAnsi="宋体"/>
                <w:color w:val="auto"/>
                <w:sz w:val="24"/>
                <w:highlight w:val="none"/>
              </w:rPr>
              <w:t>2-1</w:t>
            </w:r>
          </w:p>
        </w:tc>
        <w:tc>
          <w:tcPr>
            <w:tcW w:w="1887" w:type="dxa"/>
            <w:vAlign w:val="center"/>
          </w:tcPr>
          <w:p>
            <w:pPr>
              <w:widowControl/>
              <w:rPr>
                <w:rFonts w:hAnsi="宋体"/>
                <w:color w:val="auto"/>
                <w:sz w:val="24"/>
                <w:highlight w:val="none"/>
              </w:rPr>
            </w:pPr>
            <w:r>
              <w:rPr>
                <w:rFonts w:hint="eastAsia" w:hAnsi="宋体"/>
                <w:color w:val="auto"/>
                <w:sz w:val="24"/>
                <w:szCs w:val="24"/>
                <w:highlight w:val="none"/>
                <w:lang w:bidi="ar"/>
              </w:rPr>
              <w:t>中小企业政策</w:t>
            </w:r>
          </w:p>
        </w:tc>
        <w:tc>
          <w:tcPr>
            <w:tcW w:w="5204" w:type="dxa"/>
            <w:vAlign w:val="center"/>
          </w:tcPr>
          <w:p>
            <w:pPr>
              <w:widowControl/>
              <w:rPr>
                <w:rFonts w:hAnsi="宋体"/>
                <w:color w:val="auto"/>
                <w:sz w:val="24"/>
                <w:highlight w:val="none"/>
              </w:rPr>
            </w:pPr>
            <w:r>
              <w:rPr>
                <w:rFonts w:hint="eastAsia" w:hAnsi="宋体"/>
                <w:color w:val="auto"/>
                <w:sz w:val="24"/>
                <w:szCs w:val="24"/>
                <w:highlight w:val="none"/>
                <w:lang w:bidi="ar"/>
              </w:rPr>
              <w:t>具体要求见第一章《采购邀请》</w:t>
            </w:r>
          </w:p>
        </w:tc>
        <w:tc>
          <w:tcPr>
            <w:tcW w:w="1944" w:type="dxa"/>
            <w:vAlign w:val="center"/>
          </w:tcPr>
          <w:p>
            <w:pPr>
              <w:tabs>
                <w:tab w:val="left" w:pos="1080"/>
              </w:tabs>
              <w:snapToGrid w:val="0"/>
              <w:rPr>
                <w:rFonts w:hAnsi="宋体"/>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2-</w:t>
            </w:r>
            <w:r>
              <w:rPr>
                <w:rFonts w:hint="eastAsia" w:hAnsi="宋体"/>
                <w:color w:val="auto"/>
                <w:sz w:val="24"/>
                <w:highlight w:val="none"/>
              </w:rPr>
              <w:t>1-1</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中小企业声明函</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 xml:space="preserve">当本项目（包）涉及预留份额专门面向中小 </w:t>
            </w:r>
          </w:p>
          <w:p>
            <w:pPr>
              <w:tabs>
                <w:tab w:val="left" w:pos="1080"/>
              </w:tabs>
              <w:snapToGrid w:val="0"/>
              <w:rPr>
                <w:rFonts w:hAnsi="宋体"/>
                <w:color w:val="auto"/>
                <w:sz w:val="24"/>
                <w:highlight w:val="none"/>
              </w:rPr>
            </w:pPr>
            <w:r>
              <w:rPr>
                <w:rFonts w:hint="eastAsia" w:hAnsi="宋体"/>
                <w:color w:val="auto"/>
                <w:sz w:val="24"/>
                <w:highlight w:val="none"/>
              </w:rPr>
              <w:t xml:space="preserve">企业采购，ᨀ供如下资料： </w:t>
            </w:r>
          </w:p>
          <w:p>
            <w:pPr>
              <w:tabs>
                <w:tab w:val="left" w:pos="1080"/>
              </w:tabs>
              <w:snapToGrid w:val="0"/>
              <w:rPr>
                <w:rFonts w:hAnsi="宋体"/>
                <w:color w:val="auto"/>
                <w:sz w:val="24"/>
                <w:highlight w:val="none"/>
              </w:rPr>
            </w:pPr>
            <w:r>
              <w:rPr>
                <w:rFonts w:hAnsi="宋体"/>
                <w:color w:val="auto"/>
                <w:sz w:val="24"/>
                <w:highlight w:val="none"/>
              </w:rPr>
              <w:t>1</w:t>
            </w:r>
            <w:r>
              <w:rPr>
                <w:rFonts w:hint="eastAsia" w:hAnsi="宋体"/>
                <w:color w:val="auto"/>
                <w:sz w:val="24"/>
                <w:highlight w:val="none"/>
              </w:rPr>
              <w:t xml:space="preserve">、供应商单独响应的，应ᨀ供《中小企业 </w:t>
            </w:r>
          </w:p>
          <w:p>
            <w:pPr>
              <w:tabs>
                <w:tab w:val="left" w:pos="1080"/>
              </w:tabs>
              <w:snapToGrid w:val="0"/>
              <w:rPr>
                <w:rFonts w:hAnsi="宋体"/>
                <w:color w:val="auto"/>
                <w:sz w:val="24"/>
                <w:highlight w:val="none"/>
              </w:rPr>
            </w:pPr>
            <w:r>
              <w:rPr>
                <w:rFonts w:hint="eastAsia" w:hAnsi="宋体"/>
                <w:color w:val="auto"/>
                <w:sz w:val="24"/>
                <w:highlight w:val="none"/>
              </w:rPr>
              <w:t xml:space="preserve">声明函》或《残疾人福利性单位声明函》或 </w:t>
            </w:r>
          </w:p>
          <w:p>
            <w:pPr>
              <w:tabs>
                <w:tab w:val="left" w:pos="1080"/>
              </w:tabs>
              <w:snapToGrid w:val="0"/>
              <w:rPr>
                <w:rFonts w:hAnsi="宋体"/>
                <w:color w:val="auto"/>
                <w:sz w:val="24"/>
                <w:highlight w:val="none"/>
              </w:rPr>
            </w:pPr>
            <w:r>
              <w:rPr>
                <w:rFonts w:hint="eastAsia" w:hAnsi="宋体"/>
                <w:color w:val="auto"/>
                <w:sz w:val="24"/>
                <w:highlight w:val="none"/>
              </w:rPr>
              <w:t xml:space="preserve">由省级以上监狱管理局、戒毒管理局（含新 </w:t>
            </w:r>
          </w:p>
          <w:p>
            <w:pPr>
              <w:tabs>
                <w:tab w:val="left" w:pos="1080"/>
              </w:tabs>
              <w:snapToGrid w:val="0"/>
              <w:rPr>
                <w:rFonts w:hAnsi="宋体"/>
                <w:color w:val="auto"/>
                <w:sz w:val="24"/>
                <w:highlight w:val="none"/>
              </w:rPr>
            </w:pPr>
            <w:r>
              <w:rPr>
                <w:rFonts w:hint="eastAsia" w:hAnsi="宋体"/>
                <w:color w:val="auto"/>
                <w:sz w:val="24"/>
                <w:highlight w:val="none"/>
              </w:rPr>
              <w:t xml:space="preserve">疆生产建设兵团）出具的属于监狱企业的证 </w:t>
            </w:r>
          </w:p>
          <w:p>
            <w:pPr>
              <w:tabs>
                <w:tab w:val="left" w:pos="1080"/>
              </w:tabs>
              <w:snapToGrid w:val="0"/>
              <w:rPr>
                <w:rFonts w:hAnsi="宋体"/>
                <w:color w:val="auto"/>
                <w:sz w:val="24"/>
                <w:highlight w:val="none"/>
              </w:rPr>
            </w:pPr>
            <w:r>
              <w:rPr>
                <w:rFonts w:hint="eastAsia" w:hAnsi="宋体"/>
                <w:color w:val="auto"/>
                <w:sz w:val="24"/>
                <w:highlight w:val="none"/>
              </w:rPr>
              <w:t xml:space="preserve">明文件。 </w:t>
            </w:r>
          </w:p>
          <w:p>
            <w:pPr>
              <w:tabs>
                <w:tab w:val="left" w:pos="1080"/>
              </w:tabs>
              <w:snapToGrid w:val="0"/>
              <w:rPr>
                <w:rFonts w:hAnsi="宋体"/>
                <w:color w:val="auto"/>
                <w:sz w:val="24"/>
                <w:highlight w:val="none"/>
              </w:rPr>
            </w:pPr>
            <w:r>
              <w:rPr>
                <w:rFonts w:hAnsi="宋体"/>
                <w:color w:val="auto"/>
                <w:sz w:val="24"/>
                <w:highlight w:val="none"/>
              </w:rPr>
              <w:t>2</w:t>
            </w:r>
            <w:r>
              <w:rPr>
                <w:rFonts w:hint="eastAsia" w:hAnsi="宋体"/>
                <w:color w:val="auto"/>
                <w:sz w:val="24"/>
                <w:highlight w:val="none"/>
              </w:rPr>
              <w:t xml:space="preserve">、如磋商文件要求以联合体形式参加或者 </w:t>
            </w:r>
          </w:p>
          <w:p>
            <w:pPr>
              <w:tabs>
                <w:tab w:val="left" w:pos="1080"/>
              </w:tabs>
              <w:snapToGrid w:val="0"/>
              <w:rPr>
                <w:rFonts w:hAnsi="宋体"/>
                <w:color w:val="auto"/>
                <w:sz w:val="24"/>
                <w:highlight w:val="none"/>
              </w:rPr>
            </w:pPr>
            <w:r>
              <w:rPr>
                <w:rFonts w:hint="eastAsia" w:hAnsi="宋体"/>
                <w:color w:val="auto"/>
                <w:sz w:val="24"/>
                <w:highlight w:val="none"/>
              </w:rPr>
              <w:t xml:space="preserve">要求合同分包的，且供应商为联合体或拟进 </w:t>
            </w:r>
          </w:p>
          <w:p>
            <w:pPr>
              <w:tabs>
                <w:tab w:val="left" w:pos="1080"/>
              </w:tabs>
              <w:snapToGrid w:val="0"/>
              <w:rPr>
                <w:rFonts w:hAnsi="宋体"/>
                <w:color w:val="auto"/>
                <w:sz w:val="24"/>
                <w:highlight w:val="none"/>
              </w:rPr>
            </w:pPr>
            <w:r>
              <w:rPr>
                <w:rFonts w:hint="eastAsia" w:hAnsi="宋体"/>
                <w:color w:val="auto"/>
                <w:sz w:val="24"/>
                <w:highlight w:val="none"/>
              </w:rPr>
              <w:t xml:space="preserve">行合同分包的，则联合体中的中小企业、签 </w:t>
            </w:r>
          </w:p>
          <w:p>
            <w:pPr>
              <w:tabs>
                <w:tab w:val="left" w:pos="1080"/>
              </w:tabs>
              <w:snapToGrid w:val="0"/>
              <w:rPr>
                <w:rFonts w:hAnsi="宋体"/>
                <w:color w:val="auto"/>
                <w:sz w:val="24"/>
                <w:highlight w:val="none"/>
              </w:rPr>
            </w:pPr>
            <w:r>
              <w:rPr>
                <w:rFonts w:hint="eastAsia" w:hAnsi="宋体"/>
                <w:color w:val="auto"/>
                <w:sz w:val="24"/>
                <w:highlight w:val="none"/>
              </w:rPr>
              <w:t xml:space="preserve">订分包意向协议的中小企业具体情况须在 </w:t>
            </w:r>
          </w:p>
          <w:p>
            <w:pPr>
              <w:tabs>
                <w:tab w:val="left" w:pos="1080"/>
              </w:tabs>
              <w:snapToGrid w:val="0"/>
              <w:rPr>
                <w:rFonts w:hAnsi="宋体"/>
                <w:color w:val="auto"/>
                <w:sz w:val="24"/>
                <w:highlight w:val="none"/>
              </w:rPr>
            </w:pPr>
            <w:r>
              <w:rPr>
                <w:rFonts w:hint="eastAsia" w:hAnsi="宋体"/>
                <w:color w:val="auto"/>
                <w:sz w:val="24"/>
                <w:highlight w:val="none"/>
              </w:rPr>
              <w:t xml:space="preserve">《中小企业声明函》或《残疾人福利性单位 </w:t>
            </w:r>
          </w:p>
          <w:p>
            <w:pPr>
              <w:tabs>
                <w:tab w:val="left" w:pos="1080"/>
              </w:tabs>
              <w:snapToGrid w:val="0"/>
              <w:rPr>
                <w:rFonts w:hAnsi="宋体"/>
                <w:color w:val="auto"/>
                <w:sz w:val="24"/>
                <w:highlight w:val="none"/>
              </w:rPr>
            </w:pPr>
            <w:r>
              <w:rPr>
                <w:rFonts w:hint="eastAsia" w:hAnsi="宋体"/>
                <w:color w:val="auto"/>
                <w:sz w:val="24"/>
                <w:highlight w:val="none"/>
              </w:rPr>
              <w:t xml:space="preserve">声明函》或由省级以上监狱管理局、戒毒管 </w:t>
            </w:r>
          </w:p>
          <w:p>
            <w:pPr>
              <w:tabs>
                <w:tab w:val="left" w:pos="1080"/>
              </w:tabs>
              <w:snapToGrid w:val="0"/>
              <w:rPr>
                <w:rFonts w:hAnsi="宋体"/>
                <w:color w:val="auto"/>
                <w:sz w:val="24"/>
                <w:highlight w:val="none"/>
              </w:rPr>
            </w:pPr>
            <w:r>
              <w:rPr>
                <w:rFonts w:hint="eastAsia" w:hAnsi="宋体"/>
                <w:color w:val="auto"/>
                <w:sz w:val="24"/>
                <w:highlight w:val="none"/>
              </w:rPr>
              <w:t xml:space="preserve">理局（含新疆生产建设兵团）出具的属于监 </w:t>
            </w:r>
          </w:p>
          <w:p>
            <w:pPr>
              <w:tabs>
                <w:tab w:val="left" w:pos="1080"/>
              </w:tabs>
              <w:snapToGrid w:val="0"/>
              <w:rPr>
                <w:rFonts w:hAnsi="宋体"/>
                <w:color w:val="auto"/>
                <w:sz w:val="24"/>
                <w:highlight w:val="none"/>
              </w:rPr>
            </w:pPr>
            <w:r>
              <w:rPr>
                <w:rFonts w:hint="eastAsia" w:hAnsi="宋体"/>
                <w:color w:val="auto"/>
                <w:sz w:val="24"/>
                <w:highlight w:val="none"/>
              </w:rPr>
              <w:t xml:space="preserve">狱企业的证明文件中如实填报，且满足采购 </w:t>
            </w:r>
          </w:p>
          <w:p>
            <w:pPr>
              <w:tabs>
                <w:tab w:val="left" w:pos="1080"/>
              </w:tabs>
              <w:snapToGrid w:val="0"/>
              <w:rPr>
                <w:rFonts w:hAnsi="宋体"/>
                <w:color w:val="auto"/>
                <w:sz w:val="24"/>
                <w:highlight w:val="none"/>
              </w:rPr>
            </w:pPr>
            <w:r>
              <w:rPr>
                <w:rFonts w:hint="eastAsia" w:hAnsi="宋体"/>
                <w:color w:val="auto"/>
                <w:sz w:val="24"/>
                <w:highlight w:val="none"/>
              </w:rPr>
              <w:t xml:space="preserve">文件关于预留份额的要求。 </w:t>
            </w:r>
          </w:p>
        </w:tc>
        <w:tc>
          <w:tcPr>
            <w:tcW w:w="1944" w:type="dxa"/>
            <w:vAlign w:val="center"/>
          </w:tcPr>
          <w:p>
            <w:pPr>
              <w:tabs>
                <w:tab w:val="left" w:pos="1080"/>
              </w:tabs>
              <w:snapToGrid w:val="0"/>
              <w:rPr>
                <w:rFonts w:hAnsi="宋体"/>
                <w:color w:val="auto"/>
                <w:sz w:val="24"/>
                <w:highlight w:val="none"/>
              </w:rPr>
            </w:pPr>
            <w:r>
              <w:rPr>
                <w:rFonts w:hint="eastAsia" w:hAnsi="宋体"/>
                <w:color w:val="auto"/>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2-</w:t>
            </w:r>
            <w:r>
              <w:rPr>
                <w:rFonts w:hint="eastAsia" w:hAnsi="宋体"/>
                <w:color w:val="auto"/>
                <w:sz w:val="24"/>
                <w:highlight w:val="none"/>
              </w:rPr>
              <w:t>2</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其它落实政府采购政策的资格要求</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如有，见第一章《采购邀请》</w:t>
            </w:r>
          </w:p>
        </w:tc>
        <w:tc>
          <w:tcPr>
            <w:tcW w:w="1944" w:type="dxa"/>
            <w:vAlign w:val="center"/>
          </w:tcPr>
          <w:p>
            <w:pPr>
              <w:tabs>
                <w:tab w:val="left" w:pos="1080"/>
              </w:tabs>
              <w:snapToGrid w:val="0"/>
              <w:rPr>
                <w:rFonts w:hAnsi="宋体"/>
                <w:color w:val="auto"/>
                <w:sz w:val="24"/>
                <w:highlight w:val="none"/>
              </w:rPr>
            </w:pPr>
            <w:r>
              <w:rPr>
                <w:rFonts w:hint="eastAsia" w:hAnsi="宋体"/>
                <w:color w:val="auto"/>
                <w:sz w:val="24"/>
                <w:highlight w:val="none"/>
              </w:rPr>
              <w:t>提供证明文件的复印件加盖公章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74" w:type="dxa"/>
            <w:vAlign w:val="center"/>
          </w:tcPr>
          <w:p>
            <w:pPr>
              <w:tabs>
                <w:tab w:val="left" w:pos="1080"/>
              </w:tabs>
              <w:snapToGrid w:val="0"/>
              <w:jc w:val="center"/>
              <w:rPr>
                <w:rFonts w:hAnsi="宋体"/>
                <w:color w:val="auto"/>
                <w:sz w:val="24"/>
                <w:highlight w:val="none"/>
              </w:rPr>
            </w:pPr>
            <w:r>
              <w:rPr>
                <w:rFonts w:hAnsi="宋体"/>
                <w:color w:val="auto"/>
                <w:sz w:val="24"/>
                <w:highlight w:val="none"/>
              </w:rPr>
              <w:t>3</w:t>
            </w:r>
          </w:p>
        </w:tc>
        <w:tc>
          <w:tcPr>
            <w:tcW w:w="1887" w:type="dxa"/>
            <w:vAlign w:val="center"/>
          </w:tcPr>
          <w:p>
            <w:pPr>
              <w:tabs>
                <w:tab w:val="left" w:pos="1080"/>
              </w:tabs>
              <w:snapToGrid w:val="0"/>
              <w:rPr>
                <w:rFonts w:hAnsi="宋体"/>
                <w:color w:val="auto"/>
                <w:sz w:val="24"/>
                <w:highlight w:val="none"/>
              </w:rPr>
            </w:pPr>
            <w:r>
              <w:rPr>
                <w:rFonts w:hint="eastAsia" w:hAnsi="宋体"/>
                <w:color w:val="auto"/>
                <w:sz w:val="24"/>
                <w:highlight w:val="none"/>
              </w:rPr>
              <w:t>本项目的特定资格要求</w:t>
            </w:r>
          </w:p>
        </w:tc>
        <w:tc>
          <w:tcPr>
            <w:tcW w:w="5204" w:type="dxa"/>
            <w:vAlign w:val="center"/>
          </w:tcPr>
          <w:p>
            <w:pPr>
              <w:tabs>
                <w:tab w:val="left" w:pos="1080"/>
              </w:tabs>
              <w:snapToGrid w:val="0"/>
              <w:rPr>
                <w:rFonts w:hAnsi="宋体"/>
                <w:color w:val="auto"/>
                <w:sz w:val="24"/>
                <w:highlight w:val="none"/>
              </w:rPr>
            </w:pPr>
            <w:r>
              <w:rPr>
                <w:rFonts w:hint="eastAsia" w:hAnsi="宋体"/>
                <w:color w:val="auto"/>
                <w:sz w:val="24"/>
                <w:highlight w:val="none"/>
              </w:rPr>
              <w:t>如有，见第一章《采购邀请》</w:t>
            </w:r>
          </w:p>
        </w:tc>
        <w:tc>
          <w:tcPr>
            <w:tcW w:w="1944" w:type="dxa"/>
            <w:vAlign w:val="center"/>
          </w:tcPr>
          <w:p>
            <w:pPr>
              <w:tabs>
                <w:tab w:val="left" w:pos="1080"/>
              </w:tabs>
              <w:snapToGrid w:val="0"/>
              <w:rPr>
                <w:rFonts w:hAnsi="宋体"/>
                <w:color w:val="auto"/>
                <w:sz w:val="24"/>
                <w:highlight w:val="none"/>
              </w:rPr>
            </w:pPr>
          </w:p>
        </w:tc>
      </w:tr>
    </w:tbl>
    <w:p>
      <w:pPr>
        <w:tabs>
          <w:tab w:val="left" w:pos="900"/>
          <w:tab w:val="left" w:pos="1080"/>
        </w:tabs>
        <w:snapToGrid w:val="0"/>
        <w:spacing w:line="360" w:lineRule="auto"/>
        <w:rPr>
          <w:rFonts w:hAnsi="宋体"/>
          <w:b/>
          <w:color w:val="auto"/>
          <w:sz w:val="24"/>
          <w:highlight w:val="none"/>
        </w:rPr>
      </w:pPr>
    </w:p>
    <w:p>
      <w:pPr>
        <w:pStyle w:val="17"/>
        <w:kinsoku w:val="0"/>
        <w:overflowPunct w:val="0"/>
        <w:spacing w:before="6"/>
        <w:rPr>
          <w:rFonts w:hAnsi="宋体"/>
          <w:color w:val="auto"/>
          <w:sz w:val="5"/>
          <w:szCs w:val="5"/>
          <w:highlight w:val="none"/>
        </w:rPr>
      </w:pPr>
      <w:bookmarkStart w:id="75" w:name="_Hlt487972895"/>
      <w:bookmarkEnd w:id="75"/>
    </w:p>
    <w:p>
      <w:pPr>
        <w:pStyle w:val="17"/>
        <w:kinsoku w:val="0"/>
        <w:overflowPunct w:val="0"/>
        <w:spacing w:before="6"/>
        <w:rPr>
          <w:rFonts w:hAnsi="宋体"/>
          <w:color w:val="auto"/>
          <w:sz w:val="5"/>
          <w:szCs w:val="5"/>
          <w:highlight w:val="none"/>
        </w:rPr>
      </w:pPr>
    </w:p>
    <w:p>
      <w:pPr>
        <w:numPr>
          <w:ilvl w:val="1"/>
          <w:numId w:val="10"/>
        </w:numPr>
        <w:tabs>
          <w:tab w:val="left" w:pos="1080"/>
        </w:tabs>
        <w:autoSpaceDE/>
        <w:autoSpaceDN/>
        <w:adjustRightInd/>
        <w:snapToGrid w:val="0"/>
        <w:spacing w:line="360" w:lineRule="auto"/>
        <w:jc w:val="both"/>
        <w:rPr>
          <w:rFonts w:hAnsi="宋体"/>
          <w:color w:val="auto"/>
          <w:sz w:val="24"/>
          <w:highlight w:val="none"/>
        </w:rPr>
      </w:pPr>
      <w:r>
        <w:rPr>
          <w:rFonts w:hint="eastAsia" w:hAnsi="宋体"/>
          <w:color w:val="auto"/>
          <w:sz w:val="24"/>
          <w:highlight w:val="none"/>
        </w:rPr>
        <w:t>《符合性审查要求》见下表：</w:t>
      </w:r>
    </w:p>
    <w:p>
      <w:pPr>
        <w:widowControl/>
        <w:spacing w:line="360" w:lineRule="auto"/>
        <w:jc w:val="center"/>
        <w:rPr>
          <w:rFonts w:hAnsi="宋体"/>
          <w:b/>
          <w:color w:val="auto"/>
          <w:sz w:val="24"/>
          <w:highlight w:val="none"/>
        </w:rPr>
      </w:pPr>
      <w:r>
        <w:rPr>
          <w:rFonts w:hint="eastAsia" w:hAnsi="宋体"/>
          <w:b/>
          <w:color w:val="auto"/>
          <w:sz w:val="24"/>
          <w:highlight w:val="none"/>
        </w:rPr>
        <w:t>符合性审查要求</w:t>
      </w:r>
    </w:p>
    <w:tbl>
      <w:tblPr>
        <w:tblStyle w:val="44"/>
        <w:tblW w:w="10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741"/>
        <w:gridCol w:w="5682"/>
        <w:gridCol w:w="1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shd w:val="clear" w:color="000000" w:fill="FFFFFF"/>
            <w:vAlign w:val="center"/>
          </w:tcPr>
          <w:p>
            <w:pPr>
              <w:widowControl/>
              <w:jc w:val="center"/>
              <w:rPr>
                <w:rFonts w:hAnsi="宋体"/>
                <w:b/>
                <w:color w:val="auto"/>
                <w:sz w:val="24"/>
                <w:highlight w:val="none"/>
              </w:rPr>
            </w:pPr>
            <w:r>
              <w:rPr>
                <w:rFonts w:hint="eastAsia" w:hAnsi="宋体"/>
                <w:b/>
                <w:color w:val="auto"/>
                <w:sz w:val="24"/>
                <w:highlight w:val="none"/>
              </w:rPr>
              <w:t>序号</w:t>
            </w:r>
          </w:p>
        </w:tc>
        <w:tc>
          <w:tcPr>
            <w:tcW w:w="1741" w:type="dxa"/>
            <w:shd w:val="clear" w:color="000000" w:fill="FFFFFF"/>
            <w:vAlign w:val="center"/>
          </w:tcPr>
          <w:p>
            <w:pPr>
              <w:widowControl/>
              <w:jc w:val="center"/>
              <w:rPr>
                <w:rFonts w:hAnsi="宋体"/>
                <w:b/>
                <w:color w:val="auto"/>
                <w:sz w:val="24"/>
                <w:highlight w:val="none"/>
              </w:rPr>
            </w:pPr>
            <w:r>
              <w:rPr>
                <w:rFonts w:hint="eastAsia" w:hAnsi="宋体"/>
                <w:b/>
                <w:color w:val="auto"/>
                <w:sz w:val="24"/>
                <w:highlight w:val="none"/>
              </w:rPr>
              <w:t>检查因素</w:t>
            </w:r>
          </w:p>
        </w:tc>
        <w:tc>
          <w:tcPr>
            <w:tcW w:w="5682" w:type="dxa"/>
            <w:shd w:val="clear" w:color="000000" w:fill="FFFFFF"/>
            <w:vAlign w:val="center"/>
          </w:tcPr>
          <w:p>
            <w:pPr>
              <w:widowControl/>
              <w:jc w:val="center"/>
              <w:rPr>
                <w:rFonts w:hAnsi="宋体"/>
                <w:b/>
                <w:color w:val="auto"/>
                <w:sz w:val="24"/>
                <w:highlight w:val="none"/>
              </w:rPr>
            </w:pPr>
            <w:r>
              <w:rPr>
                <w:rFonts w:hint="eastAsia" w:hAnsi="宋体"/>
                <w:b/>
                <w:color w:val="auto"/>
                <w:sz w:val="24"/>
                <w:highlight w:val="none"/>
              </w:rPr>
              <w:t>检查内容</w:t>
            </w:r>
          </w:p>
        </w:tc>
        <w:tc>
          <w:tcPr>
            <w:tcW w:w="1995" w:type="dxa"/>
            <w:shd w:val="clear" w:color="000000" w:fill="FFFFFF"/>
            <w:vAlign w:val="center"/>
          </w:tcPr>
          <w:p>
            <w:pPr>
              <w:widowControl/>
              <w:jc w:val="center"/>
              <w:rPr>
                <w:rFonts w:hAnsi="宋体"/>
                <w:b/>
                <w:color w:val="auto"/>
                <w:sz w:val="24"/>
                <w:highlight w:val="none"/>
              </w:rPr>
            </w:pPr>
            <w:r>
              <w:rPr>
                <w:rFonts w:hint="eastAsia" w:hAnsi="宋体"/>
                <w:b/>
                <w:color w:val="auto"/>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shd w:val="clear" w:color="000000" w:fill="FFFFFF"/>
            <w:vAlign w:val="center"/>
          </w:tcPr>
          <w:p>
            <w:pPr>
              <w:widowControl/>
              <w:jc w:val="center"/>
              <w:rPr>
                <w:rFonts w:hAnsi="宋体"/>
                <w:b/>
                <w:color w:val="auto"/>
                <w:sz w:val="24"/>
                <w:highlight w:val="none"/>
              </w:rPr>
            </w:pPr>
            <w:r>
              <w:rPr>
                <w:rFonts w:hAnsi="宋体"/>
                <w:color w:val="auto"/>
                <w:sz w:val="24"/>
                <w:highlight w:val="none"/>
              </w:rPr>
              <w:t>1</w:t>
            </w:r>
          </w:p>
        </w:tc>
        <w:tc>
          <w:tcPr>
            <w:tcW w:w="1741" w:type="dxa"/>
            <w:shd w:val="clear" w:color="000000" w:fill="FFFFFF"/>
            <w:vAlign w:val="center"/>
          </w:tcPr>
          <w:p>
            <w:pPr>
              <w:widowControl/>
              <w:rPr>
                <w:rFonts w:hAnsi="宋体"/>
                <w:color w:val="auto"/>
                <w:sz w:val="24"/>
                <w:highlight w:val="none"/>
              </w:rPr>
            </w:pPr>
            <w:r>
              <w:rPr>
                <w:rFonts w:hint="eastAsia" w:hAnsi="宋体"/>
                <w:color w:val="auto"/>
                <w:sz w:val="24"/>
                <w:highlight w:val="none"/>
              </w:rPr>
              <w:t>响应有效期</w:t>
            </w:r>
          </w:p>
        </w:tc>
        <w:tc>
          <w:tcPr>
            <w:tcW w:w="5682" w:type="dxa"/>
            <w:shd w:val="clear" w:color="000000" w:fill="FFFFFF"/>
            <w:vAlign w:val="center"/>
          </w:tcPr>
          <w:p>
            <w:pPr>
              <w:widowControl/>
              <w:rPr>
                <w:rFonts w:hAnsi="宋体"/>
                <w:color w:val="auto"/>
                <w:sz w:val="24"/>
                <w:highlight w:val="none"/>
              </w:rPr>
            </w:pPr>
            <w:r>
              <w:rPr>
                <w:rFonts w:hint="eastAsia" w:hAnsi="宋体"/>
                <w:color w:val="auto"/>
                <w:sz w:val="24"/>
                <w:highlight w:val="none"/>
              </w:rPr>
              <w:t>响应有效期满足竞争性磋商文件规定期限的</w:t>
            </w:r>
          </w:p>
        </w:tc>
        <w:tc>
          <w:tcPr>
            <w:tcW w:w="1995" w:type="dxa"/>
            <w:shd w:val="clear" w:color="000000" w:fill="FFFFFF"/>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shd w:val="clear" w:color="000000" w:fill="FFFFFF"/>
            <w:vAlign w:val="center"/>
          </w:tcPr>
          <w:p>
            <w:pPr>
              <w:widowControl/>
              <w:jc w:val="center"/>
              <w:rPr>
                <w:rFonts w:hAnsi="宋体"/>
                <w:color w:val="auto"/>
                <w:sz w:val="24"/>
                <w:highlight w:val="none"/>
              </w:rPr>
            </w:pPr>
            <w:r>
              <w:rPr>
                <w:rFonts w:hAnsi="宋体"/>
                <w:color w:val="auto"/>
                <w:sz w:val="24"/>
                <w:highlight w:val="none"/>
              </w:rPr>
              <w:t>2</w:t>
            </w:r>
          </w:p>
        </w:tc>
        <w:tc>
          <w:tcPr>
            <w:tcW w:w="1741" w:type="dxa"/>
            <w:shd w:val="clear" w:color="000000" w:fill="FFFFFF"/>
            <w:vAlign w:val="center"/>
          </w:tcPr>
          <w:p>
            <w:pPr>
              <w:widowControl/>
              <w:rPr>
                <w:rFonts w:hAnsi="宋体"/>
                <w:color w:val="auto"/>
                <w:sz w:val="24"/>
                <w:highlight w:val="none"/>
              </w:rPr>
            </w:pPr>
            <w:r>
              <w:rPr>
                <w:rFonts w:hint="eastAsia" w:hAnsi="宋体"/>
                <w:color w:val="auto"/>
                <w:sz w:val="24"/>
                <w:highlight w:val="none"/>
              </w:rPr>
              <w:t>授权委托书</w:t>
            </w:r>
          </w:p>
        </w:tc>
        <w:tc>
          <w:tcPr>
            <w:tcW w:w="5682" w:type="dxa"/>
            <w:shd w:val="clear" w:color="000000" w:fill="FFFFFF"/>
            <w:vAlign w:val="center"/>
          </w:tcPr>
          <w:p>
            <w:pPr>
              <w:widowControl/>
              <w:rPr>
                <w:rFonts w:hAnsi="宋体"/>
                <w:color w:val="auto"/>
                <w:sz w:val="24"/>
                <w:highlight w:val="none"/>
              </w:rPr>
            </w:pPr>
            <w:r>
              <w:rPr>
                <w:rFonts w:hint="eastAsia" w:hAnsi="宋体"/>
                <w:color w:val="auto"/>
                <w:sz w:val="24"/>
                <w:highlight w:val="none"/>
              </w:rPr>
              <w:t>按竞争性磋商文件要求提供授权委托书；</w:t>
            </w:r>
          </w:p>
        </w:tc>
        <w:tc>
          <w:tcPr>
            <w:tcW w:w="1995" w:type="dxa"/>
            <w:shd w:val="clear" w:color="000000" w:fill="FFFFFF"/>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shd w:val="clear" w:color="000000" w:fill="FFFFFF"/>
            <w:vAlign w:val="center"/>
          </w:tcPr>
          <w:p>
            <w:pPr>
              <w:widowControl/>
              <w:jc w:val="center"/>
              <w:rPr>
                <w:rFonts w:hAnsi="宋体"/>
                <w:color w:val="auto"/>
                <w:sz w:val="24"/>
                <w:highlight w:val="none"/>
              </w:rPr>
            </w:pPr>
            <w:r>
              <w:rPr>
                <w:rFonts w:hAnsi="宋体"/>
                <w:color w:val="auto"/>
                <w:sz w:val="24"/>
                <w:highlight w:val="none"/>
              </w:rPr>
              <w:t>3</w:t>
            </w:r>
          </w:p>
        </w:tc>
        <w:tc>
          <w:tcPr>
            <w:tcW w:w="1741" w:type="dxa"/>
            <w:shd w:val="clear" w:color="000000" w:fill="FFFFFF"/>
            <w:vAlign w:val="center"/>
          </w:tcPr>
          <w:p>
            <w:pPr>
              <w:widowControl/>
              <w:rPr>
                <w:rFonts w:hAnsi="宋体"/>
                <w:color w:val="auto"/>
                <w:sz w:val="24"/>
                <w:highlight w:val="none"/>
              </w:rPr>
            </w:pPr>
            <w:r>
              <w:rPr>
                <w:rFonts w:hint="eastAsia" w:hAnsi="宋体"/>
                <w:color w:val="auto"/>
                <w:sz w:val="24"/>
                <w:highlight w:val="none"/>
              </w:rPr>
              <w:t>报价</w:t>
            </w:r>
          </w:p>
        </w:tc>
        <w:tc>
          <w:tcPr>
            <w:tcW w:w="5682" w:type="dxa"/>
            <w:shd w:val="clear" w:color="000000" w:fill="FFFFFF"/>
            <w:vAlign w:val="center"/>
          </w:tcPr>
          <w:p>
            <w:pPr>
              <w:widowControl/>
              <w:rPr>
                <w:rFonts w:hAnsi="宋体"/>
                <w:color w:val="auto"/>
                <w:sz w:val="24"/>
                <w:highlight w:val="none"/>
              </w:rPr>
            </w:pPr>
            <w:r>
              <w:rPr>
                <w:rFonts w:hint="eastAsia" w:hAnsi="宋体"/>
                <w:color w:val="auto"/>
                <w:sz w:val="24"/>
                <w:highlight w:val="none"/>
              </w:rPr>
              <w:t>报价未超过竞争性磋商文件中规定的项目最高限价；</w:t>
            </w:r>
          </w:p>
        </w:tc>
        <w:tc>
          <w:tcPr>
            <w:tcW w:w="1995" w:type="dxa"/>
            <w:shd w:val="clear" w:color="000000" w:fill="FFFFFF"/>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762" w:type="dxa"/>
            <w:shd w:val="clear" w:color="000000" w:fill="FFFFFF"/>
            <w:vAlign w:val="center"/>
          </w:tcPr>
          <w:p>
            <w:pPr>
              <w:widowControl/>
              <w:jc w:val="center"/>
              <w:rPr>
                <w:rFonts w:hAnsi="宋体"/>
                <w:color w:val="auto"/>
                <w:sz w:val="24"/>
                <w:highlight w:val="none"/>
              </w:rPr>
            </w:pPr>
            <w:r>
              <w:rPr>
                <w:rFonts w:hAnsi="宋体"/>
                <w:color w:val="auto"/>
                <w:sz w:val="24"/>
                <w:highlight w:val="none"/>
              </w:rPr>
              <w:t>4</w:t>
            </w:r>
          </w:p>
        </w:tc>
        <w:tc>
          <w:tcPr>
            <w:tcW w:w="1741" w:type="dxa"/>
            <w:shd w:val="clear" w:color="000000" w:fill="FFFFFF"/>
            <w:vAlign w:val="center"/>
          </w:tcPr>
          <w:p>
            <w:pPr>
              <w:widowControl/>
              <w:rPr>
                <w:rFonts w:hAnsi="宋体"/>
                <w:color w:val="auto"/>
                <w:sz w:val="24"/>
                <w:highlight w:val="none"/>
              </w:rPr>
            </w:pPr>
            <w:r>
              <w:rPr>
                <w:rFonts w:hint="eastAsia" w:hAnsi="宋体"/>
                <w:color w:val="auto"/>
                <w:sz w:val="24"/>
                <w:highlight w:val="none"/>
              </w:rPr>
              <w:t>服务期及磋商有效期</w:t>
            </w:r>
          </w:p>
        </w:tc>
        <w:tc>
          <w:tcPr>
            <w:tcW w:w="5682" w:type="dxa"/>
            <w:shd w:val="clear" w:color="000000" w:fill="FFFFFF"/>
            <w:vAlign w:val="center"/>
          </w:tcPr>
          <w:p>
            <w:pPr>
              <w:widowControl/>
              <w:rPr>
                <w:rFonts w:hAnsi="宋体"/>
                <w:color w:val="auto"/>
                <w:sz w:val="24"/>
                <w:highlight w:val="none"/>
              </w:rPr>
            </w:pPr>
            <w:r>
              <w:rPr>
                <w:rFonts w:hint="eastAsia" w:hAnsi="宋体"/>
                <w:color w:val="auto"/>
                <w:sz w:val="24"/>
                <w:highlight w:val="none"/>
              </w:rPr>
              <w:t>响应文件中承诺的服务期及磋商有效期满足竞争性磋商文件中要求的；</w:t>
            </w:r>
          </w:p>
        </w:tc>
        <w:tc>
          <w:tcPr>
            <w:tcW w:w="1995" w:type="dxa"/>
            <w:shd w:val="clear" w:color="000000" w:fill="FFFFFF"/>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shd w:val="clear" w:color="000000" w:fill="FFFFFF"/>
            <w:vAlign w:val="center"/>
          </w:tcPr>
          <w:p>
            <w:pPr>
              <w:widowControl/>
              <w:jc w:val="center"/>
              <w:rPr>
                <w:rFonts w:hAnsi="宋体"/>
                <w:color w:val="auto"/>
                <w:sz w:val="24"/>
                <w:highlight w:val="none"/>
              </w:rPr>
            </w:pPr>
            <w:r>
              <w:rPr>
                <w:rFonts w:hAnsi="宋体"/>
                <w:color w:val="auto"/>
                <w:sz w:val="24"/>
                <w:highlight w:val="none"/>
              </w:rPr>
              <w:t>5</w:t>
            </w:r>
          </w:p>
        </w:tc>
        <w:tc>
          <w:tcPr>
            <w:tcW w:w="1741" w:type="dxa"/>
            <w:shd w:val="clear" w:color="000000" w:fill="FFFFFF"/>
            <w:vAlign w:val="center"/>
          </w:tcPr>
          <w:p>
            <w:pPr>
              <w:widowControl/>
              <w:rPr>
                <w:rFonts w:hAnsi="宋体"/>
                <w:color w:val="auto"/>
                <w:sz w:val="24"/>
                <w:highlight w:val="none"/>
              </w:rPr>
            </w:pPr>
            <w:r>
              <w:rPr>
                <w:rFonts w:hint="eastAsia" w:hAnsi="宋体"/>
                <w:color w:val="auto"/>
                <w:sz w:val="24"/>
                <w:highlight w:val="none"/>
              </w:rPr>
              <w:t>签署、盖章</w:t>
            </w:r>
          </w:p>
        </w:tc>
        <w:tc>
          <w:tcPr>
            <w:tcW w:w="5682" w:type="dxa"/>
            <w:shd w:val="clear" w:color="000000" w:fill="FFFFFF"/>
            <w:vAlign w:val="center"/>
          </w:tcPr>
          <w:p>
            <w:pPr>
              <w:widowControl/>
              <w:rPr>
                <w:rFonts w:hAnsi="宋体"/>
                <w:color w:val="auto"/>
                <w:sz w:val="24"/>
                <w:highlight w:val="none"/>
              </w:rPr>
            </w:pPr>
            <w:r>
              <w:rPr>
                <w:rFonts w:hint="eastAsia" w:hAnsi="宋体"/>
                <w:color w:val="auto"/>
                <w:sz w:val="24"/>
                <w:highlight w:val="none"/>
              </w:rPr>
              <w:t>按照竞争性磋商文件要求签署、盖章的；</w:t>
            </w:r>
          </w:p>
        </w:tc>
        <w:tc>
          <w:tcPr>
            <w:tcW w:w="1995" w:type="dxa"/>
            <w:shd w:val="clear" w:color="000000" w:fill="FFFFFF"/>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shd w:val="clear" w:color="000000" w:fill="FFFFFF"/>
            <w:vAlign w:val="center"/>
          </w:tcPr>
          <w:p>
            <w:pPr>
              <w:widowControl/>
              <w:jc w:val="center"/>
              <w:rPr>
                <w:rFonts w:hAnsi="宋体"/>
                <w:color w:val="auto"/>
                <w:sz w:val="24"/>
                <w:highlight w:val="none"/>
              </w:rPr>
            </w:pPr>
            <w:r>
              <w:rPr>
                <w:rFonts w:hAnsi="宋体"/>
                <w:color w:val="auto"/>
                <w:sz w:val="24"/>
                <w:highlight w:val="none"/>
              </w:rPr>
              <w:t>6</w:t>
            </w:r>
          </w:p>
        </w:tc>
        <w:tc>
          <w:tcPr>
            <w:tcW w:w="1741" w:type="dxa"/>
            <w:shd w:val="clear" w:color="000000" w:fill="FFFFFF"/>
            <w:vAlign w:val="center"/>
          </w:tcPr>
          <w:p>
            <w:pPr>
              <w:widowControl/>
              <w:rPr>
                <w:rFonts w:hAnsi="宋体"/>
                <w:color w:val="auto"/>
                <w:sz w:val="24"/>
                <w:highlight w:val="none"/>
              </w:rPr>
            </w:pPr>
            <w:r>
              <w:rPr>
                <w:rFonts w:hint="eastAsia" w:hAnsi="宋体"/>
                <w:color w:val="auto"/>
                <w:sz w:val="24"/>
                <w:highlight w:val="none"/>
              </w:rPr>
              <w:t>实质性格式</w:t>
            </w:r>
          </w:p>
        </w:tc>
        <w:tc>
          <w:tcPr>
            <w:tcW w:w="5682" w:type="dxa"/>
            <w:shd w:val="clear" w:color="000000" w:fill="FFFFFF"/>
            <w:vAlign w:val="center"/>
          </w:tcPr>
          <w:p>
            <w:pPr>
              <w:widowControl/>
              <w:rPr>
                <w:rFonts w:hAnsi="宋体"/>
                <w:color w:val="auto"/>
                <w:sz w:val="24"/>
                <w:highlight w:val="none"/>
              </w:rPr>
            </w:pPr>
            <w:r>
              <w:rPr>
                <w:rFonts w:hint="eastAsia" w:hAnsi="宋体"/>
                <w:color w:val="auto"/>
                <w:sz w:val="24"/>
                <w:highlight w:val="none"/>
              </w:rPr>
              <w:t>标记为</w:t>
            </w:r>
            <w:r>
              <w:rPr>
                <w:rFonts w:hAnsi="宋体"/>
                <w:color w:val="auto"/>
                <w:sz w:val="24"/>
                <w:highlight w:val="none"/>
              </w:rPr>
              <w:t>“</w:t>
            </w:r>
            <w:r>
              <w:rPr>
                <w:rFonts w:hint="eastAsia" w:hAnsi="宋体"/>
                <w:color w:val="auto"/>
                <w:sz w:val="24"/>
                <w:highlight w:val="none"/>
              </w:rPr>
              <w:t>实质性格式</w:t>
            </w:r>
            <w:r>
              <w:rPr>
                <w:rFonts w:hAnsi="宋体"/>
                <w:color w:val="auto"/>
                <w:sz w:val="24"/>
                <w:highlight w:val="none"/>
              </w:rPr>
              <w:t>”</w:t>
            </w:r>
            <w:r>
              <w:rPr>
                <w:rFonts w:hint="eastAsia" w:hAnsi="宋体"/>
                <w:color w:val="auto"/>
                <w:sz w:val="24"/>
                <w:highlight w:val="none"/>
              </w:rPr>
              <w:t>的文件均按竞争性磋商文件要求提供；</w:t>
            </w:r>
          </w:p>
        </w:tc>
        <w:tc>
          <w:tcPr>
            <w:tcW w:w="1995" w:type="dxa"/>
            <w:shd w:val="clear" w:color="000000" w:fill="FFFFFF"/>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shd w:val="clear" w:color="000000" w:fill="FFFFFF"/>
            <w:vAlign w:val="center"/>
          </w:tcPr>
          <w:p>
            <w:pPr>
              <w:widowControl/>
              <w:jc w:val="center"/>
              <w:rPr>
                <w:rFonts w:hAnsi="宋体"/>
                <w:color w:val="auto"/>
                <w:sz w:val="24"/>
                <w:highlight w:val="none"/>
              </w:rPr>
            </w:pPr>
            <w:r>
              <w:rPr>
                <w:rFonts w:hAnsi="宋体"/>
                <w:color w:val="auto"/>
                <w:sz w:val="24"/>
                <w:highlight w:val="none"/>
              </w:rPr>
              <w:t>7</w:t>
            </w:r>
          </w:p>
        </w:tc>
        <w:tc>
          <w:tcPr>
            <w:tcW w:w="1741" w:type="dxa"/>
            <w:shd w:val="clear" w:color="000000" w:fill="FFFFFF"/>
            <w:vAlign w:val="center"/>
          </w:tcPr>
          <w:p>
            <w:pPr>
              <w:widowControl/>
              <w:rPr>
                <w:rFonts w:hAnsi="宋体"/>
                <w:color w:val="auto"/>
                <w:sz w:val="24"/>
                <w:highlight w:val="none"/>
              </w:rPr>
            </w:pPr>
            <w:r>
              <w:rPr>
                <w:rFonts w:hint="eastAsia" w:hAnsi="宋体"/>
                <w:color w:val="auto"/>
                <w:sz w:val="24"/>
                <w:highlight w:val="none"/>
              </w:rPr>
              <w:t>报价合理性</w:t>
            </w:r>
          </w:p>
        </w:tc>
        <w:tc>
          <w:tcPr>
            <w:tcW w:w="5682" w:type="dxa"/>
            <w:shd w:val="clear" w:color="000000" w:fill="FFFFFF"/>
            <w:vAlign w:val="center"/>
          </w:tcPr>
          <w:p>
            <w:pPr>
              <w:widowControl/>
              <w:rPr>
                <w:rFonts w:hAnsi="宋体"/>
                <w:color w:val="auto"/>
                <w:sz w:val="24"/>
                <w:highlight w:val="none"/>
              </w:rPr>
            </w:pPr>
            <w:r>
              <w:rPr>
                <w:rFonts w:hint="eastAsia" w:hAnsi="宋体"/>
                <w:color w:val="auto"/>
                <w:sz w:val="24"/>
                <w:highlight w:val="none"/>
              </w:rPr>
              <w:t>报价合理，或供应商的报价明显低于其他通过符合性审查供应商的报价，有可能不能诚信履约的，能够应评标委员会要求在规定时间内证明其报价合理性的；</w:t>
            </w:r>
          </w:p>
        </w:tc>
        <w:tc>
          <w:tcPr>
            <w:tcW w:w="1995" w:type="dxa"/>
            <w:shd w:val="clear" w:color="000000" w:fill="FFFFFF"/>
            <w:vAlign w:val="center"/>
          </w:tcPr>
          <w:p>
            <w:pPr>
              <w:widowControl/>
              <w:jc w:val="center"/>
              <w:rPr>
                <w:rFonts w:hAnsi="宋体"/>
                <w:color w:val="auto"/>
                <w:sz w:val="24"/>
                <w:highlight w:val="none"/>
              </w:rPr>
            </w:pPr>
            <w:r>
              <w:rPr>
                <w:rFonts w:hint="eastAsia" w:hAnsi="宋体"/>
                <w:color w:val="auto"/>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vAlign w:val="center"/>
          </w:tcPr>
          <w:p>
            <w:pPr>
              <w:widowControl/>
              <w:jc w:val="center"/>
              <w:rPr>
                <w:rFonts w:hAnsi="宋体"/>
                <w:color w:val="auto"/>
                <w:sz w:val="24"/>
                <w:highlight w:val="none"/>
              </w:rPr>
            </w:pPr>
            <w:r>
              <w:rPr>
                <w:rFonts w:hAnsi="宋体"/>
                <w:color w:val="auto"/>
                <w:sz w:val="24"/>
                <w:highlight w:val="none"/>
              </w:rPr>
              <w:t>8</w:t>
            </w:r>
          </w:p>
        </w:tc>
        <w:tc>
          <w:tcPr>
            <w:tcW w:w="1741" w:type="dxa"/>
            <w:vAlign w:val="center"/>
          </w:tcPr>
          <w:p>
            <w:pPr>
              <w:widowControl/>
              <w:rPr>
                <w:rFonts w:hAnsi="宋体"/>
                <w:color w:val="auto"/>
                <w:sz w:val="24"/>
                <w:highlight w:val="none"/>
              </w:rPr>
            </w:pPr>
            <w:r>
              <w:rPr>
                <w:rFonts w:hint="eastAsia" w:hAnsi="宋体"/>
                <w:color w:val="auto"/>
                <w:sz w:val="24"/>
                <w:highlight w:val="none"/>
              </w:rPr>
              <w:t>公平竞争</w:t>
            </w:r>
          </w:p>
        </w:tc>
        <w:tc>
          <w:tcPr>
            <w:tcW w:w="5682" w:type="dxa"/>
            <w:vAlign w:val="center"/>
          </w:tcPr>
          <w:p>
            <w:pPr>
              <w:widowControl/>
              <w:rPr>
                <w:rFonts w:hAnsi="宋体"/>
                <w:color w:val="auto"/>
                <w:sz w:val="24"/>
                <w:highlight w:val="none"/>
              </w:rPr>
            </w:pPr>
            <w:r>
              <w:rPr>
                <w:rFonts w:hint="eastAsia" w:hAnsi="宋体"/>
                <w:color w:val="auto"/>
                <w:sz w:val="24"/>
                <w:highlight w:val="none"/>
              </w:rPr>
              <w:t>供应商遵循公平竞争的原则，不存在恶意串通，妨碍其他供应商的竞争行为，不存在损害采购人或者其他供应商的合法权益情形的；</w:t>
            </w:r>
          </w:p>
        </w:tc>
        <w:tc>
          <w:tcPr>
            <w:tcW w:w="1995" w:type="dxa"/>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vAlign w:val="center"/>
          </w:tcPr>
          <w:p>
            <w:pPr>
              <w:widowControl/>
              <w:jc w:val="center"/>
              <w:rPr>
                <w:rFonts w:hAnsi="宋体"/>
                <w:color w:val="auto"/>
                <w:sz w:val="24"/>
                <w:highlight w:val="none"/>
              </w:rPr>
            </w:pPr>
            <w:r>
              <w:rPr>
                <w:rFonts w:hAnsi="宋体"/>
                <w:color w:val="auto"/>
                <w:sz w:val="24"/>
                <w:highlight w:val="none"/>
              </w:rPr>
              <w:t>9</w:t>
            </w:r>
          </w:p>
        </w:tc>
        <w:tc>
          <w:tcPr>
            <w:tcW w:w="1741" w:type="dxa"/>
            <w:vAlign w:val="center"/>
          </w:tcPr>
          <w:p>
            <w:pPr>
              <w:widowControl/>
              <w:rPr>
                <w:rFonts w:hAnsi="宋体"/>
                <w:color w:val="auto"/>
                <w:sz w:val="24"/>
                <w:highlight w:val="none"/>
              </w:rPr>
            </w:pPr>
            <w:r>
              <w:rPr>
                <w:rFonts w:hint="eastAsia" w:hAnsi="宋体"/>
                <w:color w:val="auto"/>
                <w:sz w:val="24"/>
                <w:highlight w:val="none"/>
              </w:rPr>
              <w:t>串通投标</w:t>
            </w:r>
          </w:p>
        </w:tc>
        <w:tc>
          <w:tcPr>
            <w:tcW w:w="5682" w:type="dxa"/>
            <w:vAlign w:val="center"/>
          </w:tcPr>
          <w:p>
            <w:pPr>
              <w:widowControl/>
              <w:rPr>
                <w:rFonts w:hAnsi="宋体"/>
                <w:color w:val="auto"/>
                <w:sz w:val="24"/>
                <w:highlight w:val="none"/>
              </w:rPr>
            </w:pPr>
            <w:r>
              <w:rPr>
                <w:rFonts w:hint="eastAsia" w:hAnsi="宋体"/>
                <w:color w:val="auto"/>
                <w:sz w:val="24"/>
                <w:highlight w:val="none"/>
              </w:rPr>
              <w:t>不存在供应商串通投标的情形</w:t>
            </w:r>
          </w:p>
        </w:tc>
        <w:tc>
          <w:tcPr>
            <w:tcW w:w="1995" w:type="dxa"/>
            <w:vAlign w:val="center"/>
          </w:tcPr>
          <w:p>
            <w:pPr>
              <w:widowControl/>
              <w:jc w:val="center"/>
              <w:rPr>
                <w:rFonts w:hAnsi="宋体"/>
                <w:color w:val="auto"/>
                <w:sz w:val="24"/>
                <w:highlight w:val="none"/>
              </w:rPr>
            </w:pPr>
            <w:r>
              <w:rPr>
                <w:rFonts w:hint="eastAsia" w:hAnsi="宋体"/>
                <w:color w:val="auto"/>
                <w:sz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2" w:type="dxa"/>
            <w:vAlign w:val="center"/>
          </w:tcPr>
          <w:p>
            <w:pPr>
              <w:widowControl/>
              <w:jc w:val="center"/>
              <w:rPr>
                <w:rFonts w:hAnsi="宋体"/>
                <w:color w:val="auto"/>
                <w:sz w:val="24"/>
                <w:highlight w:val="none"/>
              </w:rPr>
            </w:pPr>
            <w:r>
              <w:rPr>
                <w:rFonts w:hint="eastAsia" w:hAnsi="宋体"/>
                <w:color w:val="auto"/>
                <w:sz w:val="24"/>
                <w:highlight w:val="none"/>
              </w:rPr>
              <w:t>1</w:t>
            </w:r>
            <w:r>
              <w:rPr>
                <w:rFonts w:hAnsi="宋体"/>
                <w:color w:val="auto"/>
                <w:sz w:val="24"/>
                <w:highlight w:val="none"/>
              </w:rPr>
              <w:t>0</w:t>
            </w:r>
          </w:p>
        </w:tc>
        <w:tc>
          <w:tcPr>
            <w:tcW w:w="1741" w:type="dxa"/>
            <w:vAlign w:val="center"/>
          </w:tcPr>
          <w:p>
            <w:pPr>
              <w:widowControl/>
              <w:rPr>
                <w:rFonts w:hAnsi="宋体"/>
                <w:color w:val="auto"/>
                <w:sz w:val="24"/>
                <w:highlight w:val="none"/>
              </w:rPr>
            </w:pPr>
            <w:r>
              <w:rPr>
                <w:rFonts w:hint="eastAsia" w:hAnsi="宋体"/>
                <w:color w:val="auto"/>
                <w:sz w:val="24"/>
                <w:highlight w:val="none"/>
              </w:rPr>
              <w:t>其他无效情形</w:t>
            </w:r>
          </w:p>
        </w:tc>
        <w:tc>
          <w:tcPr>
            <w:tcW w:w="5682" w:type="dxa"/>
            <w:vAlign w:val="center"/>
          </w:tcPr>
          <w:p>
            <w:pPr>
              <w:widowControl/>
              <w:rPr>
                <w:rFonts w:hAnsi="宋体"/>
                <w:color w:val="auto"/>
                <w:sz w:val="24"/>
                <w:highlight w:val="none"/>
              </w:rPr>
            </w:pPr>
            <w:r>
              <w:rPr>
                <w:rFonts w:hint="eastAsia" w:hAnsi="宋体"/>
                <w:color w:val="auto"/>
                <w:sz w:val="24"/>
                <w:highlight w:val="none"/>
              </w:rPr>
              <w:t>供应商、响应文件不存在不符合法律、法规和竞争性磋商文件规定的其他无效情形。</w:t>
            </w:r>
          </w:p>
        </w:tc>
        <w:tc>
          <w:tcPr>
            <w:tcW w:w="1995" w:type="dxa"/>
            <w:vAlign w:val="center"/>
          </w:tcPr>
          <w:p>
            <w:pPr>
              <w:widowControl/>
              <w:jc w:val="center"/>
              <w:rPr>
                <w:rFonts w:hAnsi="宋体"/>
                <w:color w:val="auto"/>
                <w:sz w:val="24"/>
                <w:highlight w:val="none"/>
              </w:rPr>
            </w:pPr>
            <w:r>
              <w:rPr>
                <w:rFonts w:hint="eastAsia" w:hAnsi="宋体"/>
                <w:color w:val="auto"/>
                <w:sz w:val="24"/>
                <w:highlight w:val="none"/>
              </w:rPr>
              <w:t>不允许</w:t>
            </w:r>
          </w:p>
        </w:tc>
      </w:tr>
    </w:tbl>
    <w:p>
      <w:pPr>
        <w:rPr>
          <w:rFonts w:hAnsi="宋体"/>
          <w:color w:val="auto"/>
          <w:sz w:val="5"/>
          <w:szCs w:val="5"/>
          <w:highlight w:val="none"/>
        </w:rPr>
      </w:pPr>
    </w:p>
    <w:p>
      <w:pPr>
        <w:pStyle w:val="12"/>
        <w:rPr>
          <w:rFonts w:hAnsi="宋体"/>
          <w:color w:val="auto"/>
          <w:sz w:val="5"/>
          <w:szCs w:val="5"/>
          <w:highlight w:val="none"/>
        </w:rPr>
      </w:pPr>
    </w:p>
    <w:p>
      <w:pPr>
        <w:pStyle w:val="12"/>
        <w:rPr>
          <w:rFonts w:hAnsi="宋体"/>
          <w:color w:val="auto"/>
          <w:sz w:val="5"/>
          <w:szCs w:val="5"/>
          <w:highlight w:val="none"/>
        </w:rPr>
      </w:pPr>
    </w:p>
    <w:p>
      <w:pPr>
        <w:pStyle w:val="12"/>
        <w:rPr>
          <w:rFonts w:hAnsi="宋体"/>
          <w:color w:val="auto"/>
          <w:sz w:val="5"/>
          <w:szCs w:val="5"/>
          <w:highlight w:val="none"/>
        </w:rPr>
      </w:pPr>
    </w:p>
    <w:p>
      <w:pPr>
        <w:pStyle w:val="12"/>
        <w:rPr>
          <w:rFonts w:hAnsi="宋体"/>
          <w:color w:val="auto"/>
          <w:sz w:val="5"/>
          <w:szCs w:val="5"/>
          <w:highlight w:val="none"/>
        </w:rPr>
      </w:pPr>
    </w:p>
    <w:p>
      <w:pPr>
        <w:pStyle w:val="12"/>
        <w:rPr>
          <w:rFonts w:hAnsi="宋体"/>
          <w:color w:val="auto"/>
          <w:sz w:val="5"/>
          <w:szCs w:val="5"/>
          <w:highlight w:val="none"/>
        </w:rPr>
      </w:pPr>
    </w:p>
    <w:p>
      <w:pPr>
        <w:pStyle w:val="12"/>
        <w:rPr>
          <w:rFonts w:hAnsi="宋体"/>
          <w:color w:val="auto"/>
          <w:sz w:val="5"/>
          <w:szCs w:val="5"/>
          <w:highlight w:val="none"/>
        </w:rPr>
        <w:sectPr>
          <w:pgSz w:w="11910" w:h="16840"/>
          <w:pgMar w:top="1340" w:right="560" w:bottom="1080" w:left="1160" w:header="879" w:footer="879" w:gutter="0"/>
          <w:cols w:space="720" w:num="1"/>
        </w:sectPr>
      </w:pPr>
    </w:p>
    <w:p>
      <w:pPr>
        <w:pStyle w:val="17"/>
        <w:kinsoku w:val="0"/>
        <w:overflowPunct w:val="0"/>
        <w:spacing w:before="6"/>
        <w:rPr>
          <w:rFonts w:hAnsi="宋体"/>
          <w:color w:val="auto"/>
          <w:sz w:val="5"/>
          <w:szCs w:val="5"/>
          <w:highlight w:val="none"/>
        </w:rPr>
      </w:pPr>
    </w:p>
    <w:p>
      <w:pPr>
        <w:pStyle w:val="69"/>
        <w:numPr>
          <w:ilvl w:val="0"/>
          <w:numId w:val="10"/>
        </w:numPr>
        <w:tabs>
          <w:tab w:val="left" w:pos="902"/>
        </w:tabs>
        <w:kinsoku w:val="0"/>
        <w:overflowPunct w:val="0"/>
        <w:ind w:hanging="361"/>
        <w:rPr>
          <w:rFonts w:hAnsi="宋体"/>
          <w:color w:val="auto"/>
          <w:highlight w:val="none"/>
        </w:rPr>
      </w:pPr>
      <w:r>
        <w:rPr>
          <w:rFonts w:hint="eastAsia" w:hAnsi="宋体"/>
          <w:color w:val="auto"/>
          <w:highlight w:val="none"/>
        </w:rPr>
        <w:t>磋商、响应文件有关事项的澄清、说明或者更正和最后报价</w:t>
      </w:r>
    </w:p>
    <w:p>
      <w:pPr>
        <w:pStyle w:val="69"/>
        <w:numPr>
          <w:ilvl w:val="1"/>
          <w:numId w:val="10"/>
        </w:numPr>
        <w:tabs>
          <w:tab w:val="left" w:pos="1617"/>
        </w:tabs>
        <w:kinsoku w:val="0"/>
        <w:overflowPunct w:val="0"/>
        <w:spacing w:before="160" w:line="362" w:lineRule="auto"/>
        <w:ind w:right="573"/>
        <w:rPr>
          <w:rFonts w:hAnsi="宋体"/>
          <w:color w:val="auto"/>
          <w:highlight w:val="none"/>
        </w:rPr>
      </w:pPr>
      <w:r>
        <w:rPr>
          <w:rFonts w:hint="eastAsia" w:hAnsi="宋体"/>
          <w:color w:val="auto"/>
          <w:highlight w:val="none"/>
        </w:rPr>
        <w:t>磋商小组所有成员将集中与单一供应商分别进行磋商，并给予所有参加磋商的供应商平等的磋商机会。</w:t>
      </w:r>
    </w:p>
    <w:p>
      <w:pPr>
        <w:pStyle w:val="69"/>
        <w:numPr>
          <w:ilvl w:val="1"/>
          <w:numId w:val="10"/>
        </w:numPr>
        <w:tabs>
          <w:tab w:val="left" w:pos="1617"/>
        </w:tabs>
        <w:kinsoku w:val="0"/>
        <w:overflowPunct w:val="0"/>
        <w:spacing w:before="5" w:line="364" w:lineRule="auto"/>
        <w:ind w:right="451"/>
        <w:rPr>
          <w:rFonts w:hAnsi="宋体"/>
          <w:color w:val="auto"/>
          <w:highlight w:val="none"/>
        </w:rPr>
      </w:pPr>
      <w:r>
        <w:rPr>
          <w:rFonts w:hint="eastAsia" w:hAnsi="宋体"/>
          <w:color w:val="auto"/>
          <w:highlight w:val="none"/>
        </w:rPr>
        <w:t>在磋商过程中，磋商小组可以根据磋商文件和磋商情况实质性变动采购需求</w:t>
      </w:r>
      <w:r>
        <w:rPr>
          <w:rFonts w:hint="eastAsia" w:hAnsi="宋体"/>
          <w:color w:val="auto"/>
          <w:spacing w:val="-7"/>
          <w:highlight w:val="none"/>
        </w:rPr>
        <w:t>中的技术、服务要求以及合同草案条款，但不得变动磋商文件中的其他内容。</w:t>
      </w:r>
      <w:r>
        <w:rPr>
          <w:rFonts w:hint="eastAsia" w:hAnsi="宋体"/>
          <w:color w:val="auto"/>
          <w:highlight w:val="none"/>
        </w:rPr>
        <w:t>实质性变动的内容，须经采购人代表确认。</w:t>
      </w:r>
    </w:p>
    <w:p>
      <w:pPr>
        <w:pStyle w:val="69"/>
        <w:numPr>
          <w:ilvl w:val="1"/>
          <w:numId w:val="10"/>
        </w:numPr>
        <w:tabs>
          <w:tab w:val="left" w:pos="1617"/>
        </w:tabs>
        <w:kinsoku w:val="0"/>
        <w:overflowPunct w:val="0"/>
        <w:spacing w:line="364" w:lineRule="auto"/>
        <w:ind w:right="573"/>
        <w:rPr>
          <w:rFonts w:hAnsi="宋体"/>
          <w:color w:val="auto"/>
          <w:highlight w:val="none"/>
        </w:rPr>
      </w:pPr>
      <w:r>
        <w:rPr>
          <w:rFonts w:hint="eastAsia" w:hAnsi="宋体"/>
          <w:color w:val="auto"/>
          <w:highlight w:val="none"/>
        </w:rPr>
        <w:t>对磋商文件作出的实质性变动是磋商文件的有效组成部分，磋商小组应当及时以书面形式同时通知所有参加磋商的供应商。</w:t>
      </w:r>
    </w:p>
    <w:p>
      <w:pPr>
        <w:pStyle w:val="69"/>
        <w:numPr>
          <w:ilvl w:val="1"/>
          <w:numId w:val="10"/>
        </w:numPr>
        <w:tabs>
          <w:tab w:val="left" w:pos="1617"/>
        </w:tabs>
        <w:kinsoku w:val="0"/>
        <w:overflowPunct w:val="0"/>
        <w:spacing w:line="364" w:lineRule="auto"/>
        <w:ind w:right="570"/>
        <w:jc w:val="both"/>
        <w:rPr>
          <w:rFonts w:hAnsi="宋体"/>
          <w:color w:val="auto"/>
          <w:highlight w:val="none"/>
        </w:rPr>
      </w:pPr>
      <w:r>
        <w:rPr>
          <w:rFonts w:hint="eastAsia" w:hAnsi="宋体"/>
          <w:color w:val="auto"/>
          <w:highlight w:val="none"/>
        </w:rPr>
        <w:t>供应商应当按照磋商文件的变动情况和磋商小组的要求重新提交响应文件，</w:t>
      </w:r>
      <w:r>
        <w:rPr>
          <w:rFonts w:hAnsi="宋体"/>
          <w:color w:val="auto"/>
          <w:highlight w:val="none"/>
        </w:rPr>
        <w:t xml:space="preserve"> </w:t>
      </w:r>
      <w:r>
        <w:rPr>
          <w:rFonts w:hint="eastAsia" w:hAnsi="宋体"/>
          <w:color w:val="auto"/>
          <w:highlight w:val="none"/>
        </w:rPr>
        <w:t>并由其法定代表人（若供应商为事业单位或其他组织或分支机构，可为单位负责人）或授权代表签字或者加盖公章。由授权代表签字的，应当附授权委托书。供应商为自然人的，应当由本人签字并附身份证明。</w:t>
      </w:r>
    </w:p>
    <w:p>
      <w:pPr>
        <w:pStyle w:val="69"/>
        <w:numPr>
          <w:ilvl w:val="1"/>
          <w:numId w:val="10"/>
        </w:numPr>
        <w:tabs>
          <w:tab w:val="left" w:pos="1617"/>
        </w:tabs>
        <w:kinsoku w:val="0"/>
        <w:overflowPunct w:val="0"/>
        <w:ind w:hanging="721"/>
        <w:jc w:val="both"/>
        <w:rPr>
          <w:rFonts w:hAnsi="宋体"/>
          <w:color w:val="auto"/>
          <w:highlight w:val="none"/>
        </w:rPr>
      </w:pPr>
      <w:r>
        <w:rPr>
          <w:rFonts w:hint="eastAsia" w:hAnsi="宋体"/>
          <w:color w:val="auto"/>
          <w:highlight w:val="none"/>
        </w:rPr>
        <w:t>响应文件的澄清、说明或者更正：</w:t>
      </w:r>
    </w:p>
    <w:p>
      <w:pPr>
        <w:pStyle w:val="69"/>
        <w:numPr>
          <w:ilvl w:val="2"/>
          <w:numId w:val="10"/>
        </w:numPr>
        <w:tabs>
          <w:tab w:val="left" w:pos="2522"/>
        </w:tabs>
        <w:kinsoku w:val="0"/>
        <w:overflowPunct w:val="0"/>
        <w:spacing w:before="72" w:line="364" w:lineRule="auto"/>
        <w:ind w:right="570"/>
        <w:jc w:val="both"/>
        <w:rPr>
          <w:rFonts w:hAnsi="宋体"/>
          <w:color w:val="auto"/>
          <w:highlight w:val="none"/>
        </w:rPr>
      </w:pPr>
      <w:r>
        <w:rPr>
          <w:rFonts w:hint="eastAsia" w:hAnsi="宋体"/>
          <w:color w:val="auto"/>
          <w:spacing w:val="-7"/>
          <w:highlight w:val="none"/>
        </w:rPr>
        <w:t>磋商小组在对响应文件的有效性、完整性和响应程度进行审查时，可</w:t>
      </w:r>
      <w:r>
        <w:rPr>
          <w:rFonts w:hint="eastAsia" w:hAnsi="宋体"/>
          <w:color w:val="auto"/>
          <w:spacing w:val="-8"/>
          <w:highlight w:val="none"/>
        </w:rPr>
        <w:t>以要求供应商对响应文件中含义不明确、同类问题表述不一致或者有</w:t>
      </w:r>
      <w:r>
        <w:rPr>
          <w:rFonts w:hint="eastAsia" w:hAnsi="宋体"/>
          <w:color w:val="auto"/>
          <w:highlight w:val="none"/>
        </w:rPr>
        <w:t>明显文字和计算错误的内容等作出必要的澄清、说明或者更正。</w:t>
      </w:r>
    </w:p>
    <w:p>
      <w:pPr>
        <w:pStyle w:val="69"/>
        <w:numPr>
          <w:ilvl w:val="2"/>
          <w:numId w:val="10"/>
        </w:numPr>
        <w:tabs>
          <w:tab w:val="left" w:pos="2522"/>
        </w:tabs>
        <w:kinsoku w:val="0"/>
        <w:overflowPunct w:val="0"/>
        <w:spacing w:line="364" w:lineRule="auto"/>
        <w:ind w:right="567"/>
        <w:jc w:val="both"/>
        <w:rPr>
          <w:rFonts w:hAnsi="宋体"/>
          <w:color w:val="auto"/>
          <w:highlight w:val="none"/>
        </w:rPr>
      </w:pPr>
      <w:r>
        <w:rPr>
          <w:rFonts w:hint="eastAsia" w:hAnsi="宋体"/>
          <w:color w:val="auto"/>
          <w:spacing w:val="-9"/>
          <w:highlight w:val="none"/>
        </w:rPr>
        <w:t>磋商小组对响应文件进行审查，如发现供应商提交的响应文件存在不</w:t>
      </w:r>
      <w:r>
        <w:rPr>
          <w:rFonts w:hint="eastAsia" w:hAnsi="宋体"/>
          <w:color w:val="auto"/>
          <w:spacing w:val="-11"/>
          <w:highlight w:val="none"/>
        </w:rPr>
        <w:t>满足《符合性审查要求》的内容，如属于表中</w:t>
      </w:r>
      <w:r>
        <w:rPr>
          <w:rFonts w:hAnsi="宋体" w:cs="Arial"/>
          <w:color w:val="auto"/>
          <w:w w:val="135"/>
          <w:highlight w:val="none"/>
        </w:rPr>
        <w:t>“</w:t>
      </w:r>
      <w:r>
        <w:rPr>
          <w:rFonts w:hint="eastAsia" w:hAnsi="宋体"/>
          <w:color w:val="auto"/>
          <w:highlight w:val="none"/>
        </w:rPr>
        <w:t>不允许</w:t>
      </w:r>
      <w:r>
        <w:rPr>
          <w:rFonts w:hAnsi="宋体" w:cs="Arial"/>
          <w:color w:val="auto"/>
          <w:w w:val="135"/>
          <w:highlight w:val="none"/>
        </w:rPr>
        <w:t>”</w:t>
      </w:r>
      <w:r>
        <w:rPr>
          <w:rFonts w:hint="eastAsia" w:hAnsi="宋体"/>
          <w:color w:val="auto"/>
          <w:spacing w:val="-8"/>
          <w:highlight w:val="none"/>
        </w:rPr>
        <w:t>澄清、说明或</w:t>
      </w:r>
      <w:r>
        <w:rPr>
          <w:rFonts w:hint="eastAsia" w:hAnsi="宋体"/>
          <w:color w:val="auto"/>
          <w:spacing w:val="-11"/>
          <w:highlight w:val="none"/>
        </w:rPr>
        <w:t>者更正的内容，则供应商响应文件按无效处理；如属于表中的</w:t>
      </w:r>
      <w:r>
        <w:rPr>
          <w:rFonts w:hAnsi="宋体" w:cs="Arial"/>
          <w:color w:val="auto"/>
          <w:w w:val="135"/>
          <w:highlight w:val="none"/>
        </w:rPr>
        <w:t>“</w:t>
      </w:r>
      <w:r>
        <w:rPr>
          <w:rFonts w:hint="eastAsia" w:hAnsi="宋体"/>
          <w:color w:val="auto"/>
          <w:highlight w:val="none"/>
        </w:rPr>
        <w:t>允许</w:t>
      </w:r>
      <w:r>
        <w:rPr>
          <w:rFonts w:hAnsi="宋体" w:cs="Arial"/>
          <w:color w:val="auto"/>
          <w:spacing w:val="-13"/>
          <w:w w:val="135"/>
          <w:highlight w:val="none"/>
        </w:rPr>
        <w:t xml:space="preserve">” </w:t>
      </w:r>
      <w:r>
        <w:rPr>
          <w:rFonts w:hint="eastAsia" w:hAnsi="宋体"/>
          <w:color w:val="auto"/>
          <w:spacing w:val="-12"/>
          <w:highlight w:val="none"/>
        </w:rPr>
        <w:t>澄清、说明或更正的内容，磋商小组将要求供应商在规定的时间内对</w:t>
      </w:r>
      <w:r>
        <w:rPr>
          <w:rFonts w:hint="eastAsia" w:hAnsi="宋体"/>
          <w:color w:val="auto"/>
          <w:spacing w:val="-11"/>
          <w:highlight w:val="none"/>
        </w:rPr>
        <w:t>响应文件进行澄清、说明或者更正。如供应商在磋商小组规定的时间</w:t>
      </w:r>
      <w:r>
        <w:rPr>
          <w:rFonts w:hint="eastAsia" w:hAnsi="宋体"/>
          <w:color w:val="auto"/>
          <w:spacing w:val="-9"/>
          <w:highlight w:val="none"/>
        </w:rPr>
        <w:t>内未作出必要的澄清、说明或者更正，或澄清、说明或者更正后仍不</w:t>
      </w:r>
      <w:r>
        <w:rPr>
          <w:rFonts w:hint="eastAsia" w:hAnsi="宋体"/>
          <w:color w:val="auto"/>
          <w:highlight w:val="none"/>
        </w:rPr>
        <w:t>能满足采购文件要求的，则供应商的响应文件按无效处理。</w:t>
      </w:r>
    </w:p>
    <w:p>
      <w:pPr>
        <w:pStyle w:val="69"/>
        <w:numPr>
          <w:ilvl w:val="2"/>
          <w:numId w:val="10"/>
        </w:numPr>
        <w:tabs>
          <w:tab w:val="left" w:pos="2522"/>
        </w:tabs>
        <w:kinsoku w:val="0"/>
        <w:overflowPunct w:val="0"/>
        <w:spacing w:line="364" w:lineRule="auto"/>
        <w:ind w:right="451"/>
        <w:rPr>
          <w:rFonts w:hAnsi="宋体"/>
          <w:color w:val="auto"/>
          <w:spacing w:val="-11"/>
          <w:highlight w:val="none"/>
        </w:rPr>
      </w:pPr>
      <w:r>
        <w:rPr>
          <w:rFonts w:hint="eastAsia" w:hAnsi="宋体"/>
          <w:color w:val="auto"/>
          <w:spacing w:val="-11"/>
          <w:highlight w:val="none"/>
        </w:rPr>
        <w:t>供应商的澄清、说明或者更正不得超出响应文件的范围或者改变响应</w:t>
      </w:r>
      <w:r>
        <w:rPr>
          <w:rFonts w:hint="eastAsia" w:hAnsi="宋体"/>
          <w:color w:val="auto"/>
          <w:spacing w:val="-14"/>
          <w:highlight w:val="none"/>
        </w:rPr>
        <w:t>文件的实质性内容。磋商小组要求供应商澄清、说明或者更正响应文</w:t>
      </w:r>
      <w:r>
        <w:rPr>
          <w:rFonts w:hint="eastAsia" w:hAnsi="宋体"/>
          <w:color w:val="auto"/>
          <w:spacing w:val="-17"/>
          <w:highlight w:val="none"/>
        </w:rPr>
        <w:t>件应当以书面形式作出。供应商的澄清、说明或者更正应当由法定代</w:t>
      </w:r>
      <w:r>
        <w:rPr>
          <w:rFonts w:hint="eastAsia" w:hAnsi="宋体"/>
          <w:color w:val="auto"/>
          <w:spacing w:val="-67"/>
          <w:highlight w:val="none"/>
        </w:rPr>
        <w:t>表人</w:t>
      </w:r>
      <w:r>
        <w:rPr>
          <w:rFonts w:hint="eastAsia" w:hAnsi="宋体"/>
          <w:color w:val="auto"/>
          <w:highlight w:val="none"/>
        </w:rPr>
        <w:t>（</w:t>
      </w:r>
      <w:r>
        <w:rPr>
          <w:rFonts w:hint="eastAsia" w:hAnsi="宋体"/>
          <w:color w:val="auto"/>
          <w:spacing w:val="-6"/>
          <w:highlight w:val="none"/>
        </w:rPr>
        <w:t>若供应商为事业单位或其他组织或分支机构，可为单位负责人</w:t>
      </w:r>
      <w:r>
        <w:rPr>
          <w:rFonts w:hint="eastAsia" w:hAnsi="宋体"/>
          <w:color w:val="auto"/>
          <w:spacing w:val="-16"/>
          <w:highlight w:val="none"/>
        </w:rPr>
        <w:t>）</w:t>
      </w:r>
      <w:r>
        <w:rPr>
          <w:rFonts w:hAnsi="宋体"/>
          <w:color w:val="auto"/>
          <w:spacing w:val="-16"/>
          <w:highlight w:val="none"/>
        </w:rPr>
        <w:t xml:space="preserve"> </w:t>
      </w:r>
      <w:r>
        <w:rPr>
          <w:rFonts w:hint="eastAsia" w:hAnsi="宋体"/>
          <w:color w:val="auto"/>
          <w:spacing w:val="-7"/>
          <w:highlight w:val="none"/>
        </w:rPr>
        <w:t>或其授权代表签字或者加盖公章。由授权代表签字的，应当附授权委</w:t>
      </w:r>
      <w:r>
        <w:rPr>
          <w:rFonts w:hint="eastAsia" w:hAnsi="宋体"/>
          <w:color w:val="auto"/>
          <w:spacing w:val="-11"/>
          <w:highlight w:val="none"/>
        </w:rPr>
        <w:t>托书。供应商为自然人的，应当由本人签字并附身份证明。澄清、说明或者更正文件将作为响应文件内容的一部分。</w:t>
      </w:r>
    </w:p>
    <w:p>
      <w:pPr>
        <w:pStyle w:val="69"/>
        <w:numPr>
          <w:ilvl w:val="1"/>
          <w:numId w:val="10"/>
        </w:numPr>
        <w:tabs>
          <w:tab w:val="left" w:pos="1617"/>
        </w:tabs>
        <w:kinsoku w:val="0"/>
        <w:overflowPunct w:val="0"/>
        <w:spacing w:line="364" w:lineRule="auto"/>
        <w:ind w:right="573"/>
        <w:jc w:val="both"/>
        <w:rPr>
          <w:rFonts w:hAnsi="宋体"/>
          <w:color w:val="auto"/>
          <w:highlight w:val="none"/>
        </w:rPr>
      </w:pPr>
      <w:r>
        <w:rPr>
          <w:rFonts w:hint="eastAsia" w:hAnsi="宋体"/>
          <w:color w:val="auto"/>
          <w:highlight w:val="none"/>
        </w:rPr>
        <w:t>磋商结束后，磋商小组将要求所有实质性响应的供应商在规定时间内提交最后报价。最后报价时间为磋商小组指定的时间，具体时间根据磋商进度另行通知。</w:t>
      </w:r>
    </w:p>
    <w:p>
      <w:pPr>
        <w:pStyle w:val="69"/>
        <w:numPr>
          <w:ilvl w:val="1"/>
          <w:numId w:val="10"/>
        </w:numPr>
        <w:tabs>
          <w:tab w:val="left" w:pos="1617"/>
        </w:tabs>
        <w:kinsoku w:val="0"/>
        <w:overflowPunct w:val="0"/>
        <w:spacing w:line="364" w:lineRule="auto"/>
        <w:ind w:right="570"/>
        <w:jc w:val="both"/>
        <w:rPr>
          <w:rFonts w:hAnsi="宋体"/>
          <w:color w:val="auto"/>
          <w:highlight w:val="none"/>
        </w:rPr>
      </w:pPr>
      <w:r>
        <w:rPr>
          <w:rFonts w:hint="eastAsia" w:hAnsi="宋体"/>
          <w:color w:val="auto"/>
          <w:highlight w:val="none"/>
        </w:rPr>
        <w:t>磋商文件能够详细列明采购标的的技术、服务要求的，磋商结束后，磋商小组应当要求所有实质性响应的供应商在规定时间内提交最后报价，提交最后</w:t>
      </w:r>
      <w:r>
        <w:rPr>
          <w:rFonts w:hint="eastAsia" w:hAnsi="宋体"/>
          <w:color w:val="auto"/>
          <w:spacing w:val="-4"/>
          <w:highlight w:val="none"/>
        </w:rPr>
        <w:t>报价的供应商不得少于</w:t>
      </w:r>
      <w:r>
        <w:rPr>
          <w:rFonts w:hAnsi="宋体"/>
          <w:color w:val="auto"/>
          <w:spacing w:val="-4"/>
          <w:highlight w:val="none"/>
        </w:rPr>
        <w:t xml:space="preserve"> </w:t>
      </w:r>
      <w:r>
        <w:rPr>
          <w:rFonts w:hAnsi="宋体" w:cs="Arial"/>
          <w:color w:val="auto"/>
          <w:highlight w:val="none"/>
        </w:rPr>
        <w:t>3</w:t>
      </w:r>
      <w:r>
        <w:rPr>
          <w:rFonts w:hAnsi="宋体" w:cs="Arial"/>
          <w:color w:val="auto"/>
          <w:spacing w:val="17"/>
          <w:highlight w:val="none"/>
        </w:rPr>
        <w:t xml:space="preserve"> </w:t>
      </w:r>
      <w:r>
        <w:rPr>
          <w:rFonts w:hint="eastAsia" w:hAnsi="宋体"/>
          <w:color w:val="auto"/>
          <w:highlight w:val="none"/>
        </w:rPr>
        <w:t>家。磋商文件不能详细列明采购标的的技术、服务要求，需经磋商由供应商提供最终设计方案或解决方案的，磋商结束后，磋</w:t>
      </w:r>
      <w:r>
        <w:rPr>
          <w:rFonts w:hint="eastAsia" w:hAnsi="宋体"/>
          <w:color w:val="auto"/>
          <w:spacing w:val="-2"/>
          <w:highlight w:val="none"/>
        </w:rPr>
        <w:t>商小组应当按照少数服从多数的原则投票推荐</w:t>
      </w:r>
      <w:r>
        <w:rPr>
          <w:rFonts w:hAnsi="宋体"/>
          <w:color w:val="auto"/>
          <w:spacing w:val="-2"/>
          <w:highlight w:val="none"/>
        </w:rPr>
        <w:t xml:space="preserve"> </w:t>
      </w:r>
      <w:r>
        <w:rPr>
          <w:rFonts w:hAnsi="宋体" w:cs="Arial"/>
          <w:color w:val="auto"/>
          <w:highlight w:val="none"/>
        </w:rPr>
        <w:t>3</w:t>
      </w:r>
      <w:r>
        <w:rPr>
          <w:rFonts w:hAnsi="宋体" w:cs="Arial"/>
          <w:color w:val="auto"/>
          <w:spacing w:val="18"/>
          <w:highlight w:val="none"/>
        </w:rPr>
        <w:t xml:space="preserve"> </w:t>
      </w:r>
      <w:r>
        <w:rPr>
          <w:rFonts w:hint="eastAsia" w:hAnsi="宋体"/>
          <w:color w:val="auto"/>
          <w:highlight w:val="none"/>
        </w:rPr>
        <w:t>家以上供应商的设计方案或者解决方案，并要求其在规定时间内提交最后报价。市场竞争不充分的科研</w:t>
      </w:r>
      <w:r>
        <w:rPr>
          <w:rFonts w:hint="eastAsia" w:hAnsi="宋体"/>
          <w:color w:val="auto"/>
          <w:spacing w:val="-1"/>
          <w:highlight w:val="none"/>
        </w:rPr>
        <w:t>项目，以及需要扶持的科技成果转化项目，提交最后报价的供应商可以为</w:t>
      </w:r>
      <w:r>
        <w:rPr>
          <w:rFonts w:hAnsi="宋体"/>
          <w:color w:val="auto"/>
          <w:spacing w:val="-1"/>
          <w:highlight w:val="none"/>
        </w:rPr>
        <w:t xml:space="preserve"> </w:t>
      </w:r>
      <w:r>
        <w:rPr>
          <w:rFonts w:hAnsi="宋体" w:cs="Arial"/>
          <w:color w:val="auto"/>
          <w:highlight w:val="none"/>
        </w:rPr>
        <w:t xml:space="preserve">2 </w:t>
      </w:r>
      <w:r>
        <w:rPr>
          <w:rFonts w:hint="eastAsia" w:hAnsi="宋体"/>
          <w:color w:val="auto"/>
          <w:spacing w:val="-6"/>
          <w:highlight w:val="none"/>
        </w:rPr>
        <w:t>家；政府购买服务项目</w:t>
      </w:r>
      <w:r>
        <w:rPr>
          <w:rFonts w:hint="eastAsia" w:hAnsi="宋体"/>
          <w:color w:val="auto"/>
          <w:highlight w:val="none"/>
        </w:rPr>
        <w:t>（含政府和社会资本合作项目</w:t>
      </w:r>
      <w:r>
        <w:rPr>
          <w:rFonts w:hint="eastAsia" w:hAnsi="宋体"/>
          <w:color w:val="auto"/>
          <w:spacing w:val="-120"/>
          <w:highlight w:val="none"/>
        </w:rPr>
        <w:t>）</w:t>
      </w:r>
      <w:r>
        <w:rPr>
          <w:rFonts w:hint="eastAsia" w:hAnsi="宋体"/>
          <w:color w:val="auto"/>
          <w:spacing w:val="-5"/>
          <w:highlight w:val="none"/>
        </w:rPr>
        <w:t>，在采购过程中符合要</w:t>
      </w:r>
      <w:r>
        <w:rPr>
          <w:rFonts w:hint="eastAsia" w:hAnsi="宋体"/>
          <w:color w:val="auto"/>
          <w:highlight w:val="none"/>
        </w:rPr>
        <w:t>求的供应商（社会资本）</w:t>
      </w:r>
      <w:r>
        <w:rPr>
          <w:rFonts w:hint="eastAsia" w:hAnsi="宋体"/>
          <w:color w:val="auto"/>
          <w:spacing w:val="-19"/>
          <w:highlight w:val="none"/>
        </w:rPr>
        <w:t>只有</w:t>
      </w:r>
      <w:r>
        <w:rPr>
          <w:rFonts w:hAnsi="宋体"/>
          <w:color w:val="auto"/>
          <w:spacing w:val="-19"/>
          <w:highlight w:val="none"/>
        </w:rPr>
        <w:t xml:space="preserve"> </w:t>
      </w:r>
      <w:r>
        <w:rPr>
          <w:rFonts w:hAnsi="宋体" w:cs="Arial"/>
          <w:color w:val="auto"/>
          <w:highlight w:val="none"/>
        </w:rPr>
        <w:t>2</w:t>
      </w:r>
      <w:r>
        <w:rPr>
          <w:rFonts w:hAnsi="宋体" w:cs="Arial"/>
          <w:color w:val="auto"/>
          <w:spacing w:val="1"/>
          <w:highlight w:val="none"/>
        </w:rPr>
        <w:t xml:space="preserve"> </w:t>
      </w:r>
      <w:r>
        <w:rPr>
          <w:rFonts w:hint="eastAsia" w:hAnsi="宋体"/>
          <w:color w:val="auto"/>
          <w:highlight w:val="none"/>
        </w:rPr>
        <w:t>家的，竞争性磋商采购活动可以继续进行。</w:t>
      </w:r>
    </w:p>
    <w:p>
      <w:pPr>
        <w:pStyle w:val="69"/>
        <w:numPr>
          <w:ilvl w:val="1"/>
          <w:numId w:val="10"/>
        </w:numPr>
        <w:tabs>
          <w:tab w:val="left" w:pos="1617"/>
        </w:tabs>
        <w:kinsoku w:val="0"/>
        <w:overflowPunct w:val="0"/>
        <w:spacing w:line="301" w:lineRule="exact"/>
        <w:ind w:hanging="721"/>
        <w:jc w:val="both"/>
        <w:rPr>
          <w:rFonts w:hAnsi="宋体"/>
          <w:color w:val="auto"/>
          <w:highlight w:val="none"/>
        </w:rPr>
      </w:pPr>
      <w:r>
        <w:rPr>
          <w:rFonts w:hint="eastAsia" w:hAnsi="宋体"/>
          <w:color w:val="auto"/>
          <w:highlight w:val="none"/>
        </w:rPr>
        <w:t>最后报价是供应商响应文件的有效组成部分。</w:t>
      </w:r>
    </w:p>
    <w:p>
      <w:pPr>
        <w:pStyle w:val="69"/>
        <w:numPr>
          <w:ilvl w:val="1"/>
          <w:numId w:val="10"/>
        </w:numPr>
        <w:tabs>
          <w:tab w:val="left" w:pos="1617"/>
        </w:tabs>
        <w:kinsoku w:val="0"/>
        <w:overflowPunct w:val="0"/>
        <w:spacing w:before="72" w:line="362" w:lineRule="auto"/>
        <w:ind w:right="573"/>
        <w:jc w:val="both"/>
        <w:rPr>
          <w:rFonts w:hAnsi="宋体"/>
          <w:color w:val="auto"/>
          <w:highlight w:val="none"/>
        </w:rPr>
      </w:pPr>
      <w:r>
        <w:rPr>
          <w:rFonts w:hint="eastAsia" w:hAnsi="宋体"/>
          <w:color w:val="auto"/>
          <w:highlight w:val="none"/>
        </w:rPr>
        <w:t>已提交响应文件的供应商，在提交最后报价之前，可以根据磋商情况退出磋商。</w:t>
      </w:r>
    </w:p>
    <w:p>
      <w:pPr>
        <w:pStyle w:val="69"/>
        <w:numPr>
          <w:ilvl w:val="0"/>
          <w:numId w:val="10"/>
        </w:numPr>
        <w:tabs>
          <w:tab w:val="left" w:pos="902"/>
        </w:tabs>
        <w:kinsoku w:val="0"/>
        <w:overflowPunct w:val="0"/>
        <w:spacing w:before="5"/>
        <w:ind w:hanging="361"/>
        <w:jc w:val="both"/>
        <w:rPr>
          <w:rFonts w:hAnsi="宋体"/>
          <w:color w:val="auto"/>
          <w:highlight w:val="none"/>
        </w:rPr>
      </w:pPr>
      <w:r>
        <w:rPr>
          <w:rFonts w:hint="eastAsia" w:hAnsi="宋体"/>
          <w:color w:val="auto"/>
          <w:highlight w:val="none"/>
        </w:rPr>
        <w:t>最后报价的算术修正及政策调整</w:t>
      </w:r>
    </w:p>
    <w:p>
      <w:pPr>
        <w:pStyle w:val="69"/>
        <w:numPr>
          <w:ilvl w:val="1"/>
          <w:numId w:val="10"/>
        </w:numPr>
        <w:tabs>
          <w:tab w:val="left" w:pos="1617"/>
        </w:tabs>
        <w:kinsoku w:val="0"/>
        <w:overflowPunct w:val="0"/>
        <w:spacing w:before="161" w:line="364" w:lineRule="auto"/>
        <w:ind w:right="570"/>
        <w:jc w:val="both"/>
        <w:rPr>
          <w:rFonts w:hAnsi="宋体"/>
          <w:color w:val="auto"/>
          <w:highlight w:val="none"/>
        </w:rPr>
      </w:pPr>
      <w:r>
        <w:rPr>
          <w:rFonts w:hint="eastAsia" w:hAnsi="宋体"/>
          <w:color w:val="auto"/>
          <w:highlight w:val="none"/>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pPr>
        <w:pStyle w:val="69"/>
        <w:numPr>
          <w:ilvl w:val="1"/>
          <w:numId w:val="10"/>
        </w:numPr>
        <w:tabs>
          <w:tab w:val="left" w:pos="1617"/>
        </w:tabs>
        <w:kinsoku w:val="0"/>
        <w:overflowPunct w:val="0"/>
        <w:spacing w:line="305" w:lineRule="exact"/>
        <w:ind w:hanging="721"/>
        <w:jc w:val="both"/>
        <w:rPr>
          <w:rFonts w:hAnsi="宋体"/>
          <w:color w:val="auto"/>
          <w:highlight w:val="none"/>
        </w:rPr>
      </w:pPr>
      <w:r>
        <w:rPr>
          <w:rFonts w:hint="eastAsia" w:hAnsi="宋体"/>
          <w:color w:val="auto"/>
          <w:highlight w:val="none"/>
        </w:rPr>
        <w:t>最后报价出现前后不一致的，按照下列规定修正：</w:t>
      </w:r>
    </w:p>
    <w:p>
      <w:pPr>
        <w:pStyle w:val="69"/>
        <w:numPr>
          <w:ilvl w:val="2"/>
          <w:numId w:val="10"/>
        </w:numPr>
        <w:tabs>
          <w:tab w:val="left" w:pos="2522"/>
        </w:tabs>
        <w:kinsoku w:val="0"/>
        <w:overflowPunct w:val="0"/>
        <w:spacing w:before="158"/>
        <w:ind w:hanging="846"/>
        <w:rPr>
          <w:rFonts w:hAnsi="宋体"/>
          <w:color w:val="auto"/>
          <w:highlight w:val="none"/>
        </w:rPr>
      </w:pPr>
      <w:r>
        <w:rPr>
          <w:rFonts w:hint="eastAsia" w:hAnsi="宋体"/>
          <w:color w:val="auto"/>
          <w:highlight w:val="none"/>
        </w:rPr>
        <w:t>竞争性磋商文件对于报价修正是否另有规定：</w:t>
      </w:r>
    </w:p>
    <w:p>
      <w:pPr>
        <w:pStyle w:val="17"/>
        <w:tabs>
          <w:tab w:val="left" w:pos="6094"/>
        </w:tabs>
        <w:kinsoku w:val="0"/>
        <w:overflowPunct w:val="0"/>
        <w:spacing w:before="161"/>
        <w:ind w:left="2576"/>
        <w:rPr>
          <w:rFonts w:hAnsi="宋体" w:cs="Times New Roman"/>
          <w:color w:val="auto"/>
          <w:highlight w:val="none"/>
        </w:rPr>
      </w:pPr>
      <w:r>
        <w:rPr>
          <w:rFonts w:hAnsi="宋体" w:cs="Arial"/>
          <w:color w:val="auto"/>
          <w:spacing w:val="-1"/>
          <w:highlight w:val="none"/>
        </w:rPr>
        <w:t>□</w:t>
      </w:r>
      <w:r>
        <w:rPr>
          <w:rFonts w:hint="eastAsia" w:hAnsi="宋体"/>
          <w:color w:val="auto"/>
          <w:spacing w:val="-1"/>
          <w:highlight w:val="none"/>
        </w:rPr>
        <w:t>有，</w:t>
      </w:r>
      <w:r>
        <w:rPr>
          <w:rFonts w:hint="eastAsia" w:hAnsi="宋体"/>
          <w:color w:val="auto"/>
          <w:highlight w:val="none"/>
        </w:rPr>
        <w:t>具体规定为：</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kinsoku w:val="0"/>
        <w:overflowPunct w:val="0"/>
        <w:spacing w:before="158"/>
        <w:ind w:left="2576"/>
        <w:rPr>
          <w:rFonts w:hAnsi="宋体"/>
          <w:color w:val="auto"/>
          <w:w w:val="110"/>
          <w:highlight w:val="none"/>
        </w:rPr>
      </w:pPr>
      <w:r>
        <w:rPr>
          <w:rFonts w:hAnsi="宋体" w:cs="Arial"/>
          <w:color w:val="auto"/>
          <w:w w:val="125"/>
          <w:highlight w:val="none"/>
        </w:rPr>
        <w:sym w:font="Wingdings 2" w:char="F052"/>
      </w:r>
      <w:r>
        <w:rPr>
          <w:rFonts w:hint="eastAsia" w:hAnsi="宋体"/>
          <w:color w:val="auto"/>
          <w:highlight w:val="none"/>
        </w:rPr>
        <w:t>无，按下述 3.2.2-3.2.5 项规定修正</w:t>
      </w:r>
      <w:r>
        <w:rPr>
          <w:rFonts w:hint="eastAsia" w:hAnsi="宋体"/>
          <w:color w:val="auto"/>
          <w:w w:val="110"/>
          <w:highlight w:val="none"/>
        </w:rPr>
        <w:t>。</w:t>
      </w:r>
    </w:p>
    <w:p>
      <w:pPr>
        <w:pStyle w:val="69"/>
        <w:numPr>
          <w:ilvl w:val="2"/>
          <w:numId w:val="10"/>
        </w:numPr>
        <w:tabs>
          <w:tab w:val="left" w:pos="2522"/>
        </w:tabs>
        <w:kinsoku w:val="0"/>
        <w:overflowPunct w:val="0"/>
        <w:spacing w:before="160"/>
        <w:ind w:hanging="846"/>
        <w:rPr>
          <w:rFonts w:hAnsi="宋体"/>
          <w:color w:val="auto"/>
          <w:highlight w:val="none"/>
        </w:rPr>
      </w:pPr>
      <w:r>
        <w:rPr>
          <w:rFonts w:hint="eastAsia" w:hAnsi="宋体"/>
          <w:color w:val="auto"/>
          <w:highlight w:val="none"/>
        </w:rPr>
        <w:t>大写金额和小写金额不一致的，以大写金额为准；</w:t>
      </w:r>
    </w:p>
    <w:p>
      <w:pPr>
        <w:pStyle w:val="69"/>
        <w:numPr>
          <w:ilvl w:val="2"/>
          <w:numId w:val="10"/>
        </w:numPr>
        <w:tabs>
          <w:tab w:val="left" w:pos="2522"/>
        </w:tabs>
        <w:kinsoku w:val="0"/>
        <w:overflowPunct w:val="0"/>
        <w:spacing w:before="158"/>
        <w:ind w:hanging="846"/>
        <w:rPr>
          <w:rFonts w:hAnsi="宋体"/>
          <w:color w:val="auto"/>
          <w:spacing w:val="-12"/>
          <w:highlight w:val="none"/>
        </w:rPr>
      </w:pPr>
      <w:r>
        <w:rPr>
          <w:rFonts w:hint="eastAsia" w:hAnsi="宋体"/>
          <w:color w:val="auto"/>
          <w:spacing w:val="-12"/>
          <w:highlight w:val="none"/>
        </w:rPr>
        <w:t>单价金额小数点或者百分比有明显错位的，以总价为准，并修改单价；</w:t>
      </w:r>
    </w:p>
    <w:p>
      <w:pPr>
        <w:pStyle w:val="69"/>
        <w:numPr>
          <w:ilvl w:val="2"/>
          <w:numId w:val="10"/>
        </w:numPr>
        <w:tabs>
          <w:tab w:val="left" w:pos="2522"/>
        </w:tabs>
        <w:kinsoku w:val="0"/>
        <w:overflowPunct w:val="0"/>
        <w:spacing w:before="161"/>
        <w:ind w:hanging="846"/>
        <w:jc w:val="both"/>
        <w:rPr>
          <w:rFonts w:hAnsi="宋体"/>
          <w:color w:val="auto"/>
          <w:highlight w:val="none"/>
        </w:rPr>
      </w:pPr>
      <w:r>
        <w:rPr>
          <w:rFonts w:hint="eastAsia" w:hAnsi="宋体"/>
          <w:color w:val="auto"/>
          <w:highlight w:val="none"/>
        </w:rPr>
        <w:t>总价金额与按单价汇总金额不一致的，以单价金额计算结果为准。</w:t>
      </w:r>
    </w:p>
    <w:p>
      <w:pPr>
        <w:pStyle w:val="69"/>
        <w:numPr>
          <w:ilvl w:val="2"/>
          <w:numId w:val="10"/>
        </w:numPr>
        <w:tabs>
          <w:tab w:val="left" w:pos="2522"/>
        </w:tabs>
        <w:kinsoku w:val="0"/>
        <w:overflowPunct w:val="0"/>
        <w:spacing w:before="160" w:line="362" w:lineRule="auto"/>
        <w:ind w:left="2576" w:right="451"/>
        <w:jc w:val="both"/>
        <w:rPr>
          <w:rFonts w:hAnsi="宋体"/>
          <w:color w:val="auto"/>
          <w:spacing w:val="-11"/>
          <w:highlight w:val="none"/>
        </w:rPr>
      </w:pPr>
      <w:r>
        <w:rPr>
          <w:rFonts w:hint="eastAsia" w:hAnsi="宋体"/>
          <w:color w:val="auto"/>
          <w:spacing w:val="-7"/>
          <w:highlight w:val="none"/>
        </w:rPr>
        <w:t>同时出现两种以上不一致的，按照前款规定的顺序修正。修正后的报</w:t>
      </w:r>
      <w:r>
        <w:rPr>
          <w:rFonts w:hint="eastAsia" w:hAnsi="宋体"/>
          <w:color w:val="auto"/>
          <w:spacing w:val="-11"/>
          <w:highlight w:val="none"/>
        </w:rPr>
        <w:t>价经供应商书面确认后产生约束力，供应商不确认的，其响应无效。</w:t>
      </w:r>
    </w:p>
    <w:p>
      <w:pPr>
        <w:pStyle w:val="69"/>
        <w:numPr>
          <w:ilvl w:val="1"/>
          <w:numId w:val="10"/>
        </w:numPr>
        <w:tabs>
          <w:tab w:val="left" w:pos="1617"/>
        </w:tabs>
        <w:kinsoku w:val="0"/>
        <w:overflowPunct w:val="0"/>
        <w:spacing w:before="5" w:line="362" w:lineRule="auto"/>
        <w:ind w:right="571"/>
        <w:jc w:val="both"/>
        <w:rPr>
          <w:rFonts w:hAnsi="宋体"/>
          <w:color w:val="auto"/>
          <w:spacing w:val="1"/>
          <w:highlight w:val="none"/>
        </w:rPr>
      </w:pPr>
      <w:r>
        <w:rPr>
          <w:rFonts w:hint="eastAsia" w:hAnsi="宋体"/>
          <w:color w:val="auto"/>
          <w:highlight w:val="none"/>
        </w:rPr>
        <w:t>落实政府采购政策的价格调整：只有符合第二章《供应商须知》</w:t>
      </w:r>
      <w:r>
        <w:rPr>
          <w:rFonts w:hAnsi="宋体" w:cs="Arial"/>
          <w:color w:val="auto"/>
          <w:highlight w:val="none"/>
        </w:rPr>
        <w:t>4.2</w:t>
      </w:r>
      <w:r>
        <w:rPr>
          <w:rFonts w:hAnsi="宋体" w:cs="Arial"/>
          <w:color w:val="auto"/>
          <w:spacing w:val="49"/>
          <w:highlight w:val="none"/>
        </w:rPr>
        <w:t xml:space="preserve"> </w:t>
      </w:r>
      <w:r>
        <w:rPr>
          <w:rFonts w:hint="eastAsia" w:hAnsi="宋体"/>
          <w:color w:val="auto"/>
          <w:spacing w:val="1"/>
          <w:highlight w:val="none"/>
        </w:rPr>
        <w:t>条规定情形的，可以享受中小企业扶持政策，用扣除后的价格参加评审；否则，评审时价格不予扣除。</w:t>
      </w:r>
    </w:p>
    <w:p>
      <w:pPr>
        <w:pStyle w:val="69"/>
        <w:numPr>
          <w:ilvl w:val="2"/>
          <w:numId w:val="10"/>
        </w:numPr>
        <w:tabs>
          <w:tab w:val="left" w:pos="2522"/>
        </w:tabs>
        <w:kinsoku w:val="0"/>
        <w:overflowPunct w:val="0"/>
        <w:spacing w:before="6"/>
        <w:ind w:hanging="846"/>
        <w:jc w:val="both"/>
        <w:rPr>
          <w:rFonts w:hAnsi="宋体"/>
          <w:color w:val="auto"/>
          <w:spacing w:val="-5"/>
          <w:highlight w:val="none"/>
        </w:rPr>
      </w:pPr>
      <w:r>
        <w:rPr>
          <w:rFonts w:hint="eastAsia" w:hAnsi="宋体"/>
          <w:color w:val="auto"/>
          <w:spacing w:val="-5"/>
          <w:highlight w:val="none"/>
        </w:rPr>
        <w:t>对于未预留份额专门面向中小企业采购的采购项目，以及预留份额项</w:t>
      </w:r>
    </w:p>
    <w:p>
      <w:pPr>
        <w:pStyle w:val="17"/>
        <w:kinsoku w:val="0"/>
        <w:overflowPunct w:val="0"/>
        <w:spacing w:before="161" w:line="362" w:lineRule="auto"/>
        <w:ind w:left="2576"/>
        <w:rPr>
          <w:rFonts w:hAnsi="宋体"/>
          <w:color w:val="auto"/>
          <w:highlight w:val="none"/>
        </w:rPr>
      </w:pPr>
      <w:r>
        <w:rPr>
          <w:rFonts w:hAnsi="宋体"/>
          <w:color w:val="auto"/>
          <w:highlight w:val="none"/>
        </w:rPr>
        <mc:AlternateContent>
          <mc:Choice Requires="wps">
            <w:drawing>
              <wp:anchor distT="0" distB="0" distL="114300" distR="114300" simplePos="0" relativeHeight="251670528" behindDoc="0" locked="0" layoutInCell="0" allowOverlap="1">
                <wp:simplePos x="0" y="0"/>
                <wp:positionH relativeFrom="page">
                  <wp:posOffset>5618480</wp:posOffset>
                </wp:positionH>
                <wp:positionV relativeFrom="paragraph">
                  <wp:posOffset>283210</wp:posOffset>
                </wp:positionV>
                <wp:extent cx="455930" cy="12700"/>
                <wp:effectExtent l="0" t="0" r="0" b="0"/>
                <wp:wrapNone/>
                <wp:docPr id="1514863182" name="Freeform 13"/>
                <wp:cNvGraphicFramePr/>
                <a:graphic xmlns:a="http://schemas.openxmlformats.org/drawingml/2006/main">
                  <a:graphicData uri="http://schemas.microsoft.com/office/word/2010/wordprocessingShape">
                    <wps:wsp>
                      <wps:cNvSpPr/>
                      <wps:spPr bwMode="auto">
                        <a:xfrm>
                          <a:off x="0" y="0"/>
                          <a:ext cx="455930" cy="12700"/>
                        </a:xfrm>
                        <a:custGeom>
                          <a:avLst/>
                          <a:gdLst>
                            <a:gd name="T0" fmla="*/ 0 w 718"/>
                            <a:gd name="T1" fmla="*/ 0 h 20"/>
                            <a:gd name="T2" fmla="*/ 717 w 718"/>
                            <a:gd name="T3" fmla="*/ 0 h 20"/>
                          </a:gdLst>
                          <a:ahLst/>
                          <a:cxnLst>
                            <a:cxn ang="0">
                              <a:pos x="T0" y="T1"/>
                            </a:cxn>
                            <a:cxn ang="0">
                              <a:pos x="T2" y="T3"/>
                            </a:cxn>
                          </a:cxnLst>
                          <a:rect l="0" t="0" r="r" b="b"/>
                          <a:pathLst>
                            <a:path w="718" h="20">
                              <a:moveTo>
                                <a:pt x="0" y="0"/>
                              </a:moveTo>
                              <a:lnTo>
                                <a:pt x="717" y="0"/>
                              </a:lnTo>
                            </a:path>
                          </a:pathLst>
                        </a:custGeom>
                        <a:noFill/>
                        <a:ln w="10668">
                          <a:solidFill>
                            <a:srgbClr val="000000"/>
                          </a:solidFill>
                          <a:round/>
                        </a:ln>
                      </wps:spPr>
                      <wps:bodyPr rot="0" vert="horz" wrap="square" lIns="91440" tIns="45720" rIns="91440" bIns="45720" anchor="t" anchorCtr="0" upright="1">
                        <a:noAutofit/>
                      </wps:bodyPr>
                    </wps:wsp>
                  </a:graphicData>
                </a:graphic>
              </wp:anchor>
            </w:drawing>
          </mc:Choice>
          <mc:Fallback>
            <w:pict>
              <v:shape id="Freeform 13" o:spid="_x0000_s1026" o:spt="100" style="position:absolute;left:0pt;margin-left:442.4pt;margin-top:22.3pt;height:1pt;width:35.9pt;mso-position-horizontal-relative:page;z-index:251670528;mso-width-relative:page;mso-height-relative:page;" filled="f" stroked="t" coordsize="718,20" o:allowincell="f" o:gfxdata="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HxlDXzZAAAACQEAAA8AAAAAAAAAAQAgAAAAIgAAAGRycy9kb3ducmV2&#10;LnhtbFBLAQIUABQAAAAIAIdO4kCNFy4rpgIAAMYFAAAOAAAAAAAAAAEAIAAAACgBAABkcnMvZTJv&#10;RG9jLnhtbFBLBQYAAAAABgAGAFkBAABABgAAAAA=&#10;" path="m0,0l717,0e">
                <v:path o:connectlocs="0,0;455295,0" o:connectangles="0,0"/>
                <v:fill on="f" focussize="0,0"/>
                <v:stroke weight="0.84pt" color="#000000" joinstyle="round"/>
                <v:imagedata o:title=""/>
                <o:lock v:ext="edit" aspectratio="f"/>
              </v:shape>
            </w:pict>
          </mc:Fallback>
        </mc:AlternateContent>
      </w:r>
      <w:r>
        <w:rPr>
          <w:rFonts w:hint="eastAsia" w:hAnsi="宋体"/>
          <w:color w:val="auto"/>
          <w:highlight w:val="none"/>
        </w:rPr>
        <w:t>目中的非预留部分采购包，对小微企业报价给予</w:t>
      </w:r>
      <w:r>
        <w:rPr>
          <w:rFonts w:hint="eastAsia" w:hAnsi="宋体"/>
          <w:color w:val="auto"/>
          <w:highlight w:val="none"/>
          <w:u w:val="single"/>
        </w:rPr>
        <w:t>/</w:t>
      </w:r>
      <w:r>
        <w:rPr>
          <w:rFonts w:hAnsi="宋体"/>
          <w:color w:val="auto"/>
          <w:highlight w:val="none"/>
          <w:u w:val="single"/>
        </w:rPr>
        <w:t xml:space="preserve"> % </w:t>
      </w:r>
      <w:r>
        <w:rPr>
          <w:rFonts w:hint="eastAsia" w:hAnsi="宋体"/>
          <w:color w:val="auto"/>
          <w:highlight w:val="none"/>
        </w:rPr>
        <w:t>的扣除，用</w:t>
      </w:r>
    </w:p>
    <w:p>
      <w:pPr>
        <w:pStyle w:val="17"/>
        <w:kinsoku w:val="0"/>
        <w:overflowPunct w:val="0"/>
        <w:spacing w:before="161" w:line="362" w:lineRule="auto"/>
        <w:ind w:left="2576"/>
        <w:rPr>
          <w:rFonts w:hAnsi="宋体"/>
          <w:color w:val="auto"/>
          <w:highlight w:val="none"/>
        </w:rPr>
      </w:pPr>
      <w:r>
        <w:rPr>
          <w:rFonts w:hint="eastAsia" w:hAnsi="宋体"/>
          <w:color w:val="auto"/>
          <w:highlight w:val="none"/>
        </w:rPr>
        <w:t>扣除后的价格参加评审。</w:t>
      </w:r>
    </w:p>
    <w:p>
      <w:pPr>
        <w:pStyle w:val="69"/>
        <w:numPr>
          <w:ilvl w:val="2"/>
          <w:numId w:val="10"/>
        </w:numPr>
        <w:tabs>
          <w:tab w:val="left" w:pos="2522"/>
        </w:tabs>
        <w:kinsoku w:val="0"/>
        <w:overflowPunct w:val="0"/>
        <w:spacing w:before="5" w:line="364" w:lineRule="auto"/>
        <w:ind w:left="2576" w:right="570"/>
        <w:jc w:val="both"/>
        <w:rPr>
          <w:rFonts w:hAnsi="宋体"/>
          <w:color w:val="auto"/>
          <w:highlight w:val="none"/>
        </w:rPr>
      </w:pPr>
      <w:bookmarkStart w:id="76" w:name="_Hlk149137337"/>
      <w:r>
        <w:rPr>
          <w:rFonts w:hint="eastAsia" w:hAnsi="宋体"/>
          <w:color w:val="auto"/>
          <w:spacing w:val="-6"/>
          <w:highlight w:val="none"/>
        </w:rPr>
        <w:t>对于未预留份额专门面向中小企业采购的采购项目，以及预留份额项</w:t>
      </w:r>
      <w:r>
        <w:rPr>
          <w:rFonts w:hint="eastAsia" w:hAnsi="宋体"/>
          <w:color w:val="auto"/>
          <w:highlight w:val="none"/>
        </w:rPr>
        <w:t>目中的非预留部分采购包，且接受大中型企业与小微企业组成联合体或者允许大中型企业向一家或者多家小微企业分包的采购项目，</w:t>
      </w:r>
      <w:r>
        <w:rPr>
          <w:rFonts w:hAnsi="宋体"/>
          <w:color w:val="auto"/>
          <w:highlight w:val="none"/>
        </w:rPr>
        <w:t xml:space="preserve"> </w:t>
      </w:r>
      <w:r>
        <w:rPr>
          <w:rFonts w:hint="eastAsia" w:hAnsi="宋体"/>
          <w:color w:val="auto"/>
          <w:highlight w:val="none"/>
        </w:rPr>
        <w:t>对于联合协议或者分包意向协议约定小微企业的合同份额占到合同</w:t>
      </w:r>
    </w:p>
    <w:p>
      <w:pPr>
        <w:pStyle w:val="17"/>
        <w:kinsoku w:val="0"/>
        <w:overflowPunct w:val="0"/>
        <w:spacing w:line="362" w:lineRule="auto"/>
        <w:ind w:left="2576" w:right="571"/>
        <w:rPr>
          <w:rFonts w:hAnsi="宋体"/>
          <w:color w:val="auto"/>
          <w:highlight w:val="none"/>
        </w:rPr>
      </w:pPr>
      <w:r>
        <w:rPr>
          <w:rFonts w:hAnsi="宋体"/>
          <w:color w:val="auto"/>
          <w:highlight w:val="none"/>
        </w:rPr>
        <mc:AlternateContent>
          <mc:Choice Requires="wps">
            <w:drawing>
              <wp:anchor distT="0" distB="0" distL="114300" distR="114300" simplePos="0" relativeHeight="251671552" behindDoc="1" locked="0" layoutInCell="0" allowOverlap="1">
                <wp:simplePos x="0" y="0"/>
                <wp:positionH relativeFrom="page">
                  <wp:posOffset>6082030</wp:posOffset>
                </wp:positionH>
                <wp:positionV relativeFrom="paragraph">
                  <wp:posOffset>180975</wp:posOffset>
                </wp:positionV>
                <wp:extent cx="455930" cy="12700"/>
                <wp:effectExtent l="0" t="0" r="0" b="0"/>
                <wp:wrapNone/>
                <wp:docPr id="2036918030" name="Freeform 14"/>
                <wp:cNvGraphicFramePr/>
                <a:graphic xmlns:a="http://schemas.openxmlformats.org/drawingml/2006/main">
                  <a:graphicData uri="http://schemas.microsoft.com/office/word/2010/wordprocessingShape">
                    <wps:wsp>
                      <wps:cNvSpPr/>
                      <wps:spPr bwMode="auto">
                        <a:xfrm>
                          <a:off x="0" y="0"/>
                          <a:ext cx="455930" cy="12700"/>
                        </a:xfrm>
                        <a:custGeom>
                          <a:avLst/>
                          <a:gdLst>
                            <a:gd name="T0" fmla="*/ 0 w 718"/>
                            <a:gd name="T1" fmla="*/ 0 h 20"/>
                            <a:gd name="T2" fmla="*/ 717 w 718"/>
                            <a:gd name="T3" fmla="*/ 0 h 20"/>
                          </a:gdLst>
                          <a:ahLst/>
                          <a:cxnLst>
                            <a:cxn ang="0">
                              <a:pos x="T0" y="T1"/>
                            </a:cxn>
                            <a:cxn ang="0">
                              <a:pos x="T2" y="T3"/>
                            </a:cxn>
                          </a:cxnLst>
                          <a:rect l="0" t="0" r="r" b="b"/>
                          <a:pathLst>
                            <a:path w="718" h="20">
                              <a:moveTo>
                                <a:pt x="0" y="0"/>
                              </a:moveTo>
                              <a:lnTo>
                                <a:pt x="717" y="0"/>
                              </a:lnTo>
                            </a:path>
                          </a:pathLst>
                        </a:custGeom>
                        <a:noFill/>
                        <a:ln w="10668">
                          <a:solidFill>
                            <a:srgbClr val="000000"/>
                          </a:solidFill>
                          <a:round/>
                        </a:ln>
                      </wps:spPr>
                      <wps:bodyPr rot="0" vert="horz" wrap="square" lIns="91440" tIns="45720" rIns="91440" bIns="45720" anchor="t" anchorCtr="0" upright="1">
                        <a:noAutofit/>
                      </wps:bodyPr>
                    </wps:wsp>
                  </a:graphicData>
                </a:graphic>
              </wp:anchor>
            </w:drawing>
          </mc:Choice>
          <mc:Fallback>
            <w:pict>
              <v:shape id="Freeform 14" o:spid="_x0000_s1026" o:spt="100" style="position:absolute;left:0pt;margin-left:478.9pt;margin-top:14.25pt;height:1pt;width:35.9pt;mso-position-horizontal-relative:page;z-index:-251644928;mso-width-relative:page;mso-height-relative:page;" filled="f" stroked="t" coordsize="718,20" o:allowincell="f" o:gfxdata="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lsA2GNsAAAAKAQAADwAAAAAAAAABACAAAAAiAAAAZHJzL2Rvd25yZXYu&#10;eG1sUEsBAhQAFAAAAAgAh07iQGvKIRCjAgAAxgUAAA4AAAAAAAAAAQAgAAAAKgEAAGRycy9lMm9E&#10;b2MueG1sUEsFBgAAAAAGAAYAWQEAAD8GAAAAAA==&#10;" path="m0,0l717,0e">
                <v:path o:connectlocs="0,0;455295,0" o:connectangles="0,0"/>
                <v:fill on="f" focussize="0,0"/>
                <v:stroke weight="0.84pt" color="#000000" joinstyle="round"/>
                <v:imagedata o:title=""/>
                <o:lock v:ext="edit" aspectratio="f"/>
              </v:shape>
            </w:pict>
          </mc:Fallback>
        </mc:AlternateContent>
      </w:r>
      <w:r>
        <w:rPr>
          <w:rFonts w:hint="eastAsia" w:hAnsi="宋体"/>
          <w:color w:val="auto"/>
          <w:spacing w:val="7"/>
          <w:highlight w:val="none"/>
        </w:rPr>
        <w:t>总</w:t>
      </w:r>
      <w:r>
        <w:rPr>
          <w:rFonts w:hint="eastAsia" w:hAnsi="宋体"/>
          <w:color w:val="auto"/>
          <w:spacing w:val="4"/>
          <w:highlight w:val="none"/>
        </w:rPr>
        <w:t>金</w:t>
      </w:r>
      <w:r>
        <w:rPr>
          <w:rFonts w:hint="eastAsia" w:hAnsi="宋体"/>
          <w:color w:val="auto"/>
          <w:highlight w:val="none"/>
        </w:rPr>
        <w:t>额</w:t>
      </w:r>
      <w:r>
        <w:rPr>
          <w:rFonts w:hAnsi="宋体"/>
          <w:color w:val="auto"/>
          <w:spacing w:val="36"/>
          <w:highlight w:val="none"/>
        </w:rPr>
        <w:t xml:space="preserve"> </w:t>
      </w:r>
      <w:r>
        <w:rPr>
          <w:rFonts w:hAnsi="宋体" w:cs="Arial"/>
          <w:color w:val="auto"/>
          <w:highlight w:val="none"/>
        </w:rPr>
        <w:t>30%</w:t>
      </w:r>
      <w:r>
        <w:rPr>
          <w:rFonts w:hint="eastAsia" w:hAnsi="宋体"/>
          <w:color w:val="auto"/>
          <w:spacing w:val="7"/>
          <w:highlight w:val="none"/>
        </w:rPr>
        <w:t>以</w:t>
      </w:r>
      <w:r>
        <w:rPr>
          <w:rFonts w:hint="eastAsia" w:hAnsi="宋体"/>
          <w:color w:val="auto"/>
          <w:spacing w:val="4"/>
          <w:highlight w:val="none"/>
        </w:rPr>
        <w:t>上</w:t>
      </w:r>
      <w:r>
        <w:rPr>
          <w:rFonts w:hint="eastAsia" w:hAnsi="宋体"/>
          <w:color w:val="auto"/>
          <w:spacing w:val="7"/>
          <w:highlight w:val="none"/>
        </w:rPr>
        <w:t>的联合</w:t>
      </w:r>
      <w:r>
        <w:rPr>
          <w:rFonts w:hint="eastAsia" w:hAnsi="宋体"/>
          <w:color w:val="auto"/>
          <w:spacing w:val="4"/>
          <w:highlight w:val="none"/>
        </w:rPr>
        <w:t>体</w:t>
      </w:r>
      <w:r>
        <w:rPr>
          <w:rFonts w:hint="eastAsia" w:hAnsi="宋体"/>
          <w:color w:val="auto"/>
          <w:spacing w:val="7"/>
          <w:highlight w:val="none"/>
        </w:rPr>
        <w:t>或者大</w:t>
      </w:r>
      <w:r>
        <w:rPr>
          <w:rFonts w:hint="eastAsia" w:hAnsi="宋体"/>
          <w:color w:val="auto"/>
          <w:spacing w:val="4"/>
          <w:highlight w:val="none"/>
        </w:rPr>
        <w:t>中</w:t>
      </w:r>
      <w:r>
        <w:rPr>
          <w:rFonts w:hint="eastAsia" w:hAnsi="宋体"/>
          <w:color w:val="auto"/>
          <w:spacing w:val="7"/>
          <w:highlight w:val="none"/>
        </w:rPr>
        <w:t>型企</w:t>
      </w:r>
      <w:r>
        <w:rPr>
          <w:rFonts w:hint="eastAsia" w:hAnsi="宋体"/>
          <w:color w:val="auto"/>
          <w:spacing w:val="4"/>
          <w:highlight w:val="none"/>
        </w:rPr>
        <w:t>业</w:t>
      </w:r>
      <w:r>
        <w:rPr>
          <w:rFonts w:hint="eastAsia" w:hAnsi="宋体"/>
          <w:color w:val="auto"/>
          <w:spacing w:val="7"/>
          <w:highlight w:val="none"/>
        </w:rPr>
        <w:t>的报价</w:t>
      </w:r>
      <w:r>
        <w:rPr>
          <w:rFonts w:hint="eastAsia" w:hAnsi="宋体"/>
          <w:color w:val="auto"/>
          <w:spacing w:val="4"/>
          <w:highlight w:val="none"/>
        </w:rPr>
        <w:t>给</w:t>
      </w:r>
      <w:r>
        <w:rPr>
          <w:rFonts w:hint="eastAsia" w:hAnsi="宋体"/>
          <w:color w:val="auto"/>
          <w:highlight w:val="none"/>
        </w:rPr>
        <w:t>予</w:t>
      </w:r>
      <w:r>
        <w:rPr>
          <w:rFonts w:hAnsi="宋体"/>
          <w:color w:val="auto"/>
          <w:highlight w:val="none"/>
          <w:u w:val="single"/>
        </w:rPr>
        <w:t>/</w:t>
      </w:r>
      <w:r>
        <w:rPr>
          <w:rFonts w:hAnsi="宋体" w:cs="Arial"/>
          <w:color w:val="auto"/>
          <w:spacing w:val="9"/>
          <w:highlight w:val="none"/>
          <w:u w:val="single"/>
        </w:rPr>
        <w:t>%</w:t>
      </w:r>
      <w:r>
        <w:rPr>
          <w:rFonts w:hint="eastAsia" w:hAnsi="宋体"/>
          <w:color w:val="auto"/>
          <w:spacing w:val="-17"/>
          <w:highlight w:val="none"/>
        </w:rPr>
        <w:t>的</w:t>
      </w:r>
      <w:r>
        <w:rPr>
          <w:rFonts w:hint="eastAsia" w:hAnsi="宋体"/>
          <w:color w:val="auto"/>
          <w:highlight w:val="none"/>
        </w:rPr>
        <w:t>扣除，用扣除后的价格参加评审。</w:t>
      </w:r>
    </w:p>
    <w:p>
      <w:pPr>
        <w:pStyle w:val="69"/>
        <w:numPr>
          <w:ilvl w:val="2"/>
          <w:numId w:val="10"/>
        </w:numPr>
        <w:tabs>
          <w:tab w:val="left" w:pos="2522"/>
        </w:tabs>
        <w:kinsoku w:val="0"/>
        <w:overflowPunct w:val="0"/>
        <w:spacing w:before="2" w:line="362" w:lineRule="auto"/>
        <w:ind w:left="2576" w:right="571"/>
        <w:rPr>
          <w:rFonts w:hAnsi="宋体"/>
          <w:color w:val="auto"/>
          <w:highlight w:val="none"/>
        </w:rPr>
      </w:pPr>
      <w:r>
        <w:rPr>
          <w:rFonts w:hint="eastAsia" w:hAnsi="宋体"/>
          <w:color w:val="auto"/>
          <w:spacing w:val="-6"/>
          <w:highlight w:val="none"/>
        </w:rPr>
        <w:t>组成联合体或者接受分包的小微企业与联合体内其他企业、分包企业</w:t>
      </w:r>
      <w:r>
        <w:rPr>
          <w:rFonts w:hint="eastAsia" w:hAnsi="宋体"/>
          <w:color w:val="auto"/>
          <w:highlight w:val="none"/>
        </w:rPr>
        <w:t>之间存在直接控股、管理关系的，不享受价格扣除优惠政策。</w:t>
      </w:r>
    </w:p>
    <w:p>
      <w:pPr>
        <w:pStyle w:val="69"/>
        <w:numPr>
          <w:ilvl w:val="2"/>
          <w:numId w:val="10"/>
        </w:numPr>
        <w:tabs>
          <w:tab w:val="left" w:pos="2522"/>
        </w:tabs>
        <w:kinsoku w:val="0"/>
        <w:overflowPunct w:val="0"/>
        <w:spacing w:before="72"/>
        <w:ind w:hanging="846"/>
        <w:rPr>
          <w:rFonts w:hAnsi="宋体"/>
          <w:color w:val="auto"/>
          <w:highlight w:val="none"/>
        </w:rPr>
      </w:pPr>
      <w:r>
        <w:rPr>
          <w:rFonts w:hint="eastAsia" w:hAnsi="宋体"/>
          <w:color w:val="auto"/>
          <w:highlight w:val="none"/>
        </w:rPr>
        <w:t>价格扣除比例对小型企业和微型企业同等对待，不作区分。</w:t>
      </w:r>
    </w:p>
    <w:p>
      <w:pPr>
        <w:pStyle w:val="69"/>
        <w:numPr>
          <w:ilvl w:val="2"/>
          <w:numId w:val="10"/>
        </w:numPr>
        <w:tabs>
          <w:tab w:val="left" w:pos="2522"/>
        </w:tabs>
        <w:kinsoku w:val="0"/>
        <w:overflowPunct w:val="0"/>
        <w:spacing w:before="159" w:line="364" w:lineRule="auto"/>
        <w:ind w:left="2576" w:right="570"/>
        <w:rPr>
          <w:rFonts w:hAnsi="宋体"/>
          <w:color w:val="auto"/>
          <w:spacing w:val="-11"/>
          <w:highlight w:val="none"/>
        </w:rPr>
      </w:pPr>
      <w:r>
        <w:rPr>
          <w:rFonts w:hint="eastAsia" w:hAnsi="宋体"/>
          <w:color w:val="auto"/>
          <w:spacing w:val="-10"/>
          <w:highlight w:val="none"/>
        </w:rPr>
        <w:t>中小企业参加政府采购活动，应当按照竞争性磋商文件给定的格式出</w:t>
      </w:r>
      <w:r>
        <w:rPr>
          <w:rFonts w:hint="eastAsia" w:hAnsi="宋体"/>
          <w:color w:val="auto"/>
          <w:spacing w:val="-11"/>
          <w:highlight w:val="none"/>
        </w:rPr>
        <w:t>具《中小企业声明函》，否则不得享受相关中小企业扶持政策。</w:t>
      </w:r>
    </w:p>
    <w:p>
      <w:pPr>
        <w:pStyle w:val="69"/>
        <w:numPr>
          <w:ilvl w:val="2"/>
          <w:numId w:val="10"/>
        </w:numPr>
        <w:tabs>
          <w:tab w:val="left" w:pos="2522"/>
        </w:tabs>
        <w:kinsoku w:val="0"/>
        <w:overflowPunct w:val="0"/>
        <w:spacing w:before="1" w:line="362" w:lineRule="auto"/>
        <w:ind w:left="2576" w:right="570"/>
        <w:rPr>
          <w:rFonts w:hAnsi="宋体"/>
          <w:color w:val="auto"/>
          <w:highlight w:val="none"/>
        </w:rPr>
      </w:pPr>
      <w:r>
        <w:rPr>
          <w:rFonts w:hint="eastAsia" w:hAnsi="宋体"/>
          <w:color w:val="auto"/>
          <w:spacing w:val="-7"/>
          <w:highlight w:val="none"/>
        </w:rPr>
        <w:t>监狱企业提供了由省级以上监狱管理局、戒毒管理局</w:t>
      </w:r>
      <w:r>
        <w:rPr>
          <w:rFonts w:hint="eastAsia" w:hAnsi="宋体"/>
          <w:color w:val="auto"/>
          <w:highlight w:val="none"/>
        </w:rPr>
        <w:t>（</w:t>
      </w:r>
      <w:r>
        <w:rPr>
          <w:rFonts w:hint="eastAsia" w:hAnsi="宋体"/>
          <w:color w:val="auto"/>
          <w:spacing w:val="-3"/>
          <w:highlight w:val="none"/>
        </w:rPr>
        <w:t>含新疆生产建</w:t>
      </w:r>
      <w:r>
        <w:rPr>
          <w:rFonts w:hint="eastAsia" w:hAnsi="宋体"/>
          <w:color w:val="auto"/>
          <w:highlight w:val="none"/>
        </w:rPr>
        <w:t>设兵团）出具的属于监狱企业的证明文件的，视同小微企业。</w:t>
      </w:r>
    </w:p>
    <w:p>
      <w:pPr>
        <w:pStyle w:val="69"/>
        <w:numPr>
          <w:ilvl w:val="2"/>
          <w:numId w:val="10"/>
        </w:numPr>
        <w:tabs>
          <w:tab w:val="left" w:pos="2522"/>
        </w:tabs>
        <w:kinsoku w:val="0"/>
        <w:overflowPunct w:val="0"/>
        <w:spacing w:before="5" w:line="362" w:lineRule="auto"/>
        <w:ind w:left="2576" w:right="570"/>
        <w:rPr>
          <w:rFonts w:hAnsi="宋体"/>
          <w:color w:val="auto"/>
          <w:highlight w:val="none"/>
        </w:rPr>
      </w:pPr>
      <w:r>
        <w:rPr>
          <w:rFonts w:hint="eastAsia" w:hAnsi="宋体"/>
          <w:color w:val="auto"/>
          <w:spacing w:val="-7"/>
          <w:highlight w:val="none"/>
        </w:rPr>
        <w:t>残疾人福利性单位按竞争性磋商文件要求提供了《残疾人福利性单位</w:t>
      </w:r>
      <w:r>
        <w:rPr>
          <w:rFonts w:hint="eastAsia" w:hAnsi="宋体"/>
          <w:color w:val="auto"/>
          <w:highlight w:val="none"/>
        </w:rPr>
        <w:t>声明函》的，视同小微企业。</w:t>
      </w:r>
    </w:p>
    <w:p>
      <w:pPr>
        <w:pStyle w:val="69"/>
        <w:numPr>
          <w:ilvl w:val="2"/>
          <w:numId w:val="10"/>
        </w:numPr>
        <w:tabs>
          <w:tab w:val="left" w:pos="2522"/>
        </w:tabs>
        <w:kinsoku w:val="0"/>
        <w:overflowPunct w:val="0"/>
        <w:spacing w:before="5" w:line="362" w:lineRule="auto"/>
        <w:ind w:left="2576" w:right="570"/>
        <w:rPr>
          <w:rFonts w:hAnsi="宋体"/>
          <w:color w:val="auto"/>
          <w:highlight w:val="none"/>
        </w:rPr>
      </w:pPr>
      <w:r>
        <w:rPr>
          <w:rFonts w:hint="eastAsia" w:hAnsi="宋体"/>
          <w:color w:val="auto"/>
          <w:spacing w:val="-8"/>
          <w:highlight w:val="none"/>
        </w:rPr>
        <w:t>若供应商同时属于小型或微型企业、监狱企业、残疾人福利性单位中</w:t>
      </w:r>
      <w:r>
        <w:rPr>
          <w:rFonts w:hint="eastAsia" w:hAnsi="宋体"/>
          <w:color w:val="auto"/>
          <w:highlight w:val="none"/>
        </w:rPr>
        <w:t>的两种及以上，将不重复享受小微企业价格扣减的优惠政策。</w:t>
      </w:r>
    </w:p>
    <w:p>
      <w:pPr>
        <w:pStyle w:val="69"/>
        <w:numPr>
          <w:ilvl w:val="2"/>
          <w:numId w:val="10"/>
        </w:numPr>
        <w:tabs>
          <w:tab w:val="left" w:pos="2522"/>
          <w:tab w:val="left" w:pos="7801"/>
        </w:tabs>
        <w:kinsoku w:val="0"/>
        <w:overflowPunct w:val="0"/>
        <w:spacing w:before="5"/>
        <w:ind w:hanging="846"/>
        <w:rPr>
          <w:rFonts w:hAnsi="宋体"/>
          <w:color w:val="auto"/>
          <w:highlight w:val="none"/>
        </w:rPr>
      </w:pPr>
      <w:r>
        <w:rPr>
          <w:rFonts w:hint="eastAsia" w:hAnsi="宋体"/>
          <w:color w:val="auto"/>
          <w:highlight w:val="none"/>
        </w:rPr>
        <w:t>其他为落实政府采购政策实施的优先采购：</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w:t>
      </w:r>
    </w:p>
    <w:p>
      <w:pPr>
        <w:pStyle w:val="69"/>
        <w:numPr>
          <w:ilvl w:val="0"/>
          <w:numId w:val="10"/>
        </w:numPr>
        <w:tabs>
          <w:tab w:val="left" w:pos="902"/>
        </w:tabs>
        <w:kinsoku w:val="0"/>
        <w:overflowPunct w:val="0"/>
        <w:spacing w:before="158"/>
        <w:ind w:hanging="361"/>
        <w:jc w:val="both"/>
        <w:rPr>
          <w:rFonts w:hAnsi="宋体"/>
          <w:color w:val="auto"/>
          <w:highlight w:val="none"/>
        </w:rPr>
      </w:pPr>
      <w:r>
        <w:rPr>
          <w:rFonts w:hint="eastAsia" w:hAnsi="宋体"/>
          <w:color w:val="auto"/>
          <w:highlight w:val="none"/>
        </w:rPr>
        <w:t>磋商环节及提交最后报价后如出现以下情况的，供应商的响应文件无效：</w:t>
      </w:r>
    </w:p>
    <w:p>
      <w:pPr>
        <w:pStyle w:val="69"/>
        <w:numPr>
          <w:ilvl w:val="1"/>
          <w:numId w:val="10"/>
        </w:numPr>
        <w:tabs>
          <w:tab w:val="left" w:pos="1617"/>
        </w:tabs>
        <w:kinsoku w:val="0"/>
        <w:overflowPunct w:val="0"/>
        <w:spacing w:before="160"/>
        <w:ind w:hanging="721"/>
        <w:rPr>
          <w:rFonts w:hAnsi="宋体"/>
          <w:color w:val="auto"/>
          <w:highlight w:val="none"/>
        </w:rPr>
      </w:pPr>
      <w:r>
        <w:rPr>
          <w:rFonts w:hint="eastAsia" w:hAnsi="宋体"/>
          <w:color w:val="auto"/>
          <w:highlight w:val="none"/>
        </w:rPr>
        <w:t>供应商对实质性变动不予确认的；</w:t>
      </w:r>
    </w:p>
    <w:p>
      <w:pPr>
        <w:pStyle w:val="69"/>
        <w:numPr>
          <w:ilvl w:val="1"/>
          <w:numId w:val="10"/>
        </w:numPr>
        <w:tabs>
          <w:tab w:val="left" w:pos="1617"/>
        </w:tabs>
        <w:kinsoku w:val="0"/>
        <w:overflowPunct w:val="0"/>
        <w:spacing w:before="158" w:line="367" w:lineRule="auto"/>
        <w:ind w:right="573"/>
        <w:rPr>
          <w:rFonts w:hAnsi="宋体"/>
          <w:color w:val="auto"/>
          <w:highlight w:val="none"/>
        </w:rPr>
      </w:pPr>
      <w:r>
        <w:rPr>
          <w:rFonts w:hint="eastAsia" w:hAnsi="宋体"/>
          <w:color w:val="auto"/>
          <w:highlight w:val="none"/>
        </w:rPr>
        <w:t>不满足磋商文件★号条款或磋商文件技术指标超出磋商文件《采购需求》中主要技术参数允许偏差的最大范围的（如有</w:t>
      </w:r>
      <w:r>
        <w:rPr>
          <w:rFonts w:hint="eastAsia" w:hAnsi="宋体"/>
          <w:color w:val="auto"/>
          <w:spacing w:val="-120"/>
          <w:highlight w:val="none"/>
        </w:rPr>
        <w:t>）</w:t>
      </w:r>
      <w:r>
        <w:rPr>
          <w:rFonts w:hint="eastAsia" w:hAnsi="宋体"/>
          <w:color w:val="auto"/>
          <w:highlight w:val="none"/>
        </w:rPr>
        <w:t>；</w:t>
      </w:r>
    </w:p>
    <w:p>
      <w:pPr>
        <w:pStyle w:val="69"/>
        <w:numPr>
          <w:ilvl w:val="1"/>
          <w:numId w:val="10"/>
        </w:numPr>
        <w:tabs>
          <w:tab w:val="left" w:pos="1617"/>
        </w:tabs>
        <w:kinsoku w:val="0"/>
        <w:overflowPunct w:val="0"/>
        <w:spacing w:line="305" w:lineRule="exact"/>
        <w:ind w:hanging="721"/>
        <w:rPr>
          <w:rFonts w:hAnsi="宋体"/>
          <w:color w:val="auto"/>
          <w:highlight w:val="none"/>
        </w:rPr>
      </w:pPr>
      <w:r>
        <w:rPr>
          <w:rFonts w:hint="eastAsia" w:hAnsi="宋体"/>
          <w:color w:val="auto"/>
          <w:highlight w:val="none"/>
        </w:rPr>
        <w:t>未按照磋商小组规定的时间、逾期提交最后报价的；</w:t>
      </w:r>
    </w:p>
    <w:p>
      <w:pPr>
        <w:pStyle w:val="69"/>
        <w:numPr>
          <w:ilvl w:val="1"/>
          <w:numId w:val="10"/>
        </w:numPr>
        <w:tabs>
          <w:tab w:val="left" w:pos="1617"/>
        </w:tabs>
        <w:kinsoku w:val="0"/>
        <w:overflowPunct w:val="0"/>
        <w:spacing w:before="158" w:line="364" w:lineRule="auto"/>
        <w:ind w:right="573"/>
        <w:rPr>
          <w:rFonts w:hAnsi="宋体"/>
          <w:color w:val="auto"/>
          <w:spacing w:val="6"/>
          <w:highlight w:val="none"/>
        </w:rPr>
      </w:pPr>
      <w:r>
        <w:rPr>
          <w:rFonts w:hint="eastAsia" w:hAnsi="宋体"/>
          <w:color w:val="auto"/>
          <w:spacing w:val="7"/>
          <w:highlight w:val="none"/>
        </w:rPr>
        <w:t>如供应商的最后报价超过竞争性磋商文件中规定的项目</w:t>
      </w:r>
      <w:r>
        <w:rPr>
          <w:rFonts w:hAnsi="宋体" w:cs="Arial"/>
          <w:color w:val="auto"/>
          <w:spacing w:val="5"/>
          <w:highlight w:val="none"/>
        </w:rPr>
        <w:t>/</w:t>
      </w:r>
      <w:r>
        <w:rPr>
          <w:rFonts w:hint="eastAsia" w:hAnsi="宋体"/>
          <w:color w:val="auto"/>
          <w:spacing w:val="6"/>
          <w:highlight w:val="none"/>
        </w:rPr>
        <w:t>采购包预算金额或者项目</w:t>
      </w:r>
      <w:r>
        <w:rPr>
          <w:rFonts w:hAnsi="宋体" w:cs="Arial"/>
          <w:color w:val="auto"/>
          <w:spacing w:val="6"/>
          <w:highlight w:val="none"/>
        </w:rPr>
        <w:t>/</w:t>
      </w:r>
      <w:r>
        <w:rPr>
          <w:rFonts w:hint="eastAsia" w:hAnsi="宋体"/>
          <w:color w:val="auto"/>
          <w:spacing w:val="6"/>
          <w:highlight w:val="none"/>
        </w:rPr>
        <w:t>采购包最高限价的；</w:t>
      </w:r>
    </w:p>
    <w:p>
      <w:pPr>
        <w:pStyle w:val="69"/>
        <w:numPr>
          <w:ilvl w:val="1"/>
          <w:numId w:val="10"/>
        </w:numPr>
        <w:tabs>
          <w:tab w:val="left" w:pos="1617"/>
        </w:tabs>
        <w:kinsoku w:val="0"/>
        <w:overflowPunct w:val="0"/>
        <w:spacing w:before="2" w:line="362" w:lineRule="auto"/>
        <w:ind w:right="573"/>
        <w:rPr>
          <w:rFonts w:hAnsi="宋体"/>
          <w:color w:val="auto"/>
          <w:highlight w:val="none"/>
        </w:rPr>
      </w:pPr>
      <w:r>
        <w:rPr>
          <w:rFonts w:hint="eastAsia" w:hAnsi="宋体"/>
          <w:color w:val="auto"/>
          <w:highlight w:val="none"/>
        </w:rPr>
        <w:t>响应文件中出现可选择性或可调整的报价的（竞争性磋商文件另有规定的除外</w:t>
      </w:r>
      <w:r>
        <w:rPr>
          <w:rFonts w:hint="eastAsia" w:hAnsi="宋体"/>
          <w:color w:val="auto"/>
          <w:spacing w:val="-120"/>
          <w:highlight w:val="none"/>
        </w:rPr>
        <w:t>）</w:t>
      </w:r>
      <w:r>
        <w:rPr>
          <w:rFonts w:hint="eastAsia" w:hAnsi="宋体"/>
          <w:color w:val="auto"/>
          <w:highlight w:val="none"/>
        </w:rPr>
        <w:t>；</w:t>
      </w:r>
    </w:p>
    <w:p>
      <w:pPr>
        <w:pStyle w:val="69"/>
        <w:numPr>
          <w:ilvl w:val="1"/>
          <w:numId w:val="10"/>
        </w:numPr>
        <w:tabs>
          <w:tab w:val="left" w:pos="1617"/>
        </w:tabs>
        <w:kinsoku w:val="0"/>
        <w:overflowPunct w:val="0"/>
        <w:spacing w:before="2"/>
        <w:ind w:hanging="721"/>
        <w:rPr>
          <w:rFonts w:hAnsi="宋体"/>
          <w:color w:val="auto"/>
          <w:highlight w:val="none"/>
        </w:rPr>
      </w:pPr>
      <w:r>
        <w:rPr>
          <w:rFonts w:hint="eastAsia" w:hAnsi="宋体"/>
          <w:color w:val="auto"/>
          <w:highlight w:val="none"/>
        </w:rPr>
        <w:t>最后报价出现前后不一致，供应商对修正后的报价不予确认的；</w:t>
      </w:r>
    </w:p>
    <w:p>
      <w:pPr>
        <w:pStyle w:val="69"/>
        <w:numPr>
          <w:ilvl w:val="1"/>
          <w:numId w:val="10"/>
        </w:numPr>
        <w:tabs>
          <w:tab w:val="left" w:pos="1617"/>
          <w:tab w:val="left" w:pos="3056"/>
        </w:tabs>
        <w:kinsoku w:val="0"/>
        <w:overflowPunct w:val="0"/>
        <w:spacing w:before="161"/>
        <w:ind w:hanging="721"/>
        <w:rPr>
          <w:rFonts w:hAnsi="宋体"/>
          <w:color w:val="auto"/>
          <w:highlight w:val="none"/>
        </w:rPr>
      </w:pPr>
      <w:r>
        <w:rPr>
          <w:rFonts w:hint="eastAsia" w:hAnsi="宋体"/>
          <w:color w:val="auto"/>
          <w:highlight w:val="none"/>
        </w:rPr>
        <w:t>其他：</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w:t>
      </w:r>
    </w:p>
    <w:p>
      <w:pPr>
        <w:pStyle w:val="69"/>
        <w:numPr>
          <w:ilvl w:val="0"/>
          <w:numId w:val="10"/>
        </w:numPr>
        <w:tabs>
          <w:tab w:val="left" w:pos="902"/>
        </w:tabs>
        <w:kinsoku w:val="0"/>
        <w:overflowPunct w:val="0"/>
        <w:spacing w:before="158"/>
        <w:ind w:hanging="361"/>
        <w:jc w:val="both"/>
        <w:rPr>
          <w:rFonts w:hAnsi="宋体"/>
          <w:color w:val="auto"/>
          <w:highlight w:val="none"/>
        </w:rPr>
      </w:pPr>
      <w:r>
        <w:rPr>
          <w:rFonts w:hint="eastAsia" w:hAnsi="宋体"/>
          <w:color w:val="auto"/>
          <w:highlight w:val="none"/>
        </w:rPr>
        <w:t>评审方法和评审标准</w:t>
      </w:r>
    </w:p>
    <w:p>
      <w:pPr>
        <w:pStyle w:val="69"/>
        <w:numPr>
          <w:ilvl w:val="1"/>
          <w:numId w:val="10"/>
        </w:numPr>
        <w:tabs>
          <w:tab w:val="left" w:pos="1617"/>
        </w:tabs>
        <w:kinsoku w:val="0"/>
        <w:overflowPunct w:val="0"/>
        <w:spacing w:before="160" w:line="364" w:lineRule="auto"/>
        <w:ind w:right="573"/>
        <w:jc w:val="both"/>
        <w:rPr>
          <w:rFonts w:hAnsi="宋体"/>
          <w:color w:val="auto"/>
          <w:highlight w:val="none"/>
        </w:rPr>
      </w:pPr>
      <w:r>
        <w:rPr>
          <w:rFonts w:hint="eastAsia" w:hAnsi="宋体"/>
          <w:color w:val="auto"/>
          <w:highlight w:val="none"/>
        </w:rPr>
        <w:t>本项目采用的评审方法为：本项目的评审采用综合评分法。综合评分法，是指响应文件满足磋商文件全部实质性要求且按评审因素的量化指标评审得分最高的供应商为成交候选供应商的评审方法。</w:t>
      </w:r>
    </w:p>
    <w:p>
      <w:pPr>
        <w:pStyle w:val="69"/>
        <w:numPr>
          <w:ilvl w:val="1"/>
          <w:numId w:val="10"/>
        </w:numPr>
        <w:tabs>
          <w:tab w:val="left" w:pos="1617"/>
        </w:tabs>
        <w:kinsoku w:val="0"/>
        <w:overflowPunct w:val="0"/>
        <w:spacing w:line="307" w:lineRule="exact"/>
        <w:ind w:hanging="721"/>
        <w:jc w:val="both"/>
        <w:rPr>
          <w:rFonts w:hAnsi="宋体"/>
          <w:color w:val="auto"/>
          <w:highlight w:val="none"/>
        </w:rPr>
      </w:pPr>
      <w:r>
        <w:rPr>
          <w:rFonts w:hint="eastAsia" w:hAnsi="宋体"/>
          <w:color w:val="auto"/>
          <w:highlight w:val="none"/>
        </w:rPr>
        <w:t>竞争性磋商文件中没有规定的评审标准不得作为评审依据。</w:t>
      </w:r>
    </w:p>
    <w:p>
      <w:pPr>
        <w:pStyle w:val="69"/>
        <w:numPr>
          <w:ilvl w:val="1"/>
          <w:numId w:val="10"/>
        </w:numPr>
        <w:tabs>
          <w:tab w:val="left" w:pos="1617"/>
          <w:tab w:val="left" w:pos="7376"/>
        </w:tabs>
        <w:kinsoku w:val="0"/>
        <w:overflowPunct w:val="0"/>
        <w:spacing w:before="158" w:line="364" w:lineRule="auto"/>
        <w:ind w:right="573"/>
        <w:jc w:val="both"/>
        <w:rPr>
          <w:rFonts w:hAnsi="宋体"/>
          <w:color w:val="auto"/>
          <w:highlight w:val="none"/>
        </w:rPr>
      </w:pPr>
      <w:r>
        <w:rPr>
          <w:rFonts w:hint="eastAsia" w:hAnsi="宋体"/>
          <w:color w:val="auto"/>
          <w:highlight w:val="none"/>
        </w:rPr>
        <w:t>非政府强制采购的节能产品或环境标志产品，依据品目清单和认证证书实施政府优先采购。优先采购的具体规定（如涉及）</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w:t>
      </w:r>
    </w:p>
    <w:p>
      <w:pPr>
        <w:pStyle w:val="69"/>
        <w:numPr>
          <w:ilvl w:val="1"/>
          <w:numId w:val="10"/>
        </w:numPr>
        <w:tabs>
          <w:tab w:val="left" w:pos="1617"/>
          <w:tab w:val="left" w:pos="3056"/>
        </w:tabs>
        <w:kinsoku w:val="0"/>
        <w:overflowPunct w:val="0"/>
        <w:spacing w:line="364" w:lineRule="auto"/>
        <w:ind w:right="573"/>
        <w:jc w:val="both"/>
        <w:rPr>
          <w:rFonts w:hAnsi="宋体"/>
          <w:color w:val="auto"/>
          <w:highlight w:val="none"/>
        </w:rPr>
      </w:pPr>
      <w:r>
        <w:rPr>
          <w:rFonts w:hint="eastAsia" w:hAnsi="宋体"/>
          <w:color w:val="auto"/>
          <w:highlight w:val="none"/>
        </w:rPr>
        <w:t>关于无线局域网认证产品政府采购清单中的产品，优先采购的具体规定（如涉及）</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w:t>
      </w:r>
      <w:bookmarkEnd w:id="76"/>
    </w:p>
    <w:p>
      <w:pPr>
        <w:pStyle w:val="69"/>
        <w:numPr>
          <w:ilvl w:val="0"/>
          <w:numId w:val="10"/>
        </w:numPr>
        <w:tabs>
          <w:tab w:val="left" w:pos="902"/>
        </w:tabs>
        <w:kinsoku w:val="0"/>
        <w:overflowPunct w:val="0"/>
        <w:spacing w:before="72"/>
        <w:ind w:hanging="361"/>
        <w:jc w:val="both"/>
        <w:rPr>
          <w:rFonts w:hAnsi="宋体"/>
          <w:color w:val="auto"/>
          <w:highlight w:val="none"/>
        </w:rPr>
      </w:pPr>
      <w:r>
        <w:rPr>
          <w:rFonts w:hint="eastAsia" w:hAnsi="宋体"/>
          <w:color w:val="auto"/>
          <w:highlight w:val="none"/>
        </w:rPr>
        <w:t>确定成交候选人名单</w:t>
      </w:r>
    </w:p>
    <w:p>
      <w:pPr>
        <w:pStyle w:val="69"/>
        <w:numPr>
          <w:ilvl w:val="1"/>
          <w:numId w:val="10"/>
        </w:numPr>
        <w:tabs>
          <w:tab w:val="left" w:pos="1617"/>
        </w:tabs>
        <w:kinsoku w:val="0"/>
        <w:overflowPunct w:val="0"/>
        <w:spacing w:before="159" w:line="364" w:lineRule="auto"/>
        <w:ind w:right="573"/>
        <w:jc w:val="both"/>
        <w:rPr>
          <w:rFonts w:hAnsi="宋体"/>
          <w:color w:val="auto"/>
          <w:highlight w:val="none"/>
        </w:rPr>
      </w:pPr>
      <w:r>
        <w:rPr>
          <w:rFonts w:hint="eastAsia" w:hAnsi="宋体"/>
          <w:color w:val="auto"/>
          <w:highlight w:val="none"/>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pPr>
        <w:pStyle w:val="69"/>
        <w:numPr>
          <w:ilvl w:val="1"/>
          <w:numId w:val="10"/>
        </w:numPr>
        <w:tabs>
          <w:tab w:val="left" w:pos="1617"/>
          <w:tab w:val="left" w:pos="7068"/>
        </w:tabs>
        <w:kinsoku w:val="0"/>
        <w:overflowPunct w:val="0"/>
        <w:spacing w:line="364" w:lineRule="auto"/>
        <w:ind w:right="571"/>
        <w:jc w:val="both"/>
        <w:rPr>
          <w:rFonts w:hAnsi="宋体"/>
          <w:color w:val="auto"/>
          <w:highlight w:val="none"/>
        </w:rPr>
      </w:pPr>
      <w:r>
        <w:rPr>
          <w:rFonts w:hint="eastAsia" w:hAnsi="宋体"/>
          <w:color w:val="auto"/>
          <w:highlight w:val="none"/>
        </w:rPr>
        <w:t>磋商小组根据上述供应商排</w:t>
      </w:r>
      <w:r>
        <w:rPr>
          <w:rFonts w:hint="eastAsia" w:hAnsi="宋体"/>
          <w:color w:val="auto"/>
          <w:spacing w:val="4"/>
          <w:highlight w:val="none"/>
        </w:rPr>
        <w:t>序</w:t>
      </w:r>
      <w:r>
        <w:rPr>
          <w:rFonts w:hint="eastAsia" w:hAnsi="宋体"/>
          <w:color w:val="auto"/>
          <w:highlight w:val="none"/>
        </w:rPr>
        <w:t>，依次推荐排序前</w:t>
      </w:r>
      <w:r>
        <w:rPr>
          <w:rFonts w:hAnsi="宋体"/>
          <w:color w:val="auto"/>
          <w:highlight w:val="none"/>
          <w:u w:val="single" w:color="000000"/>
        </w:rPr>
        <w:t xml:space="preserve"> 3</w:t>
      </w:r>
      <w:r>
        <w:rPr>
          <w:rFonts w:hAnsi="宋体"/>
          <w:color w:val="auto"/>
          <w:highlight w:val="none"/>
          <w:u w:val="single" w:color="000000"/>
        </w:rPr>
        <w:tab/>
      </w:r>
      <w:r>
        <w:rPr>
          <w:rFonts w:hint="eastAsia" w:hAnsi="宋体"/>
          <w:color w:val="auto"/>
          <w:highlight w:val="none"/>
        </w:rPr>
        <w:t>名的供应商</w:t>
      </w:r>
      <w:r>
        <w:rPr>
          <w:rFonts w:hint="eastAsia" w:hAnsi="宋体"/>
          <w:color w:val="auto"/>
          <w:spacing w:val="5"/>
          <w:highlight w:val="none"/>
        </w:rPr>
        <w:t>为</w:t>
      </w:r>
      <w:r>
        <w:rPr>
          <w:rFonts w:hint="eastAsia" w:hAnsi="宋体"/>
          <w:color w:val="auto"/>
          <w:highlight w:val="none"/>
        </w:rPr>
        <w:t>成交</w:t>
      </w:r>
      <w:r>
        <w:rPr>
          <w:rFonts w:hint="eastAsia" w:hAnsi="宋体"/>
          <w:color w:val="auto"/>
          <w:spacing w:val="-14"/>
          <w:highlight w:val="none"/>
        </w:rPr>
        <w:t>候</w:t>
      </w:r>
      <w:r>
        <w:rPr>
          <w:rFonts w:hint="eastAsia" w:hAnsi="宋体"/>
          <w:color w:val="auto"/>
          <w:highlight w:val="none"/>
        </w:rPr>
        <w:t>选供应商（若在磋商文件允许的情形下提交最后报价的供应商为二家，则依次推荐二名供应商为成交候选供应商），并编写评审报告。</w:t>
      </w:r>
    </w:p>
    <w:p>
      <w:pPr>
        <w:pStyle w:val="69"/>
        <w:numPr>
          <w:ilvl w:val="1"/>
          <w:numId w:val="10"/>
        </w:numPr>
        <w:tabs>
          <w:tab w:val="left" w:pos="1617"/>
        </w:tabs>
        <w:kinsoku w:val="0"/>
        <w:overflowPunct w:val="0"/>
        <w:spacing w:line="362" w:lineRule="auto"/>
        <w:ind w:right="573"/>
        <w:jc w:val="both"/>
        <w:rPr>
          <w:rFonts w:hAnsi="宋体"/>
          <w:color w:val="auto"/>
          <w:highlight w:val="none"/>
        </w:rPr>
      </w:pPr>
      <w:r>
        <w:rPr>
          <w:rFonts w:hint="eastAsia" w:hAnsi="宋体"/>
          <w:color w:val="auto"/>
          <w:highlight w:val="none"/>
        </w:rPr>
        <w:t>磋商小组要对评分汇总情况进行复核，特别是对排名第一的、报价最低的、响应文件被认定为无效的情形进行重点复核。</w:t>
      </w:r>
    </w:p>
    <w:p>
      <w:pPr>
        <w:pStyle w:val="69"/>
        <w:numPr>
          <w:ilvl w:val="0"/>
          <w:numId w:val="10"/>
        </w:numPr>
        <w:tabs>
          <w:tab w:val="left" w:pos="902"/>
        </w:tabs>
        <w:kinsoku w:val="0"/>
        <w:overflowPunct w:val="0"/>
        <w:spacing w:before="1"/>
        <w:ind w:hanging="361"/>
        <w:jc w:val="both"/>
        <w:rPr>
          <w:rFonts w:hAnsi="宋体"/>
          <w:color w:val="auto"/>
          <w:highlight w:val="none"/>
        </w:rPr>
      </w:pPr>
      <w:r>
        <w:rPr>
          <w:rFonts w:hint="eastAsia" w:hAnsi="宋体"/>
          <w:color w:val="auto"/>
          <w:highlight w:val="none"/>
        </w:rPr>
        <w:t>报告违法行为</w:t>
      </w:r>
    </w:p>
    <w:p>
      <w:pPr>
        <w:pStyle w:val="69"/>
        <w:numPr>
          <w:ilvl w:val="1"/>
          <w:numId w:val="10"/>
        </w:numPr>
        <w:tabs>
          <w:tab w:val="left" w:pos="1617"/>
        </w:tabs>
        <w:kinsoku w:val="0"/>
        <w:overflowPunct w:val="0"/>
        <w:spacing w:before="160" w:line="362" w:lineRule="auto"/>
        <w:ind w:right="647"/>
        <w:jc w:val="both"/>
        <w:rPr>
          <w:rFonts w:hAnsi="宋体"/>
          <w:color w:val="auto"/>
          <w:highlight w:val="none"/>
        </w:rPr>
      </w:pPr>
      <w:r>
        <w:rPr>
          <w:rFonts w:hint="eastAsia" w:hAnsi="宋体"/>
          <w:color w:val="auto"/>
          <w:spacing w:val="-1"/>
          <w:highlight w:val="none"/>
        </w:rPr>
        <w:t>磋商小组在评审过程中发现供应商有行贿、提供虚假材料或者串通等违法行</w:t>
      </w:r>
      <w:r>
        <w:rPr>
          <w:rFonts w:hint="eastAsia" w:hAnsi="宋体"/>
          <w:color w:val="auto"/>
          <w:highlight w:val="none"/>
        </w:rPr>
        <w:t>为时，有向采购人、采购代理机构或者有关部门报告的职责。</w:t>
      </w:r>
    </w:p>
    <w:p>
      <w:pPr>
        <w:pStyle w:val="69"/>
        <w:numPr>
          <w:ilvl w:val="1"/>
          <w:numId w:val="10"/>
        </w:numPr>
        <w:tabs>
          <w:tab w:val="left" w:pos="1617"/>
        </w:tabs>
        <w:kinsoku w:val="0"/>
        <w:overflowPunct w:val="0"/>
        <w:spacing w:before="160" w:line="362" w:lineRule="auto"/>
        <w:ind w:right="647"/>
        <w:jc w:val="both"/>
        <w:rPr>
          <w:rFonts w:hAnsi="宋体"/>
          <w:color w:val="auto"/>
          <w:highlight w:val="none"/>
        </w:rPr>
        <w:sectPr>
          <w:pgSz w:w="11910" w:h="16840"/>
          <w:pgMar w:top="1340" w:right="560" w:bottom="1080" w:left="1160" w:header="879" w:footer="879" w:gutter="0"/>
          <w:cols w:space="720" w:num="1"/>
        </w:sectPr>
      </w:pPr>
    </w:p>
    <w:p>
      <w:pPr>
        <w:pStyle w:val="17"/>
        <w:kinsoku w:val="0"/>
        <w:overflowPunct w:val="0"/>
        <w:spacing w:before="72"/>
        <w:ind w:right="25"/>
        <w:jc w:val="center"/>
        <w:rPr>
          <w:rFonts w:hAnsi="宋体"/>
          <w:color w:val="auto"/>
          <w:highlight w:val="none"/>
        </w:rPr>
      </w:pPr>
      <w:r>
        <w:rPr>
          <w:rFonts w:hint="eastAsia" w:hAnsi="宋体"/>
          <w:color w:val="auto"/>
          <w:highlight w:val="none"/>
        </w:rPr>
        <w:t>二、评审标准</w:t>
      </w:r>
    </w:p>
    <w:tbl>
      <w:tblPr>
        <w:tblStyle w:val="44"/>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929"/>
        <w:gridCol w:w="1018"/>
        <w:gridCol w:w="6017"/>
        <w:gridCol w:w="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 w:type="pct"/>
            <w:vAlign w:val="center"/>
          </w:tcPr>
          <w:p>
            <w:pPr>
              <w:ind w:firstLine="28"/>
              <w:jc w:val="center"/>
              <w:rPr>
                <w:rFonts w:hAnsi="宋体"/>
                <w:b/>
                <w:color w:val="auto"/>
                <w:sz w:val="24"/>
                <w:szCs w:val="24"/>
                <w:highlight w:val="none"/>
              </w:rPr>
            </w:pPr>
            <w:r>
              <w:rPr>
                <w:rFonts w:hint="eastAsia" w:hAnsi="宋体"/>
                <w:b/>
                <w:color w:val="auto"/>
                <w:sz w:val="24"/>
                <w:szCs w:val="24"/>
                <w:highlight w:val="none"/>
              </w:rPr>
              <w:t>序号</w:t>
            </w:r>
          </w:p>
        </w:tc>
        <w:tc>
          <w:tcPr>
            <w:tcW w:w="512" w:type="pct"/>
            <w:vAlign w:val="center"/>
          </w:tcPr>
          <w:p>
            <w:pPr>
              <w:ind w:firstLine="28"/>
              <w:jc w:val="center"/>
              <w:rPr>
                <w:rFonts w:hAnsi="宋体"/>
                <w:b/>
                <w:color w:val="auto"/>
                <w:sz w:val="24"/>
                <w:szCs w:val="24"/>
                <w:highlight w:val="none"/>
              </w:rPr>
            </w:pPr>
            <w:r>
              <w:rPr>
                <w:rFonts w:hAnsi="宋体"/>
                <w:b/>
                <w:color w:val="auto"/>
                <w:sz w:val="24"/>
                <w:szCs w:val="24"/>
                <w:highlight w:val="none"/>
              </w:rPr>
              <w:t>评分因素</w:t>
            </w:r>
            <w:r>
              <w:rPr>
                <w:rFonts w:hint="eastAsia" w:hAnsi="宋体"/>
                <w:b/>
                <w:color w:val="auto"/>
                <w:sz w:val="24"/>
                <w:szCs w:val="24"/>
                <w:highlight w:val="none"/>
              </w:rPr>
              <w:t>和分值</w:t>
            </w:r>
          </w:p>
        </w:tc>
        <w:tc>
          <w:tcPr>
            <w:tcW w:w="563" w:type="pct"/>
            <w:vAlign w:val="center"/>
          </w:tcPr>
          <w:p>
            <w:pPr>
              <w:ind w:firstLine="28"/>
              <w:jc w:val="center"/>
              <w:rPr>
                <w:rFonts w:hAnsi="宋体"/>
                <w:b/>
                <w:color w:val="auto"/>
                <w:sz w:val="24"/>
                <w:szCs w:val="24"/>
                <w:highlight w:val="none"/>
              </w:rPr>
            </w:pPr>
            <w:r>
              <w:rPr>
                <w:rFonts w:hint="eastAsia" w:hAnsi="宋体"/>
                <w:b/>
                <w:color w:val="auto"/>
                <w:sz w:val="24"/>
                <w:szCs w:val="24"/>
                <w:highlight w:val="none"/>
              </w:rPr>
              <w:t>详细因素</w:t>
            </w:r>
            <w:r>
              <w:rPr>
                <w:rFonts w:hAnsi="宋体"/>
                <w:b/>
                <w:color w:val="auto"/>
                <w:sz w:val="24"/>
                <w:szCs w:val="24"/>
                <w:highlight w:val="none"/>
              </w:rPr>
              <w:t>分值</w:t>
            </w:r>
          </w:p>
        </w:tc>
        <w:tc>
          <w:tcPr>
            <w:tcW w:w="3324" w:type="pct"/>
            <w:vAlign w:val="center"/>
          </w:tcPr>
          <w:p>
            <w:pPr>
              <w:ind w:firstLine="28"/>
              <w:jc w:val="center"/>
              <w:rPr>
                <w:rFonts w:hAnsi="宋体"/>
                <w:b/>
                <w:color w:val="auto"/>
                <w:sz w:val="24"/>
                <w:szCs w:val="24"/>
                <w:highlight w:val="none"/>
              </w:rPr>
            </w:pPr>
            <w:r>
              <w:rPr>
                <w:rFonts w:hAnsi="宋体"/>
                <w:b/>
                <w:color w:val="auto"/>
                <w:sz w:val="24"/>
                <w:szCs w:val="24"/>
                <w:highlight w:val="none"/>
              </w:rPr>
              <w:t>评分标准</w:t>
            </w:r>
          </w:p>
        </w:tc>
        <w:tc>
          <w:tcPr>
            <w:tcW w:w="291" w:type="pct"/>
            <w:vAlign w:val="center"/>
          </w:tcPr>
          <w:p>
            <w:pPr>
              <w:pStyle w:val="75"/>
              <w:spacing w:before="0" w:after="0" w:line="240" w:lineRule="auto"/>
              <w:rPr>
                <w:rFonts w:ascii="宋体" w:hAnsi="宋体" w:eastAsia="宋体"/>
                <w:color w:val="auto"/>
                <w:szCs w:val="24"/>
                <w:highlight w:val="none"/>
              </w:rPr>
            </w:pPr>
            <w:r>
              <w:rPr>
                <w:rFonts w:ascii="宋体" w:hAnsi="宋体" w:eastAsia="宋体"/>
                <w:color w:val="auto"/>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306" w:type="pct"/>
            <w:vAlign w:val="center"/>
          </w:tcPr>
          <w:p>
            <w:pPr>
              <w:snapToGrid w:val="0"/>
              <w:jc w:val="center"/>
              <w:rPr>
                <w:rFonts w:hAnsi="宋体"/>
                <w:bCs/>
                <w:color w:val="auto"/>
                <w:sz w:val="24"/>
                <w:szCs w:val="24"/>
                <w:highlight w:val="none"/>
              </w:rPr>
            </w:pPr>
            <w:r>
              <w:rPr>
                <w:rFonts w:hint="eastAsia" w:hAnsi="宋体"/>
                <w:bCs/>
                <w:color w:val="auto"/>
                <w:sz w:val="24"/>
                <w:szCs w:val="24"/>
                <w:highlight w:val="none"/>
              </w:rPr>
              <w:t>1</w:t>
            </w:r>
          </w:p>
        </w:tc>
        <w:tc>
          <w:tcPr>
            <w:tcW w:w="512" w:type="pct"/>
            <w:vMerge w:val="restart"/>
            <w:vAlign w:val="center"/>
          </w:tcPr>
          <w:p>
            <w:pPr>
              <w:spacing w:line="360" w:lineRule="auto"/>
              <w:rPr>
                <w:rFonts w:hAnsi="宋体"/>
                <w:color w:val="auto"/>
                <w:sz w:val="24"/>
                <w:szCs w:val="24"/>
                <w:highlight w:val="none"/>
              </w:rPr>
            </w:pPr>
            <w:r>
              <w:rPr>
                <w:rFonts w:hint="eastAsia" w:hAnsi="宋体" w:cs="Times New Roman"/>
                <w:color w:val="auto"/>
                <w:sz w:val="24"/>
                <w:szCs w:val="24"/>
                <w:highlight w:val="none"/>
              </w:rPr>
              <w:t>商务评审（</w:t>
            </w:r>
            <w:r>
              <w:rPr>
                <w:rFonts w:hint="eastAsia" w:hAnsi="宋体"/>
                <w:color w:val="auto"/>
                <w:sz w:val="24"/>
                <w:szCs w:val="24"/>
                <w:highlight w:val="none"/>
              </w:rPr>
              <w:t>20</w:t>
            </w:r>
            <w:r>
              <w:rPr>
                <w:rFonts w:hint="eastAsia" w:hAnsi="宋体" w:cs="Times New Roman"/>
                <w:color w:val="auto"/>
                <w:sz w:val="24"/>
                <w:szCs w:val="24"/>
                <w:highlight w:val="none"/>
              </w:rPr>
              <w:t>分）</w:t>
            </w:r>
          </w:p>
        </w:tc>
        <w:tc>
          <w:tcPr>
            <w:tcW w:w="563" w:type="pct"/>
            <w:vAlign w:val="center"/>
          </w:tcPr>
          <w:p>
            <w:pPr>
              <w:ind w:firstLine="28"/>
              <w:jc w:val="center"/>
              <w:rPr>
                <w:rFonts w:hAnsi="宋体"/>
                <w:b/>
                <w:color w:val="auto"/>
                <w:sz w:val="24"/>
                <w:szCs w:val="24"/>
                <w:highlight w:val="none"/>
              </w:rPr>
            </w:pPr>
            <w:r>
              <w:rPr>
                <w:rFonts w:hint="eastAsia" w:hAnsi="宋体"/>
                <w:color w:val="auto"/>
                <w:sz w:val="24"/>
                <w:szCs w:val="24"/>
                <w:highlight w:val="none"/>
              </w:rPr>
              <w:t>类似业绩（15分）</w:t>
            </w:r>
          </w:p>
        </w:tc>
        <w:tc>
          <w:tcPr>
            <w:tcW w:w="3324" w:type="pct"/>
            <w:vAlign w:val="center"/>
          </w:tcPr>
          <w:p>
            <w:pPr>
              <w:pStyle w:val="76"/>
              <w:spacing w:line="240" w:lineRule="auto"/>
              <w:rPr>
                <w:color w:val="auto"/>
                <w:sz w:val="24"/>
                <w:szCs w:val="24"/>
                <w:highlight w:val="none"/>
              </w:rPr>
            </w:pPr>
            <w:r>
              <w:rPr>
                <w:rFonts w:hint="eastAsia" w:cs="宋体"/>
                <w:color w:val="auto"/>
                <w:sz w:val="24"/>
                <w:szCs w:val="24"/>
                <w:highlight w:val="none"/>
              </w:rPr>
              <w:t>供应商2021年1月至今承担过的与本项目类似的业绩（以合同签订时间为准），每个业绩3分，最高15分。注：须提供合同关键页复印件（包括但不限于首页、体现项目名称页面、服务内容页面、签订日期页面及合同双方签章页），否则不得分。</w:t>
            </w:r>
          </w:p>
        </w:tc>
        <w:tc>
          <w:tcPr>
            <w:tcW w:w="291" w:type="pct"/>
            <w:vAlign w:val="center"/>
          </w:tcPr>
          <w:p>
            <w:pPr>
              <w:pStyle w:val="75"/>
              <w:spacing w:before="0" w:after="0" w:line="240" w:lineRule="auto"/>
              <w:rPr>
                <w:rFonts w:ascii="宋体" w:hAnsi="宋体" w:eastAsia="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306" w:type="pct"/>
            <w:vAlign w:val="center"/>
          </w:tcPr>
          <w:p>
            <w:pPr>
              <w:snapToGrid w:val="0"/>
              <w:jc w:val="center"/>
              <w:rPr>
                <w:rFonts w:hAnsi="宋体"/>
                <w:bCs/>
                <w:color w:val="auto"/>
                <w:sz w:val="24"/>
                <w:szCs w:val="24"/>
                <w:highlight w:val="none"/>
              </w:rPr>
            </w:pPr>
            <w:r>
              <w:rPr>
                <w:rFonts w:hint="eastAsia" w:hAnsi="宋体"/>
                <w:bCs/>
                <w:color w:val="auto"/>
                <w:sz w:val="24"/>
                <w:szCs w:val="24"/>
                <w:highlight w:val="none"/>
              </w:rPr>
              <w:t>2</w:t>
            </w:r>
          </w:p>
        </w:tc>
        <w:tc>
          <w:tcPr>
            <w:tcW w:w="512" w:type="pct"/>
            <w:vMerge w:val="continue"/>
            <w:vAlign w:val="center"/>
          </w:tcPr>
          <w:p>
            <w:pPr>
              <w:spacing w:line="360" w:lineRule="auto"/>
              <w:rPr>
                <w:rFonts w:hAnsi="宋体"/>
                <w:color w:val="auto"/>
                <w:sz w:val="24"/>
                <w:szCs w:val="24"/>
                <w:highlight w:val="none"/>
              </w:rPr>
            </w:pPr>
          </w:p>
        </w:tc>
        <w:tc>
          <w:tcPr>
            <w:tcW w:w="563" w:type="pct"/>
            <w:vAlign w:val="center"/>
          </w:tcPr>
          <w:p>
            <w:pPr>
              <w:ind w:firstLine="28"/>
              <w:jc w:val="center"/>
              <w:rPr>
                <w:rFonts w:hAnsi="宋体"/>
                <w:color w:val="auto"/>
                <w:sz w:val="24"/>
                <w:szCs w:val="24"/>
                <w:highlight w:val="none"/>
              </w:rPr>
            </w:pPr>
            <w:r>
              <w:rPr>
                <w:rFonts w:hint="eastAsia" w:hAnsi="宋体"/>
                <w:color w:val="auto"/>
                <w:sz w:val="24"/>
                <w:szCs w:val="24"/>
                <w:highlight w:val="none"/>
              </w:rPr>
              <w:t>体系认证（5分）</w:t>
            </w:r>
          </w:p>
        </w:tc>
        <w:tc>
          <w:tcPr>
            <w:tcW w:w="3324" w:type="pct"/>
            <w:vAlign w:val="center"/>
          </w:tcPr>
          <w:p>
            <w:pPr>
              <w:pStyle w:val="76"/>
              <w:spacing w:line="240" w:lineRule="auto"/>
              <w:rPr>
                <w:rFonts w:cs="宋体"/>
                <w:color w:val="auto"/>
                <w:sz w:val="24"/>
                <w:szCs w:val="24"/>
                <w:highlight w:val="none"/>
              </w:rPr>
            </w:pPr>
            <w:r>
              <w:rPr>
                <w:rFonts w:hint="eastAsia" w:cs="宋体"/>
                <w:color w:val="auto"/>
                <w:sz w:val="24"/>
                <w:szCs w:val="24"/>
                <w:highlight w:val="none"/>
              </w:rPr>
              <w:t>供应商具有有效的质量管理体系认证证书；有效的环境管理体系认证证书；有效的职业健康安全管理体系认证证书。提供三项，得5分；提供两项，得3分；提供一项，得1分；未提供，得0分。注：须提供上述证明材料复印件并加盖公章。</w:t>
            </w:r>
          </w:p>
        </w:tc>
        <w:tc>
          <w:tcPr>
            <w:tcW w:w="291" w:type="pct"/>
            <w:vAlign w:val="center"/>
          </w:tcPr>
          <w:p>
            <w:pPr>
              <w:pStyle w:val="75"/>
              <w:spacing w:before="0" w:after="0" w:line="240" w:lineRule="auto"/>
              <w:rPr>
                <w:rFonts w:ascii="宋体" w:hAnsi="宋体" w:eastAsia="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6" w:type="pct"/>
            <w:vAlign w:val="center"/>
          </w:tcPr>
          <w:p>
            <w:pPr>
              <w:ind w:firstLine="28"/>
              <w:jc w:val="center"/>
              <w:rPr>
                <w:rFonts w:hAnsi="宋体"/>
                <w:color w:val="auto"/>
                <w:sz w:val="24"/>
                <w:szCs w:val="24"/>
                <w:highlight w:val="none"/>
              </w:rPr>
            </w:pPr>
            <w:r>
              <w:rPr>
                <w:rFonts w:hint="eastAsia" w:hAnsi="宋体"/>
                <w:color w:val="auto"/>
                <w:sz w:val="24"/>
                <w:szCs w:val="24"/>
                <w:highlight w:val="none"/>
              </w:rPr>
              <w:t>3</w:t>
            </w:r>
          </w:p>
        </w:tc>
        <w:tc>
          <w:tcPr>
            <w:tcW w:w="512" w:type="pct"/>
            <w:vMerge w:val="restart"/>
            <w:vAlign w:val="center"/>
          </w:tcPr>
          <w:p>
            <w:pPr>
              <w:spacing w:line="360" w:lineRule="auto"/>
              <w:rPr>
                <w:rFonts w:hAnsi="宋体"/>
                <w:color w:val="auto"/>
                <w:sz w:val="24"/>
                <w:szCs w:val="24"/>
                <w:highlight w:val="none"/>
              </w:rPr>
            </w:pPr>
            <w:r>
              <w:rPr>
                <w:rFonts w:hint="eastAsia" w:hAnsi="宋体" w:cs="Times New Roman"/>
                <w:color w:val="auto"/>
                <w:sz w:val="24"/>
                <w:szCs w:val="24"/>
                <w:highlight w:val="none"/>
              </w:rPr>
              <w:t>技术评审（</w:t>
            </w:r>
            <w:r>
              <w:rPr>
                <w:rFonts w:hint="eastAsia" w:hAnsi="宋体"/>
                <w:color w:val="auto"/>
                <w:sz w:val="24"/>
                <w:szCs w:val="24"/>
                <w:highlight w:val="none"/>
              </w:rPr>
              <w:t>70</w:t>
            </w:r>
            <w:r>
              <w:rPr>
                <w:rFonts w:hint="eastAsia" w:hAnsi="宋体" w:cs="Times New Roman"/>
                <w:color w:val="auto"/>
                <w:sz w:val="24"/>
                <w:szCs w:val="24"/>
                <w:highlight w:val="none"/>
              </w:rPr>
              <w:t>分）</w:t>
            </w:r>
          </w:p>
        </w:tc>
        <w:tc>
          <w:tcPr>
            <w:tcW w:w="563" w:type="pct"/>
            <w:vAlign w:val="center"/>
          </w:tcPr>
          <w:p>
            <w:pPr>
              <w:ind w:firstLine="28"/>
              <w:jc w:val="center"/>
              <w:rPr>
                <w:rFonts w:hAnsi="宋体"/>
                <w:color w:val="auto"/>
                <w:sz w:val="24"/>
                <w:szCs w:val="24"/>
                <w:highlight w:val="none"/>
              </w:rPr>
            </w:pPr>
            <w:r>
              <w:rPr>
                <w:rFonts w:hint="eastAsia" w:hAnsi="宋体"/>
                <w:color w:val="auto"/>
                <w:kern w:val="1"/>
                <w:sz w:val="24"/>
                <w:szCs w:val="24"/>
                <w:highlight w:val="none"/>
              </w:rPr>
              <w:t>对项目理解分析（5分）</w:t>
            </w:r>
          </w:p>
        </w:tc>
        <w:tc>
          <w:tcPr>
            <w:tcW w:w="3324" w:type="pct"/>
            <w:vAlign w:val="center"/>
          </w:tcPr>
          <w:p>
            <w:pPr>
              <w:rPr>
                <w:rFonts w:hAnsi="宋体"/>
                <w:color w:val="auto"/>
                <w:sz w:val="24"/>
                <w:szCs w:val="24"/>
                <w:highlight w:val="none"/>
              </w:rPr>
            </w:pPr>
            <w:r>
              <w:rPr>
                <w:rFonts w:hAnsi="宋体"/>
                <w:color w:val="auto"/>
                <w:sz w:val="24"/>
                <w:szCs w:val="24"/>
                <w:highlight w:val="none"/>
              </w:rPr>
              <w:t>对项目理解全面具体、分析</w:t>
            </w:r>
            <w:r>
              <w:rPr>
                <w:rFonts w:hint="eastAsia" w:hAnsi="宋体"/>
                <w:color w:val="auto"/>
                <w:sz w:val="24"/>
                <w:szCs w:val="24"/>
                <w:highlight w:val="none"/>
              </w:rPr>
              <w:t>清晰</w:t>
            </w:r>
            <w:r>
              <w:rPr>
                <w:rFonts w:hAnsi="宋体"/>
                <w:color w:val="auto"/>
                <w:sz w:val="24"/>
                <w:szCs w:val="24"/>
                <w:highlight w:val="none"/>
              </w:rPr>
              <w:t>透彻</w:t>
            </w:r>
            <w:r>
              <w:rPr>
                <w:rFonts w:hint="eastAsia" w:hAnsi="宋体"/>
                <w:color w:val="auto"/>
                <w:sz w:val="24"/>
                <w:szCs w:val="24"/>
                <w:highlight w:val="none"/>
              </w:rPr>
              <w:t>合理，</w:t>
            </w:r>
            <w:r>
              <w:rPr>
                <w:rFonts w:hAnsi="宋体"/>
                <w:color w:val="auto"/>
                <w:sz w:val="24"/>
                <w:szCs w:val="24"/>
                <w:highlight w:val="none"/>
              </w:rPr>
              <w:t>得</w:t>
            </w:r>
            <w:r>
              <w:rPr>
                <w:rFonts w:hint="eastAsia" w:hAnsi="宋体"/>
                <w:color w:val="auto"/>
                <w:sz w:val="24"/>
                <w:szCs w:val="24"/>
                <w:highlight w:val="none"/>
              </w:rPr>
              <w:t>5</w:t>
            </w:r>
            <w:r>
              <w:rPr>
                <w:rFonts w:hAnsi="宋体"/>
                <w:color w:val="auto"/>
                <w:sz w:val="24"/>
                <w:szCs w:val="24"/>
                <w:highlight w:val="none"/>
              </w:rPr>
              <w:t>分；理解</w:t>
            </w:r>
            <w:r>
              <w:rPr>
                <w:rFonts w:hint="eastAsia" w:hAnsi="宋体"/>
                <w:color w:val="auto"/>
                <w:sz w:val="24"/>
                <w:szCs w:val="24"/>
                <w:highlight w:val="none"/>
              </w:rPr>
              <w:t>无偏差</w:t>
            </w:r>
            <w:r>
              <w:rPr>
                <w:rFonts w:hAnsi="宋体"/>
                <w:color w:val="auto"/>
                <w:sz w:val="24"/>
                <w:szCs w:val="24"/>
                <w:highlight w:val="none"/>
              </w:rPr>
              <w:t>，分析</w:t>
            </w:r>
            <w:r>
              <w:rPr>
                <w:rFonts w:hint="eastAsia" w:hAnsi="宋体"/>
                <w:color w:val="auto"/>
                <w:sz w:val="24"/>
                <w:szCs w:val="24"/>
                <w:highlight w:val="none"/>
              </w:rPr>
              <w:t>基本合理，</w:t>
            </w:r>
            <w:r>
              <w:rPr>
                <w:rFonts w:hAnsi="宋体"/>
                <w:color w:val="auto"/>
                <w:sz w:val="24"/>
                <w:szCs w:val="24"/>
                <w:highlight w:val="none"/>
              </w:rPr>
              <w:t>得</w:t>
            </w:r>
            <w:r>
              <w:rPr>
                <w:rFonts w:hint="eastAsia" w:hAnsi="宋体"/>
                <w:color w:val="auto"/>
                <w:sz w:val="24"/>
                <w:szCs w:val="24"/>
                <w:highlight w:val="none"/>
              </w:rPr>
              <w:t>3</w:t>
            </w:r>
            <w:r>
              <w:rPr>
                <w:rFonts w:hAnsi="宋体"/>
                <w:color w:val="auto"/>
                <w:sz w:val="24"/>
                <w:szCs w:val="24"/>
                <w:highlight w:val="none"/>
              </w:rPr>
              <w:t>分；理解</w:t>
            </w:r>
            <w:r>
              <w:rPr>
                <w:rFonts w:hint="eastAsia" w:hAnsi="宋体"/>
                <w:color w:val="auto"/>
                <w:sz w:val="24"/>
                <w:szCs w:val="24"/>
                <w:highlight w:val="none"/>
              </w:rPr>
              <w:t>存在偏差，</w:t>
            </w:r>
            <w:r>
              <w:rPr>
                <w:rFonts w:hAnsi="宋体"/>
                <w:color w:val="auto"/>
                <w:sz w:val="24"/>
                <w:szCs w:val="24"/>
                <w:highlight w:val="none"/>
              </w:rPr>
              <w:t>分析不透彻得</w:t>
            </w:r>
            <w:r>
              <w:rPr>
                <w:rFonts w:hint="eastAsia" w:hAnsi="宋体"/>
                <w:color w:val="auto"/>
                <w:sz w:val="24"/>
                <w:szCs w:val="24"/>
                <w:highlight w:val="none"/>
              </w:rPr>
              <w:t>1</w:t>
            </w:r>
            <w:r>
              <w:rPr>
                <w:rFonts w:hAnsi="宋体"/>
                <w:color w:val="auto"/>
                <w:sz w:val="24"/>
                <w:szCs w:val="24"/>
                <w:highlight w:val="none"/>
              </w:rPr>
              <w:t>分</w:t>
            </w:r>
            <w:r>
              <w:rPr>
                <w:rFonts w:hint="eastAsia" w:hAnsi="宋体"/>
                <w:color w:val="auto"/>
                <w:sz w:val="24"/>
                <w:szCs w:val="24"/>
                <w:highlight w:val="none"/>
              </w:rPr>
              <w:t>；未提供得0分。</w:t>
            </w:r>
          </w:p>
        </w:tc>
        <w:tc>
          <w:tcPr>
            <w:tcW w:w="291" w:type="pct"/>
            <w:vAlign w:val="center"/>
          </w:tcPr>
          <w:p>
            <w:pP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555" w:type="dxa"/>
            <w:vAlign w:val="center"/>
          </w:tcPr>
          <w:p>
            <w:pPr>
              <w:ind w:firstLine="28"/>
              <w:jc w:val="center"/>
              <w:rPr>
                <w:rFonts w:hAnsi="宋体"/>
                <w:color w:val="auto"/>
                <w:sz w:val="24"/>
                <w:szCs w:val="24"/>
                <w:highlight w:val="none"/>
              </w:rPr>
            </w:pPr>
            <w:r>
              <w:rPr>
                <w:rFonts w:hint="eastAsia" w:hAnsi="宋体"/>
                <w:color w:val="auto"/>
                <w:sz w:val="24"/>
                <w:szCs w:val="24"/>
                <w:highlight w:val="none"/>
              </w:rPr>
              <w:t>4</w:t>
            </w:r>
          </w:p>
        </w:tc>
        <w:tc>
          <w:tcPr>
            <w:tcW w:w="512" w:type="pct"/>
            <w:vMerge w:val="continue"/>
            <w:vAlign w:val="center"/>
          </w:tcPr>
          <w:p>
            <w:pPr>
              <w:spacing w:line="360" w:lineRule="auto"/>
              <w:rPr>
                <w:rFonts w:hAnsi="宋体"/>
                <w:color w:val="auto"/>
                <w:sz w:val="24"/>
                <w:szCs w:val="24"/>
                <w:highlight w:val="none"/>
              </w:rPr>
            </w:pPr>
          </w:p>
        </w:tc>
        <w:tc>
          <w:tcPr>
            <w:tcW w:w="563" w:type="pct"/>
            <w:vAlign w:val="center"/>
          </w:tcPr>
          <w:p>
            <w:pPr>
              <w:ind w:firstLine="28"/>
              <w:jc w:val="center"/>
              <w:rPr>
                <w:rFonts w:hAnsi="宋体"/>
                <w:color w:val="auto"/>
                <w:sz w:val="24"/>
                <w:szCs w:val="24"/>
                <w:highlight w:val="none"/>
              </w:rPr>
            </w:pPr>
            <w:r>
              <w:rPr>
                <w:rFonts w:hint="eastAsia" w:hAnsi="宋体"/>
                <w:color w:val="auto"/>
                <w:kern w:val="1"/>
                <w:sz w:val="24"/>
                <w:szCs w:val="24"/>
                <w:highlight w:val="none"/>
              </w:rPr>
              <w:t>整体服务方案（20分）</w:t>
            </w:r>
          </w:p>
        </w:tc>
        <w:tc>
          <w:tcPr>
            <w:tcW w:w="3324" w:type="pct"/>
            <w:vAlign w:val="center"/>
          </w:tcPr>
          <w:p>
            <w:pPr>
              <w:rPr>
                <w:rFonts w:hAnsi="宋体"/>
                <w:color w:val="auto"/>
                <w:sz w:val="24"/>
                <w:szCs w:val="24"/>
                <w:highlight w:val="none"/>
              </w:rPr>
            </w:pPr>
            <w:r>
              <w:rPr>
                <w:rFonts w:hint="eastAsia" w:hAnsi="宋体"/>
                <w:b/>
                <w:bCs/>
                <w:color w:val="auto"/>
                <w:sz w:val="24"/>
                <w:szCs w:val="24"/>
                <w:highlight w:val="none"/>
              </w:rPr>
              <w:t>针对垃圾的准确分类、桶站保洁及维护、居民的宣传培训等工作的服务方案。</w:t>
            </w:r>
            <w:r>
              <w:rPr>
                <w:rFonts w:hint="eastAsia" w:hAnsi="宋体"/>
                <w:color w:val="auto"/>
                <w:sz w:val="24"/>
                <w:szCs w:val="24"/>
                <w:highlight w:val="none"/>
              </w:rPr>
              <w:t>服务方案及措施的内容完整、专业，表述准确、清晰，完全满足或优于项目需求得20分；服务方案及措施的内容完整、专业，表述基本准确，满足项目需求得16分；服务方案及措施的内容完整性低、专业度低、表述基本准确，基本满足项目，得12分；服务方案及措施的内容不完整、不专业、表述不准确，不满足项目需求，得8分；未提供，得0分。</w:t>
            </w:r>
          </w:p>
        </w:tc>
        <w:tc>
          <w:tcPr>
            <w:tcW w:w="291" w:type="pct"/>
            <w:vAlign w:val="center"/>
          </w:tcPr>
          <w:p>
            <w:pP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trPr>
        <w:tc>
          <w:tcPr>
            <w:tcW w:w="555" w:type="dxa"/>
            <w:vAlign w:val="center"/>
          </w:tcPr>
          <w:p>
            <w:pPr>
              <w:snapToGrid w:val="0"/>
              <w:jc w:val="center"/>
              <w:rPr>
                <w:rFonts w:hAnsi="宋体"/>
                <w:color w:val="auto"/>
                <w:sz w:val="24"/>
                <w:szCs w:val="24"/>
                <w:highlight w:val="none"/>
              </w:rPr>
            </w:pPr>
            <w:r>
              <w:rPr>
                <w:rFonts w:hint="eastAsia" w:hAnsi="宋体"/>
                <w:bCs/>
                <w:color w:val="auto"/>
                <w:sz w:val="24"/>
                <w:szCs w:val="24"/>
                <w:highlight w:val="none"/>
              </w:rPr>
              <w:t>5</w:t>
            </w:r>
          </w:p>
        </w:tc>
        <w:tc>
          <w:tcPr>
            <w:tcW w:w="512" w:type="pct"/>
            <w:vMerge w:val="continue"/>
            <w:vAlign w:val="center"/>
          </w:tcPr>
          <w:p>
            <w:pPr>
              <w:spacing w:line="360" w:lineRule="auto"/>
              <w:rPr>
                <w:rFonts w:hAnsi="宋体"/>
                <w:color w:val="auto"/>
                <w:sz w:val="24"/>
                <w:szCs w:val="24"/>
                <w:highlight w:val="none"/>
              </w:rPr>
            </w:pPr>
          </w:p>
        </w:tc>
        <w:tc>
          <w:tcPr>
            <w:tcW w:w="563" w:type="pct"/>
            <w:vAlign w:val="center"/>
          </w:tcPr>
          <w:p>
            <w:pPr>
              <w:ind w:firstLine="28"/>
              <w:jc w:val="center"/>
              <w:rPr>
                <w:rFonts w:hAnsi="宋体"/>
                <w:color w:val="auto"/>
                <w:kern w:val="1"/>
                <w:sz w:val="24"/>
                <w:szCs w:val="24"/>
                <w:highlight w:val="none"/>
              </w:rPr>
            </w:pPr>
            <w:r>
              <w:rPr>
                <w:rFonts w:hint="eastAsia" w:hAnsi="宋体" w:cs="Tahoma"/>
                <w:color w:val="auto"/>
                <w:sz w:val="24"/>
                <w:szCs w:val="24"/>
                <w:highlight w:val="none"/>
              </w:rPr>
              <w:t>拟派项目团队人员配备方案（15分）</w:t>
            </w:r>
          </w:p>
        </w:tc>
        <w:tc>
          <w:tcPr>
            <w:tcW w:w="3324" w:type="pct"/>
            <w:vAlign w:val="center"/>
          </w:tcPr>
          <w:p>
            <w:pPr>
              <w:pStyle w:val="76"/>
              <w:spacing w:line="240" w:lineRule="auto"/>
              <w:rPr>
                <w:color w:val="auto"/>
                <w:sz w:val="24"/>
                <w:szCs w:val="24"/>
                <w:highlight w:val="none"/>
              </w:rPr>
            </w:pPr>
            <w:r>
              <w:rPr>
                <w:rFonts w:hint="eastAsia" w:cs="宋体"/>
                <w:color w:val="auto"/>
                <w:sz w:val="24"/>
                <w:szCs w:val="24"/>
                <w:highlight w:val="none"/>
              </w:rPr>
              <w:t>人员数量充足、分工明确，岗位齐全、配置合理，组织架构清晰。完全满足或优于项目需求，得15分；人员数量多、分工合理、岗位配置合理、组织架构合理，满足本项目需求，得12分；人员数量少、分工基本明确、岗位基本齐全、配置基本合理、组织架构基本清晰，基本满足项目需求，得10分；人员数量不足、分工不明确，岗位不齐全、配置不合理，组织架构不清晰，不能满足项目需求，得8分；未提供，得0分。</w:t>
            </w:r>
          </w:p>
        </w:tc>
        <w:tc>
          <w:tcPr>
            <w:tcW w:w="291" w:type="pct"/>
            <w:vAlign w:val="center"/>
          </w:tcPr>
          <w:p>
            <w:pPr>
              <w:ind w:firstLine="28"/>
              <w:jc w:val="cente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6" w:hRule="atLeast"/>
        </w:trPr>
        <w:tc>
          <w:tcPr>
            <w:tcW w:w="555" w:type="dxa"/>
            <w:vAlign w:val="center"/>
          </w:tcPr>
          <w:p>
            <w:pPr>
              <w:ind w:firstLine="28"/>
              <w:jc w:val="center"/>
              <w:rPr>
                <w:rFonts w:hAnsi="宋体"/>
                <w:color w:val="auto"/>
                <w:sz w:val="24"/>
                <w:szCs w:val="24"/>
                <w:highlight w:val="none"/>
              </w:rPr>
            </w:pPr>
            <w:r>
              <w:rPr>
                <w:rFonts w:hint="eastAsia" w:hAnsi="宋体"/>
                <w:color w:val="auto"/>
                <w:sz w:val="24"/>
                <w:szCs w:val="24"/>
                <w:highlight w:val="none"/>
              </w:rPr>
              <w:t>6</w:t>
            </w:r>
          </w:p>
        </w:tc>
        <w:tc>
          <w:tcPr>
            <w:tcW w:w="512" w:type="pct"/>
            <w:vMerge w:val="continue"/>
            <w:vAlign w:val="center"/>
          </w:tcPr>
          <w:p>
            <w:pPr>
              <w:spacing w:line="360" w:lineRule="auto"/>
              <w:rPr>
                <w:rFonts w:hAnsi="宋体"/>
                <w:color w:val="auto"/>
                <w:sz w:val="24"/>
                <w:szCs w:val="24"/>
                <w:highlight w:val="none"/>
              </w:rPr>
            </w:pPr>
          </w:p>
        </w:tc>
        <w:tc>
          <w:tcPr>
            <w:tcW w:w="563" w:type="pct"/>
            <w:vAlign w:val="center"/>
          </w:tcPr>
          <w:p>
            <w:pPr>
              <w:pStyle w:val="76"/>
              <w:spacing w:line="240" w:lineRule="auto"/>
              <w:jc w:val="center"/>
              <w:rPr>
                <w:color w:val="auto"/>
                <w:sz w:val="24"/>
                <w:szCs w:val="24"/>
                <w:highlight w:val="none"/>
              </w:rPr>
            </w:pPr>
            <w:r>
              <w:rPr>
                <w:rFonts w:hint="eastAsia" w:cs="宋体"/>
                <w:color w:val="auto"/>
                <w:sz w:val="24"/>
                <w:szCs w:val="24"/>
                <w:highlight w:val="none"/>
              </w:rPr>
              <w:t>设备、工具配备情况（5 分）</w:t>
            </w:r>
          </w:p>
        </w:tc>
        <w:tc>
          <w:tcPr>
            <w:tcW w:w="3324" w:type="pct"/>
            <w:vAlign w:val="center"/>
          </w:tcPr>
          <w:p>
            <w:pPr>
              <w:rPr>
                <w:rFonts w:hAnsi="宋体"/>
                <w:color w:val="auto"/>
                <w:sz w:val="24"/>
                <w:szCs w:val="24"/>
                <w:highlight w:val="none"/>
              </w:rPr>
            </w:pPr>
            <w:r>
              <w:rPr>
                <w:rFonts w:hAnsi="宋体"/>
                <w:color w:val="auto"/>
                <w:sz w:val="24"/>
                <w:szCs w:val="24"/>
                <w:highlight w:val="none"/>
              </w:rPr>
              <w:t>拟投入的设备、工</w:t>
            </w:r>
            <w:r>
              <w:rPr>
                <w:rFonts w:hint="eastAsia" w:hAnsi="宋体"/>
                <w:color w:val="auto"/>
                <w:sz w:val="24"/>
                <w:szCs w:val="24"/>
                <w:highlight w:val="none"/>
              </w:rPr>
              <w:t>具</w:t>
            </w:r>
            <w:r>
              <w:rPr>
                <w:rFonts w:hAnsi="宋体"/>
                <w:color w:val="auto"/>
                <w:sz w:val="24"/>
                <w:szCs w:val="24"/>
                <w:highlight w:val="none"/>
              </w:rPr>
              <w:t>数量充足、</w:t>
            </w:r>
            <w:r>
              <w:rPr>
                <w:rFonts w:hint="eastAsia" w:hAnsi="宋体"/>
                <w:color w:val="auto"/>
                <w:sz w:val="24"/>
                <w:szCs w:val="24"/>
                <w:highlight w:val="none"/>
              </w:rPr>
              <w:t>功能性强、</w:t>
            </w:r>
            <w:r>
              <w:rPr>
                <w:rFonts w:hAnsi="宋体"/>
                <w:color w:val="auto"/>
                <w:sz w:val="24"/>
                <w:szCs w:val="24"/>
                <w:highlight w:val="none"/>
              </w:rPr>
              <w:t>多样性</w:t>
            </w:r>
            <w:r>
              <w:rPr>
                <w:rFonts w:hint="eastAsia" w:hAnsi="宋体"/>
                <w:color w:val="auto"/>
                <w:sz w:val="24"/>
                <w:szCs w:val="24"/>
                <w:highlight w:val="none"/>
              </w:rPr>
              <w:t>强</w:t>
            </w:r>
            <w:r>
              <w:rPr>
                <w:rFonts w:hAnsi="宋体"/>
                <w:color w:val="auto"/>
                <w:sz w:val="24"/>
                <w:szCs w:val="24"/>
                <w:highlight w:val="none"/>
              </w:rPr>
              <w:t>，得</w:t>
            </w:r>
            <w:r>
              <w:rPr>
                <w:rFonts w:hint="eastAsia" w:hAnsi="宋体"/>
                <w:color w:val="auto"/>
                <w:sz w:val="24"/>
                <w:szCs w:val="24"/>
                <w:highlight w:val="none"/>
              </w:rPr>
              <w:t>5</w:t>
            </w:r>
            <w:r>
              <w:rPr>
                <w:rFonts w:hAnsi="宋体"/>
                <w:color w:val="auto"/>
                <w:sz w:val="24"/>
                <w:szCs w:val="24"/>
                <w:highlight w:val="none"/>
              </w:rPr>
              <w:t>分；拟投入的设备、工具数量</w:t>
            </w:r>
            <w:r>
              <w:rPr>
                <w:rFonts w:hint="eastAsia" w:hAnsi="宋体"/>
                <w:color w:val="auto"/>
                <w:sz w:val="24"/>
                <w:szCs w:val="24"/>
                <w:highlight w:val="none"/>
              </w:rPr>
              <w:t>多、功能性好、</w:t>
            </w:r>
            <w:r>
              <w:rPr>
                <w:rFonts w:hAnsi="宋体"/>
                <w:color w:val="auto"/>
                <w:sz w:val="24"/>
                <w:szCs w:val="24"/>
                <w:highlight w:val="none"/>
              </w:rPr>
              <w:t>多样性</w:t>
            </w:r>
            <w:r>
              <w:rPr>
                <w:rFonts w:hint="eastAsia" w:hAnsi="宋体"/>
                <w:color w:val="auto"/>
                <w:sz w:val="24"/>
                <w:szCs w:val="24"/>
                <w:highlight w:val="none"/>
              </w:rPr>
              <w:t>好，</w:t>
            </w:r>
            <w:r>
              <w:rPr>
                <w:rFonts w:hAnsi="宋体"/>
                <w:color w:val="auto"/>
                <w:sz w:val="24"/>
                <w:szCs w:val="24"/>
                <w:highlight w:val="none"/>
              </w:rPr>
              <w:t>得</w:t>
            </w:r>
            <w:r>
              <w:rPr>
                <w:rFonts w:hint="eastAsia" w:hAnsi="宋体"/>
                <w:color w:val="auto"/>
                <w:sz w:val="24"/>
                <w:szCs w:val="24"/>
                <w:highlight w:val="none"/>
              </w:rPr>
              <w:t>3</w:t>
            </w:r>
            <w:r>
              <w:rPr>
                <w:rFonts w:hAnsi="宋体"/>
                <w:color w:val="auto"/>
                <w:sz w:val="24"/>
                <w:szCs w:val="24"/>
                <w:highlight w:val="none"/>
              </w:rPr>
              <w:t>分；拟投入的设备、工具数量</w:t>
            </w:r>
            <w:r>
              <w:rPr>
                <w:rFonts w:hint="eastAsia" w:hAnsi="宋体"/>
                <w:color w:val="auto"/>
                <w:sz w:val="24"/>
                <w:szCs w:val="24"/>
                <w:highlight w:val="none"/>
              </w:rPr>
              <w:t>不足</w:t>
            </w:r>
            <w:r>
              <w:rPr>
                <w:rFonts w:hAnsi="宋体"/>
                <w:color w:val="auto"/>
                <w:sz w:val="24"/>
                <w:szCs w:val="24"/>
                <w:highlight w:val="none"/>
              </w:rPr>
              <w:t>、</w:t>
            </w:r>
            <w:r>
              <w:rPr>
                <w:rFonts w:hint="eastAsia" w:hAnsi="宋体"/>
                <w:color w:val="auto"/>
                <w:sz w:val="24"/>
                <w:szCs w:val="24"/>
                <w:highlight w:val="none"/>
              </w:rPr>
              <w:t>功能性差、</w:t>
            </w:r>
            <w:r>
              <w:rPr>
                <w:rFonts w:hAnsi="宋体"/>
                <w:color w:val="auto"/>
                <w:sz w:val="24"/>
                <w:szCs w:val="24"/>
                <w:highlight w:val="none"/>
              </w:rPr>
              <w:t>多样性</w:t>
            </w:r>
            <w:r>
              <w:rPr>
                <w:rFonts w:hint="eastAsia" w:hAnsi="宋体"/>
                <w:color w:val="auto"/>
                <w:sz w:val="24"/>
                <w:szCs w:val="24"/>
                <w:highlight w:val="none"/>
              </w:rPr>
              <w:t>差，得1分；未提供，</w:t>
            </w:r>
            <w:r>
              <w:rPr>
                <w:rFonts w:hAnsi="宋体"/>
                <w:color w:val="auto"/>
                <w:sz w:val="24"/>
                <w:szCs w:val="24"/>
                <w:highlight w:val="none"/>
              </w:rPr>
              <w:t>得0分。</w:t>
            </w:r>
          </w:p>
        </w:tc>
        <w:tc>
          <w:tcPr>
            <w:tcW w:w="292" w:type="pct"/>
            <w:vAlign w:val="center"/>
          </w:tcPr>
          <w:p>
            <w:pP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555" w:type="dxa"/>
            <w:vAlign w:val="center"/>
          </w:tcPr>
          <w:p>
            <w:pPr>
              <w:ind w:firstLine="28"/>
              <w:jc w:val="center"/>
              <w:rPr>
                <w:rFonts w:hAnsi="宋体"/>
                <w:color w:val="auto"/>
                <w:sz w:val="24"/>
                <w:szCs w:val="24"/>
                <w:highlight w:val="none"/>
              </w:rPr>
            </w:pPr>
            <w:r>
              <w:rPr>
                <w:rFonts w:hint="eastAsia" w:hAnsi="宋体"/>
                <w:color w:val="auto"/>
                <w:sz w:val="24"/>
                <w:szCs w:val="24"/>
                <w:highlight w:val="none"/>
              </w:rPr>
              <w:t>7</w:t>
            </w:r>
          </w:p>
        </w:tc>
        <w:tc>
          <w:tcPr>
            <w:tcW w:w="512" w:type="pct"/>
            <w:vMerge w:val="continue"/>
            <w:vAlign w:val="center"/>
          </w:tcPr>
          <w:p>
            <w:pPr>
              <w:spacing w:line="360" w:lineRule="auto"/>
              <w:rPr>
                <w:rFonts w:hAnsi="宋体"/>
                <w:color w:val="auto"/>
                <w:sz w:val="24"/>
                <w:szCs w:val="24"/>
                <w:highlight w:val="none"/>
              </w:rPr>
            </w:pPr>
          </w:p>
        </w:tc>
        <w:tc>
          <w:tcPr>
            <w:tcW w:w="563" w:type="pct"/>
            <w:vAlign w:val="center"/>
          </w:tcPr>
          <w:p>
            <w:pPr>
              <w:ind w:firstLine="28"/>
              <w:jc w:val="center"/>
              <w:rPr>
                <w:rFonts w:hAnsi="宋体"/>
                <w:color w:val="auto"/>
                <w:sz w:val="24"/>
                <w:szCs w:val="24"/>
                <w:highlight w:val="none"/>
              </w:rPr>
            </w:pPr>
            <w:r>
              <w:rPr>
                <w:rFonts w:hint="eastAsia" w:hAnsi="宋体"/>
                <w:color w:val="auto"/>
                <w:kern w:val="1"/>
                <w:sz w:val="24"/>
                <w:szCs w:val="24"/>
                <w:highlight w:val="none"/>
              </w:rPr>
              <w:t>管理制度（10分）</w:t>
            </w:r>
          </w:p>
        </w:tc>
        <w:tc>
          <w:tcPr>
            <w:tcW w:w="3324" w:type="pct"/>
            <w:vAlign w:val="center"/>
          </w:tcPr>
          <w:p>
            <w:pPr>
              <w:rPr>
                <w:rFonts w:hAnsi="宋体"/>
                <w:color w:val="auto"/>
                <w:sz w:val="24"/>
                <w:szCs w:val="24"/>
                <w:highlight w:val="none"/>
              </w:rPr>
            </w:pPr>
            <w:r>
              <w:rPr>
                <w:rFonts w:hint="eastAsia" w:hAnsi="宋体"/>
                <w:color w:val="auto"/>
                <w:sz w:val="24"/>
                <w:szCs w:val="24"/>
                <w:highlight w:val="none"/>
              </w:rPr>
              <w:t>有完整的、合理可行的人员考核机制和质量控制制度且可操作性强，得10 分；有较完整的、较合理可行的人员考核机制和质量控制制度、内部管理制度，得8分；有合理的人员考核机制和质量控制制度、内部管理制度，得5分；人员考核机制、质量控制制度和内部管理制度不够完整，不够合理可行，或缺少其中某个管理制度，得3分；未提供，得0分。</w:t>
            </w:r>
          </w:p>
        </w:tc>
        <w:tc>
          <w:tcPr>
            <w:tcW w:w="291" w:type="pct"/>
            <w:vAlign w:val="center"/>
          </w:tcPr>
          <w:p>
            <w:pP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trPr>
        <w:tc>
          <w:tcPr>
            <w:tcW w:w="555" w:type="dxa"/>
            <w:vAlign w:val="center"/>
          </w:tcPr>
          <w:p>
            <w:pPr>
              <w:ind w:firstLine="28"/>
              <w:jc w:val="center"/>
              <w:rPr>
                <w:rFonts w:hAnsi="宋体"/>
                <w:color w:val="auto"/>
                <w:sz w:val="24"/>
                <w:szCs w:val="24"/>
                <w:highlight w:val="none"/>
              </w:rPr>
            </w:pPr>
            <w:r>
              <w:rPr>
                <w:rFonts w:hint="eastAsia" w:hAnsi="宋体"/>
                <w:color w:val="auto"/>
                <w:sz w:val="24"/>
                <w:szCs w:val="24"/>
                <w:highlight w:val="none"/>
              </w:rPr>
              <w:t>8</w:t>
            </w:r>
          </w:p>
        </w:tc>
        <w:tc>
          <w:tcPr>
            <w:tcW w:w="512" w:type="pct"/>
            <w:vMerge w:val="continue"/>
            <w:vAlign w:val="center"/>
          </w:tcPr>
          <w:p>
            <w:pPr>
              <w:spacing w:line="360" w:lineRule="auto"/>
              <w:rPr>
                <w:rFonts w:hAnsi="宋体"/>
                <w:color w:val="auto"/>
                <w:sz w:val="24"/>
                <w:szCs w:val="24"/>
                <w:highlight w:val="none"/>
              </w:rPr>
            </w:pPr>
          </w:p>
        </w:tc>
        <w:tc>
          <w:tcPr>
            <w:tcW w:w="563" w:type="pct"/>
            <w:vAlign w:val="center"/>
          </w:tcPr>
          <w:p>
            <w:pPr>
              <w:pStyle w:val="76"/>
              <w:spacing w:line="240" w:lineRule="auto"/>
              <w:jc w:val="center"/>
              <w:rPr>
                <w:color w:val="auto"/>
                <w:sz w:val="24"/>
                <w:szCs w:val="24"/>
                <w:highlight w:val="none"/>
              </w:rPr>
            </w:pPr>
            <w:r>
              <w:rPr>
                <w:rFonts w:hint="eastAsia" w:cs="宋体"/>
                <w:color w:val="auto"/>
                <w:sz w:val="24"/>
                <w:szCs w:val="24"/>
                <w:highlight w:val="none"/>
              </w:rPr>
              <w:t>岗前培训方案（5分）</w:t>
            </w:r>
          </w:p>
        </w:tc>
        <w:tc>
          <w:tcPr>
            <w:tcW w:w="3324" w:type="pct"/>
            <w:vAlign w:val="center"/>
          </w:tcPr>
          <w:p>
            <w:pPr>
              <w:rPr>
                <w:rFonts w:hAnsi="宋体"/>
                <w:color w:val="auto"/>
                <w:sz w:val="24"/>
                <w:szCs w:val="24"/>
                <w:highlight w:val="none"/>
              </w:rPr>
            </w:pPr>
            <w:r>
              <w:rPr>
                <w:rFonts w:hint="eastAsia" w:hAnsi="宋体"/>
                <w:color w:val="auto"/>
                <w:sz w:val="24"/>
                <w:szCs w:val="24"/>
                <w:highlight w:val="none"/>
              </w:rPr>
              <w:t>培训方式、培训内容等方案详尽、可行性强、针对性强，得5分；培训方式、培训内容等方案基本合理、可行性及针对性弱，得3分；培训方式、培训内容等方案不合理、可行性及针对性差，得1分；未提供，得0分。</w:t>
            </w:r>
          </w:p>
        </w:tc>
        <w:tc>
          <w:tcPr>
            <w:tcW w:w="291" w:type="pct"/>
            <w:vAlign w:val="center"/>
          </w:tcPr>
          <w:p>
            <w:pP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555" w:type="dxa"/>
            <w:vAlign w:val="center"/>
          </w:tcPr>
          <w:p>
            <w:pPr>
              <w:ind w:firstLine="28"/>
              <w:jc w:val="center"/>
              <w:rPr>
                <w:rFonts w:hAnsi="宋体"/>
                <w:color w:val="auto"/>
                <w:sz w:val="24"/>
                <w:szCs w:val="24"/>
                <w:highlight w:val="none"/>
              </w:rPr>
            </w:pPr>
            <w:r>
              <w:rPr>
                <w:rFonts w:hint="eastAsia" w:hAnsi="宋体"/>
                <w:color w:val="auto"/>
                <w:sz w:val="24"/>
                <w:szCs w:val="24"/>
                <w:highlight w:val="none"/>
              </w:rPr>
              <w:t>9</w:t>
            </w:r>
          </w:p>
        </w:tc>
        <w:tc>
          <w:tcPr>
            <w:tcW w:w="512" w:type="pct"/>
            <w:vMerge w:val="continue"/>
            <w:vAlign w:val="center"/>
          </w:tcPr>
          <w:p>
            <w:pPr>
              <w:spacing w:line="360" w:lineRule="auto"/>
              <w:rPr>
                <w:rFonts w:hAnsi="宋体"/>
                <w:color w:val="auto"/>
                <w:sz w:val="24"/>
                <w:szCs w:val="24"/>
                <w:highlight w:val="none"/>
              </w:rPr>
            </w:pPr>
          </w:p>
        </w:tc>
        <w:tc>
          <w:tcPr>
            <w:tcW w:w="563" w:type="pct"/>
            <w:vAlign w:val="center"/>
          </w:tcPr>
          <w:p>
            <w:pPr>
              <w:pStyle w:val="76"/>
              <w:spacing w:line="240" w:lineRule="auto"/>
              <w:jc w:val="center"/>
              <w:rPr>
                <w:color w:val="auto"/>
                <w:sz w:val="24"/>
                <w:szCs w:val="24"/>
                <w:highlight w:val="none"/>
              </w:rPr>
            </w:pPr>
            <w:r>
              <w:rPr>
                <w:rFonts w:hint="eastAsia" w:cs="宋体"/>
                <w:color w:val="auto"/>
                <w:sz w:val="24"/>
                <w:szCs w:val="24"/>
                <w:highlight w:val="none"/>
              </w:rPr>
              <w:t>应急预案（10分）</w:t>
            </w:r>
          </w:p>
        </w:tc>
        <w:tc>
          <w:tcPr>
            <w:tcW w:w="3324" w:type="pct"/>
            <w:vAlign w:val="center"/>
          </w:tcPr>
          <w:p>
            <w:pPr>
              <w:pStyle w:val="76"/>
              <w:spacing w:line="240" w:lineRule="auto"/>
              <w:rPr>
                <w:color w:val="auto"/>
                <w:sz w:val="24"/>
                <w:szCs w:val="24"/>
                <w:highlight w:val="none"/>
              </w:rPr>
            </w:pPr>
            <w:r>
              <w:rPr>
                <w:rFonts w:hint="eastAsia" w:cs="宋体"/>
                <w:color w:val="auto"/>
                <w:sz w:val="24"/>
                <w:szCs w:val="24"/>
                <w:highlight w:val="none"/>
              </w:rPr>
              <w:t>根据本项目特点自行制定针对各类突发情况的应急预案。内容完整、详实可行、有很强的针对性，得10分；内容完整、可行、有针对性，得8分；内容常规、通用，基本满足项目需求，得5分；方案不完整、不详实缺乏针对性，得3分；未提供，得0分。</w:t>
            </w:r>
          </w:p>
        </w:tc>
        <w:tc>
          <w:tcPr>
            <w:tcW w:w="291" w:type="pct"/>
            <w:vAlign w:val="center"/>
          </w:tcPr>
          <w:p>
            <w:pP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555" w:type="dxa"/>
            <w:vAlign w:val="center"/>
          </w:tcPr>
          <w:p>
            <w:pPr>
              <w:ind w:firstLine="28"/>
              <w:jc w:val="center"/>
              <w:rPr>
                <w:rFonts w:hAnsi="宋体"/>
                <w:color w:val="auto"/>
                <w:sz w:val="24"/>
                <w:szCs w:val="24"/>
                <w:highlight w:val="none"/>
              </w:rPr>
            </w:pPr>
            <w:r>
              <w:rPr>
                <w:rFonts w:hint="eastAsia" w:hAnsi="宋体"/>
                <w:color w:val="auto"/>
                <w:sz w:val="24"/>
                <w:szCs w:val="24"/>
                <w:highlight w:val="none"/>
              </w:rPr>
              <w:t>10</w:t>
            </w:r>
          </w:p>
        </w:tc>
        <w:tc>
          <w:tcPr>
            <w:tcW w:w="512" w:type="pct"/>
            <w:vAlign w:val="center"/>
          </w:tcPr>
          <w:p>
            <w:pPr>
              <w:spacing w:line="360" w:lineRule="auto"/>
              <w:rPr>
                <w:rFonts w:hAnsi="宋体"/>
                <w:color w:val="auto"/>
                <w:sz w:val="24"/>
                <w:szCs w:val="24"/>
                <w:highlight w:val="none"/>
              </w:rPr>
            </w:pPr>
            <w:r>
              <w:rPr>
                <w:rFonts w:hAnsi="宋体" w:cs="Times New Roman"/>
                <w:color w:val="auto"/>
                <w:sz w:val="24"/>
                <w:szCs w:val="24"/>
                <w:highlight w:val="none"/>
              </w:rPr>
              <w:t>报价</w:t>
            </w:r>
            <w:r>
              <w:rPr>
                <w:rFonts w:hint="eastAsia" w:hAnsi="宋体" w:cs="Times New Roman"/>
                <w:color w:val="auto"/>
                <w:sz w:val="24"/>
                <w:szCs w:val="24"/>
                <w:highlight w:val="none"/>
              </w:rPr>
              <w:t>评审</w:t>
            </w:r>
            <w:r>
              <w:rPr>
                <w:rFonts w:hint="eastAsia" w:hAnsi="宋体"/>
                <w:color w:val="auto"/>
                <w:sz w:val="24"/>
                <w:szCs w:val="24"/>
                <w:highlight w:val="none"/>
              </w:rPr>
              <w:t>(10</w:t>
            </w:r>
            <w:r>
              <w:rPr>
                <w:rFonts w:hAnsi="宋体" w:cs="Times New Roman"/>
                <w:color w:val="auto"/>
                <w:sz w:val="24"/>
                <w:szCs w:val="24"/>
                <w:highlight w:val="none"/>
              </w:rPr>
              <w:t>分</w:t>
            </w:r>
            <w:r>
              <w:rPr>
                <w:rFonts w:hint="eastAsia" w:hAnsi="宋体" w:cs="Times New Roman"/>
                <w:color w:val="auto"/>
                <w:sz w:val="24"/>
                <w:szCs w:val="24"/>
                <w:highlight w:val="none"/>
              </w:rPr>
              <w:t>)</w:t>
            </w:r>
          </w:p>
        </w:tc>
        <w:tc>
          <w:tcPr>
            <w:tcW w:w="563" w:type="pct"/>
            <w:vAlign w:val="center"/>
          </w:tcPr>
          <w:p>
            <w:pPr>
              <w:spacing w:line="360" w:lineRule="auto"/>
              <w:rPr>
                <w:rFonts w:hAnsi="宋体"/>
                <w:color w:val="auto"/>
                <w:sz w:val="24"/>
                <w:szCs w:val="24"/>
                <w:highlight w:val="none"/>
              </w:rPr>
            </w:pPr>
            <w:r>
              <w:rPr>
                <w:rFonts w:hint="eastAsia" w:hAnsi="宋体" w:cs="Times New Roman"/>
                <w:color w:val="auto"/>
                <w:sz w:val="24"/>
                <w:szCs w:val="24"/>
                <w:highlight w:val="none"/>
              </w:rPr>
              <w:t>报价（</w:t>
            </w:r>
            <w:r>
              <w:rPr>
                <w:rFonts w:hint="eastAsia" w:hAnsi="宋体"/>
                <w:color w:val="auto"/>
                <w:sz w:val="24"/>
                <w:szCs w:val="24"/>
                <w:highlight w:val="none"/>
              </w:rPr>
              <w:t>10</w:t>
            </w:r>
            <w:r>
              <w:rPr>
                <w:rFonts w:hAnsi="宋体" w:cs="Times New Roman"/>
                <w:color w:val="auto"/>
                <w:sz w:val="24"/>
                <w:szCs w:val="24"/>
                <w:highlight w:val="none"/>
              </w:rPr>
              <w:t>分</w:t>
            </w:r>
            <w:r>
              <w:rPr>
                <w:rFonts w:hint="eastAsia" w:hAnsi="宋体" w:cs="Times New Roman"/>
                <w:color w:val="auto"/>
                <w:sz w:val="24"/>
                <w:szCs w:val="24"/>
                <w:highlight w:val="none"/>
              </w:rPr>
              <w:t>）</w:t>
            </w:r>
          </w:p>
        </w:tc>
        <w:tc>
          <w:tcPr>
            <w:tcW w:w="3324" w:type="pct"/>
            <w:vAlign w:val="center"/>
          </w:tcPr>
          <w:p>
            <w:pPr>
              <w:rPr>
                <w:rFonts w:hAnsi="宋体"/>
                <w:color w:val="auto"/>
                <w:sz w:val="24"/>
                <w:szCs w:val="24"/>
                <w:highlight w:val="none"/>
              </w:rPr>
            </w:pPr>
            <w:r>
              <w:rPr>
                <w:rFonts w:hint="eastAsia" w:hAnsi="宋体"/>
                <w:color w:val="auto"/>
                <w:sz w:val="24"/>
                <w:szCs w:val="24"/>
                <w:highlight w:val="none"/>
              </w:rPr>
              <w:t>满足磋商文件要求的最后报价最低的供应商的价格为磋商基准价，其价格分为满分。其他供应商的价格分统一按照下列公式计算：磋商报价得分=（磋商基准价/最后报价）×10。</w:t>
            </w:r>
          </w:p>
          <w:p>
            <w:pPr>
              <w:pStyle w:val="20"/>
              <w:ind w:left="0" w:leftChars="0" w:firstLine="0" w:firstLineChars="0"/>
              <w:rPr>
                <w:rFonts w:ascii="宋体" w:hAnsi="宋体"/>
                <w:color w:val="auto"/>
                <w:sz w:val="24"/>
                <w:highlight w:val="none"/>
              </w:rPr>
            </w:pPr>
            <w:r>
              <w:rPr>
                <w:rFonts w:hint="eastAsia" w:ascii="宋体" w:hAnsi="宋体"/>
                <w:color w:val="auto"/>
                <w:sz w:val="24"/>
                <w:highlight w:val="none"/>
              </w:rPr>
              <w:t>注：此处最后报价指经过报价修正，及因落实政府采购政策进行价格调整后的报价，详见第三章《评审方法和评审标准》3.2、3.3。</w:t>
            </w:r>
          </w:p>
        </w:tc>
        <w:tc>
          <w:tcPr>
            <w:tcW w:w="291" w:type="pct"/>
            <w:vAlign w:val="center"/>
          </w:tcPr>
          <w:p>
            <w:pPr>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9" w:type="pct"/>
            <w:gridSpan w:val="2"/>
            <w:vAlign w:val="center"/>
          </w:tcPr>
          <w:p>
            <w:pPr>
              <w:ind w:firstLine="28"/>
              <w:jc w:val="center"/>
              <w:rPr>
                <w:rFonts w:hAnsi="宋体"/>
                <w:color w:val="auto"/>
                <w:sz w:val="24"/>
                <w:szCs w:val="24"/>
                <w:highlight w:val="none"/>
              </w:rPr>
            </w:pPr>
            <w:r>
              <w:rPr>
                <w:rFonts w:hint="eastAsia" w:hAnsi="宋体"/>
                <w:color w:val="auto"/>
                <w:sz w:val="24"/>
                <w:szCs w:val="24"/>
                <w:highlight w:val="none"/>
              </w:rPr>
              <w:t>合计</w:t>
            </w:r>
          </w:p>
        </w:tc>
        <w:tc>
          <w:tcPr>
            <w:tcW w:w="563" w:type="pct"/>
            <w:vAlign w:val="center"/>
          </w:tcPr>
          <w:p>
            <w:pPr>
              <w:ind w:firstLine="28"/>
              <w:jc w:val="center"/>
              <w:rPr>
                <w:rFonts w:hAnsi="宋体"/>
                <w:color w:val="auto"/>
                <w:sz w:val="24"/>
                <w:szCs w:val="24"/>
                <w:highlight w:val="none"/>
              </w:rPr>
            </w:pPr>
            <w:r>
              <w:rPr>
                <w:rFonts w:hAnsi="宋体" w:cs="Times New Roman"/>
                <w:color w:val="auto"/>
                <w:sz w:val="24"/>
                <w:szCs w:val="24"/>
                <w:highlight w:val="none"/>
              </w:rPr>
              <w:t>100分</w:t>
            </w:r>
          </w:p>
        </w:tc>
        <w:tc>
          <w:tcPr>
            <w:tcW w:w="3616" w:type="pct"/>
            <w:gridSpan w:val="2"/>
            <w:vAlign w:val="center"/>
          </w:tcPr>
          <w:p>
            <w:pPr>
              <w:rPr>
                <w:rFonts w:hAnsi="宋体"/>
                <w:color w:val="auto"/>
                <w:sz w:val="24"/>
                <w:szCs w:val="24"/>
                <w:highlight w:val="none"/>
              </w:rPr>
            </w:pPr>
          </w:p>
        </w:tc>
      </w:tr>
    </w:tbl>
    <w:p>
      <w:pPr>
        <w:rPr>
          <w:rFonts w:hAnsi="宋体"/>
          <w:color w:val="auto"/>
          <w:sz w:val="25"/>
          <w:szCs w:val="25"/>
          <w:highlight w:val="none"/>
        </w:rPr>
      </w:pPr>
    </w:p>
    <w:p>
      <w:pPr>
        <w:widowControl/>
        <w:autoSpaceDE/>
        <w:autoSpaceDN/>
        <w:adjustRightInd/>
        <w:rPr>
          <w:rFonts w:hAnsi="宋体"/>
          <w:color w:val="auto"/>
          <w:sz w:val="36"/>
          <w:szCs w:val="36"/>
          <w:highlight w:val="none"/>
        </w:rPr>
      </w:pPr>
      <w:bookmarkStart w:id="77" w:name="_Toc149147550"/>
      <w:bookmarkStart w:id="78" w:name="_Toc149147705"/>
      <w:r>
        <w:rPr>
          <w:rFonts w:hAnsi="宋体"/>
          <w:color w:val="auto"/>
          <w:highlight w:val="none"/>
        </w:rPr>
        <w:br w:type="page"/>
      </w:r>
    </w:p>
    <w:p>
      <w:pPr>
        <w:pStyle w:val="3"/>
        <w:numPr>
          <w:ilvl w:val="0"/>
          <w:numId w:val="11"/>
        </w:numPr>
        <w:tabs>
          <w:tab w:val="left" w:pos="1622"/>
        </w:tabs>
        <w:kinsoku w:val="0"/>
        <w:overflowPunct w:val="0"/>
        <w:ind w:right="29"/>
        <w:rPr>
          <w:rFonts w:hAnsi="宋体"/>
          <w:color w:val="auto"/>
          <w:highlight w:val="none"/>
        </w:rPr>
      </w:pPr>
      <w:r>
        <w:rPr>
          <w:rFonts w:hint="eastAsia" w:hAnsi="宋体"/>
          <w:color w:val="auto"/>
          <w:highlight w:val="none"/>
        </w:rPr>
        <w:t>采购需求</w:t>
      </w:r>
      <w:bookmarkEnd w:id="77"/>
      <w:bookmarkEnd w:id="78"/>
    </w:p>
    <w:p>
      <w:pPr>
        <w:pStyle w:val="69"/>
        <w:numPr>
          <w:ilvl w:val="0"/>
          <w:numId w:val="12"/>
        </w:numPr>
        <w:autoSpaceDE/>
        <w:autoSpaceDN/>
        <w:adjustRightInd/>
        <w:spacing w:after="160" w:line="360" w:lineRule="auto"/>
        <w:contextualSpacing/>
        <w:jc w:val="both"/>
        <w:rPr>
          <w:rFonts w:ascii="Times New Roman"/>
          <w:b/>
          <w:color w:val="auto"/>
          <w:highlight w:val="none"/>
        </w:rPr>
      </w:pPr>
      <w:r>
        <w:rPr>
          <w:rFonts w:ascii="Times New Roman"/>
          <w:b/>
          <w:color w:val="auto"/>
          <w:highlight w:val="none"/>
        </w:rPr>
        <w:t>采购标的</w:t>
      </w:r>
    </w:p>
    <w:p>
      <w:pPr>
        <w:numPr>
          <w:ilvl w:val="0"/>
          <w:numId w:val="13"/>
        </w:numPr>
        <w:autoSpaceDE/>
        <w:autoSpaceDN/>
        <w:adjustRightInd/>
        <w:spacing w:after="160" w:line="360" w:lineRule="auto"/>
        <w:ind w:firstLine="480" w:firstLineChars="200"/>
        <w:contextualSpacing/>
        <w:jc w:val="both"/>
        <w:rPr>
          <w:bCs/>
          <w:color w:val="auto"/>
          <w:sz w:val="24"/>
          <w:highlight w:val="none"/>
        </w:rPr>
      </w:pPr>
      <w:r>
        <w:rPr>
          <w:rFonts w:hint="eastAsia"/>
          <w:color w:val="auto"/>
          <w:sz w:val="24"/>
          <w:highlight w:val="none"/>
        </w:rPr>
        <w:t>标的名称：</w:t>
      </w:r>
      <w:r>
        <w:rPr>
          <w:rFonts w:hAnsi="宋体"/>
          <w:color w:val="auto"/>
          <w:sz w:val="24"/>
          <w:szCs w:val="24"/>
          <w:highlight w:val="none"/>
          <w:shd w:val="clear" w:color="auto" w:fill="FFFFFF"/>
        </w:rPr>
        <w:t>牛栏山镇回迁村生活垃圾分类服务项目</w:t>
      </w:r>
      <w:r>
        <w:rPr>
          <w:rFonts w:hint="eastAsia"/>
          <w:color w:val="auto"/>
          <w:sz w:val="24"/>
          <w:highlight w:val="none"/>
        </w:rPr>
        <w:t>；</w:t>
      </w:r>
    </w:p>
    <w:p>
      <w:pPr>
        <w:numPr>
          <w:ilvl w:val="0"/>
          <w:numId w:val="13"/>
        </w:numPr>
        <w:autoSpaceDE/>
        <w:autoSpaceDN/>
        <w:adjustRightInd/>
        <w:spacing w:after="160" w:line="360" w:lineRule="auto"/>
        <w:ind w:firstLine="480" w:firstLineChars="200"/>
        <w:contextualSpacing/>
        <w:jc w:val="both"/>
        <w:rPr>
          <w:bCs/>
          <w:color w:val="auto"/>
          <w:sz w:val="24"/>
          <w:highlight w:val="none"/>
        </w:rPr>
      </w:pPr>
      <w:r>
        <w:rPr>
          <w:rFonts w:hint="eastAsia"/>
          <w:color w:val="auto"/>
          <w:sz w:val="24"/>
          <w:highlight w:val="none"/>
        </w:rPr>
        <w:t>数量：1项；</w:t>
      </w:r>
    </w:p>
    <w:p>
      <w:pPr>
        <w:numPr>
          <w:ilvl w:val="0"/>
          <w:numId w:val="13"/>
        </w:numPr>
        <w:autoSpaceDE/>
        <w:autoSpaceDN/>
        <w:adjustRightInd/>
        <w:spacing w:after="160" w:line="360" w:lineRule="auto"/>
        <w:ind w:firstLine="480" w:firstLineChars="200"/>
        <w:contextualSpacing/>
        <w:jc w:val="both"/>
        <w:rPr>
          <w:bCs/>
          <w:color w:val="auto"/>
          <w:sz w:val="24"/>
          <w:highlight w:val="none"/>
        </w:rPr>
      </w:pPr>
      <w:r>
        <w:rPr>
          <w:color w:val="auto"/>
          <w:sz w:val="24"/>
          <w:highlight w:val="none"/>
        </w:rPr>
        <w:t>简要服务内容</w:t>
      </w:r>
      <w:r>
        <w:rPr>
          <w:rFonts w:hint="eastAsia"/>
          <w:color w:val="auto"/>
          <w:sz w:val="24"/>
          <w:highlight w:val="none"/>
        </w:rPr>
        <w:t>：牛栏山镇下坡屯家园一二三区、张庄家园、安乐家园、半壁店回迁小区、维尼纶家属院五个回迁社区的垃圾桶站进行垃圾分类及宣传、指导工作。</w:t>
      </w:r>
    </w:p>
    <w:p>
      <w:pPr>
        <w:numPr>
          <w:ilvl w:val="0"/>
          <w:numId w:val="13"/>
        </w:numPr>
        <w:autoSpaceDE/>
        <w:autoSpaceDN/>
        <w:adjustRightInd/>
        <w:spacing w:after="160" w:line="360" w:lineRule="auto"/>
        <w:ind w:firstLine="480" w:firstLineChars="200"/>
        <w:contextualSpacing/>
        <w:jc w:val="both"/>
        <w:rPr>
          <w:color w:val="auto"/>
          <w:sz w:val="24"/>
          <w:highlight w:val="none"/>
        </w:rPr>
      </w:pPr>
      <w:r>
        <w:rPr>
          <w:rFonts w:hint="eastAsia"/>
          <w:color w:val="auto"/>
          <w:sz w:val="24"/>
          <w:highlight w:val="none"/>
        </w:rPr>
        <w:t>项目背景：为贯彻落实《北京市生活垃圾分类管理条例》及《关于在全市开展“垃圾分类我们一起行动”实践活动的通知》等有关法律法规及政策性文件的规定中关于做好生活小区垃圾桶站值守的工作要求，引导居民正确进行垃圾分类，对错误分类和投放的居民进行再宣传、再指导，改善人居环境，提升辖区整体形象。</w:t>
      </w:r>
    </w:p>
    <w:p>
      <w:pPr>
        <w:pStyle w:val="69"/>
        <w:numPr>
          <w:ilvl w:val="0"/>
          <w:numId w:val="12"/>
        </w:numPr>
        <w:autoSpaceDE/>
        <w:autoSpaceDN/>
        <w:adjustRightInd/>
        <w:spacing w:after="160" w:line="360" w:lineRule="auto"/>
        <w:contextualSpacing/>
        <w:jc w:val="both"/>
        <w:rPr>
          <w:rFonts w:ascii="Times New Roman"/>
          <w:b/>
          <w:color w:val="auto"/>
          <w:highlight w:val="none"/>
        </w:rPr>
      </w:pPr>
      <w:r>
        <w:rPr>
          <w:rFonts w:ascii="Times New Roman"/>
          <w:b/>
          <w:color w:val="auto"/>
          <w:highlight w:val="none"/>
        </w:rPr>
        <w:t>商务要求</w:t>
      </w:r>
    </w:p>
    <w:p>
      <w:pPr>
        <w:spacing w:line="360" w:lineRule="auto"/>
        <w:contextualSpacing/>
        <w:rPr>
          <w:i/>
          <w:color w:val="auto"/>
          <w:sz w:val="24"/>
          <w:highlight w:val="none"/>
        </w:rPr>
      </w:pPr>
      <w:r>
        <w:rPr>
          <w:color w:val="auto"/>
          <w:sz w:val="24"/>
          <w:highlight w:val="none"/>
        </w:rPr>
        <w:t>1. 实施的期限和地点</w:t>
      </w:r>
    </w:p>
    <w:p>
      <w:pPr>
        <w:spacing w:line="360" w:lineRule="auto"/>
        <w:ind w:firstLine="480" w:firstLineChars="200"/>
        <w:contextualSpacing/>
        <w:rPr>
          <w:bCs/>
          <w:color w:val="auto"/>
          <w:sz w:val="24"/>
          <w:highlight w:val="none"/>
        </w:rPr>
      </w:pPr>
      <w:r>
        <w:rPr>
          <w:rFonts w:hint="eastAsia"/>
          <w:bCs/>
          <w:color w:val="auto"/>
          <w:sz w:val="24"/>
          <w:highlight w:val="none"/>
        </w:rPr>
        <w:t>合同履行期限：自合同签订之日起1年。</w:t>
      </w:r>
    </w:p>
    <w:p>
      <w:pPr>
        <w:spacing w:line="360" w:lineRule="auto"/>
        <w:ind w:firstLine="480" w:firstLineChars="200"/>
        <w:contextualSpacing/>
        <w:rPr>
          <w:bCs/>
          <w:color w:val="auto"/>
          <w:sz w:val="24"/>
          <w:highlight w:val="none"/>
        </w:rPr>
      </w:pPr>
      <w:r>
        <w:rPr>
          <w:rFonts w:hint="eastAsia"/>
          <w:bCs/>
          <w:color w:val="auto"/>
          <w:sz w:val="24"/>
          <w:highlight w:val="none"/>
        </w:rPr>
        <w:t>服务地点：北京市顺义区牛栏山镇。</w:t>
      </w:r>
    </w:p>
    <w:p>
      <w:pPr>
        <w:spacing w:line="360" w:lineRule="auto"/>
        <w:ind w:firstLine="480" w:firstLineChars="200"/>
        <w:contextualSpacing/>
        <w:rPr>
          <w:rFonts w:hAnsi="宋体"/>
          <w:b/>
          <w:i/>
          <w:color w:val="auto"/>
          <w:sz w:val="24"/>
          <w:highlight w:val="none"/>
        </w:rPr>
      </w:pPr>
      <w:r>
        <w:rPr>
          <w:color w:val="auto"/>
          <w:sz w:val="24"/>
          <w:highlight w:val="none"/>
        </w:rPr>
        <w:t>2. 付款</w:t>
      </w:r>
      <w:r>
        <w:rPr>
          <w:rFonts w:hint="eastAsia"/>
          <w:color w:val="auto"/>
          <w:sz w:val="24"/>
          <w:highlight w:val="none"/>
        </w:rPr>
        <w:t>时间：合同服务期满，甲方支付服务费。</w:t>
      </w:r>
    </w:p>
    <w:p>
      <w:pPr>
        <w:pStyle w:val="69"/>
        <w:numPr>
          <w:ilvl w:val="0"/>
          <w:numId w:val="12"/>
        </w:numPr>
        <w:autoSpaceDE/>
        <w:autoSpaceDN/>
        <w:adjustRightInd/>
        <w:spacing w:after="160" w:line="360" w:lineRule="auto"/>
        <w:contextualSpacing/>
        <w:jc w:val="both"/>
        <w:rPr>
          <w:rFonts w:ascii="Times New Roman"/>
          <w:b/>
          <w:color w:val="auto"/>
          <w:highlight w:val="none"/>
        </w:rPr>
      </w:pPr>
      <w:r>
        <w:rPr>
          <w:rFonts w:ascii="Times New Roman"/>
          <w:b/>
          <w:color w:val="auto"/>
          <w:highlight w:val="none"/>
        </w:rPr>
        <w:t>技术要求</w:t>
      </w:r>
    </w:p>
    <w:p>
      <w:pPr>
        <w:spacing w:line="360" w:lineRule="auto"/>
        <w:contextualSpacing/>
        <w:rPr>
          <w:color w:val="auto"/>
          <w:sz w:val="24"/>
          <w:highlight w:val="none"/>
        </w:rPr>
      </w:pPr>
      <w:r>
        <w:rPr>
          <w:color w:val="auto"/>
          <w:sz w:val="24"/>
          <w:highlight w:val="none"/>
        </w:rPr>
        <w:t>1. 基本要求</w:t>
      </w:r>
    </w:p>
    <w:p>
      <w:pPr>
        <w:spacing w:line="360" w:lineRule="auto"/>
        <w:ind w:firstLine="480" w:firstLineChars="200"/>
        <w:contextualSpacing/>
        <w:rPr>
          <w:color w:val="auto"/>
          <w:sz w:val="24"/>
          <w:highlight w:val="none"/>
        </w:rPr>
      </w:pPr>
      <w:r>
        <w:rPr>
          <w:color w:val="auto"/>
          <w:sz w:val="24"/>
          <w:highlight w:val="none"/>
        </w:rPr>
        <w:t>1.1 采购标的需实现的目标</w:t>
      </w:r>
    </w:p>
    <w:p>
      <w:pPr>
        <w:pStyle w:val="17"/>
        <w:spacing w:line="360" w:lineRule="auto"/>
        <w:ind w:firstLine="480" w:firstLineChars="200"/>
        <w:rPr>
          <w:color w:val="auto"/>
          <w:highlight w:val="none"/>
        </w:rPr>
      </w:pPr>
      <w:r>
        <w:rPr>
          <w:rFonts w:hint="eastAsia"/>
          <w:color w:val="auto"/>
          <w:highlight w:val="none"/>
        </w:rPr>
        <w:t>加强下坡屯家园一二三区、张庄家园、安乐家园、维尼纶家属院、半壁店回迁小区，共7个小区的生活垃圾分类管理工作，健全生活垃圾分类机制，改变生活垃圾分类现状，提高生活垃圾分类的质量和效果。</w:t>
      </w:r>
    </w:p>
    <w:p>
      <w:pPr>
        <w:spacing w:line="360" w:lineRule="auto"/>
        <w:ind w:firstLine="480" w:firstLineChars="200"/>
        <w:contextualSpacing/>
        <w:rPr>
          <w:color w:val="auto"/>
          <w:highlight w:val="none"/>
        </w:rPr>
      </w:pPr>
      <w:r>
        <w:rPr>
          <w:color w:val="auto"/>
          <w:sz w:val="24"/>
          <w:highlight w:val="none"/>
        </w:rPr>
        <w:t>1.2 需执行的国家相关标准、行业标准、地方标准或者其他标准、规范</w:t>
      </w:r>
      <w:r>
        <w:rPr>
          <w:rFonts w:hint="eastAsia"/>
          <w:color w:val="auto"/>
          <w:sz w:val="24"/>
          <w:highlight w:val="none"/>
        </w:rPr>
        <w:t>：《北京市生活垃圾分类管理条例》、</w:t>
      </w:r>
      <w:r>
        <w:rPr>
          <w:color w:val="auto"/>
          <w:sz w:val="24"/>
          <w:highlight w:val="none"/>
        </w:rPr>
        <w:t>《北京市生活垃圾分类考评指标方案》</w:t>
      </w:r>
      <w:r>
        <w:rPr>
          <w:rFonts w:hint="eastAsia"/>
          <w:color w:val="auto"/>
          <w:sz w:val="24"/>
          <w:highlight w:val="none"/>
        </w:rPr>
        <w:t>、《关于在全市开展“垃圾分类我们一起行动”实践活动的通知》、</w:t>
      </w:r>
      <w:r>
        <w:rPr>
          <w:color w:val="auto"/>
          <w:sz w:val="24"/>
          <w:highlight w:val="none"/>
        </w:rPr>
        <w:t>《顺义区生活垃圾分类考评指标方案》</w:t>
      </w:r>
      <w:r>
        <w:rPr>
          <w:rFonts w:hint="eastAsia"/>
          <w:color w:val="auto"/>
          <w:sz w:val="24"/>
          <w:highlight w:val="none"/>
        </w:rPr>
        <w:t>等相关法律法规及标准。</w:t>
      </w:r>
    </w:p>
    <w:p>
      <w:pPr>
        <w:spacing w:line="360" w:lineRule="auto"/>
        <w:contextualSpacing/>
        <w:rPr>
          <w:color w:val="auto"/>
          <w:sz w:val="24"/>
          <w:highlight w:val="none"/>
        </w:rPr>
      </w:pPr>
      <w:r>
        <w:rPr>
          <w:color w:val="auto"/>
          <w:sz w:val="24"/>
          <w:highlight w:val="none"/>
        </w:rPr>
        <w:t>2. 服务内容及要求</w:t>
      </w:r>
    </w:p>
    <w:p>
      <w:pPr>
        <w:widowControl/>
        <w:spacing w:line="360" w:lineRule="auto"/>
        <w:ind w:firstLine="480" w:firstLineChars="200"/>
        <w:contextualSpacing/>
        <w:rPr>
          <w:color w:val="auto"/>
          <w:sz w:val="24"/>
          <w:highlight w:val="none"/>
        </w:rPr>
      </w:pPr>
      <w:r>
        <w:rPr>
          <w:rFonts w:hint="eastAsia"/>
          <w:color w:val="auto"/>
          <w:sz w:val="24"/>
          <w:highlight w:val="none"/>
        </w:rPr>
        <w:t>2.1采购标的需满足的服务标准、效率等要求</w:t>
      </w:r>
    </w:p>
    <w:p>
      <w:pPr>
        <w:widowControl/>
        <w:spacing w:line="360" w:lineRule="auto"/>
        <w:ind w:firstLine="480" w:firstLineChars="200"/>
        <w:contextualSpacing/>
        <w:rPr>
          <w:color w:val="auto"/>
          <w:sz w:val="24"/>
          <w:highlight w:val="none"/>
        </w:rPr>
      </w:pPr>
      <w:r>
        <w:rPr>
          <w:rFonts w:hint="eastAsia"/>
          <w:color w:val="auto"/>
          <w:sz w:val="24"/>
          <w:highlight w:val="none"/>
        </w:rPr>
        <w:t>（1）指派不低于</w:t>
      </w:r>
      <w:r>
        <w:rPr>
          <w:rFonts w:hint="eastAsia" w:hAnsi="宋体"/>
          <w:color w:val="auto"/>
          <w:sz w:val="24"/>
          <w:highlight w:val="none"/>
          <w:u w:val="single"/>
        </w:rPr>
        <w:t xml:space="preserve"> 28</w:t>
      </w:r>
      <w:r>
        <w:rPr>
          <w:rFonts w:hint="eastAsia"/>
          <w:color w:val="auto"/>
          <w:sz w:val="24"/>
          <w:highlight w:val="none"/>
          <w:u w:val="single"/>
        </w:rPr>
        <w:t xml:space="preserve"> </w:t>
      </w:r>
      <w:r>
        <w:rPr>
          <w:rFonts w:hint="eastAsia"/>
          <w:color w:val="auto"/>
          <w:sz w:val="24"/>
          <w:highlight w:val="none"/>
        </w:rPr>
        <w:t>名垃圾分类指导员提供垃圾分类指导服务，按社区要求统一着装，佩戴工作证、作业工具，服从采购人的统一安排。</w:t>
      </w:r>
    </w:p>
    <w:p>
      <w:pPr>
        <w:widowControl/>
        <w:spacing w:line="360" w:lineRule="auto"/>
        <w:ind w:firstLine="480" w:firstLineChars="200"/>
        <w:contextualSpacing/>
        <w:rPr>
          <w:color w:val="auto"/>
          <w:sz w:val="24"/>
          <w:highlight w:val="none"/>
        </w:rPr>
      </w:pPr>
      <w:r>
        <w:rPr>
          <w:rFonts w:hint="eastAsia"/>
          <w:color w:val="auto"/>
          <w:sz w:val="24"/>
          <w:highlight w:val="none"/>
        </w:rPr>
        <w:t>（2）值守时间内在岗人员应符合采购人要求。</w:t>
      </w:r>
    </w:p>
    <w:p>
      <w:pPr>
        <w:widowControl/>
        <w:spacing w:line="360" w:lineRule="auto"/>
        <w:ind w:firstLine="480" w:firstLineChars="200"/>
        <w:contextualSpacing/>
        <w:rPr>
          <w:color w:val="auto"/>
          <w:sz w:val="24"/>
          <w:highlight w:val="none"/>
        </w:rPr>
      </w:pPr>
      <w:r>
        <w:rPr>
          <w:rFonts w:hint="eastAsia"/>
          <w:color w:val="auto"/>
          <w:sz w:val="24"/>
          <w:highlight w:val="none"/>
        </w:rPr>
        <w:t>（3）桶站值守人员在岗期间要对桶内各类未进行分类投放的垃圾进行二次分拣，保证在岗期间各类垃圾的分类纯净度。</w:t>
      </w:r>
    </w:p>
    <w:p>
      <w:pPr>
        <w:widowControl/>
        <w:spacing w:line="360" w:lineRule="auto"/>
        <w:ind w:firstLine="480" w:firstLineChars="200"/>
        <w:contextualSpacing/>
        <w:rPr>
          <w:color w:val="auto"/>
          <w:sz w:val="24"/>
          <w:highlight w:val="none"/>
        </w:rPr>
      </w:pPr>
      <w:r>
        <w:rPr>
          <w:rFonts w:hint="eastAsia"/>
          <w:color w:val="auto"/>
          <w:sz w:val="24"/>
          <w:highlight w:val="none"/>
        </w:rPr>
        <w:t>（4）桶站值守人员在分拣过程中要引导居民正确进行分类投放，尽到宣传垃圾分类的责任。</w:t>
      </w:r>
    </w:p>
    <w:p>
      <w:pPr>
        <w:widowControl/>
        <w:spacing w:line="360" w:lineRule="auto"/>
        <w:ind w:firstLine="480" w:firstLineChars="200"/>
        <w:contextualSpacing/>
        <w:rPr>
          <w:color w:val="auto"/>
          <w:sz w:val="24"/>
          <w:highlight w:val="none"/>
        </w:rPr>
      </w:pPr>
      <w:r>
        <w:rPr>
          <w:rFonts w:hint="eastAsia"/>
          <w:color w:val="auto"/>
          <w:sz w:val="24"/>
          <w:highlight w:val="none"/>
        </w:rPr>
        <w:t>（5）服务单位负责各桶站内所有垃圾桶及其他附属设施的清洗、擦拭、消杀工作，确保桶站及周边半径2米内环境干净、整洁。</w:t>
      </w:r>
    </w:p>
    <w:p>
      <w:pPr>
        <w:widowControl/>
        <w:spacing w:line="360" w:lineRule="auto"/>
        <w:ind w:firstLine="480" w:firstLineChars="200"/>
        <w:contextualSpacing/>
        <w:rPr>
          <w:color w:val="auto"/>
          <w:sz w:val="24"/>
          <w:highlight w:val="none"/>
        </w:rPr>
      </w:pPr>
      <w:r>
        <w:rPr>
          <w:rFonts w:hint="eastAsia"/>
          <w:color w:val="auto"/>
          <w:sz w:val="24"/>
          <w:highlight w:val="none"/>
        </w:rPr>
        <w:t>（6）桶内垃圾无满冒，地面无积存垃圾，容器周边无蚊蝇无异味。</w:t>
      </w:r>
    </w:p>
    <w:p>
      <w:pPr>
        <w:widowControl/>
        <w:spacing w:line="360" w:lineRule="auto"/>
        <w:ind w:firstLine="480" w:firstLineChars="200"/>
        <w:contextualSpacing/>
        <w:rPr>
          <w:color w:val="auto"/>
          <w:sz w:val="24"/>
          <w:highlight w:val="none"/>
        </w:rPr>
      </w:pPr>
      <w:r>
        <w:rPr>
          <w:rFonts w:hint="eastAsia"/>
          <w:color w:val="auto"/>
          <w:sz w:val="24"/>
          <w:highlight w:val="none"/>
        </w:rPr>
        <w:t>（7）服务单位员工在岗过程中要佩戴明显的垃圾分类标识。</w:t>
      </w:r>
    </w:p>
    <w:p>
      <w:pPr>
        <w:widowControl/>
        <w:spacing w:line="360" w:lineRule="auto"/>
        <w:ind w:firstLine="480" w:firstLineChars="200"/>
        <w:contextualSpacing/>
        <w:rPr>
          <w:color w:val="auto"/>
          <w:sz w:val="24"/>
          <w:highlight w:val="none"/>
        </w:rPr>
      </w:pPr>
      <w:r>
        <w:rPr>
          <w:rFonts w:hint="eastAsia"/>
          <w:color w:val="auto"/>
          <w:sz w:val="24"/>
          <w:highlight w:val="none"/>
        </w:rPr>
        <w:t>（8）服务单位员工在分拣工作期间所用的手套、夹子等相应的工具由服务单位自行配备。</w:t>
      </w:r>
    </w:p>
    <w:p>
      <w:pPr>
        <w:widowControl/>
        <w:spacing w:line="360" w:lineRule="auto"/>
        <w:ind w:firstLine="480" w:firstLineChars="200"/>
        <w:contextualSpacing/>
        <w:rPr>
          <w:color w:val="auto"/>
          <w:sz w:val="24"/>
          <w:highlight w:val="none"/>
        </w:rPr>
      </w:pPr>
      <w:r>
        <w:rPr>
          <w:rFonts w:hint="eastAsia"/>
          <w:color w:val="auto"/>
          <w:sz w:val="24"/>
          <w:highlight w:val="none"/>
        </w:rPr>
        <w:t>（9）服务单位负责对工作中发现垃圾桶及其他设施破损的现象，要第一时间上报采购人。</w:t>
      </w:r>
    </w:p>
    <w:p>
      <w:pPr>
        <w:widowControl/>
        <w:spacing w:line="360" w:lineRule="auto"/>
        <w:ind w:firstLine="480" w:firstLineChars="200"/>
        <w:contextualSpacing/>
        <w:rPr>
          <w:color w:val="auto"/>
          <w:sz w:val="24"/>
          <w:highlight w:val="none"/>
        </w:rPr>
      </w:pPr>
      <w:r>
        <w:rPr>
          <w:rFonts w:hint="eastAsia"/>
          <w:color w:val="auto"/>
          <w:sz w:val="24"/>
          <w:highlight w:val="none"/>
        </w:rPr>
        <w:t>（10）协助配合采购人开展有关垃圾分类的其他工作，遇有各类突发问题及时上报采购人。</w:t>
      </w:r>
    </w:p>
    <w:p>
      <w:pPr>
        <w:widowControl/>
        <w:spacing w:line="360" w:lineRule="auto"/>
        <w:ind w:firstLine="480" w:firstLineChars="200"/>
        <w:contextualSpacing/>
        <w:rPr>
          <w:color w:val="auto"/>
          <w:sz w:val="24"/>
          <w:highlight w:val="none"/>
        </w:rPr>
      </w:pPr>
      <w:r>
        <w:rPr>
          <w:rFonts w:hint="eastAsia"/>
          <w:color w:val="auto"/>
          <w:sz w:val="24"/>
          <w:highlight w:val="none"/>
        </w:rPr>
        <w:t>（11）采购人、服务单位双方确认，服务单位指派的垃圾分类工作人员与采购人不存在劳动、劳务或雇佣关系，服务单位应为其工作人员提供各项保障。</w:t>
      </w:r>
    </w:p>
    <w:p>
      <w:pPr>
        <w:widowControl/>
        <w:spacing w:line="360" w:lineRule="auto"/>
        <w:ind w:firstLine="480" w:firstLineChars="200"/>
        <w:contextualSpacing/>
        <w:rPr>
          <w:color w:val="auto"/>
          <w:sz w:val="24"/>
          <w:highlight w:val="none"/>
        </w:rPr>
      </w:pPr>
      <w:r>
        <w:rPr>
          <w:rFonts w:hint="eastAsia"/>
          <w:color w:val="auto"/>
          <w:sz w:val="24"/>
          <w:highlight w:val="none"/>
        </w:rPr>
        <w:t>（12）采购人及任何相关主管部门有权对服务单位的服务质量进行检查、考核。服务单位并且严格遵守采购人及任何相关主管部门正式下发的考核文件。</w:t>
      </w:r>
    </w:p>
    <w:p>
      <w:pPr>
        <w:widowControl/>
        <w:spacing w:line="360" w:lineRule="auto"/>
        <w:ind w:firstLine="480" w:firstLineChars="200"/>
        <w:contextualSpacing/>
        <w:rPr>
          <w:color w:val="auto"/>
          <w:sz w:val="24"/>
          <w:highlight w:val="none"/>
        </w:rPr>
      </w:pPr>
      <w:r>
        <w:rPr>
          <w:rFonts w:hint="eastAsia"/>
          <w:color w:val="auto"/>
          <w:sz w:val="24"/>
          <w:highlight w:val="none"/>
        </w:rPr>
        <w:t>（13）招募的工作人员应为受过岗前培训、具备执业道德素质良好、操控能力强、身体健康的作业人员。</w:t>
      </w:r>
    </w:p>
    <w:p>
      <w:pPr>
        <w:widowControl/>
        <w:spacing w:line="360" w:lineRule="auto"/>
        <w:ind w:firstLine="480" w:firstLineChars="200"/>
        <w:contextualSpacing/>
        <w:rPr>
          <w:color w:val="auto"/>
          <w:sz w:val="24"/>
          <w:highlight w:val="none"/>
        </w:rPr>
      </w:pPr>
      <w:r>
        <w:rPr>
          <w:rFonts w:hint="eastAsia"/>
          <w:color w:val="auto"/>
          <w:sz w:val="24"/>
          <w:highlight w:val="none"/>
        </w:rPr>
        <w:t>（14）桶前值守期间不得脱岗，不得长时间无故离开岗位。在值守期间禁止与居民发生冲突，禁止长时间看手机玩游戏。</w:t>
      </w:r>
    </w:p>
    <w:p>
      <w:pPr>
        <w:widowControl/>
        <w:spacing w:line="360" w:lineRule="auto"/>
        <w:ind w:firstLine="480" w:firstLineChars="200"/>
        <w:contextualSpacing/>
        <w:rPr>
          <w:color w:val="auto"/>
          <w:sz w:val="24"/>
          <w:highlight w:val="none"/>
        </w:rPr>
      </w:pPr>
      <w:r>
        <w:rPr>
          <w:rFonts w:hint="eastAsia"/>
          <w:color w:val="auto"/>
          <w:sz w:val="24"/>
          <w:highlight w:val="none"/>
        </w:rPr>
        <w:t>（15）其他临时性工作。</w:t>
      </w:r>
    </w:p>
    <w:p>
      <w:pPr>
        <w:widowControl/>
        <w:spacing w:line="360" w:lineRule="auto"/>
        <w:ind w:firstLine="480" w:firstLineChars="200"/>
        <w:contextualSpacing/>
        <w:rPr>
          <w:color w:val="auto"/>
          <w:sz w:val="24"/>
          <w:highlight w:val="none"/>
        </w:rPr>
      </w:pPr>
      <w:r>
        <w:rPr>
          <w:color w:val="auto"/>
          <w:sz w:val="24"/>
          <w:highlight w:val="none"/>
        </w:rPr>
        <w:t>2.3为落实政府采购政策需满足的要求</w:t>
      </w:r>
      <w:r>
        <w:rPr>
          <w:rFonts w:hint="eastAsia"/>
          <w:color w:val="auto"/>
          <w:sz w:val="24"/>
          <w:highlight w:val="none"/>
        </w:rPr>
        <w:t>：无。</w:t>
      </w:r>
    </w:p>
    <w:p>
      <w:pPr>
        <w:widowControl/>
        <w:spacing w:line="360" w:lineRule="auto"/>
        <w:ind w:firstLine="480" w:firstLineChars="200"/>
        <w:contextualSpacing/>
        <w:rPr>
          <w:color w:val="auto"/>
          <w:sz w:val="24"/>
          <w:highlight w:val="none"/>
        </w:rPr>
      </w:pPr>
      <w:r>
        <w:rPr>
          <w:color w:val="auto"/>
          <w:sz w:val="24"/>
          <w:highlight w:val="none"/>
        </w:rPr>
        <w:t>2.4采购标的的其他技术、服务等要求</w:t>
      </w:r>
    </w:p>
    <w:p>
      <w:pPr>
        <w:widowControl/>
        <w:numPr>
          <w:ilvl w:val="0"/>
          <w:numId w:val="14"/>
        </w:numPr>
        <w:autoSpaceDE/>
        <w:autoSpaceDN/>
        <w:adjustRightInd/>
        <w:spacing w:after="160" w:line="360" w:lineRule="auto"/>
        <w:ind w:firstLine="480" w:firstLineChars="200"/>
        <w:contextualSpacing/>
        <w:jc w:val="both"/>
        <w:rPr>
          <w:color w:val="auto"/>
          <w:sz w:val="24"/>
          <w:highlight w:val="none"/>
        </w:rPr>
      </w:pPr>
      <w:r>
        <w:rPr>
          <w:rFonts w:hint="eastAsia" w:hAnsi="宋体"/>
          <w:color w:val="auto"/>
          <w:sz w:val="24"/>
          <w:highlight w:val="none"/>
        </w:rPr>
        <w:t>服务人员应按规定时间上岗履职，原则上桶前值守的岗位时间为每日早07:00-09:00，晚18:00-20:00。考</w:t>
      </w:r>
      <w:r>
        <w:rPr>
          <w:rFonts w:hint="eastAsia"/>
          <w:color w:val="auto"/>
          <w:sz w:val="24"/>
          <w:highlight w:val="none"/>
        </w:rPr>
        <w:t>虑季节及天气影响及小区实际运行情况进行调整，具体时间以采购人要求为准。</w:t>
      </w:r>
    </w:p>
    <w:p>
      <w:pPr>
        <w:widowControl/>
        <w:numPr>
          <w:ilvl w:val="0"/>
          <w:numId w:val="14"/>
        </w:numPr>
        <w:autoSpaceDE/>
        <w:autoSpaceDN/>
        <w:adjustRightInd/>
        <w:spacing w:after="160" w:line="360" w:lineRule="auto"/>
        <w:ind w:firstLine="480" w:firstLineChars="200"/>
        <w:contextualSpacing/>
        <w:jc w:val="both"/>
        <w:rPr>
          <w:color w:val="auto"/>
          <w:sz w:val="24"/>
          <w:highlight w:val="none"/>
        </w:rPr>
      </w:pPr>
      <w:r>
        <w:rPr>
          <w:rFonts w:hint="eastAsia"/>
          <w:color w:val="auto"/>
          <w:sz w:val="24"/>
          <w:highlight w:val="none"/>
        </w:rPr>
        <w:t>服务范围及人数要求</w:t>
      </w:r>
    </w:p>
    <w:tbl>
      <w:tblPr>
        <w:tblStyle w:val="45"/>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2943"/>
        <w:gridCol w:w="1611"/>
        <w:gridCol w:w="2025"/>
        <w:gridCol w:w="1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500" w:type="dxa"/>
            <w:vAlign w:val="center"/>
          </w:tcPr>
          <w:p>
            <w:pPr>
              <w:jc w:val="center"/>
              <w:rPr>
                <w:rFonts w:hAnsi="宋体"/>
                <w:color w:val="auto"/>
                <w:sz w:val="24"/>
                <w:highlight w:val="none"/>
              </w:rPr>
            </w:pPr>
            <w:r>
              <w:rPr>
                <w:rFonts w:hint="eastAsia" w:hAnsi="宋体"/>
                <w:color w:val="auto"/>
                <w:sz w:val="24"/>
                <w:highlight w:val="none"/>
              </w:rPr>
              <w:t>序号</w:t>
            </w:r>
          </w:p>
        </w:tc>
        <w:tc>
          <w:tcPr>
            <w:tcW w:w="2943" w:type="dxa"/>
            <w:vAlign w:val="center"/>
          </w:tcPr>
          <w:p>
            <w:pPr>
              <w:jc w:val="center"/>
              <w:rPr>
                <w:rFonts w:hAnsi="宋体"/>
                <w:color w:val="auto"/>
                <w:sz w:val="24"/>
                <w:highlight w:val="none"/>
              </w:rPr>
            </w:pPr>
            <w:r>
              <w:rPr>
                <w:rFonts w:hint="eastAsia" w:hAnsi="宋体"/>
                <w:color w:val="auto"/>
                <w:sz w:val="24"/>
                <w:highlight w:val="none"/>
              </w:rPr>
              <w:t>村居/小区</w:t>
            </w:r>
          </w:p>
        </w:tc>
        <w:tc>
          <w:tcPr>
            <w:tcW w:w="1611" w:type="dxa"/>
            <w:vAlign w:val="center"/>
          </w:tcPr>
          <w:p>
            <w:pPr>
              <w:jc w:val="center"/>
              <w:rPr>
                <w:rFonts w:hAnsi="宋体"/>
                <w:color w:val="auto"/>
                <w:sz w:val="24"/>
                <w:highlight w:val="none"/>
              </w:rPr>
            </w:pPr>
            <w:r>
              <w:rPr>
                <w:rFonts w:hint="eastAsia" w:hAnsi="宋体"/>
                <w:color w:val="auto"/>
                <w:sz w:val="24"/>
                <w:highlight w:val="none"/>
              </w:rPr>
              <w:t>分类桶站及驿站数量</w:t>
            </w:r>
          </w:p>
        </w:tc>
        <w:tc>
          <w:tcPr>
            <w:tcW w:w="2025" w:type="dxa"/>
            <w:vAlign w:val="center"/>
          </w:tcPr>
          <w:p>
            <w:pPr>
              <w:jc w:val="center"/>
              <w:rPr>
                <w:rFonts w:hAnsi="宋体"/>
                <w:color w:val="auto"/>
                <w:sz w:val="24"/>
                <w:highlight w:val="none"/>
              </w:rPr>
            </w:pPr>
            <w:r>
              <w:rPr>
                <w:rFonts w:hint="eastAsia" w:hAnsi="宋体"/>
                <w:color w:val="auto"/>
                <w:sz w:val="24"/>
                <w:highlight w:val="none"/>
              </w:rPr>
              <w:t>人员配备要求</w:t>
            </w:r>
          </w:p>
        </w:tc>
        <w:tc>
          <w:tcPr>
            <w:tcW w:w="1138" w:type="dxa"/>
            <w:vAlign w:val="center"/>
          </w:tcPr>
          <w:p>
            <w:pPr>
              <w:jc w:val="center"/>
              <w:rPr>
                <w:rFonts w:hAnsi="宋体"/>
                <w:color w:val="auto"/>
                <w:sz w:val="24"/>
                <w:highlight w:val="none"/>
              </w:rPr>
            </w:pPr>
            <w:r>
              <w:rPr>
                <w:rFonts w:hint="eastAsia" w:hAnsi="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00" w:type="dxa"/>
            <w:vAlign w:val="center"/>
          </w:tcPr>
          <w:p>
            <w:pPr>
              <w:jc w:val="center"/>
              <w:rPr>
                <w:rFonts w:hAnsi="宋体"/>
                <w:color w:val="auto"/>
                <w:sz w:val="24"/>
                <w:highlight w:val="none"/>
              </w:rPr>
            </w:pPr>
            <w:r>
              <w:rPr>
                <w:rFonts w:hint="eastAsia" w:hAnsi="宋体"/>
                <w:color w:val="auto"/>
                <w:sz w:val="24"/>
                <w:highlight w:val="none"/>
              </w:rPr>
              <w:t>1</w:t>
            </w:r>
          </w:p>
        </w:tc>
        <w:tc>
          <w:tcPr>
            <w:tcW w:w="2943" w:type="dxa"/>
            <w:vAlign w:val="center"/>
          </w:tcPr>
          <w:p>
            <w:pPr>
              <w:jc w:val="center"/>
              <w:rPr>
                <w:rFonts w:hAnsi="宋体"/>
                <w:color w:val="auto"/>
                <w:sz w:val="24"/>
                <w:highlight w:val="none"/>
              </w:rPr>
            </w:pPr>
            <w:r>
              <w:rPr>
                <w:rFonts w:hint="eastAsia" w:hAnsi="宋体"/>
                <w:color w:val="auto"/>
                <w:sz w:val="24"/>
                <w:highlight w:val="none"/>
              </w:rPr>
              <w:t>下坡屯家园一、二、三区</w:t>
            </w:r>
          </w:p>
        </w:tc>
        <w:tc>
          <w:tcPr>
            <w:tcW w:w="1611" w:type="dxa"/>
            <w:vAlign w:val="center"/>
          </w:tcPr>
          <w:p>
            <w:pPr>
              <w:jc w:val="center"/>
              <w:rPr>
                <w:rFonts w:hAnsi="宋体"/>
                <w:color w:val="auto"/>
                <w:sz w:val="24"/>
                <w:highlight w:val="none"/>
              </w:rPr>
            </w:pPr>
            <w:r>
              <w:rPr>
                <w:rFonts w:hint="eastAsia" w:hAnsi="宋体"/>
                <w:color w:val="auto"/>
                <w:sz w:val="24"/>
                <w:highlight w:val="none"/>
              </w:rPr>
              <w:t>17个</w:t>
            </w:r>
          </w:p>
        </w:tc>
        <w:tc>
          <w:tcPr>
            <w:tcW w:w="2025" w:type="dxa"/>
            <w:vAlign w:val="center"/>
          </w:tcPr>
          <w:p>
            <w:pPr>
              <w:jc w:val="center"/>
              <w:rPr>
                <w:rFonts w:hAnsi="宋体"/>
                <w:color w:val="auto"/>
                <w:sz w:val="24"/>
                <w:highlight w:val="none"/>
              </w:rPr>
            </w:pPr>
            <w:r>
              <w:rPr>
                <w:rFonts w:hint="eastAsia" w:hAnsi="宋体"/>
                <w:color w:val="auto"/>
                <w:sz w:val="24"/>
                <w:highlight w:val="none"/>
              </w:rPr>
              <w:t>17人</w:t>
            </w:r>
          </w:p>
        </w:tc>
        <w:tc>
          <w:tcPr>
            <w:tcW w:w="1138" w:type="dxa"/>
            <w:vAlign w:val="center"/>
          </w:tcPr>
          <w:p>
            <w:pPr>
              <w:jc w:val="center"/>
              <w:rPr>
                <w:rFonts w:hAnsi="宋体"/>
                <w:color w:val="auto"/>
                <w:sz w:val="24"/>
                <w:highlight w:val="none"/>
              </w:rPr>
            </w:pPr>
            <w:r>
              <w:rPr>
                <w:rFonts w:hint="eastAsia" w:hAnsi="宋体"/>
                <w:color w:val="auto"/>
                <w:sz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00" w:type="dxa"/>
            <w:vAlign w:val="center"/>
          </w:tcPr>
          <w:p>
            <w:pPr>
              <w:jc w:val="center"/>
              <w:rPr>
                <w:rFonts w:hAnsi="宋体"/>
                <w:color w:val="auto"/>
                <w:sz w:val="24"/>
                <w:highlight w:val="none"/>
              </w:rPr>
            </w:pPr>
            <w:r>
              <w:rPr>
                <w:rFonts w:hint="eastAsia" w:hAnsi="宋体"/>
                <w:color w:val="auto"/>
                <w:sz w:val="24"/>
                <w:highlight w:val="none"/>
              </w:rPr>
              <w:t>2</w:t>
            </w:r>
          </w:p>
        </w:tc>
        <w:tc>
          <w:tcPr>
            <w:tcW w:w="2943" w:type="dxa"/>
            <w:vAlign w:val="center"/>
          </w:tcPr>
          <w:p>
            <w:pPr>
              <w:jc w:val="center"/>
              <w:rPr>
                <w:rFonts w:hAnsi="宋体"/>
                <w:color w:val="auto"/>
                <w:sz w:val="24"/>
                <w:highlight w:val="none"/>
              </w:rPr>
            </w:pPr>
            <w:r>
              <w:rPr>
                <w:rFonts w:hint="eastAsia" w:hAnsi="宋体"/>
                <w:color w:val="auto"/>
                <w:sz w:val="24"/>
                <w:highlight w:val="none"/>
              </w:rPr>
              <w:t>张庄家园</w:t>
            </w:r>
          </w:p>
        </w:tc>
        <w:tc>
          <w:tcPr>
            <w:tcW w:w="1611" w:type="dxa"/>
            <w:vAlign w:val="center"/>
          </w:tcPr>
          <w:p>
            <w:pPr>
              <w:jc w:val="center"/>
              <w:rPr>
                <w:rFonts w:hAnsi="宋体"/>
                <w:color w:val="auto"/>
                <w:sz w:val="24"/>
                <w:highlight w:val="none"/>
              </w:rPr>
            </w:pPr>
            <w:r>
              <w:rPr>
                <w:rFonts w:hint="eastAsia" w:hAnsi="宋体"/>
                <w:color w:val="auto"/>
                <w:sz w:val="24"/>
                <w:highlight w:val="none"/>
              </w:rPr>
              <w:t>5个</w:t>
            </w:r>
          </w:p>
        </w:tc>
        <w:tc>
          <w:tcPr>
            <w:tcW w:w="2025" w:type="dxa"/>
            <w:vAlign w:val="center"/>
          </w:tcPr>
          <w:p>
            <w:pPr>
              <w:jc w:val="center"/>
              <w:rPr>
                <w:rFonts w:hAnsi="宋体"/>
                <w:color w:val="auto"/>
                <w:sz w:val="24"/>
                <w:highlight w:val="none"/>
              </w:rPr>
            </w:pPr>
            <w:r>
              <w:rPr>
                <w:rFonts w:hint="eastAsia" w:hAnsi="宋体"/>
                <w:color w:val="auto"/>
                <w:sz w:val="24"/>
                <w:highlight w:val="none"/>
              </w:rPr>
              <w:t>5人</w:t>
            </w:r>
          </w:p>
        </w:tc>
        <w:tc>
          <w:tcPr>
            <w:tcW w:w="1138" w:type="dxa"/>
            <w:vAlign w:val="center"/>
          </w:tcPr>
          <w:p>
            <w:pPr>
              <w:jc w:val="center"/>
              <w:rPr>
                <w:rFonts w:hAnsi="宋体"/>
                <w:color w:val="auto"/>
                <w:sz w:val="24"/>
                <w:highlight w:val="none"/>
              </w:rPr>
            </w:pPr>
            <w:r>
              <w:rPr>
                <w:rFonts w:hint="eastAsia" w:hAnsi="宋体"/>
                <w:color w:val="auto"/>
                <w:sz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00" w:type="dxa"/>
            <w:vAlign w:val="center"/>
          </w:tcPr>
          <w:p>
            <w:pPr>
              <w:jc w:val="center"/>
              <w:rPr>
                <w:rFonts w:hAnsi="宋体"/>
                <w:color w:val="auto"/>
                <w:sz w:val="24"/>
                <w:highlight w:val="none"/>
              </w:rPr>
            </w:pPr>
            <w:r>
              <w:rPr>
                <w:rFonts w:hint="eastAsia" w:hAnsi="宋体"/>
                <w:color w:val="auto"/>
                <w:sz w:val="24"/>
                <w:highlight w:val="none"/>
              </w:rPr>
              <w:t>3</w:t>
            </w:r>
          </w:p>
        </w:tc>
        <w:tc>
          <w:tcPr>
            <w:tcW w:w="2943" w:type="dxa"/>
            <w:vAlign w:val="center"/>
          </w:tcPr>
          <w:p>
            <w:pPr>
              <w:jc w:val="center"/>
              <w:rPr>
                <w:rFonts w:hAnsi="宋体"/>
                <w:color w:val="auto"/>
                <w:sz w:val="24"/>
                <w:highlight w:val="none"/>
              </w:rPr>
            </w:pPr>
            <w:r>
              <w:rPr>
                <w:rFonts w:hint="eastAsia" w:hAnsi="宋体"/>
                <w:color w:val="auto"/>
                <w:sz w:val="24"/>
                <w:highlight w:val="none"/>
              </w:rPr>
              <w:t>安乐家园</w:t>
            </w:r>
          </w:p>
        </w:tc>
        <w:tc>
          <w:tcPr>
            <w:tcW w:w="1611" w:type="dxa"/>
            <w:vAlign w:val="center"/>
          </w:tcPr>
          <w:p>
            <w:pPr>
              <w:jc w:val="center"/>
              <w:rPr>
                <w:rFonts w:hAnsi="宋体"/>
                <w:color w:val="auto"/>
                <w:sz w:val="24"/>
                <w:highlight w:val="none"/>
              </w:rPr>
            </w:pPr>
            <w:r>
              <w:rPr>
                <w:rFonts w:hint="eastAsia" w:hAnsi="宋体"/>
                <w:color w:val="auto"/>
                <w:sz w:val="24"/>
                <w:highlight w:val="none"/>
              </w:rPr>
              <w:t>2个</w:t>
            </w:r>
          </w:p>
        </w:tc>
        <w:tc>
          <w:tcPr>
            <w:tcW w:w="2025" w:type="dxa"/>
            <w:vAlign w:val="center"/>
          </w:tcPr>
          <w:p>
            <w:pPr>
              <w:jc w:val="center"/>
              <w:rPr>
                <w:rFonts w:hAnsi="宋体"/>
                <w:color w:val="auto"/>
                <w:sz w:val="24"/>
                <w:highlight w:val="none"/>
              </w:rPr>
            </w:pPr>
            <w:r>
              <w:rPr>
                <w:rFonts w:hint="eastAsia" w:hAnsi="宋体"/>
                <w:color w:val="auto"/>
                <w:sz w:val="24"/>
                <w:highlight w:val="none"/>
              </w:rPr>
              <w:t>2人</w:t>
            </w:r>
          </w:p>
        </w:tc>
        <w:tc>
          <w:tcPr>
            <w:tcW w:w="1138" w:type="dxa"/>
            <w:vAlign w:val="center"/>
          </w:tcPr>
          <w:p>
            <w:pPr>
              <w:jc w:val="center"/>
              <w:rPr>
                <w:rFonts w:hAnsi="宋体"/>
                <w:color w:val="auto"/>
                <w:sz w:val="24"/>
                <w:highlight w:val="none"/>
              </w:rPr>
            </w:pPr>
            <w:r>
              <w:rPr>
                <w:rFonts w:hint="eastAsia" w:hAnsi="宋体"/>
                <w:color w:val="auto"/>
                <w:sz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00" w:type="dxa"/>
            <w:vAlign w:val="center"/>
          </w:tcPr>
          <w:p>
            <w:pPr>
              <w:jc w:val="center"/>
              <w:rPr>
                <w:rFonts w:hAnsi="宋体"/>
                <w:color w:val="auto"/>
                <w:sz w:val="24"/>
                <w:highlight w:val="none"/>
              </w:rPr>
            </w:pPr>
            <w:r>
              <w:rPr>
                <w:rFonts w:hint="eastAsia" w:hAnsi="宋体"/>
                <w:color w:val="auto"/>
                <w:sz w:val="24"/>
                <w:highlight w:val="none"/>
              </w:rPr>
              <w:t>4</w:t>
            </w:r>
          </w:p>
        </w:tc>
        <w:tc>
          <w:tcPr>
            <w:tcW w:w="2943" w:type="dxa"/>
            <w:vAlign w:val="center"/>
          </w:tcPr>
          <w:p>
            <w:pPr>
              <w:jc w:val="center"/>
              <w:rPr>
                <w:rFonts w:hAnsi="宋体"/>
                <w:color w:val="auto"/>
                <w:sz w:val="24"/>
                <w:highlight w:val="none"/>
              </w:rPr>
            </w:pPr>
            <w:r>
              <w:rPr>
                <w:rFonts w:hint="eastAsia" w:hAnsi="宋体"/>
                <w:color w:val="auto"/>
                <w:sz w:val="24"/>
                <w:highlight w:val="none"/>
              </w:rPr>
              <w:t>半壁店回迁小区</w:t>
            </w:r>
          </w:p>
        </w:tc>
        <w:tc>
          <w:tcPr>
            <w:tcW w:w="1611" w:type="dxa"/>
            <w:vAlign w:val="center"/>
          </w:tcPr>
          <w:p>
            <w:pPr>
              <w:jc w:val="center"/>
              <w:rPr>
                <w:rFonts w:hAnsi="宋体"/>
                <w:color w:val="auto"/>
                <w:sz w:val="24"/>
                <w:highlight w:val="none"/>
              </w:rPr>
            </w:pPr>
            <w:r>
              <w:rPr>
                <w:rFonts w:hint="eastAsia" w:hAnsi="宋体"/>
                <w:color w:val="auto"/>
                <w:sz w:val="24"/>
                <w:highlight w:val="none"/>
              </w:rPr>
              <w:t>2个</w:t>
            </w:r>
          </w:p>
        </w:tc>
        <w:tc>
          <w:tcPr>
            <w:tcW w:w="2025" w:type="dxa"/>
            <w:vAlign w:val="center"/>
          </w:tcPr>
          <w:p>
            <w:pPr>
              <w:jc w:val="center"/>
              <w:rPr>
                <w:rFonts w:hAnsi="宋体"/>
                <w:color w:val="auto"/>
                <w:sz w:val="24"/>
                <w:highlight w:val="none"/>
              </w:rPr>
            </w:pPr>
            <w:r>
              <w:rPr>
                <w:rFonts w:hint="eastAsia" w:hAnsi="宋体"/>
                <w:color w:val="auto"/>
                <w:sz w:val="24"/>
                <w:highlight w:val="none"/>
              </w:rPr>
              <w:t>2人</w:t>
            </w:r>
          </w:p>
        </w:tc>
        <w:tc>
          <w:tcPr>
            <w:tcW w:w="1138" w:type="dxa"/>
            <w:vAlign w:val="center"/>
          </w:tcPr>
          <w:p>
            <w:pPr>
              <w:jc w:val="center"/>
              <w:rPr>
                <w:rFonts w:hAnsi="宋体"/>
                <w:color w:val="auto"/>
                <w:sz w:val="24"/>
                <w:highlight w:val="none"/>
              </w:rPr>
            </w:pPr>
            <w:r>
              <w:rPr>
                <w:rFonts w:hint="eastAsia" w:hAnsi="宋体"/>
                <w:color w:val="auto"/>
                <w:sz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500" w:type="dxa"/>
            <w:vAlign w:val="center"/>
          </w:tcPr>
          <w:p>
            <w:pPr>
              <w:jc w:val="center"/>
              <w:rPr>
                <w:rFonts w:hAnsi="宋体"/>
                <w:color w:val="auto"/>
                <w:sz w:val="24"/>
                <w:highlight w:val="none"/>
              </w:rPr>
            </w:pPr>
            <w:r>
              <w:rPr>
                <w:rFonts w:hint="eastAsia" w:hAnsi="宋体"/>
                <w:color w:val="auto"/>
                <w:sz w:val="24"/>
                <w:highlight w:val="none"/>
              </w:rPr>
              <w:t>5</w:t>
            </w:r>
          </w:p>
        </w:tc>
        <w:tc>
          <w:tcPr>
            <w:tcW w:w="2943" w:type="dxa"/>
            <w:vAlign w:val="center"/>
          </w:tcPr>
          <w:p>
            <w:pPr>
              <w:jc w:val="center"/>
              <w:rPr>
                <w:rFonts w:hAnsi="宋体"/>
                <w:color w:val="auto"/>
                <w:sz w:val="24"/>
                <w:highlight w:val="none"/>
              </w:rPr>
            </w:pPr>
            <w:r>
              <w:rPr>
                <w:rFonts w:hint="eastAsia" w:hAnsi="宋体"/>
                <w:color w:val="auto"/>
                <w:sz w:val="24"/>
                <w:highlight w:val="none"/>
              </w:rPr>
              <w:t>维尼纶家属院</w:t>
            </w:r>
          </w:p>
        </w:tc>
        <w:tc>
          <w:tcPr>
            <w:tcW w:w="1611" w:type="dxa"/>
            <w:vAlign w:val="center"/>
          </w:tcPr>
          <w:p>
            <w:pPr>
              <w:jc w:val="center"/>
              <w:rPr>
                <w:rFonts w:hAnsi="宋体"/>
                <w:color w:val="auto"/>
                <w:sz w:val="24"/>
                <w:highlight w:val="none"/>
              </w:rPr>
            </w:pPr>
            <w:r>
              <w:rPr>
                <w:rFonts w:hint="eastAsia" w:hAnsi="宋体"/>
                <w:color w:val="auto"/>
                <w:sz w:val="24"/>
                <w:highlight w:val="none"/>
              </w:rPr>
              <w:t>2个</w:t>
            </w:r>
          </w:p>
        </w:tc>
        <w:tc>
          <w:tcPr>
            <w:tcW w:w="2025" w:type="dxa"/>
            <w:vAlign w:val="center"/>
          </w:tcPr>
          <w:p>
            <w:pPr>
              <w:jc w:val="center"/>
              <w:rPr>
                <w:rFonts w:hAnsi="宋体"/>
                <w:color w:val="auto"/>
                <w:sz w:val="24"/>
                <w:highlight w:val="none"/>
              </w:rPr>
            </w:pPr>
            <w:r>
              <w:rPr>
                <w:rFonts w:hint="eastAsia" w:hAnsi="宋体"/>
                <w:color w:val="auto"/>
                <w:sz w:val="24"/>
                <w:highlight w:val="none"/>
              </w:rPr>
              <w:t>2人</w:t>
            </w:r>
          </w:p>
        </w:tc>
        <w:tc>
          <w:tcPr>
            <w:tcW w:w="1138" w:type="dxa"/>
            <w:vAlign w:val="center"/>
          </w:tcPr>
          <w:p>
            <w:pPr>
              <w:jc w:val="center"/>
              <w:rPr>
                <w:rFonts w:hAnsi="宋体"/>
                <w:color w:val="auto"/>
                <w:sz w:val="24"/>
                <w:highlight w:val="none"/>
              </w:rPr>
            </w:pPr>
            <w:r>
              <w:rPr>
                <w:rFonts w:hint="eastAsia" w:hAnsi="宋体"/>
                <w:color w:val="auto"/>
                <w:sz w:val="24"/>
                <w:highlight w:val="none"/>
              </w:rPr>
              <w:t>无</w:t>
            </w:r>
          </w:p>
        </w:tc>
      </w:tr>
    </w:tbl>
    <w:p>
      <w:pPr>
        <w:spacing w:line="360" w:lineRule="auto"/>
        <w:ind w:firstLine="480" w:firstLineChars="200"/>
        <w:contextualSpacing/>
        <w:rPr>
          <w:rFonts w:hAnsi="宋体"/>
          <w:color w:val="auto"/>
          <w:sz w:val="24"/>
          <w:highlight w:val="none"/>
        </w:rPr>
      </w:pPr>
      <w:r>
        <w:rPr>
          <w:rFonts w:hint="eastAsia" w:hAnsi="宋体"/>
          <w:color w:val="auto"/>
          <w:sz w:val="24"/>
          <w:highlight w:val="none"/>
        </w:rPr>
        <w:t>注：各小区要求人数中包含1名组长。除以上工作要求以外，另外负责本小区的作业指导和质量监督以及和社区的沟通协调工作。</w:t>
      </w:r>
    </w:p>
    <w:p>
      <w:pPr>
        <w:spacing w:line="360" w:lineRule="auto"/>
        <w:contextualSpacing/>
        <w:rPr>
          <w:color w:val="auto"/>
          <w:sz w:val="24"/>
          <w:highlight w:val="none"/>
        </w:rPr>
      </w:pPr>
      <w:r>
        <w:rPr>
          <w:rFonts w:hint="eastAsia"/>
          <w:color w:val="auto"/>
          <w:sz w:val="24"/>
          <w:highlight w:val="none"/>
        </w:rPr>
        <w:t>3.</w:t>
      </w:r>
      <w:r>
        <w:rPr>
          <w:color w:val="auto"/>
          <w:sz w:val="24"/>
          <w:highlight w:val="none"/>
        </w:rPr>
        <w:t>验收标准</w:t>
      </w:r>
    </w:p>
    <w:p>
      <w:pPr>
        <w:pStyle w:val="17"/>
        <w:kinsoku w:val="0"/>
        <w:overflowPunct w:val="0"/>
        <w:spacing w:line="360" w:lineRule="auto"/>
        <w:ind w:firstLine="480" w:firstLineChars="200"/>
        <w:rPr>
          <w:color w:val="auto"/>
          <w:highlight w:val="none"/>
        </w:rPr>
      </w:pPr>
      <w:r>
        <w:rPr>
          <w:rFonts w:hint="eastAsia"/>
          <w:color w:val="auto"/>
          <w:highlight w:val="none"/>
        </w:rPr>
        <w:t>服务方应按政府规定履行企业义务，接受标的地辖区政府有关部门的监督和管理，并与之密切配合。采购人可根据工作情况，对服务方人员履约情况及服务质量依据</w:t>
      </w:r>
      <w:r>
        <w:rPr>
          <w:color w:val="auto"/>
          <w:highlight w:val="none"/>
        </w:rPr>
        <w:t>《北京市生活垃圾分类考评指标方案》和《顺义区生活垃圾分类考评指标方案》</w:t>
      </w:r>
      <w:r>
        <w:rPr>
          <w:rFonts w:hint="eastAsia"/>
          <w:color w:val="auto"/>
          <w:highlight w:val="none"/>
        </w:rPr>
        <w:t>进行考核。</w:t>
      </w:r>
      <w:r>
        <w:rPr>
          <w:color w:val="auto"/>
          <w:highlight w:val="none"/>
        </w:rPr>
        <w:t>根据实际情况</w:t>
      </w:r>
      <w:r>
        <w:rPr>
          <w:rFonts w:hint="eastAsia"/>
          <w:color w:val="auto"/>
          <w:highlight w:val="none"/>
        </w:rPr>
        <w:t>，</w:t>
      </w:r>
      <w:r>
        <w:rPr>
          <w:color w:val="auto"/>
          <w:highlight w:val="none"/>
        </w:rPr>
        <w:t>随市级检查内容</w:t>
      </w:r>
      <w:r>
        <w:rPr>
          <w:rFonts w:hint="eastAsia"/>
          <w:color w:val="auto"/>
          <w:highlight w:val="none"/>
        </w:rPr>
        <w:t>采购人</w:t>
      </w:r>
      <w:r>
        <w:rPr>
          <w:color w:val="auto"/>
          <w:highlight w:val="none"/>
        </w:rPr>
        <w:t>随时调整相关检查内容</w:t>
      </w:r>
      <w:r>
        <w:rPr>
          <w:rFonts w:hint="eastAsia"/>
          <w:color w:val="auto"/>
          <w:highlight w:val="none"/>
        </w:rPr>
        <w:t>。</w:t>
      </w:r>
      <w:r>
        <w:rPr>
          <w:rFonts w:eastAsiaTheme="minorEastAsia"/>
          <w:b/>
          <w:color w:val="auto"/>
          <w:sz w:val="36"/>
          <w:szCs w:val="36"/>
          <w:highlight w:val="none"/>
        </w:rPr>
        <w:t xml:space="preserve"> </w:t>
      </w:r>
    </w:p>
    <w:p>
      <w:pPr>
        <w:rPr>
          <w:rFonts w:hAnsi="宋体"/>
          <w:color w:val="auto"/>
          <w:sz w:val="24"/>
          <w:highlight w:val="none"/>
        </w:rPr>
      </w:pPr>
    </w:p>
    <w:p>
      <w:pPr>
        <w:rPr>
          <w:rFonts w:hAnsi="宋体"/>
          <w:color w:val="auto"/>
          <w:highlight w:val="none"/>
        </w:rPr>
      </w:pPr>
      <w:bookmarkStart w:id="79" w:name="_Toc149147706"/>
      <w:bookmarkStart w:id="80" w:name="_Toc149147551"/>
    </w:p>
    <w:p>
      <w:pPr>
        <w:pStyle w:val="3"/>
        <w:tabs>
          <w:tab w:val="left" w:pos="1622"/>
        </w:tabs>
        <w:kinsoku w:val="0"/>
        <w:overflowPunct w:val="0"/>
        <w:ind w:right="29"/>
        <w:rPr>
          <w:rFonts w:hAnsi="宋体"/>
          <w:color w:val="auto"/>
          <w:highlight w:val="none"/>
        </w:rPr>
      </w:pPr>
      <w:r>
        <w:rPr>
          <w:rFonts w:hint="eastAsia" w:hAnsi="宋体"/>
          <w:color w:val="auto"/>
          <w:highlight w:val="none"/>
        </w:rPr>
        <w:t>第五章</w:t>
      </w:r>
      <w:r>
        <w:rPr>
          <w:rFonts w:hAnsi="宋体"/>
          <w:color w:val="auto"/>
          <w:highlight w:val="none"/>
        </w:rPr>
        <w:tab/>
      </w:r>
      <w:r>
        <w:rPr>
          <w:rFonts w:hint="eastAsia" w:hAnsi="宋体"/>
          <w:color w:val="auto"/>
          <w:highlight w:val="none"/>
        </w:rPr>
        <w:t>合同草案条款</w:t>
      </w:r>
      <w:bookmarkEnd w:id="79"/>
      <w:bookmarkEnd w:id="80"/>
    </w:p>
    <w:p>
      <w:pPr>
        <w:widowControl/>
        <w:autoSpaceDE/>
        <w:autoSpaceDN/>
        <w:adjustRightInd/>
        <w:rPr>
          <w:rFonts w:hAnsi="宋体"/>
          <w:color w:val="auto"/>
          <w:highlight w:val="none"/>
        </w:rPr>
      </w:pPr>
      <w:bookmarkStart w:id="81" w:name="_Toc149147561"/>
      <w:bookmarkStart w:id="82" w:name="_Toc149147716"/>
      <w:r>
        <w:rPr>
          <w:rFonts w:hAnsi="宋体"/>
          <w:color w:val="auto"/>
          <w:highlight w:val="none"/>
        </w:rPr>
        <w:br w:type="page"/>
      </w:r>
    </w:p>
    <w:p>
      <w:pPr>
        <w:keepNext/>
        <w:keepLines/>
        <w:spacing w:line="360" w:lineRule="auto"/>
        <w:jc w:val="center"/>
        <w:rPr>
          <w:rFonts w:hAnsi="宋体"/>
          <w:b/>
          <w:bCs/>
          <w:color w:val="auto"/>
          <w:sz w:val="36"/>
          <w:szCs w:val="36"/>
          <w:highlight w:val="none"/>
        </w:rPr>
      </w:pPr>
    </w:p>
    <w:p>
      <w:pPr>
        <w:pStyle w:val="20"/>
        <w:ind w:left="860" w:hanging="420"/>
        <w:rPr>
          <w:color w:val="auto"/>
          <w:highlight w:val="none"/>
        </w:rPr>
      </w:pPr>
    </w:p>
    <w:p>
      <w:pPr>
        <w:keepNext/>
        <w:keepLines/>
        <w:spacing w:line="360" w:lineRule="auto"/>
        <w:jc w:val="center"/>
        <w:rPr>
          <w:rFonts w:hAnsi="宋体"/>
          <w:b/>
          <w:bCs/>
          <w:color w:val="auto"/>
          <w:sz w:val="40"/>
          <w:szCs w:val="40"/>
          <w:highlight w:val="none"/>
        </w:rPr>
      </w:pPr>
      <w:r>
        <w:rPr>
          <w:rFonts w:hint="eastAsia" w:hAnsi="宋体"/>
          <w:b/>
          <w:bCs/>
          <w:color w:val="auto"/>
          <w:sz w:val="40"/>
          <w:szCs w:val="40"/>
          <w:highlight w:val="none"/>
        </w:rPr>
        <w:t>牛栏山镇回迁村垃圾分类、宣传、指导</w:t>
      </w:r>
    </w:p>
    <w:p>
      <w:pPr>
        <w:keepNext/>
        <w:keepLines/>
        <w:spacing w:line="360" w:lineRule="auto"/>
        <w:jc w:val="center"/>
        <w:rPr>
          <w:rFonts w:hAnsi="宋体"/>
          <w:b/>
          <w:bCs/>
          <w:color w:val="auto"/>
          <w:sz w:val="40"/>
          <w:szCs w:val="40"/>
          <w:highlight w:val="none"/>
        </w:rPr>
      </w:pPr>
      <w:r>
        <w:rPr>
          <w:rFonts w:hint="eastAsia" w:hAnsi="宋体"/>
          <w:b/>
          <w:bCs/>
          <w:color w:val="auto"/>
          <w:sz w:val="40"/>
          <w:szCs w:val="40"/>
          <w:highlight w:val="none"/>
        </w:rPr>
        <w:t>服务合同</w:t>
      </w:r>
    </w:p>
    <w:p>
      <w:pPr>
        <w:keepNext/>
        <w:keepLines/>
        <w:spacing w:line="360" w:lineRule="auto"/>
        <w:ind w:firstLine="560" w:firstLineChars="200"/>
        <w:rPr>
          <w:rFonts w:hAnsi="宋体"/>
          <w:color w:val="auto"/>
          <w:sz w:val="28"/>
          <w:szCs w:val="28"/>
          <w:highlight w:val="none"/>
        </w:rPr>
      </w:pPr>
      <w:r>
        <w:rPr>
          <w:rFonts w:hint="eastAsia" w:hAnsi="宋体"/>
          <w:color w:val="auto"/>
          <w:sz w:val="28"/>
          <w:szCs w:val="28"/>
          <w:highlight w:val="none"/>
        </w:rPr>
        <w:t xml:space="preserve">             </w:t>
      </w:r>
    </w:p>
    <w:p>
      <w:pPr>
        <w:keepNext/>
        <w:keepLines/>
        <w:spacing w:line="360" w:lineRule="auto"/>
        <w:jc w:val="center"/>
        <w:rPr>
          <w:rFonts w:hAnsi="宋体"/>
          <w:color w:val="auto"/>
          <w:sz w:val="28"/>
          <w:szCs w:val="28"/>
          <w:highlight w:val="none"/>
        </w:rPr>
      </w:pPr>
      <w:r>
        <w:rPr>
          <w:rFonts w:hint="eastAsia" w:hAnsi="宋体"/>
          <w:color w:val="auto"/>
          <w:sz w:val="28"/>
          <w:szCs w:val="28"/>
          <w:highlight w:val="none"/>
        </w:rPr>
        <w:t xml:space="preserve">                     </w:t>
      </w:r>
    </w:p>
    <w:p>
      <w:pPr>
        <w:keepNext/>
        <w:keepLines/>
        <w:spacing w:line="360" w:lineRule="auto"/>
        <w:ind w:firstLine="560" w:firstLineChars="200"/>
        <w:rPr>
          <w:rFonts w:hAnsi="宋体"/>
          <w:color w:val="auto"/>
          <w:sz w:val="28"/>
          <w:szCs w:val="28"/>
          <w:highlight w:val="none"/>
        </w:rPr>
      </w:pPr>
    </w:p>
    <w:p>
      <w:pPr>
        <w:keepNext/>
        <w:keepLines/>
        <w:spacing w:line="360" w:lineRule="auto"/>
        <w:ind w:firstLine="560" w:firstLineChars="200"/>
        <w:rPr>
          <w:rFonts w:hAnsi="宋体"/>
          <w:color w:val="auto"/>
          <w:sz w:val="28"/>
          <w:szCs w:val="28"/>
          <w:highlight w:val="none"/>
        </w:rPr>
      </w:pPr>
    </w:p>
    <w:p>
      <w:pPr>
        <w:pStyle w:val="42"/>
        <w:ind w:firstLine="280"/>
        <w:rPr>
          <w:rFonts w:hAnsi="宋体"/>
          <w:color w:val="auto"/>
          <w:sz w:val="28"/>
          <w:szCs w:val="28"/>
          <w:highlight w:val="none"/>
        </w:rPr>
      </w:pPr>
    </w:p>
    <w:p>
      <w:pPr>
        <w:pStyle w:val="42"/>
        <w:ind w:firstLine="280"/>
        <w:rPr>
          <w:rFonts w:hAnsi="宋体"/>
          <w:color w:val="auto"/>
          <w:sz w:val="28"/>
          <w:szCs w:val="28"/>
          <w:highlight w:val="none"/>
        </w:rPr>
      </w:pPr>
    </w:p>
    <w:p>
      <w:pPr>
        <w:pStyle w:val="42"/>
        <w:ind w:firstLine="280"/>
        <w:rPr>
          <w:rFonts w:hAnsi="宋体"/>
          <w:color w:val="auto"/>
          <w:sz w:val="28"/>
          <w:szCs w:val="28"/>
          <w:highlight w:val="none"/>
        </w:rPr>
      </w:pPr>
    </w:p>
    <w:p>
      <w:pPr>
        <w:pStyle w:val="42"/>
        <w:ind w:firstLine="280"/>
        <w:rPr>
          <w:rFonts w:hAnsi="宋体"/>
          <w:color w:val="auto"/>
          <w:sz w:val="28"/>
          <w:szCs w:val="28"/>
          <w:highlight w:val="none"/>
        </w:rPr>
      </w:pPr>
    </w:p>
    <w:p>
      <w:pPr>
        <w:spacing w:line="360" w:lineRule="auto"/>
        <w:ind w:firstLine="480" w:firstLineChars="200"/>
        <w:rPr>
          <w:rFonts w:hAnsi="宋体"/>
          <w:color w:val="auto"/>
          <w:sz w:val="24"/>
          <w:highlight w:val="none"/>
        </w:rPr>
      </w:pPr>
      <w:r>
        <w:rPr>
          <w:rFonts w:hint="eastAsia" w:hAnsi="宋体"/>
          <w:color w:val="auto"/>
          <w:sz w:val="24"/>
          <w:highlight w:val="none"/>
        </w:rPr>
        <w:t xml:space="preserve">  </w:t>
      </w:r>
    </w:p>
    <w:p>
      <w:pPr>
        <w:spacing w:line="360" w:lineRule="auto"/>
        <w:ind w:firstLine="480" w:firstLineChars="200"/>
        <w:rPr>
          <w:rFonts w:hAnsi="宋体"/>
          <w:color w:val="auto"/>
          <w:sz w:val="24"/>
          <w:highlight w:val="none"/>
        </w:rPr>
      </w:pPr>
    </w:p>
    <w:p>
      <w:pPr>
        <w:pStyle w:val="20"/>
        <w:ind w:left="920" w:hanging="480"/>
        <w:rPr>
          <w:rFonts w:ascii="宋体" w:hAnsi="宋体" w:cs="宋体"/>
          <w:color w:val="auto"/>
          <w:sz w:val="24"/>
          <w:highlight w:val="none"/>
        </w:rPr>
      </w:pPr>
    </w:p>
    <w:p>
      <w:pPr>
        <w:pStyle w:val="20"/>
        <w:ind w:left="920" w:hanging="480"/>
        <w:rPr>
          <w:rFonts w:ascii="宋体" w:hAnsi="宋体" w:cs="宋体"/>
          <w:color w:val="auto"/>
          <w:sz w:val="24"/>
          <w:highlight w:val="none"/>
        </w:rPr>
      </w:pPr>
    </w:p>
    <w:p>
      <w:pPr>
        <w:spacing w:line="360" w:lineRule="auto"/>
        <w:ind w:firstLine="480" w:firstLineChars="200"/>
        <w:rPr>
          <w:rFonts w:hAnsi="宋体"/>
          <w:color w:val="auto"/>
          <w:sz w:val="24"/>
          <w:highlight w:val="none"/>
        </w:rPr>
      </w:pPr>
    </w:p>
    <w:p>
      <w:pPr>
        <w:spacing w:line="480" w:lineRule="auto"/>
        <w:ind w:firstLine="1120" w:firstLineChars="400"/>
        <w:rPr>
          <w:rFonts w:hAnsi="宋体"/>
          <w:b/>
          <w:bCs/>
          <w:color w:val="auto"/>
          <w:sz w:val="28"/>
          <w:szCs w:val="28"/>
          <w:highlight w:val="none"/>
        </w:rPr>
      </w:pPr>
      <w:r>
        <w:rPr>
          <w:rFonts w:hint="eastAsia" w:hAnsi="宋体"/>
          <w:b/>
          <w:bCs/>
          <w:color w:val="auto"/>
          <w:sz w:val="28"/>
          <w:szCs w:val="28"/>
          <w:highlight w:val="none"/>
        </w:rPr>
        <w:t>甲　　方：</w:t>
      </w:r>
      <w:r>
        <w:rPr>
          <w:rFonts w:hint="eastAsia" w:hAnsi="宋体"/>
          <w:b/>
          <w:bCs/>
          <w:color w:val="auto"/>
          <w:sz w:val="28"/>
          <w:szCs w:val="28"/>
          <w:highlight w:val="none"/>
          <w:u w:val="single"/>
        </w:rPr>
        <w:t>北京市顺义区牛栏山镇人民政府</w:t>
      </w:r>
    </w:p>
    <w:p>
      <w:pPr>
        <w:spacing w:line="480" w:lineRule="auto"/>
        <w:ind w:firstLine="1120" w:firstLineChars="400"/>
        <w:rPr>
          <w:rFonts w:hAnsi="宋体"/>
          <w:b/>
          <w:bCs/>
          <w:color w:val="auto"/>
          <w:sz w:val="28"/>
          <w:szCs w:val="28"/>
          <w:highlight w:val="none"/>
        </w:rPr>
      </w:pPr>
      <w:r>
        <w:rPr>
          <w:rFonts w:hint="eastAsia" w:hAnsi="宋体"/>
          <w:b/>
          <w:bCs/>
          <w:color w:val="auto"/>
          <w:sz w:val="28"/>
          <w:szCs w:val="28"/>
          <w:highlight w:val="none"/>
        </w:rPr>
        <w:t>乙　　方：</w:t>
      </w:r>
      <w:r>
        <w:rPr>
          <w:rFonts w:hint="eastAsia" w:hAnsi="宋体"/>
          <w:b/>
          <w:bCs/>
          <w:color w:val="auto"/>
          <w:sz w:val="28"/>
          <w:szCs w:val="28"/>
          <w:highlight w:val="none"/>
          <w:u w:val="single"/>
        </w:rPr>
        <w:t xml:space="preserve">                           </w:t>
      </w:r>
    </w:p>
    <w:p>
      <w:pPr>
        <w:spacing w:line="360" w:lineRule="auto"/>
        <w:rPr>
          <w:rFonts w:hAnsi="宋体"/>
          <w:b/>
          <w:bCs/>
          <w:color w:val="auto"/>
          <w:sz w:val="28"/>
          <w:szCs w:val="28"/>
          <w:highlight w:val="none"/>
        </w:rPr>
      </w:pPr>
    </w:p>
    <w:p>
      <w:pPr>
        <w:pStyle w:val="20"/>
        <w:ind w:left="860" w:hanging="420"/>
        <w:rPr>
          <w:color w:val="auto"/>
          <w:highlight w:val="none"/>
        </w:rPr>
      </w:pPr>
    </w:p>
    <w:p>
      <w:pPr>
        <w:spacing w:line="360" w:lineRule="auto"/>
        <w:ind w:firstLine="1120" w:firstLineChars="400"/>
        <w:rPr>
          <w:rFonts w:hAnsi="宋体"/>
          <w:b/>
          <w:bCs/>
          <w:color w:val="auto"/>
          <w:sz w:val="28"/>
          <w:szCs w:val="28"/>
          <w:highlight w:val="none"/>
        </w:rPr>
      </w:pPr>
      <w:r>
        <w:rPr>
          <w:rFonts w:hint="eastAsia" w:hAnsi="宋体"/>
          <w:b/>
          <w:bCs/>
          <w:color w:val="auto"/>
          <w:sz w:val="28"/>
          <w:szCs w:val="28"/>
          <w:highlight w:val="none"/>
        </w:rPr>
        <w:t>签署日期：</w:t>
      </w:r>
      <w:r>
        <w:rPr>
          <w:rFonts w:hint="eastAsia" w:hAnsi="宋体"/>
          <w:b/>
          <w:bCs/>
          <w:color w:val="auto"/>
          <w:sz w:val="28"/>
          <w:szCs w:val="28"/>
          <w:highlight w:val="none"/>
          <w:u w:val="single"/>
        </w:rPr>
        <w:t xml:space="preserve">      年     月     日     </w:t>
      </w:r>
    </w:p>
    <w:p>
      <w:pPr>
        <w:spacing w:line="360" w:lineRule="auto"/>
        <w:ind w:firstLine="480" w:firstLineChars="200"/>
        <w:jc w:val="center"/>
        <w:rPr>
          <w:rFonts w:hAnsi="宋体"/>
          <w:color w:val="auto"/>
          <w:sz w:val="24"/>
          <w:highlight w:val="none"/>
        </w:rPr>
      </w:pPr>
    </w:p>
    <w:p>
      <w:pPr>
        <w:spacing w:line="360" w:lineRule="auto"/>
        <w:rPr>
          <w:rFonts w:hAnsi="宋体"/>
          <w:b/>
          <w:color w:val="auto"/>
          <w:sz w:val="24"/>
          <w:highlight w:val="none"/>
        </w:rPr>
        <w:sectPr>
          <w:footerReference r:id="rId5" w:type="default"/>
          <w:pgSz w:w="11906" w:h="16838"/>
          <w:pgMar w:top="1258" w:right="1474" w:bottom="1984" w:left="1587" w:header="709" w:footer="709" w:gutter="0"/>
          <w:cols w:space="720" w:num="1"/>
          <w:docGrid w:type="linesAndChars" w:linePitch="364" w:charSpace="0"/>
        </w:sectPr>
      </w:pPr>
    </w:p>
    <w:p>
      <w:pPr>
        <w:tabs>
          <w:tab w:val="left" w:pos="420"/>
        </w:tabs>
        <w:spacing w:line="360" w:lineRule="auto"/>
        <w:ind w:firstLine="480" w:firstLineChars="200"/>
        <w:rPr>
          <w:rFonts w:hAnsi="宋体"/>
          <w:color w:val="auto"/>
          <w:sz w:val="24"/>
          <w:szCs w:val="24"/>
          <w:highlight w:val="none"/>
        </w:rPr>
      </w:pPr>
      <w:r>
        <w:rPr>
          <w:rFonts w:hint="eastAsia" w:hAnsi="宋体"/>
          <w:color w:val="auto"/>
          <w:sz w:val="24"/>
          <w:szCs w:val="24"/>
          <w:highlight w:val="none"/>
        </w:rPr>
        <w:t>根据《中华人民共和国民法典》等相关法律法规的规定，甲、乙双方经平等友好协商，就乙方为甲方提供垃圾分类指导服务事宜，达成如下协议，以共同遵照执行。</w:t>
      </w:r>
    </w:p>
    <w:p>
      <w:pPr>
        <w:tabs>
          <w:tab w:val="left" w:pos="420"/>
        </w:tabs>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一、服务范围</w:t>
      </w:r>
    </w:p>
    <w:p>
      <w:pPr>
        <w:tabs>
          <w:tab w:val="left" w:pos="420"/>
        </w:tabs>
        <w:spacing w:line="360" w:lineRule="auto"/>
        <w:ind w:firstLine="480" w:firstLineChars="200"/>
        <w:rPr>
          <w:rFonts w:hAnsi="宋体"/>
          <w:bCs/>
          <w:color w:val="auto"/>
          <w:sz w:val="24"/>
          <w:szCs w:val="24"/>
          <w:highlight w:val="none"/>
        </w:rPr>
      </w:pPr>
      <w:r>
        <w:rPr>
          <w:rFonts w:hint="eastAsia" w:hAnsi="宋体"/>
          <w:bCs/>
          <w:color w:val="auto"/>
          <w:sz w:val="24"/>
          <w:szCs w:val="24"/>
          <w:highlight w:val="none"/>
        </w:rPr>
        <w:t>1.服务范围</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牛栏山镇下坡屯家园一二三区、张庄家园、安乐家园、半壁店村回迁小区、维尼纶家属院小区的垃圾桶站进行垃圾分类及宣传、指导等工作。</w:t>
      </w:r>
    </w:p>
    <w:p>
      <w:pPr>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二、服务内容和服务要求</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（1）乙方指派垃圾分类指导员向甲方提供垃圾分类指导服务，服从甲方的统一安排。</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（2）乙方负责各桶站内所有垃圾桶及其他附属设施的清洗、擦拭、消杀工作，对溢满垃圾进行清理，确保桶站及周围环境干净、整洁。</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（3）乙方指导员在分拣过程中要指导居民正确进行分类投放，尽到宣传垃圾分类的责任。</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（4）乙方桶站值守人员在岗期间要对桶内各类未进行分类投放的垃圾进行二次分拣，保证在岗期间各类垃圾分类纯净度。</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（5）乙方员工在值守期间要佩戴明显的垃圾分类标识。</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（6）乙方员工在分拣工作期间所用的手套、夹子等相应的工具由乙方自行配备。</w:t>
      </w:r>
    </w:p>
    <w:p>
      <w:pPr>
        <w:spacing w:line="360" w:lineRule="auto"/>
        <w:ind w:firstLine="480" w:firstLineChars="200"/>
        <w:rPr>
          <w:color w:val="auto"/>
          <w:sz w:val="24"/>
          <w:szCs w:val="24"/>
          <w:highlight w:val="none"/>
        </w:rPr>
      </w:pPr>
      <w:r>
        <w:rPr>
          <w:rFonts w:hint="eastAsia" w:hAnsi="宋体"/>
          <w:color w:val="auto"/>
          <w:sz w:val="24"/>
          <w:szCs w:val="24"/>
          <w:highlight w:val="none"/>
        </w:rPr>
        <w:t>（7）乙方负责对工作中发现垃圾桶及其他设施破损的现象，要第一时间上报甲方</w:t>
      </w:r>
      <w:r>
        <w:rPr>
          <w:rFonts w:hint="eastAsia"/>
          <w:color w:val="auto"/>
          <w:sz w:val="24"/>
          <w:szCs w:val="24"/>
          <w:highlight w:val="none"/>
        </w:rPr>
        <w:t>。</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（8）甲方及任何相关主管部门有权对乙方的服务质量进行检查、考核。乙方严格遵守甲方及任何相关主管部门正式下发的考核文件。</w:t>
      </w:r>
    </w:p>
    <w:p>
      <w:pPr>
        <w:spacing w:line="360" w:lineRule="auto"/>
        <w:ind w:firstLine="482" w:firstLineChars="200"/>
        <w:rPr>
          <w:rFonts w:hAnsi="宋体"/>
          <w:b/>
          <w:bCs/>
          <w:color w:val="auto"/>
          <w:sz w:val="24"/>
          <w:szCs w:val="24"/>
          <w:highlight w:val="none"/>
        </w:rPr>
      </w:pPr>
      <w:r>
        <w:rPr>
          <w:rFonts w:hint="eastAsia" w:hAnsi="宋体"/>
          <w:b/>
          <w:bCs/>
          <w:color w:val="auto"/>
          <w:sz w:val="24"/>
          <w:szCs w:val="24"/>
          <w:highlight w:val="none"/>
        </w:rPr>
        <w:t>三、服务期限</w:t>
      </w:r>
    </w:p>
    <w:p>
      <w:pPr>
        <w:spacing w:line="360" w:lineRule="auto"/>
        <w:ind w:firstLine="480" w:firstLineChars="200"/>
        <w:rPr>
          <w:rFonts w:hAnsi="宋体"/>
          <w:bCs/>
          <w:color w:val="auto"/>
          <w:sz w:val="24"/>
          <w:szCs w:val="24"/>
          <w:highlight w:val="none"/>
        </w:rPr>
      </w:pPr>
      <w:r>
        <w:rPr>
          <w:rFonts w:hint="eastAsia" w:hAnsi="宋体"/>
          <w:bCs/>
          <w:color w:val="auto"/>
          <w:sz w:val="24"/>
          <w:szCs w:val="24"/>
          <w:highlight w:val="none"/>
        </w:rPr>
        <w:t>合同自签订之日起有效期一年。</w:t>
      </w:r>
    </w:p>
    <w:p>
      <w:pPr>
        <w:spacing w:line="360" w:lineRule="auto"/>
        <w:ind w:firstLine="482" w:firstLineChars="200"/>
        <w:rPr>
          <w:rFonts w:hAnsi="宋体"/>
          <w:b/>
          <w:bCs/>
          <w:color w:val="auto"/>
          <w:sz w:val="24"/>
          <w:szCs w:val="24"/>
          <w:highlight w:val="none"/>
        </w:rPr>
      </w:pPr>
      <w:r>
        <w:rPr>
          <w:rFonts w:hint="eastAsia" w:hAnsi="宋体"/>
          <w:b/>
          <w:bCs/>
          <w:color w:val="auto"/>
          <w:sz w:val="24"/>
          <w:szCs w:val="24"/>
          <w:highlight w:val="none"/>
        </w:rPr>
        <w:t>四、服务费用标准及付款方式</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1.服务费用：共计</w:t>
      </w:r>
      <w:r>
        <w:rPr>
          <w:rFonts w:hint="eastAsia" w:hAnsi="宋体"/>
          <w:color w:val="auto"/>
          <w:sz w:val="24"/>
          <w:szCs w:val="24"/>
          <w:highlight w:val="none"/>
          <w:u w:val="single"/>
        </w:rPr>
        <w:tab/>
      </w:r>
      <w:r>
        <w:rPr>
          <w:rFonts w:hint="eastAsia" w:hAnsi="宋体"/>
          <w:color w:val="auto"/>
          <w:sz w:val="24"/>
          <w:szCs w:val="24"/>
          <w:highlight w:val="none"/>
          <w:u w:val="single"/>
        </w:rPr>
        <w:t xml:space="preserve">       </w:t>
      </w:r>
      <w:r>
        <w:rPr>
          <w:rFonts w:hint="eastAsia" w:hAnsi="宋体"/>
          <w:color w:val="auto"/>
          <w:sz w:val="24"/>
          <w:szCs w:val="24"/>
          <w:highlight w:val="none"/>
        </w:rPr>
        <w:t>元，人民币</w:t>
      </w:r>
      <w:r>
        <w:rPr>
          <w:rFonts w:hint="eastAsia" w:hAnsi="宋体"/>
          <w:color w:val="auto"/>
          <w:sz w:val="24"/>
          <w:szCs w:val="24"/>
          <w:highlight w:val="none"/>
          <w:u w:val="single"/>
        </w:rPr>
        <w:tab/>
      </w:r>
      <w:r>
        <w:rPr>
          <w:rFonts w:hint="eastAsia" w:hAnsi="宋体"/>
          <w:color w:val="auto"/>
          <w:sz w:val="24"/>
          <w:szCs w:val="24"/>
          <w:highlight w:val="none"/>
          <w:u w:val="single"/>
        </w:rPr>
        <w:t xml:space="preserve">                      </w:t>
      </w:r>
      <w:r>
        <w:rPr>
          <w:rFonts w:hint="eastAsia" w:hAnsi="宋体"/>
          <w:color w:val="auto"/>
          <w:sz w:val="24"/>
          <w:szCs w:val="24"/>
          <w:highlight w:val="none"/>
        </w:rPr>
        <w:t>。上述金额包含乙方向甲方提供垃圾分类指导服务的全部费用，甲方无须向乙方及其垃圾分类指导员支付其他任何费用。</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2.付款时间：</w:t>
      </w:r>
      <w:r>
        <w:rPr>
          <w:rFonts w:hint="eastAsia"/>
          <w:color w:val="auto"/>
          <w:sz w:val="24"/>
          <w:szCs w:val="24"/>
          <w:highlight w:val="none"/>
        </w:rPr>
        <w:t>合同服务期满，甲方支付服务费。</w:t>
      </w:r>
    </w:p>
    <w:p>
      <w:pPr>
        <w:spacing w:line="360" w:lineRule="auto"/>
        <w:ind w:firstLine="480" w:firstLineChars="200"/>
        <w:rPr>
          <w:rFonts w:hAnsi="宋体"/>
          <w:color w:val="auto"/>
          <w:sz w:val="24"/>
          <w:szCs w:val="24"/>
          <w:highlight w:val="none"/>
        </w:rPr>
      </w:pPr>
      <w:r>
        <w:rPr>
          <w:rFonts w:hAnsi="宋体"/>
          <w:color w:val="auto"/>
          <w:kern w:val="2"/>
          <w:sz w:val="24"/>
          <w:szCs w:val="24"/>
          <w:highlight w:val="none"/>
        </w:rPr>
        <w:t>3.</w:t>
      </w:r>
      <w:r>
        <w:rPr>
          <w:rFonts w:hint="eastAsia" w:hAnsi="宋体"/>
          <w:color w:val="auto"/>
          <w:sz w:val="24"/>
          <w:szCs w:val="24"/>
          <w:highlight w:val="none"/>
        </w:rPr>
        <w:t xml:space="preserve">付款方式仅限于转账，乙方账户信息如下： </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公司名称：</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 xml:space="preserve">公司地址： </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 xml:space="preserve">开户银行： </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开户账号：</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纳税人识别号：</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4.甲方每次付款前，乙方均应向甲方出具等额国家正规发票，否则，甲方有权拒绝付款且不承担任何责任。甲方于收到合规发票后启动付款程序。</w:t>
      </w:r>
    </w:p>
    <w:p>
      <w:pPr>
        <w:spacing w:line="360" w:lineRule="auto"/>
        <w:ind w:firstLine="480" w:firstLineChars="200"/>
        <w:rPr>
          <w:rFonts w:hAnsi="宋体"/>
          <w:color w:val="auto"/>
          <w:sz w:val="24"/>
          <w:szCs w:val="24"/>
          <w:highlight w:val="none"/>
        </w:rPr>
      </w:pPr>
      <w:r>
        <w:rPr>
          <w:rFonts w:hint="eastAsia"/>
          <w:color w:val="auto"/>
          <w:sz w:val="24"/>
          <w:szCs w:val="24"/>
          <w:highlight w:val="none"/>
        </w:rPr>
        <w:t>5.凡甲方付款依托于财政拨款，如遇财政拨款计划有变动，以款项实际到账数额、时间为准。因财政拨款变动导致甲方实际付款时间迟于合同约定的，不构成</w:t>
      </w:r>
      <w:r>
        <w:rPr>
          <w:rFonts w:hint="eastAsia" w:hAnsi="宋体"/>
          <w:color w:val="auto"/>
          <w:sz w:val="24"/>
          <w:szCs w:val="24"/>
          <w:highlight w:val="none"/>
        </w:rPr>
        <w:t>甲方违约，甲方无需承担任何责任。</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6.双方一致认可，甲方支付本合同项下款项，需经有关单位通过财政审批，若因财政审批流程延迟导致付款延迟的，不视为甲方违约，甲方不承担任何违约责任。</w:t>
      </w:r>
    </w:p>
    <w:p>
      <w:pPr>
        <w:spacing w:line="360" w:lineRule="auto"/>
        <w:ind w:firstLine="482" w:firstLineChars="200"/>
        <w:rPr>
          <w:rFonts w:hAnsi="宋体"/>
          <w:b/>
          <w:bCs/>
          <w:color w:val="auto"/>
          <w:sz w:val="24"/>
          <w:szCs w:val="24"/>
          <w:highlight w:val="none"/>
        </w:rPr>
      </w:pPr>
      <w:r>
        <w:rPr>
          <w:rFonts w:hint="eastAsia" w:hAnsi="宋体"/>
          <w:b/>
          <w:bCs/>
          <w:color w:val="auto"/>
          <w:sz w:val="24"/>
          <w:szCs w:val="24"/>
          <w:highlight w:val="none"/>
        </w:rPr>
        <w:t>五、甲方权利义务</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1.甲方应按时足额向乙方支付服务费用。</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2.甲方有权监督乙方的服务质量。对不符合要求的情形，有权要求乙方立即改正。</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3.甲方有权要求乙方加强对垃圾分类指导员的管理。对无法完成工作任务的垃圾分类指导员，甲方有权要求乙方更换，乙方应在 3 日内予以更换。</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4.因乙方垃圾分类指导员失职造成甲方或任意第三方财产损失或人身损害的，均由乙方自行承担赔偿责任。</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5.乙方垃圾分类指导员应严格遵守甲方的各项规章制度和社区管理制度。</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6.甲方应当支持乙方提出的各种合理化建议，为乙方开展工作创造有利条件。</w:t>
      </w:r>
    </w:p>
    <w:p>
      <w:pPr>
        <w:spacing w:line="360" w:lineRule="auto"/>
        <w:ind w:firstLine="482" w:firstLineChars="200"/>
        <w:rPr>
          <w:rFonts w:hAnsi="宋体"/>
          <w:b/>
          <w:bCs/>
          <w:color w:val="auto"/>
          <w:sz w:val="24"/>
          <w:szCs w:val="24"/>
          <w:highlight w:val="none"/>
        </w:rPr>
      </w:pPr>
      <w:r>
        <w:rPr>
          <w:rFonts w:hint="eastAsia" w:hAnsi="宋体"/>
          <w:b/>
          <w:bCs/>
          <w:color w:val="auto"/>
          <w:sz w:val="24"/>
          <w:szCs w:val="24"/>
          <w:highlight w:val="none"/>
        </w:rPr>
        <w:t>六、乙方权利义务</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（1）乙方应安排身体健康、品性良好、经培训合格具有相应从业资格的垃圾分类指导员上岗，垃圾分类指导员应做到着装整洁、仪表端庄、礼貌服务，遵守国家法律法规和甲方、社区规章制度。</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（2）乙方应提供合格的服务人员，对甲方不满意的人员及时进行教育、调整。</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（3）涉及本合同服务项目内的市民诉求，配合甲方做好群众解释沟通及问题整改工作。</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（4）乙方应自觉主动接受甲方对服务项目作业及保洁人员管理方面的合理化建议和监督。</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（5）乙方必须自行购齐必需的劳动用具，不得因缺少作业工具而影响或延误作业；日常管理中，必须保证作业人员足额到岗，服务人员数量为</w:t>
      </w:r>
      <w:r>
        <w:rPr>
          <w:rFonts w:hint="eastAsia" w:hAnsi="宋体"/>
          <w:color w:val="auto"/>
          <w:sz w:val="24"/>
          <w:szCs w:val="24"/>
          <w:highlight w:val="none"/>
          <w:u w:val="single"/>
        </w:rPr>
        <w:t xml:space="preserve">    </w:t>
      </w:r>
      <w:r>
        <w:rPr>
          <w:rFonts w:hint="eastAsia" w:hAnsi="宋体"/>
          <w:color w:val="auto"/>
          <w:sz w:val="24"/>
          <w:szCs w:val="24"/>
          <w:highlight w:val="none"/>
        </w:rPr>
        <w:t>名。</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（6）乙方必须按时支付作业人员工资。</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（7）乙方必须统一着装，做好管理人员、作业人员的管理、培训</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、稳定工作，确保作业期间不发生消极怠工、敷衍搪塞作业项目及与群众发生矛盾纠纷等事件，不做与工作无关的事。</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（8）乙方应自觉接受甲方的管理和指导，服从和配合甲方及上级部门的检查考核，服从重大会议活动、重要节日环境保障或上级部门和甲方部门检查期间的整治任务安排。</w:t>
      </w:r>
    </w:p>
    <w:p>
      <w:pPr>
        <w:spacing w:line="360" w:lineRule="auto"/>
        <w:ind w:firstLine="480" w:firstLineChars="200"/>
        <w:rPr>
          <w:rFonts w:hAnsi="宋体"/>
          <w:b/>
          <w:bCs/>
          <w:color w:val="auto"/>
          <w:sz w:val="24"/>
          <w:szCs w:val="24"/>
          <w:highlight w:val="none"/>
        </w:rPr>
      </w:pPr>
      <w:r>
        <w:rPr>
          <w:rFonts w:hint="eastAsia" w:hAnsi="宋体"/>
          <w:color w:val="auto"/>
          <w:sz w:val="24"/>
          <w:szCs w:val="24"/>
          <w:highlight w:val="none"/>
        </w:rPr>
        <w:t>（9）乙方未按照合同约定及服务项目作业要求执行，导致公私财产损失、人身伤亡民事赔偿责任，乙方负全部责任及赔偿款项。</w:t>
      </w:r>
    </w:p>
    <w:p>
      <w:pPr>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 xml:space="preserve">七、违约与合同解除 </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（一）违约责任</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1.乙方存在不能按本合同约定内容履行自己的各项义务或发生使合同无法履行等违约行为的，应承担相应的违约责任，按照年服务费的10%支付违约金。</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2.除双方协议终止合同或因违约方的违约行为导致合同无法履行而解除合同外，违约方承担上述违约责任后仍应继续履行合同。</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（二）合同解除</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1.乙方未按照合同约定认真履行，服务质量不符合合同约定或甲方要求，甲方有权要求乙方整改，若乙方拒绝整改或整改后仍存在服务不符合合同约定的情形时，甲方有权无条件的解除本合同，并要求乙方按照年服务费的 10%支付违约金。若违约金不能弥补甲方损失，乙方仍需向甲方赔偿。</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2.甲方有权随时提前30日书面通知乙方后解除合同，合同解除后，按照乙方实际完成且验收合格的工作量结算服务费。</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3.乙方无故解除本合同时，应当至少提前两个月书面告知甲方，并按照甲方要求做好交接后方可正式解除。</w:t>
      </w:r>
    </w:p>
    <w:p>
      <w:pPr>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八、争议解决</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本合同履行过程中发生争议时，由甲、乙双方协商解决；协商不成的，可向北京市顺义区人民法院提起诉讼。</w:t>
      </w:r>
    </w:p>
    <w:p>
      <w:pPr>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九、合同份数及效力</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本合同一式陆份，甲方执叁份，乙方执叁份，本合同自双方法定代表人或委托人签字并加盖公章之日起生效。本合同未尽事宜，双方签订补充协议，补充协议与本合同具有同等法律效力。</w:t>
      </w:r>
    </w:p>
    <w:p>
      <w:pPr>
        <w:spacing w:line="360" w:lineRule="auto"/>
        <w:ind w:firstLine="482" w:firstLineChars="200"/>
        <w:rPr>
          <w:rFonts w:hAnsi="宋体"/>
          <w:b/>
          <w:color w:val="auto"/>
          <w:sz w:val="24"/>
          <w:szCs w:val="24"/>
          <w:highlight w:val="none"/>
        </w:rPr>
      </w:pPr>
      <w:r>
        <w:rPr>
          <w:rFonts w:hint="eastAsia" w:hAnsi="宋体"/>
          <w:b/>
          <w:color w:val="auto"/>
          <w:sz w:val="24"/>
          <w:szCs w:val="24"/>
          <w:highlight w:val="none"/>
        </w:rPr>
        <w:t>十、补充条款</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（一）甲方如需增加服务项目，其服务费用另计，经双方协商，可签订补充协议，补充协议与本合同具有同等法律效力。</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（二）乙方就本合同项下的所有债权不得以任何形式（包括但不限于债权转让、质押、赠与等）转让给第三人。</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（三）乙方在履行本合同过程中应严格遵守保密义务，对所获悉的与甲方有关的一切信息和资料，不得泄露，保密期限为永久。</w:t>
      </w:r>
    </w:p>
    <w:p>
      <w:pPr>
        <w:spacing w:line="360" w:lineRule="auto"/>
        <w:ind w:firstLine="480" w:firstLineChars="200"/>
        <w:rPr>
          <w:rFonts w:hAnsi="宋体"/>
          <w:color w:val="auto"/>
          <w:sz w:val="24"/>
          <w:szCs w:val="24"/>
          <w:highlight w:val="none"/>
        </w:rPr>
      </w:pPr>
      <w:r>
        <w:rPr>
          <w:rFonts w:hint="eastAsia" w:hAnsi="宋体"/>
          <w:color w:val="auto"/>
          <w:sz w:val="24"/>
          <w:szCs w:val="24"/>
          <w:highlight w:val="none"/>
        </w:rPr>
        <w:t>（四）甲方根据实际情况制定相应考核标准，并作为本合同附件，与本合同具有同等法律效力。</w:t>
      </w:r>
    </w:p>
    <w:p>
      <w:pPr>
        <w:pStyle w:val="20"/>
        <w:spacing w:line="360" w:lineRule="auto"/>
        <w:ind w:left="920" w:hanging="480"/>
        <w:rPr>
          <w:color w:val="auto"/>
          <w:sz w:val="24"/>
          <w:highlight w:val="none"/>
        </w:rPr>
      </w:pPr>
    </w:p>
    <w:p>
      <w:pPr>
        <w:pStyle w:val="20"/>
        <w:spacing w:line="360" w:lineRule="auto"/>
        <w:ind w:left="920" w:hanging="480"/>
        <w:rPr>
          <w:color w:val="auto"/>
          <w:sz w:val="24"/>
          <w:highlight w:val="none"/>
        </w:rPr>
      </w:pPr>
    </w:p>
    <w:p>
      <w:pPr>
        <w:pStyle w:val="20"/>
        <w:spacing w:line="360" w:lineRule="auto"/>
        <w:ind w:left="920" w:hanging="480"/>
        <w:rPr>
          <w:color w:val="auto"/>
          <w:sz w:val="24"/>
          <w:highlight w:val="none"/>
        </w:rPr>
      </w:pPr>
    </w:p>
    <w:p>
      <w:pPr>
        <w:pStyle w:val="20"/>
        <w:spacing w:line="360" w:lineRule="auto"/>
        <w:ind w:left="920" w:hanging="480"/>
        <w:rPr>
          <w:color w:val="auto"/>
          <w:sz w:val="24"/>
          <w:highlight w:val="none"/>
        </w:rPr>
      </w:pPr>
    </w:p>
    <w:p>
      <w:pPr>
        <w:pStyle w:val="20"/>
        <w:spacing w:line="360" w:lineRule="auto"/>
        <w:ind w:left="920" w:hanging="480"/>
        <w:rPr>
          <w:color w:val="auto"/>
          <w:sz w:val="24"/>
          <w:highlight w:val="none"/>
        </w:rPr>
      </w:pPr>
    </w:p>
    <w:p>
      <w:pPr>
        <w:pStyle w:val="20"/>
        <w:spacing w:line="360" w:lineRule="auto"/>
        <w:ind w:left="920" w:hanging="480"/>
        <w:rPr>
          <w:color w:val="auto"/>
          <w:sz w:val="24"/>
          <w:highlight w:val="none"/>
        </w:rPr>
      </w:pPr>
    </w:p>
    <w:p>
      <w:pPr>
        <w:pStyle w:val="20"/>
        <w:spacing w:line="360" w:lineRule="auto"/>
        <w:ind w:left="920" w:hanging="480"/>
        <w:rPr>
          <w:color w:val="auto"/>
          <w:sz w:val="24"/>
          <w:highlight w:val="none"/>
        </w:rPr>
      </w:pPr>
    </w:p>
    <w:p>
      <w:pPr>
        <w:pStyle w:val="20"/>
        <w:spacing w:line="360" w:lineRule="auto"/>
        <w:ind w:left="920" w:hanging="480"/>
        <w:rPr>
          <w:color w:val="auto"/>
          <w:sz w:val="24"/>
          <w:highlight w:val="none"/>
        </w:rPr>
      </w:pPr>
    </w:p>
    <w:p>
      <w:pPr>
        <w:spacing w:line="360" w:lineRule="auto"/>
        <w:rPr>
          <w:rFonts w:hAnsi="宋体"/>
          <w:color w:val="auto"/>
          <w:sz w:val="24"/>
          <w:szCs w:val="24"/>
          <w:highlight w:val="none"/>
        </w:rPr>
      </w:pPr>
      <w:r>
        <w:rPr>
          <w:rFonts w:hint="eastAsia" w:hAnsi="宋体"/>
          <w:color w:val="auto"/>
          <w:sz w:val="24"/>
          <w:szCs w:val="24"/>
          <w:highlight w:val="none"/>
        </w:rPr>
        <w:t xml:space="preserve">    </w:t>
      </w:r>
    </w:p>
    <w:p>
      <w:pPr>
        <w:pStyle w:val="29"/>
        <w:spacing w:line="360" w:lineRule="auto"/>
        <w:rPr>
          <w:rFonts w:hAnsi="宋体"/>
          <w:color w:val="auto"/>
          <w:kern w:val="44"/>
          <w:sz w:val="24"/>
          <w:szCs w:val="24"/>
          <w:highlight w:val="none"/>
        </w:rPr>
      </w:pPr>
      <w:r>
        <w:rPr>
          <w:rFonts w:hint="eastAsia" w:hAnsi="宋体"/>
          <w:color w:val="auto"/>
          <w:kern w:val="44"/>
          <w:sz w:val="24"/>
          <w:szCs w:val="24"/>
          <w:highlight w:val="none"/>
        </w:rPr>
        <w:t xml:space="preserve">    </w:t>
      </w:r>
    </w:p>
    <w:p>
      <w:pPr>
        <w:pStyle w:val="2"/>
        <w:rPr>
          <w:color w:val="auto"/>
          <w:highlight w:val="none"/>
        </w:rPr>
      </w:pPr>
      <w:r>
        <w:rPr>
          <w:color w:val="auto"/>
          <w:highlight w:val="none"/>
        </w:rPr>
        <w:br w:type="page"/>
      </w:r>
    </w:p>
    <w:p>
      <w:pPr>
        <w:pStyle w:val="29"/>
        <w:spacing w:line="360" w:lineRule="auto"/>
        <w:rPr>
          <w:rFonts w:hAnsi="宋体"/>
          <w:color w:val="auto"/>
          <w:kern w:val="44"/>
          <w:sz w:val="24"/>
          <w:szCs w:val="24"/>
          <w:highlight w:val="none"/>
        </w:rPr>
      </w:pPr>
      <w:r>
        <w:rPr>
          <w:rFonts w:hint="eastAsia" w:hAnsi="宋体"/>
          <w:color w:val="auto"/>
          <w:kern w:val="44"/>
          <w:sz w:val="24"/>
          <w:szCs w:val="24"/>
          <w:highlight w:val="none"/>
        </w:rPr>
        <w:t>【以下为合同签署页，无正文】</w:t>
      </w:r>
    </w:p>
    <w:p>
      <w:pPr>
        <w:spacing w:line="360" w:lineRule="auto"/>
        <w:rPr>
          <w:rFonts w:hAnsi="宋体"/>
          <w:color w:val="auto"/>
          <w:sz w:val="24"/>
          <w:szCs w:val="24"/>
          <w:highlight w:val="none"/>
          <w:u w:val="single"/>
        </w:rPr>
      </w:pPr>
    </w:p>
    <w:p>
      <w:pPr>
        <w:spacing w:line="360" w:lineRule="auto"/>
        <w:rPr>
          <w:rFonts w:hAnsi="宋体"/>
          <w:color w:val="auto"/>
          <w:sz w:val="24"/>
          <w:szCs w:val="24"/>
          <w:highlight w:val="none"/>
          <w:u w:val="single"/>
        </w:rPr>
      </w:pPr>
    </w:p>
    <w:p>
      <w:pPr>
        <w:spacing w:line="360" w:lineRule="auto"/>
        <w:rPr>
          <w:rFonts w:hAnsi="宋体"/>
          <w:color w:val="auto"/>
          <w:kern w:val="44"/>
          <w:sz w:val="24"/>
          <w:szCs w:val="24"/>
          <w:highlight w:val="none"/>
        </w:rPr>
      </w:pPr>
      <w:r>
        <w:rPr>
          <w:rFonts w:hint="eastAsia" w:hAnsi="宋体"/>
          <w:color w:val="auto"/>
          <w:kern w:val="44"/>
          <w:sz w:val="24"/>
          <w:szCs w:val="24"/>
          <w:highlight w:val="none"/>
        </w:rPr>
        <w:t xml:space="preserve">甲方：北京市顺义区牛栏山镇人民政府        乙方：               </w:t>
      </w:r>
    </w:p>
    <w:p>
      <w:pPr>
        <w:spacing w:line="360" w:lineRule="auto"/>
        <w:rPr>
          <w:rFonts w:hAnsi="宋体"/>
          <w:color w:val="auto"/>
          <w:kern w:val="44"/>
          <w:sz w:val="24"/>
          <w:szCs w:val="24"/>
          <w:highlight w:val="none"/>
        </w:rPr>
      </w:pPr>
      <w:r>
        <w:rPr>
          <w:rFonts w:hint="eastAsia" w:hAnsi="宋体"/>
          <w:color w:val="auto"/>
          <w:kern w:val="44"/>
          <w:sz w:val="24"/>
          <w:szCs w:val="24"/>
          <w:highlight w:val="none"/>
        </w:rPr>
        <w:t xml:space="preserve">               （盖章）                                  （盖章）</w:t>
      </w:r>
    </w:p>
    <w:p>
      <w:pPr>
        <w:spacing w:line="360" w:lineRule="auto"/>
        <w:rPr>
          <w:rFonts w:hAnsi="宋体"/>
          <w:color w:val="auto"/>
          <w:kern w:val="44"/>
          <w:sz w:val="24"/>
          <w:szCs w:val="24"/>
          <w:highlight w:val="none"/>
        </w:rPr>
      </w:pPr>
    </w:p>
    <w:p>
      <w:pPr>
        <w:spacing w:line="360" w:lineRule="auto"/>
        <w:rPr>
          <w:rFonts w:hAnsi="宋体"/>
          <w:color w:val="auto"/>
          <w:kern w:val="44"/>
          <w:sz w:val="24"/>
          <w:szCs w:val="24"/>
          <w:highlight w:val="none"/>
        </w:rPr>
      </w:pPr>
      <w:r>
        <w:rPr>
          <w:rFonts w:hint="eastAsia" w:hAnsi="宋体"/>
          <w:color w:val="auto"/>
          <w:kern w:val="44"/>
          <w:sz w:val="24"/>
          <w:szCs w:val="24"/>
          <w:highlight w:val="none"/>
        </w:rPr>
        <w:t>法定代表人或其                            法定代表人或其</w:t>
      </w:r>
    </w:p>
    <w:p>
      <w:pPr>
        <w:spacing w:line="360" w:lineRule="auto"/>
        <w:rPr>
          <w:rFonts w:hAnsi="宋体"/>
          <w:color w:val="auto"/>
          <w:kern w:val="44"/>
          <w:sz w:val="24"/>
          <w:szCs w:val="24"/>
          <w:highlight w:val="none"/>
        </w:rPr>
      </w:pPr>
      <w:r>
        <w:rPr>
          <w:rFonts w:hint="eastAsia" w:hAnsi="宋体"/>
          <w:color w:val="auto"/>
          <w:kern w:val="44"/>
          <w:sz w:val="24"/>
          <w:szCs w:val="24"/>
          <w:highlight w:val="none"/>
        </w:rPr>
        <w:t xml:space="preserve">委托代理人签字：                          委托代理人签字：               </w:t>
      </w:r>
    </w:p>
    <w:p>
      <w:pPr>
        <w:spacing w:line="360" w:lineRule="auto"/>
        <w:rPr>
          <w:rFonts w:hAnsi="宋体"/>
          <w:color w:val="auto"/>
          <w:kern w:val="44"/>
          <w:sz w:val="24"/>
          <w:szCs w:val="24"/>
          <w:highlight w:val="none"/>
        </w:rPr>
      </w:pPr>
    </w:p>
    <w:p>
      <w:pPr>
        <w:spacing w:line="360" w:lineRule="auto"/>
        <w:rPr>
          <w:rFonts w:hAnsi="宋体"/>
          <w:color w:val="auto"/>
          <w:kern w:val="44"/>
          <w:sz w:val="24"/>
          <w:szCs w:val="24"/>
          <w:highlight w:val="none"/>
        </w:rPr>
      </w:pPr>
      <w:r>
        <w:rPr>
          <w:rFonts w:hint="eastAsia" w:hAnsi="宋体"/>
          <w:color w:val="auto"/>
          <w:kern w:val="44"/>
          <w:sz w:val="24"/>
          <w:szCs w:val="24"/>
          <w:highlight w:val="none"/>
        </w:rPr>
        <w:t>日期：                                    日期：</w:t>
      </w:r>
    </w:p>
    <w:p>
      <w:pPr>
        <w:spacing w:line="360" w:lineRule="auto"/>
        <w:rPr>
          <w:color w:val="auto"/>
          <w:sz w:val="24"/>
          <w:szCs w:val="24"/>
          <w:highlight w:val="none"/>
        </w:rPr>
      </w:pPr>
    </w:p>
    <w:p>
      <w:pPr>
        <w:widowControl/>
        <w:autoSpaceDE/>
        <w:autoSpaceDN/>
        <w:adjustRightInd/>
        <w:spacing w:line="360" w:lineRule="auto"/>
        <w:rPr>
          <w:rFonts w:hAnsi="宋体"/>
          <w:color w:val="auto"/>
          <w:sz w:val="36"/>
          <w:szCs w:val="36"/>
          <w:highlight w:val="none"/>
        </w:rPr>
      </w:pPr>
    </w:p>
    <w:p>
      <w:pPr>
        <w:widowControl/>
        <w:autoSpaceDE/>
        <w:autoSpaceDN/>
        <w:adjustRightInd/>
        <w:rPr>
          <w:rFonts w:hAnsi="宋体"/>
          <w:color w:val="auto"/>
          <w:sz w:val="36"/>
          <w:szCs w:val="36"/>
          <w:highlight w:val="none"/>
        </w:rPr>
      </w:pPr>
      <w:r>
        <w:rPr>
          <w:rFonts w:hAnsi="宋体"/>
          <w:color w:val="auto"/>
          <w:highlight w:val="none"/>
        </w:rPr>
        <w:br w:type="page"/>
      </w:r>
    </w:p>
    <w:p>
      <w:pPr>
        <w:pStyle w:val="3"/>
        <w:tabs>
          <w:tab w:val="left" w:pos="1622"/>
        </w:tabs>
        <w:kinsoku w:val="0"/>
        <w:overflowPunct w:val="0"/>
        <w:ind w:right="29"/>
        <w:rPr>
          <w:rFonts w:hAnsi="宋体"/>
          <w:color w:val="auto"/>
          <w:highlight w:val="none"/>
        </w:rPr>
      </w:pPr>
      <w:r>
        <w:rPr>
          <w:rFonts w:hint="eastAsia" w:hAnsi="宋体"/>
          <w:color w:val="auto"/>
          <w:highlight w:val="none"/>
        </w:rPr>
        <w:t>第六章</w:t>
      </w:r>
      <w:r>
        <w:rPr>
          <w:rFonts w:hAnsi="宋体"/>
          <w:color w:val="auto"/>
          <w:highlight w:val="none"/>
        </w:rPr>
        <w:tab/>
      </w:r>
      <w:r>
        <w:rPr>
          <w:rFonts w:hint="eastAsia" w:hAnsi="宋体"/>
          <w:color w:val="auto"/>
          <w:highlight w:val="none"/>
        </w:rPr>
        <w:t>响应文件格式</w:t>
      </w:r>
      <w:bookmarkEnd w:id="81"/>
      <w:bookmarkEnd w:id="82"/>
    </w:p>
    <w:p>
      <w:pPr>
        <w:pStyle w:val="17"/>
        <w:kinsoku w:val="0"/>
        <w:overflowPunct w:val="0"/>
        <w:spacing w:before="3"/>
        <w:rPr>
          <w:rFonts w:hAnsi="宋体"/>
          <w:color w:val="auto"/>
          <w:sz w:val="51"/>
          <w:szCs w:val="51"/>
          <w:highlight w:val="none"/>
        </w:rPr>
      </w:pPr>
    </w:p>
    <w:p>
      <w:pPr>
        <w:pStyle w:val="17"/>
        <w:kinsoku w:val="0"/>
        <w:overflowPunct w:val="0"/>
        <w:ind w:left="683"/>
        <w:rPr>
          <w:rFonts w:hAnsi="宋体"/>
          <w:color w:val="auto"/>
          <w:highlight w:val="none"/>
        </w:rPr>
      </w:pPr>
      <w:r>
        <w:rPr>
          <w:rFonts w:hint="eastAsia" w:hAnsi="宋体"/>
          <w:color w:val="auto"/>
          <w:highlight w:val="none"/>
        </w:rPr>
        <w:t>供应商编制文件须知</w:t>
      </w:r>
    </w:p>
    <w:p>
      <w:pPr>
        <w:pStyle w:val="17"/>
        <w:kinsoku w:val="0"/>
        <w:overflowPunct w:val="0"/>
        <w:spacing w:before="161" w:line="364" w:lineRule="auto"/>
        <w:ind w:right="568" w:firstLine="720" w:firstLineChars="300"/>
        <w:rPr>
          <w:rFonts w:hAnsi="宋体"/>
          <w:color w:val="auto"/>
          <w:highlight w:val="none"/>
        </w:rPr>
      </w:pPr>
      <w:r>
        <w:rPr>
          <w:rFonts w:hAnsi="宋体" w:cs="Arial"/>
          <w:color w:val="auto"/>
          <w:highlight w:val="none"/>
        </w:rPr>
        <w:t>1</w:t>
      </w:r>
      <w:r>
        <w:rPr>
          <w:rFonts w:hint="eastAsia" w:hAnsi="宋体"/>
          <w:color w:val="auto"/>
          <w:spacing w:val="-10"/>
          <w:highlight w:val="none"/>
        </w:rPr>
        <w:t>、供应商按照本部分的顺序编制响应文件，编制中涉及格式资料的，应按照本部分提</w:t>
      </w:r>
      <w:r>
        <w:rPr>
          <w:rFonts w:hint="eastAsia" w:hAnsi="宋体"/>
          <w:color w:val="auto"/>
          <w:highlight w:val="none"/>
        </w:rPr>
        <w:t>供的内容和格式（所有表格的格式可扩展）填写提交。</w:t>
      </w:r>
    </w:p>
    <w:p>
      <w:pPr>
        <w:pStyle w:val="17"/>
        <w:kinsoku w:val="0"/>
        <w:overflowPunct w:val="0"/>
        <w:spacing w:line="364" w:lineRule="auto"/>
        <w:ind w:right="446" w:firstLine="720" w:firstLineChars="300"/>
        <w:rPr>
          <w:rFonts w:hAnsi="宋体"/>
          <w:color w:val="auto"/>
          <w:highlight w:val="none"/>
        </w:rPr>
      </w:pPr>
      <w:r>
        <w:rPr>
          <w:rFonts w:hAnsi="宋体" w:cs="Arial"/>
          <w:color w:val="auto"/>
          <w:highlight w:val="none"/>
        </w:rPr>
        <w:t>2</w:t>
      </w:r>
      <w:r>
        <w:rPr>
          <w:rFonts w:hint="eastAsia" w:hAnsi="宋体"/>
          <w:color w:val="auto"/>
          <w:spacing w:val="-8"/>
          <w:highlight w:val="none"/>
        </w:rPr>
        <w:t>、对于竞争性磋商文件中标记了</w:t>
      </w:r>
      <w:r>
        <w:rPr>
          <w:rFonts w:hAnsi="宋体" w:cs="Arial"/>
          <w:color w:val="auto"/>
          <w:w w:val="135"/>
          <w:highlight w:val="none"/>
        </w:rPr>
        <w:t>“</w:t>
      </w:r>
      <w:r>
        <w:rPr>
          <w:rFonts w:hint="eastAsia" w:hAnsi="宋体"/>
          <w:color w:val="auto"/>
          <w:highlight w:val="none"/>
        </w:rPr>
        <w:t>实质性格式</w:t>
      </w:r>
      <w:r>
        <w:rPr>
          <w:rFonts w:hAnsi="宋体" w:cs="Arial"/>
          <w:color w:val="auto"/>
          <w:w w:val="135"/>
          <w:highlight w:val="none"/>
        </w:rPr>
        <w:t>”</w:t>
      </w:r>
      <w:r>
        <w:rPr>
          <w:rFonts w:hint="eastAsia" w:hAnsi="宋体"/>
          <w:color w:val="auto"/>
          <w:spacing w:val="-8"/>
          <w:highlight w:val="none"/>
        </w:rPr>
        <w:t>文件的，供应商不得改变格式中给定的文字所表达的含义，不得删减格式中的实质性内容，不得自行添加与格式中给定的文</w:t>
      </w:r>
      <w:r>
        <w:rPr>
          <w:rFonts w:hint="eastAsia" w:hAnsi="宋体"/>
          <w:color w:val="auto"/>
          <w:spacing w:val="-12"/>
          <w:highlight w:val="none"/>
        </w:rPr>
        <w:t>字内容相矛盾的内容，不得对应当填写的空格不填写或不实质性响应，否则响应无效。</w:t>
      </w:r>
      <w:r>
        <w:rPr>
          <w:rFonts w:hint="eastAsia" w:hAnsi="宋体"/>
          <w:color w:val="auto"/>
          <w:highlight w:val="none"/>
        </w:rPr>
        <w:t>未标记</w:t>
      </w:r>
      <w:r>
        <w:rPr>
          <w:rFonts w:hAnsi="宋体" w:cs="Arial"/>
          <w:color w:val="auto"/>
          <w:w w:val="135"/>
          <w:highlight w:val="none"/>
        </w:rPr>
        <w:t>“</w:t>
      </w:r>
      <w:r>
        <w:rPr>
          <w:rFonts w:hint="eastAsia" w:hAnsi="宋体"/>
          <w:color w:val="auto"/>
          <w:highlight w:val="none"/>
        </w:rPr>
        <w:t>实质性格式</w:t>
      </w:r>
      <w:r>
        <w:rPr>
          <w:rFonts w:hAnsi="宋体" w:cs="Arial"/>
          <w:color w:val="auto"/>
          <w:w w:val="135"/>
          <w:highlight w:val="none"/>
        </w:rPr>
        <w:t>”</w:t>
      </w:r>
      <w:r>
        <w:rPr>
          <w:rFonts w:hint="eastAsia" w:hAnsi="宋体"/>
          <w:color w:val="auto"/>
          <w:highlight w:val="none"/>
        </w:rPr>
        <w:t>的文件和竞争性磋商文件未提供格式的内容，可由供应商自行编写。</w:t>
      </w:r>
    </w:p>
    <w:p>
      <w:pPr>
        <w:pStyle w:val="17"/>
        <w:kinsoku w:val="0"/>
        <w:overflowPunct w:val="0"/>
        <w:spacing w:line="306" w:lineRule="exact"/>
        <w:ind w:left="683"/>
        <w:rPr>
          <w:rFonts w:hAnsi="宋体"/>
          <w:color w:val="auto"/>
          <w:highlight w:val="none"/>
        </w:rPr>
      </w:pPr>
      <w:r>
        <w:rPr>
          <w:rFonts w:hAnsi="宋体" w:cs="Arial"/>
          <w:color w:val="auto"/>
          <w:highlight w:val="none"/>
        </w:rPr>
        <w:t>3</w:t>
      </w:r>
      <w:r>
        <w:rPr>
          <w:rFonts w:hint="eastAsia" w:hAnsi="宋体"/>
          <w:color w:val="auto"/>
          <w:highlight w:val="none"/>
        </w:rPr>
        <w:t>、全部声明和问题的回答及所附材料必须是真实的、准确的和完整的。</w:t>
      </w:r>
    </w:p>
    <w:p>
      <w:pPr>
        <w:pStyle w:val="17"/>
        <w:kinsoku w:val="0"/>
        <w:overflowPunct w:val="0"/>
        <w:spacing w:line="306" w:lineRule="exact"/>
        <w:ind w:left="683"/>
        <w:rPr>
          <w:rFonts w:hAnsi="宋体"/>
          <w:color w:val="auto"/>
          <w:highlight w:val="none"/>
        </w:rPr>
        <w:sectPr>
          <w:footerReference r:id="rId6" w:type="default"/>
          <w:pgSz w:w="11910" w:h="16840"/>
          <w:pgMar w:top="1340" w:right="560" w:bottom="1080" w:left="1160" w:header="879" w:footer="879" w:gutter="0"/>
          <w:cols w:space="720" w:num="1"/>
        </w:sectPr>
      </w:pPr>
    </w:p>
    <w:p>
      <w:pPr>
        <w:pStyle w:val="17"/>
        <w:kinsoku w:val="0"/>
        <w:overflowPunct w:val="0"/>
        <w:spacing w:before="7"/>
        <w:rPr>
          <w:rFonts w:hAnsi="宋体"/>
          <w:color w:val="auto"/>
          <w:sz w:val="19"/>
          <w:szCs w:val="19"/>
          <w:highlight w:val="none"/>
        </w:rPr>
      </w:pPr>
    </w:p>
    <w:p>
      <w:pPr>
        <w:pStyle w:val="17"/>
        <w:kinsoku w:val="0"/>
        <w:overflowPunct w:val="0"/>
        <w:spacing w:before="67"/>
        <w:ind w:left="541"/>
        <w:rPr>
          <w:rFonts w:hAnsi="宋体"/>
          <w:color w:val="auto"/>
          <w:highlight w:val="none"/>
        </w:rPr>
      </w:pPr>
      <w:r>
        <w:rPr>
          <w:rFonts w:hint="eastAsia" w:hAnsi="宋体"/>
          <w:color w:val="auto"/>
          <w:highlight w:val="none"/>
        </w:rPr>
        <w:t>响应文件封面（非实质性格式）</w:t>
      </w:r>
    </w:p>
    <w:p>
      <w:pPr>
        <w:pStyle w:val="17"/>
        <w:kinsoku w:val="0"/>
        <w:overflowPunct w:val="0"/>
        <w:spacing w:before="10"/>
        <w:rPr>
          <w:rFonts w:hAnsi="宋体"/>
          <w:color w:val="auto"/>
          <w:sz w:val="19"/>
          <w:szCs w:val="19"/>
          <w:highlight w:val="none"/>
        </w:rPr>
      </w:pPr>
    </w:p>
    <w:p>
      <w:pPr>
        <w:pStyle w:val="17"/>
        <w:tabs>
          <w:tab w:val="left" w:pos="1502"/>
          <w:tab w:val="left" w:pos="3005"/>
          <w:tab w:val="left" w:pos="4508"/>
        </w:tabs>
        <w:kinsoku w:val="0"/>
        <w:overflowPunct w:val="0"/>
        <w:spacing w:before="1"/>
        <w:ind w:right="153"/>
        <w:jc w:val="center"/>
        <w:rPr>
          <w:rFonts w:hAnsi="宋体"/>
          <w:color w:val="auto"/>
          <w:sz w:val="84"/>
          <w:szCs w:val="84"/>
          <w:highlight w:val="none"/>
        </w:rPr>
      </w:pPr>
      <w:r>
        <w:rPr>
          <w:rFonts w:hint="eastAsia" w:hAnsi="宋体"/>
          <w:color w:val="auto"/>
          <w:sz w:val="84"/>
          <w:szCs w:val="84"/>
          <w:highlight w:val="none"/>
        </w:rPr>
        <w:t>响</w:t>
      </w:r>
      <w:r>
        <w:rPr>
          <w:rFonts w:hAnsi="宋体"/>
          <w:color w:val="auto"/>
          <w:sz w:val="84"/>
          <w:szCs w:val="84"/>
          <w:highlight w:val="none"/>
        </w:rPr>
        <w:tab/>
      </w:r>
      <w:r>
        <w:rPr>
          <w:rFonts w:hint="eastAsia" w:hAnsi="宋体"/>
          <w:color w:val="auto"/>
          <w:sz w:val="84"/>
          <w:szCs w:val="84"/>
          <w:highlight w:val="none"/>
        </w:rPr>
        <w:t>应</w:t>
      </w:r>
      <w:r>
        <w:rPr>
          <w:rFonts w:hAnsi="宋体"/>
          <w:color w:val="auto"/>
          <w:sz w:val="84"/>
          <w:szCs w:val="84"/>
          <w:highlight w:val="none"/>
        </w:rPr>
        <w:tab/>
      </w:r>
      <w:r>
        <w:rPr>
          <w:rFonts w:hint="eastAsia" w:hAnsi="宋体"/>
          <w:color w:val="auto"/>
          <w:sz w:val="84"/>
          <w:szCs w:val="84"/>
          <w:highlight w:val="none"/>
        </w:rPr>
        <w:t>文</w:t>
      </w:r>
      <w:r>
        <w:rPr>
          <w:rFonts w:hAnsi="宋体"/>
          <w:color w:val="auto"/>
          <w:sz w:val="84"/>
          <w:szCs w:val="84"/>
          <w:highlight w:val="none"/>
        </w:rPr>
        <w:tab/>
      </w:r>
      <w:r>
        <w:rPr>
          <w:rFonts w:hint="eastAsia" w:hAnsi="宋体"/>
          <w:color w:val="auto"/>
          <w:sz w:val="84"/>
          <w:szCs w:val="84"/>
          <w:highlight w:val="none"/>
        </w:rPr>
        <w:t>件</w:t>
      </w:r>
    </w:p>
    <w:p>
      <w:pPr>
        <w:pStyle w:val="17"/>
        <w:kinsoku w:val="0"/>
        <w:overflowPunct w:val="0"/>
        <w:rPr>
          <w:rFonts w:hAnsi="宋体"/>
          <w:color w:val="auto"/>
          <w:sz w:val="106"/>
          <w:szCs w:val="106"/>
          <w:highlight w:val="none"/>
        </w:rPr>
      </w:pPr>
    </w:p>
    <w:p>
      <w:pPr>
        <w:pStyle w:val="17"/>
        <w:kinsoku w:val="0"/>
        <w:overflowPunct w:val="0"/>
        <w:spacing w:before="3"/>
        <w:ind w:left="1081"/>
        <w:rPr>
          <w:rFonts w:hAnsi="宋体"/>
          <w:color w:val="auto"/>
          <w:w w:val="110"/>
          <w:sz w:val="32"/>
          <w:szCs w:val="32"/>
          <w:highlight w:val="none"/>
        </w:rPr>
      </w:pPr>
      <w:r>
        <w:rPr>
          <w:rFonts w:hint="eastAsia" w:hAnsi="宋体"/>
          <w:color w:val="auto"/>
          <w:w w:val="110"/>
          <w:sz w:val="32"/>
          <w:szCs w:val="32"/>
          <w:highlight w:val="none"/>
        </w:rPr>
        <w:t>项目名称</w:t>
      </w:r>
      <w:r>
        <w:rPr>
          <w:rFonts w:hAnsi="宋体"/>
          <w:color w:val="auto"/>
          <w:w w:val="110"/>
          <w:sz w:val="32"/>
          <w:szCs w:val="32"/>
          <w:highlight w:val="none"/>
        </w:rPr>
        <w:t>:</w:t>
      </w:r>
    </w:p>
    <w:p>
      <w:pPr>
        <w:pStyle w:val="17"/>
        <w:kinsoku w:val="0"/>
        <w:overflowPunct w:val="0"/>
        <w:spacing w:before="3"/>
        <w:ind w:left="1081"/>
        <w:rPr>
          <w:rFonts w:hAnsi="宋体"/>
          <w:color w:val="auto"/>
          <w:w w:val="110"/>
          <w:sz w:val="32"/>
          <w:szCs w:val="32"/>
          <w:highlight w:val="none"/>
        </w:rPr>
      </w:pPr>
      <w:r>
        <w:rPr>
          <w:rFonts w:hint="eastAsia" w:hAnsi="宋体"/>
          <w:color w:val="auto"/>
          <w:w w:val="110"/>
          <w:sz w:val="32"/>
          <w:szCs w:val="32"/>
          <w:highlight w:val="none"/>
        </w:rPr>
        <w:t>项目编号</w:t>
      </w:r>
      <w:r>
        <w:rPr>
          <w:rFonts w:hAnsi="宋体" w:cs="Arial"/>
          <w:b/>
          <w:bCs/>
          <w:i/>
          <w:iCs/>
          <w:color w:val="auto"/>
          <w:w w:val="110"/>
          <w:sz w:val="32"/>
          <w:szCs w:val="32"/>
          <w:highlight w:val="none"/>
        </w:rPr>
        <w:t>/</w:t>
      </w:r>
      <w:r>
        <w:rPr>
          <w:rFonts w:hint="eastAsia" w:hAnsi="宋体"/>
          <w:color w:val="auto"/>
          <w:w w:val="110"/>
          <w:sz w:val="32"/>
          <w:szCs w:val="32"/>
          <w:highlight w:val="none"/>
        </w:rPr>
        <w:t>包号：</w:t>
      </w:r>
    </w:p>
    <w:p>
      <w:pPr>
        <w:pStyle w:val="17"/>
        <w:kinsoku w:val="0"/>
        <w:overflowPunct w:val="0"/>
        <w:rPr>
          <w:rFonts w:hAnsi="宋体"/>
          <w:color w:val="auto"/>
          <w:sz w:val="36"/>
          <w:szCs w:val="36"/>
          <w:highlight w:val="none"/>
        </w:rPr>
      </w:pPr>
    </w:p>
    <w:p>
      <w:pPr>
        <w:pStyle w:val="17"/>
        <w:kinsoku w:val="0"/>
        <w:overflowPunct w:val="0"/>
        <w:rPr>
          <w:rFonts w:hAnsi="宋体"/>
          <w:color w:val="auto"/>
          <w:sz w:val="36"/>
          <w:szCs w:val="36"/>
          <w:highlight w:val="none"/>
        </w:rPr>
      </w:pPr>
    </w:p>
    <w:p>
      <w:pPr>
        <w:pStyle w:val="17"/>
        <w:kinsoku w:val="0"/>
        <w:overflowPunct w:val="0"/>
        <w:rPr>
          <w:rFonts w:hAnsi="宋体"/>
          <w:color w:val="auto"/>
          <w:sz w:val="36"/>
          <w:szCs w:val="36"/>
          <w:highlight w:val="none"/>
        </w:rPr>
      </w:pPr>
    </w:p>
    <w:p>
      <w:pPr>
        <w:pStyle w:val="17"/>
        <w:kinsoku w:val="0"/>
        <w:overflowPunct w:val="0"/>
        <w:rPr>
          <w:rFonts w:hAnsi="宋体"/>
          <w:color w:val="auto"/>
          <w:sz w:val="36"/>
          <w:szCs w:val="36"/>
          <w:highlight w:val="none"/>
        </w:rPr>
      </w:pPr>
    </w:p>
    <w:p>
      <w:pPr>
        <w:pStyle w:val="17"/>
        <w:kinsoku w:val="0"/>
        <w:overflowPunct w:val="0"/>
        <w:rPr>
          <w:rFonts w:hAnsi="宋体"/>
          <w:color w:val="auto"/>
          <w:sz w:val="36"/>
          <w:szCs w:val="36"/>
          <w:highlight w:val="none"/>
        </w:rPr>
      </w:pPr>
    </w:p>
    <w:p>
      <w:pPr>
        <w:pStyle w:val="17"/>
        <w:kinsoku w:val="0"/>
        <w:overflowPunct w:val="0"/>
        <w:spacing w:before="1"/>
        <w:rPr>
          <w:rFonts w:hAnsi="宋体"/>
          <w:color w:val="auto"/>
          <w:sz w:val="53"/>
          <w:szCs w:val="53"/>
          <w:highlight w:val="none"/>
        </w:rPr>
      </w:pPr>
    </w:p>
    <w:p>
      <w:pPr>
        <w:pStyle w:val="17"/>
        <w:kinsoku w:val="0"/>
        <w:overflowPunct w:val="0"/>
        <w:ind w:left="1981"/>
        <w:rPr>
          <w:rFonts w:hAnsi="宋体"/>
          <w:color w:val="auto"/>
          <w:sz w:val="32"/>
          <w:szCs w:val="32"/>
          <w:highlight w:val="none"/>
        </w:rPr>
      </w:pPr>
      <w:r>
        <w:rPr>
          <w:rFonts w:hint="eastAsia" w:hAnsi="宋体"/>
          <w:color w:val="auto"/>
          <w:sz w:val="32"/>
          <w:szCs w:val="32"/>
          <w:highlight w:val="none"/>
        </w:rPr>
        <w:t>供应商名称：</w:t>
      </w:r>
    </w:p>
    <w:p>
      <w:pPr>
        <w:pStyle w:val="17"/>
        <w:kinsoku w:val="0"/>
        <w:overflowPunct w:val="0"/>
        <w:ind w:left="1981"/>
        <w:rPr>
          <w:rFonts w:hAnsi="宋体"/>
          <w:color w:val="auto"/>
          <w:sz w:val="32"/>
          <w:szCs w:val="32"/>
          <w:highlight w:val="none"/>
        </w:rPr>
        <w:sectPr>
          <w:pgSz w:w="11910" w:h="16840"/>
          <w:pgMar w:top="1340" w:right="560" w:bottom="1080" w:left="1160" w:header="879" w:footer="879" w:gutter="0"/>
          <w:cols w:space="720" w:num="1"/>
        </w:sectPr>
      </w:pPr>
    </w:p>
    <w:p>
      <w:pPr>
        <w:spacing w:line="360" w:lineRule="auto"/>
        <w:outlineLvl w:val="0"/>
        <w:rPr>
          <w:rFonts w:hAnsi="宋体"/>
          <w:color w:val="auto"/>
          <w:highlight w:val="none"/>
        </w:rPr>
      </w:pPr>
      <w:bookmarkStart w:id="83" w:name="_Toc149147717"/>
      <w:bookmarkStart w:id="84" w:name="_Toc149147562"/>
      <w:r>
        <w:rPr>
          <w:rFonts w:hint="eastAsia" w:hAnsi="宋体"/>
          <w:color w:val="auto"/>
          <w:highlight w:val="none"/>
        </w:rPr>
        <w:t>1</w:t>
      </w:r>
      <w:r>
        <w:rPr>
          <w:rFonts w:hAnsi="宋体"/>
          <w:color w:val="auto"/>
          <w:highlight w:val="none"/>
        </w:rPr>
        <w:t xml:space="preserve"> </w:t>
      </w:r>
      <w:r>
        <w:rPr>
          <w:rFonts w:hint="eastAsia" w:hAnsi="宋体"/>
          <w:color w:val="auto"/>
          <w:highlight w:val="none"/>
        </w:rPr>
        <w:t>满足《中华人民共和国政府采购法》第二十二条规定</w:t>
      </w:r>
      <w:bookmarkEnd w:id="83"/>
      <w:bookmarkEnd w:id="84"/>
    </w:p>
    <w:p>
      <w:pPr>
        <w:spacing w:line="360" w:lineRule="auto"/>
        <w:outlineLvl w:val="0"/>
        <w:rPr>
          <w:rFonts w:hAnsi="宋体"/>
          <w:color w:val="auto"/>
          <w:highlight w:val="none"/>
        </w:rPr>
      </w:pPr>
      <w:bookmarkStart w:id="85" w:name="_Toc149147563"/>
      <w:bookmarkStart w:id="86" w:name="_Toc149147718"/>
      <w:r>
        <w:rPr>
          <w:rFonts w:hint="eastAsia" w:hAnsi="宋体"/>
          <w:color w:val="auto"/>
          <w:highlight w:val="none"/>
        </w:rPr>
        <w:t>1</w:t>
      </w:r>
      <w:r>
        <w:rPr>
          <w:rFonts w:hAnsi="宋体"/>
          <w:color w:val="auto"/>
          <w:highlight w:val="none"/>
        </w:rPr>
        <w:t>-1</w:t>
      </w:r>
      <w:r>
        <w:rPr>
          <w:rFonts w:hint="eastAsia" w:hAnsi="宋体"/>
          <w:color w:val="auto"/>
          <w:highlight w:val="none"/>
        </w:rPr>
        <w:t>营业执照等证明文件</w:t>
      </w:r>
      <w:bookmarkEnd w:id="85"/>
      <w:bookmarkEnd w:id="86"/>
    </w:p>
    <w:p>
      <w:pPr>
        <w:pStyle w:val="69"/>
        <w:numPr>
          <w:ilvl w:val="1"/>
          <w:numId w:val="15"/>
        </w:numPr>
        <w:tabs>
          <w:tab w:val="left" w:pos="1053"/>
        </w:tabs>
        <w:kinsoku w:val="0"/>
        <w:overflowPunct w:val="0"/>
        <w:spacing w:before="159"/>
        <w:rPr>
          <w:rFonts w:hAnsi="宋体"/>
          <w:color w:val="auto"/>
          <w:highlight w:val="none"/>
        </w:rPr>
        <w:sectPr>
          <w:pgSz w:w="11910" w:h="16840"/>
          <w:pgMar w:top="1340" w:right="560" w:bottom="1080" w:left="1160" w:header="879" w:footer="879" w:gutter="0"/>
          <w:cols w:space="720" w:num="1"/>
        </w:sectPr>
      </w:pPr>
    </w:p>
    <w:p>
      <w:pPr>
        <w:spacing w:line="360" w:lineRule="auto"/>
        <w:outlineLvl w:val="0"/>
        <w:rPr>
          <w:rFonts w:hAnsi="宋体"/>
          <w:color w:val="auto"/>
          <w:highlight w:val="none"/>
        </w:rPr>
      </w:pPr>
      <w:bookmarkStart w:id="87" w:name="_Toc149147719"/>
      <w:bookmarkStart w:id="88" w:name="_Toc149147564"/>
      <w:r>
        <w:rPr>
          <w:rFonts w:hint="eastAsia" w:hAnsi="宋体"/>
          <w:color w:val="auto"/>
          <w:highlight w:val="none"/>
        </w:rPr>
        <w:t>1</w:t>
      </w:r>
      <w:r>
        <w:rPr>
          <w:rFonts w:hAnsi="宋体"/>
          <w:color w:val="auto"/>
          <w:highlight w:val="none"/>
        </w:rPr>
        <w:t>-2</w:t>
      </w:r>
      <w:r>
        <w:rPr>
          <w:rFonts w:hint="eastAsia" w:hAnsi="宋体"/>
          <w:color w:val="auto"/>
          <w:highlight w:val="none"/>
        </w:rPr>
        <w:t>供应商资格声明书</w:t>
      </w:r>
      <w:bookmarkEnd w:id="87"/>
      <w:bookmarkEnd w:id="88"/>
    </w:p>
    <w:p>
      <w:pPr>
        <w:pStyle w:val="17"/>
        <w:rPr>
          <w:rFonts w:hAnsi="宋体"/>
          <w:color w:val="auto"/>
          <w:highlight w:val="none"/>
        </w:rPr>
      </w:pPr>
      <w:r>
        <w:rPr>
          <w:rFonts w:hAnsi="宋体"/>
          <w:color w:val="auto"/>
          <w:highlight w:val="none"/>
        </w:rPr>
        <w:t xml:space="preserve"> </w:t>
      </w:r>
      <w:r>
        <w:rPr>
          <w:rFonts w:hAnsi="宋体"/>
          <w:color w:val="auto"/>
          <w:highlight w:val="none"/>
        </w:rPr>
        <w:br w:type="column"/>
      </w:r>
    </w:p>
    <w:p>
      <w:pPr>
        <w:pStyle w:val="17"/>
        <w:ind w:firstLine="720" w:firstLineChars="300"/>
        <w:rPr>
          <w:rFonts w:hAnsi="宋体"/>
          <w:color w:val="auto"/>
          <w:sz w:val="22"/>
          <w:szCs w:val="22"/>
          <w:highlight w:val="none"/>
        </w:rPr>
      </w:pPr>
      <w:r>
        <w:rPr>
          <w:rFonts w:hint="eastAsia" w:hAnsi="宋体"/>
          <w:color w:val="auto"/>
          <w:highlight w:val="none"/>
        </w:rPr>
        <w:t>供应商资格声明书</w:t>
      </w:r>
    </w:p>
    <w:p>
      <w:pPr>
        <w:pStyle w:val="3"/>
        <w:kinsoku w:val="0"/>
        <w:overflowPunct w:val="0"/>
        <w:spacing w:before="0"/>
        <w:ind w:left="541"/>
        <w:jc w:val="left"/>
        <w:rPr>
          <w:rFonts w:hAnsi="宋体"/>
          <w:color w:val="auto"/>
          <w:highlight w:val="none"/>
        </w:rPr>
        <w:sectPr>
          <w:pgSz w:w="11910" w:h="16840"/>
          <w:pgMar w:top="1340" w:right="560" w:bottom="1080" w:left="1160" w:header="879" w:footer="879" w:gutter="0"/>
          <w:cols w:equalWidth="0" w:num="2">
            <w:col w:w="3013" w:space="78"/>
            <w:col w:w="7099"/>
          </w:cols>
        </w:sectPr>
      </w:pPr>
    </w:p>
    <w:p>
      <w:pPr>
        <w:pStyle w:val="17"/>
        <w:kinsoku w:val="0"/>
        <w:overflowPunct w:val="0"/>
        <w:spacing w:before="12"/>
        <w:rPr>
          <w:rFonts w:hAnsi="宋体"/>
          <w:color w:val="auto"/>
          <w:sz w:val="27"/>
          <w:szCs w:val="27"/>
          <w:highlight w:val="none"/>
        </w:rPr>
      </w:pPr>
    </w:p>
    <w:p>
      <w:pPr>
        <w:pStyle w:val="17"/>
        <w:kinsoku w:val="0"/>
        <w:overflowPunct w:val="0"/>
        <w:spacing w:before="66"/>
        <w:ind w:left="541"/>
        <w:rPr>
          <w:rFonts w:hAnsi="宋体"/>
          <w:color w:val="auto"/>
          <w:highlight w:val="none"/>
        </w:rPr>
      </w:pPr>
      <w:r>
        <w:rPr>
          <w:rFonts w:hint="eastAsia" w:hAnsi="宋体"/>
          <w:color w:val="auto"/>
          <w:highlight w:val="none"/>
        </w:rPr>
        <w:t>致：</w:t>
      </w:r>
      <w:r>
        <w:rPr>
          <w:rFonts w:hint="eastAsia" w:hAnsi="宋体"/>
          <w:color w:val="auto"/>
          <w:highlight w:val="none"/>
          <w:u w:val="single" w:color="000000"/>
        </w:rPr>
        <w:t>北京北咨招标有限公司</w:t>
      </w:r>
    </w:p>
    <w:p>
      <w:pPr>
        <w:pStyle w:val="17"/>
        <w:kinsoku w:val="0"/>
        <w:overflowPunct w:val="0"/>
        <w:spacing w:before="161"/>
        <w:ind w:left="1021"/>
        <w:rPr>
          <w:rFonts w:hAnsi="宋体"/>
          <w:color w:val="auto"/>
          <w:highlight w:val="none"/>
        </w:rPr>
      </w:pPr>
      <w:r>
        <w:rPr>
          <w:rFonts w:hint="eastAsia" w:hAnsi="宋体"/>
          <w:color w:val="auto"/>
          <w:highlight w:val="none"/>
        </w:rPr>
        <w:t>在参与本次项目磋商中，我单位承诺：</w:t>
      </w:r>
    </w:p>
    <w:p>
      <w:pPr>
        <w:pStyle w:val="17"/>
        <w:kinsoku w:val="0"/>
        <w:overflowPunct w:val="0"/>
        <w:spacing w:before="158"/>
        <w:ind w:left="954"/>
        <w:rPr>
          <w:rFonts w:hAnsi="宋体"/>
          <w:color w:val="auto"/>
          <w:highlight w:val="none"/>
        </w:rPr>
      </w:pPr>
      <w:r>
        <w:rPr>
          <w:rFonts w:hint="eastAsia" w:hAnsi="宋体"/>
          <w:color w:val="auto"/>
          <w:highlight w:val="none"/>
        </w:rPr>
        <w:t>（一）具有良好的商业信誉和健全的财务会计制度；</w:t>
      </w:r>
    </w:p>
    <w:p>
      <w:pPr>
        <w:pStyle w:val="17"/>
        <w:kinsoku w:val="0"/>
        <w:overflowPunct w:val="0"/>
        <w:spacing w:before="158"/>
        <w:ind w:left="954"/>
        <w:rPr>
          <w:rFonts w:hAnsi="宋体"/>
          <w:color w:val="auto"/>
          <w:highlight w:val="none"/>
        </w:rPr>
      </w:pPr>
      <w:r>
        <w:rPr>
          <w:rFonts w:hint="eastAsia" w:hAnsi="宋体"/>
          <w:color w:val="auto"/>
          <w:highlight w:val="none"/>
        </w:rPr>
        <w:t>（二）具有履行合同所必需的设备和专业技术能力；</w:t>
      </w:r>
    </w:p>
    <w:p>
      <w:pPr>
        <w:pStyle w:val="17"/>
        <w:kinsoku w:val="0"/>
        <w:overflowPunct w:val="0"/>
        <w:spacing w:before="160"/>
        <w:ind w:left="954"/>
        <w:rPr>
          <w:rFonts w:hAnsi="宋体"/>
          <w:color w:val="auto"/>
          <w:highlight w:val="none"/>
        </w:rPr>
      </w:pPr>
      <w:r>
        <w:rPr>
          <w:rFonts w:hint="eastAsia" w:hAnsi="宋体"/>
          <w:color w:val="auto"/>
          <w:highlight w:val="none"/>
        </w:rPr>
        <w:t>（三）有依法缴纳税收和社会保障资金的良好记录；</w:t>
      </w:r>
    </w:p>
    <w:p>
      <w:pPr>
        <w:pStyle w:val="17"/>
        <w:kinsoku w:val="0"/>
        <w:overflowPunct w:val="0"/>
        <w:spacing w:before="158" w:line="364" w:lineRule="auto"/>
        <w:ind w:left="1674" w:right="573" w:hanging="720"/>
        <w:jc w:val="both"/>
        <w:rPr>
          <w:rFonts w:hAnsi="宋体"/>
          <w:color w:val="auto"/>
          <w:highlight w:val="none"/>
        </w:rPr>
      </w:pPr>
      <w:r>
        <w:rPr>
          <w:rFonts w:hint="eastAsia" w:hAnsi="宋体"/>
          <w:color w:val="auto"/>
          <w:highlight w:val="none"/>
        </w:rPr>
        <w:t>（四）参加政府采购活动前三年内，在经营活动中没有重大违法记录（</w:t>
      </w:r>
      <w:r>
        <w:rPr>
          <w:rFonts w:hint="eastAsia" w:hAnsi="宋体"/>
          <w:color w:val="auto"/>
          <w:spacing w:val="-3"/>
          <w:highlight w:val="none"/>
        </w:rPr>
        <w:t>重大违法记</w:t>
      </w:r>
      <w:r>
        <w:rPr>
          <w:rFonts w:hint="eastAsia" w:hAnsi="宋体"/>
          <w:color w:val="auto"/>
          <w:spacing w:val="-1"/>
          <w:highlight w:val="none"/>
        </w:rPr>
        <w:t>录指因违法经营受到刑事处罚或者责令停产停业、吊销许可证或者执照、较大数额罚款等行政处罚，不包括因违法经营被禁止在一定期限内参加政府采</w:t>
      </w:r>
      <w:r>
        <w:rPr>
          <w:rFonts w:hint="eastAsia" w:hAnsi="宋体"/>
          <w:color w:val="auto"/>
          <w:highlight w:val="none"/>
        </w:rPr>
        <w:t>购活动，但期限已经届满的情形</w:t>
      </w:r>
      <w:r>
        <w:rPr>
          <w:rFonts w:hint="eastAsia" w:hAnsi="宋体"/>
          <w:color w:val="auto"/>
          <w:spacing w:val="-120"/>
          <w:highlight w:val="none"/>
        </w:rPr>
        <w:t>）</w:t>
      </w:r>
      <w:r>
        <w:rPr>
          <w:rFonts w:hint="eastAsia" w:hAnsi="宋体"/>
          <w:color w:val="auto"/>
          <w:highlight w:val="none"/>
        </w:rPr>
        <w:t>；</w:t>
      </w:r>
    </w:p>
    <w:p>
      <w:pPr>
        <w:pStyle w:val="17"/>
        <w:kinsoku w:val="0"/>
        <w:overflowPunct w:val="0"/>
        <w:spacing w:line="362" w:lineRule="auto"/>
        <w:ind w:left="1674" w:right="573" w:hanging="720"/>
        <w:rPr>
          <w:rFonts w:hAnsi="宋体"/>
          <w:color w:val="auto"/>
          <w:highlight w:val="none"/>
        </w:rPr>
      </w:pPr>
      <w:r>
        <w:rPr>
          <w:rFonts w:hint="eastAsia" w:hAnsi="宋体"/>
          <w:color w:val="auto"/>
          <w:highlight w:val="none"/>
        </w:rPr>
        <w:t>（五）</w:t>
      </w:r>
      <w:r>
        <w:rPr>
          <w:rFonts w:hint="eastAsia" w:hAnsi="宋体"/>
          <w:color w:val="auto"/>
          <w:spacing w:val="-1"/>
          <w:highlight w:val="none"/>
        </w:rPr>
        <w:t>我单位不属于政府采购法律、行政法规规定的公益一类事业单位、或使用事</w:t>
      </w:r>
      <w:r>
        <w:rPr>
          <w:rFonts w:hint="eastAsia" w:hAnsi="宋体"/>
          <w:color w:val="auto"/>
          <w:highlight w:val="none"/>
        </w:rPr>
        <w:t>业编制且由财政拨款保障的群团组织（仅适用于政府购买服务项目</w:t>
      </w:r>
      <w:r>
        <w:rPr>
          <w:rFonts w:hint="eastAsia" w:hAnsi="宋体"/>
          <w:color w:val="auto"/>
          <w:spacing w:val="-120"/>
          <w:highlight w:val="none"/>
        </w:rPr>
        <w:t>）</w:t>
      </w:r>
      <w:r>
        <w:rPr>
          <w:rFonts w:hint="eastAsia" w:hAnsi="宋体"/>
          <w:color w:val="auto"/>
          <w:highlight w:val="none"/>
        </w:rPr>
        <w:t>；</w:t>
      </w:r>
    </w:p>
    <w:p>
      <w:pPr>
        <w:pStyle w:val="17"/>
        <w:kinsoku w:val="0"/>
        <w:overflowPunct w:val="0"/>
        <w:spacing w:before="5" w:line="364" w:lineRule="auto"/>
        <w:ind w:left="1674" w:right="573" w:hanging="720"/>
        <w:jc w:val="both"/>
        <w:rPr>
          <w:rFonts w:hAnsi="宋体"/>
          <w:color w:val="auto"/>
          <w:highlight w:val="none"/>
        </w:rPr>
      </w:pPr>
      <w:r>
        <w:rPr>
          <w:rFonts w:hint="eastAsia" w:hAnsi="宋体"/>
          <w:color w:val="auto"/>
          <w:highlight w:val="none"/>
        </w:rPr>
        <w:t>（六）</w:t>
      </w:r>
      <w:r>
        <w:rPr>
          <w:rFonts w:hint="eastAsia" w:hAnsi="宋体"/>
          <w:color w:val="auto"/>
          <w:spacing w:val="-1"/>
          <w:highlight w:val="none"/>
        </w:rPr>
        <w:t>我单位不存在为采购项目提供整体设计、规范编制或者项目管理、监理、检</w:t>
      </w:r>
      <w:r>
        <w:rPr>
          <w:rFonts w:hint="eastAsia" w:hAnsi="宋体"/>
          <w:color w:val="auto"/>
          <w:highlight w:val="none"/>
        </w:rPr>
        <w:t>测等服务后，再参加该采购项目的其他采购活动的情形（</w:t>
      </w:r>
      <w:r>
        <w:rPr>
          <w:rFonts w:hint="eastAsia" w:hAnsi="宋体"/>
          <w:color w:val="auto"/>
          <w:spacing w:val="-2"/>
          <w:highlight w:val="none"/>
        </w:rPr>
        <w:t>单一来源采购项目</w:t>
      </w:r>
      <w:r>
        <w:rPr>
          <w:rFonts w:hint="eastAsia" w:hAnsi="宋体"/>
          <w:color w:val="auto"/>
          <w:highlight w:val="none"/>
        </w:rPr>
        <w:t>除外</w:t>
      </w:r>
      <w:r>
        <w:rPr>
          <w:rFonts w:hint="eastAsia" w:hAnsi="宋体"/>
          <w:color w:val="auto"/>
          <w:spacing w:val="-120"/>
          <w:highlight w:val="none"/>
        </w:rPr>
        <w:t>）</w:t>
      </w:r>
      <w:r>
        <w:rPr>
          <w:rFonts w:hint="eastAsia" w:hAnsi="宋体"/>
          <w:color w:val="auto"/>
          <w:highlight w:val="none"/>
        </w:rPr>
        <w:t>；</w:t>
      </w:r>
    </w:p>
    <w:p>
      <w:pPr>
        <w:pStyle w:val="17"/>
        <w:kinsoku w:val="0"/>
        <w:overflowPunct w:val="0"/>
        <w:spacing w:line="364" w:lineRule="auto"/>
        <w:ind w:left="1674" w:right="573" w:hanging="720"/>
        <w:jc w:val="both"/>
        <w:rPr>
          <w:rFonts w:hAnsi="宋体"/>
          <w:color w:val="auto"/>
          <w:highlight w:val="none"/>
        </w:rPr>
      </w:pPr>
      <w:r>
        <w:rPr>
          <w:rFonts w:hint="eastAsia" w:hAnsi="宋体"/>
          <w:color w:val="auto"/>
          <w:highlight w:val="none"/>
        </w:rPr>
        <w:t>（七）与我单位存在</w:t>
      </w:r>
      <w:r>
        <w:rPr>
          <w:rFonts w:hAnsi="宋体" w:cs="Arial"/>
          <w:color w:val="auto"/>
          <w:w w:val="135"/>
          <w:highlight w:val="none"/>
        </w:rPr>
        <w:t>“</w:t>
      </w:r>
      <w:r>
        <w:rPr>
          <w:rFonts w:hint="eastAsia" w:hAnsi="宋体"/>
          <w:color w:val="auto"/>
          <w:highlight w:val="none"/>
        </w:rPr>
        <w:t>单位负责人为同一人或者存在直接控股、管理关系</w:t>
      </w:r>
      <w:r>
        <w:rPr>
          <w:rFonts w:hAnsi="宋体" w:cs="Arial"/>
          <w:color w:val="auto"/>
          <w:w w:val="135"/>
          <w:highlight w:val="none"/>
        </w:rPr>
        <w:t>”</w:t>
      </w:r>
      <w:r>
        <w:rPr>
          <w:rFonts w:hint="eastAsia" w:hAnsi="宋体"/>
          <w:color w:val="auto"/>
          <w:spacing w:val="-4"/>
          <w:highlight w:val="none"/>
        </w:rPr>
        <w:t>的其他法</w:t>
      </w:r>
      <w:r>
        <w:rPr>
          <w:rFonts w:hint="eastAsia" w:hAnsi="宋体"/>
          <w:color w:val="auto"/>
          <w:highlight w:val="none"/>
        </w:rPr>
        <w:t>人单位信息如下（</w:t>
      </w:r>
      <w:r>
        <w:rPr>
          <w:rFonts w:hint="eastAsia" w:hAnsi="宋体"/>
          <w:color w:val="auto"/>
          <w:spacing w:val="-1"/>
          <w:highlight w:val="none"/>
        </w:rPr>
        <w:t>如有，不论其是否参加同一合同项下的政府采购活动均须</w:t>
      </w:r>
      <w:r>
        <w:rPr>
          <w:rFonts w:hint="eastAsia" w:hAnsi="宋体"/>
          <w:color w:val="auto"/>
          <w:highlight w:val="none"/>
        </w:rPr>
        <w:t>填写</w:t>
      </w:r>
      <w:r>
        <w:rPr>
          <w:rFonts w:hint="eastAsia" w:hAnsi="宋体"/>
          <w:color w:val="auto"/>
          <w:spacing w:val="-120"/>
          <w:highlight w:val="none"/>
        </w:rPr>
        <w:t>）</w:t>
      </w:r>
      <w:r>
        <w:rPr>
          <w:rFonts w:hint="eastAsia" w:hAnsi="宋体"/>
          <w:color w:val="auto"/>
          <w:highlight w:val="none"/>
        </w:rPr>
        <w:t>：</w:t>
      </w:r>
    </w:p>
    <w:tbl>
      <w:tblPr>
        <w:tblStyle w:val="44"/>
        <w:tblW w:w="8500" w:type="dxa"/>
        <w:tblInd w:w="832" w:type="dxa"/>
        <w:tblLayout w:type="fixed"/>
        <w:tblCellMar>
          <w:top w:w="0" w:type="dxa"/>
          <w:left w:w="0" w:type="dxa"/>
          <w:bottom w:w="0" w:type="dxa"/>
          <w:right w:w="0" w:type="dxa"/>
        </w:tblCellMar>
      </w:tblPr>
      <w:tblGrid>
        <w:gridCol w:w="950"/>
        <w:gridCol w:w="4574"/>
        <w:gridCol w:w="2976"/>
      </w:tblGrid>
      <w:tr>
        <w:tblPrEx>
          <w:tblCellMar>
            <w:top w:w="0" w:type="dxa"/>
            <w:left w:w="0" w:type="dxa"/>
            <w:bottom w:w="0" w:type="dxa"/>
            <w:right w:w="0" w:type="dxa"/>
          </w:tblCellMar>
        </w:tblPrEx>
        <w:trPr>
          <w:trHeight w:val="430" w:hRule="atLeast"/>
        </w:trPr>
        <w:tc>
          <w:tcPr>
            <w:tcW w:w="950"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57"/>
              <w:ind w:left="215" w:right="205"/>
              <w:jc w:val="center"/>
              <w:rPr>
                <w:rFonts w:hAnsi="宋体"/>
                <w:color w:val="auto"/>
                <w:highlight w:val="none"/>
              </w:rPr>
            </w:pPr>
            <w:r>
              <w:rPr>
                <w:rFonts w:hint="eastAsia" w:hAnsi="宋体"/>
                <w:color w:val="auto"/>
                <w:highlight w:val="none"/>
              </w:rPr>
              <w:t>序号</w:t>
            </w:r>
          </w:p>
        </w:tc>
        <w:tc>
          <w:tcPr>
            <w:tcW w:w="4574"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57"/>
              <w:ind w:left="1787" w:right="1776"/>
              <w:jc w:val="center"/>
              <w:rPr>
                <w:rFonts w:hAnsi="宋体"/>
                <w:color w:val="auto"/>
                <w:highlight w:val="none"/>
              </w:rPr>
            </w:pPr>
            <w:r>
              <w:rPr>
                <w:rFonts w:hint="eastAsia" w:hAnsi="宋体"/>
                <w:color w:val="auto"/>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57"/>
              <w:ind w:left="988" w:right="977"/>
              <w:jc w:val="center"/>
              <w:rPr>
                <w:rFonts w:hAnsi="宋体"/>
                <w:color w:val="auto"/>
                <w:highlight w:val="none"/>
              </w:rPr>
            </w:pPr>
            <w:r>
              <w:rPr>
                <w:rFonts w:hint="eastAsia" w:hAnsi="宋体"/>
                <w:color w:val="auto"/>
                <w:highlight w:val="none"/>
              </w:rPr>
              <w:t>相互关系</w:t>
            </w:r>
          </w:p>
        </w:tc>
      </w:tr>
      <w:tr>
        <w:tblPrEx>
          <w:tblCellMar>
            <w:top w:w="0" w:type="dxa"/>
            <w:left w:w="0" w:type="dxa"/>
            <w:bottom w:w="0" w:type="dxa"/>
            <w:right w:w="0" w:type="dxa"/>
          </w:tblCellMar>
        </w:tblPrEx>
        <w:trPr>
          <w:trHeight w:val="429" w:hRule="atLeast"/>
        </w:trPr>
        <w:tc>
          <w:tcPr>
            <w:tcW w:w="950"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66"/>
              <w:ind w:left="9"/>
              <w:jc w:val="center"/>
              <w:rPr>
                <w:rFonts w:hAnsi="宋体" w:cs="Arial"/>
                <w:color w:val="auto"/>
                <w:w w:val="114"/>
                <w:highlight w:val="none"/>
              </w:rPr>
            </w:pPr>
            <w:r>
              <w:rPr>
                <w:rFonts w:hAnsi="宋体" w:cs="Arial"/>
                <w:color w:val="auto"/>
                <w:w w:val="114"/>
                <w:highlight w:val="none"/>
              </w:rPr>
              <w:t>1</w:t>
            </w:r>
          </w:p>
        </w:tc>
        <w:tc>
          <w:tcPr>
            <w:tcW w:w="4574"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9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r>
        <w:tblPrEx>
          <w:tblCellMar>
            <w:top w:w="0" w:type="dxa"/>
            <w:left w:w="0" w:type="dxa"/>
            <w:bottom w:w="0" w:type="dxa"/>
            <w:right w:w="0" w:type="dxa"/>
          </w:tblCellMar>
        </w:tblPrEx>
        <w:trPr>
          <w:trHeight w:val="430" w:hRule="atLeast"/>
        </w:trPr>
        <w:tc>
          <w:tcPr>
            <w:tcW w:w="950"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67"/>
              <w:ind w:left="9"/>
              <w:jc w:val="center"/>
              <w:rPr>
                <w:rFonts w:hAnsi="宋体" w:cs="Arial"/>
                <w:color w:val="auto"/>
                <w:w w:val="114"/>
                <w:highlight w:val="none"/>
              </w:rPr>
            </w:pPr>
            <w:r>
              <w:rPr>
                <w:rFonts w:hAnsi="宋体" w:cs="Arial"/>
                <w:color w:val="auto"/>
                <w:w w:val="114"/>
                <w:highlight w:val="none"/>
              </w:rPr>
              <w:t>2</w:t>
            </w:r>
          </w:p>
        </w:tc>
        <w:tc>
          <w:tcPr>
            <w:tcW w:w="4574"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9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r>
        <w:tblPrEx>
          <w:tblCellMar>
            <w:top w:w="0" w:type="dxa"/>
            <w:left w:w="0" w:type="dxa"/>
            <w:bottom w:w="0" w:type="dxa"/>
            <w:right w:w="0" w:type="dxa"/>
          </w:tblCellMar>
        </w:tblPrEx>
        <w:trPr>
          <w:trHeight w:val="430" w:hRule="atLeast"/>
        </w:trPr>
        <w:tc>
          <w:tcPr>
            <w:tcW w:w="950"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67"/>
              <w:ind w:left="10"/>
              <w:jc w:val="center"/>
              <w:rPr>
                <w:rFonts w:hAnsi="宋体" w:cs="Arial"/>
                <w:color w:val="auto"/>
                <w:highlight w:val="none"/>
              </w:rPr>
            </w:pPr>
            <w:r>
              <w:rPr>
                <w:rFonts w:hAnsi="宋体" w:cs="Arial"/>
                <w:color w:val="auto"/>
                <w:highlight w:val="none"/>
              </w:rPr>
              <w:t>…</w:t>
            </w:r>
          </w:p>
        </w:tc>
        <w:tc>
          <w:tcPr>
            <w:tcW w:w="4574"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9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bl>
    <w:p>
      <w:pPr>
        <w:pStyle w:val="17"/>
        <w:kinsoku w:val="0"/>
        <w:overflowPunct w:val="0"/>
        <w:spacing w:before="10"/>
        <w:rPr>
          <w:rFonts w:hAnsi="宋体"/>
          <w:color w:val="auto"/>
          <w:sz w:val="18"/>
          <w:szCs w:val="18"/>
          <w:highlight w:val="none"/>
        </w:rPr>
      </w:pPr>
    </w:p>
    <w:p>
      <w:pPr>
        <w:pStyle w:val="17"/>
        <w:kinsoku w:val="0"/>
        <w:overflowPunct w:val="0"/>
        <w:ind w:left="1021"/>
        <w:rPr>
          <w:rFonts w:hAnsi="宋体"/>
          <w:color w:val="auto"/>
          <w:highlight w:val="none"/>
        </w:rPr>
      </w:pPr>
      <w:r>
        <w:rPr>
          <w:rFonts w:hint="eastAsia" w:hAnsi="宋体"/>
          <w:color w:val="auto"/>
          <w:highlight w:val="none"/>
        </w:rPr>
        <w:t>上述声明真实有效，否则我方负全部责任。</w:t>
      </w:r>
    </w:p>
    <w:p>
      <w:pPr>
        <w:pStyle w:val="17"/>
        <w:kinsoku w:val="0"/>
        <w:overflowPunct w:val="0"/>
        <w:rPr>
          <w:rFonts w:hAnsi="宋体"/>
          <w:color w:val="auto"/>
          <w:sz w:val="35"/>
          <w:szCs w:val="35"/>
          <w:highlight w:val="none"/>
        </w:rPr>
      </w:pPr>
    </w:p>
    <w:p>
      <w:pPr>
        <w:pStyle w:val="17"/>
        <w:tabs>
          <w:tab w:val="left" w:pos="7573"/>
          <w:tab w:val="left" w:pos="8293"/>
          <w:tab w:val="left" w:pos="9013"/>
          <w:tab w:val="left" w:pos="9306"/>
        </w:tabs>
        <w:kinsoku w:val="0"/>
        <w:overflowPunct w:val="0"/>
        <w:spacing w:line="384" w:lineRule="auto"/>
        <w:ind w:left="6373" w:right="878" w:hanging="600"/>
        <w:rPr>
          <w:rFonts w:hAnsi="宋体"/>
          <w:color w:val="auto"/>
          <w:highlight w:val="none"/>
        </w:rPr>
      </w:pPr>
      <w:r>
        <w:rPr>
          <w:rFonts w:hint="eastAsia" w:hAnsi="宋体"/>
          <w:color w:val="auto"/>
          <w:highlight w:val="none"/>
        </w:rPr>
        <w:t>供应商名称（加盖公章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Ansi="宋体" w:cs="Times New Roman"/>
          <w:color w:val="auto"/>
          <w:highlight w:val="none"/>
          <w:u w:val="single" w:color="000000"/>
        </w:rPr>
        <w:tab/>
      </w:r>
      <w:r>
        <w:rPr>
          <w:rFonts w:hAnsi="宋体" w:cs="Times New Roman"/>
          <w:color w:val="auto"/>
          <w:highlight w:val="none"/>
          <w:u w:val="single" w:color="000000"/>
        </w:rPr>
        <w:t xml:space="preserve"> </w:t>
      </w:r>
      <w:r>
        <w:rPr>
          <w:rFonts w:hint="eastAsia" w:hAnsi="宋体"/>
          <w:color w:val="auto"/>
          <w:highlight w:val="none"/>
        </w:rPr>
        <w:t>日期：</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月</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日</w:t>
      </w:r>
    </w:p>
    <w:p>
      <w:pPr>
        <w:pStyle w:val="17"/>
        <w:kinsoku w:val="0"/>
        <w:overflowPunct w:val="0"/>
        <w:spacing w:line="281" w:lineRule="exact"/>
        <w:ind w:left="541"/>
        <w:rPr>
          <w:rFonts w:hAnsi="宋体"/>
          <w:color w:val="auto"/>
          <w:highlight w:val="none"/>
        </w:rPr>
      </w:pPr>
      <w:r>
        <w:rPr>
          <w:rFonts w:hint="eastAsia" w:hAnsi="宋体"/>
          <w:color w:val="auto"/>
          <w:highlight w:val="none"/>
        </w:rPr>
        <w:t>说明：供应商承诺不实的，依据《政府采购法》第七十七条</w:t>
      </w:r>
      <w:r>
        <w:rPr>
          <w:rFonts w:hAnsi="宋体" w:cs="Arial"/>
          <w:color w:val="auto"/>
          <w:w w:val="135"/>
          <w:highlight w:val="none"/>
        </w:rPr>
        <w:t>“</w:t>
      </w:r>
      <w:r>
        <w:rPr>
          <w:rFonts w:hint="eastAsia" w:hAnsi="宋体"/>
          <w:color w:val="auto"/>
          <w:highlight w:val="none"/>
        </w:rPr>
        <w:t>提供虚假材料谋取中标、</w:t>
      </w:r>
    </w:p>
    <w:p>
      <w:pPr>
        <w:pStyle w:val="17"/>
        <w:kinsoku w:val="0"/>
        <w:overflowPunct w:val="0"/>
        <w:spacing w:before="161"/>
        <w:ind w:left="541"/>
        <w:rPr>
          <w:rFonts w:hAnsi="宋体"/>
          <w:color w:val="auto"/>
          <w:w w:val="105"/>
          <w:highlight w:val="none"/>
        </w:rPr>
      </w:pPr>
      <w:r>
        <w:rPr>
          <w:rFonts w:hint="eastAsia" w:hAnsi="宋体"/>
          <w:color w:val="auto"/>
          <w:highlight w:val="none"/>
        </w:rPr>
        <w:t>成交的”有关规定予以处理</w:t>
      </w:r>
      <w:r>
        <w:rPr>
          <w:rFonts w:hint="eastAsia" w:hAnsi="宋体"/>
          <w:color w:val="auto"/>
          <w:w w:val="105"/>
          <w:highlight w:val="none"/>
        </w:rPr>
        <w:t>。</w:t>
      </w:r>
    </w:p>
    <w:p>
      <w:pPr>
        <w:pStyle w:val="17"/>
        <w:kinsoku w:val="0"/>
        <w:overflowPunct w:val="0"/>
        <w:spacing w:before="161"/>
        <w:ind w:left="541"/>
        <w:rPr>
          <w:rFonts w:hAnsi="宋体"/>
          <w:color w:val="auto"/>
          <w:w w:val="105"/>
          <w:highlight w:val="none"/>
        </w:rPr>
        <w:sectPr>
          <w:type w:val="continuous"/>
          <w:pgSz w:w="11910" w:h="16840"/>
          <w:pgMar w:top="1380" w:right="560" w:bottom="280" w:left="1160" w:header="720" w:footer="720" w:gutter="0"/>
          <w:cols w:equalWidth="0" w:num="1">
            <w:col w:w="10190"/>
          </w:cols>
        </w:sectPr>
      </w:pPr>
    </w:p>
    <w:p>
      <w:pPr>
        <w:spacing w:line="360" w:lineRule="auto"/>
        <w:ind w:left="540" w:firstLine="220" w:firstLineChars="100"/>
        <w:outlineLvl w:val="0"/>
        <w:rPr>
          <w:rFonts w:hAnsi="宋体"/>
          <w:color w:val="auto"/>
          <w:highlight w:val="none"/>
        </w:rPr>
      </w:pPr>
      <w:bookmarkStart w:id="89" w:name="_Toc149147720"/>
      <w:bookmarkStart w:id="90" w:name="_Toc149147565"/>
      <w:r>
        <w:rPr>
          <w:rFonts w:hint="eastAsia" w:hAnsi="宋体"/>
          <w:color w:val="auto"/>
          <w:highlight w:val="none"/>
        </w:rPr>
        <w:t>2</w:t>
      </w:r>
      <w:r>
        <w:rPr>
          <w:rFonts w:hAnsi="宋体"/>
          <w:color w:val="auto"/>
          <w:highlight w:val="none"/>
        </w:rPr>
        <w:t xml:space="preserve"> </w:t>
      </w:r>
      <w:r>
        <w:rPr>
          <w:rFonts w:hint="eastAsia" w:hAnsi="宋体"/>
          <w:color w:val="auto"/>
          <w:highlight w:val="none"/>
        </w:rPr>
        <w:t>落实政府采购政策需满足的资格要求</w:t>
      </w:r>
      <w:bookmarkEnd w:id="89"/>
      <w:bookmarkEnd w:id="90"/>
    </w:p>
    <w:p>
      <w:pPr>
        <w:spacing w:line="360" w:lineRule="auto"/>
        <w:ind w:left="540" w:firstLine="220" w:firstLineChars="100"/>
        <w:outlineLvl w:val="0"/>
        <w:rPr>
          <w:rFonts w:hAnsi="宋体"/>
          <w:color w:val="auto"/>
          <w:highlight w:val="none"/>
        </w:rPr>
      </w:pPr>
      <w:bookmarkStart w:id="91" w:name="_Toc149147721"/>
      <w:bookmarkStart w:id="92" w:name="_Toc149147566"/>
      <w:r>
        <w:rPr>
          <w:rFonts w:hint="eastAsia" w:hAnsi="宋体"/>
          <w:color w:val="auto"/>
          <w:highlight w:val="none"/>
        </w:rPr>
        <w:t>2</w:t>
      </w:r>
      <w:r>
        <w:rPr>
          <w:rFonts w:hAnsi="宋体"/>
          <w:color w:val="auto"/>
          <w:highlight w:val="none"/>
        </w:rPr>
        <w:t xml:space="preserve">-1 </w:t>
      </w:r>
      <w:r>
        <w:rPr>
          <w:rFonts w:hint="eastAsia" w:hAnsi="宋体"/>
          <w:color w:val="auto"/>
          <w:highlight w:val="none"/>
        </w:rPr>
        <w:t>中小企业证明文件说明：</w:t>
      </w:r>
      <w:bookmarkEnd w:id="91"/>
      <w:bookmarkEnd w:id="92"/>
    </w:p>
    <w:p>
      <w:pPr>
        <w:pStyle w:val="69"/>
        <w:numPr>
          <w:ilvl w:val="0"/>
          <w:numId w:val="16"/>
        </w:numPr>
        <w:tabs>
          <w:tab w:val="left" w:pos="1177"/>
        </w:tabs>
        <w:kinsoku w:val="0"/>
        <w:overflowPunct w:val="0"/>
        <w:spacing w:before="1" w:line="364" w:lineRule="auto"/>
        <w:ind w:right="570" w:firstLine="0"/>
        <w:jc w:val="both"/>
        <w:rPr>
          <w:rFonts w:hAnsi="宋体"/>
          <w:color w:val="auto"/>
          <w:highlight w:val="none"/>
        </w:rPr>
      </w:pPr>
      <w:r>
        <w:rPr>
          <w:rFonts w:hint="eastAsia" w:hAnsi="宋体"/>
          <w:color w:val="auto"/>
          <w:highlight w:val="none"/>
        </w:rPr>
        <w:t>如本项目（包）不专门面向中小企业预留采购份额，供应商无须提供《中小企业</w:t>
      </w:r>
      <w:r>
        <w:rPr>
          <w:rFonts w:hint="eastAsia" w:hAnsi="宋体"/>
          <w:color w:val="auto"/>
          <w:spacing w:val="-7"/>
          <w:highlight w:val="none"/>
        </w:rPr>
        <w:t>声明函》或《残疾人福利性单位声明函》或由省级以上监狱管理局、戒毒管理局</w:t>
      </w:r>
      <w:r>
        <w:rPr>
          <w:rFonts w:hint="eastAsia" w:hAnsi="宋体"/>
          <w:color w:val="auto"/>
          <w:spacing w:val="-3"/>
          <w:highlight w:val="none"/>
        </w:rPr>
        <w:t>（</w:t>
      </w:r>
      <w:r>
        <w:rPr>
          <w:rFonts w:hint="eastAsia" w:hAnsi="宋体"/>
          <w:color w:val="auto"/>
          <w:spacing w:val="-7"/>
          <w:highlight w:val="none"/>
        </w:rPr>
        <w:t>含新</w:t>
      </w:r>
      <w:r>
        <w:rPr>
          <w:rFonts w:hint="eastAsia" w:hAnsi="宋体"/>
          <w:color w:val="auto"/>
          <w:highlight w:val="none"/>
        </w:rPr>
        <w:t>疆生产建设兵团</w:t>
      </w:r>
      <w:r>
        <w:rPr>
          <w:rFonts w:hint="eastAsia" w:hAnsi="宋体"/>
          <w:color w:val="auto"/>
          <w:spacing w:val="-24"/>
          <w:highlight w:val="none"/>
        </w:rPr>
        <w:t>）</w:t>
      </w:r>
      <w:r>
        <w:rPr>
          <w:rFonts w:hint="eastAsia" w:hAnsi="宋体"/>
          <w:color w:val="auto"/>
          <w:spacing w:val="-3"/>
          <w:highlight w:val="none"/>
        </w:rPr>
        <w:t>出具的属于监狱企业的证明文件；当供应商拟享受中小企业扶持政策</w:t>
      </w:r>
      <w:r>
        <w:rPr>
          <w:rFonts w:hint="eastAsia" w:hAnsi="宋体"/>
          <w:color w:val="auto"/>
          <w:highlight w:val="none"/>
        </w:rPr>
        <w:t>时，仍应提供上述证明文件，否则不享受相关中小企业扶持政策。</w:t>
      </w:r>
    </w:p>
    <w:p>
      <w:pPr>
        <w:pStyle w:val="69"/>
        <w:numPr>
          <w:ilvl w:val="0"/>
          <w:numId w:val="16"/>
        </w:numPr>
        <w:tabs>
          <w:tab w:val="left" w:pos="1177"/>
        </w:tabs>
        <w:kinsoku w:val="0"/>
        <w:overflowPunct w:val="0"/>
        <w:spacing w:line="364" w:lineRule="auto"/>
        <w:ind w:right="570" w:firstLine="0"/>
        <w:jc w:val="both"/>
        <w:rPr>
          <w:rFonts w:hAnsi="宋体"/>
          <w:color w:val="auto"/>
          <w:highlight w:val="none"/>
        </w:rPr>
      </w:pPr>
      <w:r>
        <w:rPr>
          <w:rFonts w:hint="eastAsia" w:hAnsi="宋体"/>
          <w:color w:val="auto"/>
          <w:highlight w:val="none"/>
        </w:rPr>
        <w:t>如本项目（包）专门面向中小企业采购，响应文件中须提供《中小企业声明函》</w:t>
      </w:r>
      <w:r>
        <w:rPr>
          <w:rFonts w:hint="eastAsia" w:hAnsi="宋体"/>
          <w:color w:val="auto"/>
          <w:spacing w:val="-9"/>
          <w:highlight w:val="none"/>
        </w:rPr>
        <w:t>或《残疾人福利性单位声明函》，或提供由省级以上监狱管理局、戒毒管理局</w:t>
      </w:r>
      <w:r>
        <w:rPr>
          <w:rFonts w:hint="eastAsia" w:hAnsi="宋体"/>
          <w:color w:val="auto"/>
          <w:highlight w:val="none"/>
        </w:rPr>
        <w:t>（含新疆生产建设兵团）出具的属于监狱企业的证明文件。</w:t>
      </w:r>
    </w:p>
    <w:p>
      <w:pPr>
        <w:pStyle w:val="69"/>
        <w:numPr>
          <w:ilvl w:val="0"/>
          <w:numId w:val="16"/>
        </w:numPr>
        <w:tabs>
          <w:tab w:val="left" w:pos="1177"/>
        </w:tabs>
        <w:kinsoku w:val="0"/>
        <w:overflowPunct w:val="0"/>
        <w:spacing w:line="364" w:lineRule="auto"/>
        <w:ind w:right="570" w:firstLine="0"/>
        <w:jc w:val="both"/>
        <w:rPr>
          <w:rFonts w:hAnsi="宋体"/>
          <w:color w:val="auto"/>
          <w:highlight w:val="none"/>
        </w:rPr>
      </w:pPr>
      <w:r>
        <w:rPr>
          <w:rFonts w:hint="eastAsia" w:hAnsi="宋体"/>
          <w:color w:val="auto"/>
          <w:highlight w:val="none"/>
        </w:rPr>
        <w:t>如本项目（包）预留部分采购项目预算专门面向中小企业采购，且要求获得采购</w:t>
      </w:r>
      <w:r>
        <w:rPr>
          <w:rFonts w:hint="eastAsia" w:hAnsi="宋体"/>
          <w:color w:val="auto"/>
          <w:spacing w:val="3"/>
          <w:highlight w:val="none"/>
        </w:rPr>
        <w:t>合同的供应商将采购项目中的一定比例分包给一家或者多家中小企业或要求供应商以</w:t>
      </w:r>
      <w:r>
        <w:rPr>
          <w:rFonts w:hint="eastAsia" w:hAnsi="宋体"/>
          <w:color w:val="auto"/>
          <w:spacing w:val="-4"/>
          <w:highlight w:val="none"/>
        </w:rPr>
        <w:t>联合体形式参加采购活动，响应文件中须提供《中小企业声明函》或《残疾人福利性单</w:t>
      </w:r>
      <w:r>
        <w:rPr>
          <w:rFonts w:hint="eastAsia" w:hAnsi="宋体"/>
          <w:color w:val="auto"/>
          <w:spacing w:val="-5"/>
          <w:highlight w:val="none"/>
        </w:rPr>
        <w:t>位声明函》或由省级以上监狱管理局、戒毒管理局</w:t>
      </w:r>
      <w:r>
        <w:rPr>
          <w:rFonts w:hint="eastAsia" w:hAnsi="宋体"/>
          <w:color w:val="auto"/>
          <w:highlight w:val="none"/>
        </w:rPr>
        <w:t>（含新疆生产建设兵团</w:t>
      </w:r>
      <w:r>
        <w:rPr>
          <w:rFonts w:hint="eastAsia" w:hAnsi="宋体"/>
          <w:color w:val="auto"/>
          <w:spacing w:val="-12"/>
          <w:highlight w:val="none"/>
        </w:rPr>
        <w:t>）</w:t>
      </w:r>
      <w:r>
        <w:rPr>
          <w:rFonts w:hint="eastAsia" w:hAnsi="宋体"/>
          <w:color w:val="auto"/>
          <w:spacing w:val="-4"/>
          <w:highlight w:val="none"/>
        </w:rPr>
        <w:t>出具的属于</w:t>
      </w:r>
      <w:r>
        <w:rPr>
          <w:rFonts w:hint="eastAsia" w:hAnsi="宋体"/>
          <w:color w:val="auto"/>
          <w:highlight w:val="none"/>
        </w:rPr>
        <w:t>监狱企业的证明文件。</w:t>
      </w:r>
    </w:p>
    <w:p>
      <w:pPr>
        <w:pStyle w:val="69"/>
        <w:numPr>
          <w:ilvl w:val="0"/>
          <w:numId w:val="16"/>
        </w:numPr>
        <w:tabs>
          <w:tab w:val="left" w:pos="1174"/>
        </w:tabs>
        <w:kinsoku w:val="0"/>
        <w:overflowPunct w:val="0"/>
        <w:spacing w:line="364" w:lineRule="auto"/>
        <w:ind w:right="570" w:firstLine="0"/>
        <w:jc w:val="both"/>
        <w:rPr>
          <w:rFonts w:hAnsi="宋体"/>
          <w:color w:val="auto"/>
          <w:spacing w:val="-11"/>
          <w:highlight w:val="none"/>
        </w:rPr>
      </w:pPr>
      <w:r>
        <w:rPr>
          <w:rFonts w:hint="eastAsia" w:hAnsi="宋体"/>
          <w:color w:val="auto"/>
          <w:spacing w:val="-5"/>
          <w:highlight w:val="none"/>
        </w:rPr>
        <w:t>中小企业声明函填写注意事项</w:t>
      </w:r>
      <w:r>
        <w:rPr>
          <w:rFonts w:hAnsi="宋体"/>
          <w:color w:val="auto"/>
          <w:spacing w:val="-5"/>
          <w:highlight w:val="none"/>
        </w:rPr>
        <w:t xml:space="preserve"> </w:t>
      </w:r>
      <w:r>
        <w:rPr>
          <w:rFonts w:hAnsi="宋体" w:cs="Arial"/>
          <w:color w:val="auto"/>
          <w:w w:val="114"/>
          <w:highlight w:val="none"/>
        </w:rPr>
        <w:t>1</w:t>
      </w:r>
      <w:r>
        <w:rPr>
          <w:rFonts w:hint="eastAsia" w:hAnsi="宋体"/>
          <w:color w:val="auto"/>
          <w:spacing w:val="-137"/>
          <w:highlight w:val="none"/>
        </w:rPr>
        <w:t>）</w:t>
      </w:r>
      <w:r>
        <w:rPr>
          <w:rFonts w:hint="eastAsia" w:hAnsi="宋体"/>
          <w:color w:val="auto"/>
          <w:spacing w:val="-5"/>
          <w:highlight w:val="none"/>
        </w:rPr>
        <w:t>《中小企业声明函》由参加政府采购活动的供应</w:t>
      </w:r>
      <w:r>
        <w:rPr>
          <w:rFonts w:hint="eastAsia" w:hAnsi="宋体"/>
          <w:color w:val="auto"/>
          <w:spacing w:val="-11"/>
          <w:highlight w:val="none"/>
        </w:rPr>
        <w:t>商出具。联合体参与的，《中小企业声明函》可由牵头人出具。</w:t>
      </w:r>
    </w:p>
    <w:p>
      <w:pPr>
        <w:pStyle w:val="69"/>
        <w:numPr>
          <w:ilvl w:val="0"/>
          <w:numId w:val="17"/>
        </w:numPr>
        <w:tabs>
          <w:tab w:val="left" w:pos="934"/>
        </w:tabs>
        <w:kinsoku w:val="0"/>
        <w:overflowPunct w:val="0"/>
        <w:spacing w:line="364" w:lineRule="auto"/>
        <w:ind w:right="571" w:firstLine="0"/>
        <w:jc w:val="both"/>
        <w:rPr>
          <w:rFonts w:hAnsi="宋体"/>
          <w:color w:val="auto"/>
          <w:highlight w:val="none"/>
        </w:rPr>
      </w:pPr>
      <w:r>
        <w:rPr>
          <w:rFonts w:hint="eastAsia" w:hAnsi="宋体"/>
          <w:color w:val="auto"/>
          <w:highlight w:val="none"/>
        </w:rPr>
        <w:t>对于联合体中由中小企业承担的部分，或者分包给中小企业的部分，必须全部由中</w:t>
      </w:r>
      <w:r>
        <w:rPr>
          <w:rFonts w:hint="eastAsia" w:hAnsi="宋体"/>
          <w:color w:val="auto"/>
          <w:spacing w:val="-7"/>
          <w:highlight w:val="none"/>
        </w:rPr>
        <w:t>小企业制造、承建或者承接。供应商应当在声明函</w:t>
      </w:r>
      <w:r>
        <w:rPr>
          <w:rFonts w:hAnsi="宋体" w:cs="Arial"/>
          <w:color w:val="auto"/>
          <w:w w:val="135"/>
          <w:highlight w:val="none"/>
        </w:rPr>
        <w:t>“</w:t>
      </w:r>
      <w:r>
        <w:rPr>
          <w:rFonts w:hint="eastAsia" w:hAnsi="宋体"/>
          <w:color w:val="auto"/>
          <w:highlight w:val="none"/>
        </w:rPr>
        <w:t>标的名称</w:t>
      </w:r>
      <w:r>
        <w:rPr>
          <w:rFonts w:hAnsi="宋体" w:cs="Arial"/>
          <w:color w:val="auto"/>
          <w:w w:val="135"/>
          <w:highlight w:val="none"/>
        </w:rPr>
        <w:t>”</w:t>
      </w:r>
      <w:r>
        <w:rPr>
          <w:rFonts w:hint="eastAsia" w:hAnsi="宋体"/>
          <w:color w:val="auto"/>
          <w:spacing w:val="-2"/>
          <w:highlight w:val="none"/>
        </w:rPr>
        <w:t>部分标明联合体中中小企</w:t>
      </w:r>
      <w:r>
        <w:rPr>
          <w:rFonts w:hint="eastAsia" w:hAnsi="宋体"/>
          <w:color w:val="auto"/>
          <w:highlight w:val="none"/>
        </w:rPr>
        <w:t>业承担的具体内容或者中小企业的具体分包内容。</w:t>
      </w:r>
    </w:p>
    <w:p>
      <w:pPr>
        <w:pStyle w:val="69"/>
        <w:numPr>
          <w:ilvl w:val="0"/>
          <w:numId w:val="17"/>
        </w:numPr>
        <w:tabs>
          <w:tab w:val="left" w:pos="934"/>
        </w:tabs>
        <w:kinsoku w:val="0"/>
        <w:overflowPunct w:val="0"/>
        <w:spacing w:line="362" w:lineRule="auto"/>
        <w:ind w:right="573" w:firstLine="0"/>
        <w:rPr>
          <w:rFonts w:hAnsi="宋体"/>
          <w:color w:val="auto"/>
          <w:highlight w:val="none"/>
        </w:rPr>
      </w:pPr>
      <w:r>
        <w:rPr>
          <w:rFonts w:hint="eastAsia" w:hAnsi="宋体"/>
          <w:color w:val="auto"/>
          <w:highlight w:val="none"/>
        </w:rPr>
        <w:t>对于多标的采购项目，供应商应充分、准确地了解所提供货物的制造企业、提供服务的承接企业信息。对相关情况了解不清楚的，不建议填报本声明函。</w:t>
      </w:r>
    </w:p>
    <w:p>
      <w:pPr>
        <w:pStyle w:val="17"/>
        <w:kinsoku w:val="0"/>
        <w:overflowPunct w:val="0"/>
        <w:spacing w:before="3"/>
        <w:rPr>
          <w:rFonts w:hAnsi="宋体"/>
          <w:color w:val="auto"/>
          <w:sz w:val="32"/>
          <w:szCs w:val="32"/>
          <w:highlight w:val="none"/>
        </w:rPr>
      </w:pPr>
    </w:p>
    <w:p>
      <w:pPr>
        <w:pStyle w:val="69"/>
        <w:numPr>
          <w:ilvl w:val="0"/>
          <w:numId w:val="16"/>
        </w:numPr>
        <w:tabs>
          <w:tab w:val="left" w:pos="1177"/>
        </w:tabs>
        <w:kinsoku w:val="0"/>
        <w:overflowPunct w:val="0"/>
        <w:spacing w:line="364" w:lineRule="auto"/>
        <w:ind w:right="475" w:firstLine="0"/>
        <w:jc w:val="both"/>
        <w:rPr>
          <w:rFonts w:hAnsi="宋体"/>
          <w:color w:val="auto"/>
          <w:spacing w:val="-1"/>
          <w:highlight w:val="none"/>
        </w:rPr>
      </w:pPr>
      <w:r>
        <w:rPr>
          <w:rFonts w:hint="eastAsia" w:hAnsi="宋体"/>
          <w:color w:val="auto"/>
          <w:highlight w:val="none"/>
        </w:rPr>
        <w:t>温馨提示：为方便广大中小企业识别企业规模类型，工业和信息化部组织开发了</w:t>
      </w:r>
      <w:r>
        <w:rPr>
          <w:rFonts w:hint="eastAsia" w:hAnsi="宋体"/>
          <w:color w:val="auto"/>
          <w:spacing w:val="-3"/>
          <w:highlight w:val="none"/>
        </w:rPr>
        <w:t>中小企业规模类型自测小程序，在国务院客户端和工业和信息化部网站上均有链接，供</w:t>
      </w:r>
      <w:r>
        <w:rPr>
          <w:rFonts w:hint="eastAsia" w:hAnsi="宋体"/>
          <w:color w:val="auto"/>
          <w:spacing w:val="-5"/>
          <w:highlight w:val="none"/>
        </w:rPr>
        <w:t>应商填写所属的行业和指标数据可自动生成企业规模类型测试结果。本项目中小企业划</w:t>
      </w:r>
      <w:r>
        <w:rPr>
          <w:rFonts w:hint="eastAsia" w:hAnsi="宋体"/>
          <w:color w:val="auto"/>
          <w:spacing w:val="-11"/>
          <w:highlight w:val="none"/>
        </w:rPr>
        <w:t>分标准所属行业详见第二章《供应商须知资料表》，如在该程序中未找到本项目文件规</w:t>
      </w:r>
      <w:r>
        <w:rPr>
          <w:rFonts w:hint="eastAsia" w:hAnsi="宋体"/>
          <w:color w:val="auto"/>
          <w:spacing w:val="-14"/>
          <w:highlight w:val="none"/>
        </w:rPr>
        <w:t>定的中小企业划分标准所属行业，则按照《关于印发中小企业划型标准规定的通知</w:t>
      </w:r>
      <w:r>
        <w:rPr>
          <w:rFonts w:hint="eastAsia" w:hAnsi="宋体"/>
          <w:color w:val="auto"/>
          <w:highlight w:val="none"/>
        </w:rPr>
        <w:t>（工信部联企业﹝</w:t>
      </w:r>
      <w:r>
        <w:rPr>
          <w:rFonts w:hAnsi="宋体" w:cs="Arial"/>
          <w:color w:val="auto"/>
          <w:highlight w:val="none"/>
        </w:rPr>
        <w:t>2011</w:t>
      </w:r>
      <w:r>
        <w:rPr>
          <w:rFonts w:hint="eastAsia" w:hAnsi="宋体"/>
          <w:color w:val="auto"/>
          <w:highlight w:val="none"/>
        </w:rPr>
        <w:t>﹞</w:t>
      </w:r>
      <w:r>
        <w:rPr>
          <w:rFonts w:hAnsi="宋体" w:cs="Arial"/>
          <w:color w:val="auto"/>
          <w:highlight w:val="none"/>
        </w:rPr>
        <w:t>300</w:t>
      </w:r>
      <w:r>
        <w:rPr>
          <w:rFonts w:hAnsi="宋体" w:cs="Arial"/>
          <w:color w:val="auto"/>
          <w:spacing w:val="19"/>
          <w:highlight w:val="none"/>
        </w:rPr>
        <w:t xml:space="preserve"> </w:t>
      </w:r>
      <w:r>
        <w:rPr>
          <w:rFonts w:hint="eastAsia" w:hAnsi="宋体"/>
          <w:color w:val="auto"/>
          <w:highlight w:val="none"/>
        </w:rPr>
        <w:t>号</w:t>
      </w:r>
      <w:r>
        <w:rPr>
          <w:rFonts w:hint="eastAsia" w:hAnsi="宋体"/>
          <w:color w:val="auto"/>
          <w:spacing w:val="-120"/>
          <w:highlight w:val="none"/>
        </w:rPr>
        <w:t>）</w:t>
      </w:r>
      <w:r>
        <w:rPr>
          <w:rFonts w:hint="eastAsia" w:hAnsi="宋体"/>
          <w:color w:val="auto"/>
          <w:spacing w:val="-1"/>
          <w:highlight w:val="none"/>
        </w:rPr>
        <w:t>》及本项目文件规定的中小企业划分标准所属行业执行。</w:t>
      </w:r>
    </w:p>
    <w:p>
      <w:pPr>
        <w:pStyle w:val="69"/>
        <w:numPr>
          <w:ilvl w:val="0"/>
          <w:numId w:val="16"/>
        </w:numPr>
        <w:tabs>
          <w:tab w:val="left" w:pos="1177"/>
        </w:tabs>
        <w:kinsoku w:val="0"/>
        <w:overflowPunct w:val="0"/>
        <w:spacing w:line="364" w:lineRule="auto"/>
        <w:ind w:right="475" w:firstLine="0"/>
        <w:jc w:val="both"/>
        <w:rPr>
          <w:rFonts w:hAnsi="宋体"/>
          <w:color w:val="auto"/>
          <w:spacing w:val="-1"/>
          <w:highlight w:val="none"/>
        </w:rPr>
        <w:sectPr>
          <w:pgSz w:w="11910" w:h="16840"/>
          <w:pgMar w:top="1340" w:right="560" w:bottom="1080" w:left="1160" w:header="879" w:footer="879" w:gutter="0"/>
          <w:cols w:space="720" w:num="1"/>
        </w:sectPr>
      </w:pPr>
    </w:p>
    <w:p>
      <w:pPr>
        <w:spacing w:line="360" w:lineRule="auto"/>
        <w:ind w:left="540" w:firstLine="220" w:firstLineChars="100"/>
        <w:outlineLvl w:val="0"/>
        <w:rPr>
          <w:rFonts w:hAnsi="宋体"/>
          <w:color w:val="auto"/>
          <w:highlight w:val="none"/>
        </w:rPr>
      </w:pPr>
      <w:bookmarkStart w:id="93" w:name="_Toc149147722"/>
      <w:bookmarkStart w:id="94" w:name="_Toc149147567"/>
      <w:r>
        <w:rPr>
          <w:rFonts w:hint="eastAsia" w:hAnsi="宋体"/>
          <w:color w:val="auto"/>
          <w:highlight w:val="none"/>
        </w:rPr>
        <w:t>2</w:t>
      </w:r>
      <w:r>
        <w:rPr>
          <w:rFonts w:hAnsi="宋体"/>
          <w:color w:val="auto"/>
          <w:highlight w:val="none"/>
        </w:rPr>
        <w:t>-1-1</w:t>
      </w:r>
      <w:r>
        <w:rPr>
          <w:rFonts w:hint="eastAsia" w:hAnsi="宋体"/>
          <w:color w:val="auto"/>
          <w:highlight w:val="none"/>
        </w:rPr>
        <w:t>中小企业声明函及残疾人福利性单位声明函格式</w:t>
      </w:r>
      <w:bookmarkEnd w:id="93"/>
      <w:bookmarkEnd w:id="94"/>
    </w:p>
    <w:p>
      <w:pPr>
        <w:pStyle w:val="17"/>
        <w:kinsoku w:val="0"/>
        <w:overflowPunct w:val="0"/>
        <w:rPr>
          <w:rFonts w:hAnsi="宋体"/>
          <w:color w:val="auto"/>
          <w:sz w:val="23"/>
          <w:szCs w:val="23"/>
          <w:highlight w:val="none"/>
        </w:rPr>
      </w:pPr>
    </w:p>
    <w:p>
      <w:pPr>
        <w:pStyle w:val="17"/>
        <w:kinsoku w:val="0"/>
        <w:overflowPunct w:val="0"/>
        <w:spacing w:before="7"/>
        <w:rPr>
          <w:rFonts w:hAnsi="宋体"/>
          <w:color w:val="auto"/>
          <w:sz w:val="20"/>
          <w:szCs w:val="20"/>
          <w:highlight w:val="none"/>
        </w:rPr>
      </w:pPr>
    </w:p>
    <w:p>
      <w:pPr>
        <w:pStyle w:val="3"/>
        <w:kinsoku w:val="0"/>
        <w:overflowPunct w:val="0"/>
        <w:spacing w:before="49"/>
        <w:ind w:right="26"/>
        <w:rPr>
          <w:rFonts w:hAnsi="宋体"/>
          <w:color w:val="auto"/>
          <w:highlight w:val="none"/>
        </w:rPr>
      </w:pPr>
      <w:bookmarkStart w:id="95" w:name="_Toc149147723"/>
      <w:bookmarkStart w:id="96" w:name="_Toc149147568"/>
      <w:r>
        <w:rPr>
          <w:rFonts w:hint="eastAsia" w:hAnsi="宋体"/>
          <w:color w:val="auto"/>
          <w:highlight w:val="none"/>
        </w:rPr>
        <w:t>中小企业声明函（工程、服务）格式</w:t>
      </w:r>
      <w:bookmarkEnd w:id="95"/>
      <w:bookmarkEnd w:id="96"/>
    </w:p>
    <w:p>
      <w:pPr>
        <w:pStyle w:val="17"/>
        <w:kinsoku w:val="0"/>
        <w:overflowPunct w:val="0"/>
        <w:spacing w:before="6"/>
        <w:rPr>
          <w:rFonts w:hAnsi="宋体"/>
          <w:color w:val="auto"/>
          <w:sz w:val="37"/>
          <w:szCs w:val="37"/>
          <w:highlight w:val="none"/>
        </w:rPr>
      </w:pPr>
    </w:p>
    <w:p>
      <w:pPr>
        <w:pStyle w:val="17"/>
        <w:kinsoku w:val="0"/>
        <w:overflowPunct w:val="0"/>
        <w:spacing w:line="364" w:lineRule="auto"/>
        <w:ind w:left="541" w:right="499" w:firstLine="504"/>
        <w:rPr>
          <w:rFonts w:hAnsi="宋体"/>
          <w:color w:val="auto"/>
          <w:spacing w:val="10"/>
          <w:highlight w:val="none"/>
        </w:rPr>
      </w:pPr>
      <w:r>
        <w:rPr>
          <w:rFonts w:hint="eastAsia" w:hAnsi="宋体"/>
          <w:color w:val="auto"/>
          <w:spacing w:val="3"/>
          <w:highlight w:val="none"/>
        </w:rPr>
        <w:t>本公司</w:t>
      </w:r>
      <w:r>
        <w:rPr>
          <w:rFonts w:hint="eastAsia" w:hAnsi="宋体"/>
          <w:color w:val="auto"/>
          <w:spacing w:val="12"/>
          <w:highlight w:val="none"/>
        </w:rPr>
        <w:t>（联合体</w:t>
      </w:r>
      <w:r>
        <w:rPr>
          <w:rFonts w:hint="eastAsia" w:hAnsi="宋体"/>
          <w:color w:val="auto"/>
          <w:spacing w:val="-12"/>
          <w:highlight w:val="none"/>
        </w:rPr>
        <w:t>）</w:t>
      </w:r>
      <w:r>
        <w:rPr>
          <w:rFonts w:hint="eastAsia" w:hAnsi="宋体"/>
          <w:color w:val="auto"/>
          <w:spacing w:val="5"/>
          <w:highlight w:val="none"/>
        </w:rPr>
        <w:t>郑重声明，根据《政府采购促进中小企业发展管理办法</w:t>
      </w:r>
      <w:r>
        <w:rPr>
          <w:rFonts w:hint="eastAsia" w:hAnsi="宋体"/>
          <w:color w:val="auto"/>
          <w:spacing w:val="-139"/>
          <w:highlight w:val="none"/>
        </w:rPr>
        <w:t>》</w:t>
      </w:r>
      <w:r>
        <w:rPr>
          <w:rFonts w:hint="eastAsia" w:hAnsi="宋体"/>
          <w:color w:val="auto"/>
          <w:spacing w:val="12"/>
          <w:highlight w:val="none"/>
        </w:rPr>
        <w:t>（</w:t>
      </w:r>
      <w:r>
        <w:rPr>
          <w:rFonts w:hint="eastAsia" w:hAnsi="宋体"/>
          <w:color w:val="auto"/>
          <w:highlight w:val="none"/>
        </w:rPr>
        <w:t>财</w:t>
      </w:r>
      <w:r>
        <w:rPr>
          <w:rFonts w:hint="eastAsia" w:hAnsi="宋体"/>
          <w:color w:val="auto"/>
          <w:spacing w:val="12"/>
          <w:highlight w:val="none"/>
        </w:rPr>
        <w:t>库</w:t>
      </w:r>
      <w:r>
        <w:rPr>
          <w:rFonts w:hint="eastAsia" w:hAnsi="宋体"/>
          <w:color w:val="auto"/>
          <w:spacing w:val="5"/>
          <w:highlight w:val="none"/>
        </w:rPr>
        <w:t>﹝</w:t>
      </w:r>
      <w:r>
        <w:rPr>
          <w:rFonts w:hAnsi="宋体" w:cs="Arial"/>
          <w:color w:val="auto"/>
          <w:spacing w:val="5"/>
          <w:highlight w:val="none"/>
        </w:rPr>
        <w:t>2020</w:t>
      </w:r>
      <w:r>
        <w:rPr>
          <w:rFonts w:hint="eastAsia" w:hAnsi="宋体"/>
          <w:color w:val="auto"/>
          <w:spacing w:val="5"/>
          <w:highlight w:val="none"/>
        </w:rPr>
        <w:t>﹞</w:t>
      </w:r>
      <w:r>
        <w:rPr>
          <w:rFonts w:hAnsi="宋体" w:cs="Arial"/>
          <w:color w:val="auto"/>
          <w:spacing w:val="5"/>
          <w:highlight w:val="none"/>
        </w:rPr>
        <w:t xml:space="preserve">46 </w:t>
      </w:r>
      <w:r>
        <w:rPr>
          <w:rFonts w:hint="eastAsia" w:hAnsi="宋体"/>
          <w:color w:val="auto"/>
          <w:spacing w:val="12"/>
          <w:highlight w:val="none"/>
        </w:rPr>
        <w:t>号）的规定，本公司（联合体）参加（单位名称）的</w:t>
      </w:r>
      <w:r>
        <w:rPr>
          <w:rFonts w:hint="eastAsia" w:hAnsi="宋体"/>
          <w:color w:val="auto"/>
          <w:spacing w:val="14"/>
          <w:highlight w:val="none"/>
        </w:rPr>
        <w:t>（</w:t>
      </w:r>
      <w:r>
        <w:rPr>
          <w:rFonts w:hint="eastAsia" w:hAnsi="宋体"/>
          <w:color w:val="auto"/>
          <w:spacing w:val="12"/>
          <w:highlight w:val="none"/>
        </w:rPr>
        <w:t>项目名称</w:t>
      </w:r>
      <w:r>
        <w:rPr>
          <w:rFonts w:hint="eastAsia" w:hAnsi="宋体"/>
          <w:color w:val="auto"/>
          <w:highlight w:val="none"/>
        </w:rPr>
        <w:t>）</w:t>
      </w:r>
      <w:r>
        <w:rPr>
          <w:rFonts w:hAnsi="宋体"/>
          <w:color w:val="auto"/>
          <w:highlight w:val="none"/>
        </w:rPr>
        <w:t xml:space="preserve"> </w:t>
      </w:r>
      <w:r>
        <w:rPr>
          <w:rFonts w:hint="eastAsia" w:hAnsi="宋体"/>
          <w:color w:val="auto"/>
          <w:spacing w:val="12"/>
          <w:highlight w:val="none"/>
        </w:rPr>
        <w:t>采购活动，工程的施工单位全部为符合政策要求的中小企业（</w:t>
      </w:r>
      <w:r>
        <w:rPr>
          <w:rFonts w:hint="eastAsia" w:hAnsi="宋体"/>
          <w:color w:val="auto"/>
          <w:spacing w:val="10"/>
          <w:highlight w:val="none"/>
        </w:rPr>
        <w:t>或者：服务全部由符</w:t>
      </w:r>
      <w:r>
        <w:rPr>
          <w:rFonts w:hint="eastAsia" w:hAnsi="宋体"/>
          <w:color w:val="auto"/>
          <w:spacing w:val="12"/>
          <w:highlight w:val="none"/>
        </w:rPr>
        <w:t>合政策要求的中小企业承接</w:t>
      </w:r>
      <w:r>
        <w:rPr>
          <w:rFonts w:hint="eastAsia" w:hAnsi="宋体"/>
          <w:color w:val="auto"/>
          <w:spacing w:val="-115"/>
          <w:highlight w:val="none"/>
        </w:rPr>
        <w:t>）</w:t>
      </w:r>
      <w:r>
        <w:rPr>
          <w:rFonts w:hint="eastAsia" w:hAnsi="宋体"/>
          <w:color w:val="auto"/>
          <w:spacing w:val="-6"/>
          <w:highlight w:val="none"/>
        </w:rPr>
        <w:t>。相关企业</w:t>
      </w:r>
      <w:r>
        <w:rPr>
          <w:rFonts w:hint="eastAsia" w:hAnsi="宋体"/>
          <w:color w:val="auto"/>
          <w:spacing w:val="12"/>
          <w:highlight w:val="none"/>
        </w:rPr>
        <w:t>（</w:t>
      </w:r>
      <w:r>
        <w:rPr>
          <w:rFonts w:hint="eastAsia" w:hAnsi="宋体"/>
          <w:color w:val="auto"/>
          <w:spacing w:val="7"/>
          <w:highlight w:val="none"/>
        </w:rPr>
        <w:t>含联合体中的中小企业、签订分包意向协</w:t>
      </w:r>
      <w:r>
        <w:rPr>
          <w:rFonts w:hint="eastAsia" w:hAnsi="宋体"/>
          <w:color w:val="auto"/>
          <w:spacing w:val="12"/>
          <w:highlight w:val="none"/>
        </w:rPr>
        <w:t>议的中小企业）</w:t>
      </w:r>
      <w:r>
        <w:rPr>
          <w:rFonts w:hint="eastAsia" w:hAnsi="宋体"/>
          <w:color w:val="auto"/>
          <w:spacing w:val="10"/>
          <w:highlight w:val="none"/>
        </w:rPr>
        <w:t>的具体情况如下：</w:t>
      </w:r>
    </w:p>
    <w:p>
      <w:pPr>
        <w:pStyle w:val="69"/>
        <w:numPr>
          <w:ilvl w:val="0"/>
          <w:numId w:val="18"/>
        </w:numPr>
        <w:tabs>
          <w:tab w:val="left" w:pos="1285"/>
          <w:tab w:val="left" w:pos="4527"/>
          <w:tab w:val="left" w:pos="6944"/>
          <w:tab w:val="left" w:pos="9666"/>
        </w:tabs>
        <w:kinsoku w:val="0"/>
        <w:overflowPunct w:val="0"/>
        <w:spacing w:line="364" w:lineRule="auto"/>
        <w:ind w:right="518" w:firstLine="504"/>
        <w:jc w:val="both"/>
        <w:rPr>
          <w:rFonts w:hAnsi="宋体"/>
          <w:color w:val="auto"/>
          <w:highlight w:val="none"/>
        </w:rPr>
      </w:pPr>
      <w:r>
        <w:rPr>
          <w:rFonts w:hAnsi="宋体" w:cs="Times New Roman"/>
          <w:color w:val="auto"/>
          <w:highlight w:val="none"/>
          <w:u w:val="single" w:color="000000"/>
        </w:rPr>
        <w:t xml:space="preserve"> </w:t>
      </w:r>
      <w:r>
        <w:rPr>
          <w:rFonts w:hAnsi="宋体" w:cs="Times New Roman"/>
          <w:color w:val="auto"/>
          <w:spacing w:val="12"/>
          <w:highlight w:val="none"/>
          <w:u w:val="single" w:color="000000"/>
        </w:rPr>
        <w:t xml:space="preserve"> </w:t>
      </w:r>
      <w:r>
        <w:rPr>
          <w:rFonts w:hint="eastAsia" w:hAnsi="宋体"/>
          <w:color w:val="auto"/>
          <w:spacing w:val="12"/>
          <w:highlight w:val="none"/>
          <w:u w:val="single" w:color="000000"/>
        </w:rPr>
        <w:t>（标的名称</w:t>
      </w:r>
      <w:r>
        <w:rPr>
          <w:rFonts w:hint="eastAsia" w:hAnsi="宋体"/>
          <w:color w:val="auto"/>
          <w:highlight w:val="none"/>
          <w:u w:val="single" w:color="000000"/>
        </w:rPr>
        <w:t>）</w:t>
      </w:r>
      <w:r>
        <w:rPr>
          <w:rFonts w:hAnsi="宋体"/>
          <w:color w:val="auto"/>
          <w:spacing w:val="22"/>
          <w:highlight w:val="none"/>
        </w:rPr>
        <w:t xml:space="preserve"> </w:t>
      </w:r>
      <w:r>
        <w:rPr>
          <w:rFonts w:hint="eastAsia" w:hAnsi="宋体"/>
          <w:color w:val="auto"/>
          <w:spacing w:val="12"/>
          <w:highlight w:val="none"/>
        </w:rPr>
        <w:t>，属于</w:t>
      </w:r>
      <w:r>
        <w:rPr>
          <w:rFonts w:hint="eastAsia" w:hAnsi="宋体"/>
          <w:color w:val="auto"/>
          <w:spacing w:val="12"/>
          <w:highlight w:val="none"/>
          <w:u w:val="single" w:color="000000"/>
        </w:rPr>
        <w:t>（采购文件中明确的所属行业</w:t>
      </w:r>
      <w:r>
        <w:rPr>
          <w:rFonts w:hint="eastAsia" w:hAnsi="宋体"/>
          <w:color w:val="auto"/>
          <w:spacing w:val="9"/>
          <w:highlight w:val="none"/>
          <w:u w:val="single" w:color="000000"/>
        </w:rPr>
        <w:t>）</w:t>
      </w:r>
      <w:r>
        <w:rPr>
          <w:rFonts w:hint="eastAsia" w:hAnsi="宋体"/>
          <w:color w:val="auto"/>
          <w:spacing w:val="12"/>
          <w:highlight w:val="none"/>
        </w:rPr>
        <w:t>行业；承建（承接</w:t>
      </w:r>
      <w:r>
        <w:rPr>
          <w:rFonts w:hint="eastAsia" w:hAnsi="宋体"/>
          <w:color w:val="auto"/>
          <w:highlight w:val="none"/>
        </w:rPr>
        <w:t>）</w:t>
      </w:r>
      <w:r>
        <w:rPr>
          <w:rFonts w:hAnsi="宋体"/>
          <w:color w:val="auto"/>
          <w:highlight w:val="none"/>
        </w:rPr>
        <w:t xml:space="preserve"> </w:t>
      </w:r>
      <w:r>
        <w:rPr>
          <w:rFonts w:hint="eastAsia" w:hAnsi="宋体"/>
          <w:color w:val="auto"/>
          <w:spacing w:val="12"/>
          <w:highlight w:val="none"/>
        </w:rPr>
        <w:t>企业</w:t>
      </w:r>
      <w:r>
        <w:rPr>
          <w:rFonts w:hint="eastAsia" w:hAnsi="宋体"/>
          <w:color w:val="auto"/>
          <w:spacing w:val="-55"/>
          <w:highlight w:val="none"/>
        </w:rPr>
        <w:t>为</w:t>
      </w:r>
      <w:r>
        <w:rPr>
          <w:rFonts w:hint="eastAsia" w:hAnsi="宋体"/>
          <w:color w:val="auto"/>
          <w:spacing w:val="9"/>
          <w:highlight w:val="none"/>
        </w:rPr>
        <w:t>（</w:t>
      </w:r>
      <w:r>
        <w:rPr>
          <w:rFonts w:hint="eastAsia" w:hAnsi="宋体"/>
          <w:color w:val="auto"/>
          <w:spacing w:val="12"/>
          <w:highlight w:val="none"/>
          <w:u w:val="single" w:color="000000"/>
        </w:rPr>
        <w:t>企业名</w:t>
      </w:r>
      <w:r>
        <w:rPr>
          <w:rFonts w:hint="eastAsia" w:hAnsi="宋体"/>
          <w:color w:val="auto"/>
          <w:spacing w:val="14"/>
          <w:highlight w:val="none"/>
          <w:u w:val="single" w:color="000000"/>
        </w:rPr>
        <w:t>称</w:t>
      </w:r>
      <w:r>
        <w:rPr>
          <w:rFonts w:hint="eastAsia" w:hAnsi="宋体"/>
          <w:color w:val="auto"/>
          <w:spacing w:val="-86"/>
          <w:highlight w:val="none"/>
          <w:u w:val="single" w:color="000000"/>
        </w:rPr>
        <w:t>）</w:t>
      </w:r>
      <w:r>
        <w:rPr>
          <w:rFonts w:hint="eastAsia" w:hAnsi="宋体"/>
          <w:color w:val="auto"/>
          <w:spacing w:val="-86"/>
          <w:highlight w:val="none"/>
        </w:rPr>
        <w:t>，</w:t>
      </w:r>
      <w:r>
        <w:rPr>
          <w:rFonts w:hint="eastAsia" w:hAnsi="宋体"/>
          <w:color w:val="auto"/>
          <w:spacing w:val="12"/>
          <w:highlight w:val="none"/>
        </w:rPr>
        <w:t>从业人</w:t>
      </w:r>
      <w:r>
        <w:rPr>
          <w:rFonts w:hint="eastAsia" w:hAnsi="宋体"/>
          <w:color w:val="auto"/>
          <w:spacing w:val="11"/>
          <w:highlight w:val="none"/>
        </w:rPr>
        <w:t>员</w:t>
      </w:r>
      <w:r>
        <w:rPr>
          <w:rFonts w:hAnsi="宋体"/>
          <w:color w:val="auto"/>
          <w:spacing w:val="11"/>
          <w:highlight w:val="none"/>
          <w:u w:val="single" w:color="000000"/>
        </w:rPr>
        <w:t xml:space="preserve"> </w:t>
      </w:r>
      <w:r>
        <w:rPr>
          <w:rFonts w:hAnsi="宋体"/>
          <w:color w:val="auto"/>
          <w:spacing w:val="11"/>
          <w:highlight w:val="none"/>
          <w:u w:val="single" w:color="000000"/>
        </w:rPr>
        <w:tab/>
      </w:r>
      <w:r>
        <w:rPr>
          <w:rFonts w:hint="eastAsia" w:hAnsi="宋体"/>
          <w:color w:val="auto"/>
          <w:spacing w:val="12"/>
          <w:highlight w:val="none"/>
        </w:rPr>
        <w:t>人</w:t>
      </w:r>
      <w:r>
        <w:rPr>
          <w:rFonts w:hint="eastAsia" w:hAnsi="宋体"/>
          <w:color w:val="auto"/>
          <w:spacing w:val="-56"/>
          <w:highlight w:val="none"/>
        </w:rPr>
        <w:t>，</w:t>
      </w:r>
      <w:r>
        <w:rPr>
          <w:rFonts w:hint="eastAsia" w:hAnsi="宋体"/>
          <w:color w:val="auto"/>
          <w:spacing w:val="12"/>
          <w:highlight w:val="none"/>
        </w:rPr>
        <w:t>营业收入</w:t>
      </w:r>
      <w:r>
        <w:rPr>
          <w:rFonts w:hint="eastAsia" w:hAnsi="宋体"/>
          <w:color w:val="auto"/>
          <w:spacing w:val="11"/>
          <w:highlight w:val="none"/>
        </w:rPr>
        <w:t>为</w:t>
      </w:r>
      <w:r>
        <w:rPr>
          <w:rFonts w:hAnsi="宋体"/>
          <w:color w:val="auto"/>
          <w:spacing w:val="11"/>
          <w:highlight w:val="none"/>
          <w:u w:val="single" w:color="000000"/>
        </w:rPr>
        <w:t xml:space="preserve"> </w:t>
      </w:r>
      <w:r>
        <w:rPr>
          <w:rFonts w:hAnsi="宋体"/>
          <w:color w:val="auto"/>
          <w:spacing w:val="11"/>
          <w:highlight w:val="none"/>
          <w:u w:val="single" w:color="000000"/>
        </w:rPr>
        <w:tab/>
      </w:r>
      <w:r>
        <w:rPr>
          <w:rFonts w:hint="eastAsia" w:hAnsi="宋体"/>
          <w:color w:val="auto"/>
          <w:spacing w:val="12"/>
          <w:highlight w:val="none"/>
        </w:rPr>
        <w:t>万元</w:t>
      </w:r>
      <w:r>
        <w:rPr>
          <w:rFonts w:hint="eastAsia" w:hAnsi="宋体"/>
          <w:color w:val="auto"/>
          <w:spacing w:val="-55"/>
          <w:highlight w:val="none"/>
        </w:rPr>
        <w:t>，</w:t>
      </w:r>
      <w:r>
        <w:rPr>
          <w:rFonts w:hint="eastAsia" w:hAnsi="宋体"/>
          <w:color w:val="auto"/>
          <w:spacing w:val="12"/>
          <w:highlight w:val="none"/>
        </w:rPr>
        <w:t>资产总额</w:t>
      </w:r>
      <w:r>
        <w:rPr>
          <w:rFonts w:hint="eastAsia" w:hAnsi="宋体"/>
          <w:color w:val="auto"/>
          <w:spacing w:val="11"/>
          <w:highlight w:val="none"/>
        </w:rPr>
        <w:t>为</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int="eastAsia" w:hAnsi="宋体"/>
          <w:color w:val="auto"/>
          <w:spacing w:val="12"/>
          <w:highlight w:val="none"/>
        </w:rPr>
        <w:t>万</w:t>
      </w:r>
      <w:r>
        <w:rPr>
          <w:rFonts w:hint="eastAsia" w:hAnsi="宋体"/>
          <w:color w:val="auto"/>
          <w:highlight w:val="none"/>
        </w:rPr>
        <w:t>元</w:t>
      </w:r>
      <w:r>
        <w:rPr>
          <w:rFonts w:hAnsi="宋体"/>
          <w:color w:val="auto"/>
          <w:spacing w:val="-46"/>
          <w:highlight w:val="none"/>
        </w:rPr>
        <w:t xml:space="preserve"> </w:t>
      </w:r>
      <w:r>
        <w:rPr>
          <w:rFonts w:hAnsi="宋体" w:cs="Arial"/>
          <w:color w:val="auto"/>
          <w:spacing w:val="5"/>
          <w:w w:val="113"/>
          <w:position w:val="7"/>
          <w:sz w:val="17"/>
          <w:szCs w:val="17"/>
          <w:highlight w:val="none"/>
        </w:rPr>
        <w:t>1</w:t>
      </w:r>
      <w:r>
        <w:rPr>
          <w:rFonts w:hint="eastAsia" w:hAnsi="宋体"/>
          <w:color w:val="auto"/>
          <w:spacing w:val="12"/>
          <w:highlight w:val="none"/>
        </w:rPr>
        <w:t>，属于（中型企业、小型企业、微型企业</w:t>
      </w:r>
      <w:r>
        <w:rPr>
          <w:rFonts w:hint="eastAsia" w:hAnsi="宋体"/>
          <w:color w:val="auto"/>
          <w:spacing w:val="-115"/>
          <w:highlight w:val="none"/>
        </w:rPr>
        <w:t>）</w:t>
      </w:r>
      <w:r>
        <w:rPr>
          <w:rFonts w:hint="eastAsia" w:hAnsi="宋体"/>
          <w:color w:val="auto"/>
          <w:highlight w:val="none"/>
        </w:rPr>
        <w:t>；</w:t>
      </w:r>
    </w:p>
    <w:p>
      <w:pPr>
        <w:pStyle w:val="69"/>
        <w:numPr>
          <w:ilvl w:val="0"/>
          <w:numId w:val="18"/>
        </w:numPr>
        <w:tabs>
          <w:tab w:val="left" w:pos="1418"/>
          <w:tab w:val="left" w:pos="4527"/>
          <w:tab w:val="left" w:pos="6944"/>
          <w:tab w:val="left" w:pos="9666"/>
        </w:tabs>
        <w:kinsoku w:val="0"/>
        <w:overflowPunct w:val="0"/>
        <w:spacing w:line="364" w:lineRule="auto"/>
        <w:ind w:right="518" w:firstLine="504"/>
        <w:jc w:val="both"/>
        <w:rPr>
          <w:rFonts w:hAnsi="宋体"/>
          <w:color w:val="auto"/>
          <w:highlight w:val="none"/>
        </w:rPr>
      </w:pPr>
      <w:r>
        <w:rPr>
          <w:rFonts w:hint="eastAsia" w:hAnsi="宋体"/>
          <w:color w:val="auto"/>
          <w:spacing w:val="12"/>
          <w:highlight w:val="none"/>
          <w:u w:val="single" w:color="000000"/>
        </w:rPr>
        <w:t>（标的名称</w:t>
      </w:r>
      <w:r>
        <w:rPr>
          <w:rFonts w:hint="eastAsia" w:hAnsi="宋体"/>
          <w:color w:val="auto"/>
          <w:highlight w:val="none"/>
          <w:u w:val="single" w:color="000000"/>
        </w:rPr>
        <w:t>）</w:t>
      </w:r>
      <w:r>
        <w:rPr>
          <w:rFonts w:hAnsi="宋体"/>
          <w:color w:val="auto"/>
          <w:spacing w:val="22"/>
          <w:highlight w:val="none"/>
        </w:rPr>
        <w:t xml:space="preserve"> </w:t>
      </w:r>
      <w:r>
        <w:rPr>
          <w:rFonts w:hint="eastAsia" w:hAnsi="宋体"/>
          <w:color w:val="auto"/>
          <w:spacing w:val="12"/>
          <w:highlight w:val="none"/>
        </w:rPr>
        <w:t>，属于</w:t>
      </w:r>
      <w:r>
        <w:rPr>
          <w:rFonts w:hint="eastAsia" w:hAnsi="宋体"/>
          <w:color w:val="auto"/>
          <w:spacing w:val="12"/>
          <w:highlight w:val="none"/>
          <w:u w:val="single" w:color="000000"/>
        </w:rPr>
        <w:t>（采购文件中明确的所属行业</w:t>
      </w:r>
      <w:r>
        <w:rPr>
          <w:rFonts w:hint="eastAsia" w:hAnsi="宋体"/>
          <w:color w:val="auto"/>
          <w:spacing w:val="9"/>
          <w:highlight w:val="none"/>
          <w:u w:val="single" w:color="000000"/>
        </w:rPr>
        <w:t>）</w:t>
      </w:r>
      <w:r>
        <w:rPr>
          <w:rFonts w:hint="eastAsia" w:hAnsi="宋体"/>
          <w:color w:val="auto"/>
          <w:spacing w:val="12"/>
          <w:highlight w:val="none"/>
        </w:rPr>
        <w:t>行业；承建（承接</w:t>
      </w:r>
      <w:r>
        <w:rPr>
          <w:rFonts w:hint="eastAsia" w:hAnsi="宋体"/>
          <w:color w:val="auto"/>
          <w:highlight w:val="none"/>
        </w:rPr>
        <w:t>）</w:t>
      </w:r>
      <w:r>
        <w:rPr>
          <w:rFonts w:hAnsi="宋体"/>
          <w:color w:val="auto"/>
          <w:highlight w:val="none"/>
        </w:rPr>
        <w:t xml:space="preserve"> </w:t>
      </w:r>
      <w:r>
        <w:rPr>
          <w:rFonts w:hint="eastAsia" w:hAnsi="宋体"/>
          <w:color w:val="auto"/>
          <w:spacing w:val="12"/>
          <w:highlight w:val="none"/>
        </w:rPr>
        <w:t>企业</w:t>
      </w:r>
      <w:r>
        <w:rPr>
          <w:rFonts w:hint="eastAsia" w:hAnsi="宋体"/>
          <w:color w:val="auto"/>
          <w:spacing w:val="-55"/>
          <w:highlight w:val="none"/>
        </w:rPr>
        <w:t>为</w:t>
      </w:r>
      <w:r>
        <w:rPr>
          <w:rFonts w:hint="eastAsia" w:hAnsi="宋体"/>
          <w:color w:val="auto"/>
          <w:spacing w:val="9"/>
          <w:highlight w:val="none"/>
        </w:rPr>
        <w:t>（</w:t>
      </w:r>
      <w:r>
        <w:rPr>
          <w:rFonts w:hint="eastAsia" w:hAnsi="宋体"/>
          <w:color w:val="auto"/>
          <w:spacing w:val="12"/>
          <w:highlight w:val="none"/>
          <w:u w:val="single" w:color="000000"/>
        </w:rPr>
        <w:t>企业名</w:t>
      </w:r>
      <w:r>
        <w:rPr>
          <w:rFonts w:hint="eastAsia" w:hAnsi="宋体"/>
          <w:color w:val="auto"/>
          <w:spacing w:val="14"/>
          <w:highlight w:val="none"/>
          <w:u w:val="single" w:color="000000"/>
        </w:rPr>
        <w:t>称</w:t>
      </w:r>
      <w:r>
        <w:rPr>
          <w:rFonts w:hint="eastAsia" w:hAnsi="宋体"/>
          <w:color w:val="auto"/>
          <w:spacing w:val="-86"/>
          <w:highlight w:val="none"/>
          <w:u w:val="single" w:color="000000"/>
        </w:rPr>
        <w:t>）</w:t>
      </w:r>
      <w:r>
        <w:rPr>
          <w:rFonts w:hint="eastAsia" w:hAnsi="宋体"/>
          <w:color w:val="auto"/>
          <w:spacing w:val="-86"/>
          <w:highlight w:val="none"/>
        </w:rPr>
        <w:t>，</w:t>
      </w:r>
      <w:r>
        <w:rPr>
          <w:rFonts w:hint="eastAsia" w:hAnsi="宋体"/>
          <w:color w:val="auto"/>
          <w:spacing w:val="12"/>
          <w:highlight w:val="none"/>
        </w:rPr>
        <w:t>从业人</w:t>
      </w:r>
      <w:r>
        <w:rPr>
          <w:rFonts w:hint="eastAsia" w:hAnsi="宋体"/>
          <w:color w:val="auto"/>
          <w:spacing w:val="11"/>
          <w:highlight w:val="none"/>
        </w:rPr>
        <w:t>员</w:t>
      </w:r>
      <w:r>
        <w:rPr>
          <w:rFonts w:hAnsi="宋体"/>
          <w:color w:val="auto"/>
          <w:spacing w:val="11"/>
          <w:highlight w:val="none"/>
          <w:u w:val="single" w:color="000000"/>
        </w:rPr>
        <w:t xml:space="preserve"> </w:t>
      </w:r>
      <w:r>
        <w:rPr>
          <w:rFonts w:hAnsi="宋体"/>
          <w:color w:val="auto"/>
          <w:spacing w:val="11"/>
          <w:highlight w:val="none"/>
          <w:u w:val="single" w:color="000000"/>
        </w:rPr>
        <w:tab/>
      </w:r>
      <w:r>
        <w:rPr>
          <w:rFonts w:hint="eastAsia" w:hAnsi="宋体"/>
          <w:color w:val="auto"/>
          <w:spacing w:val="12"/>
          <w:highlight w:val="none"/>
        </w:rPr>
        <w:t>人</w:t>
      </w:r>
      <w:r>
        <w:rPr>
          <w:rFonts w:hint="eastAsia" w:hAnsi="宋体"/>
          <w:color w:val="auto"/>
          <w:spacing w:val="-56"/>
          <w:highlight w:val="none"/>
        </w:rPr>
        <w:t>，</w:t>
      </w:r>
      <w:r>
        <w:rPr>
          <w:rFonts w:hint="eastAsia" w:hAnsi="宋体"/>
          <w:color w:val="auto"/>
          <w:spacing w:val="12"/>
          <w:highlight w:val="none"/>
        </w:rPr>
        <w:t>营业收入</w:t>
      </w:r>
      <w:r>
        <w:rPr>
          <w:rFonts w:hint="eastAsia" w:hAnsi="宋体"/>
          <w:color w:val="auto"/>
          <w:spacing w:val="11"/>
          <w:highlight w:val="none"/>
        </w:rPr>
        <w:t>为</w:t>
      </w:r>
      <w:r>
        <w:rPr>
          <w:rFonts w:hAnsi="宋体"/>
          <w:color w:val="auto"/>
          <w:spacing w:val="11"/>
          <w:highlight w:val="none"/>
          <w:u w:val="single" w:color="000000"/>
        </w:rPr>
        <w:t xml:space="preserve"> </w:t>
      </w:r>
      <w:r>
        <w:rPr>
          <w:rFonts w:hAnsi="宋体"/>
          <w:color w:val="auto"/>
          <w:spacing w:val="11"/>
          <w:highlight w:val="none"/>
          <w:u w:val="single" w:color="000000"/>
        </w:rPr>
        <w:tab/>
      </w:r>
      <w:r>
        <w:rPr>
          <w:rFonts w:hint="eastAsia" w:hAnsi="宋体"/>
          <w:color w:val="auto"/>
          <w:spacing w:val="12"/>
          <w:highlight w:val="none"/>
        </w:rPr>
        <w:t>万元</w:t>
      </w:r>
      <w:r>
        <w:rPr>
          <w:rFonts w:hint="eastAsia" w:hAnsi="宋体"/>
          <w:color w:val="auto"/>
          <w:spacing w:val="-55"/>
          <w:highlight w:val="none"/>
        </w:rPr>
        <w:t>，</w:t>
      </w:r>
      <w:r>
        <w:rPr>
          <w:rFonts w:hint="eastAsia" w:hAnsi="宋体"/>
          <w:color w:val="auto"/>
          <w:spacing w:val="12"/>
          <w:highlight w:val="none"/>
        </w:rPr>
        <w:t>资产总额</w:t>
      </w:r>
      <w:r>
        <w:rPr>
          <w:rFonts w:hint="eastAsia" w:hAnsi="宋体"/>
          <w:color w:val="auto"/>
          <w:spacing w:val="11"/>
          <w:highlight w:val="none"/>
        </w:rPr>
        <w:t>为</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int="eastAsia" w:hAnsi="宋体"/>
          <w:color w:val="auto"/>
          <w:spacing w:val="12"/>
          <w:highlight w:val="none"/>
        </w:rPr>
        <w:t>万元，属于</w:t>
      </w:r>
      <w:r>
        <w:rPr>
          <w:rFonts w:hint="eastAsia" w:hAnsi="宋体"/>
          <w:color w:val="auto"/>
          <w:spacing w:val="12"/>
          <w:highlight w:val="none"/>
          <w:u w:val="single" w:color="000000"/>
        </w:rPr>
        <w:t>（中型企业、小型企业、微型企业</w:t>
      </w:r>
      <w:r>
        <w:rPr>
          <w:rFonts w:hint="eastAsia" w:hAnsi="宋体"/>
          <w:color w:val="auto"/>
          <w:spacing w:val="-119"/>
          <w:highlight w:val="none"/>
          <w:u w:val="single" w:color="000000"/>
        </w:rPr>
        <w:t>）</w:t>
      </w:r>
      <w:r>
        <w:rPr>
          <w:rFonts w:hint="eastAsia" w:hAnsi="宋体"/>
          <w:color w:val="auto"/>
          <w:highlight w:val="none"/>
        </w:rPr>
        <w:t>；</w:t>
      </w:r>
    </w:p>
    <w:p>
      <w:pPr>
        <w:pStyle w:val="17"/>
        <w:kinsoku w:val="0"/>
        <w:overflowPunct w:val="0"/>
        <w:spacing w:before="10"/>
        <w:rPr>
          <w:rFonts w:hAnsi="宋体"/>
          <w:color w:val="auto"/>
          <w:sz w:val="31"/>
          <w:szCs w:val="31"/>
          <w:highlight w:val="none"/>
        </w:rPr>
      </w:pPr>
    </w:p>
    <w:p>
      <w:pPr>
        <w:pStyle w:val="17"/>
        <w:kinsoku w:val="0"/>
        <w:overflowPunct w:val="0"/>
        <w:ind w:left="1045"/>
        <w:rPr>
          <w:rFonts w:hAnsi="宋体" w:cs="Arial"/>
          <w:color w:val="auto"/>
          <w:highlight w:val="none"/>
        </w:rPr>
      </w:pPr>
      <w:r>
        <w:rPr>
          <w:rFonts w:hAnsi="宋体" w:cs="Arial"/>
          <w:color w:val="auto"/>
          <w:highlight w:val="none"/>
        </w:rPr>
        <w:t>……</w:t>
      </w:r>
    </w:p>
    <w:p>
      <w:pPr>
        <w:pStyle w:val="17"/>
        <w:kinsoku w:val="0"/>
        <w:overflowPunct w:val="0"/>
        <w:spacing w:before="149" w:line="362" w:lineRule="auto"/>
        <w:ind w:left="541" w:right="577" w:firstLine="504"/>
        <w:rPr>
          <w:rFonts w:hAnsi="宋体"/>
          <w:color w:val="auto"/>
          <w:highlight w:val="none"/>
        </w:rPr>
      </w:pPr>
      <w:r>
        <w:rPr>
          <w:rFonts w:hint="eastAsia" w:hAnsi="宋体"/>
          <w:color w:val="auto"/>
          <w:highlight w:val="none"/>
        </w:rPr>
        <w:t>以上企业，不属于大企业的分支机构，不存在控股股东为大企业的情形，也不存在与大企业的负责人为同一人的情形。</w:t>
      </w:r>
    </w:p>
    <w:p>
      <w:pPr>
        <w:pStyle w:val="17"/>
        <w:kinsoku w:val="0"/>
        <w:overflowPunct w:val="0"/>
        <w:spacing w:before="5"/>
        <w:ind w:left="1045"/>
        <w:rPr>
          <w:rFonts w:hAnsi="宋体"/>
          <w:color w:val="auto"/>
          <w:highlight w:val="none"/>
        </w:rPr>
      </w:pPr>
      <w:r>
        <w:rPr>
          <w:rFonts w:hint="eastAsia" w:hAnsi="宋体"/>
          <w:color w:val="auto"/>
          <w:highlight w:val="none"/>
        </w:rPr>
        <w:t>本企业对上述声明内容的真实性负责。如有虚假，将依法承担相应责任。</w:t>
      </w:r>
    </w:p>
    <w:p>
      <w:pPr>
        <w:pStyle w:val="17"/>
        <w:kinsoku w:val="0"/>
        <w:overflowPunct w:val="0"/>
        <w:rPr>
          <w:rFonts w:hAnsi="宋体"/>
          <w:color w:val="auto"/>
          <w:highlight w:val="none"/>
        </w:rPr>
      </w:pPr>
    </w:p>
    <w:p>
      <w:pPr>
        <w:pStyle w:val="17"/>
        <w:kinsoku w:val="0"/>
        <w:overflowPunct w:val="0"/>
        <w:spacing w:before="1"/>
        <w:rPr>
          <w:rFonts w:hAnsi="宋体"/>
          <w:color w:val="auto"/>
          <w:sz w:val="21"/>
          <w:szCs w:val="21"/>
          <w:highlight w:val="none"/>
        </w:rPr>
      </w:pPr>
    </w:p>
    <w:p>
      <w:pPr>
        <w:pStyle w:val="17"/>
        <w:tabs>
          <w:tab w:val="left" w:pos="2812"/>
        </w:tabs>
        <w:kinsoku w:val="0"/>
        <w:overflowPunct w:val="0"/>
        <w:ind w:right="878"/>
        <w:jc w:val="right"/>
        <w:rPr>
          <w:rFonts w:hAnsi="宋体" w:cs="Times New Roman"/>
          <w:color w:val="auto"/>
          <w:highlight w:val="none"/>
        </w:rPr>
      </w:pPr>
      <w:r>
        <w:rPr>
          <w:rFonts w:hint="eastAsia" w:hAnsi="宋体"/>
          <w:color w:val="auto"/>
          <w:highlight w:val="none"/>
        </w:rPr>
        <w:t>企业名称（盖章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tabs>
          <w:tab w:val="left" w:pos="1612"/>
        </w:tabs>
        <w:kinsoku w:val="0"/>
        <w:overflowPunct w:val="0"/>
        <w:spacing w:before="161"/>
        <w:ind w:right="878"/>
        <w:jc w:val="right"/>
        <w:rPr>
          <w:rFonts w:hAnsi="宋体" w:cs="Times New Roman"/>
          <w:color w:val="auto"/>
          <w:highlight w:val="none"/>
        </w:rPr>
      </w:pPr>
      <w:r>
        <w:rPr>
          <w:rFonts w:hint="eastAsia" w:hAnsi="宋体"/>
          <w:color w:val="auto"/>
          <w:highlight w:val="none"/>
        </w:rPr>
        <w:t>日</w:t>
      </w:r>
      <w:r>
        <w:rPr>
          <w:rFonts w:hAnsi="宋体"/>
          <w:color w:val="auto"/>
          <w:spacing w:val="-1"/>
          <w:highlight w:val="none"/>
        </w:rPr>
        <w:t xml:space="preserve"> </w:t>
      </w:r>
      <w:r>
        <w:rPr>
          <w:rFonts w:hint="eastAsia" w:hAnsi="宋体"/>
          <w:color w:val="auto"/>
          <w:highlight w:val="none"/>
        </w:rPr>
        <w:t>期：</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kinsoku w:val="0"/>
        <w:overflowPunct w:val="0"/>
        <w:rPr>
          <w:rFonts w:hAnsi="宋体" w:cs="Times New Roman"/>
          <w:color w:val="auto"/>
          <w:sz w:val="20"/>
          <w:szCs w:val="20"/>
          <w:highlight w:val="none"/>
        </w:rPr>
      </w:pPr>
    </w:p>
    <w:p>
      <w:pPr>
        <w:pStyle w:val="17"/>
        <w:kinsoku w:val="0"/>
        <w:overflowPunct w:val="0"/>
        <w:rPr>
          <w:rFonts w:hAnsi="宋体" w:cs="Times New Roman"/>
          <w:color w:val="auto"/>
          <w:sz w:val="20"/>
          <w:szCs w:val="20"/>
          <w:highlight w:val="none"/>
        </w:rPr>
      </w:pPr>
    </w:p>
    <w:p>
      <w:pPr>
        <w:pStyle w:val="17"/>
        <w:kinsoku w:val="0"/>
        <w:overflowPunct w:val="0"/>
        <w:spacing w:before="8"/>
        <w:rPr>
          <w:rFonts w:hAnsi="宋体" w:cs="Times New Roman"/>
          <w:color w:val="auto"/>
          <w:sz w:val="18"/>
          <w:szCs w:val="18"/>
          <w:highlight w:val="none"/>
        </w:rPr>
      </w:pPr>
      <w:r>
        <w:rPr>
          <w:rFonts w:hAnsi="宋体"/>
          <w:color w:val="auto"/>
          <w:highlight w:val="none"/>
        </w:rPr>
        <mc:AlternateContent>
          <mc:Choice Requires="wps">
            <w:drawing>
              <wp:anchor distT="0" distB="0" distL="0" distR="0" simplePos="0" relativeHeight="251672576" behindDoc="0" locked="0" layoutInCell="0" allowOverlap="1">
                <wp:simplePos x="0" y="0"/>
                <wp:positionH relativeFrom="page">
                  <wp:posOffset>1010920</wp:posOffset>
                </wp:positionH>
                <wp:positionV relativeFrom="paragraph">
                  <wp:posOffset>164465</wp:posOffset>
                </wp:positionV>
                <wp:extent cx="5681345" cy="12700"/>
                <wp:effectExtent l="0" t="0" r="0" b="0"/>
                <wp:wrapTopAndBottom/>
                <wp:docPr id="588462380" name="Freeform 16"/>
                <wp:cNvGraphicFramePr/>
                <a:graphic xmlns:a="http://schemas.openxmlformats.org/drawingml/2006/main">
                  <a:graphicData uri="http://schemas.microsoft.com/office/word/2010/wordprocessingShape">
                    <wps:wsp>
                      <wps:cNvSpPr/>
                      <wps:spPr bwMode="auto">
                        <a:xfrm>
                          <a:off x="0" y="0"/>
                          <a:ext cx="5681345" cy="12700"/>
                        </a:xfrm>
                        <a:custGeom>
                          <a:avLst/>
                          <a:gdLst>
                            <a:gd name="T0" fmla="*/ 0 w 8947"/>
                            <a:gd name="T1" fmla="*/ 0 h 20"/>
                            <a:gd name="T2" fmla="*/ 8946 w 8947"/>
                            <a:gd name="T3" fmla="*/ 0 h 20"/>
                          </a:gdLst>
                          <a:ahLst/>
                          <a:cxnLst>
                            <a:cxn ang="0">
                              <a:pos x="T0" y="T1"/>
                            </a:cxn>
                            <a:cxn ang="0">
                              <a:pos x="T2" y="T3"/>
                            </a:cxn>
                          </a:cxnLst>
                          <a:rect l="0" t="0" r="r" b="b"/>
                          <a:pathLst>
                            <a:path w="8947" h="20">
                              <a:moveTo>
                                <a:pt x="0" y="0"/>
                              </a:moveTo>
                              <a:lnTo>
                                <a:pt x="8946" y="0"/>
                              </a:lnTo>
                            </a:path>
                          </a:pathLst>
                        </a:custGeom>
                        <a:noFill/>
                        <a:ln w="6096">
                          <a:solidFill>
                            <a:srgbClr val="000000"/>
                          </a:solidFill>
                          <a:round/>
                        </a:ln>
                      </wps:spPr>
                      <wps:bodyPr rot="0" vert="horz" wrap="square" lIns="91440" tIns="45720" rIns="91440" bIns="45720" anchor="t" anchorCtr="0" upright="1">
                        <a:noAutofit/>
                      </wps:bodyPr>
                    </wps:wsp>
                  </a:graphicData>
                </a:graphic>
              </wp:anchor>
            </w:drawing>
          </mc:Choice>
          <mc:Fallback>
            <w:pict>
              <v:shape id="Freeform 16" o:spid="_x0000_s1026" o:spt="100" style="position:absolute;left:0pt;margin-left:79.6pt;margin-top:12.95pt;height:1pt;width:447.35pt;mso-position-horizontal-relative:page;mso-wrap-distance-bottom:0pt;mso-wrap-distance-top:0pt;z-index:251672576;mso-width-relative:page;mso-height-relative:page;" filled="f" stroked="t" coordsize="8947,20" o:allowincell="f" o:gfxdata="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DlV4DXZAAAACgEAAA8AAAAAAAAAAQAgAAAAIgAAAGRycy9kb3ducmV2&#10;LnhtbFBLAQIUABQAAAAIAIdO4kC/Vy+upgIAAMoFAAAOAAAAAAAAAAEAIAAAACgBAABkcnMvZTJv&#10;RG9jLnhtbFBLBQYAAAAABgAGAFkBAABABgAAAAA=&#10;" path="m0,0l8946,0e">
                <v:path o:connectlocs="0,0;5680710,0" o:connectangles="0,0"/>
                <v:fill on="f" focussize="0,0"/>
                <v:stroke weight="0.48pt" color="#000000" joinstyle="round"/>
                <v:imagedata o:title=""/>
                <o:lock v:ext="edit" aspectratio="f"/>
                <w10:wrap type="topAndBottom"/>
              </v:shape>
            </w:pict>
          </mc:Fallback>
        </mc:AlternateContent>
      </w:r>
    </w:p>
    <w:p>
      <w:pPr>
        <w:pStyle w:val="17"/>
        <w:kinsoku w:val="0"/>
        <w:overflowPunct w:val="0"/>
        <w:spacing w:line="242" w:lineRule="exact"/>
        <w:ind w:left="541"/>
        <w:rPr>
          <w:rFonts w:hAnsi="宋体"/>
          <w:color w:val="auto"/>
          <w:sz w:val="21"/>
          <w:szCs w:val="21"/>
          <w:highlight w:val="none"/>
        </w:rPr>
      </w:pPr>
      <w:r>
        <w:rPr>
          <w:rFonts w:hAnsi="宋体" w:cs="Arial"/>
          <w:color w:val="auto"/>
          <w:position w:val="6"/>
          <w:sz w:val="14"/>
          <w:szCs w:val="14"/>
          <w:highlight w:val="none"/>
        </w:rPr>
        <w:t xml:space="preserve">1 </w:t>
      </w:r>
      <w:r>
        <w:rPr>
          <w:rFonts w:hint="eastAsia" w:hAnsi="宋体"/>
          <w:color w:val="auto"/>
          <w:sz w:val="21"/>
          <w:szCs w:val="21"/>
          <w:highlight w:val="none"/>
        </w:rPr>
        <w:t>从业人员、营业收入、资产总额填报上一年度数据，无上一年度数据的新成立企业可不填报。</w:t>
      </w:r>
    </w:p>
    <w:p>
      <w:pPr>
        <w:pStyle w:val="17"/>
        <w:kinsoku w:val="0"/>
        <w:overflowPunct w:val="0"/>
        <w:spacing w:line="242" w:lineRule="exact"/>
        <w:ind w:left="541"/>
        <w:rPr>
          <w:rFonts w:hAnsi="宋体"/>
          <w:color w:val="auto"/>
          <w:sz w:val="21"/>
          <w:szCs w:val="21"/>
          <w:highlight w:val="none"/>
        </w:rPr>
        <w:sectPr>
          <w:pgSz w:w="11910" w:h="16840"/>
          <w:pgMar w:top="1340" w:right="560" w:bottom="1080" w:left="1160" w:header="879" w:footer="879" w:gutter="0"/>
          <w:cols w:space="720" w:num="1"/>
        </w:sectPr>
      </w:pPr>
    </w:p>
    <w:p>
      <w:pPr>
        <w:pStyle w:val="3"/>
        <w:kinsoku w:val="0"/>
        <w:overflowPunct w:val="0"/>
        <w:ind w:right="26"/>
        <w:rPr>
          <w:rFonts w:hAnsi="宋体"/>
          <w:color w:val="auto"/>
          <w:highlight w:val="none"/>
        </w:rPr>
      </w:pPr>
      <w:bookmarkStart w:id="97" w:name="_Toc149147724"/>
      <w:bookmarkStart w:id="98" w:name="_Toc149147569"/>
      <w:r>
        <w:rPr>
          <w:rFonts w:hint="eastAsia" w:hAnsi="宋体"/>
          <w:color w:val="auto"/>
          <w:highlight w:val="none"/>
        </w:rPr>
        <w:t>残疾人福利性单位声明函格式</w:t>
      </w:r>
      <w:bookmarkEnd w:id="97"/>
      <w:bookmarkEnd w:id="98"/>
    </w:p>
    <w:p>
      <w:pPr>
        <w:pStyle w:val="17"/>
        <w:kinsoku w:val="0"/>
        <w:overflowPunct w:val="0"/>
        <w:rPr>
          <w:rFonts w:hAnsi="宋体"/>
          <w:color w:val="auto"/>
          <w:sz w:val="36"/>
          <w:szCs w:val="36"/>
          <w:highlight w:val="none"/>
        </w:rPr>
      </w:pPr>
    </w:p>
    <w:p>
      <w:pPr>
        <w:pStyle w:val="17"/>
        <w:kinsoku w:val="0"/>
        <w:overflowPunct w:val="0"/>
        <w:spacing w:before="246" w:line="458" w:lineRule="auto"/>
        <w:ind w:left="541" w:right="458" w:firstLine="504"/>
        <w:rPr>
          <w:rFonts w:hAnsi="宋体"/>
          <w:color w:val="auto"/>
          <w:highlight w:val="none"/>
        </w:rPr>
      </w:pPr>
      <w:r>
        <w:rPr>
          <w:rFonts w:hint="eastAsia" w:hAnsi="宋体"/>
          <w:color w:val="auto"/>
          <w:spacing w:val="8"/>
          <w:highlight w:val="none"/>
        </w:rPr>
        <w:t>本单位郑重声明，根据《财政部</w:t>
      </w:r>
      <w:r>
        <w:rPr>
          <w:rFonts w:hAnsi="宋体"/>
          <w:color w:val="auto"/>
          <w:spacing w:val="8"/>
          <w:highlight w:val="none"/>
        </w:rPr>
        <w:t xml:space="preserve"> </w:t>
      </w:r>
      <w:r>
        <w:rPr>
          <w:rFonts w:hint="eastAsia" w:hAnsi="宋体"/>
          <w:color w:val="auto"/>
          <w:spacing w:val="8"/>
          <w:highlight w:val="none"/>
        </w:rPr>
        <w:t>民政部</w:t>
      </w:r>
      <w:r>
        <w:rPr>
          <w:rFonts w:hAnsi="宋体"/>
          <w:color w:val="auto"/>
          <w:spacing w:val="8"/>
          <w:highlight w:val="none"/>
        </w:rPr>
        <w:t xml:space="preserve"> </w:t>
      </w:r>
      <w:r>
        <w:rPr>
          <w:rFonts w:hint="eastAsia" w:hAnsi="宋体"/>
          <w:color w:val="auto"/>
          <w:spacing w:val="8"/>
          <w:highlight w:val="none"/>
        </w:rPr>
        <w:t>中国残疾人联合会关于促进残疾人就</w:t>
      </w:r>
      <w:r>
        <w:rPr>
          <w:rFonts w:hint="eastAsia" w:hAnsi="宋体"/>
          <w:color w:val="auto"/>
          <w:highlight w:val="none"/>
        </w:rPr>
        <w:t>业政府采购政策的通知》</w:t>
      </w:r>
      <w:r>
        <w:rPr>
          <w:rFonts w:hint="eastAsia" w:hAnsi="宋体"/>
          <w:color w:val="auto"/>
          <w:spacing w:val="12"/>
          <w:highlight w:val="none"/>
        </w:rPr>
        <w:t>（</w:t>
      </w:r>
      <w:r>
        <w:rPr>
          <w:rFonts w:hint="eastAsia" w:hAnsi="宋体"/>
          <w:color w:val="auto"/>
          <w:spacing w:val="5"/>
          <w:highlight w:val="none"/>
        </w:rPr>
        <w:t>财库〔</w:t>
      </w:r>
      <w:r>
        <w:rPr>
          <w:rFonts w:hAnsi="宋体" w:cs="Arial"/>
          <w:color w:val="auto"/>
          <w:spacing w:val="-2"/>
          <w:w w:val="114"/>
          <w:highlight w:val="none"/>
        </w:rPr>
        <w:t>2</w:t>
      </w:r>
      <w:r>
        <w:rPr>
          <w:rFonts w:hAnsi="宋体" w:cs="Arial"/>
          <w:color w:val="auto"/>
          <w:w w:val="114"/>
          <w:highlight w:val="none"/>
        </w:rPr>
        <w:t>0</w:t>
      </w:r>
      <w:r>
        <w:rPr>
          <w:rFonts w:hAnsi="宋体" w:cs="Arial"/>
          <w:color w:val="auto"/>
          <w:spacing w:val="-2"/>
          <w:w w:val="114"/>
          <w:highlight w:val="none"/>
        </w:rPr>
        <w:t>1</w:t>
      </w:r>
      <w:r>
        <w:rPr>
          <w:rFonts w:hAnsi="宋体" w:cs="Arial"/>
          <w:color w:val="auto"/>
          <w:spacing w:val="3"/>
          <w:w w:val="114"/>
          <w:highlight w:val="none"/>
        </w:rPr>
        <w:t>7</w:t>
      </w:r>
      <w:r>
        <w:rPr>
          <w:rFonts w:hint="eastAsia" w:hAnsi="宋体"/>
          <w:color w:val="auto"/>
          <w:spacing w:val="-2"/>
          <w:highlight w:val="none"/>
        </w:rPr>
        <w:t>〕</w:t>
      </w:r>
      <w:r>
        <w:rPr>
          <w:rFonts w:hAnsi="宋体"/>
          <w:color w:val="auto"/>
          <w:spacing w:val="-2"/>
          <w:highlight w:val="none"/>
        </w:rPr>
        <w:t xml:space="preserve"> </w:t>
      </w:r>
      <w:r>
        <w:rPr>
          <w:rFonts w:hAnsi="宋体" w:cs="Arial"/>
          <w:color w:val="auto"/>
          <w:spacing w:val="-2"/>
          <w:w w:val="114"/>
          <w:highlight w:val="none"/>
        </w:rPr>
        <w:t>14</w:t>
      </w:r>
      <w:r>
        <w:rPr>
          <w:rFonts w:hAnsi="宋体" w:cs="Arial"/>
          <w:color w:val="auto"/>
          <w:w w:val="114"/>
          <w:highlight w:val="none"/>
        </w:rPr>
        <w:t>1</w:t>
      </w:r>
      <w:r>
        <w:rPr>
          <w:rFonts w:hAnsi="宋体" w:cs="Arial"/>
          <w:color w:val="auto"/>
          <w:highlight w:val="none"/>
        </w:rPr>
        <w:t xml:space="preserve"> </w:t>
      </w:r>
      <w:r>
        <w:rPr>
          <w:rFonts w:hint="eastAsia" w:hAnsi="宋体"/>
          <w:color w:val="auto"/>
          <w:spacing w:val="12"/>
          <w:highlight w:val="none"/>
        </w:rPr>
        <w:t>号</w:t>
      </w:r>
      <w:r>
        <w:rPr>
          <w:rFonts w:hint="eastAsia" w:hAnsi="宋体"/>
          <w:color w:val="auto"/>
          <w:spacing w:val="9"/>
          <w:highlight w:val="none"/>
        </w:rPr>
        <w:t>）</w:t>
      </w:r>
      <w:r>
        <w:rPr>
          <w:rFonts w:hint="eastAsia" w:hAnsi="宋体"/>
          <w:color w:val="auto"/>
          <w:spacing w:val="10"/>
          <w:highlight w:val="none"/>
        </w:rPr>
        <w:t>的规定，本单位</w:t>
      </w:r>
      <w:r>
        <w:rPr>
          <w:rFonts w:hint="eastAsia" w:hAnsi="宋体"/>
          <w:color w:val="auto"/>
          <w:spacing w:val="2"/>
          <w:highlight w:val="none"/>
        </w:rPr>
        <w:t>（</w:t>
      </w:r>
      <w:r>
        <w:rPr>
          <w:rFonts w:hint="eastAsia" w:hAnsi="宋体"/>
          <w:color w:val="auto"/>
          <w:highlight w:val="none"/>
        </w:rPr>
        <w:t>请进行选择</w:t>
      </w:r>
      <w:r>
        <w:rPr>
          <w:rFonts w:hint="eastAsia" w:hAnsi="宋体"/>
          <w:color w:val="auto"/>
          <w:spacing w:val="-121"/>
          <w:highlight w:val="none"/>
        </w:rPr>
        <w:t>）</w:t>
      </w:r>
      <w:r>
        <w:rPr>
          <w:rFonts w:hint="eastAsia" w:hAnsi="宋体"/>
          <w:color w:val="auto"/>
          <w:highlight w:val="none"/>
        </w:rPr>
        <w:t>：</w:t>
      </w:r>
    </w:p>
    <w:p>
      <w:pPr>
        <w:pStyle w:val="17"/>
        <w:kinsoku w:val="0"/>
        <w:overflowPunct w:val="0"/>
        <w:spacing w:before="1"/>
        <w:ind w:left="1023"/>
        <w:rPr>
          <w:rFonts w:hAnsi="宋体"/>
          <w:color w:val="auto"/>
          <w:w w:val="105"/>
          <w:highlight w:val="none"/>
        </w:rPr>
      </w:pPr>
      <w:r>
        <w:rPr>
          <w:rFonts w:hAnsi="宋体" w:cs="Courier New"/>
          <w:b/>
          <w:bCs/>
          <w:color w:val="auto"/>
          <w:w w:val="140"/>
          <w:highlight w:val="none"/>
        </w:rPr>
        <w:t>□</w:t>
      </w:r>
      <w:r>
        <w:rPr>
          <w:rFonts w:hint="eastAsia" w:hAnsi="宋体"/>
          <w:color w:val="auto"/>
          <w:spacing w:val="16"/>
          <w:highlight w:val="none"/>
        </w:rPr>
        <w:t>不属于符合条件的残疾人福利性单位</w:t>
      </w:r>
      <w:r>
        <w:rPr>
          <w:rFonts w:hint="eastAsia" w:hAnsi="宋体"/>
          <w:color w:val="auto"/>
          <w:w w:val="105"/>
          <w:highlight w:val="none"/>
        </w:rPr>
        <w:t>。</w:t>
      </w:r>
    </w:p>
    <w:p>
      <w:pPr>
        <w:pStyle w:val="17"/>
        <w:kinsoku w:val="0"/>
        <w:overflowPunct w:val="0"/>
        <w:spacing w:before="7"/>
        <w:rPr>
          <w:rFonts w:hAnsi="宋体"/>
          <w:color w:val="auto"/>
          <w:sz w:val="21"/>
          <w:szCs w:val="21"/>
          <w:highlight w:val="none"/>
        </w:rPr>
      </w:pPr>
    </w:p>
    <w:p>
      <w:pPr>
        <w:pStyle w:val="17"/>
        <w:tabs>
          <w:tab w:val="left" w:pos="7628"/>
          <w:tab w:val="left" w:pos="9118"/>
        </w:tabs>
        <w:kinsoku w:val="0"/>
        <w:overflowPunct w:val="0"/>
        <w:spacing w:line="456" w:lineRule="auto"/>
        <w:ind w:left="541" w:right="569" w:firstLine="482"/>
        <w:jc w:val="both"/>
        <w:rPr>
          <w:rFonts w:hAnsi="宋体"/>
          <w:color w:val="auto"/>
          <w:highlight w:val="none"/>
        </w:rPr>
      </w:pPr>
      <w:r>
        <w:rPr>
          <w:rFonts w:hAnsi="宋体" w:cs="Courier New"/>
          <w:b/>
          <w:bCs/>
          <w:color w:val="auto"/>
          <w:w w:val="135"/>
          <w:highlight w:val="none"/>
        </w:rPr>
        <w:t>□</w:t>
      </w:r>
      <w:r>
        <w:rPr>
          <w:rFonts w:hint="eastAsia" w:hAnsi="宋体"/>
          <w:color w:val="auto"/>
          <w:spacing w:val="16"/>
          <w:highlight w:val="none"/>
        </w:rPr>
        <w:t>属于符合</w:t>
      </w:r>
      <w:r>
        <w:rPr>
          <w:rFonts w:hint="eastAsia" w:hAnsi="宋体"/>
          <w:color w:val="auto"/>
          <w:spacing w:val="19"/>
          <w:highlight w:val="none"/>
        </w:rPr>
        <w:t>条</w:t>
      </w:r>
      <w:r>
        <w:rPr>
          <w:rFonts w:hint="eastAsia" w:hAnsi="宋体"/>
          <w:color w:val="auto"/>
          <w:spacing w:val="16"/>
          <w:highlight w:val="none"/>
        </w:rPr>
        <w:t>件的残疾人福利性</w:t>
      </w:r>
      <w:r>
        <w:rPr>
          <w:rFonts w:hint="eastAsia" w:hAnsi="宋体"/>
          <w:color w:val="auto"/>
          <w:spacing w:val="19"/>
          <w:highlight w:val="none"/>
        </w:rPr>
        <w:t>单</w:t>
      </w:r>
      <w:r>
        <w:rPr>
          <w:rFonts w:hint="eastAsia" w:hAnsi="宋体"/>
          <w:color w:val="auto"/>
          <w:spacing w:val="16"/>
          <w:highlight w:val="none"/>
        </w:rPr>
        <w:t>位</w:t>
      </w:r>
      <w:r>
        <w:rPr>
          <w:rFonts w:hint="eastAsia" w:hAnsi="宋体"/>
          <w:color w:val="auto"/>
          <w:spacing w:val="18"/>
          <w:highlight w:val="none"/>
        </w:rPr>
        <w:t>，</w:t>
      </w:r>
      <w:r>
        <w:rPr>
          <w:rFonts w:hint="eastAsia" w:hAnsi="宋体"/>
          <w:color w:val="auto"/>
          <w:spacing w:val="16"/>
          <w:highlight w:val="none"/>
        </w:rPr>
        <w:t>且</w:t>
      </w:r>
      <w:r>
        <w:rPr>
          <w:rFonts w:hint="eastAsia" w:hAnsi="宋体"/>
          <w:color w:val="auto"/>
          <w:spacing w:val="14"/>
          <w:highlight w:val="none"/>
        </w:rPr>
        <w:t>本</w:t>
      </w:r>
      <w:r>
        <w:rPr>
          <w:rFonts w:hint="eastAsia" w:hAnsi="宋体"/>
          <w:color w:val="auto"/>
          <w:spacing w:val="16"/>
          <w:highlight w:val="none"/>
        </w:rPr>
        <w:t>单位参</w:t>
      </w:r>
      <w:r>
        <w:rPr>
          <w:rFonts w:hint="eastAsia" w:hAnsi="宋体"/>
          <w:color w:val="auto"/>
          <w:spacing w:val="14"/>
          <w:highlight w:val="none"/>
        </w:rPr>
        <w:t>加</w:t>
      </w:r>
      <w:r>
        <w:rPr>
          <w:rFonts w:hAnsi="宋体"/>
          <w:color w:val="auto"/>
          <w:spacing w:val="14"/>
          <w:highlight w:val="none"/>
          <w:u w:val="single" w:color="000000"/>
        </w:rPr>
        <w:t xml:space="preserve"> </w:t>
      </w:r>
      <w:r>
        <w:rPr>
          <w:rFonts w:hAnsi="宋体"/>
          <w:color w:val="auto"/>
          <w:spacing w:val="14"/>
          <w:highlight w:val="none"/>
          <w:u w:val="single" w:color="000000"/>
        </w:rPr>
        <w:tab/>
      </w:r>
      <w:r>
        <w:rPr>
          <w:rFonts w:hint="eastAsia" w:hAnsi="宋体"/>
          <w:color w:val="auto"/>
          <w:spacing w:val="16"/>
          <w:highlight w:val="none"/>
        </w:rPr>
        <w:t>单</w:t>
      </w:r>
      <w:r>
        <w:rPr>
          <w:rFonts w:hint="eastAsia" w:hAnsi="宋体"/>
          <w:color w:val="auto"/>
          <w:spacing w:val="14"/>
          <w:highlight w:val="none"/>
        </w:rPr>
        <w:t>位</w:t>
      </w:r>
      <w:r>
        <w:rPr>
          <w:rFonts w:hint="eastAsia" w:hAnsi="宋体"/>
          <w:color w:val="auto"/>
          <w:spacing w:val="16"/>
          <w:highlight w:val="none"/>
        </w:rPr>
        <w:t>的</w:t>
      </w:r>
      <w:r>
        <w:rPr>
          <w:rFonts w:hAnsi="宋体"/>
          <w:color w:val="auto"/>
          <w:spacing w:val="16"/>
          <w:highlight w:val="none"/>
          <w:u w:val="single" w:color="000000"/>
        </w:rPr>
        <w:t xml:space="preserve"> </w:t>
      </w:r>
      <w:r>
        <w:rPr>
          <w:rFonts w:hAnsi="宋体"/>
          <w:color w:val="auto"/>
          <w:spacing w:val="16"/>
          <w:highlight w:val="none"/>
          <w:u w:val="single" w:color="000000"/>
        </w:rPr>
        <w:tab/>
      </w:r>
      <w:r>
        <w:rPr>
          <w:rFonts w:hint="eastAsia" w:hAnsi="宋体"/>
          <w:color w:val="auto"/>
          <w:spacing w:val="16"/>
          <w:highlight w:val="none"/>
        </w:rPr>
        <w:t>项</w:t>
      </w:r>
      <w:r>
        <w:rPr>
          <w:rFonts w:hint="eastAsia" w:hAnsi="宋体"/>
          <w:color w:val="auto"/>
          <w:spacing w:val="-16"/>
          <w:highlight w:val="none"/>
        </w:rPr>
        <w:t>目</w:t>
      </w:r>
      <w:r>
        <w:rPr>
          <w:rFonts w:hint="eastAsia" w:hAnsi="宋体"/>
          <w:color w:val="auto"/>
          <w:spacing w:val="12"/>
          <w:highlight w:val="none"/>
        </w:rPr>
        <w:t>采</w:t>
      </w:r>
      <w:r>
        <w:rPr>
          <w:rFonts w:hint="eastAsia" w:hAnsi="宋体"/>
          <w:color w:val="auto"/>
          <w:spacing w:val="14"/>
          <w:highlight w:val="none"/>
        </w:rPr>
        <w:t>购</w:t>
      </w:r>
      <w:r>
        <w:rPr>
          <w:rFonts w:hint="eastAsia" w:hAnsi="宋体"/>
          <w:color w:val="auto"/>
          <w:spacing w:val="12"/>
          <w:highlight w:val="none"/>
        </w:rPr>
        <w:t>活</w:t>
      </w:r>
      <w:r>
        <w:rPr>
          <w:rFonts w:hint="eastAsia" w:hAnsi="宋体"/>
          <w:color w:val="auto"/>
          <w:spacing w:val="14"/>
          <w:highlight w:val="none"/>
        </w:rPr>
        <w:t>动</w:t>
      </w:r>
      <w:r>
        <w:rPr>
          <w:rFonts w:hint="eastAsia" w:hAnsi="宋体"/>
          <w:color w:val="auto"/>
          <w:spacing w:val="12"/>
          <w:highlight w:val="none"/>
        </w:rPr>
        <w:t>提</w:t>
      </w:r>
      <w:r>
        <w:rPr>
          <w:rFonts w:hint="eastAsia" w:hAnsi="宋体"/>
          <w:color w:val="auto"/>
          <w:spacing w:val="14"/>
          <w:highlight w:val="none"/>
        </w:rPr>
        <w:t>供</w:t>
      </w:r>
      <w:r>
        <w:rPr>
          <w:rFonts w:hint="eastAsia" w:hAnsi="宋体"/>
          <w:color w:val="auto"/>
          <w:spacing w:val="12"/>
          <w:highlight w:val="none"/>
        </w:rPr>
        <w:t>本</w:t>
      </w:r>
      <w:r>
        <w:rPr>
          <w:rFonts w:hint="eastAsia" w:hAnsi="宋体"/>
          <w:color w:val="auto"/>
          <w:spacing w:val="14"/>
          <w:highlight w:val="none"/>
        </w:rPr>
        <w:t>单</w:t>
      </w:r>
      <w:r>
        <w:rPr>
          <w:rFonts w:hint="eastAsia" w:hAnsi="宋体"/>
          <w:color w:val="auto"/>
          <w:spacing w:val="12"/>
          <w:highlight w:val="none"/>
        </w:rPr>
        <w:t>位</w:t>
      </w:r>
      <w:r>
        <w:rPr>
          <w:rFonts w:hint="eastAsia" w:hAnsi="宋体"/>
          <w:color w:val="auto"/>
          <w:spacing w:val="14"/>
          <w:highlight w:val="none"/>
        </w:rPr>
        <w:t>制</w:t>
      </w:r>
      <w:r>
        <w:rPr>
          <w:rFonts w:hint="eastAsia" w:hAnsi="宋体"/>
          <w:color w:val="auto"/>
          <w:spacing w:val="12"/>
          <w:highlight w:val="none"/>
        </w:rPr>
        <w:t>造</w:t>
      </w:r>
      <w:r>
        <w:rPr>
          <w:rFonts w:hint="eastAsia" w:hAnsi="宋体"/>
          <w:color w:val="auto"/>
          <w:spacing w:val="14"/>
          <w:highlight w:val="none"/>
        </w:rPr>
        <w:t>的</w:t>
      </w:r>
      <w:r>
        <w:rPr>
          <w:rFonts w:hint="eastAsia" w:hAnsi="宋体"/>
          <w:color w:val="auto"/>
          <w:spacing w:val="12"/>
          <w:highlight w:val="none"/>
        </w:rPr>
        <w:t>货物</w:t>
      </w:r>
      <w:r>
        <w:rPr>
          <w:rFonts w:hint="eastAsia" w:hAnsi="宋体"/>
          <w:color w:val="auto"/>
          <w:spacing w:val="14"/>
          <w:highlight w:val="none"/>
        </w:rPr>
        <w:t>（</w:t>
      </w:r>
      <w:r>
        <w:rPr>
          <w:rFonts w:hint="eastAsia" w:hAnsi="宋体"/>
          <w:color w:val="auto"/>
          <w:spacing w:val="12"/>
          <w:highlight w:val="none"/>
        </w:rPr>
        <w:t>由</w:t>
      </w:r>
      <w:r>
        <w:rPr>
          <w:rFonts w:hint="eastAsia" w:hAnsi="宋体"/>
          <w:color w:val="auto"/>
          <w:spacing w:val="14"/>
          <w:highlight w:val="none"/>
        </w:rPr>
        <w:t>本</w:t>
      </w:r>
      <w:r>
        <w:rPr>
          <w:rFonts w:hint="eastAsia" w:hAnsi="宋体"/>
          <w:color w:val="auto"/>
          <w:spacing w:val="12"/>
          <w:highlight w:val="none"/>
        </w:rPr>
        <w:t>单</w:t>
      </w:r>
      <w:r>
        <w:rPr>
          <w:rFonts w:hint="eastAsia" w:hAnsi="宋体"/>
          <w:color w:val="auto"/>
          <w:spacing w:val="14"/>
          <w:highlight w:val="none"/>
        </w:rPr>
        <w:t>位</w:t>
      </w:r>
      <w:r>
        <w:rPr>
          <w:rFonts w:hint="eastAsia" w:hAnsi="宋体"/>
          <w:color w:val="auto"/>
          <w:spacing w:val="12"/>
          <w:highlight w:val="none"/>
        </w:rPr>
        <w:t>承</w:t>
      </w:r>
      <w:r>
        <w:rPr>
          <w:rFonts w:hint="eastAsia" w:hAnsi="宋体"/>
          <w:color w:val="auto"/>
          <w:spacing w:val="14"/>
          <w:highlight w:val="none"/>
        </w:rPr>
        <w:t>担</w:t>
      </w:r>
      <w:r>
        <w:rPr>
          <w:rFonts w:hint="eastAsia" w:hAnsi="宋体"/>
          <w:color w:val="auto"/>
          <w:spacing w:val="12"/>
          <w:highlight w:val="none"/>
        </w:rPr>
        <w:t>工</w:t>
      </w:r>
      <w:r>
        <w:rPr>
          <w:rFonts w:hint="eastAsia" w:hAnsi="宋体"/>
          <w:color w:val="auto"/>
          <w:spacing w:val="9"/>
          <w:highlight w:val="none"/>
        </w:rPr>
        <w:t>程</w:t>
      </w:r>
      <w:r>
        <w:rPr>
          <w:rFonts w:hAnsi="宋体" w:cs="Arial"/>
          <w:color w:val="auto"/>
          <w:spacing w:val="7"/>
          <w:w w:val="121"/>
          <w:highlight w:val="none"/>
        </w:rPr>
        <w:t>/</w:t>
      </w:r>
      <w:r>
        <w:rPr>
          <w:rFonts w:hint="eastAsia" w:hAnsi="宋体"/>
          <w:color w:val="auto"/>
          <w:spacing w:val="12"/>
          <w:highlight w:val="none"/>
        </w:rPr>
        <w:t>提</w:t>
      </w:r>
      <w:r>
        <w:rPr>
          <w:rFonts w:hint="eastAsia" w:hAnsi="宋体"/>
          <w:color w:val="auto"/>
          <w:spacing w:val="14"/>
          <w:highlight w:val="none"/>
        </w:rPr>
        <w:t>供</w:t>
      </w:r>
      <w:r>
        <w:rPr>
          <w:rFonts w:hint="eastAsia" w:hAnsi="宋体"/>
          <w:color w:val="auto"/>
          <w:spacing w:val="12"/>
          <w:highlight w:val="none"/>
        </w:rPr>
        <w:t>服务</w:t>
      </w:r>
      <w:r>
        <w:rPr>
          <w:rFonts w:hint="eastAsia" w:hAnsi="宋体"/>
          <w:color w:val="auto"/>
          <w:spacing w:val="-111"/>
          <w:highlight w:val="none"/>
        </w:rPr>
        <w:t>）</w:t>
      </w:r>
      <w:r>
        <w:rPr>
          <w:rFonts w:hint="eastAsia" w:hAnsi="宋体"/>
          <w:color w:val="auto"/>
          <w:spacing w:val="12"/>
          <w:highlight w:val="none"/>
        </w:rPr>
        <w:t>，</w:t>
      </w:r>
      <w:r>
        <w:rPr>
          <w:rFonts w:hint="eastAsia" w:hAnsi="宋体"/>
          <w:color w:val="auto"/>
          <w:spacing w:val="14"/>
          <w:highlight w:val="none"/>
        </w:rPr>
        <w:t>或</w:t>
      </w:r>
      <w:r>
        <w:rPr>
          <w:rFonts w:hint="eastAsia" w:hAnsi="宋体"/>
          <w:color w:val="auto"/>
          <w:spacing w:val="12"/>
          <w:highlight w:val="none"/>
        </w:rPr>
        <w:t>者</w:t>
      </w:r>
      <w:r>
        <w:rPr>
          <w:rFonts w:hint="eastAsia" w:hAnsi="宋体"/>
          <w:color w:val="auto"/>
          <w:spacing w:val="14"/>
          <w:highlight w:val="none"/>
        </w:rPr>
        <w:t>提</w:t>
      </w:r>
      <w:r>
        <w:rPr>
          <w:rFonts w:hint="eastAsia" w:hAnsi="宋体"/>
          <w:color w:val="auto"/>
          <w:spacing w:val="12"/>
          <w:highlight w:val="none"/>
        </w:rPr>
        <w:t>供</w:t>
      </w:r>
      <w:r>
        <w:rPr>
          <w:rFonts w:hint="eastAsia" w:hAnsi="宋体"/>
          <w:color w:val="auto"/>
          <w:spacing w:val="14"/>
          <w:highlight w:val="none"/>
        </w:rPr>
        <w:t>其</w:t>
      </w:r>
      <w:r>
        <w:rPr>
          <w:rFonts w:hint="eastAsia" w:hAnsi="宋体"/>
          <w:color w:val="auto"/>
          <w:spacing w:val="12"/>
          <w:highlight w:val="none"/>
        </w:rPr>
        <w:t>他</w:t>
      </w:r>
      <w:r>
        <w:rPr>
          <w:rFonts w:hint="eastAsia" w:hAnsi="宋体"/>
          <w:color w:val="auto"/>
          <w:highlight w:val="none"/>
        </w:rPr>
        <w:t>残</w:t>
      </w:r>
      <w:r>
        <w:rPr>
          <w:rFonts w:hint="eastAsia" w:hAnsi="宋体"/>
          <w:color w:val="auto"/>
          <w:spacing w:val="12"/>
          <w:highlight w:val="none"/>
        </w:rPr>
        <w:t>疾人福利性单位制造的货物（不包括使用非残疾人福利性单位注册商标的货物</w:t>
      </w:r>
      <w:r>
        <w:rPr>
          <w:rFonts w:hint="eastAsia" w:hAnsi="宋体"/>
          <w:color w:val="auto"/>
          <w:spacing w:val="-116"/>
          <w:highlight w:val="none"/>
        </w:rPr>
        <w:t>）</w:t>
      </w:r>
      <w:r>
        <w:rPr>
          <w:rFonts w:hint="eastAsia" w:hAnsi="宋体"/>
          <w:color w:val="auto"/>
          <w:highlight w:val="none"/>
        </w:rPr>
        <w:t>。</w:t>
      </w:r>
    </w:p>
    <w:p>
      <w:pPr>
        <w:pStyle w:val="17"/>
        <w:kinsoku w:val="0"/>
        <w:overflowPunct w:val="0"/>
        <w:spacing w:before="7"/>
        <w:ind w:left="1045"/>
        <w:rPr>
          <w:rFonts w:hAnsi="宋体"/>
          <w:color w:val="auto"/>
          <w:highlight w:val="none"/>
        </w:rPr>
      </w:pPr>
      <w:r>
        <w:rPr>
          <w:rFonts w:hint="eastAsia" w:hAnsi="宋体"/>
          <w:color w:val="auto"/>
          <w:highlight w:val="none"/>
        </w:rPr>
        <w:t>本单位对上述声明的真实性负责。如有虚假，将依法承担相应责任。</w:t>
      </w:r>
    </w:p>
    <w:p>
      <w:pPr>
        <w:pStyle w:val="17"/>
        <w:kinsoku w:val="0"/>
        <w:overflowPunct w:val="0"/>
        <w:rPr>
          <w:rFonts w:hAnsi="宋体"/>
          <w:color w:val="auto"/>
          <w:highlight w:val="none"/>
        </w:rPr>
      </w:pPr>
    </w:p>
    <w:p>
      <w:pPr>
        <w:pStyle w:val="17"/>
        <w:kinsoku w:val="0"/>
        <w:overflowPunct w:val="0"/>
        <w:rPr>
          <w:rFonts w:hAnsi="宋体"/>
          <w:color w:val="auto"/>
          <w:highlight w:val="none"/>
        </w:rPr>
      </w:pPr>
    </w:p>
    <w:p>
      <w:pPr>
        <w:pStyle w:val="17"/>
        <w:kinsoku w:val="0"/>
        <w:overflowPunct w:val="0"/>
        <w:rPr>
          <w:rFonts w:hAnsi="宋体"/>
          <w:color w:val="auto"/>
          <w:highlight w:val="none"/>
        </w:rPr>
      </w:pPr>
    </w:p>
    <w:p>
      <w:pPr>
        <w:pStyle w:val="17"/>
        <w:kinsoku w:val="0"/>
        <w:overflowPunct w:val="0"/>
        <w:rPr>
          <w:rFonts w:hAnsi="宋体"/>
          <w:color w:val="auto"/>
          <w:highlight w:val="none"/>
        </w:rPr>
      </w:pPr>
    </w:p>
    <w:p>
      <w:pPr>
        <w:pStyle w:val="17"/>
        <w:kinsoku w:val="0"/>
        <w:overflowPunct w:val="0"/>
        <w:spacing w:before="8"/>
        <w:rPr>
          <w:rFonts w:hAnsi="宋体"/>
          <w:color w:val="auto"/>
          <w:sz w:val="17"/>
          <w:szCs w:val="17"/>
          <w:highlight w:val="none"/>
        </w:rPr>
      </w:pPr>
    </w:p>
    <w:p>
      <w:pPr>
        <w:pStyle w:val="17"/>
        <w:tabs>
          <w:tab w:val="left" w:pos="8106"/>
        </w:tabs>
        <w:kinsoku w:val="0"/>
        <w:overflowPunct w:val="0"/>
        <w:ind w:left="5190"/>
        <w:rPr>
          <w:rFonts w:hAnsi="宋体" w:cs="Times New Roman"/>
          <w:color w:val="auto"/>
          <w:highlight w:val="none"/>
        </w:rPr>
      </w:pPr>
      <w:r>
        <w:rPr>
          <w:rFonts w:hint="eastAsia" w:hAnsi="宋体"/>
          <w:color w:val="auto"/>
          <w:spacing w:val="12"/>
          <w:highlight w:val="none"/>
        </w:rPr>
        <w:t>单位名称（盖章</w:t>
      </w:r>
      <w:r>
        <w:rPr>
          <w:rFonts w:hint="eastAsia" w:hAnsi="宋体"/>
          <w:color w:val="auto"/>
          <w:spacing w:val="-113"/>
          <w:highlight w:val="none"/>
        </w:rPr>
        <w:t>）</w:t>
      </w:r>
      <w:r>
        <w:rPr>
          <w:rFonts w:hint="eastAsia" w:hAnsi="宋体"/>
          <w:color w:val="auto"/>
          <w:spacing w:val="10"/>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kinsoku w:val="0"/>
        <w:overflowPunct w:val="0"/>
        <w:spacing w:before="2"/>
        <w:rPr>
          <w:rFonts w:hAnsi="宋体" w:cs="Times New Roman"/>
          <w:color w:val="auto"/>
          <w:sz w:val="17"/>
          <w:szCs w:val="17"/>
          <w:highlight w:val="none"/>
        </w:rPr>
      </w:pPr>
    </w:p>
    <w:p>
      <w:pPr>
        <w:pStyle w:val="17"/>
        <w:tabs>
          <w:tab w:val="left" w:pos="6829"/>
          <w:tab w:val="left" w:pos="8106"/>
        </w:tabs>
        <w:kinsoku w:val="0"/>
        <w:overflowPunct w:val="0"/>
        <w:spacing w:before="83"/>
        <w:ind w:left="6313"/>
        <w:rPr>
          <w:rFonts w:hAnsi="宋体" w:cs="Times New Roman"/>
          <w:color w:val="auto"/>
          <w:highlight w:val="none"/>
        </w:rPr>
      </w:pPr>
      <w:r>
        <w:rPr>
          <w:rFonts w:hint="eastAsia" w:hAnsi="宋体"/>
          <w:color w:val="auto"/>
          <w:highlight w:val="none"/>
        </w:rPr>
        <w:t>日</w:t>
      </w:r>
      <w:r>
        <w:rPr>
          <w:rFonts w:hAnsi="宋体"/>
          <w:color w:val="auto"/>
          <w:highlight w:val="none"/>
        </w:rPr>
        <w:tab/>
      </w:r>
      <w:r>
        <w:rPr>
          <w:rFonts w:hint="eastAsia" w:hAnsi="宋体"/>
          <w:color w:val="auto"/>
          <w:spacing w:val="12"/>
          <w:highlight w:val="none"/>
        </w:rPr>
        <w:t>期</w:t>
      </w:r>
      <w:r>
        <w:rPr>
          <w:rFonts w:hint="eastAsia" w:hAnsi="宋体"/>
          <w:color w:val="auto"/>
          <w:spacing w:val="1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tabs>
          <w:tab w:val="left" w:pos="6829"/>
          <w:tab w:val="left" w:pos="8106"/>
        </w:tabs>
        <w:kinsoku w:val="0"/>
        <w:overflowPunct w:val="0"/>
        <w:spacing w:before="83"/>
        <w:ind w:left="6313"/>
        <w:rPr>
          <w:rFonts w:hAnsi="宋体" w:cs="Times New Roman"/>
          <w:color w:val="auto"/>
          <w:highlight w:val="none"/>
        </w:rPr>
        <w:sectPr>
          <w:pgSz w:w="11910" w:h="16840"/>
          <w:pgMar w:top="1340" w:right="560" w:bottom="1080" w:left="1160" w:header="879" w:footer="879" w:gutter="0"/>
          <w:cols w:space="720" w:num="1"/>
        </w:sectPr>
      </w:pPr>
    </w:p>
    <w:p>
      <w:pPr>
        <w:pStyle w:val="69"/>
        <w:spacing w:line="360" w:lineRule="auto"/>
        <w:ind w:left="0" w:firstLine="0"/>
        <w:outlineLvl w:val="0"/>
        <w:rPr>
          <w:rFonts w:hAnsi="宋体"/>
          <w:color w:val="auto"/>
          <w:highlight w:val="none"/>
        </w:rPr>
      </w:pPr>
      <w:bookmarkStart w:id="99" w:name="_Toc149147727"/>
      <w:bookmarkStart w:id="100" w:name="_Toc149147572"/>
      <w:r>
        <w:rPr>
          <w:rFonts w:hint="eastAsia" w:hAnsi="宋体"/>
          <w:color w:val="auto"/>
          <w:highlight w:val="none"/>
        </w:rPr>
        <w:t>2-2 其它落实政府采购政策的资格要求（如有）</w:t>
      </w:r>
      <w:bookmarkEnd w:id="99"/>
      <w:bookmarkEnd w:id="100"/>
    </w:p>
    <w:p>
      <w:pPr>
        <w:pStyle w:val="69"/>
        <w:numPr>
          <w:ilvl w:val="1"/>
          <w:numId w:val="19"/>
        </w:numPr>
        <w:tabs>
          <w:tab w:val="left" w:pos="1053"/>
        </w:tabs>
        <w:kinsoku w:val="0"/>
        <w:overflowPunct w:val="0"/>
        <w:spacing w:before="73"/>
        <w:ind w:left="1052"/>
        <w:rPr>
          <w:rFonts w:hAnsi="宋体"/>
          <w:color w:val="auto"/>
          <w:highlight w:val="none"/>
        </w:rPr>
        <w:sectPr>
          <w:pgSz w:w="11910" w:h="16840"/>
          <w:pgMar w:top="1340" w:right="560" w:bottom="1080" w:left="1160" w:header="879" w:footer="879" w:gutter="0"/>
          <w:cols w:space="720" w:num="1"/>
        </w:sectPr>
      </w:pPr>
    </w:p>
    <w:p>
      <w:pPr>
        <w:pStyle w:val="69"/>
        <w:spacing w:line="360" w:lineRule="auto"/>
        <w:ind w:left="540" w:firstLine="0"/>
        <w:outlineLvl w:val="0"/>
        <w:rPr>
          <w:rFonts w:hAnsi="宋体"/>
          <w:color w:val="auto"/>
          <w:highlight w:val="none"/>
        </w:rPr>
      </w:pPr>
      <w:bookmarkStart w:id="101" w:name="_Toc149147573"/>
      <w:bookmarkStart w:id="102" w:name="_Toc149147728"/>
      <w:r>
        <w:rPr>
          <w:rFonts w:hAnsi="宋体"/>
          <w:color w:val="auto"/>
          <w:highlight w:val="none"/>
        </w:rPr>
        <w:t xml:space="preserve">3 </w:t>
      </w:r>
      <w:r>
        <w:rPr>
          <w:rFonts w:hint="eastAsia" w:hAnsi="宋体"/>
          <w:color w:val="auto"/>
          <w:highlight w:val="none"/>
        </w:rPr>
        <w:t>本项目的特定资格要求</w:t>
      </w:r>
      <w:bookmarkEnd w:id="101"/>
      <w:bookmarkEnd w:id="102"/>
      <w:r>
        <w:rPr>
          <w:rFonts w:hint="eastAsia" w:hAnsi="宋体"/>
          <w:color w:val="auto"/>
          <w:highlight w:val="none"/>
        </w:rPr>
        <w:t>（如有）</w:t>
      </w:r>
    </w:p>
    <w:p>
      <w:pPr>
        <w:rPr>
          <w:color w:val="auto"/>
          <w:sz w:val="24"/>
          <w:szCs w:val="20"/>
          <w:highlight w:val="none"/>
        </w:rPr>
      </w:pPr>
      <w:r>
        <w:rPr>
          <w:rFonts w:hint="eastAsia"/>
          <w:color w:val="auto"/>
          <w:sz w:val="24"/>
          <w:szCs w:val="20"/>
          <w:highlight w:val="none"/>
        </w:rPr>
        <w:br w:type="page"/>
      </w:r>
    </w:p>
    <w:p>
      <w:pPr>
        <w:pStyle w:val="69"/>
        <w:tabs>
          <w:tab w:val="left" w:pos="1053"/>
        </w:tabs>
        <w:kinsoku w:val="0"/>
        <w:overflowPunct w:val="0"/>
        <w:spacing w:before="73"/>
        <w:rPr>
          <w:rFonts w:hAnsi="宋体"/>
          <w:color w:val="auto"/>
          <w:highlight w:val="none"/>
        </w:rPr>
        <w:sectPr>
          <w:pgSz w:w="11910" w:h="16840"/>
          <w:pgMar w:top="1340" w:right="560" w:bottom="1080" w:left="1160" w:header="879" w:footer="879" w:gutter="0"/>
          <w:cols w:space="720" w:num="1"/>
        </w:sectPr>
      </w:pPr>
    </w:p>
    <w:p>
      <w:pPr>
        <w:pStyle w:val="69"/>
        <w:spacing w:line="360" w:lineRule="auto"/>
        <w:ind w:left="540" w:firstLine="0"/>
        <w:outlineLvl w:val="0"/>
        <w:rPr>
          <w:rFonts w:hAnsi="宋体"/>
          <w:color w:val="auto"/>
          <w:highlight w:val="none"/>
        </w:rPr>
      </w:pPr>
      <w:bookmarkStart w:id="103" w:name="_Toc149147577"/>
      <w:bookmarkStart w:id="104" w:name="_Toc149147732"/>
      <w:r>
        <w:rPr>
          <w:rFonts w:hint="eastAsia" w:hAnsi="宋体"/>
          <w:color w:val="auto"/>
          <w:highlight w:val="none"/>
        </w:rPr>
        <w:t>4</w:t>
      </w:r>
      <w:r>
        <w:rPr>
          <w:rFonts w:hAnsi="宋体"/>
          <w:color w:val="auto"/>
          <w:highlight w:val="none"/>
        </w:rPr>
        <w:t xml:space="preserve"> </w:t>
      </w:r>
      <w:r>
        <w:rPr>
          <w:rFonts w:hint="eastAsia" w:hAnsi="宋体"/>
          <w:color w:val="auto"/>
          <w:highlight w:val="none"/>
        </w:rPr>
        <w:t>响应书（实质性格式）</w:t>
      </w:r>
      <w:bookmarkEnd w:id="103"/>
      <w:bookmarkEnd w:id="104"/>
    </w:p>
    <w:p>
      <w:pPr>
        <w:pStyle w:val="17"/>
        <w:kinsoku w:val="0"/>
        <w:overflowPunct w:val="0"/>
        <w:rPr>
          <w:rFonts w:hAnsi="宋体"/>
          <w:color w:val="auto"/>
          <w:sz w:val="20"/>
          <w:szCs w:val="20"/>
          <w:highlight w:val="none"/>
        </w:rPr>
      </w:pPr>
    </w:p>
    <w:p>
      <w:pPr>
        <w:pStyle w:val="17"/>
        <w:kinsoku w:val="0"/>
        <w:overflowPunct w:val="0"/>
        <w:spacing w:before="4"/>
        <w:rPr>
          <w:rFonts w:hAnsi="宋体"/>
          <w:color w:val="auto"/>
          <w:sz w:val="21"/>
          <w:szCs w:val="21"/>
          <w:highlight w:val="none"/>
        </w:rPr>
      </w:pPr>
    </w:p>
    <w:p>
      <w:pPr>
        <w:pStyle w:val="3"/>
        <w:kinsoku w:val="0"/>
        <w:overflowPunct w:val="0"/>
        <w:spacing w:before="49"/>
        <w:ind w:right="32"/>
        <w:rPr>
          <w:rFonts w:hAnsi="宋体"/>
          <w:color w:val="auto"/>
          <w:highlight w:val="none"/>
        </w:rPr>
      </w:pPr>
      <w:bookmarkStart w:id="105" w:name="_Toc149147733"/>
      <w:bookmarkStart w:id="106" w:name="_Toc149147578"/>
      <w:r>
        <w:rPr>
          <w:rFonts w:hint="eastAsia" w:hAnsi="宋体"/>
          <w:color w:val="auto"/>
          <w:highlight w:val="none"/>
        </w:rPr>
        <w:t>响应书</w:t>
      </w:r>
      <w:bookmarkEnd w:id="105"/>
      <w:bookmarkEnd w:id="106"/>
    </w:p>
    <w:p>
      <w:pPr>
        <w:pStyle w:val="17"/>
        <w:kinsoku w:val="0"/>
        <w:overflowPunct w:val="0"/>
        <w:spacing w:before="7"/>
        <w:rPr>
          <w:rFonts w:hAnsi="宋体"/>
          <w:color w:val="auto"/>
          <w:sz w:val="13"/>
          <w:szCs w:val="13"/>
          <w:highlight w:val="none"/>
        </w:rPr>
      </w:pPr>
    </w:p>
    <w:p>
      <w:pPr>
        <w:pStyle w:val="17"/>
        <w:kinsoku w:val="0"/>
        <w:overflowPunct w:val="0"/>
        <w:spacing w:before="66"/>
        <w:ind w:left="541"/>
        <w:rPr>
          <w:rFonts w:hAnsi="宋体"/>
          <w:color w:val="auto"/>
          <w:highlight w:val="none"/>
        </w:rPr>
      </w:pPr>
      <w:r>
        <w:rPr>
          <w:rFonts w:hint="eastAsia" w:hAnsi="宋体"/>
          <w:color w:val="auto"/>
          <w:spacing w:val="-60"/>
          <w:highlight w:val="none"/>
        </w:rPr>
        <w:t>致：</w:t>
      </w:r>
      <w:r>
        <w:rPr>
          <w:rFonts w:hint="eastAsia" w:hAnsi="宋体"/>
          <w:color w:val="auto"/>
          <w:highlight w:val="none"/>
          <w:u w:val="single" w:color="000000"/>
        </w:rPr>
        <w:t>北京北咨招标有限公司</w:t>
      </w:r>
    </w:p>
    <w:p>
      <w:pPr>
        <w:pStyle w:val="17"/>
        <w:kinsoku w:val="0"/>
        <w:overflowPunct w:val="0"/>
        <w:rPr>
          <w:rFonts w:hAnsi="宋体"/>
          <w:color w:val="auto"/>
          <w:sz w:val="20"/>
          <w:szCs w:val="20"/>
          <w:highlight w:val="none"/>
        </w:rPr>
      </w:pPr>
    </w:p>
    <w:p>
      <w:pPr>
        <w:pStyle w:val="17"/>
        <w:kinsoku w:val="0"/>
        <w:overflowPunct w:val="0"/>
        <w:spacing w:before="9"/>
        <w:rPr>
          <w:rFonts w:hAnsi="宋体"/>
          <w:color w:val="auto"/>
          <w:sz w:val="18"/>
          <w:szCs w:val="18"/>
          <w:highlight w:val="none"/>
        </w:rPr>
      </w:pPr>
    </w:p>
    <w:p>
      <w:pPr>
        <w:pStyle w:val="17"/>
        <w:tabs>
          <w:tab w:val="left" w:pos="3335"/>
        </w:tabs>
        <w:kinsoku w:val="0"/>
        <w:overflowPunct w:val="0"/>
        <w:spacing w:before="82" w:line="364" w:lineRule="auto"/>
        <w:ind w:left="541" w:right="568" w:firstLine="408"/>
        <w:rPr>
          <w:rFonts w:hAnsi="宋体"/>
          <w:color w:val="auto"/>
          <w:highlight w:val="none"/>
        </w:rPr>
      </w:pPr>
      <w:r>
        <w:rPr>
          <w:rFonts w:hint="eastAsia" w:hAnsi="宋体"/>
          <w:color w:val="auto"/>
          <w:highlight w:val="none"/>
        </w:rPr>
        <w:t>我方参加你方就</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（项目名称</w:t>
      </w:r>
      <w:r>
        <w:rPr>
          <w:rFonts w:hint="eastAsia" w:hAnsi="宋体"/>
          <w:color w:val="auto"/>
          <w:spacing w:val="-15"/>
          <w:highlight w:val="none"/>
        </w:rPr>
        <w:t>，</w:t>
      </w:r>
      <w:r>
        <w:rPr>
          <w:rFonts w:hint="eastAsia" w:hAnsi="宋体"/>
          <w:color w:val="auto"/>
          <w:highlight w:val="none"/>
        </w:rPr>
        <w:t>项目编号</w:t>
      </w:r>
      <w:r>
        <w:rPr>
          <w:rFonts w:hAnsi="宋体" w:cs="Arial"/>
          <w:color w:val="auto"/>
          <w:highlight w:val="none"/>
        </w:rPr>
        <w:t>/</w:t>
      </w:r>
      <w:r>
        <w:rPr>
          <w:rFonts w:hint="eastAsia" w:hAnsi="宋体"/>
          <w:color w:val="auto"/>
          <w:highlight w:val="none"/>
        </w:rPr>
        <w:t>包号</w:t>
      </w:r>
      <w:r>
        <w:rPr>
          <w:rFonts w:hint="eastAsia" w:hAnsi="宋体"/>
          <w:color w:val="auto"/>
          <w:spacing w:val="-15"/>
          <w:highlight w:val="none"/>
        </w:rPr>
        <w:t>）</w:t>
      </w:r>
      <w:r>
        <w:rPr>
          <w:rFonts w:hint="eastAsia" w:hAnsi="宋体"/>
          <w:color w:val="auto"/>
          <w:highlight w:val="none"/>
        </w:rPr>
        <w:t>组织的采购活动</w:t>
      </w:r>
      <w:r>
        <w:rPr>
          <w:rFonts w:hint="eastAsia" w:hAnsi="宋体"/>
          <w:color w:val="auto"/>
          <w:spacing w:val="-15"/>
          <w:highlight w:val="none"/>
        </w:rPr>
        <w:t>，</w:t>
      </w:r>
      <w:r>
        <w:rPr>
          <w:rFonts w:hint="eastAsia" w:hAnsi="宋体"/>
          <w:color w:val="auto"/>
          <w:highlight w:val="none"/>
        </w:rPr>
        <w:t>并对此项</w:t>
      </w:r>
      <w:r>
        <w:rPr>
          <w:rFonts w:hint="eastAsia" w:hAnsi="宋体"/>
          <w:color w:val="auto"/>
          <w:spacing w:val="-13"/>
          <w:highlight w:val="none"/>
        </w:rPr>
        <w:t>目</w:t>
      </w:r>
      <w:r>
        <w:rPr>
          <w:rFonts w:hint="eastAsia" w:hAnsi="宋体"/>
          <w:color w:val="auto"/>
          <w:highlight w:val="none"/>
        </w:rPr>
        <w:t>进行磋商。</w:t>
      </w:r>
    </w:p>
    <w:p>
      <w:pPr>
        <w:pStyle w:val="69"/>
        <w:numPr>
          <w:ilvl w:val="0"/>
          <w:numId w:val="20"/>
        </w:numPr>
        <w:tabs>
          <w:tab w:val="left" w:pos="1298"/>
        </w:tabs>
        <w:kinsoku w:val="0"/>
        <w:overflowPunct w:val="0"/>
        <w:spacing w:line="306" w:lineRule="exact"/>
        <w:ind w:hanging="349"/>
        <w:rPr>
          <w:rFonts w:hAnsi="宋体"/>
          <w:color w:val="auto"/>
          <w:highlight w:val="none"/>
        </w:rPr>
      </w:pPr>
      <w:r>
        <w:rPr>
          <w:rFonts w:hint="eastAsia" w:hAnsi="宋体"/>
          <w:color w:val="auto"/>
          <w:highlight w:val="none"/>
        </w:rPr>
        <w:t>我方已详细审查全部竞争性磋商文件，自愿参与磋商并承诺如下：</w:t>
      </w:r>
    </w:p>
    <w:p>
      <w:pPr>
        <w:pStyle w:val="69"/>
        <w:numPr>
          <w:ilvl w:val="0"/>
          <w:numId w:val="21"/>
        </w:numPr>
        <w:tabs>
          <w:tab w:val="left" w:pos="1606"/>
          <w:tab w:val="left" w:pos="6884"/>
        </w:tabs>
        <w:kinsoku w:val="0"/>
        <w:overflowPunct w:val="0"/>
        <w:spacing w:before="161"/>
        <w:rPr>
          <w:rFonts w:hAnsi="宋体"/>
          <w:color w:val="auto"/>
          <w:highlight w:val="none"/>
        </w:rPr>
      </w:pPr>
      <w:r>
        <w:rPr>
          <w:rFonts w:hint="eastAsia" w:hAnsi="宋体"/>
          <w:color w:val="auto"/>
          <w:highlight w:val="none"/>
        </w:rPr>
        <w:t>本响应有效期为自响应文件提交截止之日起</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个日历日。</w:t>
      </w:r>
    </w:p>
    <w:p>
      <w:pPr>
        <w:pStyle w:val="69"/>
        <w:numPr>
          <w:ilvl w:val="0"/>
          <w:numId w:val="21"/>
        </w:numPr>
        <w:tabs>
          <w:tab w:val="left" w:pos="1612"/>
        </w:tabs>
        <w:kinsoku w:val="0"/>
        <w:overflowPunct w:val="0"/>
        <w:spacing w:before="158" w:line="364" w:lineRule="auto"/>
        <w:ind w:left="901" w:right="571" w:firstLine="72"/>
        <w:rPr>
          <w:rFonts w:hAnsi="宋体"/>
          <w:color w:val="auto"/>
          <w:highlight w:val="none"/>
        </w:rPr>
      </w:pPr>
      <w:r>
        <w:rPr>
          <w:rFonts w:hint="eastAsia" w:hAnsi="宋体"/>
          <w:color w:val="auto"/>
          <w:highlight w:val="none"/>
        </w:rPr>
        <w:t>除合同条款及采购需求偏离表列出的偏离外，我方响应竞争性磋商文件的全部要求。</w:t>
      </w:r>
    </w:p>
    <w:p>
      <w:pPr>
        <w:pStyle w:val="69"/>
        <w:numPr>
          <w:ilvl w:val="0"/>
          <w:numId w:val="21"/>
        </w:numPr>
        <w:tabs>
          <w:tab w:val="left" w:pos="1594"/>
        </w:tabs>
        <w:kinsoku w:val="0"/>
        <w:overflowPunct w:val="0"/>
        <w:spacing w:line="306" w:lineRule="exact"/>
        <w:ind w:left="1593"/>
        <w:rPr>
          <w:rFonts w:hAnsi="宋体"/>
          <w:color w:val="auto"/>
          <w:highlight w:val="none"/>
        </w:rPr>
      </w:pPr>
      <w:r>
        <w:rPr>
          <w:rFonts w:hint="eastAsia" w:hAnsi="宋体"/>
          <w:color w:val="auto"/>
          <w:highlight w:val="none"/>
        </w:rPr>
        <w:t>我方已提供的全部文件资料是真实、准确的，并对此承担一切法律后果。</w:t>
      </w:r>
    </w:p>
    <w:p>
      <w:pPr>
        <w:pStyle w:val="69"/>
        <w:numPr>
          <w:ilvl w:val="0"/>
          <w:numId w:val="21"/>
        </w:numPr>
        <w:tabs>
          <w:tab w:val="left" w:pos="1603"/>
        </w:tabs>
        <w:kinsoku w:val="0"/>
        <w:overflowPunct w:val="0"/>
        <w:spacing w:before="161" w:line="362" w:lineRule="auto"/>
        <w:ind w:left="541" w:right="571" w:firstLine="420"/>
        <w:rPr>
          <w:rFonts w:hAnsi="宋体"/>
          <w:color w:val="auto"/>
          <w:highlight w:val="none"/>
        </w:rPr>
      </w:pPr>
      <w:r>
        <w:rPr>
          <w:rFonts w:hint="eastAsia" w:hAnsi="宋体"/>
          <w:color w:val="auto"/>
          <w:highlight w:val="none"/>
        </w:rPr>
        <w:t>如我方成交，我方将在法律规定的期限内与你方签订合同，按照竞争性磋商文件要求提交履约保证金，并在合同约定的期限内完成合同规定的全部义务。</w:t>
      </w:r>
    </w:p>
    <w:p>
      <w:pPr>
        <w:pStyle w:val="69"/>
        <w:numPr>
          <w:ilvl w:val="0"/>
          <w:numId w:val="20"/>
        </w:numPr>
        <w:tabs>
          <w:tab w:val="left" w:pos="1310"/>
          <w:tab w:val="left" w:pos="4549"/>
        </w:tabs>
        <w:kinsoku w:val="0"/>
        <w:overflowPunct w:val="0"/>
        <w:spacing w:before="5"/>
        <w:ind w:left="1309" w:hanging="349"/>
        <w:rPr>
          <w:rFonts w:hAnsi="宋体"/>
          <w:color w:val="auto"/>
          <w:highlight w:val="none"/>
        </w:rPr>
      </w:pPr>
      <w:r>
        <w:rPr>
          <w:rFonts w:hint="eastAsia" w:hAnsi="宋体"/>
          <w:color w:val="auto"/>
          <w:highlight w:val="none"/>
        </w:rPr>
        <w:t>其他补充条款（如有</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int="eastAsia" w:hAnsi="宋体"/>
          <w:color w:val="auto"/>
          <w:highlight w:val="none"/>
        </w:rPr>
        <w:t>。</w:t>
      </w:r>
    </w:p>
    <w:p>
      <w:pPr>
        <w:pStyle w:val="17"/>
        <w:kinsoku w:val="0"/>
        <w:overflowPunct w:val="0"/>
        <w:spacing w:before="158"/>
        <w:ind w:left="1021"/>
        <w:rPr>
          <w:rFonts w:hAnsi="宋体"/>
          <w:color w:val="auto"/>
          <w:highlight w:val="none"/>
        </w:rPr>
      </w:pPr>
      <w:r>
        <w:rPr>
          <w:rFonts w:hint="eastAsia" w:hAnsi="宋体"/>
          <w:color w:val="auto"/>
          <w:highlight w:val="none"/>
        </w:rPr>
        <w:t>与本磋商有关的一切正式往来信函请寄：</w:t>
      </w:r>
    </w:p>
    <w:p>
      <w:pPr>
        <w:pStyle w:val="17"/>
        <w:kinsoku w:val="0"/>
        <w:overflowPunct w:val="0"/>
        <w:rPr>
          <w:rFonts w:hAnsi="宋体"/>
          <w:color w:val="auto"/>
          <w:highlight w:val="none"/>
        </w:rPr>
      </w:pPr>
    </w:p>
    <w:p>
      <w:pPr>
        <w:pStyle w:val="17"/>
        <w:kinsoku w:val="0"/>
        <w:overflowPunct w:val="0"/>
        <w:spacing w:before="1"/>
        <w:rPr>
          <w:rFonts w:hAnsi="宋体"/>
          <w:color w:val="auto"/>
          <w:sz w:val="21"/>
          <w:szCs w:val="21"/>
          <w:highlight w:val="none"/>
        </w:rPr>
      </w:pPr>
    </w:p>
    <w:p>
      <w:pPr>
        <w:pStyle w:val="17"/>
        <w:tabs>
          <w:tab w:val="left" w:pos="5161"/>
          <w:tab w:val="left" w:pos="5761"/>
          <w:tab w:val="left" w:pos="9054"/>
        </w:tabs>
        <w:kinsoku w:val="0"/>
        <w:overflowPunct w:val="0"/>
        <w:ind w:left="961"/>
        <w:rPr>
          <w:rFonts w:hAnsi="宋体" w:cs="Times New Roman"/>
          <w:color w:val="auto"/>
          <w:highlight w:val="none"/>
        </w:rPr>
      </w:pPr>
      <w:r>
        <w:rPr>
          <w:rFonts w:hint="eastAsia" w:hAnsi="宋体"/>
          <w:color w:val="auto"/>
          <w:highlight w:val="none"/>
        </w:rPr>
        <w:t>地址</w:t>
      </w:r>
      <w:r>
        <w:rPr>
          <w:rFonts w:hAnsi="宋体"/>
          <w:color w:val="auto"/>
          <w:highlight w:val="none"/>
        </w:rPr>
        <w:tab/>
      </w:r>
      <w:r>
        <w:rPr>
          <w:rFonts w:hint="eastAsia" w:hAnsi="宋体"/>
          <w:color w:val="auto"/>
          <w:highlight w:val="none"/>
        </w:rPr>
        <w:t>传</w:t>
      </w:r>
      <w:r>
        <w:rPr>
          <w:rFonts w:hAnsi="宋体"/>
          <w:color w:val="auto"/>
          <w:highlight w:val="none"/>
        </w:rPr>
        <w:tab/>
      </w:r>
      <w:r>
        <w:rPr>
          <w:rFonts w:hint="eastAsia" w:hAnsi="宋体"/>
          <w:color w:val="auto"/>
          <w:highlight w:val="none"/>
        </w:rPr>
        <w:t>真</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tabs>
          <w:tab w:val="left" w:pos="5161"/>
          <w:tab w:val="left" w:pos="9174"/>
        </w:tabs>
        <w:kinsoku w:val="0"/>
        <w:overflowPunct w:val="0"/>
        <w:spacing w:before="161"/>
        <w:ind w:left="961"/>
        <w:rPr>
          <w:rFonts w:hAnsi="宋体" w:cs="Times New Roman"/>
          <w:color w:val="auto"/>
          <w:highlight w:val="none"/>
        </w:rPr>
      </w:pPr>
      <w:r>
        <w:rPr>
          <w:rFonts w:hint="eastAsia" w:hAnsi="宋体"/>
          <w:color w:val="auto"/>
          <w:highlight w:val="none"/>
        </w:rPr>
        <w:t>电话</w:t>
      </w:r>
      <w:r>
        <w:rPr>
          <w:rFonts w:hAnsi="宋体"/>
          <w:color w:val="auto"/>
          <w:highlight w:val="none"/>
        </w:rPr>
        <w:tab/>
      </w:r>
      <w:r>
        <w:rPr>
          <w:rFonts w:hint="eastAsia" w:hAnsi="宋体"/>
          <w:color w:val="auto"/>
          <w:spacing w:val="-1"/>
          <w:highlight w:val="none"/>
        </w:rPr>
        <w:t>电</w:t>
      </w:r>
      <w:r>
        <w:rPr>
          <w:rFonts w:hint="eastAsia" w:hAnsi="宋体"/>
          <w:color w:val="auto"/>
          <w:highlight w:val="none"/>
        </w:rPr>
        <w:t>子函件</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kinsoku w:val="0"/>
        <w:overflowPunct w:val="0"/>
        <w:rPr>
          <w:rFonts w:hAnsi="宋体" w:cs="Times New Roman"/>
          <w:color w:val="auto"/>
          <w:sz w:val="20"/>
          <w:szCs w:val="20"/>
          <w:highlight w:val="none"/>
        </w:rPr>
      </w:pPr>
    </w:p>
    <w:p>
      <w:pPr>
        <w:pStyle w:val="17"/>
        <w:kinsoku w:val="0"/>
        <w:overflowPunct w:val="0"/>
        <w:rPr>
          <w:rFonts w:hAnsi="宋体" w:cs="Times New Roman"/>
          <w:color w:val="auto"/>
          <w:sz w:val="20"/>
          <w:szCs w:val="20"/>
          <w:highlight w:val="none"/>
        </w:rPr>
      </w:pPr>
    </w:p>
    <w:p>
      <w:pPr>
        <w:pStyle w:val="17"/>
        <w:kinsoku w:val="0"/>
        <w:overflowPunct w:val="0"/>
        <w:rPr>
          <w:rFonts w:hAnsi="宋体" w:cs="Times New Roman"/>
          <w:color w:val="auto"/>
          <w:sz w:val="20"/>
          <w:szCs w:val="20"/>
          <w:highlight w:val="none"/>
        </w:rPr>
      </w:pPr>
    </w:p>
    <w:p>
      <w:pPr>
        <w:pStyle w:val="17"/>
        <w:kinsoku w:val="0"/>
        <w:overflowPunct w:val="0"/>
        <w:rPr>
          <w:rFonts w:hAnsi="宋体" w:cs="Times New Roman"/>
          <w:color w:val="auto"/>
          <w:sz w:val="20"/>
          <w:szCs w:val="20"/>
          <w:highlight w:val="none"/>
        </w:rPr>
      </w:pPr>
    </w:p>
    <w:p>
      <w:pPr>
        <w:pStyle w:val="17"/>
        <w:kinsoku w:val="0"/>
        <w:overflowPunct w:val="0"/>
        <w:rPr>
          <w:rFonts w:hAnsi="宋体" w:cs="Times New Roman"/>
          <w:color w:val="auto"/>
          <w:sz w:val="20"/>
          <w:szCs w:val="20"/>
          <w:highlight w:val="none"/>
        </w:rPr>
      </w:pPr>
    </w:p>
    <w:p>
      <w:pPr>
        <w:pStyle w:val="17"/>
        <w:kinsoku w:val="0"/>
        <w:overflowPunct w:val="0"/>
        <w:spacing w:before="11"/>
        <w:rPr>
          <w:rFonts w:hAnsi="宋体" w:cs="Times New Roman"/>
          <w:color w:val="auto"/>
          <w:sz w:val="17"/>
          <w:szCs w:val="17"/>
          <w:highlight w:val="none"/>
        </w:rPr>
      </w:pPr>
    </w:p>
    <w:p>
      <w:pPr>
        <w:pStyle w:val="17"/>
        <w:tabs>
          <w:tab w:val="left" w:pos="2101"/>
          <w:tab w:val="left" w:pos="2821"/>
          <w:tab w:val="left" w:pos="3541"/>
          <w:tab w:val="left" w:pos="4434"/>
        </w:tabs>
        <w:kinsoku w:val="0"/>
        <w:overflowPunct w:val="0"/>
        <w:spacing w:before="85" w:line="384" w:lineRule="auto"/>
        <w:ind w:left="901" w:right="5750"/>
        <w:rPr>
          <w:rFonts w:hAnsi="宋体"/>
          <w:color w:val="auto"/>
          <w:highlight w:val="none"/>
        </w:rPr>
      </w:pPr>
      <w:r>
        <w:rPr>
          <w:rFonts w:hint="eastAsia" w:hAnsi="宋体"/>
          <w:color w:val="auto"/>
          <w:highlight w:val="none"/>
        </w:rPr>
        <w:t>供应商名称（加盖公章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Ansi="宋体" w:cs="Times New Roman"/>
          <w:color w:val="auto"/>
          <w:highlight w:val="none"/>
          <w:u w:val="single" w:color="000000"/>
        </w:rPr>
        <w:t xml:space="preserve"> </w:t>
      </w:r>
      <w:r>
        <w:rPr>
          <w:rFonts w:hint="eastAsia" w:hAnsi="宋体"/>
          <w:color w:val="auto"/>
          <w:highlight w:val="none"/>
        </w:rPr>
        <w:t>日期：</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月</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日</w:t>
      </w:r>
    </w:p>
    <w:p>
      <w:pPr>
        <w:pStyle w:val="17"/>
        <w:tabs>
          <w:tab w:val="left" w:pos="2101"/>
          <w:tab w:val="left" w:pos="2821"/>
          <w:tab w:val="left" w:pos="3541"/>
          <w:tab w:val="left" w:pos="4434"/>
        </w:tabs>
        <w:kinsoku w:val="0"/>
        <w:overflowPunct w:val="0"/>
        <w:spacing w:before="85" w:line="384" w:lineRule="auto"/>
        <w:ind w:left="901" w:right="5750"/>
        <w:rPr>
          <w:rFonts w:hAnsi="宋体"/>
          <w:color w:val="auto"/>
          <w:highlight w:val="none"/>
        </w:rPr>
        <w:sectPr>
          <w:pgSz w:w="11910" w:h="16840"/>
          <w:pgMar w:top="1340" w:right="560" w:bottom="1080" w:left="1160" w:header="879" w:footer="879" w:gutter="0"/>
          <w:cols w:space="720" w:num="1"/>
        </w:sectPr>
      </w:pPr>
    </w:p>
    <w:p>
      <w:pPr>
        <w:pStyle w:val="69"/>
        <w:spacing w:line="360" w:lineRule="auto"/>
        <w:ind w:left="540" w:firstLine="0"/>
        <w:outlineLvl w:val="0"/>
        <w:rPr>
          <w:rFonts w:hAnsi="宋体"/>
          <w:color w:val="auto"/>
          <w:highlight w:val="none"/>
        </w:rPr>
      </w:pPr>
      <w:bookmarkStart w:id="107" w:name="_Toc149147579"/>
      <w:bookmarkStart w:id="108" w:name="_Toc149147734"/>
      <w:r>
        <w:rPr>
          <w:rFonts w:hint="eastAsia" w:hAnsi="宋体"/>
          <w:color w:val="auto"/>
          <w:highlight w:val="none"/>
        </w:rPr>
        <w:t>5</w:t>
      </w:r>
      <w:r>
        <w:rPr>
          <w:rFonts w:hAnsi="宋体"/>
          <w:color w:val="auto"/>
          <w:highlight w:val="none"/>
        </w:rPr>
        <w:t xml:space="preserve"> </w:t>
      </w:r>
      <w:r>
        <w:rPr>
          <w:rFonts w:hint="eastAsia" w:hAnsi="宋体"/>
          <w:color w:val="auto"/>
          <w:highlight w:val="none"/>
        </w:rPr>
        <w:t>授权委托书（实质性格式）</w:t>
      </w:r>
      <w:bookmarkEnd w:id="107"/>
      <w:bookmarkEnd w:id="108"/>
    </w:p>
    <w:p>
      <w:pPr>
        <w:pStyle w:val="17"/>
        <w:kinsoku w:val="0"/>
        <w:overflowPunct w:val="0"/>
        <w:rPr>
          <w:rFonts w:hAnsi="宋体"/>
          <w:color w:val="auto"/>
          <w:sz w:val="42"/>
          <w:szCs w:val="42"/>
          <w:highlight w:val="none"/>
        </w:rPr>
      </w:pPr>
      <w:r>
        <w:rPr>
          <w:rFonts w:hAnsi="宋体" w:cs="Times New Roman"/>
          <w:color w:val="auto"/>
          <w:highlight w:val="none"/>
        </w:rPr>
        <w:br w:type="column"/>
      </w:r>
    </w:p>
    <w:p>
      <w:pPr>
        <w:pStyle w:val="3"/>
        <w:kinsoku w:val="0"/>
        <w:overflowPunct w:val="0"/>
        <w:spacing w:before="0"/>
        <w:ind w:left="319"/>
        <w:jc w:val="left"/>
        <w:rPr>
          <w:rFonts w:hAnsi="宋体"/>
          <w:color w:val="auto"/>
          <w:highlight w:val="none"/>
        </w:rPr>
      </w:pPr>
      <w:bookmarkStart w:id="109" w:name="_Toc149147735"/>
      <w:bookmarkStart w:id="110" w:name="_Toc149147580"/>
      <w:r>
        <w:rPr>
          <w:rFonts w:hint="eastAsia" w:hAnsi="宋体"/>
          <w:color w:val="auto"/>
          <w:highlight w:val="none"/>
        </w:rPr>
        <w:t>授权委托书</w:t>
      </w:r>
      <w:bookmarkEnd w:id="109"/>
      <w:bookmarkEnd w:id="110"/>
    </w:p>
    <w:p>
      <w:pPr>
        <w:pStyle w:val="3"/>
        <w:kinsoku w:val="0"/>
        <w:overflowPunct w:val="0"/>
        <w:spacing w:before="0"/>
        <w:ind w:left="319"/>
        <w:jc w:val="left"/>
        <w:rPr>
          <w:rFonts w:hAnsi="宋体"/>
          <w:color w:val="auto"/>
          <w:highlight w:val="none"/>
        </w:rPr>
        <w:sectPr>
          <w:pgSz w:w="11910" w:h="16840"/>
          <w:pgMar w:top="1340" w:right="560" w:bottom="1080" w:left="1160" w:header="879" w:footer="879" w:gutter="0"/>
          <w:cols w:equalWidth="0" w:num="2">
            <w:col w:w="3813" w:space="40"/>
            <w:col w:w="6337"/>
          </w:cols>
        </w:sectPr>
      </w:pPr>
    </w:p>
    <w:p>
      <w:pPr>
        <w:pStyle w:val="17"/>
        <w:kinsoku w:val="0"/>
        <w:overflowPunct w:val="0"/>
        <w:spacing w:before="12"/>
        <w:rPr>
          <w:rFonts w:hAnsi="宋体"/>
          <w:color w:val="auto"/>
          <w:sz w:val="12"/>
          <w:szCs w:val="12"/>
          <w:highlight w:val="none"/>
        </w:rPr>
      </w:pPr>
    </w:p>
    <w:p>
      <w:pPr>
        <w:pStyle w:val="17"/>
        <w:tabs>
          <w:tab w:val="left" w:pos="1884"/>
          <w:tab w:val="left" w:pos="3486"/>
          <w:tab w:val="left" w:pos="9666"/>
        </w:tabs>
        <w:kinsoku w:val="0"/>
        <w:overflowPunct w:val="0"/>
        <w:spacing w:before="74"/>
        <w:ind w:left="961"/>
        <w:rPr>
          <w:rFonts w:hAnsi="宋体" w:cs="Times New Roman"/>
          <w:color w:val="auto"/>
          <w:highlight w:val="none"/>
        </w:rPr>
      </w:pPr>
      <w:r>
        <w:rPr>
          <w:rFonts w:hint="eastAsia" w:hAnsi="宋体"/>
          <w:color w:val="auto"/>
          <w:highlight w:val="none"/>
        </w:rPr>
        <w:t>本人</w:t>
      </w:r>
      <w:r>
        <w:rPr>
          <w:rFonts w:hAnsi="宋体"/>
          <w:color w:val="auto"/>
          <w:highlight w:val="none"/>
          <w:u w:val="single"/>
        </w:rPr>
        <w:tab/>
      </w:r>
      <w:r>
        <w:rPr>
          <w:rFonts w:hint="eastAsia" w:hAnsi="宋体"/>
          <w:color w:val="auto"/>
          <w:highlight w:val="none"/>
        </w:rPr>
        <w:t>（姓名</w:t>
      </w:r>
      <w:r>
        <w:rPr>
          <w:rFonts w:hint="eastAsia" w:hAnsi="宋体"/>
          <w:color w:val="auto"/>
          <w:spacing w:val="-39"/>
          <w:highlight w:val="none"/>
        </w:rPr>
        <w:t>）</w:t>
      </w:r>
      <w:r>
        <w:rPr>
          <w:rFonts w:hint="eastAsia" w:hAnsi="宋体"/>
          <w:color w:val="auto"/>
          <w:highlight w:val="none"/>
        </w:rPr>
        <w:t>系</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（供应商名称</w:t>
      </w:r>
      <w:r>
        <w:rPr>
          <w:rFonts w:hint="eastAsia" w:hAnsi="宋体"/>
          <w:color w:val="auto"/>
          <w:spacing w:val="-39"/>
          <w:highlight w:val="none"/>
        </w:rPr>
        <w:t>）</w:t>
      </w:r>
      <w:r>
        <w:rPr>
          <w:rFonts w:hint="eastAsia" w:hAnsi="宋体"/>
          <w:color w:val="auto"/>
          <w:highlight w:val="none"/>
        </w:rPr>
        <w:t>的法定代表</w:t>
      </w:r>
      <w:r>
        <w:rPr>
          <w:rFonts w:hint="eastAsia" w:hAnsi="宋体"/>
          <w:color w:val="auto"/>
          <w:spacing w:val="-36"/>
          <w:highlight w:val="none"/>
        </w:rPr>
        <w:t>人</w:t>
      </w:r>
      <w:r>
        <w:rPr>
          <w:rFonts w:hint="eastAsia" w:hAnsi="宋体"/>
          <w:color w:val="auto"/>
          <w:highlight w:val="none"/>
        </w:rPr>
        <w:t>（单位负责人</w:t>
      </w:r>
      <w:r>
        <w:rPr>
          <w:rFonts w:hint="eastAsia" w:hAnsi="宋体"/>
          <w:color w:val="auto"/>
          <w:spacing w:val="-80"/>
          <w:highlight w:val="none"/>
        </w:rPr>
        <w:t>），</w:t>
      </w:r>
      <w:r>
        <w:rPr>
          <w:rFonts w:hint="eastAsia" w:hAnsi="宋体"/>
          <w:color w:val="auto"/>
          <w:highlight w:val="none"/>
        </w:rPr>
        <w:t>现委托</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tabs>
          <w:tab w:val="left" w:pos="1501"/>
        </w:tabs>
        <w:kinsoku w:val="0"/>
        <w:overflowPunct w:val="0"/>
        <w:spacing w:before="160" w:line="362" w:lineRule="auto"/>
        <w:ind w:left="541" w:right="522"/>
        <w:rPr>
          <w:rFonts w:hAnsi="宋体"/>
          <w:color w:val="auto"/>
          <w:highlight w:val="none"/>
        </w:rPr>
      </w:pPr>
      <w:r>
        <w:rPr>
          <w:rFonts w:hint="eastAsia" w:hAnsi="宋体"/>
          <w:color w:val="auto"/>
          <w:highlight w:val="none"/>
        </w:rPr>
        <w:t>（姓名）为我方代理人。代理人根据授权，以我方名义签署、澄清确认、提交、撤回</w:t>
      </w:r>
      <w:r>
        <w:rPr>
          <w:rFonts w:hint="eastAsia" w:hAnsi="宋体"/>
          <w:color w:val="auto"/>
          <w:spacing w:val="-16"/>
          <w:highlight w:val="none"/>
        </w:rPr>
        <w:t>、</w:t>
      </w:r>
      <w:r>
        <w:rPr>
          <w:rFonts w:hint="eastAsia" w:hAnsi="宋体"/>
          <w:color w:val="auto"/>
          <w:highlight w:val="none"/>
        </w:rPr>
        <w:t>修改</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（项目名称）响应文件和处理有关事宜，其法律后果由我方承担。</w:t>
      </w:r>
    </w:p>
    <w:p>
      <w:pPr>
        <w:pStyle w:val="17"/>
        <w:kinsoku w:val="0"/>
        <w:overflowPunct w:val="0"/>
        <w:spacing w:before="5" w:line="362" w:lineRule="auto"/>
        <w:ind w:left="961" w:right="2263"/>
        <w:rPr>
          <w:rFonts w:hAnsi="宋体"/>
          <w:color w:val="auto"/>
          <w:highlight w:val="none"/>
        </w:rPr>
      </w:pPr>
      <w:r>
        <w:rPr>
          <w:rFonts w:hint="eastAsia" w:hAnsi="宋体"/>
          <w:color w:val="auto"/>
          <w:highlight w:val="none"/>
        </w:rPr>
        <w:t>委托期限：自本授权委托书签署之日起至响应有效期届满之日止。代理人无转委托权。</w:t>
      </w:r>
    </w:p>
    <w:p>
      <w:pPr>
        <w:pStyle w:val="17"/>
        <w:kinsoku w:val="0"/>
        <w:overflowPunct w:val="0"/>
        <w:spacing w:before="2"/>
        <w:rPr>
          <w:rFonts w:hAnsi="宋体"/>
          <w:color w:val="auto"/>
          <w:sz w:val="33"/>
          <w:szCs w:val="33"/>
          <w:highlight w:val="none"/>
        </w:rPr>
      </w:pPr>
    </w:p>
    <w:p>
      <w:pPr>
        <w:pStyle w:val="17"/>
        <w:tabs>
          <w:tab w:val="left" w:pos="5034"/>
        </w:tabs>
        <w:kinsoku w:val="0"/>
        <w:overflowPunct w:val="0"/>
        <w:ind w:left="541"/>
        <w:rPr>
          <w:rFonts w:hAnsi="宋体" w:cs="Times New Roman"/>
          <w:color w:val="auto"/>
          <w:highlight w:val="none"/>
        </w:rPr>
      </w:pPr>
      <w:r>
        <w:rPr>
          <w:rFonts w:hint="eastAsia" w:hAnsi="宋体"/>
          <w:color w:val="auto"/>
          <w:highlight w:val="none"/>
        </w:rPr>
        <w:t>供应商名称（加盖公章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tabs>
          <w:tab w:val="left" w:pos="5274"/>
          <w:tab w:val="left" w:pos="6834"/>
        </w:tabs>
        <w:kinsoku w:val="0"/>
        <w:overflowPunct w:val="0"/>
        <w:spacing w:before="158" w:line="364" w:lineRule="auto"/>
        <w:ind w:left="541" w:right="3350"/>
        <w:rPr>
          <w:rFonts w:hAnsi="宋体" w:cs="Times New Roman"/>
          <w:color w:val="auto"/>
          <w:highlight w:val="none"/>
          <w:u w:val="single" w:color="000000"/>
        </w:rPr>
      </w:pPr>
      <w:r>
        <w:rPr>
          <w:rFonts w:hint="eastAsia" w:hAnsi="宋体"/>
          <w:color w:val="auto"/>
          <w:highlight w:val="none"/>
        </w:rPr>
        <w:t>法定代表人（单位负责人</w:t>
      </w:r>
      <w:r>
        <w:rPr>
          <w:rFonts w:hint="eastAsia" w:hAnsi="宋体"/>
          <w:color w:val="auto"/>
          <w:spacing w:val="-120"/>
          <w:highlight w:val="none"/>
        </w:rPr>
        <w:t>）</w:t>
      </w:r>
      <w:r>
        <w:rPr>
          <w:rFonts w:hint="eastAsia" w:hAnsi="宋体"/>
          <w:color w:val="auto"/>
          <w:highlight w:val="none"/>
        </w:rPr>
        <w:t>（签字或盖章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Ansi="宋体" w:cs="Times New Roman"/>
          <w:color w:val="auto"/>
          <w:highlight w:val="none"/>
          <w:u w:val="single" w:color="000000"/>
        </w:rPr>
        <w:tab/>
      </w:r>
    </w:p>
    <w:p>
      <w:pPr>
        <w:pStyle w:val="17"/>
        <w:tabs>
          <w:tab w:val="left" w:pos="5274"/>
          <w:tab w:val="left" w:pos="6834"/>
        </w:tabs>
        <w:kinsoku w:val="0"/>
        <w:overflowPunct w:val="0"/>
        <w:spacing w:before="158" w:line="364" w:lineRule="auto"/>
        <w:ind w:left="541" w:right="3350"/>
        <w:rPr>
          <w:rFonts w:hAnsi="宋体" w:cs="Times New Roman"/>
          <w:color w:val="auto"/>
          <w:highlight w:val="none"/>
        </w:rPr>
      </w:pPr>
      <w:r>
        <w:rPr>
          <w:rFonts w:hint="eastAsia" w:hAnsi="宋体"/>
          <w:color w:val="auto"/>
          <w:highlight w:val="none"/>
        </w:rPr>
        <w:t>委托代理人（签字或盖章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tabs>
          <w:tab w:val="left" w:pos="1741"/>
          <w:tab w:val="left" w:pos="2461"/>
          <w:tab w:val="left" w:pos="3181"/>
        </w:tabs>
        <w:kinsoku w:val="0"/>
        <w:overflowPunct w:val="0"/>
        <w:spacing w:line="306" w:lineRule="exact"/>
        <w:ind w:left="541"/>
        <w:rPr>
          <w:rFonts w:hAnsi="宋体"/>
          <w:color w:val="auto"/>
          <w:highlight w:val="none"/>
        </w:rPr>
      </w:pPr>
      <w:r>
        <w:rPr>
          <w:rFonts w:hint="eastAsia" w:hAnsi="宋体"/>
          <w:color w:val="auto"/>
          <w:highlight w:val="none"/>
        </w:rPr>
        <w:t>日期：</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月</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日</w:t>
      </w:r>
    </w:p>
    <w:p>
      <w:pPr>
        <w:pStyle w:val="17"/>
        <w:kinsoku w:val="0"/>
        <w:overflowPunct w:val="0"/>
        <w:rPr>
          <w:rFonts w:hAnsi="宋体"/>
          <w:color w:val="auto"/>
          <w:sz w:val="26"/>
          <w:szCs w:val="26"/>
          <w:highlight w:val="none"/>
        </w:rPr>
      </w:pPr>
    </w:p>
    <w:p>
      <w:pPr>
        <w:pStyle w:val="17"/>
        <w:kinsoku w:val="0"/>
        <w:overflowPunct w:val="0"/>
        <w:spacing w:before="2"/>
        <w:rPr>
          <w:rFonts w:hAnsi="宋体"/>
          <w:color w:val="auto"/>
          <w:sz w:val="19"/>
          <w:szCs w:val="19"/>
          <w:highlight w:val="none"/>
        </w:rPr>
      </w:pPr>
    </w:p>
    <w:p>
      <w:pPr>
        <w:pStyle w:val="17"/>
        <w:kinsoku w:val="0"/>
        <w:overflowPunct w:val="0"/>
        <w:ind w:left="541"/>
        <w:rPr>
          <w:rFonts w:hAnsi="宋体"/>
          <w:color w:val="auto"/>
          <w:highlight w:val="none"/>
        </w:rPr>
      </w:pPr>
      <w:r>
        <w:rPr>
          <w:rFonts w:hint="eastAsia" w:hAnsi="宋体"/>
          <w:color w:val="auto"/>
          <w:highlight w:val="none"/>
        </w:rPr>
        <w:t>附：法定代表人及委托代理人身份证明文件复印件：</w:t>
      </w:r>
    </w:p>
    <w:p>
      <w:pPr>
        <w:pStyle w:val="17"/>
        <w:kinsoku w:val="0"/>
        <w:overflowPunct w:val="0"/>
        <w:spacing w:before="11"/>
        <w:rPr>
          <w:rFonts w:hAnsi="宋体"/>
          <w:color w:val="auto"/>
          <w:sz w:val="8"/>
          <w:szCs w:val="8"/>
          <w:highlight w:val="none"/>
        </w:rPr>
      </w:pPr>
      <w:r>
        <w:rPr>
          <w:rFonts w:hAnsi="宋体"/>
          <w:color w:val="auto"/>
          <w:highlight w:val="none"/>
        </w:rPr>
        <mc:AlternateContent>
          <mc:Choice Requires="wpg">
            <w:drawing>
              <wp:anchor distT="0" distB="0" distL="0" distR="0" simplePos="0" relativeHeight="251673600" behindDoc="0" locked="0" layoutInCell="0" allowOverlap="1">
                <wp:simplePos x="0" y="0"/>
                <wp:positionH relativeFrom="page">
                  <wp:posOffset>1008380</wp:posOffset>
                </wp:positionH>
                <wp:positionV relativeFrom="paragraph">
                  <wp:posOffset>99695</wp:posOffset>
                </wp:positionV>
                <wp:extent cx="5274945" cy="1504315"/>
                <wp:effectExtent l="0" t="0" r="0" b="0"/>
                <wp:wrapTopAndBottom/>
                <wp:docPr id="619027831" name="Group 17"/>
                <wp:cNvGraphicFramePr/>
                <a:graphic xmlns:a="http://schemas.openxmlformats.org/drawingml/2006/main">
                  <a:graphicData uri="http://schemas.microsoft.com/office/word/2010/wordprocessingGroup">
                    <wpg:wgp>
                      <wpg:cNvGrpSpPr/>
                      <wpg:grpSpPr>
                        <a:xfrm>
                          <a:off x="0" y="0"/>
                          <a:ext cx="5274945" cy="1504315"/>
                          <a:chOff x="1588" y="157"/>
                          <a:chExt cx="8307" cy="2369"/>
                        </a:xfrm>
                      </wpg:grpSpPr>
                      <wps:wsp>
                        <wps:cNvPr id="1183097625" name="Freeform 18"/>
                        <wps:cNvSpPr/>
                        <wps:spPr bwMode="auto">
                          <a:xfrm>
                            <a:off x="1588" y="162"/>
                            <a:ext cx="8307" cy="20"/>
                          </a:xfrm>
                          <a:custGeom>
                            <a:avLst/>
                            <a:gdLst>
                              <a:gd name="T0" fmla="*/ 0 w 8307"/>
                              <a:gd name="T1" fmla="*/ 0 h 20"/>
                              <a:gd name="T2" fmla="*/ 8306 w 8307"/>
                              <a:gd name="T3" fmla="*/ 0 h 20"/>
                            </a:gdLst>
                            <a:ahLst/>
                            <a:cxnLst>
                              <a:cxn ang="0">
                                <a:pos x="T0" y="T1"/>
                              </a:cxn>
                              <a:cxn ang="0">
                                <a:pos x="T2" y="T3"/>
                              </a:cxn>
                            </a:cxnLst>
                            <a:rect l="0" t="0" r="r" b="b"/>
                            <a:pathLst>
                              <a:path w="8307"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1625540263" name="Freeform 19"/>
                        <wps:cNvSpPr/>
                        <wps:spPr bwMode="auto">
                          <a:xfrm>
                            <a:off x="1588" y="2521"/>
                            <a:ext cx="8307" cy="20"/>
                          </a:xfrm>
                          <a:custGeom>
                            <a:avLst/>
                            <a:gdLst>
                              <a:gd name="T0" fmla="*/ 0 w 8307"/>
                              <a:gd name="T1" fmla="*/ 0 h 20"/>
                              <a:gd name="T2" fmla="*/ 8306 w 8307"/>
                              <a:gd name="T3" fmla="*/ 0 h 20"/>
                            </a:gdLst>
                            <a:ahLst/>
                            <a:cxnLst>
                              <a:cxn ang="0">
                                <a:pos x="T0" y="T1"/>
                              </a:cxn>
                              <a:cxn ang="0">
                                <a:pos x="T2" y="T3"/>
                              </a:cxn>
                            </a:cxnLst>
                            <a:rect l="0" t="0" r="r" b="b"/>
                            <a:pathLst>
                              <a:path w="8307" h="20">
                                <a:moveTo>
                                  <a:pt x="0" y="0"/>
                                </a:moveTo>
                                <a:lnTo>
                                  <a:pt x="8306" y="0"/>
                                </a:lnTo>
                              </a:path>
                            </a:pathLst>
                          </a:custGeom>
                          <a:noFill/>
                          <a:ln w="6096">
                            <a:solidFill>
                              <a:srgbClr val="000000"/>
                            </a:solidFill>
                            <a:round/>
                          </a:ln>
                        </wps:spPr>
                        <wps:bodyPr rot="0" vert="horz" wrap="square" lIns="91440" tIns="45720" rIns="91440" bIns="45720" anchor="t" anchorCtr="0" upright="1">
                          <a:noAutofit/>
                        </wps:bodyPr>
                      </wps:wsp>
                      <wps:wsp>
                        <wps:cNvPr id="144267212" name="Freeform 20"/>
                        <wps:cNvSpPr/>
                        <wps:spPr bwMode="auto">
                          <a:xfrm>
                            <a:off x="1592" y="157"/>
                            <a:ext cx="20" cy="2360"/>
                          </a:xfrm>
                          <a:custGeom>
                            <a:avLst/>
                            <a:gdLst>
                              <a:gd name="T0" fmla="*/ 0 w 20"/>
                              <a:gd name="T1" fmla="*/ 0 h 2360"/>
                              <a:gd name="T2" fmla="*/ 0 w 20"/>
                              <a:gd name="T3" fmla="*/ 2359 h 2360"/>
                            </a:gdLst>
                            <a:ahLst/>
                            <a:cxnLst>
                              <a:cxn ang="0">
                                <a:pos x="T0" y="T1"/>
                              </a:cxn>
                              <a:cxn ang="0">
                                <a:pos x="T2" y="T3"/>
                              </a:cxn>
                            </a:cxnLst>
                            <a:rect l="0" t="0" r="r" b="b"/>
                            <a:pathLst>
                              <a:path w="20" h="2360">
                                <a:moveTo>
                                  <a:pt x="0" y="0"/>
                                </a:moveTo>
                                <a:lnTo>
                                  <a:pt x="0" y="2359"/>
                                </a:lnTo>
                              </a:path>
                            </a:pathLst>
                          </a:custGeom>
                          <a:noFill/>
                          <a:ln w="6096">
                            <a:solidFill>
                              <a:srgbClr val="000000"/>
                            </a:solidFill>
                            <a:round/>
                          </a:ln>
                        </wps:spPr>
                        <wps:bodyPr rot="0" vert="horz" wrap="square" lIns="91440" tIns="45720" rIns="91440" bIns="45720" anchor="t" anchorCtr="0" upright="1">
                          <a:noAutofit/>
                        </wps:bodyPr>
                      </wps:wsp>
                      <wps:wsp>
                        <wps:cNvPr id="1541218947" name="Freeform 21"/>
                        <wps:cNvSpPr/>
                        <wps:spPr bwMode="auto">
                          <a:xfrm>
                            <a:off x="9888" y="157"/>
                            <a:ext cx="20" cy="2360"/>
                          </a:xfrm>
                          <a:custGeom>
                            <a:avLst/>
                            <a:gdLst>
                              <a:gd name="T0" fmla="*/ 0 w 20"/>
                              <a:gd name="T1" fmla="*/ 0 h 2360"/>
                              <a:gd name="T2" fmla="*/ 0 w 20"/>
                              <a:gd name="T3" fmla="*/ 2359 h 2360"/>
                            </a:gdLst>
                            <a:ahLst/>
                            <a:cxnLst>
                              <a:cxn ang="0">
                                <a:pos x="T0" y="T1"/>
                              </a:cxn>
                              <a:cxn ang="0">
                                <a:pos x="T2" y="T3"/>
                              </a:cxn>
                            </a:cxnLst>
                            <a:rect l="0" t="0" r="r" b="b"/>
                            <a:pathLst>
                              <a:path w="20" h="2360">
                                <a:moveTo>
                                  <a:pt x="0" y="0"/>
                                </a:moveTo>
                                <a:lnTo>
                                  <a:pt x="0" y="2359"/>
                                </a:lnTo>
                              </a:path>
                            </a:pathLst>
                          </a:custGeom>
                          <a:noFill/>
                          <a:ln w="6096">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17" o:spid="_x0000_s1026" o:spt="203" style="position:absolute;left:0pt;margin-left:79.4pt;margin-top:7.85pt;height:118.45pt;width:415.35pt;mso-position-horizontal-relative:page;mso-wrap-distance-bottom:0pt;mso-wrap-distance-top:0pt;z-index:251673600;mso-width-relative:page;mso-height-relative:page;" coordorigin="1588,157" coordsize="8307,2369" o:allowincell="f" o:gfxdata="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">
                <o:lock v:ext="edit" aspectratio="f"/>
                <v:shape id="Freeform 18" o:spid="_x0000_s1026" o:spt="100" style="position:absolute;left:1588;top:162;height:20;width:8307;" filled="f" stroked="t" coordsize="8307,20" o:gfxdata="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HGg&#10;/dvCAAAA4wAAAA8AAAAAAAAAAQAgAAAAIgAAAGRycy9kb3ducmV2LnhtbFBLAQIUABQAAAAIAIdO&#10;4kAzLwWeOwAAADkAAAAQAAAAAAAAAAEAIAAAABEBAABkcnMvc2hhcGV4bWwueG1sUEsFBgAAAAAG&#10;AAYAWwEAALsDAAAAAA==&#10;" path="m0,0l8306,0e">
                  <v:path o:connectlocs="0,0;8306,0" o:connectangles="0,0"/>
                  <v:fill on="f" focussize="0,0"/>
                  <v:stroke weight="0.48pt" color="#000000" joinstyle="round"/>
                  <v:imagedata o:title=""/>
                  <o:lock v:ext="edit" aspectratio="f"/>
                </v:shape>
                <v:shape id="Freeform 19" o:spid="_x0000_s1026" o:spt="100" style="position:absolute;left:1588;top:2521;height:20;width:8307;" filled="f" stroked="t" coordsize="8307,20" o:gfxdata="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LFA&#10;HRnCAAAA4wAAAA8AAAAAAAAAAQAgAAAAIgAAAGRycy9kb3ducmV2LnhtbFBLAQIUABQAAAAIAIdO&#10;4kAzLwWeOwAAADkAAAAQAAAAAAAAAAEAIAAAABEBAABkcnMvc2hhcGV4bWwueG1sUEsFBgAAAAAG&#10;AAYAWwEAALsDAAAAAA==&#10;" path="m0,0l8306,0e">
                  <v:path o:connectlocs="0,0;8306,0" o:connectangles="0,0"/>
                  <v:fill on="f" focussize="0,0"/>
                  <v:stroke weight="0.48pt" color="#000000" joinstyle="round"/>
                  <v:imagedata o:title=""/>
                  <o:lock v:ext="edit" aspectratio="f"/>
                </v:shape>
                <v:shape id="Freeform 20" o:spid="_x0000_s1026" o:spt="100" style="position:absolute;left:1592;top:157;height:2360;width:20;" filled="f" stroked="t" coordsize="20,2360" o:gfxdata="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fGvSW/&#10;AAAA4gAAAA8AAAAAAAAAAQAgAAAAIgAAAGRycy9kb3ducmV2LnhtbFBLAQIUABQAAAAIAIdO4kAz&#10;LwWeOwAAADkAAAAQAAAAAAAAAAEAIAAAAA4BAABkcnMvc2hhcGV4bWwueG1sUEsFBgAAAAAGAAYA&#10;WwEAALgDAAAAAA==&#10;" path="m0,0l0,2359e">
                  <v:path o:connectlocs="0,0;0,2359" o:connectangles="0,0"/>
                  <v:fill on="f" focussize="0,0"/>
                  <v:stroke weight="0.48pt" color="#000000" joinstyle="round"/>
                  <v:imagedata o:title=""/>
                  <o:lock v:ext="edit" aspectratio="f"/>
                </v:shape>
                <v:shape id="Freeform 21" o:spid="_x0000_s1026" o:spt="100" style="position:absolute;left:9888;top:157;height:2360;width:20;" filled="f" stroked="t" coordsize="20,2360" o:gfxdata="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zpHe&#10;wAAAAOMAAAAPAAAAAAAAAAEAIAAAACIAAABkcnMvZG93bnJldi54bWxQSwECFAAUAAAACACHTuJA&#10;My8FnjsAAAA5AAAAEAAAAAAAAAABACAAAAAPAQAAZHJzL3NoYXBleG1sLnhtbFBLBQYAAAAABgAG&#10;AFsBAAC5AwAAAAA=&#10;" path="m0,0l0,2359e">
                  <v:path o:connectlocs="0,0;0,2359" o:connectangles="0,0"/>
                  <v:fill on="f" focussize="0,0"/>
                  <v:stroke weight="0.48pt" color="#000000" joinstyle="round"/>
                  <v:imagedata o:title=""/>
                  <o:lock v:ext="edit" aspectratio="f"/>
                </v:shape>
                <w10:wrap type="topAndBottom"/>
              </v:group>
            </w:pict>
          </mc:Fallback>
        </mc:AlternateContent>
      </w:r>
    </w:p>
    <w:p>
      <w:pPr>
        <w:pStyle w:val="17"/>
        <w:kinsoku w:val="0"/>
        <w:overflowPunct w:val="0"/>
        <w:spacing w:line="281" w:lineRule="exact"/>
        <w:ind w:left="541"/>
        <w:rPr>
          <w:rFonts w:hAnsi="宋体"/>
          <w:color w:val="auto"/>
          <w:highlight w:val="none"/>
        </w:rPr>
      </w:pPr>
      <w:r>
        <w:rPr>
          <w:rFonts w:hint="eastAsia" w:hAnsi="宋体"/>
          <w:color w:val="auto"/>
          <w:highlight w:val="none"/>
        </w:rPr>
        <w:t>说明：</w:t>
      </w:r>
    </w:p>
    <w:p>
      <w:pPr>
        <w:pStyle w:val="69"/>
        <w:numPr>
          <w:ilvl w:val="0"/>
          <w:numId w:val="22"/>
        </w:numPr>
        <w:tabs>
          <w:tab w:val="left" w:pos="771"/>
        </w:tabs>
        <w:kinsoku w:val="0"/>
        <w:overflowPunct w:val="0"/>
        <w:spacing w:before="158" w:line="364" w:lineRule="auto"/>
        <w:ind w:right="570" w:firstLine="0"/>
        <w:rPr>
          <w:rFonts w:hAnsi="宋体"/>
          <w:color w:val="auto"/>
          <w:highlight w:val="none"/>
        </w:rPr>
      </w:pPr>
      <w:r>
        <w:rPr>
          <w:rFonts w:hint="eastAsia" w:hAnsi="宋体"/>
          <w:color w:val="auto"/>
          <w:spacing w:val="-2"/>
          <w:highlight w:val="none"/>
        </w:rPr>
        <w:t>若供应商为事业单位或其他组织或分支机构，则法定代表人</w:t>
      </w:r>
      <w:r>
        <w:rPr>
          <w:rFonts w:hint="eastAsia" w:hAnsi="宋体"/>
          <w:color w:val="auto"/>
          <w:highlight w:val="none"/>
        </w:rPr>
        <w:t>（单位负责人</w:t>
      </w:r>
      <w:r>
        <w:rPr>
          <w:rFonts w:hint="eastAsia" w:hAnsi="宋体"/>
          <w:color w:val="auto"/>
          <w:spacing w:val="-12"/>
          <w:highlight w:val="none"/>
        </w:rPr>
        <w:t>）</w:t>
      </w:r>
      <w:r>
        <w:rPr>
          <w:rFonts w:hint="eastAsia" w:hAnsi="宋体"/>
          <w:color w:val="auto"/>
          <w:spacing w:val="-4"/>
          <w:highlight w:val="none"/>
        </w:rPr>
        <w:t>处的签署</w:t>
      </w:r>
      <w:r>
        <w:rPr>
          <w:rFonts w:hint="eastAsia" w:hAnsi="宋体"/>
          <w:color w:val="auto"/>
          <w:highlight w:val="none"/>
        </w:rPr>
        <w:t>人可为单位负责人。</w:t>
      </w:r>
    </w:p>
    <w:p>
      <w:pPr>
        <w:pStyle w:val="69"/>
        <w:numPr>
          <w:ilvl w:val="0"/>
          <w:numId w:val="22"/>
        </w:numPr>
        <w:tabs>
          <w:tab w:val="left" w:pos="771"/>
        </w:tabs>
        <w:kinsoku w:val="0"/>
        <w:overflowPunct w:val="0"/>
        <w:spacing w:line="364" w:lineRule="auto"/>
        <w:ind w:right="570" w:firstLine="0"/>
        <w:jc w:val="both"/>
        <w:rPr>
          <w:rFonts w:hAnsi="宋体"/>
          <w:color w:val="auto"/>
          <w:spacing w:val="-20"/>
          <w:highlight w:val="none"/>
        </w:rPr>
      </w:pPr>
      <w:r>
        <w:rPr>
          <w:rFonts w:hint="eastAsia" w:hAnsi="宋体"/>
          <w:color w:val="auto"/>
          <w:spacing w:val="-1"/>
          <w:highlight w:val="none"/>
        </w:rPr>
        <w:t>若响应文件中签字之处均为法定代表人</w:t>
      </w:r>
      <w:r>
        <w:rPr>
          <w:rFonts w:hint="eastAsia" w:hAnsi="宋体"/>
          <w:color w:val="auto"/>
          <w:highlight w:val="none"/>
        </w:rPr>
        <w:t>（单位负责人</w:t>
      </w:r>
      <w:r>
        <w:rPr>
          <w:rFonts w:hint="eastAsia" w:hAnsi="宋体"/>
          <w:color w:val="auto"/>
          <w:spacing w:val="-10"/>
          <w:highlight w:val="none"/>
        </w:rPr>
        <w:t>）</w:t>
      </w:r>
      <w:r>
        <w:rPr>
          <w:rFonts w:hint="eastAsia" w:hAnsi="宋体"/>
          <w:color w:val="auto"/>
          <w:spacing w:val="-4"/>
          <w:highlight w:val="none"/>
        </w:rPr>
        <w:t>本人签署，则可不提供本《授</w:t>
      </w:r>
      <w:r>
        <w:rPr>
          <w:rFonts w:hint="eastAsia" w:hAnsi="宋体"/>
          <w:color w:val="auto"/>
          <w:spacing w:val="-13"/>
          <w:highlight w:val="none"/>
        </w:rPr>
        <w:t>权委托书》，但须提供《法定代表人</w:t>
      </w:r>
      <w:r>
        <w:rPr>
          <w:rFonts w:hint="eastAsia" w:hAnsi="宋体"/>
          <w:color w:val="auto"/>
          <w:highlight w:val="none"/>
        </w:rPr>
        <w:t>（单位负责人</w:t>
      </w:r>
      <w:r>
        <w:rPr>
          <w:rFonts w:hint="eastAsia" w:hAnsi="宋体"/>
          <w:color w:val="auto"/>
          <w:spacing w:val="-8"/>
          <w:highlight w:val="none"/>
        </w:rPr>
        <w:t>）</w:t>
      </w:r>
      <w:r>
        <w:rPr>
          <w:rFonts w:hint="eastAsia" w:hAnsi="宋体"/>
          <w:color w:val="auto"/>
          <w:spacing w:val="-12"/>
          <w:highlight w:val="none"/>
        </w:rPr>
        <w:t>身份证明》；否则，不需要提供《法</w:t>
      </w:r>
      <w:r>
        <w:rPr>
          <w:rFonts w:hint="eastAsia" w:hAnsi="宋体"/>
          <w:color w:val="auto"/>
          <w:highlight w:val="none"/>
        </w:rPr>
        <w:t>定代表人（单位负责人）</w:t>
      </w:r>
      <w:r>
        <w:rPr>
          <w:rFonts w:hint="eastAsia" w:hAnsi="宋体"/>
          <w:color w:val="auto"/>
          <w:spacing w:val="-20"/>
          <w:highlight w:val="none"/>
        </w:rPr>
        <w:t>身份证明》。</w:t>
      </w:r>
    </w:p>
    <w:p>
      <w:pPr>
        <w:pStyle w:val="69"/>
        <w:numPr>
          <w:ilvl w:val="0"/>
          <w:numId w:val="22"/>
        </w:numPr>
        <w:tabs>
          <w:tab w:val="left" w:pos="771"/>
        </w:tabs>
        <w:kinsoku w:val="0"/>
        <w:overflowPunct w:val="0"/>
        <w:spacing w:line="307" w:lineRule="exact"/>
        <w:ind w:left="770" w:hanging="230"/>
        <w:rPr>
          <w:rFonts w:hAnsi="宋体"/>
          <w:color w:val="auto"/>
          <w:spacing w:val="-6"/>
          <w:highlight w:val="none"/>
        </w:rPr>
      </w:pPr>
      <w:r>
        <w:rPr>
          <w:rFonts w:hint="eastAsia" w:hAnsi="宋体"/>
          <w:color w:val="auto"/>
          <w:spacing w:val="-6"/>
          <w:highlight w:val="none"/>
        </w:rPr>
        <w:t>供应商为自然人的情形，可不提供本《授权委托书》。</w:t>
      </w:r>
    </w:p>
    <w:p>
      <w:pPr>
        <w:pStyle w:val="69"/>
        <w:numPr>
          <w:ilvl w:val="0"/>
          <w:numId w:val="22"/>
        </w:numPr>
        <w:tabs>
          <w:tab w:val="left" w:pos="771"/>
        </w:tabs>
        <w:kinsoku w:val="0"/>
        <w:overflowPunct w:val="0"/>
        <w:spacing w:before="159" w:line="364" w:lineRule="auto"/>
        <w:ind w:right="570" w:firstLine="0"/>
        <w:jc w:val="both"/>
        <w:rPr>
          <w:rFonts w:hAnsi="宋体"/>
          <w:color w:val="auto"/>
          <w:highlight w:val="none"/>
        </w:rPr>
      </w:pPr>
      <w:r>
        <w:rPr>
          <w:rFonts w:hint="eastAsia" w:hAnsi="宋体"/>
          <w:color w:val="auto"/>
          <w:spacing w:val="-4"/>
          <w:highlight w:val="none"/>
        </w:rPr>
        <w:t>供应商应随本《授权委托书》同时提供法定代表人</w:t>
      </w:r>
      <w:r>
        <w:rPr>
          <w:rFonts w:hint="eastAsia" w:hAnsi="宋体"/>
          <w:color w:val="auto"/>
          <w:highlight w:val="none"/>
        </w:rPr>
        <w:t>（单位负责人</w:t>
      </w:r>
      <w:r>
        <w:rPr>
          <w:rFonts w:hint="eastAsia" w:hAnsi="宋体"/>
          <w:color w:val="auto"/>
          <w:spacing w:val="-7"/>
          <w:highlight w:val="none"/>
        </w:rPr>
        <w:t>）</w:t>
      </w:r>
      <w:r>
        <w:rPr>
          <w:rFonts w:hint="eastAsia" w:hAnsi="宋体"/>
          <w:color w:val="auto"/>
          <w:spacing w:val="-2"/>
          <w:highlight w:val="none"/>
        </w:rPr>
        <w:t>及委托代理人的有</w:t>
      </w:r>
      <w:r>
        <w:rPr>
          <w:rFonts w:hint="eastAsia" w:hAnsi="宋体"/>
          <w:color w:val="auto"/>
          <w:spacing w:val="-6"/>
          <w:highlight w:val="none"/>
        </w:rPr>
        <w:t>效的身份证、护照等身份证明文件复印件。提供身份证的，应同时提供身份证双面复印</w:t>
      </w:r>
      <w:r>
        <w:rPr>
          <w:rFonts w:hint="eastAsia" w:hAnsi="宋体"/>
          <w:color w:val="auto"/>
          <w:highlight w:val="none"/>
        </w:rPr>
        <w:t>件。</w:t>
      </w:r>
    </w:p>
    <w:p>
      <w:pPr>
        <w:pStyle w:val="69"/>
        <w:numPr>
          <w:ilvl w:val="0"/>
          <w:numId w:val="22"/>
        </w:numPr>
        <w:tabs>
          <w:tab w:val="left" w:pos="771"/>
        </w:tabs>
        <w:kinsoku w:val="0"/>
        <w:overflowPunct w:val="0"/>
        <w:spacing w:before="159" w:line="364" w:lineRule="auto"/>
        <w:ind w:right="570" w:firstLine="0"/>
        <w:jc w:val="both"/>
        <w:rPr>
          <w:rFonts w:hAnsi="宋体"/>
          <w:color w:val="auto"/>
          <w:highlight w:val="none"/>
        </w:rPr>
        <w:sectPr>
          <w:type w:val="continuous"/>
          <w:pgSz w:w="11910" w:h="16840"/>
          <w:pgMar w:top="1380" w:right="560" w:bottom="280" w:left="1160" w:header="720" w:footer="720" w:gutter="0"/>
          <w:cols w:equalWidth="0" w:num="1">
            <w:col w:w="10190"/>
          </w:cols>
        </w:sectPr>
      </w:pPr>
    </w:p>
    <w:p>
      <w:pPr>
        <w:pStyle w:val="3"/>
        <w:kinsoku w:val="0"/>
        <w:overflowPunct w:val="0"/>
        <w:ind w:right="26"/>
        <w:rPr>
          <w:rFonts w:hAnsi="宋体"/>
          <w:color w:val="auto"/>
          <w:highlight w:val="none"/>
        </w:rPr>
      </w:pPr>
      <w:bookmarkStart w:id="111" w:name="_Toc149147581"/>
      <w:bookmarkStart w:id="112" w:name="_Toc149147736"/>
      <w:r>
        <w:rPr>
          <w:rFonts w:hint="eastAsia" w:hAnsi="宋体"/>
          <w:color w:val="auto"/>
          <w:highlight w:val="none"/>
        </w:rPr>
        <w:t>法定代表人（单位负责人）身份证明</w:t>
      </w:r>
      <w:bookmarkEnd w:id="111"/>
      <w:bookmarkEnd w:id="112"/>
    </w:p>
    <w:p>
      <w:pPr>
        <w:pStyle w:val="17"/>
        <w:tabs>
          <w:tab w:val="left" w:pos="1501"/>
        </w:tabs>
        <w:kinsoku w:val="0"/>
        <w:overflowPunct w:val="0"/>
        <w:spacing w:before="136" w:line="610" w:lineRule="atLeast"/>
        <w:ind w:left="1021" w:right="5803" w:hanging="480"/>
        <w:rPr>
          <w:rFonts w:hAnsi="宋体"/>
          <w:color w:val="auto"/>
          <w:highlight w:val="none"/>
        </w:rPr>
      </w:pPr>
      <w:r>
        <w:rPr>
          <w:rFonts w:hint="eastAsia" w:hAnsi="宋体"/>
          <w:color w:val="auto"/>
          <w:spacing w:val="-1"/>
          <w:highlight w:val="none"/>
        </w:rPr>
        <w:t>致</w:t>
      </w:r>
      <w:r>
        <w:rPr>
          <w:rFonts w:hint="eastAsia" w:hAnsi="宋体"/>
          <w:color w:val="auto"/>
          <w:highlight w:val="none"/>
        </w:rPr>
        <w:t>：</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（采购人或采购代理机构</w:t>
      </w:r>
      <w:r>
        <w:rPr>
          <w:rFonts w:hint="eastAsia" w:hAnsi="宋体"/>
          <w:color w:val="auto"/>
          <w:spacing w:val="-17"/>
          <w:highlight w:val="none"/>
        </w:rPr>
        <w:t>）</w:t>
      </w:r>
      <w:r>
        <w:rPr>
          <w:rFonts w:hAnsi="宋体"/>
          <w:color w:val="auto"/>
          <w:spacing w:val="-17"/>
          <w:highlight w:val="none"/>
        </w:rPr>
        <w:t xml:space="preserve"> </w:t>
      </w:r>
      <w:r>
        <w:rPr>
          <w:rFonts w:hint="eastAsia" w:hAnsi="宋体"/>
          <w:color w:val="auto"/>
          <w:highlight w:val="none"/>
        </w:rPr>
        <w:t>兹证明，</w:t>
      </w:r>
    </w:p>
    <w:p>
      <w:pPr>
        <w:pStyle w:val="17"/>
        <w:tabs>
          <w:tab w:val="left" w:pos="1741"/>
          <w:tab w:val="left" w:pos="2941"/>
          <w:tab w:val="left" w:pos="4141"/>
          <w:tab w:val="left" w:pos="5394"/>
        </w:tabs>
        <w:kinsoku w:val="0"/>
        <w:overflowPunct w:val="0"/>
        <w:spacing w:before="153"/>
        <w:ind w:left="541"/>
        <w:rPr>
          <w:rFonts w:hAnsi="宋体" w:cs="Times New Roman"/>
          <w:color w:val="auto"/>
          <w:highlight w:val="none"/>
        </w:rPr>
      </w:pPr>
      <w:r>
        <w:rPr>
          <w:rFonts w:hint="eastAsia" w:hAnsi="宋体"/>
          <w:color w:val="auto"/>
          <w:highlight w:val="none"/>
        </w:rPr>
        <w:t>姓名：</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性别：</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年龄：</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spacing w:val="-1"/>
          <w:highlight w:val="none"/>
        </w:rPr>
        <w:t>职</w:t>
      </w:r>
      <w:r>
        <w:rPr>
          <w:rFonts w:hint="eastAsia" w:hAnsi="宋体"/>
          <w:color w:val="auto"/>
          <w:highlight w:val="none"/>
        </w:rPr>
        <w:t>务：</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kinsoku w:val="0"/>
        <w:overflowPunct w:val="0"/>
        <w:rPr>
          <w:rFonts w:hAnsi="宋体" w:cs="Times New Roman"/>
          <w:color w:val="auto"/>
          <w:sz w:val="20"/>
          <w:szCs w:val="20"/>
          <w:highlight w:val="none"/>
        </w:rPr>
      </w:pPr>
    </w:p>
    <w:p>
      <w:pPr>
        <w:pStyle w:val="17"/>
        <w:kinsoku w:val="0"/>
        <w:overflowPunct w:val="0"/>
        <w:spacing w:before="10"/>
        <w:rPr>
          <w:rFonts w:hAnsi="宋体" w:cs="Times New Roman"/>
          <w:color w:val="auto"/>
          <w:sz w:val="25"/>
          <w:szCs w:val="25"/>
          <w:highlight w:val="none"/>
        </w:rPr>
      </w:pPr>
    </w:p>
    <w:p>
      <w:pPr>
        <w:pStyle w:val="17"/>
        <w:tabs>
          <w:tab w:val="left" w:pos="1981"/>
        </w:tabs>
        <w:kinsoku w:val="0"/>
        <w:overflowPunct w:val="0"/>
        <w:spacing w:before="74"/>
        <w:ind w:left="541"/>
        <w:rPr>
          <w:rFonts w:hAnsi="宋体"/>
          <w:color w:val="auto"/>
          <w:highlight w:val="none"/>
        </w:rPr>
      </w:pPr>
      <w:r>
        <w:rPr>
          <w:rFonts w:hint="eastAsia" w:hAnsi="宋体"/>
          <w:color w:val="auto"/>
          <w:highlight w:val="none"/>
        </w:rPr>
        <w:t>系</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（供应商名称）的法定代表人（单位负责人</w:t>
      </w:r>
      <w:r>
        <w:rPr>
          <w:rFonts w:hint="eastAsia" w:hAnsi="宋体"/>
          <w:color w:val="auto"/>
          <w:spacing w:val="-120"/>
          <w:highlight w:val="none"/>
        </w:rPr>
        <w:t>）</w:t>
      </w:r>
      <w:r>
        <w:rPr>
          <w:rFonts w:hint="eastAsia" w:hAnsi="宋体"/>
          <w:color w:val="auto"/>
          <w:highlight w:val="none"/>
        </w:rPr>
        <w:t>。</w:t>
      </w:r>
    </w:p>
    <w:p>
      <w:pPr>
        <w:pStyle w:val="17"/>
        <w:kinsoku w:val="0"/>
        <w:overflowPunct w:val="0"/>
        <w:rPr>
          <w:rFonts w:hAnsi="宋体"/>
          <w:color w:val="auto"/>
          <w:sz w:val="26"/>
          <w:szCs w:val="26"/>
          <w:highlight w:val="none"/>
        </w:rPr>
      </w:pPr>
    </w:p>
    <w:p>
      <w:pPr>
        <w:pStyle w:val="17"/>
        <w:kinsoku w:val="0"/>
        <w:overflowPunct w:val="0"/>
        <w:rPr>
          <w:rFonts w:hAnsi="宋体"/>
          <w:color w:val="auto"/>
          <w:sz w:val="26"/>
          <w:szCs w:val="26"/>
          <w:highlight w:val="none"/>
        </w:rPr>
      </w:pPr>
    </w:p>
    <w:p>
      <w:pPr>
        <w:pStyle w:val="17"/>
        <w:kinsoku w:val="0"/>
        <w:overflowPunct w:val="0"/>
        <w:spacing w:before="4"/>
        <w:rPr>
          <w:rFonts w:hAnsi="宋体"/>
          <w:color w:val="auto"/>
          <w:sz w:val="28"/>
          <w:szCs w:val="28"/>
          <w:highlight w:val="none"/>
        </w:rPr>
      </w:pPr>
    </w:p>
    <w:p>
      <w:pPr>
        <w:pStyle w:val="17"/>
        <w:kinsoku w:val="0"/>
        <w:overflowPunct w:val="0"/>
        <w:spacing w:before="1"/>
        <w:ind w:left="541"/>
        <w:rPr>
          <w:rFonts w:hAnsi="宋体"/>
          <w:color w:val="auto"/>
          <w:highlight w:val="none"/>
        </w:rPr>
      </w:pPr>
      <w:r>
        <w:rPr>
          <w:rFonts w:hint="eastAsia" w:hAnsi="宋体"/>
          <w:color w:val="auto"/>
          <w:highlight w:val="none"/>
        </w:rPr>
        <w:t>附：法定代表人（单位负责人）身份证、护照等身份证明文件复印件：</w:t>
      </w:r>
    </w:p>
    <w:p>
      <w:pPr>
        <w:pStyle w:val="17"/>
        <w:kinsoku w:val="0"/>
        <w:overflowPunct w:val="0"/>
        <w:rPr>
          <w:rFonts w:hAnsi="宋体"/>
          <w:color w:val="auto"/>
          <w:sz w:val="20"/>
          <w:szCs w:val="20"/>
          <w:highlight w:val="none"/>
        </w:rPr>
      </w:pPr>
    </w:p>
    <w:p>
      <w:pPr>
        <w:pStyle w:val="17"/>
        <w:kinsoku w:val="0"/>
        <w:overflowPunct w:val="0"/>
        <w:spacing w:before="4"/>
        <w:rPr>
          <w:rFonts w:hAnsi="宋体"/>
          <w:color w:val="auto"/>
          <w:sz w:val="11"/>
          <w:szCs w:val="11"/>
          <w:highlight w:val="none"/>
        </w:rPr>
      </w:pPr>
      <w:r>
        <w:rPr>
          <w:rFonts w:hAnsi="宋体"/>
          <w:color w:val="auto"/>
          <w:highlight w:val="none"/>
        </w:rPr>
        <mc:AlternateContent>
          <mc:Choice Requires="wpg">
            <w:drawing>
              <wp:anchor distT="0" distB="0" distL="0" distR="0" simplePos="0" relativeHeight="251674624" behindDoc="0" locked="0" layoutInCell="0" allowOverlap="1">
                <wp:simplePos x="0" y="0"/>
                <wp:positionH relativeFrom="page">
                  <wp:posOffset>1008380</wp:posOffset>
                </wp:positionH>
                <wp:positionV relativeFrom="paragraph">
                  <wp:posOffset>120015</wp:posOffset>
                </wp:positionV>
                <wp:extent cx="5761355" cy="1452245"/>
                <wp:effectExtent l="0" t="0" r="0" b="0"/>
                <wp:wrapTopAndBottom/>
                <wp:docPr id="217483656" name="Group 22"/>
                <wp:cNvGraphicFramePr/>
                <a:graphic xmlns:a="http://schemas.openxmlformats.org/drawingml/2006/main">
                  <a:graphicData uri="http://schemas.microsoft.com/office/word/2010/wordprocessingGroup">
                    <wpg:wgp>
                      <wpg:cNvGrpSpPr/>
                      <wpg:grpSpPr>
                        <a:xfrm>
                          <a:off x="0" y="0"/>
                          <a:ext cx="5761355" cy="1452245"/>
                          <a:chOff x="1588" y="189"/>
                          <a:chExt cx="9073" cy="2287"/>
                        </a:xfrm>
                      </wpg:grpSpPr>
                      <wps:wsp>
                        <wps:cNvPr id="2111798096" name="Freeform 23"/>
                        <wps:cNvSpPr/>
                        <wps:spPr bwMode="auto">
                          <a:xfrm>
                            <a:off x="1588" y="194"/>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236098281" name="Freeform 24"/>
                        <wps:cNvSpPr/>
                        <wps:spPr bwMode="auto">
                          <a:xfrm>
                            <a:off x="1588" y="2471"/>
                            <a:ext cx="9073" cy="2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wps:wsp>
                        <wps:cNvPr id="1188367023" name="Freeform 25"/>
                        <wps:cNvSpPr/>
                        <wps:spPr bwMode="auto">
                          <a:xfrm>
                            <a:off x="1592" y="189"/>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s:wsp>
                        <wps:cNvPr id="999961357" name="Freeform 26"/>
                        <wps:cNvSpPr/>
                        <wps:spPr bwMode="auto">
                          <a:xfrm>
                            <a:off x="10654" y="189"/>
                            <a:ext cx="20" cy="2278"/>
                          </a:xfrm>
                          <a:custGeom>
                            <a:avLst/>
                            <a:gdLst>
                              <a:gd name="T0" fmla="*/ 0 w 20"/>
                              <a:gd name="T1" fmla="*/ 0 h 2278"/>
                              <a:gd name="T2" fmla="*/ 0 w 20"/>
                              <a:gd name="T3" fmla="*/ 2277 h 2278"/>
                            </a:gdLst>
                            <a:ahLst/>
                            <a:cxnLst>
                              <a:cxn ang="0">
                                <a:pos x="T0" y="T1"/>
                              </a:cxn>
                              <a:cxn ang="0">
                                <a:pos x="T2" y="T3"/>
                              </a:cxn>
                            </a:cxnLst>
                            <a:rect l="0" t="0" r="r" b="b"/>
                            <a:pathLst>
                              <a:path w="20" h="2278">
                                <a:moveTo>
                                  <a:pt x="0" y="0"/>
                                </a:moveTo>
                                <a:lnTo>
                                  <a:pt x="0" y="2277"/>
                                </a:lnTo>
                              </a:path>
                            </a:pathLst>
                          </a:custGeom>
                          <a:noFill/>
                          <a:ln w="6096">
                            <a:solidFill>
                              <a:srgbClr val="000000"/>
                            </a:solidFill>
                            <a:round/>
                          </a:ln>
                        </wps:spPr>
                        <wps:bodyPr rot="0" vert="horz" wrap="square" lIns="91440" tIns="45720" rIns="91440" bIns="45720" anchor="t" anchorCtr="0" upright="1">
                          <a:noAutofit/>
                        </wps:bodyPr>
                      </wps:wsp>
                    </wpg:wgp>
                  </a:graphicData>
                </a:graphic>
              </wp:anchor>
            </w:drawing>
          </mc:Choice>
          <mc:Fallback>
            <w:pict>
              <v:group id="Group 22" o:spid="_x0000_s1026" o:spt="203" style="position:absolute;left:0pt;margin-left:79.4pt;margin-top:9.45pt;height:114.35pt;width:453.65pt;mso-position-horizontal-relative:page;mso-wrap-distance-bottom:0pt;mso-wrap-distance-top:0pt;z-index:251674624;mso-width-relative:page;mso-height-relative:page;" coordorigin="1588,189" coordsize="9073,2287" o:allowincell="f" o:gfxdata="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">
                <o:lock v:ext="edit" aspectratio="f"/>
                <v:shape id="Freeform 23" o:spid="_x0000_s1026" o:spt="100" style="position:absolute;left:1588;top:194;height:20;width:9073;" filled="f" stroked="t" coordsize="9073,20" o:gfxdata="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5yV&#10;f8EAAADjAAAADwAAAAAAAAABACAAAAAiAAAAZHJzL2Rvd25yZXYueG1sUEsBAhQAFAAAAAgAh07i&#10;QDMvBZ47AAAAOQAAABAAAAAAAAAAAQAgAAAAEAEAAGRycy9zaGFwZXhtbC54bWxQSwUGAAAAAAYA&#10;BgBbAQAAugMAAAAA&#10;" path="m0,0l9072,0e">
                  <v:path o:connectlocs="0,0;9072,0" o:connectangles="0,0"/>
                  <v:fill on="f" focussize="0,0"/>
                  <v:stroke weight="0.48pt" color="#000000" joinstyle="round"/>
                  <v:imagedata o:title=""/>
                  <o:lock v:ext="edit" aspectratio="f"/>
                </v:shape>
                <v:shape id="Freeform 24" o:spid="_x0000_s1026" o:spt="100" style="position:absolute;left:1588;top:2471;height:20;width:9073;" filled="f" stroked="t" coordsize="9073,20" o:gfxdata="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IU1&#10;IcEAAADiAAAADwAAAAAAAAABACAAAAAiAAAAZHJzL2Rvd25yZXYueG1sUEsBAhQAFAAAAAgAh07i&#10;QDMvBZ47AAAAOQAAABAAAAAAAAAAAQAgAAAAEAEAAGRycy9zaGFwZXhtbC54bWxQSwUGAAAAAAYA&#10;BgBbAQAAugMAAAAA&#10;" path="m0,0l9072,0e">
                  <v:path o:connectlocs="0,0;9072,0" o:connectangles="0,0"/>
                  <v:fill on="f" focussize="0,0"/>
                  <v:stroke weight="0.48pt" color="#000000" joinstyle="round"/>
                  <v:imagedata o:title=""/>
                  <o:lock v:ext="edit" aspectratio="f"/>
                </v:shape>
                <v:shape id="Freeform 25" o:spid="_x0000_s1026" o:spt="100" style="position:absolute;left:1592;top:189;height:2278;width:20;" filled="f" stroked="t" coordsize="20,2278" o:gfxdata="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RI&#10;J4DCAAAA4wAAAA8AAAAAAAAAAQAgAAAAIgAAAGRycy9kb3ducmV2LnhtbFBLAQIUABQAAAAIAIdO&#10;4kAzLwWeOwAAADkAAAAQAAAAAAAAAAEAIAAAABEBAABkcnMvc2hhcGV4bWwueG1sUEsFBgAAAAAG&#10;AAYAWwEAALsDAAAAAA==&#10;" path="m0,0l0,2277e">
                  <v:path o:connectlocs="0,0;0,2277" o:connectangles="0,0"/>
                  <v:fill on="f" focussize="0,0"/>
                  <v:stroke weight="0.48pt" color="#000000" joinstyle="round"/>
                  <v:imagedata o:title=""/>
                  <o:lock v:ext="edit" aspectratio="f"/>
                </v:shape>
                <v:shape id="Freeform 26" o:spid="_x0000_s1026" o:spt="100" style="position:absolute;left:10654;top:189;height:2278;width:20;" filled="f" stroked="t" coordsize="20,2278" o:gfxdata="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wRX&#10;acEAAADiAAAADwAAAAAAAAABACAAAAAiAAAAZHJzL2Rvd25yZXYueG1sUEsBAhQAFAAAAAgAh07i&#10;QDMvBZ47AAAAOQAAABAAAAAAAAAAAQAgAAAAEAEAAGRycy9zaGFwZXhtbC54bWxQSwUGAAAAAAYA&#10;BgBbAQAAugMAAAAA&#10;" path="m0,0l0,2277e">
                  <v:path o:connectlocs="0,0;0,2277" o:connectangles="0,0"/>
                  <v:fill on="f" focussize="0,0"/>
                  <v:stroke weight="0.48pt" color="#000000" joinstyle="round"/>
                  <v:imagedata o:title=""/>
                  <o:lock v:ext="edit" aspectratio="f"/>
                </v:shape>
                <w10:wrap type="topAndBottom"/>
              </v:group>
            </w:pict>
          </mc:Fallback>
        </mc:AlternateContent>
      </w:r>
    </w:p>
    <w:p>
      <w:pPr>
        <w:pStyle w:val="17"/>
        <w:kinsoku w:val="0"/>
        <w:overflowPunct w:val="0"/>
        <w:rPr>
          <w:rFonts w:hAnsi="宋体"/>
          <w:color w:val="auto"/>
          <w:sz w:val="20"/>
          <w:szCs w:val="20"/>
          <w:highlight w:val="none"/>
        </w:rPr>
      </w:pPr>
    </w:p>
    <w:p>
      <w:pPr>
        <w:pStyle w:val="17"/>
        <w:kinsoku w:val="0"/>
        <w:overflowPunct w:val="0"/>
        <w:rPr>
          <w:rFonts w:hAnsi="宋体"/>
          <w:color w:val="auto"/>
          <w:sz w:val="20"/>
          <w:szCs w:val="20"/>
          <w:highlight w:val="none"/>
        </w:rPr>
      </w:pPr>
    </w:p>
    <w:p>
      <w:pPr>
        <w:pStyle w:val="17"/>
        <w:kinsoku w:val="0"/>
        <w:overflowPunct w:val="0"/>
        <w:spacing w:before="4"/>
        <w:rPr>
          <w:rFonts w:hAnsi="宋体"/>
          <w:color w:val="auto"/>
          <w:sz w:val="20"/>
          <w:szCs w:val="20"/>
          <w:highlight w:val="none"/>
        </w:rPr>
      </w:pPr>
    </w:p>
    <w:p>
      <w:pPr>
        <w:pStyle w:val="17"/>
        <w:tabs>
          <w:tab w:val="left" w:pos="4074"/>
        </w:tabs>
        <w:kinsoku w:val="0"/>
        <w:overflowPunct w:val="0"/>
        <w:ind w:left="541"/>
        <w:rPr>
          <w:rFonts w:hAnsi="宋体" w:cs="Times New Roman"/>
          <w:color w:val="auto"/>
          <w:highlight w:val="none"/>
        </w:rPr>
      </w:pPr>
      <w:r>
        <w:rPr>
          <w:rFonts w:hint="eastAsia" w:hAnsi="宋体"/>
          <w:color w:val="auto"/>
          <w:highlight w:val="none"/>
        </w:rPr>
        <w:t>供应商名称（加盖公章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tabs>
          <w:tab w:val="left" w:pos="1741"/>
          <w:tab w:val="left" w:pos="2461"/>
          <w:tab w:val="left" w:pos="3181"/>
          <w:tab w:val="left" w:pos="5806"/>
        </w:tabs>
        <w:kinsoku w:val="0"/>
        <w:overflowPunct w:val="0"/>
        <w:spacing w:before="158" w:line="364" w:lineRule="auto"/>
        <w:ind w:left="541" w:right="4378"/>
        <w:rPr>
          <w:rFonts w:hAnsi="宋体"/>
          <w:color w:val="auto"/>
          <w:highlight w:val="none"/>
        </w:rPr>
      </w:pPr>
      <w:r>
        <w:rPr>
          <w:rFonts w:hint="eastAsia" w:hAnsi="宋体"/>
          <w:color w:val="auto"/>
          <w:spacing w:val="-8"/>
          <w:highlight w:val="none"/>
        </w:rPr>
        <w:t>法</w:t>
      </w:r>
      <w:r>
        <w:rPr>
          <w:rFonts w:hint="eastAsia" w:hAnsi="宋体"/>
          <w:color w:val="auto"/>
          <w:spacing w:val="-5"/>
          <w:highlight w:val="none"/>
        </w:rPr>
        <w:t>定</w:t>
      </w:r>
      <w:r>
        <w:rPr>
          <w:rFonts w:hint="eastAsia" w:hAnsi="宋体"/>
          <w:color w:val="auto"/>
          <w:spacing w:val="-8"/>
          <w:highlight w:val="none"/>
        </w:rPr>
        <w:t>代</w:t>
      </w:r>
      <w:r>
        <w:rPr>
          <w:rFonts w:hint="eastAsia" w:hAnsi="宋体"/>
          <w:color w:val="auto"/>
          <w:spacing w:val="-5"/>
          <w:highlight w:val="none"/>
        </w:rPr>
        <w:t>表</w:t>
      </w:r>
      <w:r>
        <w:rPr>
          <w:rFonts w:hint="eastAsia" w:hAnsi="宋体"/>
          <w:color w:val="auto"/>
          <w:spacing w:val="-8"/>
          <w:highlight w:val="none"/>
        </w:rPr>
        <w:t>人</w:t>
      </w:r>
      <w:r>
        <w:rPr>
          <w:rFonts w:hint="eastAsia" w:hAnsi="宋体"/>
          <w:color w:val="auto"/>
          <w:spacing w:val="-5"/>
          <w:highlight w:val="none"/>
        </w:rPr>
        <w:t>（</w:t>
      </w:r>
      <w:r>
        <w:rPr>
          <w:rFonts w:hint="eastAsia" w:hAnsi="宋体"/>
          <w:color w:val="auto"/>
          <w:highlight w:val="none"/>
        </w:rPr>
        <w:t>单位负责人</w:t>
      </w:r>
      <w:r>
        <w:rPr>
          <w:rFonts w:hint="eastAsia" w:hAnsi="宋体"/>
          <w:color w:val="auto"/>
          <w:spacing w:val="-125"/>
          <w:highlight w:val="none"/>
        </w:rPr>
        <w:t>）</w:t>
      </w:r>
      <w:r>
        <w:rPr>
          <w:rFonts w:hint="eastAsia" w:hAnsi="宋体"/>
          <w:color w:val="auto"/>
          <w:spacing w:val="-8"/>
          <w:highlight w:val="none"/>
        </w:rPr>
        <w:t>（</w:t>
      </w:r>
      <w:r>
        <w:rPr>
          <w:rFonts w:hint="eastAsia" w:hAnsi="宋体"/>
          <w:color w:val="auto"/>
          <w:spacing w:val="-5"/>
          <w:highlight w:val="none"/>
        </w:rPr>
        <w:t>签字</w:t>
      </w:r>
      <w:r>
        <w:rPr>
          <w:rFonts w:hint="eastAsia" w:hAnsi="宋体"/>
          <w:color w:val="auto"/>
          <w:highlight w:val="none"/>
        </w:rPr>
        <w:t>或盖章</w:t>
      </w:r>
      <w:r>
        <w:rPr>
          <w:rFonts w:hint="eastAsia" w:hAnsi="宋体"/>
          <w:color w:val="auto"/>
          <w:spacing w:val="-123"/>
          <w:highlight w:val="none"/>
        </w:rPr>
        <w:t>）</w:t>
      </w:r>
      <w:r>
        <w:rPr>
          <w:rFonts w:hint="eastAsia" w:hAnsi="宋体"/>
          <w:color w:val="auto"/>
          <w:spacing w:val="-9"/>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Ansi="宋体" w:cs="Times New Roman"/>
          <w:color w:val="auto"/>
          <w:highlight w:val="none"/>
          <w:u w:val="single" w:color="000000"/>
        </w:rPr>
        <w:t xml:space="preserve"> </w:t>
      </w:r>
      <w:r>
        <w:rPr>
          <w:rFonts w:hint="eastAsia" w:hAnsi="宋体"/>
          <w:color w:val="auto"/>
          <w:highlight w:val="none"/>
        </w:rPr>
        <w:t>日期：</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月</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日</w:t>
      </w:r>
    </w:p>
    <w:p>
      <w:pPr>
        <w:pStyle w:val="17"/>
        <w:tabs>
          <w:tab w:val="left" w:pos="1741"/>
          <w:tab w:val="left" w:pos="2461"/>
          <w:tab w:val="left" w:pos="3181"/>
          <w:tab w:val="left" w:pos="5806"/>
        </w:tabs>
        <w:kinsoku w:val="0"/>
        <w:overflowPunct w:val="0"/>
        <w:spacing w:before="158" w:line="364" w:lineRule="auto"/>
        <w:ind w:left="541" w:right="4378"/>
        <w:rPr>
          <w:rFonts w:hAnsi="宋体"/>
          <w:color w:val="auto"/>
          <w:highlight w:val="none"/>
        </w:rPr>
        <w:sectPr>
          <w:pgSz w:w="11910" w:h="16840"/>
          <w:pgMar w:top="1340" w:right="560" w:bottom="1080" w:left="1160" w:header="879" w:footer="879" w:gutter="0"/>
          <w:cols w:space="720" w:num="1"/>
        </w:sectPr>
      </w:pPr>
    </w:p>
    <w:p>
      <w:pPr>
        <w:pStyle w:val="69"/>
        <w:spacing w:line="360" w:lineRule="auto"/>
        <w:ind w:left="540" w:firstLine="0"/>
        <w:outlineLvl w:val="0"/>
        <w:rPr>
          <w:rFonts w:hAnsi="宋体"/>
          <w:color w:val="auto"/>
          <w:highlight w:val="none"/>
        </w:rPr>
      </w:pPr>
      <w:bookmarkStart w:id="113" w:name="_Toc149147582"/>
      <w:bookmarkStart w:id="114" w:name="_Toc149147737"/>
      <w:r>
        <w:rPr>
          <w:rFonts w:hint="eastAsia" w:hAnsi="宋体"/>
          <w:color w:val="auto"/>
          <w:highlight w:val="none"/>
        </w:rPr>
        <w:t>6</w:t>
      </w:r>
      <w:r>
        <w:rPr>
          <w:rFonts w:hAnsi="宋体"/>
          <w:color w:val="auto"/>
          <w:highlight w:val="none"/>
        </w:rPr>
        <w:t xml:space="preserve"> </w:t>
      </w:r>
      <w:r>
        <w:rPr>
          <w:rFonts w:hint="eastAsia" w:hAnsi="宋体"/>
          <w:color w:val="auto"/>
          <w:highlight w:val="none"/>
        </w:rPr>
        <w:t>报价一览表</w:t>
      </w:r>
      <w:bookmarkEnd w:id="113"/>
      <w:bookmarkEnd w:id="114"/>
    </w:p>
    <w:p>
      <w:pPr>
        <w:pStyle w:val="17"/>
        <w:kinsoku w:val="0"/>
        <w:overflowPunct w:val="0"/>
        <w:spacing w:before="5"/>
        <w:rPr>
          <w:rFonts w:hAnsi="宋体"/>
          <w:color w:val="auto"/>
          <w:sz w:val="36"/>
          <w:szCs w:val="36"/>
          <w:highlight w:val="none"/>
        </w:rPr>
      </w:pPr>
    </w:p>
    <w:p>
      <w:pPr>
        <w:pStyle w:val="3"/>
        <w:kinsoku w:val="0"/>
        <w:overflowPunct w:val="0"/>
        <w:spacing w:before="0"/>
        <w:ind w:left="541"/>
        <w:rPr>
          <w:rFonts w:hAnsi="宋体"/>
          <w:color w:val="auto"/>
          <w:highlight w:val="none"/>
        </w:rPr>
      </w:pPr>
      <w:bookmarkStart w:id="115" w:name="_Toc149147738"/>
      <w:bookmarkStart w:id="116" w:name="_Toc149147583"/>
      <w:r>
        <w:rPr>
          <w:rFonts w:hint="eastAsia" w:hAnsi="宋体"/>
          <w:color w:val="auto"/>
          <w:highlight w:val="none"/>
        </w:rPr>
        <w:t>报价一览表</w:t>
      </w:r>
      <w:bookmarkEnd w:id="115"/>
      <w:bookmarkEnd w:id="116"/>
    </w:p>
    <w:p>
      <w:pPr>
        <w:rPr>
          <w:rFonts w:hAnsi="宋体"/>
          <w:color w:val="auto"/>
          <w:highlight w:val="none"/>
        </w:rPr>
      </w:pPr>
    </w:p>
    <w:p>
      <w:pPr>
        <w:pStyle w:val="17"/>
        <w:kinsoku w:val="0"/>
        <w:overflowPunct w:val="0"/>
        <w:spacing w:before="4"/>
        <w:rPr>
          <w:rFonts w:hAnsi="宋体"/>
          <w:color w:val="auto"/>
          <w:sz w:val="25"/>
          <w:szCs w:val="25"/>
          <w:highlight w:val="none"/>
        </w:rPr>
      </w:pPr>
    </w:p>
    <w:p>
      <w:pPr>
        <w:pStyle w:val="17"/>
        <w:tabs>
          <w:tab w:val="left" w:pos="3354"/>
          <w:tab w:val="left" w:pos="3901"/>
          <w:tab w:val="left" w:pos="6474"/>
        </w:tabs>
        <w:kinsoku w:val="0"/>
        <w:overflowPunct w:val="0"/>
        <w:spacing w:before="158"/>
        <w:ind w:left="781"/>
        <w:rPr>
          <w:rFonts w:hAnsi="宋体" w:cs="Times New Roman"/>
          <w:color w:val="auto"/>
          <w:highlight w:val="none"/>
        </w:rPr>
      </w:pPr>
      <w:r>
        <w:rPr>
          <w:rFonts w:hint="eastAsia" w:hAnsi="宋体"/>
          <w:color w:val="auto"/>
          <w:highlight w:val="none"/>
        </w:rPr>
        <w:t>项目编号：</w:t>
      </w:r>
      <w:r>
        <w:rPr>
          <w:rFonts w:hAnsi="宋体"/>
          <w:color w:val="auto"/>
          <w:highlight w:val="none"/>
          <w:u w:val="single" w:color="000000"/>
        </w:rPr>
        <w:t xml:space="preserve"> </w:t>
      </w:r>
      <w:r>
        <w:rPr>
          <w:rFonts w:hAnsi="宋体"/>
          <w:color w:val="auto"/>
          <w:highlight w:val="none"/>
          <w:u w:val="single" w:color="000000"/>
        </w:rPr>
        <w:tab/>
      </w:r>
      <w:r>
        <w:rPr>
          <w:rFonts w:hAnsi="宋体"/>
          <w:color w:val="auto"/>
          <w:highlight w:val="none"/>
        </w:rPr>
        <w:tab/>
      </w:r>
      <w:r>
        <w:rPr>
          <w:rFonts w:hint="eastAsia" w:hAnsi="宋体"/>
          <w:color w:val="auto"/>
          <w:spacing w:val="-1"/>
          <w:highlight w:val="none"/>
        </w:rPr>
        <w:t>项</w:t>
      </w:r>
      <w:r>
        <w:rPr>
          <w:rFonts w:hint="eastAsia" w:hAnsi="宋体"/>
          <w:color w:val="auto"/>
          <w:highlight w:val="none"/>
        </w:rPr>
        <w:t>目名称：</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kinsoku w:val="0"/>
        <w:overflowPunct w:val="0"/>
        <w:spacing w:before="7"/>
        <w:rPr>
          <w:rFonts w:hAnsi="宋体" w:cs="Times New Roman"/>
          <w:color w:val="auto"/>
          <w:sz w:val="13"/>
          <w:szCs w:val="13"/>
          <w:highlight w:val="none"/>
        </w:rPr>
      </w:pPr>
    </w:p>
    <w:tbl>
      <w:tblPr>
        <w:tblStyle w:val="44"/>
        <w:tblW w:w="9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9"/>
        <w:gridCol w:w="2667"/>
        <w:gridCol w:w="1899"/>
        <w:gridCol w:w="2453"/>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49" w:type="dxa"/>
            <w:vMerge w:val="restart"/>
            <w:vAlign w:val="center"/>
          </w:tcPr>
          <w:p>
            <w:pPr>
              <w:tabs>
                <w:tab w:val="left" w:pos="5580"/>
              </w:tabs>
              <w:jc w:val="center"/>
              <w:rPr>
                <w:b/>
                <w:color w:val="auto"/>
                <w:sz w:val="24"/>
                <w:highlight w:val="none"/>
              </w:rPr>
            </w:pPr>
            <w:r>
              <w:rPr>
                <w:b/>
                <w:color w:val="auto"/>
                <w:sz w:val="24"/>
                <w:highlight w:val="none"/>
              </w:rPr>
              <w:t>序号</w:t>
            </w:r>
          </w:p>
        </w:tc>
        <w:tc>
          <w:tcPr>
            <w:tcW w:w="2667" w:type="dxa"/>
            <w:vMerge w:val="restart"/>
            <w:vAlign w:val="center"/>
          </w:tcPr>
          <w:p>
            <w:pPr>
              <w:tabs>
                <w:tab w:val="left" w:pos="5580"/>
              </w:tabs>
              <w:jc w:val="center"/>
              <w:rPr>
                <w:b/>
                <w:color w:val="auto"/>
                <w:sz w:val="24"/>
                <w:highlight w:val="none"/>
              </w:rPr>
            </w:pPr>
            <w:r>
              <w:rPr>
                <w:rFonts w:hint="eastAsia"/>
                <w:b/>
                <w:color w:val="auto"/>
                <w:sz w:val="24"/>
                <w:highlight w:val="none"/>
              </w:rPr>
              <w:t>供应商</w:t>
            </w:r>
            <w:r>
              <w:rPr>
                <w:b/>
                <w:color w:val="auto"/>
                <w:sz w:val="24"/>
                <w:highlight w:val="none"/>
              </w:rPr>
              <w:t>名称</w:t>
            </w:r>
          </w:p>
        </w:tc>
        <w:tc>
          <w:tcPr>
            <w:tcW w:w="4352" w:type="dxa"/>
            <w:gridSpan w:val="2"/>
            <w:vAlign w:val="center"/>
          </w:tcPr>
          <w:p>
            <w:pPr>
              <w:tabs>
                <w:tab w:val="left" w:pos="5580"/>
              </w:tabs>
              <w:jc w:val="center"/>
              <w:rPr>
                <w:b/>
                <w:color w:val="auto"/>
                <w:sz w:val="24"/>
                <w:highlight w:val="none"/>
              </w:rPr>
            </w:pPr>
            <w:r>
              <w:rPr>
                <w:rFonts w:hint="eastAsia"/>
                <w:b/>
                <w:color w:val="auto"/>
                <w:sz w:val="24"/>
                <w:highlight w:val="none"/>
              </w:rPr>
              <w:t>磋商</w:t>
            </w:r>
            <w:r>
              <w:rPr>
                <w:b/>
                <w:color w:val="auto"/>
                <w:sz w:val="24"/>
                <w:highlight w:val="none"/>
              </w:rPr>
              <w:t>报价</w:t>
            </w:r>
          </w:p>
        </w:tc>
        <w:tc>
          <w:tcPr>
            <w:tcW w:w="2322" w:type="dxa"/>
            <w:vMerge w:val="restart"/>
            <w:vAlign w:val="center"/>
          </w:tcPr>
          <w:p>
            <w:pPr>
              <w:tabs>
                <w:tab w:val="left" w:pos="5580"/>
              </w:tabs>
              <w:jc w:val="center"/>
              <w:rPr>
                <w:b/>
                <w:color w:val="auto"/>
                <w:sz w:val="24"/>
                <w:highlight w:val="none"/>
              </w:rPr>
            </w:pPr>
            <w:r>
              <w:rPr>
                <w:b/>
                <w:color w:val="auto"/>
                <w:sz w:val="24"/>
                <w:highlight w:val="none"/>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549" w:type="dxa"/>
            <w:vMerge w:val="continue"/>
            <w:vAlign w:val="center"/>
          </w:tcPr>
          <w:p>
            <w:pPr>
              <w:tabs>
                <w:tab w:val="left" w:pos="5580"/>
              </w:tabs>
              <w:jc w:val="center"/>
              <w:rPr>
                <w:color w:val="auto"/>
                <w:sz w:val="24"/>
                <w:highlight w:val="none"/>
              </w:rPr>
            </w:pPr>
          </w:p>
        </w:tc>
        <w:tc>
          <w:tcPr>
            <w:tcW w:w="2667" w:type="dxa"/>
            <w:vMerge w:val="continue"/>
            <w:vAlign w:val="center"/>
          </w:tcPr>
          <w:p>
            <w:pPr>
              <w:tabs>
                <w:tab w:val="left" w:pos="5580"/>
              </w:tabs>
              <w:jc w:val="center"/>
              <w:rPr>
                <w:color w:val="auto"/>
                <w:sz w:val="24"/>
                <w:highlight w:val="none"/>
              </w:rPr>
            </w:pPr>
          </w:p>
        </w:tc>
        <w:tc>
          <w:tcPr>
            <w:tcW w:w="1899" w:type="dxa"/>
            <w:vAlign w:val="center"/>
          </w:tcPr>
          <w:p>
            <w:pPr>
              <w:tabs>
                <w:tab w:val="left" w:pos="5580"/>
              </w:tabs>
              <w:jc w:val="center"/>
              <w:rPr>
                <w:b/>
                <w:color w:val="auto"/>
                <w:sz w:val="24"/>
                <w:highlight w:val="none"/>
              </w:rPr>
            </w:pPr>
            <w:r>
              <w:rPr>
                <w:b/>
                <w:color w:val="auto"/>
                <w:sz w:val="24"/>
                <w:highlight w:val="none"/>
              </w:rPr>
              <w:t>大写</w:t>
            </w:r>
          </w:p>
        </w:tc>
        <w:tc>
          <w:tcPr>
            <w:tcW w:w="2453" w:type="dxa"/>
            <w:vAlign w:val="center"/>
          </w:tcPr>
          <w:p>
            <w:pPr>
              <w:tabs>
                <w:tab w:val="left" w:pos="5580"/>
              </w:tabs>
              <w:jc w:val="center"/>
              <w:rPr>
                <w:b/>
                <w:color w:val="auto"/>
                <w:sz w:val="24"/>
                <w:highlight w:val="none"/>
              </w:rPr>
            </w:pPr>
            <w:r>
              <w:rPr>
                <w:b/>
                <w:color w:val="auto"/>
                <w:sz w:val="24"/>
                <w:highlight w:val="none"/>
              </w:rPr>
              <w:t>小写</w:t>
            </w:r>
          </w:p>
        </w:tc>
        <w:tc>
          <w:tcPr>
            <w:tcW w:w="2322" w:type="dxa"/>
            <w:vMerge w:val="continue"/>
            <w:vAlign w:val="center"/>
          </w:tcPr>
          <w:p>
            <w:pPr>
              <w:tabs>
                <w:tab w:val="left" w:pos="5580"/>
              </w:tabs>
              <w:jc w:val="center"/>
              <w:rPr>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549" w:type="dxa"/>
            <w:vAlign w:val="center"/>
          </w:tcPr>
          <w:p>
            <w:pPr>
              <w:tabs>
                <w:tab w:val="left" w:pos="5580"/>
              </w:tabs>
              <w:jc w:val="center"/>
              <w:rPr>
                <w:color w:val="auto"/>
                <w:sz w:val="24"/>
                <w:highlight w:val="none"/>
              </w:rPr>
            </w:pPr>
          </w:p>
        </w:tc>
        <w:tc>
          <w:tcPr>
            <w:tcW w:w="2667" w:type="dxa"/>
            <w:vAlign w:val="center"/>
          </w:tcPr>
          <w:p>
            <w:pPr>
              <w:tabs>
                <w:tab w:val="left" w:pos="5580"/>
              </w:tabs>
              <w:jc w:val="center"/>
              <w:rPr>
                <w:color w:val="auto"/>
                <w:sz w:val="24"/>
                <w:highlight w:val="none"/>
              </w:rPr>
            </w:pPr>
          </w:p>
        </w:tc>
        <w:tc>
          <w:tcPr>
            <w:tcW w:w="1899" w:type="dxa"/>
            <w:vAlign w:val="center"/>
          </w:tcPr>
          <w:p>
            <w:pPr>
              <w:tabs>
                <w:tab w:val="left" w:pos="5580"/>
              </w:tabs>
              <w:jc w:val="center"/>
              <w:rPr>
                <w:color w:val="auto"/>
                <w:sz w:val="24"/>
                <w:highlight w:val="none"/>
              </w:rPr>
            </w:pPr>
          </w:p>
        </w:tc>
        <w:tc>
          <w:tcPr>
            <w:tcW w:w="2453" w:type="dxa"/>
            <w:vAlign w:val="center"/>
          </w:tcPr>
          <w:p>
            <w:pPr>
              <w:tabs>
                <w:tab w:val="left" w:pos="5580"/>
              </w:tabs>
              <w:jc w:val="center"/>
              <w:rPr>
                <w:color w:val="auto"/>
                <w:sz w:val="24"/>
                <w:highlight w:val="none"/>
              </w:rPr>
            </w:pPr>
          </w:p>
        </w:tc>
        <w:tc>
          <w:tcPr>
            <w:tcW w:w="2322" w:type="dxa"/>
            <w:vAlign w:val="center"/>
          </w:tcPr>
          <w:p>
            <w:pPr>
              <w:tabs>
                <w:tab w:val="left" w:pos="5580"/>
              </w:tabs>
              <w:jc w:val="center"/>
              <w:rPr>
                <w:color w:val="auto"/>
                <w:sz w:val="24"/>
                <w:highlight w:val="none"/>
              </w:rPr>
            </w:pPr>
          </w:p>
        </w:tc>
      </w:tr>
    </w:tbl>
    <w:p>
      <w:pPr>
        <w:pStyle w:val="17"/>
        <w:kinsoku w:val="0"/>
        <w:overflowPunct w:val="0"/>
        <w:spacing w:before="3"/>
        <w:rPr>
          <w:rFonts w:hAnsi="宋体" w:cs="Times New Roman"/>
          <w:color w:val="auto"/>
          <w:sz w:val="17"/>
          <w:szCs w:val="17"/>
          <w:highlight w:val="none"/>
        </w:rPr>
      </w:pPr>
    </w:p>
    <w:p>
      <w:pPr>
        <w:pStyle w:val="17"/>
        <w:kinsoku w:val="0"/>
        <w:overflowPunct w:val="0"/>
        <w:spacing w:before="83"/>
        <w:ind w:left="541"/>
        <w:rPr>
          <w:rFonts w:hAnsi="宋体"/>
          <w:color w:val="auto"/>
          <w:highlight w:val="none"/>
        </w:rPr>
      </w:pPr>
      <w:r>
        <w:rPr>
          <w:rFonts w:hint="eastAsia" w:hAnsi="宋体"/>
          <w:color w:val="auto"/>
          <w:highlight w:val="none"/>
        </w:rPr>
        <w:t>注：</w:t>
      </w:r>
      <w:r>
        <w:rPr>
          <w:rFonts w:hAnsi="宋体" w:cs="Arial"/>
          <w:color w:val="auto"/>
          <w:highlight w:val="none"/>
        </w:rPr>
        <w:t>1.</w:t>
      </w:r>
      <w:r>
        <w:rPr>
          <w:rFonts w:hint="eastAsia" w:hAnsi="宋体"/>
          <w:color w:val="auto"/>
          <w:highlight w:val="none"/>
        </w:rPr>
        <w:t>此表中，每包的报价应和《分项报价表》中的总价相一致。</w:t>
      </w:r>
    </w:p>
    <w:p>
      <w:pPr>
        <w:pStyle w:val="17"/>
        <w:kinsoku w:val="0"/>
        <w:overflowPunct w:val="0"/>
        <w:spacing w:before="5"/>
        <w:ind w:left="1021"/>
        <w:rPr>
          <w:rFonts w:hAnsi="宋体"/>
          <w:color w:val="auto"/>
          <w:highlight w:val="none"/>
        </w:rPr>
      </w:pPr>
      <w:r>
        <w:rPr>
          <w:rFonts w:hAnsi="宋体" w:cs="Arial"/>
          <w:color w:val="auto"/>
          <w:highlight w:val="none"/>
        </w:rPr>
        <w:t>2.</w:t>
      </w:r>
      <w:r>
        <w:rPr>
          <w:rFonts w:hint="eastAsia" w:hAnsi="宋体"/>
          <w:color w:val="auto"/>
          <w:highlight w:val="none"/>
        </w:rPr>
        <w:t>本表必须按包分别填写。</w:t>
      </w:r>
    </w:p>
    <w:p>
      <w:pPr>
        <w:pStyle w:val="17"/>
        <w:kinsoku w:val="0"/>
        <w:overflowPunct w:val="0"/>
        <w:rPr>
          <w:rFonts w:hAnsi="宋体"/>
          <w:color w:val="auto"/>
          <w:sz w:val="28"/>
          <w:szCs w:val="28"/>
          <w:highlight w:val="none"/>
        </w:rPr>
      </w:pPr>
    </w:p>
    <w:p>
      <w:pPr>
        <w:pStyle w:val="17"/>
        <w:kinsoku w:val="0"/>
        <w:overflowPunct w:val="0"/>
        <w:rPr>
          <w:rFonts w:hAnsi="宋体"/>
          <w:color w:val="auto"/>
          <w:sz w:val="28"/>
          <w:szCs w:val="28"/>
          <w:highlight w:val="none"/>
        </w:rPr>
      </w:pPr>
    </w:p>
    <w:p>
      <w:pPr>
        <w:pStyle w:val="17"/>
        <w:kinsoku w:val="0"/>
        <w:overflowPunct w:val="0"/>
        <w:spacing w:before="3"/>
        <w:rPr>
          <w:rFonts w:hAnsi="宋体"/>
          <w:color w:val="auto"/>
          <w:sz w:val="37"/>
          <w:szCs w:val="37"/>
          <w:highlight w:val="none"/>
        </w:rPr>
      </w:pPr>
    </w:p>
    <w:p>
      <w:pPr>
        <w:pStyle w:val="17"/>
        <w:tabs>
          <w:tab w:val="left" w:pos="1741"/>
          <w:tab w:val="left" w:pos="2461"/>
          <w:tab w:val="left" w:pos="3181"/>
          <w:tab w:val="left" w:pos="4674"/>
        </w:tabs>
        <w:kinsoku w:val="0"/>
        <w:overflowPunct w:val="0"/>
        <w:spacing w:line="384" w:lineRule="auto"/>
        <w:ind w:left="541" w:right="5510"/>
        <w:rPr>
          <w:rFonts w:hAnsi="宋体" w:cs="Times New Roman"/>
          <w:color w:val="auto"/>
          <w:highlight w:val="none"/>
          <w:u w:val="single" w:color="000000"/>
        </w:rPr>
      </w:pPr>
      <w:r>
        <w:rPr>
          <w:rFonts w:hint="eastAsia" w:hAnsi="宋体"/>
          <w:color w:val="auto"/>
          <w:highlight w:val="none"/>
        </w:rPr>
        <w:t>供应商名称（加盖公章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Ansi="宋体" w:cs="Times New Roman"/>
          <w:color w:val="auto"/>
          <w:highlight w:val="none"/>
          <w:u w:val="single" w:color="000000"/>
        </w:rPr>
        <w:t xml:space="preserve"> </w:t>
      </w:r>
    </w:p>
    <w:p>
      <w:pPr>
        <w:pStyle w:val="17"/>
        <w:tabs>
          <w:tab w:val="left" w:pos="1741"/>
          <w:tab w:val="left" w:pos="2461"/>
          <w:tab w:val="left" w:pos="3181"/>
          <w:tab w:val="left" w:pos="4674"/>
        </w:tabs>
        <w:kinsoku w:val="0"/>
        <w:overflowPunct w:val="0"/>
        <w:spacing w:line="384" w:lineRule="auto"/>
        <w:ind w:left="541" w:right="5510"/>
        <w:rPr>
          <w:rFonts w:hAnsi="宋体"/>
          <w:color w:val="auto"/>
          <w:highlight w:val="none"/>
        </w:rPr>
      </w:pPr>
      <w:r>
        <w:rPr>
          <w:rFonts w:hint="eastAsia" w:hAnsi="宋体"/>
          <w:color w:val="auto"/>
          <w:highlight w:val="none"/>
        </w:rPr>
        <w:t>日期：</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月</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日</w:t>
      </w:r>
    </w:p>
    <w:p>
      <w:pPr>
        <w:pStyle w:val="17"/>
        <w:tabs>
          <w:tab w:val="left" w:pos="1741"/>
          <w:tab w:val="left" w:pos="2461"/>
          <w:tab w:val="left" w:pos="3181"/>
          <w:tab w:val="left" w:pos="4674"/>
        </w:tabs>
        <w:kinsoku w:val="0"/>
        <w:overflowPunct w:val="0"/>
        <w:spacing w:line="384" w:lineRule="auto"/>
        <w:ind w:left="541" w:right="5510"/>
        <w:rPr>
          <w:rFonts w:hAnsi="宋体"/>
          <w:color w:val="auto"/>
          <w:highlight w:val="none"/>
        </w:rPr>
      </w:pPr>
    </w:p>
    <w:p>
      <w:pPr>
        <w:pStyle w:val="17"/>
        <w:tabs>
          <w:tab w:val="left" w:pos="1741"/>
          <w:tab w:val="left" w:pos="2461"/>
          <w:tab w:val="left" w:pos="3181"/>
          <w:tab w:val="left" w:pos="4674"/>
        </w:tabs>
        <w:kinsoku w:val="0"/>
        <w:overflowPunct w:val="0"/>
        <w:spacing w:line="384" w:lineRule="auto"/>
        <w:ind w:left="541" w:right="5510"/>
        <w:rPr>
          <w:rFonts w:hAnsi="宋体"/>
          <w:color w:val="auto"/>
          <w:highlight w:val="none"/>
        </w:rPr>
      </w:pPr>
    </w:p>
    <w:p>
      <w:pPr>
        <w:pStyle w:val="69"/>
        <w:spacing w:line="360" w:lineRule="auto"/>
        <w:ind w:left="540" w:firstLine="0"/>
        <w:outlineLvl w:val="0"/>
        <w:rPr>
          <w:rFonts w:hAnsi="宋体"/>
          <w:color w:val="auto"/>
          <w:highlight w:val="none"/>
        </w:rPr>
      </w:pPr>
      <w:r>
        <w:rPr>
          <w:rFonts w:hAnsi="宋体"/>
          <w:color w:val="auto"/>
          <w:highlight w:val="none"/>
        </w:rPr>
        <w:br w:type="page"/>
      </w:r>
      <w:bookmarkStart w:id="117" w:name="_Toc149147739"/>
      <w:bookmarkStart w:id="118" w:name="_Toc149147584"/>
      <w:r>
        <w:rPr>
          <w:rFonts w:hint="eastAsia" w:hAnsi="宋体"/>
          <w:color w:val="auto"/>
          <w:highlight w:val="none"/>
        </w:rPr>
        <w:t>7</w:t>
      </w:r>
      <w:r>
        <w:rPr>
          <w:rFonts w:hAnsi="宋体"/>
          <w:color w:val="auto"/>
          <w:highlight w:val="none"/>
        </w:rPr>
        <w:t xml:space="preserve"> </w:t>
      </w:r>
      <w:r>
        <w:rPr>
          <w:rFonts w:hint="eastAsia" w:hAnsi="宋体"/>
          <w:color w:val="auto"/>
          <w:highlight w:val="none"/>
        </w:rPr>
        <w:t>分项报价表</w:t>
      </w:r>
      <w:bookmarkEnd w:id="117"/>
      <w:bookmarkEnd w:id="118"/>
    </w:p>
    <w:p>
      <w:pPr>
        <w:pStyle w:val="3"/>
        <w:kinsoku w:val="0"/>
        <w:overflowPunct w:val="0"/>
        <w:spacing w:before="0"/>
        <w:ind w:left="218"/>
        <w:rPr>
          <w:rFonts w:hAnsi="宋体"/>
          <w:color w:val="auto"/>
          <w:highlight w:val="none"/>
        </w:rPr>
      </w:pPr>
      <w:bookmarkStart w:id="119" w:name="_Toc149147585"/>
      <w:bookmarkStart w:id="120" w:name="_Toc149147740"/>
      <w:r>
        <w:rPr>
          <w:rFonts w:hint="eastAsia" w:hAnsi="宋体"/>
          <w:color w:val="auto"/>
          <w:highlight w:val="none"/>
        </w:rPr>
        <w:t>分项报价表</w:t>
      </w:r>
      <w:bookmarkEnd w:id="119"/>
      <w:bookmarkEnd w:id="120"/>
    </w:p>
    <w:p>
      <w:pPr>
        <w:rPr>
          <w:rFonts w:hAnsi="宋体"/>
          <w:color w:val="auto"/>
          <w:highlight w:val="none"/>
        </w:rPr>
      </w:pPr>
    </w:p>
    <w:p>
      <w:pPr>
        <w:tabs>
          <w:tab w:val="left" w:pos="1800"/>
          <w:tab w:val="left" w:pos="5580"/>
        </w:tabs>
        <w:rPr>
          <w:rFonts w:hAnsi="宋体"/>
          <w:color w:val="auto"/>
          <w:sz w:val="24"/>
          <w:highlight w:val="none"/>
        </w:rPr>
      </w:pPr>
      <w:r>
        <w:rPr>
          <w:rFonts w:hAnsi="宋体"/>
          <w:color w:val="auto"/>
          <w:sz w:val="24"/>
          <w:highlight w:val="none"/>
        </w:rPr>
        <w:t>项目编号/包号：_________ 项目名称：_________报价单位：人民币元</w:t>
      </w:r>
    </w:p>
    <w:tbl>
      <w:tblPr>
        <w:tblStyle w:val="44"/>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3618"/>
        <w:gridCol w:w="1661"/>
        <w:gridCol w:w="1659"/>
        <w:gridCol w:w="2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49" w:type="dxa"/>
            <w:vAlign w:val="center"/>
          </w:tcPr>
          <w:p>
            <w:pPr>
              <w:snapToGrid w:val="0"/>
              <w:spacing w:line="360" w:lineRule="auto"/>
              <w:rPr>
                <w:rFonts w:hAnsi="宋体"/>
                <w:b/>
                <w:color w:val="auto"/>
                <w:sz w:val="24"/>
                <w:highlight w:val="none"/>
              </w:rPr>
            </w:pPr>
            <w:r>
              <w:rPr>
                <w:rFonts w:hAnsi="宋体"/>
                <w:b/>
                <w:color w:val="auto"/>
                <w:sz w:val="24"/>
                <w:highlight w:val="none"/>
              </w:rPr>
              <w:t>序号</w:t>
            </w:r>
          </w:p>
        </w:tc>
        <w:tc>
          <w:tcPr>
            <w:tcW w:w="3618" w:type="dxa"/>
            <w:vAlign w:val="center"/>
          </w:tcPr>
          <w:p>
            <w:pPr>
              <w:snapToGrid w:val="0"/>
              <w:spacing w:line="360" w:lineRule="auto"/>
              <w:rPr>
                <w:rFonts w:hAnsi="宋体"/>
                <w:b/>
                <w:color w:val="auto"/>
                <w:sz w:val="24"/>
                <w:highlight w:val="none"/>
              </w:rPr>
            </w:pPr>
            <w:r>
              <w:rPr>
                <w:rFonts w:hAnsi="宋体"/>
                <w:b/>
                <w:color w:val="auto"/>
                <w:sz w:val="24"/>
                <w:highlight w:val="none"/>
              </w:rPr>
              <w:t>分项名称</w:t>
            </w:r>
          </w:p>
        </w:tc>
        <w:tc>
          <w:tcPr>
            <w:tcW w:w="1661" w:type="dxa"/>
            <w:vAlign w:val="center"/>
          </w:tcPr>
          <w:p>
            <w:pPr>
              <w:snapToGrid w:val="0"/>
              <w:spacing w:line="360" w:lineRule="auto"/>
              <w:rPr>
                <w:rFonts w:hAnsi="宋体"/>
                <w:b/>
                <w:color w:val="auto"/>
                <w:sz w:val="24"/>
                <w:highlight w:val="none"/>
              </w:rPr>
            </w:pPr>
            <w:r>
              <w:rPr>
                <w:rFonts w:hAnsi="宋体"/>
                <w:b/>
                <w:color w:val="auto"/>
                <w:sz w:val="24"/>
                <w:highlight w:val="none"/>
              </w:rPr>
              <w:t>单价（元）</w:t>
            </w:r>
          </w:p>
        </w:tc>
        <w:tc>
          <w:tcPr>
            <w:tcW w:w="1659" w:type="dxa"/>
            <w:vAlign w:val="center"/>
          </w:tcPr>
          <w:p>
            <w:pPr>
              <w:snapToGrid w:val="0"/>
              <w:spacing w:line="360" w:lineRule="auto"/>
              <w:rPr>
                <w:rFonts w:hAnsi="宋体"/>
                <w:b/>
                <w:color w:val="auto"/>
                <w:sz w:val="24"/>
                <w:highlight w:val="none"/>
              </w:rPr>
            </w:pPr>
            <w:r>
              <w:rPr>
                <w:rFonts w:hAnsi="宋体"/>
                <w:b/>
                <w:color w:val="auto"/>
                <w:sz w:val="24"/>
                <w:highlight w:val="none"/>
              </w:rPr>
              <w:t>合价（元）</w:t>
            </w:r>
          </w:p>
        </w:tc>
        <w:tc>
          <w:tcPr>
            <w:tcW w:w="2108" w:type="dxa"/>
            <w:vAlign w:val="center"/>
          </w:tcPr>
          <w:p>
            <w:pPr>
              <w:snapToGrid w:val="0"/>
              <w:spacing w:line="360" w:lineRule="auto"/>
              <w:rPr>
                <w:rFonts w:hAnsi="宋体"/>
                <w:b/>
                <w:color w:val="auto"/>
                <w:sz w:val="24"/>
                <w:highlight w:val="none"/>
              </w:rPr>
            </w:pPr>
            <w:r>
              <w:rPr>
                <w:rFonts w:hAnsi="宋体"/>
                <w:b/>
                <w:color w:val="auto"/>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49" w:type="dxa"/>
            <w:vAlign w:val="center"/>
          </w:tcPr>
          <w:p>
            <w:pPr>
              <w:snapToGrid w:val="0"/>
              <w:spacing w:line="360" w:lineRule="auto"/>
              <w:jc w:val="center"/>
              <w:rPr>
                <w:rFonts w:hAnsi="宋体"/>
                <w:color w:val="auto"/>
                <w:sz w:val="24"/>
                <w:highlight w:val="none"/>
              </w:rPr>
            </w:pPr>
            <w:r>
              <w:rPr>
                <w:rFonts w:hAnsi="宋体"/>
                <w:color w:val="auto"/>
                <w:sz w:val="24"/>
                <w:highlight w:val="none"/>
              </w:rPr>
              <w:t>1</w:t>
            </w:r>
          </w:p>
        </w:tc>
        <w:tc>
          <w:tcPr>
            <w:tcW w:w="3618" w:type="dxa"/>
            <w:vAlign w:val="center"/>
          </w:tcPr>
          <w:p>
            <w:pPr>
              <w:snapToGrid w:val="0"/>
              <w:spacing w:line="360" w:lineRule="auto"/>
              <w:rPr>
                <w:rFonts w:hAnsi="宋体"/>
                <w:color w:val="auto"/>
                <w:sz w:val="24"/>
                <w:highlight w:val="none"/>
              </w:rPr>
            </w:pPr>
          </w:p>
        </w:tc>
        <w:tc>
          <w:tcPr>
            <w:tcW w:w="1661" w:type="dxa"/>
            <w:vAlign w:val="center"/>
          </w:tcPr>
          <w:p>
            <w:pPr>
              <w:snapToGrid w:val="0"/>
              <w:spacing w:line="360" w:lineRule="auto"/>
              <w:rPr>
                <w:rFonts w:hAnsi="宋体"/>
                <w:color w:val="auto"/>
                <w:sz w:val="24"/>
                <w:highlight w:val="none"/>
              </w:rPr>
            </w:pPr>
          </w:p>
        </w:tc>
        <w:tc>
          <w:tcPr>
            <w:tcW w:w="1659" w:type="dxa"/>
            <w:vAlign w:val="center"/>
          </w:tcPr>
          <w:p>
            <w:pPr>
              <w:snapToGrid w:val="0"/>
              <w:spacing w:line="360" w:lineRule="auto"/>
              <w:rPr>
                <w:rFonts w:hAnsi="宋体"/>
                <w:color w:val="auto"/>
                <w:sz w:val="24"/>
                <w:highlight w:val="none"/>
              </w:rPr>
            </w:pPr>
          </w:p>
        </w:tc>
        <w:tc>
          <w:tcPr>
            <w:tcW w:w="2108" w:type="dxa"/>
            <w:vAlign w:val="center"/>
          </w:tcPr>
          <w:p>
            <w:pPr>
              <w:snapToGrid w:val="0"/>
              <w:spacing w:line="360" w:lineRule="auto"/>
              <w:rPr>
                <w:rFonts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49" w:type="dxa"/>
            <w:vAlign w:val="center"/>
          </w:tcPr>
          <w:p>
            <w:pPr>
              <w:snapToGrid w:val="0"/>
              <w:spacing w:line="360" w:lineRule="auto"/>
              <w:jc w:val="center"/>
              <w:rPr>
                <w:rFonts w:hAnsi="宋体"/>
                <w:color w:val="auto"/>
                <w:sz w:val="24"/>
                <w:highlight w:val="none"/>
              </w:rPr>
            </w:pPr>
            <w:r>
              <w:rPr>
                <w:rFonts w:hAnsi="宋体"/>
                <w:color w:val="auto"/>
                <w:sz w:val="24"/>
                <w:highlight w:val="none"/>
              </w:rPr>
              <w:t>2</w:t>
            </w:r>
          </w:p>
        </w:tc>
        <w:tc>
          <w:tcPr>
            <w:tcW w:w="3618" w:type="dxa"/>
            <w:vAlign w:val="center"/>
          </w:tcPr>
          <w:p>
            <w:pPr>
              <w:snapToGrid w:val="0"/>
              <w:spacing w:line="360" w:lineRule="auto"/>
              <w:rPr>
                <w:rFonts w:hAnsi="宋体"/>
                <w:color w:val="auto"/>
                <w:sz w:val="24"/>
                <w:highlight w:val="none"/>
              </w:rPr>
            </w:pPr>
          </w:p>
        </w:tc>
        <w:tc>
          <w:tcPr>
            <w:tcW w:w="1661" w:type="dxa"/>
            <w:vAlign w:val="center"/>
          </w:tcPr>
          <w:p>
            <w:pPr>
              <w:snapToGrid w:val="0"/>
              <w:spacing w:line="360" w:lineRule="auto"/>
              <w:rPr>
                <w:rFonts w:hAnsi="宋体"/>
                <w:color w:val="auto"/>
                <w:sz w:val="24"/>
                <w:highlight w:val="none"/>
              </w:rPr>
            </w:pPr>
          </w:p>
        </w:tc>
        <w:tc>
          <w:tcPr>
            <w:tcW w:w="1659" w:type="dxa"/>
            <w:vAlign w:val="center"/>
          </w:tcPr>
          <w:p>
            <w:pPr>
              <w:snapToGrid w:val="0"/>
              <w:spacing w:line="360" w:lineRule="auto"/>
              <w:rPr>
                <w:rFonts w:hAnsi="宋体"/>
                <w:color w:val="auto"/>
                <w:sz w:val="24"/>
                <w:highlight w:val="none"/>
              </w:rPr>
            </w:pPr>
          </w:p>
        </w:tc>
        <w:tc>
          <w:tcPr>
            <w:tcW w:w="2108" w:type="dxa"/>
            <w:vAlign w:val="center"/>
          </w:tcPr>
          <w:p>
            <w:pPr>
              <w:snapToGrid w:val="0"/>
              <w:spacing w:line="360" w:lineRule="auto"/>
              <w:rPr>
                <w:rFonts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49" w:type="dxa"/>
            <w:vAlign w:val="center"/>
          </w:tcPr>
          <w:p>
            <w:pPr>
              <w:snapToGrid w:val="0"/>
              <w:spacing w:line="360" w:lineRule="auto"/>
              <w:jc w:val="center"/>
              <w:rPr>
                <w:rFonts w:hAnsi="宋体"/>
                <w:color w:val="auto"/>
                <w:sz w:val="24"/>
                <w:highlight w:val="none"/>
              </w:rPr>
            </w:pPr>
            <w:r>
              <w:rPr>
                <w:rFonts w:hAnsi="宋体"/>
                <w:color w:val="auto"/>
                <w:sz w:val="24"/>
                <w:highlight w:val="none"/>
              </w:rPr>
              <w:t>3</w:t>
            </w:r>
          </w:p>
        </w:tc>
        <w:tc>
          <w:tcPr>
            <w:tcW w:w="3618" w:type="dxa"/>
            <w:vAlign w:val="center"/>
          </w:tcPr>
          <w:p>
            <w:pPr>
              <w:snapToGrid w:val="0"/>
              <w:spacing w:line="360" w:lineRule="auto"/>
              <w:rPr>
                <w:rFonts w:hAnsi="宋体"/>
                <w:color w:val="auto"/>
                <w:sz w:val="24"/>
                <w:highlight w:val="none"/>
              </w:rPr>
            </w:pPr>
            <w:r>
              <w:rPr>
                <w:rFonts w:hAnsi="宋体"/>
                <w:color w:val="auto"/>
                <w:sz w:val="24"/>
                <w:highlight w:val="none"/>
              </w:rPr>
              <w:t>…</w:t>
            </w:r>
          </w:p>
        </w:tc>
        <w:tc>
          <w:tcPr>
            <w:tcW w:w="1661" w:type="dxa"/>
            <w:vAlign w:val="center"/>
          </w:tcPr>
          <w:p>
            <w:pPr>
              <w:snapToGrid w:val="0"/>
              <w:spacing w:line="360" w:lineRule="auto"/>
              <w:rPr>
                <w:rFonts w:hAnsi="宋体"/>
                <w:color w:val="auto"/>
                <w:sz w:val="24"/>
                <w:highlight w:val="none"/>
              </w:rPr>
            </w:pPr>
          </w:p>
        </w:tc>
        <w:tc>
          <w:tcPr>
            <w:tcW w:w="1659" w:type="dxa"/>
            <w:vAlign w:val="center"/>
          </w:tcPr>
          <w:p>
            <w:pPr>
              <w:snapToGrid w:val="0"/>
              <w:spacing w:line="360" w:lineRule="auto"/>
              <w:rPr>
                <w:rFonts w:hAnsi="宋体"/>
                <w:color w:val="auto"/>
                <w:sz w:val="24"/>
                <w:highlight w:val="none"/>
              </w:rPr>
            </w:pPr>
          </w:p>
        </w:tc>
        <w:tc>
          <w:tcPr>
            <w:tcW w:w="2108" w:type="dxa"/>
            <w:vAlign w:val="center"/>
          </w:tcPr>
          <w:p>
            <w:pPr>
              <w:snapToGrid w:val="0"/>
              <w:spacing w:line="360" w:lineRule="auto"/>
              <w:rPr>
                <w:rFonts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028" w:type="dxa"/>
            <w:gridSpan w:val="3"/>
            <w:vAlign w:val="center"/>
          </w:tcPr>
          <w:p>
            <w:pPr>
              <w:snapToGrid w:val="0"/>
              <w:spacing w:line="360" w:lineRule="auto"/>
              <w:rPr>
                <w:rFonts w:hAnsi="宋体"/>
                <w:color w:val="auto"/>
                <w:sz w:val="24"/>
                <w:highlight w:val="none"/>
              </w:rPr>
            </w:pPr>
            <w:r>
              <w:rPr>
                <w:rFonts w:hAnsi="宋体"/>
                <w:color w:val="auto"/>
                <w:sz w:val="24"/>
                <w:highlight w:val="none"/>
              </w:rPr>
              <w:t>总价（元）</w:t>
            </w:r>
          </w:p>
        </w:tc>
        <w:tc>
          <w:tcPr>
            <w:tcW w:w="1659" w:type="dxa"/>
            <w:vAlign w:val="center"/>
          </w:tcPr>
          <w:p>
            <w:pPr>
              <w:snapToGrid w:val="0"/>
              <w:spacing w:line="360" w:lineRule="auto"/>
              <w:rPr>
                <w:rFonts w:hAnsi="宋体"/>
                <w:color w:val="auto"/>
                <w:sz w:val="24"/>
                <w:highlight w:val="none"/>
              </w:rPr>
            </w:pPr>
          </w:p>
        </w:tc>
        <w:tc>
          <w:tcPr>
            <w:tcW w:w="2108" w:type="dxa"/>
            <w:vAlign w:val="center"/>
          </w:tcPr>
          <w:p>
            <w:pPr>
              <w:snapToGrid w:val="0"/>
              <w:spacing w:line="360" w:lineRule="auto"/>
              <w:rPr>
                <w:rFonts w:hAnsi="宋体"/>
                <w:color w:val="auto"/>
                <w:sz w:val="24"/>
                <w:highlight w:val="none"/>
              </w:rPr>
            </w:pPr>
          </w:p>
        </w:tc>
      </w:tr>
    </w:tbl>
    <w:p>
      <w:pPr>
        <w:tabs>
          <w:tab w:val="left" w:pos="1800"/>
          <w:tab w:val="left" w:pos="5580"/>
        </w:tabs>
        <w:rPr>
          <w:rFonts w:hAnsi="宋体"/>
          <w:color w:val="auto"/>
          <w:sz w:val="24"/>
          <w:highlight w:val="none"/>
        </w:rPr>
      </w:pPr>
    </w:p>
    <w:p>
      <w:pPr>
        <w:tabs>
          <w:tab w:val="left" w:pos="1800"/>
          <w:tab w:val="left" w:pos="5580"/>
        </w:tabs>
        <w:rPr>
          <w:rFonts w:hAnsi="宋体"/>
          <w:color w:val="auto"/>
          <w:sz w:val="24"/>
          <w:highlight w:val="none"/>
        </w:rPr>
      </w:pPr>
      <w:r>
        <w:rPr>
          <w:rFonts w:hAnsi="宋体"/>
          <w:color w:val="auto"/>
          <w:sz w:val="24"/>
          <w:highlight w:val="none"/>
        </w:rPr>
        <w:t>注：1.本表应按包分别填写。</w:t>
      </w:r>
    </w:p>
    <w:p>
      <w:pPr>
        <w:tabs>
          <w:tab w:val="left" w:pos="1800"/>
          <w:tab w:val="left" w:pos="5580"/>
        </w:tabs>
        <w:ind w:firstLine="480" w:firstLineChars="200"/>
        <w:rPr>
          <w:rFonts w:hAnsi="宋体"/>
          <w:color w:val="auto"/>
          <w:sz w:val="24"/>
          <w:highlight w:val="none"/>
        </w:rPr>
      </w:pPr>
      <w:r>
        <w:rPr>
          <w:rFonts w:hAnsi="宋体"/>
          <w:color w:val="auto"/>
          <w:sz w:val="24"/>
          <w:highlight w:val="none"/>
        </w:rPr>
        <w:t>2.如果不提供分项报价将视为没有实质性响应竞争性磋商文件。</w:t>
      </w:r>
    </w:p>
    <w:p>
      <w:pPr>
        <w:tabs>
          <w:tab w:val="left" w:pos="1800"/>
          <w:tab w:val="left" w:pos="5580"/>
        </w:tabs>
        <w:ind w:firstLine="480" w:firstLineChars="200"/>
        <w:rPr>
          <w:rFonts w:hAnsi="宋体"/>
          <w:color w:val="auto"/>
          <w:sz w:val="24"/>
          <w:highlight w:val="none"/>
        </w:rPr>
      </w:pPr>
      <w:r>
        <w:rPr>
          <w:rFonts w:hAnsi="宋体"/>
          <w:color w:val="auto"/>
          <w:sz w:val="24"/>
          <w:highlight w:val="none"/>
        </w:rPr>
        <w:t>3.上述各项的详细规格（如有），可另页描述。</w:t>
      </w:r>
    </w:p>
    <w:p>
      <w:pPr>
        <w:snapToGrid w:val="0"/>
        <w:spacing w:before="25" w:after="25" w:line="360" w:lineRule="auto"/>
        <w:rPr>
          <w:rFonts w:hAnsi="宋体"/>
          <w:color w:val="auto"/>
          <w:sz w:val="24"/>
          <w:highlight w:val="none"/>
        </w:rPr>
      </w:pPr>
    </w:p>
    <w:p>
      <w:pPr>
        <w:snapToGrid w:val="0"/>
        <w:spacing w:before="25" w:after="25" w:line="360" w:lineRule="auto"/>
        <w:rPr>
          <w:rFonts w:hAnsi="宋体"/>
          <w:color w:val="auto"/>
          <w:sz w:val="24"/>
          <w:highlight w:val="none"/>
        </w:rPr>
      </w:pPr>
    </w:p>
    <w:p>
      <w:pPr>
        <w:snapToGrid w:val="0"/>
        <w:spacing w:before="25" w:after="25" w:line="360" w:lineRule="auto"/>
        <w:ind w:right="360"/>
        <w:rPr>
          <w:rFonts w:hAnsi="宋体"/>
          <w:color w:val="auto"/>
          <w:sz w:val="24"/>
          <w:highlight w:val="none"/>
          <w:lang w:val="zh-CN"/>
        </w:rPr>
      </w:pPr>
      <w:r>
        <w:rPr>
          <w:rFonts w:hint="eastAsia" w:hAnsi="宋体"/>
          <w:color w:val="auto"/>
          <w:sz w:val="24"/>
          <w:highlight w:val="none"/>
        </w:rPr>
        <w:t>供应商名称</w:t>
      </w:r>
      <w:r>
        <w:rPr>
          <w:rFonts w:hAnsi="宋体"/>
          <w:color w:val="auto"/>
          <w:sz w:val="24"/>
          <w:highlight w:val="none"/>
        </w:rPr>
        <w:t>（加盖公章）</w:t>
      </w:r>
      <w:r>
        <w:rPr>
          <w:rFonts w:hAnsi="宋体"/>
          <w:color w:val="auto"/>
          <w:sz w:val="24"/>
          <w:highlight w:val="none"/>
          <w:lang w:val="zh-CN"/>
        </w:rPr>
        <w:t>：</w:t>
      </w:r>
      <w:r>
        <w:rPr>
          <w:rFonts w:hAnsi="宋体"/>
          <w:color w:val="auto"/>
          <w:sz w:val="24"/>
          <w:highlight w:val="none"/>
        </w:rPr>
        <w:t>______</w:t>
      </w:r>
    </w:p>
    <w:p>
      <w:pPr>
        <w:snapToGrid w:val="0"/>
        <w:spacing w:before="25" w:after="25" w:line="360" w:lineRule="auto"/>
        <w:rPr>
          <w:rFonts w:hAnsi="宋体"/>
          <w:color w:val="auto"/>
          <w:sz w:val="24"/>
          <w:highlight w:val="none"/>
          <w:lang w:val="zh-CN"/>
        </w:rPr>
      </w:pPr>
      <w:r>
        <w:rPr>
          <w:rFonts w:hAnsi="宋体"/>
          <w:color w:val="auto"/>
          <w:sz w:val="24"/>
          <w:szCs w:val="20"/>
          <w:highlight w:val="none"/>
        </w:rPr>
        <w:t xml:space="preserve">日期：____年____月____日  </w:t>
      </w:r>
    </w:p>
    <w:p>
      <w:pPr>
        <w:pStyle w:val="69"/>
        <w:spacing w:line="360" w:lineRule="auto"/>
        <w:ind w:left="540" w:firstLine="0"/>
        <w:outlineLvl w:val="0"/>
        <w:rPr>
          <w:rFonts w:hAnsi="宋体"/>
          <w:color w:val="auto"/>
          <w:highlight w:val="none"/>
        </w:rPr>
      </w:pPr>
      <w:r>
        <w:rPr>
          <w:rFonts w:hAnsi="宋体" w:cs="Times New Roman"/>
          <w:color w:val="auto"/>
          <w:highlight w:val="none"/>
        </w:rPr>
        <w:br w:type="column"/>
      </w:r>
      <w:r>
        <w:rPr>
          <w:rFonts w:hAnsi="宋体"/>
          <w:color w:val="auto"/>
          <w:highlight w:val="none"/>
        </w:rPr>
        <w:t xml:space="preserve"> </w:t>
      </w:r>
      <w:bookmarkStart w:id="121" w:name="_Toc149147586"/>
      <w:bookmarkStart w:id="122" w:name="_Toc149147741"/>
      <w:r>
        <w:rPr>
          <w:rFonts w:hint="eastAsia" w:hAnsi="宋体"/>
          <w:color w:val="auto"/>
          <w:highlight w:val="none"/>
        </w:rPr>
        <w:t>8</w:t>
      </w:r>
      <w:r>
        <w:rPr>
          <w:rFonts w:hAnsi="宋体"/>
          <w:color w:val="auto"/>
          <w:highlight w:val="none"/>
        </w:rPr>
        <w:t xml:space="preserve"> </w:t>
      </w:r>
      <w:r>
        <w:rPr>
          <w:rFonts w:hint="eastAsia" w:hAnsi="宋体"/>
          <w:color w:val="auto"/>
          <w:highlight w:val="none"/>
        </w:rPr>
        <w:t>合同条款偏离表（实质性格式）</w:t>
      </w:r>
      <w:bookmarkEnd w:id="121"/>
      <w:bookmarkEnd w:id="122"/>
    </w:p>
    <w:p>
      <w:pPr>
        <w:pStyle w:val="17"/>
        <w:kinsoku w:val="0"/>
        <w:overflowPunct w:val="0"/>
        <w:rPr>
          <w:rFonts w:hAnsi="宋体"/>
          <w:color w:val="auto"/>
          <w:sz w:val="28"/>
          <w:szCs w:val="28"/>
          <w:highlight w:val="none"/>
        </w:rPr>
      </w:pPr>
    </w:p>
    <w:p>
      <w:pPr>
        <w:pStyle w:val="3"/>
        <w:kinsoku w:val="0"/>
        <w:overflowPunct w:val="0"/>
        <w:spacing w:before="220"/>
        <w:ind w:left="3288"/>
        <w:jc w:val="left"/>
        <w:rPr>
          <w:rFonts w:hAnsi="宋体"/>
          <w:color w:val="auto"/>
          <w:highlight w:val="none"/>
        </w:rPr>
      </w:pPr>
      <w:bookmarkStart w:id="123" w:name="_Toc149147742"/>
      <w:bookmarkStart w:id="124" w:name="_Toc149147587"/>
      <w:r>
        <w:rPr>
          <w:rFonts w:hint="eastAsia" w:hAnsi="宋体"/>
          <w:color w:val="auto"/>
          <w:highlight w:val="none"/>
        </w:rPr>
        <w:t>合同条款偏离表</w:t>
      </w:r>
      <w:bookmarkEnd w:id="123"/>
      <w:bookmarkEnd w:id="124"/>
    </w:p>
    <w:p>
      <w:pPr>
        <w:pStyle w:val="17"/>
        <w:kinsoku w:val="0"/>
        <w:overflowPunct w:val="0"/>
        <w:rPr>
          <w:rFonts w:hAnsi="宋体"/>
          <w:color w:val="auto"/>
          <w:sz w:val="20"/>
          <w:szCs w:val="20"/>
          <w:highlight w:val="none"/>
        </w:rPr>
      </w:pPr>
    </w:p>
    <w:p>
      <w:pPr>
        <w:pStyle w:val="17"/>
        <w:kinsoku w:val="0"/>
        <w:overflowPunct w:val="0"/>
        <w:spacing w:before="10"/>
        <w:rPr>
          <w:rFonts w:hAnsi="宋体"/>
          <w:color w:val="auto"/>
          <w:highlight w:val="none"/>
        </w:rPr>
      </w:pPr>
    </w:p>
    <w:p>
      <w:pPr>
        <w:pStyle w:val="17"/>
        <w:tabs>
          <w:tab w:val="left" w:pos="4373"/>
          <w:tab w:val="left" w:pos="4920"/>
          <w:tab w:val="left" w:pos="7973"/>
        </w:tabs>
        <w:kinsoku w:val="0"/>
        <w:overflowPunct w:val="0"/>
        <w:spacing w:before="86"/>
        <w:ind w:left="761"/>
        <w:rPr>
          <w:rFonts w:hAnsi="宋体" w:cs="Times New Roman"/>
          <w:color w:val="auto"/>
          <w:highlight w:val="none"/>
        </w:rPr>
      </w:pPr>
      <w:r>
        <w:rPr>
          <w:rFonts w:hint="eastAsia" w:hAnsi="宋体"/>
          <w:color w:val="auto"/>
          <w:highlight w:val="none"/>
        </w:rPr>
        <w:t>项目编号</w:t>
      </w:r>
      <w:r>
        <w:rPr>
          <w:rFonts w:hAnsi="宋体" w:cs="Arial"/>
          <w:color w:val="auto"/>
          <w:highlight w:val="none"/>
        </w:rPr>
        <w:t>/</w:t>
      </w:r>
      <w:r>
        <w:rPr>
          <w:rFonts w:hint="eastAsia" w:hAnsi="宋体"/>
          <w:color w:val="auto"/>
          <w:highlight w:val="none"/>
        </w:rPr>
        <w:t>包号：</w:t>
      </w:r>
      <w:r>
        <w:rPr>
          <w:rFonts w:hAnsi="宋体"/>
          <w:color w:val="auto"/>
          <w:highlight w:val="none"/>
          <w:u w:val="single" w:color="000000"/>
        </w:rPr>
        <w:t xml:space="preserve"> </w:t>
      </w:r>
      <w:r>
        <w:rPr>
          <w:rFonts w:hAnsi="宋体"/>
          <w:color w:val="auto"/>
          <w:highlight w:val="none"/>
          <w:u w:val="single" w:color="000000"/>
        </w:rPr>
        <w:tab/>
      </w:r>
      <w:r>
        <w:rPr>
          <w:rFonts w:hAnsi="宋体"/>
          <w:color w:val="auto"/>
          <w:highlight w:val="none"/>
        </w:rPr>
        <w:tab/>
      </w:r>
      <w:r>
        <w:rPr>
          <w:rFonts w:hint="eastAsia" w:hAnsi="宋体"/>
          <w:color w:val="auto"/>
          <w:spacing w:val="-1"/>
          <w:highlight w:val="none"/>
        </w:rPr>
        <w:t>项</w:t>
      </w:r>
      <w:r>
        <w:rPr>
          <w:rFonts w:hint="eastAsia" w:hAnsi="宋体"/>
          <w:color w:val="auto"/>
          <w:highlight w:val="none"/>
        </w:rPr>
        <w:t>目名称：</w:t>
      </w:r>
      <w:r>
        <w:rPr>
          <w:rFonts w:hAnsi="宋体" w:cs="Times New Roman"/>
          <w:color w:val="auto"/>
          <w:highlight w:val="none"/>
          <w:u w:val="single" w:color="000000"/>
        </w:rPr>
        <w:t xml:space="preserve"> </w:t>
      </w:r>
      <w:r>
        <w:rPr>
          <w:rFonts w:hAnsi="宋体" w:cs="Times New Roman"/>
          <w:color w:val="auto"/>
          <w:highlight w:val="none"/>
          <w:u w:val="single" w:color="000000"/>
        </w:rPr>
        <w:tab/>
      </w:r>
    </w:p>
    <w:p>
      <w:pPr>
        <w:pStyle w:val="17"/>
        <w:kinsoku w:val="0"/>
        <w:overflowPunct w:val="0"/>
        <w:spacing w:before="6"/>
        <w:rPr>
          <w:rFonts w:hAnsi="宋体" w:cs="Times New Roman"/>
          <w:color w:val="auto"/>
          <w:sz w:val="13"/>
          <w:szCs w:val="13"/>
          <w:highlight w:val="none"/>
        </w:rPr>
      </w:pPr>
    </w:p>
    <w:tbl>
      <w:tblPr>
        <w:tblStyle w:val="44"/>
        <w:tblW w:w="9288" w:type="dxa"/>
        <w:tblInd w:w="298" w:type="dxa"/>
        <w:tblLayout w:type="fixed"/>
        <w:tblCellMar>
          <w:top w:w="0" w:type="dxa"/>
          <w:left w:w="0" w:type="dxa"/>
          <w:bottom w:w="0" w:type="dxa"/>
          <w:right w:w="0" w:type="dxa"/>
        </w:tblCellMar>
      </w:tblPr>
      <w:tblGrid>
        <w:gridCol w:w="1009"/>
        <w:gridCol w:w="1561"/>
        <w:gridCol w:w="1776"/>
        <w:gridCol w:w="1778"/>
        <w:gridCol w:w="2183"/>
        <w:gridCol w:w="981"/>
      </w:tblGrid>
      <w:tr>
        <w:tblPrEx>
          <w:tblCellMar>
            <w:top w:w="0" w:type="dxa"/>
            <w:left w:w="0" w:type="dxa"/>
            <w:bottom w:w="0" w:type="dxa"/>
            <w:right w:w="0" w:type="dxa"/>
          </w:tblCellMar>
        </w:tblPrEx>
        <w:trPr>
          <w:trHeight w:val="933"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3"/>
              <w:rPr>
                <w:rFonts w:hAnsi="宋体" w:cs="Times New Roman"/>
                <w:color w:val="auto"/>
                <w:sz w:val="27"/>
                <w:szCs w:val="27"/>
                <w:highlight w:val="none"/>
              </w:rPr>
            </w:pPr>
          </w:p>
          <w:p>
            <w:pPr>
              <w:pStyle w:val="70"/>
              <w:kinsoku w:val="0"/>
              <w:overflowPunct w:val="0"/>
              <w:ind w:left="264"/>
              <w:rPr>
                <w:rFonts w:hAnsi="宋体"/>
                <w:color w:val="auto"/>
                <w:highlight w:val="none"/>
              </w:rPr>
            </w:pPr>
            <w:r>
              <w:rPr>
                <w:rFonts w:hint="eastAsia" w:hAnsi="宋体"/>
                <w:color w:val="auto"/>
                <w:highlight w:val="none"/>
              </w:rPr>
              <w:t>序号</w:t>
            </w: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2" w:line="242" w:lineRule="auto"/>
              <w:ind w:left="179" w:right="169"/>
              <w:rPr>
                <w:rFonts w:hAnsi="宋体"/>
                <w:color w:val="auto"/>
                <w:spacing w:val="-4"/>
                <w:highlight w:val="none"/>
              </w:rPr>
            </w:pPr>
            <w:r>
              <w:rPr>
                <w:rFonts w:hint="eastAsia" w:hAnsi="宋体"/>
                <w:color w:val="auto"/>
                <w:spacing w:val="-4"/>
                <w:highlight w:val="none"/>
              </w:rPr>
              <w:t>竞争性磋商文件条目号</w:t>
            </w:r>
          </w:p>
          <w:p>
            <w:pPr>
              <w:pStyle w:val="70"/>
              <w:kinsoku w:val="0"/>
              <w:overflowPunct w:val="0"/>
              <w:spacing w:before="3" w:line="288" w:lineRule="exact"/>
              <w:ind w:left="299"/>
              <w:rPr>
                <w:rFonts w:hAnsi="宋体"/>
                <w:color w:val="auto"/>
                <w:highlight w:val="none"/>
              </w:rPr>
            </w:pPr>
            <w:r>
              <w:rPr>
                <w:rFonts w:hint="eastAsia" w:hAnsi="宋体"/>
                <w:color w:val="auto"/>
                <w:highlight w:val="none"/>
              </w:rPr>
              <w:t>（页码）</w:t>
            </w: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158" w:line="242" w:lineRule="auto"/>
              <w:ind w:left="528" w:right="155" w:hanging="360"/>
              <w:rPr>
                <w:rFonts w:hAnsi="宋体"/>
                <w:color w:val="auto"/>
                <w:highlight w:val="none"/>
              </w:rPr>
            </w:pPr>
            <w:r>
              <w:rPr>
                <w:rFonts w:hint="eastAsia" w:hAnsi="宋体"/>
                <w:color w:val="auto"/>
                <w:highlight w:val="none"/>
              </w:rPr>
              <w:t>竞争性磋商文件要求</w:t>
            </w: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3"/>
              <w:rPr>
                <w:rFonts w:hAnsi="宋体" w:cs="Times New Roman"/>
                <w:color w:val="auto"/>
                <w:sz w:val="27"/>
                <w:szCs w:val="27"/>
                <w:highlight w:val="none"/>
              </w:rPr>
            </w:pPr>
          </w:p>
          <w:p>
            <w:pPr>
              <w:pStyle w:val="70"/>
              <w:kinsoku w:val="0"/>
              <w:overflowPunct w:val="0"/>
              <w:ind w:left="168"/>
              <w:rPr>
                <w:rFonts w:hAnsi="宋体"/>
                <w:color w:val="auto"/>
                <w:highlight w:val="none"/>
              </w:rPr>
            </w:pPr>
            <w:r>
              <w:rPr>
                <w:rFonts w:hint="eastAsia" w:hAnsi="宋体"/>
                <w:color w:val="auto"/>
                <w:highlight w:val="none"/>
              </w:rPr>
              <w:t>响应文件内容</w:t>
            </w:r>
          </w:p>
        </w:tc>
        <w:tc>
          <w:tcPr>
            <w:tcW w:w="2183"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3"/>
              <w:rPr>
                <w:rFonts w:hAnsi="宋体" w:cs="Times New Roman"/>
                <w:color w:val="auto"/>
                <w:sz w:val="27"/>
                <w:szCs w:val="27"/>
                <w:highlight w:val="none"/>
              </w:rPr>
            </w:pPr>
          </w:p>
          <w:p>
            <w:pPr>
              <w:pStyle w:val="70"/>
              <w:kinsoku w:val="0"/>
              <w:overflowPunct w:val="0"/>
              <w:ind w:left="610"/>
              <w:rPr>
                <w:rFonts w:hAnsi="宋体"/>
                <w:color w:val="auto"/>
                <w:highlight w:val="none"/>
              </w:rPr>
            </w:pPr>
            <w:r>
              <w:rPr>
                <w:rFonts w:hint="eastAsia" w:hAnsi="宋体"/>
                <w:color w:val="auto"/>
                <w:highlight w:val="none"/>
              </w:rPr>
              <w:t>偏离情况</w:t>
            </w:r>
          </w:p>
        </w:tc>
        <w:tc>
          <w:tcPr>
            <w:tcW w:w="981"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3"/>
              <w:rPr>
                <w:rFonts w:hAnsi="宋体" w:cs="Times New Roman"/>
                <w:color w:val="auto"/>
                <w:sz w:val="27"/>
                <w:szCs w:val="27"/>
                <w:highlight w:val="none"/>
              </w:rPr>
            </w:pPr>
          </w:p>
          <w:p>
            <w:pPr>
              <w:pStyle w:val="70"/>
              <w:kinsoku w:val="0"/>
              <w:overflowPunct w:val="0"/>
              <w:ind w:left="249"/>
              <w:rPr>
                <w:rFonts w:hAnsi="宋体"/>
                <w:color w:val="auto"/>
                <w:highlight w:val="none"/>
              </w:rPr>
            </w:pPr>
            <w:r>
              <w:rPr>
                <w:rFonts w:hint="eastAsia" w:hAnsi="宋体"/>
                <w:color w:val="auto"/>
                <w:highlight w:val="none"/>
              </w:rPr>
              <w:t>说明</w:t>
            </w:r>
          </w:p>
        </w:tc>
      </w:tr>
      <w:tr>
        <w:tblPrEx>
          <w:tblCellMar>
            <w:top w:w="0" w:type="dxa"/>
            <w:left w:w="0" w:type="dxa"/>
            <w:bottom w:w="0" w:type="dxa"/>
            <w:right w:w="0" w:type="dxa"/>
          </w:tblCellMar>
        </w:tblPrEx>
        <w:trPr>
          <w:trHeight w:val="1111" w:hRule="atLeast"/>
        </w:trPr>
        <w:tc>
          <w:tcPr>
            <w:tcW w:w="9288" w:type="dxa"/>
            <w:gridSpan w:val="6"/>
            <w:tcBorders>
              <w:top w:val="single" w:color="000000" w:sz="4" w:space="0"/>
              <w:left w:val="single" w:color="000000" w:sz="4" w:space="0"/>
              <w:bottom w:val="single" w:color="000000" w:sz="4" w:space="0"/>
              <w:right w:val="single" w:color="000000" w:sz="4" w:space="0"/>
            </w:tcBorders>
          </w:tcPr>
          <w:p>
            <w:pPr>
              <w:pStyle w:val="70"/>
              <w:kinsoku w:val="0"/>
              <w:overflowPunct w:val="0"/>
              <w:spacing w:before="6" w:line="300" w:lineRule="atLeast"/>
              <w:ind w:left="108" w:right="75"/>
              <w:rPr>
                <w:rFonts w:hAnsi="宋体"/>
                <w:color w:val="auto"/>
                <w:highlight w:val="none"/>
              </w:rPr>
            </w:pPr>
            <w:r>
              <w:rPr>
                <w:rFonts w:hAnsi="宋体"/>
                <w:color w:val="auto"/>
                <w:highlight w:val="none"/>
              </w:rPr>
              <w:t>对本</w:t>
            </w:r>
            <w:r>
              <w:rPr>
                <w:rFonts w:hint="eastAsia" w:hAnsi="宋体"/>
                <w:color w:val="auto"/>
                <w:highlight w:val="none"/>
              </w:rPr>
              <w:t>项目</w:t>
            </w:r>
            <w:r>
              <w:rPr>
                <w:rFonts w:hAnsi="宋体"/>
                <w:color w:val="auto"/>
                <w:highlight w:val="none"/>
              </w:rPr>
              <w:t>合同条款的偏离情况（请进行勾选）：</w:t>
            </w:r>
          </w:p>
          <w:p>
            <w:pPr>
              <w:pStyle w:val="70"/>
              <w:kinsoku w:val="0"/>
              <w:overflowPunct w:val="0"/>
              <w:spacing w:before="6" w:line="300" w:lineRule="atLeast"/>
              <w:ind w:left="108" w:right="75"/>
              <w:rPr>
                <w:rFonts w:hAnsi="宋体"/>
                <w:color w:val="auto"/>
                <w:highlight w:val="none"/>
              </w:rPr>
            </w:pPr>
            <w:r>
              <w:rPr>
                <w:rFonts w:hAnsi="宋体"/>
                <w:color w:val="auto"/>
                <w:highlight w:val="none"/>
              </w:rPr>
              <w:t>□无偏离（如无偏离，仅勾选无偏离即可）</w:t>
            </w:r>
          </w:p>
          <w:p>
            <w:pPr>
              <w:pStyle w:val="70"/>
              <w:kinsoku w:val="0"/>
              <w:overflowPunct w:val="0"/>
              <w:spacing w:before="6" w:line="300" w:lineRule="atLeast"/>
              <w:ind w:left="108" w:right="75"/>
              <w:rPr>
                <w:rFonts w:hAnsi="宋体"/>
                <w:color w:val="auto"/>
                <w:highlight w:val="none"/>
              </w:rPr>
            </w:pPr>
            <w:r>
              <w:rPr>
                <w:rFonts w:hAnsi="宋体"/>
                <w:color w:val="auto"/>
                <w:highlight w:val="none"/>
              </w:rPr>
              <w:t>□有偏离（如有偏离，则</w:t>
            </w:r>
            <w:r>
              <w:rPr>
                <w:rFonts w:hint="eastAsia" w:hAnsi="宋体"/>
                <w:color w:val="auto"/>
                <w:highlight w:val="none"/>
              </w:rPr>
              <w:t>应</w:t>
            </w:r>
            <w:r>
              <w:rPr>
                <w:rFonts w:hAnsi="宋体"/>
                <w:color w:val="auto"/>
                <w:highlight w:val="none"/>
              </w:rPr>
              <w:t>在本表中对偏离项逐一列明）</w:t>
            </w: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183"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98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183"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98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183"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98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183"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98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2183"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c>
          <w:tcPr>
            <w:tcW w:w="981" w:type="dxa"/>
            <w:tcBorders>
              <w:top w:val="single" w:color="000000" w:sz="4" w:space="0"/>
              <w:left w:val="single" w:color="000000" w:sz="4" w:space="0"/>
              <w:bottom w:val="single" w:color="000000" w:sz="4" w:space="0"/>
              <w:right w:val="single" w:color="000000" w:sz="4" w:space="0"/>
            </w:tcBorders>
          </w:tcPr>
          <w:p>
            <w:pPr>
              <w:pStyle w:val="70"/>
              <w:kinsoku w:val="0"/>
              <w:overflowPunct w:val="0"/>
              <w:rPr>
                <w:rFonts w:hAnsi="宋体" w:cs="Times New Roman"/>
                <w:color w:val="auto"/>
                <w:sz w:val="22"/>
                <w:szCs w:val="22"/>
                <w:highlight w:val="none"/>
              </w:rPr>
            </w:pPr>
          </w:p>
        </w:tc>
      </w:tr>
    </w:tbl>
    <w:p>
      <w:pPr>
        <w:pStyle w:val="17"/>
        <w:kinsoku w:val="0"/>
        <w:overflowPunct w:val="0"/>
        <w:spacing w:before="2"/>
        <w:rPr>
          <w:rFonts w:hAnsi="宋体" w:cs="Times New Roman"/>
          <w:color w:val="auto"/>
          <w:sz w:val="17"/>
          <w:szCs w:val="17"/>
          <w:highlight w:val="none"/>
        </w:rPr>
      </w:pPr>
    </w:p>
    <w:p>
      <w:pPr>
        <w:pStyle w:val="17"/>
        <w:kinsoku w:val="0"/>
        <w:overflowPunct w:val="0"/>
        <w:spacing w:before="10"/>
        <w:rPr>
          <w:rFonts w:hAnsi="宋体"/>
          <w:color w:val="auto"/>
          <w:highlight w:val="none"/>
        </w:rPr>
      </w:pPr>
      <w:r>
        <w:rPr>
          <w:rFonts w:hAnsi="宋体"/>
          <w:color w:val="auto"/>
          <w:highlight w:val="none"/>
        </w:rPr>
        <w:t>注：</w:t>
      </w:r>
      <w:r>
        <w:rPr>
          <w:rFonts w:hint="eastAsia" w:hAnsi="宋体"/>
          <w:color w:val="auto"/>
          <w:highlight w:val="none"/>
        </w:rPr>
        <w:t>1</w:t>
      </w:r>
      <w:r>
        <w:rPr>
          <w:rFonts w:hAnsi="宋体"/>
          <w:color w:val="auto"/>
          <w:highlight w:val="none"/>
        </w:rPr>
        <w:t>. 对合同条款中的所有要求，除本表所列明的所有偏离外，均视作供应商已对之理解和</w:t>
      </w:r>
      <w:r>
        <w:rPr>
          <w:rFonts w:hint="eastAsia" w:hAnsi="宋体"/>
          <w:color w:val="auto"/>
          <w:highlight w:val="none"/>
        </w:rPr>
        <w:t>响应</w:t>
      </w:r>
      <w:r>
        <w:rPr>
          <w:rFonts w:hAnsi="宋体"/>
          <w:color w:val="auto"/>
          <w:highlight w:val="none"/>
        </w:rPr>
        <w:t>。</w:t>
      </w:r>
    </w:p>
    <w:p>
      <w:pPr>
        <w:pStyle w:val="17"/>
        <w:kinsoku w:val="0"/>
        <w:overflowPunct w:val="0"/>
        <w:spacing w:before="10"/>
        <w:ind w:firstLine="480" w:firstLineChars="200"/>
        <w:rPr>
          <w:rFonts w:hAnsi="宋体"/>
          <w:color w:val="auto"/>
          <w:highlight w:val="none"/>
        </w:rPr>
      </w:pPr>
      <w:r>
        <w:rPr>
          <w:rFonts w:hint="eastAsia" w:hAnsi="宋体"/>
          <w:color w:val="auto"/>
          <w:highlight w:val="none"/>
        </w:rPr>
        <w:t>2</w:t>
      </w:r>
      <w:r>
        <w:rPr>
          <w:rFonts w:hAnsi="宋体"/>
          <w:color w:val="auto"/>
          <w:highlight w:val="none"/>
        </w:rPr>
        <w:t xml:space="preserve">. </w:t>
      </w:r>
      <w:r>
        <w:rPr>
          <w:rFonts w:hint="eastAsia" w:hAnsi="宋体"/>
          <w:color w:val="auto"/>
          <w:highlight w:val="none"/>
        </w:rPr>
        <w:t>“偏离情况”列应</w:t>
      </w:r>
      <w:r>
        <w:rPr>
          <w:rFonts w:hAnsi="宋体"/>
          <w:color w:val="auto"/>
          <w:highlight w:val="none"/>
        </w:rPr>
        <w:t>据实</w:t>
      </w:r>
      <w:r>
        <w:rPr>
          <w:rFonts w:hint="eastAsia" w:hAnsi="宋体"/>
          <w:color w:val="auto"/>
          <w:highlight w:val="none"/>
        </w:rPr>
        <w:t>填写“正偏离”或“负偏离”。</w:t>
      </w:r>
    </w:p>
    <w:p>
      <w:pPr>
        <w:pStyle w:val="17"/>
        <w:kinsoku w:val="0"/>
        <w:overflowPunct w:val="0"/>
        <w:spacing w:before="10"/>
        <w:rPr>
          <w:rFonts w:hAnsi="宋体"/>
          <w:color w:val="auto"/>
          <w:sz w:val="34"/>
          <w:szCs w:val="34"/>
          <w:highlight w:val="none"/>
        </w:rPr>
      </w:pPr>
    </w:p>
    <w:p>
      <w:pPr>
        <w:pStyle w:val="17"/>
        <w:tabs>
          <w:tab w:val="left" w:pos="1601"/>
          <w:tab w:val="left" w:pos="2321"/>
          <w:tab w:val="left" w:pos="3041"/>
          <w:tab w:val="left" w:pos="5014"/>
        </w:tabs>
        <w:kinsoku w:val="0"/>
        <w:overflowPunct w:val="0"/>
        <w:spacing w:before="1" w:line="384" w:lineRule="auto"/>
        <w:ind w:left="401" w:right="4870" w:hanging="1"/>
        <w:rPr>
          <w:rFonts w:hAnsi="宋体"/>
          <w:color w:val="auto"/>
          <w:highlight w:val="none"/>
        </w:rPr>
      </w:pPr>
      <w:r>
        <w:rPr>
          <w:rFonts w:hint="eastAsia" w:hAnsi="宋体"/>
          <w:color w:val="auto"/>
          <w:highlight w:val="none"/>
        </w:rPr>
        <w:t>供应商名称（加盖公章</w:t>
      </w:r>
      <w:r>
        <w:rPr>
          <w:rFonts w:hint="eastAsia" w:hAnsi="宋体"/>
          <w:color w:val="auto"/>
          <w:spacing w:val="-120"/>
          <w:highlight w:val="none"/>
        </w:rPr>
        <w:t>）</w:t>
      </w:r>
      <w:r>
        <w:rPr>
          <w:rFonts w:hint="eastAsia" w:hAnsi="宋体"/>
          <w:color w:val="auto"/>
          <w:spacing w:val="-1"/>
          <w:highlight w:val="none"/>
        </w:rPr>
        <w:t>：</w:t>
      </w:r>
      <w:r>
        <w:rPr>
          <w:rFonts w:hAnsi="宋体" w:cs="Times New Roman"/>
          <w:color w:val="auto"/>
          <w:highlight w:val="none"/>
          <w:u w:val="single" w:color="000000"/>
        </w:rPr>
        <w:t xml:space="preserve"> </w:t>
      </w:r>
      <w:r>
        <w:rPr>
          <w:rFonts w:hAnsi="宋体" w:cs="Times New Roman"/>
          <w:color w:val="auto"/>
          <w:highlight w:val="none"/>
          <w:u w:val="single" w:color="000000"/>
        </w:rPr>
        <w:tab/>
      </w:r>
      <w:r>
        <w:rPr>
          <w:rFonts w:hAnsi="宋体" w:cs="Times New Roman"/>
          <w:color w:val="auto"/>
          <w:highlight w:val="none"/>
          <w:u w:val="single" w:color="000000"/>
        </w:rPr>
        <w:t xml:space="preserve"> </w:t>
      </w:r>
      <w:r>
        <w:rPr>
          <w:rFonts w:hint="eastAsia" w:hAnsi="宋体"/>
          <w:color w:val="auto"/>
          <w:highlight w:val="none"/>
        </w:rPr>
        <w:t>日期：</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月</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日</w:t>
      </w:r>
    </w:p>
    <w:p>
      <w:pPr>
        <w:pStyle w:val="17"/>
        <w:tabs>
          <w:tab w:val="left" w:pos="1601"/>
          <w:tab w:val="left" w:pos="2321"/>
          <w:tab w:val="left" w:pos="3041"/>
          <w:tab w:val="left" w:pos="5014"/>
        </w:tabs>
        <w:kinsoku w:val="0"/>
        <w:overflowPunct w:val="0"/>
        <w:spacing w:before="1" w:line="384" w:lineRule="auto"/>
        <w:ind w:left="401" w:right="4870" w:hanging="1"/>
        <w:rPr>
          <w:rFonts w:hAnsi="宋体"/>
          <w:color w:val="auto"/>
          <w:highlight w:val="none"/>
        </w:rPr>
        <w:sectPr>
          <w:headerReference r:id="rId7" w:type="default"/>
          <w:footerReference r:id="rId8" w:type="default"/>
          <w:pgSz w:w="11910" w:h="16840"/>
          <w:pgMar w:top="1340" w:right="720" w:bottom="1080" w:left="1300" w:header="879" w:footer="892" w:gutter="0"/>
          <w:cols w:space="720" w:num="1"/>
        </w:sectPr>
      </w:pPr>
    </w:p>
    <w:p>
      <w:pPr>
        <w:pStyle w:val="69"/>
        <w:spacing w:line="360" w:lineRule="auto"/>
        <w:ind w:left="540" w:firstLine="0"/>
        <w:outlineLvl w:val="0"/>
        <w:rPr>
          <w:rFonts w:hAnsi="宋体"/>
          <w:color w:val="auto"/>
          <w:highlight w:val="none"/>
        </w:rPr>
      </w:pPr>
      <w:bookmarkStart w:id="125" w:name="_Toc149147588"/>
      <w:bookmarkStart w:id="126" w:name="_Toc149147743"/>
      <w:r>
        <w:rPr>
          <w:rFonts w:hint="eastAsia" w:hAnsi="宋体"/>
          <w:color w:val="auto"/>
          <w:highlight w:val="none"/>
        </w:rPr>
        <w:t>9</w:t>
      </w:r>
      <w:r>
        <w:rPr>
          <w:rFonts w:hAnsi="宋体"/>
          <w:color w:val="auto"/>
          <w:highlight w:val="none"/>
        </w:rPr>
        <w:t xml:space="preserve"> </w:t>
      </w:r>
      <w:r>
        <w:rPr>
          <w:rFonts w:hint="eastAsia" w:hAnsi="宋体"/>
          <w:color w:val="auto"/>
          <w:highlight w:val="none"/>
        </w:rPr>
        <w:t>采购需求偏离表（实质性格式）</w:t>
      </w:r>
      <w:bookmarkEnd w:id="125"/>
      <w:bookmarkEnd w:id="126"/>
    </w:p>
    <w:p>
      <w:pPr>
        <w:jc w:val="center"/>
        <w:rPr>
          <w:rFonts w:hAnsi="宋体"/>
          <w:color w:val="auto"/>
          <w:sz w:val="32"/>
          <w:szCs w:val="32"/>
          <w:highlight w:val="none"/>
        </w:rPr>
      </w:pPr>
      <w:r>
        <w:rPr>
          <w:rFonts w:hint="eastAsia" w:hAnsi="宋体"/>
          <w:color w:val="auto"/>
          <w:sz w:val="32"/>
          <w:szCs w:val="32"/>
          <w:highlight w:val="none"/>
        </w:rPr>
        <w:t>采购需求偏离表</w:t>
      </w:r>
    </w:p>
    <w:p>
      <w:pPr>
        <w:pStyle w:val="17"/>
        <w:kinsoku w:val="0"/>
        <w:overflowPunct w:val="0"/>
        <w:spacing w:before="2"/>
        <w:rPr>
          <w:rFonts w:hAnsi="宋体"/>
          <w:color w:val="auto"/>
          <w:sz w:val="12"/>
          <w:szCs w:val="12"/>
          <w:highlight w:val="none"/>
        </w:rPr>
      </w:pPr>
    </w:p>
    <w:p>
      <w:pPr>
        <w:pStyle w:val="17"/>
        <w:tabs>
          <w:tab w:val="left" w:pos="4373"/>
          <w:tab w:val="left" w:pos="4920"/>
          <w:tab w:val="left" w:pos="7973"/>
        </w:tabs>
        <w:kinsoku w:val="0"/>
        <w:overflowPunct w:val="0"/>
        <w:spacing w:before="83"/>
        <w:ind w:left="761"/>
        <w:rPr>
          <w:rFonts w:hAnsi="宋体" w:cs="Times New Roman"/>
          <w:color w:val="auto"/>
          <w:highlight w:val="none"/>
          <w:u w:val="single" w:color="000000"/>
        </w:rPr>
      </w:pPr>
      <w:r>
        <w:rPr>
          <w:rFonts w:hint="eastAsia" w:hAnsi="宋体"/>
          <w:color w:val="auto"/>
          <w:highlight w:val="none"/>
        </w:rPr>
        <w:t>项目编号</w:t>
      </w:r>
      <w:r>
        <w:rPr>
          <w:rFonts w:hAnsi="宋体" w:cs="Arial"/>
          <w:color w:val="auto"/>
          <w:highlight w:val="none"/>
        </w:rPr>
        <w:t>/</w:t>
      </w:r>
      <w:r>
        <w:rPr>
          <w:rFonts w:hint="eastAsia" w:hAnsi="宋体"/>
          <w:color w:val="auto"/>
          <w:highlight w:val="none"/>
        </w:rPr>
        <w:t>包号：</w:t>
      </w:r>
      <w:r>
        <w:rPr>
          <w:rFonts w:hAnsi="宋体"/>
          <w:color w:val="auto"/>
          <w:highlight w:val="none"/>
          <w:u w:val="single" w:color="000000"/>
        </w:rPr>
        <w:t xml:space="preserve"> </w:t>
      </w:r>
      <w:r>
        <w:rPr>
          <w:rFonts w:hAnsi="宋体"/>
          <w:color w:val="auto"/>
          <w:highlight w:val="none"/>
          <w:u w:val="single" w:color="000000"/>
        </w:rPr>
        <w:tab/>
      </w:r>
      <w:r>
        <w:rPr>
          <w:rFonts w:hAnsi="宋体"/>
          <w:color w:val="auto"/>
          <w:highlight w:val="none"/>
        </w:rPr>
        <w:tab/>
      </w:r>
      <w:r>
        <w:rPr>
          <w:rFonts w:hint="eastAsia" w:hAnsi="宋体"/>
          <w:color w:val="auto"/>
          <w:spacing w:val="-1"/>
          <w:highlight w:val="none"/>
        </w:rPr>
        <w:t>项</w:t>
      </w:r>
      <w:r>
        <w:rPr>
          <w:rFonts w:hint="eastAsia" w:hAnsi="宋体"/>
          <w:color w:val="auto"/>
          <w:highlight w:val="none"/>
        </w:rPr>
        <w:t>目名称：</w:t>
      </w:r>
      <w:r>
        <w:rPr>
          <w:rFonts w:hAnsi="宋体" w:cs="Times New Roman"/>
          <w:color w:val="auto"/>
          <w:highlight w:val="none"/>
          <w:u w:val="single" w:color="000000"/>
        </w:rPr>
        <w:t xml:space="preserve"> </w:t>
      </w:r>
      <w:r>
        <w:rPr>
          <w:rFonts w:hAnsi="宋体" w:cs="Times New Roman"/>
          <w:color w:val="auto"/>
          <w:highlight w:val="none"/>
          <w:u w:val="single" w:color="000000"/>
        </w:rPr>
        <w:tab/>
      </w:r>
    </w:p>
    <w:tbl>
      <w:tblPr>
        <w:tblStyle w:val="44"/>
        <w:tblW w:w="8747" w:type="dxa"/>
        <w:tblInd w:w="298" w:type="dxa"/>
        <w:tblLayout w:type="fixed"/>
        <w:tblCellMar>
          <w:top w:w="0" w:type="dxa"/>
          <w:left w:w="0" w:type="dxa"/>
          <w:bottom w:w="0" w:type="dxa"/>
          <w:right w:w="0" w:type="dxa"/>
        </w:tblCellMar>
      </w:tblPr>
      <w:tblGrid>
        <w:gridCol w:w="1009"/>
        <w:gridCol w:w="1561"/>
        <w:gridCol w:w="1776"/>
        <w:gridCol w:w="1778"/>
        <w:gridCol w:w="1607"/>
        <w:gridCol w:w="1016"/>
      </w:tblGrid>
      <w:tr>
        <w:tblPrEx>
          <w:tblCellMar>
            <w:top w:w="0" w:type="dxa"/>
            <w:left w:w="0" w:type="dxa"/>
            <w:bottom w:w="0" w:type="dxa"/>
            <w:right w:w="0" w:type="dxa"/>
          </w:tblCellMar>
        </w:tblPrEx>
        <w:trPr>
          <w:trHeight w:val="933"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3"/>
              <w:jc w:val="center"/>
              <w:rPr>
                <w:rFonts w:hAnsi="宋体" w:cs="Times New Roman"/>
                <w:color w:val="auto"/>
                <w:sz w:val="27"/>
                <w:szCs w:val="27"/>
                <w:highlight w:val="none"/>
              </w:rPr>
            </w:pPr>
          </w:p>
          <w:p>
            <w:pPr>
              <w:pStyle w:val="70"/>
              <w:kinsoku w:val="0"/>
              <w:overflowPunct w:val="0"/>
              <w:jc w:val="center"/>
              <w:rPr>
                <w:rFonts w:hAnsi="宋体"/>
                <w:color w:val="auto"/>
                <w:highlight w:val="none"/>
              </w:rPr>
            </w:pPr>
            <w:r>
              <w:rPr>
                <w:rFonts w:hint="eastAsia" w:hAnsi="宋体"/>
                <w:color w:val="auto"/>
                <w:highlight w:val="none"/>
              </w:rPr>
              <w:t>序号</w:t>
            </w: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2" w:line="242" w:lineRule="auto"/>
              <w:ind w:right="169"/>
              <w:jc w:val="center"/>
              <w:rPr>
                <w:rFonts w:hAnsi="宋体"/>
                <w:color w:val="auto"/>
                <w:spacing w:val="-4"/>
                <w:highlight w:val="none"/>
              </w:rPr>
            </w:pPr>
            <w:r>
              <w:rPr>
                <w:rFonts w:hint="eastAsia" w:hAnsi="宋体"/>
                <w:color w:val="auto"/>
                <w:spacing w:val="-4"/>
                <w:highlight w:val="none"/>
              </w:rPr>
              <w:t>竞争性磋商文件条目号</w:t>
            </w:r>
          </w:p>
          <w:p>
            <w:pPr>
              <w:pStyle w:val="70"/>
              <w:kinsoku w:val="0"/>
              <w:overflowPunct w:val="0"/>
              <w:spacing w:before="3" w:line="288" w:lineRule="exact"/>
              <w:jc w:val="center"/>
              <w:rPr>
                <w:rFonts w:hAnsi="宋体"/>
                <w:color w:val="auto"/>
                <w:highlight w:val="none"/>
              </w:rPr>
            </w:pPr>
            <w:r>
              <w:rPr>
                <w:rFonts w:hint="eastAsia" w:hAnsi="宋体"/>
                <w:color w:val="auto"/>
                <w:highlight w:val="none"/>
              </w:rPr>
              <w:t>（页码）</w:t>
            </w: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158" w:line="242" w:lineRule="auto"/>
              <w:ind w:right="155"/>
              <w:jc w:val="center"/>
              <w:rPr>
                <w:rFonts w:hAnsi="宋体"/>
                <w:color w:val="auto"/>
                <w:highlight w:val="none"/>
              </w:rPr>
            </w:pPr>
            <w:r>
              <w:rPr>
                <w:rFonts w:hint="eastAsia" w:hAnsi="宋体"/>
                <w:color w:val="auto"/>
                <w:highlight w:val="none"/>
              </w:rPr>
              <w:t>竞争性磋商文件要求</w:t>
            </w: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jc w:val="center"/>
              <w:rPr>
                <w:rFonts w:hAnsi="宋体" w:cs="Times New Roman"/>
                <w:color w:val="auto"/>
                <w:sz w:val="27"/>
                <w:szCs w:val="27"/>
                <w:highlight w:val="none"/>
              </w:rPr>
            </w:pPr>
          </w:p>
          <w:p>
            <w:pPr>
              <w:pStyle w:val="70"/>
              <w:kinsoku w:val="0"/>
              <w:overflowPunct w:val="0"/>
              <w:jc w:val="center"/>
              <w:rPr>
                <w:rFonts w:hAnsi="宋体"/>
                <w:color w:val="auto"/>
                <w:highlight w:val="none"/>
              </w:rPr>
            </w:pPr>
            <w:r>
              <w:rPr>
                <w:rFonts w:hint="eastAsia" w:hAnsi="宋体"/>
                <w:color w:val="auto"/>
                <w:highlight w:val="none"/>
              </w:rPr>
              <w:t>响应文件内容</w:t>
            </w:r>
          </w:p>
        </w:tc>
        <w:tc>
          <w:tcPr>
            <w:tcW w:w="1607"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3"/>
              <w:jc w:val="center"/>
              <w:rPr>
                <w:rFonts w:hAnsi="宋体" w:cs="Times New Roman"/>
                <w:color w:val="auto"/>
                <w:sz w:val="27"/>
                <w:szCs w:val="27"/>
                <w:highlight w:val="none"/>
              </w:rPr>
            </w:pPr>
          </w:p>
          <w:p>
            <w:pPr>
              <w:pStyle w:val="70"/>
              <w:kinsoku w:val="0"/>
              <w:overflowPunct w:val="0"/>
              <w:jc w:val="center"/>
              <w:rPr>
                <w:rFonts w:hAnsi="宋体"/>
                <w:color w:val="auto"/>
                <w:highlight w:val="none"/>
              </w:rPr>
            </w:pPr>
            <w:r>
              <w:rPr>
                <w:rFonts w:hint="eastAsia" w:hAnsi="宋体"/>
                <w:color w:val="auto"/>
                <w:highlight w:val="none"/>
              </w:rPr>
              <w:t>偏离情况</w:t>
            </w:r>
          </w:p>
        </w:tc>
        <w:tc>
          <w:tcPr>
            <w:tcW w:w="1016" w:type="dxa"/>
            <w:tcBorders>
              <w:top w:val="single" w:color="000000" w:sz="4" w:space="0"/>
              <w:left w:val="single" w:color="000000" w:sz="4" w:space="0"/>
              <w:bottom w:val="single" w:color="000000" w:sz="4" w:space="0"/>
              <w:right w:val="single" w:color="000000" w:sz="4" w:space="0"/>
            </w:tcBorders>
          </w:tcPr>
          <w:p>
            <w:pPr>
              <w:pStyle w:val="70"/>
              <w:kinsoku w:val="0"/>
              <w:overflowPunct w:val="0"/>
              <w:spacing w:before="3"/>
              <w:jc w:val="center"/>
              <w:rPr>
                <w:rFonts w:hAnsi="宋体" w:cs="Times New Roman"/>
                <w:color w:val="auto"/>
                <w:sz w:val="27"/>
                <w:szCs w:val="27"/>
                <w:highlight w:val="none"/>
              </w:rPr>
            </w:pPr>
          </w:p>
          <w:p>
            <w:pPr>
              <w:pStyle w:val="70"/>
              <w:kinsoku w:val="0"/>
              <w:overflowPunct w:val="0"/>
              <w:jc w:val="center"/>
              <w:rPr>
                <w:rFonts w:hAnsi="宋体"/>
                <w:color w:val="auto"/>
                <w:highlight w:val="none"/>
              </w:rPr>
            </w:pPr>
            <w:r>
              <w:rPr>
                <w:rFonts w:hint="eastAsia" w:hAnsi="宋体"/>
                <w:color w:val="auto"/>
                <w:highlight w:val="none"/>
              </w:rPr>
              <w:t>说明</w:t>
            </w:r>
          </w:p>
        </w:tc>
      </w:tr>
      <w:tr>
        <w:tblPrEx>
          <w:tblCellMar>
            <w:top w:w="0" w:type="dxa"/>
            <w:left w:w="0" w:type="dxa"/>
            <w:bottom w:w="0" w:type="dxa"/>
            <w:right w:w="0" w:type="dxa"/>
          </w:tblCellMar>
        </w:tblPrEx>
        <w:trPr>
          <w:trHeight w:val="1147" w:hRule="atLeast"/>
        </w:trPr>
        <w:tc>
          <w:tcPr>
            <w:tcW w:w="8747" w:type="dxa"/>
            <w:gridSpan w:val="6"/>
            <w:tcBorders>
              <w:top w:val="single" w:color="000000" w:sz="4" w:space="0"/>
              <w:left w:val="single" w:color="000000" w:sz="4" w:space="0"/>
              <w:bottom w:val="single" w:color="000000" w:sz="4" w:space="0"/>
              <w:right w:val="single" w:color="000000" w:sz="4" w:space="0"/>
            </w:tcBorders>
          </w:tcPr>
          <w:p>
            <w:pPr>
              <w:snapToGrid w:val="0"/>
              <w:rPr>
                <w:rFonts w:hAnsi="宋体"/>
                <w:b/>
                <w:color w:val="auto"/>
                <w:sz w:val="24"/>
                <w:highlight w:val="none"/>
              </w:rPr>
            </w:pPr>
            <w:r>
              <w:rPr>
                <w:rFonts w:hint="eastAsia" w:hAnsi="宋体"/>
                <w:b/>
                <w:color w:val="auto"/>
                <w:sz w:val="24"/>
                <w:highlight w:val="none"/>
              </w:rPr>
              <w:t>对本项目采购需求的偏离情况（请进行勾选）：</w:t>
            </w:r>
          </w:p>
          <w:p>
            <w:pPr>
              <w:snapToGrid w:val="0"/>
              <w:rPr>
                <w:rFonts w:hAnsi="宋体"/>
                <w:b/>
                <w:color w:val="auto"/>
                <w:sz w:val="24"/>
                <w:highlight w:val="none"/>
              </w:rPr>
            </w:pPr>
            <w:r>
              <w:rPr>
                <w:rFonts w:hAnsi="宋体"/>
                <w:b/>
                <w:color w:val="auto"/>
                <w:sz w:val="24"/>
                <w:highlight w:val="none"/>
              </w:rPr>
              <w:t>□无偏离</w:t>
            </w:r>
            <w:r>
              <w:rPr>
                <w:rFonts w:hAnsi="宋体"/>
                <w:color w:val="auto"/>
                <w:sz w:val="24"/>
                <w:highlight w:val="none"/>
              </w:rPr>
              <w:t>（</w:t>
            </w:r>
            <w:r>
              <w:rPr>
                <w:rFonts w:hAnsi="宋体"/>
                <w:color w:val="auto"/>
                <w:sz w:val="24"/>
                <w:szCs w:val="21"/>
                <w:highlight w:val="none"/>
              </w:rPr>
              <w:t>如无偏离，仅勾选无偏离即可</w:t>
            </w:r>
            <w:r>
              <w:rPr>
                <w:rFonts w:hAnsi="宋体"/>
                <w:color w:val="auto"/>
                <w:sz w:val="24"/>
                <w:highlight w:val="none"/>
              </w:rPr>
              <w:t>）</w:t>
            </w:r>
          </w:p>
          <w:p>
            <w:pPr>
              <w:pStyle w:val="70"/>
              <w:kinsoku w:val="0"/>
              <w:overflowPunct w:val="0"/>
              <w:spacing w:before="6" w:line="300" w:lineRule="atLeast"/>
              <w:ind w:right="75"/>
              <w:rPr>
                <w:rFonts w:hAnsi="宋体"/>
                <w:color w:val="auto"/>
                <w:highlight w:val="none"/>
              </w:rPr>
            </w:pPr>
            <w:r>
              <w:rPr>
                <w:rFonts w:hAnsi="宋体"/>
                <w:b/>
                <w:color w:val="auto"/>
                <w:highlight w:val="none"/>
              </w:rPr>
              <w:t>□有偏离</w:t>
            </w:r>
            <w:r>
              <w:rPr>
                <w:rFonts w:hAnsi="宋体"/>
                <w:color w:val="auto"/>
                <w:highlight w:val="none"/>
              </w:rPr>
              <w:t>（</w:t>
            </w:r>
            <w:r>
              <w:rPr>
                <w:rFonts w:hAnsi="宋体"/>
                <w:color w:val="auto"/>
                <w:szCs w:val="21"/>
                <w:highlight w:val="none"/>
              </w:rPr>
              <w:t>如有负偏离，</w:t>
            </w:r>
            <w:r>
              <w:rPr>
                <w:rFonts w:hAnsi="宋体"/>
                <w:color w:val="auto"/>
                <w:highlight w:val="none"/>
              </w:rPr>
              <w:t>则须在本表中对负偏离项逐一列明）</w:t>
            </w: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607"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01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607"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01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607"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01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607"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01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r>
      <w:tr>
        <w:tblPrEx>
          <w:tblCellMar>
            <w:top w:w="0" w:type="dxa"/>
            <w:left w:w="0" w:type="dxa"/>
            <w:bottom w:w="0" w:type="dxa"/>
            <w:right w:w="0" w:type="dxa"/>
          </w:tblCellMar>
        </w:tblPrEx>
        <w:trPr>
          <w:trHeight w:val="929" w:hRule="atLeast"/>
        </w:trPr>
        <w:tc>
          <w:tcPr>
            <w:tcW w:w="1009"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561"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778"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607"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c>
          <w:tcPr>
            <w:tcW w:w="1016" w:type="dxa"/>
            <w:tcBorders>
              <w:top w:val="single" w:color="000000" w:sz="4" w:space="0"/>
              <w:left w:val="single" w:color="000000" w:sz="4" w:space="0"/>
              <w:bottom w:val="single" w:color="000000" w:sz="4" w:space="0"/>
              <w:right w:val="single" w:color="000000" w:sz="4" w:space="0"/>
            </w:tcBorders>
          </w:tcPr>
          <w:p>
            <w:pPr>
              <w:pStyle w:val="70"/>
              <w:kinsoku w:val="0"/>
              <w:overflowPunct w:val="0"/>
              <w:ind w:left="880"/>
              <w:rPr>
                <w:rFonts w:hAnsi="宋体" w:cs="Times New Roman"/>
                <w:color w:val="auto"/>
                <w:sz w:val="22"/>
                <w:szCs w:val="22"/>
                <w:highlight w:val="none"/>
              </w:rPr>
            </w:pPr>
          </w:p>
        </w:tc>
      </w:tr>
    </w:tbl>
    <w:p>
      <w:pPr>
        <w:pStyle w:val="17"/>
        <w:kinsoku w:val="0"/>
        <w:overflowPunct w:val="0"/>
        <w:spacing w:before="3"/>
        <w:rPr>
          <w:rFonts w:hAnsi="宋体" w:cs="Times New Roman"/>
          <w:color w:val="auto"/>
          <w:sz w:val="27"/>
          <w:szCs w:val="27"/>
          <w:highlight w:val="none"/>
        </w:rPr>
      </w:pPr>
    </w:p>
    <w:p>
      <w:pPr>
        <w:tabs>
          <w:tab w:val="left" w:pos="1800"/>
          <w:tab w:val="left" w:pos="5580"/>
        </w:tabs>
        <w:rPr>
          <w:color w:val="auto"/>
          <w:sz w:val="24"/>
          <w:highlight w:val="none"/>
        </w:rPr>
      </w:pPr>
      <w:r>
        <w:rPr>
          <w:color w:val="auto"/>
          <w:sz w:val="24"/>
          <w:highlight w:val="none"/>
        </w:rPr>
        <w:t>注：</w:t>
      </w:r>
    </w:p>
    <w:p>
      <w:pPr>
        <w:tabs>
          <w:tab w:val="left" w:pos="1800"/>
          <w:tab w:val="left" w:pos="5580"/>
        </w:tabs>
        <w:rPr>
          <w:color w:val="auto"/>
          <w:sz w:val="24"/>
          <w:highlight w:val="none"/>
        </w:rPr>
      </w:pPr>
      <w:r>
        <w:rPr>
          <w:rFonts w:hint="eastAsia"/>
          <w:color w:val="auto"/>
          <w:sz w:val="24"/>
          <w:highlight w:val="none"/>
        </w:rPr>
        <w:t>1</w:t>
      </w:r>
      <w:r>
        <w:rPr>
          <w:color w:val="auto"/>
          <w:sz w:val="24"/>
          <w:highlight w:val="none"/>
        </w:rPr>
        <w:t>. 对</w:t>
      </w:r>
      <w:r>
        <w:rPr>
          <w:rFonts w:hint="eastAsia"/>
          <w:color w:val="auto"/>
          <w:sz w:val="24"/>
          <w:highlight w:val="none"/>
        </w:rPr>
        <w:t>竞争性磋商</w:t>
      </w:r>
      <w:r>
        <w:rPr>
          <w:color w:val="auto"/>
          <w:sz w:val="24"/>
          <w:highlight w:val="none"/>
        </w:rPr>
        <w:t>文件中的所有商务、技术要求，除本表所列明的所有偏离外，均视作供应商已对之理解和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 xml:space="preserve"> </w:t>
      </w:r>
    </w:p>
    <w:p>
      <w:pPr>
        <w:tabs>
          <w:tab w:val="left" w:pos="1800"/>
          <w:tab w:val="left" w:pos="5580"/>
        </w:tabs>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pPr>
        <w:pStyle w:val="17"/>
        <w:kinsoku w:val="0"/>
        <w:overflowPunct w:val="0"/>
        <w:rPr>
          <w:rFonts w:hAnsi="宋体"/>
          <w:color w:val="auto"/>
          <w:sz w:val="28"/>
          <w:szCs w:val="28"/>
          <w:highlight w:val="none"/>
        </w:rPr>
      </w:pPr>
    </w:p>
    <w:p>
      <w:pPr>
        <w:pStyle w:val="17"/>
        <w:kinsoku w:val="0"/>
        <w:overflowPunct w:val="0"/>
        <w:ind w:firstLine="480" w:firstLineChars="200"/>
        <w:rPr>
          <w:rFonts w:hAnsi="宋体"/>
          <w:color w:val="auto"/>
          <w:sz w:val="28"/>
          <w:szCs w:val="28"/>
          <w:highlight w:val="none"/>
          <w:u w:val="single"/>
        </w:rPr>
      </w:pPr>
      <w:r>
        <w:rPr>
          <w:rFonts w:hint="eastAsia" w:hAnsi="宋体"/>
          <w:color w:val="auto"/>
          <w:highlight w:val="none"/>
        </w:rPr>
        <w:t>供应商名称（加盖公章）：</w:t>
      </w:r>
      <w:r>
        <w:rPr>
          <w:rFonts w:hint="eastAsia" w:hAnsi="宋体"/>
          <w:color w:val="auto"/>
          <w:highlight w:val="none"/>
          <w:u w:val="single"/>
        </w:rPr>
        <w:t xml:space="preserve"> </w:t>
      </w:r>
      <w:r>
        <w:rPr>
          <w:rFonts w:hAnsi="宋体"/>
          <w:color w:val="auto"/>
          <w:highlight w:val="none"/>
          <w:u w:val="single"/>
        </w:rPr>
        <w:t xml:space="preserve">         </w:t>
      </w:r>
    </w:p>
    <w:p>
      <w:pPr>
        <w:pStyle w:val="17"/>
        <w:tabs>
          <w:tab w:val="left" w:pos="1601"/>
          <w:tab w:val="left" w:pos="2321"/>
          <w:tab w:val="left" w:pos="3041"/>
          <w:tab w:val="left" w:pos="3934"/>
        </w:tabs>
        <w:kinsoku w:val="0"/>
        <w:overflowPunct w:val="0"/>
        <w:spacing w:before="227" w:line="384" w:lineRule="auto"/>
        <w:ind w:left="401" w:right="5950" w:firstLine="240" w:firstLineChars="100"/>
        <w:rPr>
          <w:rFonts w:hAnsi="宋体"/>
          <w:color w:val="auto"/>
          <w:highlight w:val="none"/>
        </w:rPr>
      </w:pPr>
      <w:r>
        <w:rPr>
          <w:rFonts w:hint="eastAsia" w:hAnsi="宋体"/>
          <w:color w:val="auto"/>
          <w:highlight w:val="none"/>
        </w:rPr>
        <w:t>日期：</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年</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月</w:t>
      </w:r>
      <w:r>
        <w:rPr>
          <w:rFonts w:hAnsi="宋体"/>
          <w:color w:val="auto"/>
          <w:highlight w:val="none"/>
          <w:u w:val="single" w:color="000000"/>
        </w:rPr>
        <w:t xml:space="preserve"> </w:t>
      </w:r>
      <w:r>
        <w:rPr>
          <w:rFonts w:hAnsi="宋体"/>
          <w:color w:val="auto"/>
          <w:highlight w:val="none"/>
          <w:u w:val="single" w:color="000000"/>
        </w:rPr>
        <w:tab/>
      </w:r>
      <w:r>
        <w:rPr>
          <w:rFonts w:hint="eastAsia" w:hAnsi="宋体"/>
          <w:color w:val="auto"/>
          <w:highlight w:val="none"/>
        </w:rPr>
        <w:t>日</w:t>
      </w:r>
    </w:p>
    <w:p>
      <w:pPr>
        <w:widowControl/>
        <w:autoSpaceDE/>
        <w:autoSpaceDN/>
        <w:adjustRightInd/>
        <w:rPr>
          <w:rFonts w:hAnsi="宋体"/>
          <w:color w:val="auto"/>
          <w:sz w:val="24"/>
          <w:szCs w:val="24"/>
          <w:highlight w:val="none"/>
        </w:rPr>
      </w:pPr>
      <w:r>
        <w:rPr>
          <w:rFonts w:hAnsi="宋体"/>
          <w:color w:val="auto"/>
          <w:highlight w:val="none"/>
        </w:rPr>
        <w:br w:type="page"/>
      </w:r>
    </w:p>
    <w:p>
      <w:pPr>
        <w:pStyle w:val="17"/>
        <w:rPr>
          <w:rFonts w:hAnsi="宋体"/>
          <w:color w:val="auto"/>
          <w:highlight w:val="none"/>
        </w:rPr>
      </w:pPr>
    </w:p>
    <w:p>
      <w:pPr>
        <w:pStyle w:val="69"/>
        <w:spacing w:line="360" w:lineRule="auto"/>
        <w:ind w:left="540" w:firstLine="0"/>
        <w:outlineLvl w:val="0"/>
        <w:rPr>
          <w:rFonts w:hAnsi="宋体"/>
          <w:color w:val="auto"/>
          <w:highlight w:val="none"/>
        </w:rPr>
      </w:pPr>
      <w:bookmarkStart w:id="127" w:name="_Toc149147744"/>
      <w:bookmarkStart w:id="128" w:name="_Toc149147589"/>
      <w:r>
        <w:rPr>
          <w:rFonts w:hAnsi="宋体"/>
          <w:color w:val="auto"/>
          <w:highlight w:val="none"/>
        </w:rPr>
        <w:t>1</w:t>
      </w:r>
      <w:r>
        <w:rPr>
          <w:rFonts w:hint="eastAsia" w:hAnsi="宋体"/>
          <w:color w:val="auto"/>
          <w:highlight w:val="none"/>
        </w:rPr>
        <w:t>0</w:t>
      </w:r>
      <w:r>
        <w:rPr>
          <w:rFonts w:hAnsi="宋体"/>
          <w:color w:val="auto"/>
          <w:highlight w:val="none"/>
        </w:rPr>
        <w:t xml:space="preserve"> </w:t>
      </w:r>
      <w:r>
        <w:rPr>
          <w:rFonts w:hint="eastAsia" w:hAnsi="宋体"/>
          <w:color w:val="auto"/>
          <w:highlight w:val="none"/>
        </w:rPr>
        <w:t>技术方案</w:t>
      </w:r>
    </w:p>
    <w:p>
      <w:pPr>
        <w:pStyle w:val="159"/>
        <w:spacing w:line="360" w:lineRule="auto"/>
        <w:ind w:firstLine="480" w:firstLineChars="200"/>
        <w:rPr>
          <w:rFonts w:ascii="宋体" w:hAnsi="宋体"/>
          <w:color w:val="auto"/>
          <w:highlight w:val="none"/>
        </w:rPr>
      </w:pPr>
      <w:r>
        <w:rPr>
          <w:rFonts w:hint="eastAsia"/>
          <w:color w:val="auto"/>
          <w:sz w:val="24"/>
          <w:highlight w:val="none"/>
        </w:rPr>
        <w:t>格式自拟，根据采购需求及评分标准编写。</w:t>
      </w:r>
      <w:bookmarkEnd w:id="127"/>
      <w:bookmarkEnd w:id="128"/>
    </w:p>
    <w:p>
      <w:pPr>
        <w:widowControl/>
        <w:autoSpaceDE/>
        <w:autoSpaceDN/>
        <w:adjustRightInd/>
        <w:rPr>
          <w:rFonts w:hAnsi="宋体" w:cs="Times New Roman"/>
          <w:color w:val="auto"/>
          <w:kern w:val="2"/>
          <w:sz w:val="21"/>
          <w:szCs w:val="20"/>
          <w:highlight w:val="none"/>
        </w:rPr>
      </w:pPr>
      <w:r>
        <w:rPr>
          <w:rFonts w:hAnsi="宋体"/>
          <w:color w:val="auto"/>
          <w:highlight w:val="none"/>
        </w:rPr>
        <w:br w:type="page"/>
      </w:r>
    </w:p>
    <w:p>
      <w:pPr>
        <w:pStyle w:val="69"/>
        <w:spacing w:line="360" w:lineRule="auto"/>
        <w:ind w:left="540" w:firstLine="0"/>
        <w:outlineLvl w:val="0"/>
        <w:rPr>
          <w:rFonts w:hAnsi="宋体"/>
          <w:color w:val="auto"/>
          <w:highlight w:val="none"/>
        </w:rPr>
      </w:pPr>
      <w:bookmarkStart w:id="129" w:name="_Toc149147590"/>
      <w:bookmarkStart w:id="130" w:name="_Toc149147745"/>
      <w:r>
        <w:rPr>
          <w:rFonts w:hAnsi="宋体"/>
          <w:color w:val="auto"/>
          <w:highlight w:val="none"/>
        </w:rPr>
        <w:t>1</w:t>
      </w:r>
      <w:r>
        <w:rPr>
          <w:rFonts w:hint="eastAsia" w:hAnsi="宋体"/>
          <w:color w:val="auto"/>
          <w:highlight w:val="none"/>
        </w:rPr>
        <w:t>1</w:t>
      </w:r>
      <w:r>
        <w:rPr>
          <w:rFonts w:hAnsi="宋体"/>
          <w:color w:val="auto"/>
          <w:highlight w:val="none"/>
        </w:rPr>
        <w:t xml:space="preserve">  </w:t>
      </w:r>
      <w:r>
        <w:rPr>
          <w:rFonts w:hint="eastAsia" w:hAnsi="宋体"/>
          <w:color w:val="auto"/>
          <w:highlight w:val="none"/>
        </w:rPr>
        <w:t>竞争性磋商文件要求提供或供应商认为应附的其他材料</w:t>
      </w:r>
      <w:bookmarkEnd w:id="129"/>
      <w:bookmarkEnd w:id="130"/>
    </w:p>
    <w:p>
      <w:pPr>
        <w:rPr>
          <w:rFonts w:hAnsi="宋体"/>
          <w:color w:val="auto"/>
          <w:sz w:val="24"/>
          <w:szCs w:val="20"/>
          <w:highlight w:val="none"/>
        </w:rPr>
      </w:pPr>
      <w:r>
        <w:rPr>
          <w:rFonts w:hAnsi="宋体"/>
          <w:color w:val="auto"/>
          <w:sz w:val="24"/>
          <w:szCs w:val="20"/>
          <w:highlight w:val="none"/>
        </w:rPr>
        <w:br w:type="page"/>
      </w:r>
    </w:p>
    <w:p>
      <w:pPr>
        <w:tabs>
          <w:tab w:val="left" w:pos="360"/>
        </w:tabs>
        <w:snapToGrid w:val="0"/>
        <w:spacing w:line="360" w:lineRule="auto"/>
        <w:outlineLvl w:val="1"/>
        <w:rPr>
          <w:rFonts w:hAnsi="宋体"/>
          <w:b/>
          <w:color w:val="auto"/>
          <w:sz w:val="36"/>
          <w:szCs w:val="36"/>
          <w:highlight w:val="none"/>
        </w:rPr>
      </w:pPr>
      <w:r>
        <w:rPr>
          <w:rFonts w:hint="eastAsia" w:hAnsi="宋体"/>
          <w:color w:val="auto"/>
          <w:sz w:val="24"/>
          <w:highlight w:val="none"/>
        </w:rPr>
        <w:t>12</w:t>
      </w:r>
      <w:r>
        <w:rPr>
          <w:rFonts w:hAnsi="宋体"/>
          <w:color w:val="auto"/>
          <w:sz w:val="24"/>
          <w:highlight w:val="none"/>
        </w:rPr>
        <w:t xml:space="preserve">  最后报价一览表</w:t>
      </w:r>
      <w:r>
        <w:rPr>
          <w:rFonts w:hAnsi="宋体"/>
          <w:b/>
          <w:bCs/>
          <w:color w:val="auto"/>
          <w:sz w:val="24"/>
          <w:highlight w:val="none"/>
        </w:rPr>
        <w:t>（实质性格式，磋商</w:t>
      </w:r>
      <w:r>
        <w:rPr>
          <w:rFonts w:hint="eastAsia" w:hAnsi="宋体"/>
          <w:b/>
          <w:bCs/>
          <w:color w:val="auto"/>
          <w:sz w:val="24"/>
          <w:highlight w:val="none"/>
        </w:rPr>
        <w:t>时</w:t>
      </w:r>
      <w:r>
        <w:rPr>
          <w:rFonts w:hAnsi="宋体"/>
          <w:b/>
          <w:bCs/>
          <w:color w:val="auto"/>
          <w:sz w:val="24"/>
          <w:highlight w:val="none"/>
        </w:rPr>
        <w:t>提交）</w:t>
      </w:r>
    </w:p>
    <w:p>
      <w:pPr>
        <w:widowControl/>
        <w:rPr>
          <w:rFonts w:hAnsi="宋体"/>
          <w:color w:val="auto"/>
          <w:sz w:val="24"/>
          <w:szCs w:val="20"/>
          <w:highlight w:val="none"/>
        </w:rPr>
      </w:pPr>
    </w:p>
    <w:p>
      <w:pPr>
        <w:spacing w:line="360" w:lineRule="auto"/>
        <w:ind w:firstLine="720"/>
        <w:jc w:val="center"/>
        <w:rPr>
          <w:rFonts w:hAnsi="宋体"/>
          <w:b/>
          <w:color w:val="auto"/>
          <w:sz w:val="36"/>
          <w:szCs w:val="36"/>
          <w:highlight w:val="none"/>
        </w:rPr>
      </w:pPr>
      <w:r>
        <w:rPr>
          <w:rFonts w:hint="eastAsia" w:hAnsi="宋体"/>
          <w:b/>
          <w:color w:val="auto"/>
          <w:sz w:val="36"/>
          <w:szCs w:val="36"/>
          <w:highlight w:val="none"/>
        </w:rPr>
        <w:t>最后报价一览表</w:t>
      </w:r>
    </w:p>
    <w:p>
      <w:pPr>
        <w:tabs>
          <w:tab w:val="left" w:pos="1800"/>
          <w:tab w:val="left" w:pos="5580"/>
        </w:tabs>
        <w:spacing w:line="360" w:lineRule="auto"/>
        <w:rPr>
          <w:rFonts w:hAnsi="宋体"/>
          <w:color w:val="auto"/>
          <w:sz w:val="24"/>
          <w:highlight w:val="none"/>
        </w:rPr>
      </w:pPr>
    </w:p>
    <w:p>
      <w:pPr>
        <w:tabs>
          <w:tab w:val="left" w:pos="1800"/>
          <w:tab w:val="left" w:pos="5580"/>
        </w:tabs>
        <w:spacing w:line="360" w:lineRule="auto"/>
        <w:ind w:firstLine="360" w:firstLineChars="150"/>
        <w:rPr>
          <w:rFonts w:hAnsi="宋体"/>
          <w:color w:val="auto"/>
          <w:sz w:val="24"/>
          <w:highlight w:val="none"/>
        </w:rPr>
      </w:pPr>
      <w:r>
        <w:rPr>
          <w:rFonts w:hAnsi="宋体"/>
          <w:color w:val="auto"/>
          <w:sz w:val="24"/>
          <w:highlight w:val="none"/>
        </w:rPr>
        <w:t>项目编号/包号：_______________     项目名称：_______________</w:t>
      </w:r>
    </w:p>
    <w:tbl>
      <w:tblPr>
        <w:tblStyle w:val="44"/>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0"/>
        <w:gridCol w:w="2488"/>
        <w:gridCol w:w="1850"/>
        <w:gridCol w:w="1648"/>
        <w:gridCol w:w="1577"/>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740" w:type="dxa"/>
            <w:vMerge w:val="restart"/>
            <w:vAlign w:val="center"/>
          </w:tcPr>
          <w:p>
            <w:pPr>
              <w:tabs>
                <w:tab w:val="left" w:pos="5580"/>
              </w:tabs>
              <w:spacing w:line="360" w:lineRule="auto"/>
              <w:jc w:val="center"/>
              <w:rPr>
                <w:rFonts w:hAnsi="宋体"/>
                <w:b/>
                <w:color w:val="auto"/>
                <w:sz w:val="24"/>
                <w:highlight w:val="none"/>
              </w:rPr>
            </w:pPr>
            <w:r>
              <w:rPr>
                <w:rFonts w:hAnsi="宋体"/>
                <w:b/>
                <w:color w:val="auto"/>
                <w:sz w:val="24"/>
                <w:highlight w:val="none"/>
              </w:rPr>
              <w:t>序号</w:t>
            </w:r>
          </w:p>
        </w:tc>
        <w:tc>
          <w:tcPr>
            <w:tcW w:w="2488" w:type="dxa"/>
            <w:vMerge w:val="restart"/>
            <w:vAlign w:val="center"/>
          </w:tcPr>
          <w:p>
            <w:pPr>
              <w:tabs>
                <w:tab w:val="left" w:pos="5580"/>
              </w:tabs>
              <w:spacing w:line="360" w:lineRule="auto"/>
              <w:jc w:val="center"/>
              <w:rPr>
                <w:rFonts w:hAnsi="宋体"/>
                <w:b/>
                <w:color w:val="auto"/>
                <w:sz w:val="24"/>
                <w:highlight w:val="none"/>
              </w:rPr>
            </w:pPr>
            <w:r>
              <w:rPr>
                <w:rFonts w:hAnsi="宋体"/>
                <w:b/>
                <w:color w:val="auto"/>
                <w:sz w:val="24"/>
                <w:highlight w:val="none"/>
              </w:rPr>
              <w:t>供应商名称</w:t>
            </w:r>
          </w:p>
        </w:tc>
        <w:tc>
          <w:tcPr>
            <w:tcW w:w="3498" w:type="dxa"/>
            <w:gridSpan w:val="2"/>
            <w:vAlign w:val="center"/>
          </w:tcPr>
          <w:p>
            <w:pPr>
              <w:tabs>
                <w:tab w:val="left" w:pos="5580"/>
              </w:tabs>
              <w:spacing w:line="360" w:lineRule="auto"/>
              <w:jc w:val="center"/>
              <w:rPr>
                <w:rFonts w:hAnsi="宋体"/>
                <w:b/>
                <w:color w:val="auto"/>
                <w:sz w:val="24"/>
                <w:highlight w:val="none"/>
              </w:rPr>
            </w:pPr>
            <w:r>
              <w:rPr>
                <w:rFonts w:hAnsi="宋体"/>
                <w:b/>
                <w:color w:val="auto"/>
                <w:sz w:val="24"/>
                <w:highlight w:val="none"/>
              </w:rPr>
              <w:t>最后报价</w:t>
            </w:r>
          </w:p>
        </w:tc>
        <w:tc>
          <w:tcPr>
            <w:tcW w:w="1577" w:type="dxa"/>
            <w:vMerge w:val="restart"/>
          </w:tcPr>
          <w:p>
            <w:pPr>
              <w:tabs>
                <w:tab w:val="left" w:pos="5580"/>
              </w:tabs>
              <w:spacing w:line="360" w:lineRule="auto"/>
              <w:jc w:val="center"/>
              <w:rPr>
                <w:rFonts w:hAnsi="宋体"/>
                <w:b/>
                <w:color w:val="auto"/>
                <w:sz w:val="24"/>
                <w:highlight w:val="none"/>
              </w:rPr>
            </w:pPr>
          </w:p>
          <w:p>
            <w:pPr>
              <w:tabs>
                <w:tab w:val="left" w:pos="5580"/>
              </w:tabs>
              <w:spacing w:line="360" w:lineRule="auto"/>
              <w:jc w:val="center"/>
              <w:rPr>
                <w:rFonts w:hAnsi="宋体"/>
                <w:b/>
                <w:color w:val="auto"/>
                <w:sz w:val="24"/>
                <w:highlight w:val="none"/>
              </w:rPr>
            </w:pPr>
            <w:r>
              <w:rPr>
                <w:rFonts w:hint="eastAsia" w:hAnsi="宋体"/>
                <w:b/>
                <w:color w:val="auto"/>
                <w:sz w:val="24"/>
                <w:highlight w:val="none"/>
              </w:rPr>
              <w:t>服务期限</w:t>
            </w:r>
          </w:p>
        </w:tc>
        <w:tc>
          <w:tcPr>
            <w:tcW w:w="1577" w:type="dxa"/>
            <w:vMerge w:val="restart"/>
            <w:vAlign w:val="center"/>
          </w:tcPr>
          <w:p>
            <w:pPr>
              <w:tabs>
                <w:tab w:val="left" w:pos="5580"/>
              </w:tabs>
              <w:spacing w:line="360" w:lineRule="auto"/>
              <w:jc w:val="center"/>
              <w:rPr>
                <w:rFonts w:hAnsi="宋体"/>
                <w:b/>
                <w:color w:val="auto"/>
                <w:sz w:val="24"/>
                <w:highlight w:val="none"/>
              </w:rPr>
            </w:pPr>
            <w:r>
              <w:rPr>
                <w:rFonts w:hAnsi="宋体"/>
                <w:b/>
                <w:color w:val="auto"/>
                <w:sz w:val="24"/>
                <w:highlight w:val="none"/>
              </w:rPr>
              <w:t>其他</w:t>
            </w:r>
          </w:p>
          <w:p>
            <w:pPr>
              <w:tabs>
                <w:tab w:val="left" w:pos="5580"/>
              </w:tabs>
              <w:spacing w:line="360" w:lineRule="auto"/>
              <w:jc w:val="center"/>
              <w:rPr>
                <w:rFonts w:hAnsi="宋体"/>
                <w:b/>
                <w:color w:val="auto"/>
                <w:sz w:val="24"/>
                <w:highlight w:val="none"/>
              </w:rPr>
            </w:pPr>
            <w:r>
              <w:rPr>
                <w:rFonts w:hAnsi="宋体"/>
                <w:b/>
                <w:color w:val="auto"/>
                <w:sz w:val="24"/>
                <w:highlight w:val="none"/>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740" w:type="dxa"/>
            <w:vMerge w:val="continue"/>
            <w:vAlign w:val="center"/>
          </w:tcPr>
          <w:p>
            <w:pPr>
              <w:tabs>
                <w:tab w:val="left" w:pos="5580"/>
              </w:tabs>
              <w:spacing w:line="360" w:lineRule="auto"/>
              <w:jc w:val="center"/>
              <w:rPr>
                <w:rFonts w:hAnsi="宋体"/>
                <w:color w:val="auto"/>
                <w:sz w:val="24"/>
                <w:highlight w:val="none"/>
              </w:rPr>
            </w:pPr>
          </w:p>
        </w:tc>
        <w:tc>
          <w:tcPr>
            <w:tcW w:w="2488" w:type="dxa"/>
            <w:vMerge w:val="continue"/>
            <w:vAlign w:val="center"/>
          </w:tcPr>
          <w:p>
            <w:pPr>
              <w:tabs>
                <w:tab w:val="left" w:pos="5580"/>
              </w:tabs>
              <w:spacing w:line="360" w:lineRule="auto"/>
              <w:jc w:val="center"/>
              <w:rPr>
                <w:rFonts w:hAnsi="宋体"/>
                <w:color w:val="auto"/>
                <w:sz w:val="24"/>
                <w:highlight w:val="none"/>
              </w:rPr>
            </w:pPr>
          </w:p>
        </w:tc>
        <w:tc>
          <w:tcPr>
            <w:tcW w:w="1850" w:type="dxa"/>
            <w:vAlign w:val="center"/>
          </w:tcPr>
          <w:p>
            <w:pPr>
              <w:tabs>
                <w:tab w:val="left" w:pos="5580"/>
              </w:tabs>
              <w:spacing w:line="360" w:lineRule="auto"/>
              <w:jc w:val="center"/>
              <w:rPr>
                <w:rFonts w:hAnsi="宋体"/>
                <w:b/>
                <w:color w:val="auto"/>
                <w:sz w:val="24"/>
                <w:highlight w:val="none"/>
              </w:rPr>
            </w:pPr>
            <w:r>
              <w:rPr>
                <w:rFonts w:hAnsi="宋体"/>
                <w:b/>
                <w:color w:val="auto"/>
                <w:sz w:val="24"/>
                <w:highlight w:val="none"/>
              </w:rPr>
              <w:t>大写</w:t>
            </w:r>
          </w:p>
        </w:tc>
        <w:tc>
          <w:tcPr>
            <w:tcW w:w="1648" w:type="dxa"/>
            <w:vAlign w:val="center"/>
          </w:tcPr>
          <w:p>
            <w:pPr>
              <w:tabs>
                <w:tab w:val="left" w:pos="5580"/>
              </w:tabs>
              <w:spacing w:line="360" w:lineRule="auto"/>
              <w:jc w:val="center"/>
              <w:rPr>
                <w:rFonts w:hAnsi="宋体"/>
                <w:b/>
                <w:color w:val="auto"/>
                <w:sz w:val="24"/>
                <w:highlight w:val="none"/>
              </w:rPr>
            </w:pPr>
            <w:r>
              <w:rPr>
                <w:rFonts w:hAnsi="宋体"/>
                <w:b/>
                <w:color w:val="auto"/>
                <w:sz w:val="24"/>
                <w:highlight w:val="none"/>
              </w:rPr>
              <w:t>小写</w:t>
            </w:r>
          </w:p>
        </w:tc>
        <w:tc>
          <w:tcPr>
            <w:tcW w:w="1577" w:type="dxa"/>
            <w:vMerge w:val="continue"/>
          </w:tcPr>
          <w:p>
            <w:pPr>
              <w:tabs>
                <w:tab w:val="left" w:pos="5580"/>
              </w:tabs>
              <w:spacing w:line="360" w:lineRule="auto"/>
              <w:ind w:firstLine="482"/>
              <w:jc w:val="center"/>
              <w:rPr>
                <w:rFonts w:hAnsi="宋体"/>
                <w:b/>
                <w:color w:val="auto"/>
                <w:sz w:val="24"/>
                <w:highlight w:val="none"/>
              </w:rPr>
            </w:pPr>
          </w:p>
        </w:tc>
        <w:tc>
          <w:tcPr>
            <w:tcW w:w="1577" w:type="dxa"/>
            <w:vMerge w:val="continue"/>
            <w:vAlign w:val="center"/>
          </w:tcPr>
          <w:p>
            <w:pPr>
              <w:tabs>
                <w:tab w:val="left" w:pos="5580"/>
              </w:tabs>
              <w:spacing w:line="360" w:lineRule="auto"/>
              <w:ind w:firstLine="482"/>
              <w:jc w:val="center"/>
              <w:rPr>
                <w:rFonts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740" w:type="dxa"/>
            <w:vAlign w:val="center"/>
          </w:tcPr>
          <w:p>
            <w:pPr>
              <w:tabs>
                <w:tab w:val="left" w:pos="5580"/>
              </w:tabs>
              <w:spacing w:line="360" w:lineRule="auto"/>
              <w:jc w:val="center"/>
              <w:rPr>
                <w:rFonts w:hAnsi="宋体"/>
                <w:color w:val="auto"/>
                <w:sz w:val="24"/>
                <w:highlight w:val="none"/>
              </w:rPr>
            </w:pPr>
          </w:p>
        </w:tc>
        <w:tc>
          <w:tcPr>
            <w:tcW w:w="2488" w:type="dxa"/>
            <w:vAlign w:val="center"/>
          </w:tcPr>
          <w:p>
            <w:pPr>
              <w:tabs>
                <w:tab w:val="left" w:pos="5580"/>
              </w:tabs>
              <w:spacing w:line="360" w:lineRule="auto"/>
              <w:jc w:val="center"/>
              <w:rPr>
                <w:rFonts w:hAnsi="宋体"/>
                <w:color w:val="auto"/>
                <w:sz w:val="24"/>
                <w:highlight w:val="none"/>
              </w:rPr>
            </w:pPr>
          </w:p>
        </w:tc>
        <w:tc>
          <w:tcPr>
            <w:tcW w:w="1850" w:type="dxa"/>
            <w:vAlign w:val="center"/>
          </w:tcPr>
          <w:p>
            <w:pPr>
              <w:tabs>
                <w:tab w:val="left" w:pos="5580"/>
              </w:tabs>
              <w:spacing w:line="360" w:lineRule="auto"/>
              <w:jc w:val="center"/>
              <w:rPr>
                <w:rFonts w:hAnsi="宋体"/>
                <w:color w:val="auto"/>
                <w:sz w:val="24"/>
                <w:highlight w:val="none"/>
              </w:rPr>
            </w:pPr>
          </w:p>
        </w:tc>
        <w:tc>
          <w:tcPr>
            <w:tcW w:w="1648" w:type="dxa"/>
            <w:vAlign w:val="center"/>
          </w:tcPr>
          <w:p>
            <w:pPr>
              <w:tabs>
                <w:tab w:val="left" w:pos="5580"/>
              </w:tabs>
              <w:spacing w:line="360" w:lineRule="auto"/>
              <w:jc w:val="center"/>
              <w:rPr>
                <w:rFonts w:hAnsi="宋体"/>
                <w:color w:val="auto"/>
                <w:sz w:val="24"/>
                <w:highlight w:val="none"/>
              </w:rPr>
            </w:pPr>
          </w:p>
        </w:tc>
        <w:tc>
          <w:tcPr>
            <w:tcW w:w="1577" w:type="dxa"/>
          </w:tcPr>
          <w:p>
            <w:pPr>
              <w:tabs>
                <w:tab w:val="left" w:pos="5580"/>
              </w:tabs>
              <w:spacing w:line="360" w:lineRule="auto"/>
              <w:jc w:val="center"/>
              <w:rPr>
                <w:rFonts w:hAnsi="宋体"/>
                <w:color w:val="auto"/>
                <w:sz w:val="24"/>
                <w:highlight w:val="none"/>
              </w:rPr>
            </w:pPr>
          </w:p>
        </w:tc>
        <w:tc>
          <w:tcPr>
            <w:tcW w:w="1577" w:type="dxa"/>
            <w:vAlign w:val="center"/>
          </w:tcPr>
          <w:p>
            <w:pPr>
              <w:tabs>
                <w:tab w:val="left" w:pos="5580"/>
              </w:tabs>
              <w:spacing w:line="360" w:lineRule="auto"/>
              <w:jc w:val="center"/>
              <w:rPr>
                <w:rFonts w:hAnsi="宋体"/>
                <w:color w:val="auto"/>
                <w:sz w:val="24"/>
                <w:highlight w:val="none"/>
              </w:rPr>
            </w:pPr>
          </w:p>
        </w:tc>
      </w:tr>
    </w:tbl>
    <w:p>
      <w:pPr>
        <w:snapToGrid w:val="0"/>
        <w:spacing w:before="25" w:after="25" w:line="360" w:lineRule="auto"/>
        <w:rPr>
          <w:rFonts w:hAnsi="宋体"/>
          <w:color w:val="auto"/>
          <w:sz w:val="24"/>
          <w:highlight w:val="none"/>
          <w:lang w:val="zh-CN"/>
        </w:rPr>
      </w:pPr>
    </w:p>
    <w:p>
      <w:pPr>
        <w:snapToGrid w:val="0"/>
        <w:spacing w:before="25" w:after="25" w:line="360" w:lineRule="auto"/>
        <w:rPr>
          <w:rFonts w:hAnsi="宋体"/>
          <w:color w:val="auto"/>
          <w:sz w:val="24"/>
          <w:highlight w:val="none"/>
          <w:lang w:val="zh-CN"/>
        </w:rPr>
      </w:pPr>
      <w:r>
        <w:rPr>
          <w:rFonts w:hAnsi="宋体"/>
          <w:color w:val="auto"/>
          <w:sz w:val="24"/>
          <w:highlight w:val="none"/>
          <w:lang w:val="zh-CN"/>
        </w:rPr>
        <w:t xml:space="preserve">      </w:t>
      </w:r>
    </w:p>
    <w:p>
      <w:pPr>
        <w:snapToGrid w:val="0"/>
        <w:spacing w:before="25" w:after="25" w:line="360" w:lineRule="auto"/>
        <w:rPr>
          <w:rFonts w:hAnsi="宋体"/>
          <w:color w:val="auto"/>
          <w:sz w:val="24"/>
          <w:highlight w:val="none"/>
          <w:lang w:val="zh-CN"/>
        </w:rPr>
      </w:pPr>
      <w:r>
        <w:rPr>
          <w:color w:val="auto"/>
          <w:sz w:val="24"/>
          <w:highlight w:val="none"/>
        </w:rPr>
        <w:t>供应商</w:t>
      </w:r>
      <w:r>
        <w:rPr>
          <w:rFonts w:hAnsi="宋体"/>
          <w:color w:val="auto"/>
          <w:sz w:val="24"/>
          <w:highlight w:val="none"/>
        </w:rPr>
        <w:t>授权代表签字（或加盖</w:t>
      </w:r>
      <w:r>
        <w:rPr>
          <w:color w:val="auto"/>
          <w:sz w:val="24"/>
          <w:highlight w:val="none"/>
        </w:rPr>
        <w:t>供应商</w:t>
      </w:r>
      <w:r>
        <w:rPr>
          <w:rFonts w:hAnsi="宋体"/>
          <w:color w:val="auto"/>
          <w:sz w:val="24"/>
          <w:highlight w:val="none"/>
        </w:rPr>
        <w:t>公章）</w:t>
      </w:r>
      <w:r>
        <w:rPr>
          <w:rFonts w:hAnsi="宋体"/>
          <w:color w:val="auto"/>
          <w:sz w:val="24"/>
          <w:highlight w:val="none"/>
          <w:lang w:val="zh-CN"/>
        </w:rPr>
        <w:t xml:space="preserve">：___________ </w:t>
      </w:r>
    </w:p>
    <w:p>
      <w:pPr>
        <w:widowControl/>
        <w:spacing w:line="360" w:lineRule="auto"/>
        <w:rPr>
          <w:rFonts w:hAnsi="宋体"/>
          <w:color w:val="auto"/>
          <w:sz w:val="24"/>
          <w:szCs w:val="20"/>
          <w:highlight w:val="none"/>
        </w:rPr>
      </w:pPr>
      <w:r>
        <w:rPr>
          <w:rFonts w:hAnsi="宋体"/>
          <w:color w:val="auto"/>
          <w:sz w:val="24"/>
          <w:szCs w:val="20"/>
          <w:highlight w:val="none"/>
        </w:rPr>
        <w:t xml:space="preserve">日期：____年____月____日   </w:t>
      </w:r>
    </w:p>
    <w:p>
      <w:pPr>
        <w:rPr>
          <w:color w:val="auto"/>
          <w:highlight w:val="none"/>
        </w:rPr>
      </w:pPr>
    </w:p>
    <w:p>
      <w:pPr>
        <w:rPr>
          <w:color w:val="auto"/>
          <w:highlight w:val="none"/>
        </w:rPr>
      </w:pPr>
    </w:p>
    <w:p>
      <w:pPr>
        <w:rPr>
          <w:color w:val="auto"/>
          <w:highlight w:val="none"/>
        </w:rPr>
      </w:pPr>
    </w:p>
    <w:p>
      <w:pPr>
        <w:rPr>
          <w:color w:val="auto"/>
          <w:highlight w:val="none"/>
        </w:rPr>
      </w:pPr>
    </w:p>
    <w:sectPr>
      <w:headerReference r:id="rId9" w:type="default"/>
      <w:footerReference r:id="rId10" w:type="default"/>
      <w:pgSz w:w="11910" w:h="16840"/>
      <w:pgMar w:top="1340" w:right="720" w:bottom="1080" w:left="1300"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
    <w:altName w:val="Cambria"/>
    <w:panose1 w:val="00000000000000000000"/>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Yu Gothic UI Semibold">
    <w:panose1 w:val="020B0700000000000000"/>
    <w:charset w:val="80"/>
    <w:family w:val="swiss"/>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61312" behindDoc="0" locked="0" layoutInCell="0" allowOverlap="1">
              <wp:simplePos x="0" y="0"/>
              <wp:positionH relativeFrom="margin">
                <wp:align>center</wp:align>
              </wp:positionH>
              <wp:positionV relativeFrom="paragraph">
                <wp:posOffset>0</wp:posOffset>
              </wp:positionV>
              <wp:extent cx="220980" cy="158750"/>
              <wp:effectExtent l="0" t="0" r="0" b="0"/>
              <wp:wrapNone/>
              <wp:docPr id="1012105846" name="Text Box 5"/>
              <wp:cNvGraphicFramePr/>
              <a:graphic xmlns:a="http://schemas.openxmlformats.org/drawingml/2006/main">
                <a:graphicData uri="http://schemas.microsoft.com/office/word/2010/wordprocessingShape">
                  <wps:wsp>
                    <wps:cNvSpPr txBox="1">
                      <a:spLocks noChangeArrowheads="1"/>
                    </wps:cNvSpPr>
                    <wps:spPr bwMode="auto">
                      <a:xfrm>
                        <a:off x="0" y="0"/>
                        <a:ext cx="220980" cy="158750"/>
                      </a:xfrm>
                      <a:prstGeom prst="rect">
                        <a:avLst/>
                      </a:prstGeom>
                      <a:noFill/>
                      <a:ln>
                        <a:noFill/>
                      </a:ln>
                    </wps:spPr>
                    <wps:txbx>
                      <w:txbxContent>
                        <w:p>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1</w:t>
                          </w:r>
                          <w:r>
                            <w:rPr>
                              <w:rFonts w:ascii="Arial" w:hAnsi="Arial" w:cs="Arial" w:eastAsiaTheme="minorEastAsia"/>
                              <w:w w:val="115"/>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top:0pt;height:12.5pt;width:17.4pt;mso-position-horizontal:center;mso-position-horizontal-relative:margin;z-index:251661312;mso-width-relative:page;mso-height-relative:page;" filled="f" stroked="f" coordsize="21600,21600" o:allowincell="f" o:gfxdata="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itwGY1AAAAAMBAAAPAAAAAAAAAAEAIAAAACIAAABkcnMvZG93&#10;bnJldi54bWxQSwECFAAUAAAACACHTuJAgfbmrgQCAAAMBAAADgAAAAAAAAABACAAAAAjAQAAZHJz&#10;L2Uyb0RvYy54bWxQSwUGAAAAAAYABgBZAQAAmQUAAAAA&#10;">
              <v:fill on="f" focussize="0,0"/>
              <v:stroke on="f"/>
              <v:imagedata o:title=""/>
              <o:lock v:ext="edit" aspectratio="f"/>
              <v:textbox inset="0mm,0mm,0mm,0mm">
                <w:txbxContent>
                  <w:p>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1</w:t>
                    </w:r>
                    <w:r>
                      <w:rPr>
                        <w:rFonts w:ascii="Arial" w:hAnsi="Arial" w:cs="Arial" w:eastAsiaTheme="minorEastAsia"/>
                        <w:w w:val="115"/>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64384" behindDoc="0" locked="0" layoutInCell="0" allowOverlap="1">
              <wp:simplePos x="0" y="0"/>
              <wp:positionH relativeFrom="margin">
                <wp:align>center</wp:align>
              </wp:positionH>
              <wp:positionV relativeFrom="paragraph">
                <wp:posOffset>0</wp:posOffset>
              </wp:positionV>
              <wp:extent cx="220980" cy="158750"/>
              <wp:effectExtent l="0" t="0" r="0" b="0"/>
              <wp:wrapNone/>
              <wp:docPr id="1126144330" name="Text Box 8"/>
              <wp:cNvGraphicFramePr/>
              <a:graphic xmlns:a="http://schemas.openxmlformats.org/drawingml/2006/main">
                <a:graphicData uri="http://schemas.microsoft.com/office/word/2010/wordprocessingShape">
                  <wps:wsp>
                    <wps:cNvSpPr txBox="1">
                      <a:spLocks noChangeArrowheads="1"/>
                    </wps:cNvSpPr>
                    <wps:spPr bwMode="auto">
                      <a:xfrm>
                        <a:off x="0" y="0"/>
                        <a:ext cx="220980" cy="158750"/>
                      </a:xfrm>
                      <a:prstGeom prst="rect">
                        <a:avLst/>
                      </a:prstGeom>
                      <a:noFill/>
                      <a:ln>
                        <a:noFill/>
                      </a:ln>
                    </wps:spPr>
                    <wps:txbx>
                      <w:txbxContent>
                        <w:p>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55</w:t>
                          </w:r>
                          <w:r>
                            <w:rPr>
                              <w:rFonts w:ascii="Arial" w:hAnsi="Arial" w:cs="Arial" w:eastAsiaTheme="minorEastAsia"/>
                              <w:w w:val="115"/>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top:0pt;height:12.5pt;width:17.4pt;mso-position-horizontal:center;mso-position-horizontal-relative:margin;z-index:251664384;mso-width-relative:page;mso-height-relative:page;" filled="f" stroked="f" coordsize="21600,21600" o:allowincell="f" o:gfxdata="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itwGY1AAAAAMBAAAPAAAAAAAAAAEAIAAAACIAAABkcnMvZG93&#10;bnJldi54bWxQSwECFAAUAAAACACHTuJA6GXTIQQCAAAMBAAADgAAAAAAAAABACAAAAAjAQAAZHJz&#10;L2Uyb0RvYy54bWxQSwUGAAAAAAYABgBZAQAAmQUAAAAA&#10;">
              <v:fill on="f" focussize="0,0"/>
              <v:stroke on="f"/>
              <v:imagedata o:title=""/>
              <o:lock v:ext="edit" aspectratio="f"/>
              <v:textbox inset="0mm,0mm,0mm,0mm">
                <w:txbxContent>
                  <w:p>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55</w:t>
                    </w:r>
                    <w:r>
                      <w:rPr>
                        <w:rFonts w:ascii="Arial" w:hAnsi="Arial" w:cs="Arial" w:eastAsiaTheme="minorEastAsia"/>
                        <w:w w:val="115"/>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67456" behindDoc="0" locked="0" layoutInCell="0" allowOverlap="1">
              <wp:simplePos x="0" y="0"/>
              <wp:positionH relativeFrom="margin">
                <wp:align>center</wp:align>
              </wp:positionH>
              <wp:positionV relativeFrom="paragraph">
                <wp:posOffset>0</wp:posOffset>
              </wp:positionV>
              <wp:extent cx="456565" cy="210185"/>
              <wp:effectExtent l="0" t="0" r="0" b="0"/>
              <wp:wrapNone/>
              <wp:docPr id="609717844" name="Text Box 11"/>
              <wp:cNvGraphicFramePr/>
              <a:graphic xmlns:a="http://schemas.openxmlformats.org/drawingml/2006/main">
                <a:graphicData uri="http://schemas.microsoft.com/office/word/2010/wordprocessingShape">
                  <wps:wsp>
                    <wps:cNvSpPr txBox="1">
                      <a:spLocks noChangeArrowheads="1"/>
                    </wps:cNvSpPr>
                    <wps:spPr bwMode="auto">
                      <a:xfrm>
                        <a:off x="0" y="0"/>
                        <a:ext cx="456565" cy="210185"/>
                      </a:xfrm>
                      <a:prstGeom prst="rect">
                        <a:avLst/>
                      </a:prstGeom>
                      <a:noFill/>
                      <a:ln>
                        <a:noFill/>
                      </a:ln>
                    </wps:spPr>
                    <wps:txbx>
                      <w:txbxContent>
                        <w:p>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62</w:t>
                          </w:r>
                          <w:r>
                            <w:rPr>
                              <w:rFonts w:ascii="Arial" w:hAnsi="Arial" w:cs="Arial" w:eastAsiaTheme="minorEastAsia"/>
                              <w:w w:val="115"/>
                              <w:sz w:val="18"/>
                              <w:szCs w:val="18"/>
                            </w:rPr>
                            <w:fldChar w:fldCharType="end"/>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top:0pt;height:16.55pt;width:35.95pt;mso-position-horizontal:center;mso-position-horizontal-relative:margin;z-index:251667456;mso-width-relative:page;mso-height-relative:page;" filled="f" stroked="f" coordsize="21600,21600" o:allowincell="f" o:gfxdata="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hZmmrUAAAAAwEAAA8AAAAAAAAAAQAgAAAAIgAAAGRycy9kb3du&#10;cmV2LnhtbFBLAQIUABQAAAAIAIdO4kCd6fn6AwIAAAwEAAAOAAAAAAAAAAEAIAAAACMBAABkcnMv&#10;ZTJvRG9jLnhtbFBLBQYAAAAABgAGAFkBAACYBQAAAAA=&#10;">
              <v:fill on="f" focussize="0,0"/>
              <v:stroke on="f"/>
              <v:imagedata o:title=""/>
              <o:lock v:ext="edit" aspectratio="f"/>
              <v:textbox inset="0mm,0mm,0mm,0mm">
                <w:txbxContent>
                  <w:p>
                    <w:pPr>
                      <w:pStyle w:val="17"/>
                      <w:kinsoku w:val="0"/>
                      <w:overflowPunct w:val="0"/>
                      <w:spacing w:before="18"/>
                      <w:ind w:left="60"/>
                      <w:rPr>
                        <w:rFonts w:ascii="Arial" w:hAnsi="Arial" w:cs="Arial" w:eastAsiaTheme="minorEastAsia"/>
                        <w:w w:val="115"/>
                        <w:sz w:val="18"/>
                        <w:szCs w:val="18"/>
                      </w:rPr>
                    </w:pPr>
                    <w:r>
                      <w:rPr>
                        <w:rFonts w:ascii="Arial" w:hAnsi="Arial" w:cs="Arial" w:eastAsiaTheme="minorEastAsia"/>
                        <w:w w:val="115"/>
                        <w:sz w:val="18"/>
                        <w:szCs w:val="18"/>
                      </w:rPr>
                      <w:fldChar w:fldCharType="begin"/>
                    </w:r>
                    <w:r>
                      <w:rPr>
                        <w:rFonts w:ascii="Arial" w:hAnsi="Arial" w:cs="Arial" w:eastAsiaTheme="minorEastAsia"/>
                        <w:w w:val="115"/>
                        <w:sz w:val="18"/>
                        <w:szCs w:val="18"/>
                      </w:rPr>
                      <w:instrText xml:space="preserve"> PAGE </w:instrText>
                    </w:r>
                    <w:r>
                      <w:rPr>
                        <w:rFonts w:ascii="Arial" w:hAnsi="Arial" w:cs="Arial" w:eastAsiaTheme="minorEastAsia"/>
                        <w:w w:val="115"/>
                        <w:sz w:val="18"/>
                        <w:szCs w:val="18"/>
                      </w:rPr>
                      <w:fldChar w:fldCharType="separate"/>
                    </w:r>
                    <w:r>
                      <w:rPr>
                        <w:rFonts w:ascii="Arial" w:hAnsi="Arial" w:cs="Arial" w:eastAsiaTheme="minorEastAsia"/>
                        <w:w w:val="115"/>
                        <w:sz w:val="18"/>
                        <w:szCs w:val="18"/>
                      </w:rPr>
                      <w:t>62</w:t>
                    </w:r>
                    <w:r>
                      <w:rPr>
                        <w:rFonts w:ascii="Arial" w:hAnsi="Arial" w:cs="Arial" w:eastAsiaTheme="minorEastAsia"/>
                        <w:w w:val="115"/>
                        <w:sz w:val="18"/>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59264" behindDoc="1" locked="0" layoutInCell="0" allowOverlap="1">
              <wp:simplePos x="0" y="0"/>
              <wp:positionH relativeFrom="page">
                <wp:posOffset>1079500</wp:posOffset>
              </wp:positionH>
              <wp:positionV relativeFrom="page">
                <wp:posOffset>702945</wp:posOffset>
              </wp:positionV>
              <wp:extent cx="5761355" cy="12700"/>
              <wp:effectExtent l="0" t="0" r="0" b="0"/>
              <wp:wrapNone/>
              <wp:docPr id="651392195" name="Freeform 3"/>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6096">
                        <a:solidFill>
                          <a:srgbClr val="000000"/>
                        </a:solidFill>
                        <a:round/>
                      </a:ln>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5pt;margin-top:55.35pt;height:1pt;width:453.65pt;mso-position-horizontal-relative:page;mso-position-vertical-relative:page;z-index:-251657216;mso-width-relative:page;mso-height-relative:page;" filled="f" stroked="t" coordsize="9073,20" o:allowincell="f" o:gfxdata="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Ir1QPfWAAAADAEAAA8AAAAAAAAAAQAgAAAAIgAAAGRycy9kb3ducmV2Lnht&#10;bFBLAQIUABQAAAAIAIdO4kAi3GnGpgIAAMkFAAAOAAAAAAAAAAEAIAAAACUBAABkcnMvZTJvRG9j&#10;LnhtbFBLBQYAAAAABgAGAFkBAAA9BgAAAAA=&#10;" path="m0,0l9072,0e">
              <v:path o:connectlocs="0,0;5760720,0" o:connectangles="0,0"/>
              <v:fill on="f" focussize="0,0"/>
              <v:stroke weight="0.48pt" color="#000000" joinstyle="round"/>
              <v:imagedata o:title=""/>
              <o:lock v:ext="edit" aspectratio="f"/>
            </v:shape>
          </w:pict>
        </mc:Fallback>
      </mc:AlternateContent>
    </w:r>
    <w:r>
      <mc:AlternateContent>
        <mc:Choice Requires="wps">
          <w:drawing>
            <wp:anchor distT="0" distB="0" distL="114300" distR="114300" simplePos="0" relativeHeight="251660288" behindDoc="1" locked="0" layoutInCell="0" allowOverlap="1">
              <wp:simplePos x="0" y="0"/>
              <wp:positionH relativeFrom="page">
                <wp:posOffset>4542155</wp:posOffset>
              </wp:positionH>
              <wp:positionV relativeFrom="page">
                <wp:posOffset>545465</wp:posOffset>
              </wp:positionV>
              <wp:extent cx="2312035" cy="139700"/>
              <wp:effectExtent l="0" t="0" r="0" b="0"/>
              <wp:wrapNone/>
              <wp:docPr id="1089782023" name="Text Box 4"/>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left:357.65pt;margin-top:42.95pt;height:11pt;width:182.05pt;mso-position-horizontal-relative:page;mso-position-vertical-relative:page;z-index:-251656192;mso-width-relative:page;mso-height-relative:page;" filled="f" stroked="f" coordsize="21600,21600" o:allowincell="f"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MCPzdkAAAALAQAADwAAAAAAAAABACAAAAAiAAAA&#10;ZHJzL2Rvd25yZXYueG1sUEsBAhQAFAAAAAgAh07iQNv+I90GAgAADQQAAA4AAAAAAAAAAQAgAAAA&#10;KAEAAGRycy9lMm9Eb2MueG1sUEsFBgAAAAAGAAYAWQEAAKAFAAAAAA==&#10;">
              <v:fill on="f" focussize="0,0"/>
              <v:stroke on="f"/>
              <v:imagedata o:title=""/>
              <o:lock v:ext="edit" aspectratio="f"/>
              <v:textbox inset="0mm,0mm,0mm,0mm">
                <w:txbxContent>
                  <w:p>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62336"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1439511267" name="Freeform 6"/>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6" o:spid="_x0000_s1026" o:spt="100" style="position:absolute;left:0pt;margin-left:85pt;margin-top:55.5pt;height:1pt;width:453.65pt;mso-position-horizontal-relative:page;mso-position-vertical-relative:page;z-index:-251654144;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63360" behindDoc="1" locked="0" layoutInCell="0" allowOverlap="1">
              <wp:simplePos x="0" y="0"/>
              <wp:positionH relativeFrom="page">
                <wp:posOffset>4542155</wp:posOffset>
              </wp:positionH>
              <wp:positionV relativeFrom="page">
                <wp:posOffset>545465</wp:posOffset>
              </wp:positionV>
              <wp:extent cx="2312035" cy="139700"/>
              <wp:effectExtent l="0" t="0" r="0" b="0"/>
              <wp:wrapNone/>
              <wp:docPr id="1498920792" name="Text Box 7"/>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7" o:spid="_x0000_s1026" o:spt="202" type="#_x0000_t202" style="position:absolute;left:0pt;margin-left:357.65pt;margin-top:42.95pt;height:11pt;width:182.05pt;mso-position-horizontal-relative:page;mso-position-vertical-relative:page;z-index:-251653120;mso-width-relative:page;mso-height-relative:page;" filled="f" stroked="f" coordsize="21600,21600" o:allowincell="f"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vMCPzdkAAAALAQAADwAAAAAAAAABACAAAAAiAAAA&#10;ZHJzL2Rvd25yZXYueG1sUEsBAhQAFAAAAAgAh07iQD2XIAEGAgAADQQAAA4AAAAAAAAAAQAgAAAA&#10;KAEAAGRycy9lMm9Eb2MueG1sUEsFBgAAAAAGAAYAWQEAAKAFAAAAAA==&#10;">
              <v:fill on="f" focussize="0,0"/>
              <v:stroke on="f"/>
              <v:imagedata o:title=""/>
              <o:lock v:ext="edit" aspectratio="f"/>
              <v:textbox inset="0mm,0mm,0mm,0mm">
                <w:txbxContent>
                  <w:p>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kinsoku w:val="0"/>
      <w:overflowPunct w:val="0"/>
      <w:spacing w:line="14" w:lineRule="auto"/>
      <w:rPr>
        <w:rFonts w:ascii="Times New Roman" w:cs="Times New Roman" w:eastAsiaTheme="minorEastAsia"/>
        <w:sz w:val="20"/>
        <w:szCs w:val="20"/>
      </w:rPr>
    </w:pPr>
    <w:r>
      <mc:AlternateContent>
        <mc:Choice Requires="wps">
          <w:drawing>
            <wp:anchor distT="0" distB="0" distL="114300" distR="114300" simplePos="0" relativeHeight="251665408" behindDoc="1" locked="0" layoutInCell="0" allowOverlap="1">
              <wp:simplePos x="0" y="0"/>
              <wp:positionH relativeFrom="page">
                <wp:posOffset>1079500</wp:posOffset>
              </wp:positionH>
              <wp:positionV relativeFrom="page">
                <wp:posOffset>704850</wp:posOffset>
              </wp:positionV>
              <wp:extent cx="5761355" cy="12700"/>
              <wp:effectExtent l="0" t="0" r="0" b="0"/>
              <wp:wrapNone/>
              <wp:docPr id="137254730" name="Freeform 9"/>
              <wp:cNvGraphicFramePr/>
              <a:graphic xmlns:a="http://schemas.openxmlformats.org/drawingml/2006/main">
                <a:graphicData uri="http://schemas.microsoft.com/office/word/2010/wordprocessingShape">
                  <wps:wsp>
                    <wps:cNvSpPr/>
                    <wps:spPr bwMode="auto">
                      <a:xfrm>
                        <a:off x="0" y="0"/>
                        <a:ext cx="5761355" cy="12700"/>
                      </a:xfrm>
                      <a:custGeom>
                        <a:avLst/>
                        <a:gdLst>
                          <a:gd name="T0" fmla="*/ 0 w 9073"/>
                          <a:gd name="T1" fmla="*/ 0 h 20"/>
                          <a:gd name="T2" fmla="*/ 9072 w 9073"/>
                          <a:gd name="T3" fmla="*/ 0 h 20"/>
                        </a:gdLst>
                        <a:ahLst/>
                        <a:cxnLst>
                          <a:cxn ang="0">
                            <a:pos x="T0" y="T1"/>
                          </a:cxn>
                          <a:cxn ang="0">
                            <a:pos x="T2" y="T3"/>
                          </a:cxn>
                        </a:cxnLst>
                        <a:rect l="0" t="0" r="r" b="b"/>
                        <a:pathLst>
                          <a:path w="9073" h="20">
                            <a:moveTo>
                              <a:pt x="0" y="0"/>
                            </a:moveTo>
                            <a:lnTo>
                              <a:pt x="9072" y="0"/>
                            </a:lnTo>
                          </a:path>
                        </a:pathLst>
                      </a:custGeom>
                      <a:noFill/>
                      <a:ln w="9144">
                        <a:solidFill>
                          <a:srgbClr val="000000"/>
                        </a:solidFill>
                        <a:round/>
                      </a:ln>
                    </wps:spPr>
                    <wps:bodyPr rot="0" vert="horz" wrap="square" lIns="91440" tIns="45720" rIns="91440" bIns="45720" anchor="t" anchorCtr="0" upright="1">
                      <a:noAutofit/>
                    </wps:bodyPr>
                  </wps:wsp>
                </a:graphicData>
              </a:graphic>
            </wp:anchor>
          </w:drawing>
        </mc:Choice>
        <mc:Fallback>
          <w:pict>
            <v:shape id="Freeform 9" o:spid="_x0000_s1026" o:spt="100" style="position:absolute;left:0pt;margin-left:85pt;margin-top:55.5pt;height:1pt;width:453.65pt;mso-position-horizontal-relative:page;mso-position-vertical-relative:page;z-index:-251651072;mso-width-relative:page;mso-height-relative:page;" filled="f" stroked="t" coordsize="9073,20" o:allowincell="f" o:gfxdata="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SU0zcNgAAAAMAQAADwAAAAAAAAABACAAAAAiAAAAZHJzL2Rvd25yZXYueG1s&#10;UEsBAhQAFAAAAAgAh07iQOoR0eKjAgAAyQUAAA4AAAAAAAAAAQAgAAAAJwEAAGRycy9lMm9Eb2Mu&#10;eG1sUEsFBgAAAAAGAAYAWQEAADwGAAAAAA==&#10;" path="m0,0l9072,0e">
              <v:path o:connectlocs="0,0;5760720,0" o:connectangles="0,0"/>
              <v:fill on="f" focussize="0,0"/>
              <v:stroke weight="0.72pt" color="#000000" joinstyle="round"/>
              <v:imagedata o:title=""/>
              <o:lock v:ext="edit" aspectratio="f"/>
            </v:shape>
          </w:pict>
        </mc:Fallback>
      </mc:AlternateContent>
    </w:r>
    <w:r>
      <mc:AlternateContent>
        <mc:Choice Requires="wps">
          <w:drawing>
            <wp:anchor distT="0" distB="0" distL="114300" distR="114300" simplePos="0" relativeHeight="251666432" behindDoc="1" locked="0" layoutInCell="0" allowOverlap="1">
              <wp:simplePos x="0" y="0"/>
              <wp:positionH relativeFrom="page">
                <wp:posOffset>4542155</wp:posOffset>
              </wp:positionH>
              <wp:positionV relativeFrom="page">
                <wp:posOffset>545465</wp:posOffset>
              </wp:positionV>
              <wp:extent cx="2312035" cy="139700"/>
              <wp:effectExtent l="0" t="0" r="0" b="0"/>
              <wp:wrapNone/>
              <wp:docPr id="328760746"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357.65pt;margin-top:42.95pt;height:11pt;width:182.05pt;mso-position-horizontal-relative:page;mso-position-vertical-relative:page;z-index:-251650048;mso-width-relative:page;mso-height-relative:page;" filled="f" stroked="f" coordsize="21600,21600" o:allowincell="f"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zAj83ZAAAACwEAAA8AAAAAAAAAAQAgAAAAIgAA&#10;AGRycy9kb3ducmV2LnhtbFBLAQIUABQAAAAIAIdO4kBD83zVBwIAAA0EAAAOAAAAAAAAAAEAIAAA&#10;ACgBAABkcnMvZTJvRG9jLnhtbFBLBQYAAAAABgAGAFkBAAChBQAAAAA=&#10;">
              <v:fill on="f" focussize="0,0"/>
              <v:stroke on="f"/>
              <v:imagedata o:title=""/>
              <o:lock v:ext="edit" aspectratio="f"/>
              <v:textbox inset="0mm,0mm,0mm,0mm">
                <w:txbxContent>
                  <w:p>
                    <w:pPr>
                      <w:pStyle w:val="17"/>
                      <w:kinsoku w:val="0"/>
                      <w:overflowPunct w:val="0"/>
                      <w:spacing w:line="220" w:lineRule="exact"/>
                      <w:ind w:left="20"/>
                      <w:rPr>
                        <w:sz w:val="18"/>
                        <w:szCs w:val="18"/>
                      </w:rPr>
                    </w:pPr>
                    <w:r>
                      <w:rPr>
                        <w:rFonts w:hint="eastAsia"/>
                        <w:sz w:val="18"/>
                        <w:szCs w:val="18"/>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CE970B"/>
    <w:multiLevelType w:val="singleLevel"/>
    <w:tmpl w:val="E3CE970B"/>
    <w:lvl w:ilvl="0" w:tentative="0">
      <w:start w:val="1"/>
      <w:numFmt w:val="decimal"/>
      <w:suff w:val="nothing"/>
      <w:lvlText w:val="（%1）"/>
      <w:lvlJc w:val="left"/>
    </w:lvl>
  </w:abstractNum>
  <w:abstractNum w:abstractNumId="1">
    <w:nsid w:val="ECCF32C3"/>
    <w:multiLevelType w:val="singleLevel"/>
    <w:tmpl w:val="ECCF32C3"/>
    <w:lvl w:ilvl="0" w:tentative="0">
      <w:start w:val="1"/>
      <w:numFmt w:val="decimal"/>
      <w:lvlText w:val="%1."/>
      <w:lvlJc w:val="left"/>
      <w:pPr>
        <w:tabs>
          <w:tab w:val="left" w:pos="312"/>
        </w:tabs>
      </w:pPr>
    </w:lvl>
  </w:abstractNum>
  <w:abstractNum w:abstractNumId="2">
    <w:nsid w:val="0000000A"/>
    <w:multiLevelType w:val="multilevel"/>
    <w:tmpl w:val="0000000A"/>
    <w:lvl w:ilvl="0" w:tentative="0">
      <w:start w:val="1"/>
      <w:numFmt w:val="decimal"/>
      <w:pStyle w:val="119"/>
      <w:lvlText w:val="%1."/>
      <w:lvlJc w:val="left"/>
      <w:pPr>
        <w:ind w:left="420" w:hanging="420"/>
      </w:pPr>
      <w:rPr>
        <w:rFonts w:cs="Times New Roman"/>
      </w:rPr>
    </w:lvl>
    <w:lvl w:ilvl="1" w:tentative="0">
      <w:start w:val="1"/>
      <w:numFmt w:val="decimal"/>
      <w:lvlText w:val="（%2）"/>
      <w:lvlJc w:val="left"/>
      <w:pPr>
        <w:tabs>
          <w:tab w:val="left" w:pos="1140"/>
        </w:tabs>
        <w:ind w:left="1140" w:hanging="720"/>
      </w:pPr>
      <w:rPr>
        <w:rFonts w:hint="eastAsia"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0000000D"/>
    <w:multiLevelType w:val="multilevel"/>
    <w:tmpl w:val="0000000D"/>
    <w:lvl w:ilvl="0" w:tentative="0">
      <w:start w:val="1"/>
      <w:numFmt w:val="lowerLetter"/>
      <w:pStyle w:val="193"/>
      <w:lvlText w:val="%1)"/>
      <w:lvlJc w:val="left"/>
      <w:pPr>
        <w:ind w:left="902" w:hanging="420"/>
      </w:pPr>
      <w:rPr>
        <w:rFonts w:cs="Times New Roman"/>
        <w:color w:val="auto"/>
      </w:rPr>
    </w:lvl>
    <w:lvl w:ilvl="1" w:tentative="0">
      <w:start w:val="1"/>
      <w:numFmt w:val="lowerLetter"/>
      <w:lvlText w:val="%2)"/>
      <w:lvlJc w:val="left"/>
      <w:pPr>
        <w:ind w:left="1322" w:hanging="420"/>
      </w:pPr>
      <w:rPr>
        <w:rFonts w:cs="Times New Roman"/>
      </w:rPr>
    </w:lvl>
    <w:lvl w:ilvl="2" w:tentative="0">
      <w:start w:val="1"/>
      <w:numFmt w:val="lowerRoman"/>
      <w:lvlText w:val="%3."/>
      <w:lvlJc w:val="right"/>
      <w:pPr>
        <w:ind w:left="1742" w:hanging="420"/>
      </w:pPr>
      <w:rPr>
        <w:rFonts w:cs="Times New Roman"/>
      </w:rPr>
    </w:lvl>
    <w:lvl w:ilvl="3" w:tentative="0">
      <w:start w:val="1"/>
      <w:numFmt w:val="decimal"/>
      <w:lvlText w:val="%4."/>
      <w:lvlJc w:val="left"/>
      <w:pPr>
        <w:ind w:left="2162" w:hanging="420"/>
      </w:pPr>
      <w:rPr>
        <w:rFonts w:cs="Times New Roman"/>
      </w:rPr>
    </w:lvl>
    <w:lvl w:ilvl="4" w:tentative="0">
      <w:start w:val="1"/>
      <w:numFmt w:val="lowerLetter"/>
      <w:lvlText w:val="%5)"/>
      <w:lvlJc w:val="left"/>
      <w:pPr>
        <w:ind w:left="2582" w:hanging="420"/>
      </w:pPr>
      <w:rPr>
        <w:rFonts w:cs="Times New Roman"/>
      </w:rPr>
    </w:lvl>
    <w:lvl w:ilvl="5" w:tentative="0">
      <w:start w:val="1"/>
      <w:numFmt w:val="lowerRoman"/>
      <w:lvlText w:val="%6."/>
      <w:lvlJc w:val="right"/>
      <w:pPr>
        <w:ind w:left="3002" w:hanging="420"/>
      </w:pPr>
      <w:rPr>
        <w:rFonts w:cs="Times New Roman"/>
      </w:rPr>
    </w:lvl>
    <w:lvl w:ilvl="6" w:tentative="0">
      <w:start w:val="1"/>
      <w:numFmt w:val="decimal"/>
      <w:lvlText w:val="%7."/>
      <w:lvlJc w:val="left"/>
      <w:pPr>
        <w:ind w:left="3422" w:hanging="420"/>
      </w:pPr>
      <w:rPr>
        <w:rFonts w:cs="Times New Roman"/>
      </w:rPr>
    </w:lvl>
    <w:lvl w:ilvl="7" w:tentative="0">
      <w:start w:val="1"/>
      <w:numFmt w:val="lowerLetter"/>
      <w:lvlText w:val="%8)"/>
      <w:lvlJc w:val="left"/>
      <w:pPr>
        <w:ind w:left="3842" w:hanging="420"/>
      </w:pPr>
      <w:rPr>
        <w:rFonts w:cs="Times New Roman"/>
      </w:rPr>
    </w:lvl>
    <w:lvl w:ilvl="8" w:tentative="0">
      <w:start w:val="1"/>
      <w:numFmt w:val="lowerRoman"/>
      <w:lvlText w:val="%9."/>
      <w:lvlJc w:val="right"/>
      <w:pPr>
        <w:ind w:left="4262" w:hanging="420"/>
      </w:pPr>
      <w:rPr>
        <w:rFonts w:cs="Times New Roman"/>
      </w:rPr>
    </w:lvl>
  </w:abstractNum>
  <w:abstractNum w:abstractNumId="4">
    <w:nsid w:val="00000013"/>
    <w:multiLevelType w:val="singleLevel"/>
    <w:tmpl w:val="00000013"/>
    <w:lvl w:ilvl="0" w:tentative="0">
      <w:start w:val="1"/>
      <w:numFmt w:val="decimal"/>
      <w:pStyle w:val="164"/>
      <w:lvlText w:val="%1."/>
      <w:lvlJc w:val="left"/>
      <w:pPr>
        <w:tabs>
          <w:tab w:val="left" w:pos="360"/>
        </w:tabs>
        <w:ind w:left="360" w:hanging="360"/>
      </w:pPr>
      <w:rPr>
        <w:rFonts w:hint="default" w:cs="Times New Roman"/>
      </w:rPr>
    </w:lvl>
  </w:abstractNum>
  <w:abstractNum w:abstractNumId="5">
    <w:nsid w:val="00000026"/>
    <w:multiLevelType w:val="multilevel"/>
    <w:tmpl w:val="00000026"/>
    <w:lvl w:ilvl="0" w:tentative="0">
      <w:start w:val="1"/>
      <w:numFmt w:val="decimal"/>
      <w:pStyle w:val="113"/>
      <w:isLgl/>
      <w:suff w:val="nothing"/>
      <w:lvlText w:val="%1　"/>
      <w:lvlJc w:val="left"/>
      <w:pPr>
        <w:ind w:left="-25"/>
      </w:pPr>
      <w:rPr>
        <w:rFonts w:hint="default" w:ascii="Times New Roman" w:hAnsi="Times New Roman" w:eastAsia="宋体" w:cs="Times New Roman"/>
        <w:b/>
        <w:i w:val="0"/>
        <w:color w:val="auto"/>
        <w:sz w:val="28"/>
        <w:u w:val="none"/>
      </w:rPr>
    </w:lvl>
    <w:lvl w:ilvl="1" w:tentative="0">
      <w:start w:val="1"/>
      <w:numFmt w:val="decimal"/>
      <w:pStyle w:val="112"/>
      <w:isLgl/>
      <w:suff w:val="nothing"/>
      <w:lvlText w:val="%1.%2　"/>
      <w:lvlJc w:val="left"/>
      <w:pPr>
        <w:ind w:left="-25"/>
      </w:pPr>
      <w:rPr>
        <w:rFonts w:hint="default" w:ascii="Times New Roman" w:hAnsi="Times New Roman" w:eastAsia="宋体" w:cs="Times New Roman"/>
        <w:b/>
        <w:i w:val="0"/>
        <w:snapToGrid/>
        <w:color w:val="auto"/>
        <w:spacing w:val="0"/>
        <w:w w:val="100"/>
        <w:kern w:val="21"/>
        <w:sz w:val="28"/>
        <w:u w:val="none"/>
      </w:rPr>
    </w:lvl>
    <w:lvl w:ilvl="2" w:tentative="0">
      <w:start w:val="1"/>
      <w:numFmt w:val="decimal"/>
      <w:isLgl/>
      <w:suff w:val="nothing"/>
      <w:lvlText w:val="%1.%2.%3　"/>
      <w:lvlJc w:val="left"/>
      <w:pPr>
        <w:ind w:left="-25"/>
      </w:pPr>
      <w:rPr>
        <w:rFonts w:hint="default" w:ascii="Times New Roman" w:hAnsi="Times New Roman" w:eastAsia="黑体" w:cs="Times New Roman"/>
        <w:b/>
        <w:i w:val="0"/>
        <w:sz w:val="28"/>
      </w:rPr>
    </w:lvl>
    <w:lvl w:ilvl="3" w:tentative="0">
      <w:start w:val="1"/>
      <w:numFmt w:val="decimal"/>
      <w:pStyle w:val="149"/>
      <w:isLgl/>
      <w:suff w:val="nothing"/>
      <w:lvlText w:val="%1.%2.%3.%4　"/>
      <w:lvlJc w:val="left"/>
      <w:pPr>
        <w:ind w:left="-25"/>
      </w:pPr>
      <w:rPr>
        <w:rFonts w:hint="default" w:ascii="Times New Roman" w:hAnsi="Times New Roman" w:eastAsia="宋体" w:cs="Times New Roman"/>
        <w:b/>
        <w:i w:val="0"/>
        <w:color w:val="auto"/>
        <w:sz w:val="28"/>
        <w:u w:val="none"/>
      </w:rPr>
    </w:lvl>
    <w:lvl w:ilvl="4" w:tentative="0">
      <w:start w:val="1"/>
      <w:numFmt w:val="decimal"/>
      <w:pStyle w:val="148"/>
      <w:isLgl/>
      <w:suff w:val="nothing"/>
      <w:lvlText w:val="%1.%2.%3.%4.%5　"/>
      <w:lvlJc w:val="left"/>
      <w:pPr>
        <w:ind w:left="-25"/>
      </w:pPr>
      <w:rPr>
        <w:rFonts w:hint="default" w:ascii="Times New Roman" w:hAnsi="Times New Roman" w:eastAsia="宋体" w:cs="Times New Roman"/>
        <w:b/>
        <w:i w:val="0"/>
        <w:color w:val="auto"/>
        <w:sz w:val="28"/>
        <w:u w:val="none"/>
      </w:rPr>
    </w:lvl>
    <w:lvl w:ilvl="5" w:tentative="0">
      <w:start w:val="1"/>
      <w:numFmt w:val="decimal"/>
      <w:pStyle w:val="157"/>
      <w:isLgl/>
      <w:suff w:val="nothing"/>
      <w:lvlText w:val="%1.%2.%3.%4.%5.%6　"/>
      <w:lvlJc w:val="left"/>
      <w:pPr>
        <w:ind w:left="-25"/>
      </w:pPr>
      <w:rPr>
        <w:rFonts w:hint="default" w:ascii="Times New Roman" w:hAnsi="Times New Roman" w:eastAsia="宋体" w:cs="Times New Roman"/>
        <w:b/>
        <w:i w:val="0"/>
        <w:sz w:val="28"/>
      </w:rPr>
    </w:lvl>
    <w:lvl w:ilvl="6" w:tentative="0">
      <w:start w:val="1"/>
      <w:numFmt w:val="lowerLetter"/>
      <w:pStyle w:val="170"/>
      <w:lvlText w:val="%7) "/>
      <w:lvlJc w:val="left"/>
      <w:pPr>
        <w:tabs>
          <w:tab w:val="left" w:pos="635"/>
        </w:tabs>
        <w:ind w:left="-125" w:firstLine="400"/>
      </w:pPr>
      <w:rPr>
        <w:rFonts w:hint="default" w:ascii="Times New Roman" w:hAnsi="Times New Roman" w:eastAsia="宋体" w:cs="Times New Roman"/>
        <w:b/>
        <w:i w:val="0"/>
        <w:color w:val="auto"/>
        <w:sz w:val="28"/>
        <w:u w:val="none"/>
      </w:rPr>
    </w:lvl>
    <w:lvl w:ilvl="7" w:tentative="0">
      <w:start w:val="1"/>
      <w:numFmt w:val="decimal"/>
      <w:pStyle w:val="133"/>
      <w:lvlText w:val="%8) "/>
      <w:lvlJc w:val="left"/>
      <w:pPr>
        <w:tabs>
          <w:tab w:val="left" w:pos="860"/>
        </w:tabs>
        <w:ind w:left="500"/>
      </w:pPr>
      <w:rPr>
        <w:rFonts w:hint="default" w:ascii="Times New Roman" w:hAnsi="Times New Roman" w:eastAsia="宋体" w:cs="Times New Roman"/>
        <w:b/>
        <w:i w:val="0"/>
        <w:color w:val="auto"/>
        <w:sz w:val="28"/>
        <w:u w:val="none"/>
      </w:rPr>
    </w:lvl>
    <w:lvl w:ilvl="8" w:tentative="0">
      <w:start w:val="1"/>
      <w:numFmt w:val="none"/>
      <w:lvlText w:val="%9"/>
      <w:lvlJc w:val="left"/>
      <w:pPr>
        <w:tabs>
          <w:tab w:val="left" w:pos="860"/>
        </w:tabs>
        <w:ind w:left="500"/>
      </w:pPr>
      <w:rPr>
        <w:rFonts w:hint="eastAsia" w:ascii="宋体" w:eastAsia="宋体" w:cs="Times New Roman"/>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cs="Times New Roman"/>
      </w:rPr>
    </w:lvl>
    <w:lvl w:ilvl="1" w:tentative="0">
      <w:start w:val="1"/>
      <w:numFmt w:val="decimal"/>
      <w:pStyle w:val="151"/>
      <w:lvlText w:val="%2、"/>
      <w:lvlJc w:val="left"/>
      <w:pPr>
        <w:tabs>
          <w:tab w:val="left" w:pos="1188"/>
        </w:tabs>
        <w:ind w:left="1188" w:hanging="360"/>
      </w:pPr>
      <w:rPr>
        <w:rFonts w:hint="eastAsia" w:cs="Times New Roman"/>
      </w:rPr>
    </w:lvl>
    <w:lvl w:ilvl="2" w:tentative="0">
      <w:start w:val="1"/>
      <w:numFmt w:val="decimal"/>
      <w:lvlText w:val="（%3）"/>
      <w:lvlJc w:val="left"/>
      <w:pPr>
        <w:tabs>
          <w:tab w:val="left" w:pos="1968"/>
        </w:tabs>
        <w:ind w:left="1968" w:hanging="720"/>
      </w:pPr>
      <w:rPr>
        <w:rFonts w:hint="eastAsia" w:cs="Times New Roman"/>
        <w:u w:val="none"/>
      </w:rPr>
    </w:lvl>
    <w:lvl w:ilvl="3" w:tentative="0">
      <w:start w:val="1"/>
      <w:numFmt w:val="decimal"/>
      <w:lvlText w:val="%4."/>
      <w:lvlJc w:val="left"/>
      <w:pPr>
        <w:tabs>
          <w:tab w:val="left" w:pos="2088"/>
        </w:tabs>
        <w:ind w:left="2088" w:hanging="420"/>
      </w:pPr>
      <w:rPr>
        <w:rFonts w:cs="Times New Roman"/>
      </w:rPr>
    </w:lvl>
    <w:lvl w:ilvl="4" w:tentative="0">
      <w:start w:val="1"/>
      <w:numFmt w:val="lowerLetter"/>
      <w:lvlText w:val="%5)"/>
      <w:lvlJc w:val="left"/>
      <w:pPr>
        <w:tabs>
          <w:tab w:val="left" w:pos="2508"/>
        </w:tabs>
        <w:ind w:left="2508" w:hanging="420"/>
      </w:pPr>
      <w:rPr>
        <w:rFonts w:cs="Times New Roman"/>
      </w:rPr>
    </w:lvl>
    <w:lvl w:ilvl="5" w:tentative="0">
      <w:start w:val="1"/>
      <w:numFmt w:val="lowerRoman"/>
      <w:lvlText w:val="%6."/>
      <w:lvlJc w:val="right"/>
      <w:pPr>
        <w:tabs>
          <w:tab w:val="left" w:pos="2928"/>
        </w:tabs>
        <w:ind w:left="2928" w:hanging="420"/>
      </w:pPr>
      <w:rPr>
        <w:rFonts w:cs="Times New Roman"/>
      </w:rPr>
    </w:lvl>
    <w:lvl w:ilvl="6" w:tentative="0">
      <w:start w:val="1"/>
      <w:numFmt w:val="decimal"/>
      <w:lvlText w:val="%7."/>
      <w:lvlJc w:val="left"/>
      <w:pPr>
        <w:tabs>
          <w:tab w:val="left" w:pos="3348"/>
        </w:tabs>
        <w:ind w:left="3348" w:hanging="420"/>
      </w:pPr>
      <w:rPr>
        <w:rFonts w:cs="Times New Roman"/>
      </w:rPr>
    </w:lvl>
    <w:lvl w:ilvl="7" w:tentative="0">
      <w:start w:val="1"/>
      <w:numFmt w:val="lowerLetter"/>
      <w:lvlText w:val="%8)"/>
      <w:lvlJc w:val="left"/>
      <w:pPr>
        <w:tabs>
          <w:tab w:val="left" w:pos="3768"/>
        </w:tabs>
        <w:ind w:left="3768" w:hanging="420"/>
      </w:pPr>
      <w:rPr>
        <w:rFonts w:cs="Times New Roman"/>
      </w:rPr>
    </w:lvl>
    <w:lvl w:ilvl="8" w:tentative="0">
      <w:start w:val="1"/>
      <w:numFmt w:val="lowerRoman"/>
      <w:lvlText w:val="%9."/>
      <w:lvlJc w:val="right"/>
      <w:pPr>
        <w:tabs>
          <w:tab w:val="left" w:pos="4188"/>
        </w:tabs>
        <w:ind w:left="4188" w:hanging="420"/>
      </w:pPr>
      <w:rPr>
        <w:rFonts w:cs="Times New Roman"/>
      </w:rPr>
    </w:lvl>
  </w:abstractNum>
  <w:abstractNum w:abstractNumId="7">
    <w:nsid w:val="0000002F"/>
    <w:multiLevelType w:val="multilevel"/>
    <w:tmpl w:val="0000002F"/>
    <w:lvl w:ilvl="0" w:tentative="0">
      <w:start w:val="1"/>
      <w:numFmt w:val="decimal"/>
      <w:pStyle w:val="118"/>
      <w:lvlText w:val="%1)"/>
      <w:lvlJc w:val="left"/>
      <w:pPr>
        <w:ind w:left="420" w:hanging="4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8">
    <w:nsid w:val="00000403"/>
    <w:multiLevelType w:val="multilevel"/>
    <w:tmpl w:val="00000403"/>
    <w:lvl w:ilvl="0" w:tentative="0">
      <w:start w:val="1"/>
      <w:numFmt w:val="decimal"/>
      <w:lvlText w:val="%1."/>
      <w:lvlJc w:val="left"/>
      <w:pPr>
        <w:ind w:left="1221" w:hanging="229"/>
      </w:pPr>
      <w:rPr>
        <w:rFonts w:ascii="Arial" w:hAnsi="Arial" w:cs="Arial"/>
        <w:b w:val="0"/>
        <w:bCs w:val="0"/>
        <w:spacing w:val="-2"/>
        <w:w w:val="114"/>
        <w:sz w:val="22"/>
        <w:szCs w:val="22"/>
      </w:rPr>
    </w:lvl>
    <w:lvl w:ilvl="1" w:tentative="0">
      <w:start w:val="1"/>
      <w:numFmt w:val="decimal"/>
      <w:lvlText w:val="%1.%2"/>
      <w:lvlJc w:val="left"/>
      <w:pPr>
        <w:ind w:left="1520" w:hanging="500"/>
      </w:pPr>
      <w:rPr>
        <w:rFonts w:hint="default" w:ascii="Times New Roman" w:hAnsi="Times New Roman" w:cs="Times New Roman"/>
        <w:b w:val="0"/>
        <w:bCs w:val="0"/>
        <w:spacing w:val="-2"/>
        <w:w w:val="114"/>
        <w:sz w:val="24"/>
        <w:szCs w:val="24"/>
      </w:rPr>
    </w:lvl>
    <w:lvl w:ilvl="2" w:tentative="0">
      <w:start w:val="0"/>
      <w:numFmt w:val="bullet"/>
      <w:lvlText w:val="•"/>
      <w:lvlJc w:val="left"/>
      <w:pPr>
        <w:ind w:left="1520" w:hanging="500"/>
      </w:pPr>
    </w:lvl>
    <w:lvl w:ilvl="3" w:tentative="0">
      <w:start w:val="0"/>
      <w:numFmt w:val="bullet"/>
      <w:lvlText w:val="•"/>
      <w:lvlJc w:val="left"/>
      <w:pPr>
        <w:ind w:left="2603" w:hanging="500"/>
      </w:pPr>
    </w:lvl>
    <w:lvl w:ilvl="4" w:tentative="0">
      <w:start w:val="0"/>
      <w:numFmt w:val="bullet"/>
      <w:lvlText w:val="•"/>
      <w:lvlJc w:val="left"/>
      <w:pPr>
        <w:ind w:left="3686" w:hanging="500"/>
      </w:pPr>
    </w:lvl>
    <w:lvl w:ilvl="5" w:tentative="0">
      <w:start w:val="0"/>
      <w:numFmt w:val="bullet"/>
      <w:lvlText w:val="•"/>
      <w:lvlJc w:val="left"/>
      <w:pPr>
        <w:ind w:left="4770" w:hanging="500"/>
      </w:pPr>
    </w:lvl>
    <w:lvl w:ilvl="6" w:tentative="0">
      <w:start w:val="0"/>
      <w:numFmt w:val="bullet"/>
      <w:lvlText w:val="•"/>
      <w:lvlJc w:val="left"/>
      <w:pPr>
        <w:ind w:left="5853" w:hanging="500"/>
      </w:pPr>
    </w:lvl>
    <w:lvl w:ilvl="7" w:tentative="0">
      <w:start w:val="0"/>
      <w:numFmt w:val="bullet"/>
      <w:lvlText w:val="•"/>
      <w:lvlJc w:val="left"/>
      <w:pPr>
        <w:ind w:left="6936" w:hanging="500"/>
      </w:pPr>
    </w:lvl>
    <w:lvl w:ilvl="8" w:tentative="0">
      <w:start w:val="0"/>
      <w:numFmt w:val="bullet"/>
      <w:lvlText w:val="•"/>
      <w:lvlJc w:val="left"/>
      <w:pPr>
        <w:ind w:left="8020" w:hanging="500"/>
      </w:pPr>
    </w:lvl>
  </w:abstractNum>
  <w:abstractNum w:abstractNumId="9">
    <w:nsid w:val="00000407"/>
    <w:multiLevelType w:val="multilevel"/>
    <w:tmpl w:val="00000407"/>
    <w:lvl w:ilvl="0" w:tentative="0">
      <w:start w:val="1"/>
      <w:numFmt w:val="decimal"/>
      <w:lvlText w:val="%1"/>
      <w:lvlJc w:val="left"/>
      <w:pPr>
        <w:ind w:left="896" w:hanging="356"/>
      </w:pPr>
      <w:rPr>
        <w:rFonts w:hint="default" w:ascii="Times New Roman" w:hAnsi="Times New Roman" w:cs="Times New Roman"/>
        <w:b w:val="0"/>
        <w:bCs w:val="0"/>
        <w:w w:val="114"/>
        <w:sz w:val="24"/>
        <w:szCs w:val="24"/>
      </w:rPr>
    </w:lvl>
    <w:lvl w:ilvl="1" w:tentative="0">
      <w:start w:val="1"/>
      <w:numFmt w:val="decimal"/>
      <w:lvlText w:val="%1.%2"/>
      <w:lvlJc w:val="left"/>
      <w:pPr>
        <w:ind w:left="1621" w:hanging="720"/>
      </w:pPr>
      <w:rPr>
        <w:rFonts w:hint="default" w:ascii="Times New Roman" w:hAnsi="Times New Roman" w:cs="Times New Roman"/>
        <w:b w:val="0"/>
        <w:bCs w:val="0"/>
        <w:spacing w:val="-2"/>
        <w:w w:val="114"/>
        <w:sz w:val="24"/>
        <w:szCs w:val="24"/>
      </w:rPr>
    </w:lvl>
    <w:lvl w:ilvl="2" w:tentative="0">
      <w:start w:val="1"/>
      <w:numFmt w:val="decimal"/>
      <w:lvlText w:val="%1.%2.%3"/>
      <w:lvlJc w:val="left"/>
      <w:pPr>
        <w:ind w:left="2521" w:hanging="900"/>
      </w:pPr>
      <w:rPr>
        <w:rFonts w:hint="default" w:ascii="Times New Roman" w:hAnsi="Times New Roman" w:cs="Times New Roman"/>
        <w:b w:val="0"/>
        <w:bCs w:val="0"/>
        <w:spacing w:val="-2"/>
        <w:w w:val="114"/>
        <w:sz w:val="24"/>
        <w:szCs w:val="24"/>
      </w:rPr>
    </w:lvl>
    <w:lvl w:ilvl="3" w:tentative="0">
      <w:start w:val="1"/>
      <w:numFmt w:val="decimal"/>
      <w:lvlText w:val="%1.%2.%3.%4"/>
      <w:lvlJc w:val="left"/>
      <w:pPr>
        <w:ind w:left="3426" w:hanging="900"/>
      </w:pPr>
      <w:rPr>
        <w:rFonts w:hint="default" w:ascii="Times New Roman" w:hAnsi="Times New Roman" w:cs="Times New Roman"/>
        <w:b w:val="0"/>
        <w:bCs w:val="0"/>
        <w:spacing w:val="-2"/>
        <w:w w:val="114"/>
        <w:sz w:val="24"/>
        <w:szCs w:val="24"/>
      </w:rPr>
    </w:lvl>
    <w:lvl w:ilvl="4" w:tentative="0">
      <w:start w:val="1"/>
      <w:numFmt w:val="decimal"/>
      <w:lvlText w:val="（%5）"/>
      <w:lvlJc w:val="left"/>
      <w:pPr>
        <w:ind w:left="3375" w:hanging="641"/>
      </w:pPr>
      <w:rPr>
        <w:rFonts w:ascii="宋体" w:eastAsia="宋体" w:cs="宋体"/>
        <w:b w:val="0"/>
        <w:bCs w:val="0"/>
        <w:spacing w:val="2"/>
        <w:w w:val="100"/>
        <w:sz w:val="22"/>
        <w:szCs w:val="22"/>
      </w:rPr>
    </w:lvl>
    <w:lvl w:ilvl="5" w:tentative="0">
      <w:start w:val="0"/>
      <w:numFmt w:val="bullet"/>
      <w:lvlText w:val="•"/>
      <w:lvlJc w:val="left"/>
      <w:pPr>
        <w:ind w:left="3380" w:hanging="641"/>
      </w:pPr>
    </w:lvl>
    <w:lvl w:ilvl="6" w:tentative="0">
      <w:start w:val="0"/>
      <w:numFmt w:val="bullet"/>
      <w:lvlText w:val="•"/>
      <w:lvlJc w:val="left"/>
      <w:pPr>
        <w:ind w:left="3420" w:hanging="641"/>
      </w:pPr>
    </w:lvl>
    <w:lvl w:ilvl="7" w:tentative="0">
      <w:start w:val="0"/>
      <w:numFmt w:val="bullet"/>
      <w:lvlText w:val="•"/>
      <w:lvlJc w:val="left"/>
      <w:pPr>
        <w:ind w:left="5111" w:hanging="641"/>
      </w:pPr>
    </w:lvl>
    <w:lvl w:ilvl="8" w:tentative="0">
      <w:start w:val="0"/>
      <w:numFmt w:val="bullet"/>
      <w:lvlText w:val="•"/>
      <w:lvlJc w:val="left"/>
      <w:pPr>
        <w:ind w:left="6803" w:hanging="641"/>
      </w:pPr>
    </w:lvl>
  </w:abstractNum>
  <w:abstractNum w:abstractNumId="10">
    <w:nsid w:val="00000408"/>
    <w:multiLevelType w:val="multilevel"/>
    <w:tmpl w:val="00000408"/>
    <w:lvl w:ilvl="0" w:tentative="0">
      <w:start w:val="1"/>
      <w:numFmt w:val="decimal"/>
      <w:lvlText w:val="%1"/>
      <w:lvlJc w:val="left"/>
      <w:pPr>
        <w:ind w:left="901" w:hanging="360"/>
      </w:pPr>
      <w:rPr>
        <w:rFonts w:hint="default" w:ascii="Times New Roman" w:hAnsi="Times New Roman" w:cs="Times New Roman"/>
        <w:b w:val="0"/>
        <w:bCs w:val="0"/>
        <w:w w:val="114"/>
        <w:sz w:val="24"/>
        <w:szCs w:val="24"/>
      </w:rPr>
    </w:lvl>
    <w:lvl w:ilvl="1" w:tentative="0">
      <w:start w:val="1"/>
      <w:numFmt w:val="decimal"/>
      <w:lvlText w:val="%1.%2"/>
      <w:lvlJc w:val="left"/>
      <w:pPr>
        <w:ind w:left="1616" w:hanging="720"/>
      </w:pPr>
      <w:rPr>
        <w:rFonts w:hint="default" w:ascii="Times New Roman" w:hAnsi="Times New Roman" w:eastAsia="Yu Gothic UI Semibold" w:cs="Times New Roman"/>
        <w:b w:val="0"/>
        <w:bCs w:val="0"/>
        <w:spacing w:val="-2"/>
        <w:w w:val="114"/>
        <w:sz w:val="24"/>
        <w:szCs w:val="24"/>
      </w:rPr>
    </w:lvl>
    <w:lvl w:ilvl="2" w:tentative="0">
      <w:start w:val="1"/>
      <w:numFmt w:val="decimal"/>
      <w:lvlText w:val="%1.%2.%3"/>
      <w:lvlJc w:val="left"/>
      <w:pPr>
        <w:ind w:left="2521" w:hanging="900"/>
      </w:pPr>
      <w:rPr>
        <w:rFonts w:hint="default" w:ascii="Times New Roman" w:hAnsi="Times New Roman" w:cs="Times New Roman"/>
        <w:b w:val="0"/>
        <w:bCs w:val="0"/>
        <w:spacing w:val="-2"/>
        <w:w w:val="114"/>
        <w:sz w:val="24"/>
        <w:szCs w:val="24"/>
      </w:rPr>
    </w:lvl>
    <w:lvl w:ilvl="3" w:tentative="0">
      <w:start w:val="0"/>
      <w:numFmt w:val="bullet"/>
      <w:lvlText w:val="•"/>
      <w:lvlJc w:val="left"/>
      <w:pPr>
        <w:ind w:left="3478" w:hanging="900"/>
      </w:pPr>
    </w:lvl>
    <w:lvl w:ilvl="4" w:tentative="0">
      <w:start w:val="0"/>
      <w:numFmt w:val="bullet"/>
      <w:lvlText w:val="•"/>
      <w:lvlJc w:val="left"/>
      <w:pPr>
        <w:ind w:left="4436" w:hanging="900"/>
      </w:pPr>
    </w:lvl>
    <w:lvl w:ilvl="5" w:tentative="0">
      <w:start w:val="0"/>
      <w:numFmt w:val="bullet"/>
      <w:lvlText w:val="•"/>
      <w:lvlJc w:val="left"/>
      <w:pPr>
        <w:ind w:left="5395" w:hanging="900"/>
      </w:pPr>
    </w:lvl>
    <w:lvl w:ilvl="6" w:tentative="0">
      <w:start w:val="0"/>
      <w:numFmt w:val="bullet"/>
      <w:lvlText w:val="•"/>
      <w:lvlJc w:val="left"/>
      <w:pPr>
        <w:ind w:left="6353" w:hanging="900"/>
      </w:pPr>
    </w:lvl>
    <w:lvl w:ilvl="7" w:tentative="0">
      <w:start w:val="0"/>
      <w:numFmt w:val="bullet"/>
      <w:lvlText w:val="•"/>
      <w:lvlJc w:val="left"/>
      <w:pPr>
        <w:ind w:left="7311" w:hanging="900"/>
      </w:pPr>
    </w:lvl>
    <w:lvl w:ilvl="8" w:tentative="0">
      <w:start w:val="0"/>
      <w:numFmt w:val="bullet"/>
      <w:lvlText w:val="•"/>
      <w:lvlJc w:val="left"/>
      <w:pPr>
        <w:ind w:left="8270" w:hanging="900"/>
      </w:pPr>
    </w:lvl>
  </w:abstractNum>
  <w:abstractNum w:abstractNumId="11">
    <w:nsid w:val="0000040E"/>
    <w:multiLevelType w:val="multilevel"/>
    <w:tmpl w:val="0000040E"/>
    <w:lvl w:ilvl="0" w:tentative="0">
      <w:start w:val="1"/>
      <w:numFmt w:val="decimal"/>
      <w:lvlText w:val="%1"/>
      <w:lvlJc w:val="left"/>
      <w:pPr>
        <w:ind w:left="812" w:hanging="272"/>
      </w:pPr>
      <w:rPr>
        <w:rFonts w:ascii="Arial" w:hAnsi="Arial" w:cs="Arial"/>
        <w:b w:val="0"/>
        <w:bCs w:val="0"/>
        <w:w w:val="114"/>
        <w:sz w:val="24"/>
        <w:szCs w:val="24"/>
      </w:rPr>
    </w:lvl>
    <w:lvl w:ilvl="1" w:tentative="0">
      <w:start w:val="1"/>
      <w:numFmt w:val="decimal"/>
      <w:lvlText w:val="%1-%2"/>
      <w:lvlJc w:val="left"/>
      <w:pPr>
        <w:ind w:left="1052" w:hanging="512"/>
      </w:pPr>
      <w:rPr>
        <w:rFonts w:ascii="Arial" w:hAnsi="Arial" w:cs="Arial"/>
        <w:b w:val="0"/>
        <w:bCs w:val="0"/>
        <w:spacing w:val="-2"/>
        <w:w w:val="112"/>
        <w:sz w:val="24"/>
        <w:szCs w:val="24"/>
      </w:rPr>
    </w:lvl>
    <w:lvl w:ilvl="2" w:tentative="0">
      <w:start w:val="0"/>
      <w:numFmt w:val="bullet"/>
      <w:lvlText w:val="•"/>
      <w:lvlJc w:val="left"/>
      <w:pPr>
        <w:ind w:left="2074" w:hanging="512"/>
      </w:pPr>
    </w:lvl>
    <w:lvl w:ilvl="3" w:tentative="0">
      <w:start w:val="0"/>
      <w:numFmt w:val="bullet"/>
      <w:lvlText w:val="•"/>
      <w:lvlJc w:val="left"/>
      <w:pPr>
        <w:ind w:left="3088" w:hanging="512"/>
      </w:pPr>
    </w:lvl>
    <w:lvl w:ilvl="4" w:tentative="0">
      <w:start w:val="0"/>
      <w:numFmt w:val="bullet"/>
      <w:lvlText w:val="•"/>
      <w:lvlJc w:val="left"/>
      <w:pPr>
        <w:ind w:left="4102" w:hanging="512"/>
      </w:pPr>
    </w:lvl>
    <w:lvl w:ilvl="5" w:tentative="0">
      <w:start w:val="0"/>
      <w:numFmt w:val="bullet"/>
      <w:lvlText w:val="•"/>
      <w:lvlJc w:val="left"/>
      <w:pPr>
        <w:ind w:left="5116" w:hanging="512"/>
      </w:pPr>
    </w:lvl>
    <w:lvl w:ilvl="6" w:tentative="0">
      <w:start w:val="0"/>
      <w:numFmt w:val="bullet"/>
      <w:lvlText w:val="•"/>
      <w:lvlJc w:val="left"/>
      <w:pPr>
        <w:ind w:left="6130" w:hanging="512"/>
      </w:pPr>
    </w:lvl>
    <w:lvl w:ilvl="7" w:tentative="0">
      <w:start w:val="0"/>
      <w:numFmt w:val="bullet"/>
      <w:lvlText w:val="•"/>
      <w:lvlJc w:val="left"/>
      <w:pPr>
        <w:ind w:left="7144" w:hanging="512"/>
      </w:pPr>
    </w:lvl>
    <w:lvl w:ilvl="8" w:tentative="0">
      <w:start w:val="0"/>
      <w:numFmt w:val="bullet"/>
      <w:lvlText w:val="•"/>
      <w:lvlJc w:val="left"/>
      <w:pPr>
        <w:ind w:left="8158" w:hanging="512"/>
      </w:pPr>
    </w:lvl>
  </w:abstractNum>
  <w:abstractNum w:abstractNumId="12">
    <w:nsid w:val="00000410"/>
    <w:multiLevelType w:val="multilevel"/>
    <w:tmpl w:val="00000410"/>
    <w:lvl w:ilvl="0" w:tentative="0">
      <w:start w:val="1"/>
      <w:numFmt w:val="decimal"/>
      <w:lvlText w:val="（%1）"/>
      <w:lvlJc w:val="left"/>
      <w:pPr>
        <w:ind w:left="541" w:hanging="635"/>
      </w:pPr>
      <w:rPr>
        <w:rFonts w:ascii="宋体" w:eastAsia="宋体" w:cs="宋体"/>
        <w:b w:val="0"/>
        <w:bCs w:val="0"/>
        <w:spacing w:val="-1"/>
        <w:w w:val="100"/>
        <w:sz w:val="22"/>
        <w:szCs w:val="22"/>
      </w:rPr>
    </w:lvl>
    <w:lvl w:ilvl="1" w:tentative="0">
      <w:start w:val="0"/>
      <w:numFmt w:val="bullet"/>
      <w:lvlText w:val="•"/>
      <w:lvlJc w:val="left"/>
      <w:pPr>
        <w:ind w:left="1504" w:hanging="635"/>
      </w:pPr>
    </w:lvl>
    <w:lvl w:ilvl="2" w:tentative="0">
      <w:start w:val="0"/>
      <w:numFmt w:val="bullet"/>
      <w:lvlText w:val="•"/>
      <w:lvlJc w:val="left"/>
      <w:pPr>
        <w:ind w:left="2469" w:hanging="635"/>
      </w:pPr>
    </w:lvl>
    <w:lvl w:ilvl="3" w:tentative="0">
      <w:start w:val="0"/>
      <w:numFmt w:val="bullet"/>
      <w:lvlText w:val="•"/>
      <w:lvlJc w:val="left"/>
      <w:pPr>
        <w:ind w:left="3434" w:hanging="635"/>
      </w:pPr>
    </w:lvl>
    <w:lvl w:ilvl="4" w:tentative="0">
      <w:start w:val="0"/>
      <w:numFmt w:val="bullet"/>
      <w:lvlText w:val="•"/>
      <w:lvlJc w:val="left"/>
      <w:pPr>
        <w:ind w:left="4398" w:hanging="635"/>
      </w:pPr>
    </w:lvl>
    <w:lvl w:ilvl="5" w:tentative="0">
      <w:start w:val="0"/>
      <w:numFmt w:val="bullet"/>
      <w:lvlText w:val="•"/>
      <w:lvlJc w:val="left"/>
      <w:pPr>
        <w:ind w:left="5363" w:hanging="635"/>
      </w:pPr>
    </w:lvl>
    <w:lvl w:ilvl="6" w:tentative="0">
      <w:start w:val="0"/>
      <w:numFmt w:val="bullet"/>
      <w:lvlText w:val="•"/>
      <w:lvlJc w:val="left"/>
      <w:pPr>
        <w:ind w:left="6328" w:hanging="635"/>
      </w:pPr>
    </w:lvl>
    <w:lvl w:ilvl="7" w:tentative="0">
      <w:start w:val="0"/>
      <w:numFmt w:val="bullet"/>
      <w:lvlText w:val="•"/>
      <w:lvlJc w:val="left"/>
      <w:pPr>
        <w:ind w:left="7292" w:hanging="635"/>
      </w:pPr>
    </w:lvl>
    <w:lvl w:ilvl="8" w:tentative="0">
      <w:start w:val="0"/>
      <w:numFmt w:val="bullet"/>
      <w:lvlText w:val="•"/>
      <w:lvlJc w:val="left"/>
      <w:pPr>
        <w:ind w:left="8257" w:hanging="635"/>
      </w:pPr>
    </w:lvl>
  </w:abstractNum>
  <w:abstractNum w:abstractNumId="13">
    <w:nsid w:val="00000411"/>
    <w:multiLevelType w:val="multilevel"/>
    <w:tmpl w:val="00000411"/>
    <w:lvl w:ilvl="0" w:tentative="0">
      <w:start w:val="2"/>
      <w:numFmt w:val="decimal"/>
      <w:lvlText w:val="%1）"/>
      <w:lvlJc w:val="left"/>
      <w:pPr>
        <w:ind w:left="541" w:hanging="393"/>
      </w:pPr>
      <w:rPr>
        <w:rFonts w:ascii="Arial" w:hAnsi="Arial" w:cs="Arial"/>
        <w:b w:val="0"/>
        <w:bCs w:val="0"/>
        <w:spacing w:val="-2"/>
        <w:w w:val="100"/>
        <w:sz w:val="22"/>
        <w:szCs w:val="22"/>
      </w:rPr>
    </w:lvl>
    <w:lvl w:ilvl="1" w:tentative="0">
      <w:start w:val="0"/>
      <w:numFmt w:val="bullet"/>
      <w:lvlText w:val="•"/>
      <w:lvlJc w:val="left"/>
      <w:pPr>
        <w:ind w:left="1504" w:hanging="393"/>
      </w:pPr>
    </w:lvl>
    <w:lvl w:ilvl="2" w:tentative="0">
      <w:start w:val="0"/>
      <w:numFmt w:val="bullet"/>
      <w:lvlText w:val="•"/>
      <w:lvlJc w:val="left"/>
      <w:pPr>
        <w:ind w:left="2469" w:hanging="393"/>
      </w:pPr>
    </w:lvl>
    <w:lvl w:ilvl="3" w:tentative="0">
      <w:start w:val="0"/>
      <w:numFmt w:val="bullet"/>
      <w:lvlText w:val="•"/>
      <w:lvlJc w:val="left"/>
      <w:pPr>
        <w:ind w:left="3434" w:hanging="393"/>
      </w:pPr>
    </w:lvl>
    <w:lvl w:ilvl="4" w:tentative="0">
      <w:start w:val="0"/>
      <w:numFmt w:val="bullet"/>
      <w:lvlText w:val="•"/>
      <w:lvlJc w:val="left"/>
      <w:pPr>
        <w:ind w:left="4398" w:hanging="393"/>
      </w:pPr>
    </w:lvl>
    <w:lvl w:ilvl="5" w:tentative="0">
      <w:start w:val="0"/>
      <w:numFmt w:val="bullet"/>
      <w:lvlText w:val="•"/>
      <w:lvlJc w:val="left"/>
      <w:pPr>
        <w:ind w:left="5363" w:hanging="393"/>
      </w:pPr>
    </w:lvl>
    <w:lvl w:ilvl="6" w:tentative="0">
      <w:start w:val="0"/>
      <w:numFmt w:val="bullet"/>
      <w:lvlText w:val="•"/>
      <w:lvlJc w:val="left"/>
      <w:pPr>
        <w:ind w:left="6328" w:hanging="393"/>
      </w:pPr>
    </w:lvl>
    <w:lvl w:ilvl="7" w:tentative="0">
      <w:start w:val="0"/>
      <w:numFmt w:val="bullet"/>
      <w:lvlText w:val="•"/>
      <w:lvlJc w:val="left"/>
      <w:pPr>
        <w:ind w:left="7292" w:hanging="393"/>
      </w:pPr>
    </w:lvl>
    <w:lvl w:ilvl="8" w:tentative="0">
      <w:start w:val="0"/>
      <w:numFmt w:val="bullet"/>
      <w:lvlText w:val="•"/>
      <w:lvlJc w:val="left"/>
      <w:pPr>
        <w:ind w:left="8257" w:hanging="393"/>
      </w:pPr>
    </w:lvl>
  </w:abstractNum>
  <w:abstractNum w:abstractNumId="14">
    <w:nsid w:val="00000412"/>
    <w:multiLevelType w:val="multilevel"/>
    <w:tmpl w:val="00000412"/>
    <w:lvl w:ilvl="0" w:tentative="0">
      <w:start w:val="1"/>
      <w:numFmt w:val="decimal"/>
      <w:lvlText w:val="%1."/>
      <w:lvlJc w:val="left"/>
      <w:pPr>
        <w:ind w:left="541" w:hanging="240"/>
      </w:pPr>
      <w:rPr>
        <w:rFonts w:ascii="Arial" w:hAnsi="Arial" w:cs="Arial"/>
        <w:b w:val="0"/>
        <w:bCs w:val="0"/>
        <w:spacing w:val="4"/>
        <w:w w:val="114"/>
        <w:sz w:val="22"/>
        <w:szCs w:val="22"/>
      </w:rPr>
    </w:lvl>
    <w:lvl w:ilvl="1" w:tentative="0">
      <w:start w:val="0"/>
      <w:numFmt w:val="bullet"/>
      <w:lvlText w:val="•"/>
      <w:lvlJc w:val="left"/>
      <w:pPr>
        <w:ind w:left="1504" w:hanging="240"/>
      </w:pPr>
    </w:lvl>
    <w:lvl w:ilvl="2" w:tentative="0">
      <w:start w:val="0"/>
      <w:numFmt w:val="bullet"/>
      <w:lvlText w:val="•"/>
      <w:lvlJc w:val="left"/>
      <w:pPr>
        <w:ind w:left="2469" w:hanging="240"/>
      </w:pPr>
    </w:lvl>
    <w:lvl w:ilvl="3" w:tentative="0">
      <w:start w:val="0"/>
      <w:numFmt w:val="bullet"/>
      <w:lvlText w:val="•"/>
      <w:lvlJc w:val="left"/>
      <w:pPr>
        <w:ind w:left="3434" w:hanging="240"/>
      </w:pPr>
    </w:lvl>
    <w:lvl w:ilvl="4" w:tentative="0">
      <w:start w:val="0"/>
      <w:numFmt w:val="bullet"/>
      <w:lvlText w:val="•"/>
      <w:lvlJc w:val="left"/>
      <w:pPr>
        <w:ind w:left="4398" w:hanging="240"/>
      </w:pPr>
    </w:lvl>
    <w:lvl w:ilvl="5" w:tentative="0">
      <w:start w:val="0"/>
      <w:numFmt w:val="bullet"/>
      <w:lvlText w:val="•"/>
      <w:lvlJc w:val="left"/>
      <w:pPr>
        <w:ind w:left="5363" w:hanging="240"/>
      </w:pPr>
    </w:lvl>
    <w:lvl w:ilvl="6" w:tentative="0">
      <w:start w:val="0"/>
      <w:numFmt w:val="bullet"/>
      <w:lvlText w:val="•"/>
      <w:lvlJc w:val="left"/>
      <w:pPr>
        <w:ind w:left="6328" w:hanging="240"/>
      </w:pPr>
    </w:lvl>
    <w:lvl w:ilvl="7" w:tentative="0">
      <w:start w:val="0"/>
      <w:numFmt w:val="bullet"/>
      <w:lvlText w:val="•"/>
      <w:lvlJc w:val="left"/>
      <w:pPr>
        <w:ind w:left="7292" w:hanging="240"/>
      </w:pPr>
    </w:lvl>
    <w:lvl w:ilvl="8" w:tentative="0">
      <w:start w:val="0"/>
      <w:numFmt w:val="bullet"/>
      <w:lvlText w:val="•"/>
      <w:lvlJc w:val="left"/>
      <w:pPr>
        <w:ind w:left="8257" w:hanging="240"/>
      </w:pPr>
    </w:lvl>
  </w:abstractNum>
  <w:abstractNum w:abstractNumId="15">
    <w:nsid w:val="00000418"/>
    <w:multiLevelType w:val="multilevel"/>
    <w:tmpl w:val="00000418"/>
    <w:lvl w:ilvl="0" w:tentative="0">
      <w:start w:val="1"/>
      <w:numFmt w:val="decimal"/>
      <w:lvlText w:val="%1."/>
      <w:lvlJc w:val="left"/>
      <w:pPr>
        <w:ind w:left="1297" w:hanging="348"/>
      </w:pPr>
      <w:rPr>
        <w:rFonts w:hint="default" w:ascii="Times New Roman" w:hAnsi="Times New Roman" w:cs="Times New Roman"/>
        <w:b w:val="0"/>
        <w:bCs w:val="0"/>
        <w:spacing w:val="-2"/>
        <w:w w:val="114"/>
        <w:sz w:val="24"/>
        <w:szCs w:val="24"/>
      </w:rPr>
    </w:lvl>
    <w:lvl w:ilvl="1" w:tentative="0">
      <w:start w:val="0"/>
      <w:numFmt w:val="bullet"/>
      <w:lvlText w:val="•"/>
      <w:lvlJc w:val="left"/>
      <w:pPr>
        <w:ind w:left="2188" w:hanging="348"/>
      </w:pPr>
    </w:lvl>
    <w:lvl w:ilvl="2" w:tentative="0">
      <w:start w:val="0"/>
      <w:numFmt w:val="bullet"/>
      <w:lvlText w:val="•"/>
      <w:lvlJc w:val="left"/>
      <w:pPr>
        <w:ind w:left="3077" w:hanging="348"/>
      </w:pPr>
    </w:lvl>
    <w:lvl w:ilvl="3" w:tentative="0">
      <w:start w:val="0"/>
      <w:numFmt w:val="bullet"/>
      <w:lvlText w:val="•"/>
      <w:lvlJc w:val="left"/>
      <w:pPr>
        <w:ind w:left="3966" w:hanging="348"/>
      </w:pPr>
    </w:lvl>
    <w:lvl w:ilvl="4" w:tentative="0">
      <w:start w:val="0"/>
      <w:numFmt w:val="bullet"/>
      <w:lvlText w:val="•"/>
      <w:lvlJc w:val="left"/>
      <w:pPr>
        <w:ind w:left="4854" w:hanging="348"/>
      </w:pPr>
    </w:lvl>
    <w:lvl w:ilvl="5" w:tentative="0">
      <w:start w:val="0"/>
      <w:numFmt w:val="bullet"/>
      <w:lvlText w:val="•"/>
      <w:lvlJc w:val="left"/>
      <w:pPr>
        <w:ind w:left="5743" w:hanging="348"/>
      </w:pPr>
    </w:lvl>
    <w:lvl w:ilvl="6" w:tentative="0">
      <w:start w:val="0"/>
      <w:numFmt w:val="bullet"/>
      <w:lvlText w:val="•"/>
      <w:lvlJc w:val="left"/>
      <w:pPr>
        <w:ind w:left="6632" w:hanging="348"/>
      </w:pPr>
    </w:lvl>
    <w:lvl w:ilvl="7" w:tentative="0">
      <w:start w:val="0"/>
      <w:numFmt w:val="bullet"/>
      <w:lvlText w:val="•"/>
      <w:lvlJc w:val="left"/>
      <w:pPr>
        <w:ind w:left="7520" w:hanging="348"/>
      </w:pPr>
    </w:lvl>
    <w:lvl w:ilvl="8" w:tentative="0">
      <w:start w:val="0"/>
      <w:numFmt w:val="bullet"/>
      <w:lvlText w:val="•"/>
      <w:lvlJc w:val="left"/>
      <w:pPr>
        <w:ind w:left="8409" w:hanging="348"/>
      </w:pPr>
    </w:lvl>
  </w:abstractNum>
  <w:abstractNum w:abstractNumId="16">
    <w:nsid w:val="00000419"/>
    <w:multiLevelType w:val="multilevel"/>
    <w:tmpl w:val="00000419"/>
    <w:lvl w:ilvl="0" w:tentative="0">
      <w:start w:val="1"/>
      <w:numFmt w:val="decimal"/>
      <w:lvlText w:val="（%1）"/>
      <w:lvlJc w:val="left"/>
      <w:pPr>
        <w:ind w:left="1605" w:hanging="633"/>
      </w:pPr>
      <w:rPr>
        <w:rFonts w:ascii="宋体" w:eastAsia="宋体" w:cs="宋体"/>
        <w:b w:val="0"/>
        <w:bCs w:val="0"/>
        <w:spacing w:val="-2"/>
        <w:w w:val="100"/>
        <w:sz w:val="22"/>
        <w:szCs w:val="22"/>
      </w:rPr>
    </w:lvl>
    <w:lvl w:ilvl="1" w:tentative="0">
      <w:start w:val="0"/>
      <w:numFmt w:val="bullet"/>
      <w:lvlText w:val="•"/>
      <w:lvlJc w:val="left"/>
      <w:pPr>
        <w:ind w:left="2458" w:hanging="633"/>
      </w:pPr>
    </w:lvl>
    <w:lvl w:ilvl="2" w:tentative="0">
      <w:start w:val="0"/>
      <w:numFmt w:val="bullet"/>
      <w:lvlText w:val="•"/>
      <w:lvlJc w:val="left"/>
      <w:pPr>
        <w:ind w:left="3317" w:hanging="633"/>
      </w:pPr>
    </w:lvl>
    <w:lvl w:ilvl="3" w:tentative="0">
      <w:start w:val="0"/>
      <w:numFmt w:val="bullet"/>
      <w:lvlText w:val="•"/>
      <w:lvlJc w:val="left"/>
      <w:pPr>
        <w:ind w:left="4176" w:hanging="633"/>
      </w:pPr>
    </w:lvl>
    <w:lvl w:ilvl="4" w:tentative="0">
      <w:start w:val="0"/>
      <w:numFmt w:val="bullet"/>
      <w:lvlText w:val="•"/>
      <w:lvlJc w:val="left"/>
      <w:pPr>
        <w:ind w:left="5034" w:hanging="633"/>
      </w:pPr>
    </w:lvl>
    <w:lvl w:ilvl="5" w:tentative="0">
      <w:start w:val="0"/>
      <w:numFmt w:val="bullet"/>
      <w:lvlText w:val="•"/>
      <w:lvlJc w:val="left"/>
      <w:pPr>
        <w:ind w:left="5893" w:hanging="633"/>
      </w:pPr>
    </w:lvl>
    <w:lvl w:ilvl="6" w:tentative="0">
      <w:start w:val="0"/>
      <w:numFmt w:val="bullet"/>
      <w:lvlText w:val="•"/>
      <w:lvlJc w:val="left"/>
      <w:pPr>
        <w:ind w:left="6752" w:hanging="633"/>
      </w:pPr>
    </w:lvl>
    <w:lvl w:ilvl="7" w:tentative="0">
      <w:start w:val="0"/>
      <w:numFmt w:val="bullet"/>
      <w:lvlText w:val="•"/>
      <w:lvlJc w:val="left"/>
      <w:pPr>
        <w:ind w:left="7610" w:hanging="633"/>
      </w:pPr>
    </w:lvl>
    <w:lvl w:ilvl="8" w:tentative="0">
      <w:start w:val="0"/>
      <w:numFmt w:val="bullet"/>
      <w:lvlText w:val="•"/>
      <w:lvlJc w:val="left"/>
      <w:pPr>
        <w:ind w:left="8469" w:hanging="633"/>
      </w:pPr>
    </w:lvl>
  </w:abstractNum>
  <w:abstractNum w:abstractNumId="17">
    <w:nsid w:val="0000041A"/>
    <w:multiLevelType w:val="multilevel"/>
    <w:tmpl w:val="0000041A"/>
    <w:lvl w:ilvl="0" w:tentative="0">
      <w:start w:val="1"/>
      <w:numFmt w:val="decimal"/>
      <w:lvlText w:val="%1."/>
      <w:lvlJc w:val="left"/>
      <w:pPr>
        <w:ind w:left="541" w:hanging="229"/>
      </w:pPr>
      <w:rPr>
        <w:rFonts w:ascii="Arial" w:hAnsi="Arial" w:cs="Arial"/>
        <w:b w:val="0"/>
        <w:bCs w:val="0"/>
        <w:spacing w:val="-2"/>
        <w:w w:val="114"/>
        <w:sz w:val="22"/>
        <w:szCs w:val="22"/>
      </w:rPr>
    </w:lvl>
    <w:lvl w:ilvl="1" w:tentative="0">
      <w:start w:val="2"/>
      <w:numFmt w:val="decimal"/>
      <w:lvlText w:val="%2."/>
      <w:lvlJc w:val="left"/>
      <w:pPr>
        <w:ind w:left="1110" w:hanging="229"/>
      </w:pPr>
      <w:rPr>
        <w:rFonts w:ascii="Arial" w:hAnsi="Arial" w:cs="Arial"/>
        <w:b w:val="0"/>
        <w:bCs w:val="0"/>
        <w:spacing w:val="-2"/>
        <w:w w:val="114"/>
        <w:sz w:val="22"/>
        <w:szCs w:val="22"/>
      </w:rPr>
    </w:lvl>
    <w:lvl w:ilvl="2" w:tentative="0">
      <w:start w:val="0"/>
      <w:numFmt w:val="bullet"/>
      <w:lvlText w:val="•"/>
      <w:lvlJc w:val="left"/>
      <w:pPr>
        <w:ind w:left="1260" w:hanging="229"/>
      </w:pPr>
    </w:lvl>
    <w:lvl w:ilvl="3" w:tentative="0">
      <w:start w:val="0"/>
      <w:numFmt w:val="bullet"/>
      <w:lvlText w:val="•"/>
      <w:lvlJc w:val="left"/>
      <w:pPr>
        <w:ind w:left="2338" w:hanging="229"/>
      </w:pPr>
    </w:lvl>
    <w:lvl w:ilvl="4" w:tentative="0">
      <w:start w:val="0"/>
      <w:numFmt w:val="bullet"/>
      <w:lvlText w:val="•"/>
      <w:lvlJc w:val="left"/>
      <w:pPr>
        <w:ind w:left="3416" w:hanging="229"/>
      </w:pPr>
    </w:lvl>
    <w:lvl w:ilvl="5" w:tentative="0">
      <w:start w:val="0"/>
      <w:numFmt w:val="bullet"/>
      <w:lvlText w:val="•"/>
      <w:lvlJc w:val="left"/>
      <w:pPr>
        <w:ind w:left="4495" w:hanging="229"/>
      </w:pPr>
    </w:lvl>
    <w:lvl w:ilvl="6" w:tentative="0">
      <w:start w:val="0"/>
      <w:numFmt w:val="bullet"/>
      <w:lvlText w:val="•"/>
      <w:lvlJc w:val="left"/>
      <w:pPr>
        <w:ind w:left="5573" w:hanging="229"/>
      </w:pPr>
    </w:lvl>
    <w:lvl w:ilvl="7" w:tentative="0">
      <w:start w:val="0"/>
      <w:numFmt w:val="bullet"/>
      <w:lvlText w:val="•"/>
      <w:lvlJc w:val="left"/>
      <w:pPr>
        <w:ind w:left="6651" w:hanging="229"/>
      </w:pPr>
    </w:lvl>
    <w:lvl w:ilvl="8" w:tentative="0">
      <w:start w:val="0"/>
      <w:numFmt w:val="bullet"/>
      <w:lvlText w:val="•"/>
      <w:lvlJc w:val="left"/>
      <w:pPr>
        <w:ind w:left="7730" w:hanging="229"/>
      </w:pPr>
    </w:lvl>
  </w:abstractNum>
  <w:abstractNum w:abstractNumId="18">
    <w:nsid w:val="081C6073"/>
    <w:multiLevelType w:val="singleLevel"/>
    <w:tmpl w:val="081C6073"/>
    <w:lvl w:ilvl="0" w:tentative="0">
      <w:start w:val="4"/>
      <w:numFmt w:val="chineseCounting"/>
      <w:lvlText w:val="第%1章"/>
      <w:lvlJc w:val="left"/>
      <w:rPr>
        <w:rFonts w:hint="eastAsia"/>
      </w:rPr>
    </w:lvl>
  </w:abstractNum>
  <w:abstractNum w:abstractNumId="19">
    <w:nsid w:val="0E230849"/>
    <w:multiLevelType w:val="multilevel"/>
    <w:tmpl w:val="0E230849"/>
    <w:lvl w:ilvl="0" w:tentative="0">
      <w:start w:val="1"/>
      <w:numFmt w:val="decimal"/>
      <w:pStyle w:val="217"/>
      <w:lvlText w:val="%1"/>
      <w:lvlJc w:val="left"/>
      <w:pPr>
        <w:ind w:left="680" w:hanging="680"/>
      </w:pPr>
      <w:rPr>
        <w:rFonts w:hint="eastAsia" w:ascii="宋体" w:hAnsi="宋体" w:eastAsia="宋体" w:cs="Times New Roman"/>
      </w:rPr>
    </w:lvl>
    <w:lvl w:ilvl="1" w:tentative="0">
      <w:start w:val="1"/>
      <w:numFmt w:val="decimal"/>
      <w:pStyle w:val="218"/>
      <w:lvlText w:val="%1.%2"/>
      <w:lvlJc w:val="left"/>
      <w:pPr>
        <w:ind w:left="851" w:hanging="851"/>
      </w:pPr>
      <w:rPr>
        <w:rFonts w:hint="eastAsia" w:ascii="宋体" w:hAnsi="宋体" w:eastAsia="宋体" w:cs="Times New Roman"/>
        <w:color w:val="auto"/>
      </w:rPr>
    </w:lvl>
    <w:lvl w:ilvl="2" w:tentative="0">
      <w:start w:val="1"/>
      <w:numFmt w:val="decimal"/>
      <w:pStyle w:val="219"/>
      <w:lvlText w:val="%1.%2.%3"/>
      <w:lvlJc w:val="left"/>
      <w:pPr>
        <w:ind w:left="851" w:hanging="851"/>
      </w:pPr>
      <w:rPr>
        <w:rFonts w:hint="eastAsia" w:cs="Times New Roman"/>
      </w:rPr>
    </w:lvl>
    <w:lvl w:ilvl="3" w:tentative="0">
      <w:start w:val="1"/>
      <w:numFmt w:val="decimal"/>
      <w:lvlText w:val="%1.%2.%3.%4"/>
      <w:lvlJc w:val="left"/>
      <w:pPr>
        <w:ind w:left="680" w:hanging="680"/>
      </w:pPr>
      <w:rPr>
        <w:rFonts w:hint="eastAsia" w:cs="Times New Roman"/>
      </w:rPr>
    </w:lvl>
    <w:lvl w:ilvl="4" w:tentative="0">
      <w:start w:val="1"/>
      <w:numFmt w:val="decimal"/>
      <w:lvlText w:val="%1.%2.%3.%4.%5"/>
      <w:lvlJc w:val="left"/>
      <w:pPr>
        <w:ind w:left="680" w:hanging="680"/>
      </w:pPr>
      <w:rPr>
        <w:rFonts w:hint="eastAsia" w:cs="Times New Roman"/>
      </w:rPr>
    </w:lvl>
    <w:lvl w:ilvl="5" w:tentative="0">
      <w:start w:val="1"/>
      <w:numFmt w:val="decimal"/>
      <w:lvlText w:val="%1.%2.%3.%4.%5.%6"/>
      <w:lvlJc w:val="left"/>
      <w:pPr>
        <w:ind w:left="680" w:hanging="680"/>
      </w:pPr>
      <w:rPr>
        <w:rFonts w:hint="eastAsia" w:cs="Times New Roman"/>
      </w:rPr>
    </w:lvl>
    <w:lvl w:ilvl="6" w:tentative="0">
      <w:start w:val="1"/>
      <w:numFmt w:val="decimal"/>
      <w:lvlText w:val="%1.%2.%3.%4.%5.%6.%7"/>
      <w:lvlJc w:val="left"/>
      <w:pPr>
        <w:ind w:left="680" w:hanging="680"/>
      </w:pPr>
      <w:rPr>
        <w:rFonts w:hint="eastAsia" w:cs="Times New Roman"/>
      </w:rPr>
    </w:lvl>
    <w:lvl w:ilvl="7" w:tentative="0">
      <w:start w:val="1"/>
      <w:numFmt w:val="decimal"/>
      <w:lvlText w:val="%1.%2.%3.%4.%5.%6.%7.%8"/>
      <w:lvlJc w:val="left"/>
      <w:pPr>
        <w:ind w:left="680" w:hanging="680"/>
      </w:pPr>
      <w:rPr>
        <w:rFonts w:hint="eastAsia" w:cs="Times New Roman"/>
      </w:rPr>
    </w:lvl>
    <w:lvl w:ilvl="8" w:tentative="0">
      <w:start w:val="1"/>
      <w:numFmt w:val="decimal"/>
      <w:lvlText w:val="%1.%2.%3.%4.%5.%6.%7.%8.%9"/>
      <w:lvlJc w:val="left"/>
      <w:pPr>
        <w:ind w:left="680" w:hanging="680"/>
      </w:pPr>
      <w:rPr>
        <w:rFonts w:hint="eastAsia" w:cs="Times New Roman"/>
      </w:rPr>
    </w:lvl>
  </w:abstractNum>
  <w:abstractNum w:abstractNumId="2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28D67AB"/>
    <w:multiLevelType w:val="multilevel"/>
    <w:tmpl w:val="728D67AB"/>
    <w:lvl w:ilvl="0" w:tentative="0">
      <w:start w:val="2"/>
      <w:numFmt w:val="decimal"/>
      <w:lvlText w:val="%1"/>
      <w:lvlJc w:val="left"/>
      <w:pPr>
        <w:ind w:left="540" w:hanging="540"/>
      </w:pPr>
      <w:rPr>
        <w:rFonts w:hint="default" w:cs="宋体"/>
        <w:color w:val="auto"/>
      </w:rPr>
    </w:lvl>
    <w:lvl w:ilvl="1" w:tentative="0">
      <w:start w:val="1"/>
      <w:numFmt w:val="decimal"/>
      <w:lvlText w:val="%1-%2"/>
      <w:lvlJc w:val="left"/>
      <w:pPr>
        <w:ind w:left="540" w:hanging="540"/>
      </w:pPr>
      <w:rPr>
        <w:rFonts w:hint="default" w:cs="宋体"/>
        <w:color w:val="auto"/>
      </w:rPr>
    </w:lvl>
    <w:lvl w:ilvl="2" w:tentative="0">
      <w:start w:val="2"/>
      <w:numFmt w:val="decimal"/>
      <w:lvlText w:val="%1-%2-%3"/>
      <w:lvlJc w:val="left"/>
      <w:pPr>
        <w:ind w:left="720" w:hanging="720"/>
      </w:pPr>
      <w:rPr>
        <w:rFonts w:hint="default" w:cs="宋体"/>
        <w:color w:val="auto"/>
      </w:rPr>
    </w:lvl>
    <w:lvl w:ilvl="3" w:tentative="0">
      <w:start w:val="1"/>
      <w:numFmt w:val="decimal"/>
      <w:lvlText w:val="%1-%2-%3.%4"/>
      <w:lvlJc w:val="left"/>
      <w:pPr>
        <w:ind w:left="1080" w:hanging="1080"/>
      </w:pPr>
      <w:rPr>
        <w:rFonts w:hint="default" w:cs="宋体"/>
        <w:color w:val="auto"/>
      </w:rPr>
    </w:lvl>
    <w:lvl w:ilvl="4" w:tentative="0">
      <w:start w:val="1"/>
      <w:numFmt w:val="decimal"/>
      <w:lvlText w:val="%1-%2-%3.%4.%5"/>
      <w:lvlJc w:val="left"/>
      <w:pPr>
        <w:ind w:left="1080" w:hanging="1080"/>
      </w:pPr>
      <w:rPr>
        <w:rFonts w:hint="default" w:cs="宋体"/>
        <w:color w:val="auto"/>
      </w:rPr>
    </w:lvl>
    <w:lvl w:ilvl="5" w:tentative="0">
      <w:start w:val="1"/>
      <w:numFmt w:val="decimal"/>
      <w:lvlText w:val="%1-%2-%3.%4.%5.%6"/>
      <w:lvlJc w:val="left"/>
      <w:pPr>
        <w:ind w:left="1440" w:hanging="1440"/>
      </w:pPr>
      <w:rPr>
        <w:rFonts w:hint="default" w:cs="宋体"/>
        <w:color w:val="auto"/>
      </w:rPr>
    </w:lvl>
    <w:lvl w:ilvl="6" w:tentative="0">
      <w:start w:val="1"/>
      <w:numFmt w:val="decimal"/>
      <w:lvlText w:val="%1-%2-%3.%4.%5.%6.%7"/>
      <w:lvlJc w:val="left"/>
      <w:pPr>
        <w:ind w:left="1440" w:hanging="1440"/>
      </w:pPr>
      <w:rPr>
        <w:rFonts w:hint="default" w:cs="宋体"/>
        <w:color w:val="auto"/>
      </w:rPr>
    </w:lvl>
    <w:lvl w:ilvl="7" w:tentative="0">
      <w:start w:val="1"/>
      <w:numFmt w:val="decimal"/>
      <w:lvlText w:val="%1-%2-%3.%4.%5.%6.%7.%8"/>
      <w:lvlJc w:val="left"/>
      <w:pPr>
        <w:ind w:left="1800" w:hanging="1800"/>
      </w:pPr>
      <w:rPr>
        <w:rFonts w:hint="default" w:cs="宋体"/>
        <w:color w:val="auto"/>
      </w:rPr>
    </w:lvl>
    <w:lvl w:ilvl="8" w:tentative="0">
      <w:start w:val="1"/>
      <w:numFmt w:val="decimal"/>
      <w:lvlText w:val="%1-%2-%3.%4.%5.%6.%7.%8.%9"/>
      <w:lvlJc w:val="left"/>
      <w:pPr>
        <w:ind w:left="2160" w:hanging="2160"/>
      </w:pPr>
      <w:rPr>
        <w:rFonts w:hint="default" w:cs="宋体"/>
        <w:color w:val="auto"/>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19"/>
  </w:num>
  <w:num w:numId="8">
    <w:abstractNumId w:val="8"/>
  </w:num>
  <w:num w:numId="9">
    <w:abstractNumId w:val="9"/>
  </w:num>
  <w:num w:numId="10">
    <w:abstractNumId w:val="10"/>
  </w:num>
  <w:num w:numId="11">
    <w:abstractNumId w:val="18"/>
  </w:num>
  <w:num w:numId="12">
    <w:abstractNumId w:val="20"/>
  </w:num>
  <w:num w:numId="13">
    <w:abstractNumId w:val="1"/>
  </w:num>
  <w:num w:numId="14">
    <w:abstractNumId w:val="0"/>
  </w:num>
  <w:num w:numId="15">
    <w:abstractNumId w:val="11"/>
  </w:num>
  <w:num w:numId="16">
    <w:abstractNumId w:val="12"/>
  </w:num>
  <w:num w:numId="17">
    <w:abstractNumId w:val="13"/>
  </w:num>
  <w:num w:numId="18">
    <w:abstractNumId w:val="14"/>
  </w:num>
  <w:num w:numId="19">
    <w:abstractNumId w:val="21"/>
  </w:num>
  <w:num w:numId="20">
    <w:abstractNumId w:val="15"/>
  </w:num>
  <w:num w:numId="21">
    <w:abstractNumId w:val="16"/>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720"/>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doNotCompress"/>
  <w:doNotValidateAgainstSchema/>
  <w:doNotDemarcateInvalidXml/>
  <w:compat>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4Yjc2ODMwYmVkNjM5ZmFmMzEzZWU2MjlkM2Y0NzEifQ=="/>
  </w:docVars>
  <w:rsids>
    <w:rsidRoot w:val="006C7AB8"/>
    <w:rsid w:val="00003D45"/>
    <w:rsid w:val="0000484E"/>
    <w:rsid w:val="00005F06"/>
    <w:rsid w:val="000761B6"/>
    <w:rsid w:val="0008726B"/>
    <w:rsid w:val="00091156"/>
    <w:rsid w:val="000A39B9"/>
    <w:rsid w:val="000A4FEF"/>
    <w:rsid w:val="000C7C2D"/>
    <w:rsid w:val="000D34BE"/>
    <w:rsid w:val="000F1377"/>
    <w:rsid w:val="00166FB7"/>
    <w:rsid w:val="00174A3A"/>
    <w:rsid w:val="001C28CF"/>
    <w:rsid w:val="001E01D4"/>
    <w:rsid w:val="001F5063"/>
    <w:rsid w:val="00202DBC"/>
    <w:rsid w:val="002134C4"/>
    <w:rsid w:val="00252549"/>
    <w:rsid w:val="00252C76"/>
    <w:rsid w:val="00255866"/>
    <w:rsid w:val="002558AF"/>
    <w:rsid w:val="00267C8B"/>
    <w:rsid w:val="00271FDE"/>
    <w:rsid w:val="00276731"/>
    <w:rsid w:val="00284A98"/>
    <w:rsid w:val="00286A3C"/>
    <w:rsid w:val="00295E70"/>
    <w:rsid w:val="00295FE5"/>
    <w:rsid w:val="002E0EA1"/>
    <w:rsid w:val="002E672A"/>
    <w:rsid w:val="002F2A10"/>
    <w:rsid w:val="0030177D"/>
    <w:rsid w:val="00303A95"/>
    <w:rsid w:val="00327832"/>
    <w:rsid w:val="0033535E"/>
    <w:rsid w:val="003429E7"/>
    <w:rsid w:val="00397DF5"/>
    <w:rsid w:val="003B13B0"/>
    <w:rsid w:val="003C0A86"/>
    <w:rsid w:val="003C1D85"/>
    <w:rsid w:val="003F0F95"/>
    <w:rsid w:val="00404D42"/>
    <w:rsid w:val="00432AD9"/>
    <w:rsid w:val="00497AA4"/>
    <w:rsid w:val="004C114E"/>
    <w:rsid w:val="004F2224"/>
    <w:rsid w:val="005134F9"/>
    <w:rsid w:val="00553A7B"/>
    <w:rsid w:val="0057695D"/>
    <w:rsid w:val="00577CD8"/>
    <w:rsid w:val="005D3C1F"/>
    <w:rsid w:val="005D63F0"/>
    <w:rsid w:val="005F481F"/>
    <w:rsid w:val="006006D5"/>
    <w:rsid w:val="0060293D"/>
    <w:rsid w:val="00611761"/>
    <w:rsid w:val="00617604"/>
    <w:rsid w:val="00617F4C"/>
    <w:rsid w:val="006470A6"/>
    <w:rsid w:val="006555EA"/>
    <w:rsid w:val="00681BE8"/>
    <w:rsid w:val="006C7AB8"/>
    <w:rsid w:val="006E5863"/>
    <w:rsid w:val="00701732"/>
    <w:rsid w:val="00770CAB"/>
    <w:rsid w:val="00775D40"/>
    <w:rsid w:val="007A0CF7"/>
    <w:rsid w:val="007D1C5F"/>
    <w:rsid w:val="00800AA2"/>
    <w:rsid w:val="008100AA"/>
    <w:rsid w:val="00866D05"/>
    <w:rsid w:val="008723E0"/>
    <w:rsid w:val="008A06E6"/>
    <w:rsid w:val="008E7A30"/>
    <w:rsid w:val="008F7E1B"/>
    <w:rsid w:val="0091739D"/>
    <w:rsid w:val="00924A61"/>
    <w:rsid w:val="009364DC"/>
    <w:rsid w:val="009374D3"/>
    <w:rsid w:val="00943E3F"/>
    <w:rsid w:val="00961320"/>
    <w:rsid w:val="009A140E"/>
    <w:rsid w:val="009B66BE"/>
    <w:rsid w:val="009D0041"/>
    <w:rsid w:val="00A0473C"/>
    <w:rsid w:val="00A3295D"/>
    <w:rsid w:val="00A36B5B"/>
    <w:rsid w:val="00A7163A"/>
    <w:rsid w:val="00AB1EA4"/>
    <w:rsid w:val="00AD167B"/>
    <w:rsid w:val="00AD222F"/>
    <w:rsid w:val="00AD471F"/>
    <w:rsid w:val="00B06799"/>
    <w:rsid w:val="00B253CC"/>
    <w:rsid w:val="00B35E3A"/>
    <w:rsid w:val="00B42A4C"/>
    <w:rsid w:val="00B81BFF"/>
    <w:rsid w:val="00B9127A"/>
    <w:rsid w:val="00BC0515"/>
    <w:rsid w:val="00BC0B22"/>
    <w:rsid w:val="00BE1277"/>
    <w:rsid w:val="00C419E1"/>
    <w:rsid w:val="00C423FA"/>
    <w:rsid w:val="00C9579B"/>
    <w:rsid w:val="00CA423C"/>
    <w:rsid w:val="00CB3A79"/>
    <w:rsid w:val="00D070E5"/>
    <w:rsid w:val="00D3627A"/>
    <w:rsid w:val="00D628C2"/>
    <w:rsid w:val="00D712B8"/>
    <w:rsid w:val="00D917CC"/>
    <w:rsid w:val="00D951B8"/>
    <w:rsid w:val="00DB3957"/>
    <w:rsid w:val="00DE50E8"/>
    <w:rsid w:val="00E138EB"/>
    <w:rsid w:val="00E1547A"/>
    <w:rsid w:val="00E1770C"/>
    <w:rsid w:val="00E33D4E"/>
    <w:rsid w:val="00E43B8D"/>
    <w:rsid w:val="00E44231"/>
    <w:rsid w:val="00E7503B"/>
    <w:rsid w:val="00EC0014"/>
    <w:rsid w:val="00EE3CB0"/>
    <w:rsid w:val="00F37153"/>
    <w:rsid w:val="00F664E3"/>
    <w:rsid w:val="00F94F6D"/>
    <w:rsid w:val="00FA0ABD"/>
    <w:rsid w:val="00FA22B1"/>
    <w:rsid w:val="00FD2CC7"/>
    <w:rsid w:val="01093391"/>
    <w:rsid w:val="02337D11"/>
    <w:rsid w:val="023F763D"/>
    <w:rsid w:val="027A76EE"/>
    <w:rsid w:val="02F13384"/>
    <w:rsid w:val="0337185B"/>
    <w:rsid w:val="03675EC4"/>
    <w:rsid w:val="0458580D"/>
    <w:rsid w:val="05353DA0"/>
    <w:rsid w:val="05985CF2"/>
    <w:rsid w:val="05BC2BA9"/>
    <w:rsid w:val="05C27863"/>
    <w:rsid w:val="06026684"/>
    <w:rsid w:val="07740AAE"/>
    <w:rsid w:val="07760F05"/>
    <w:rsid w:val="08245EDB"/>
    <w:rsid w:val="08844E22"/>
    <w:rsid w:val="08B65FD7"/>
    <w:rsid w:val="08C94F8F"/>
    <w:rsid w:val="095567BF"/>
    <w:rsid w:val="09A233BC"/>
    <w:rsid w:val="0AF34CBF"/>
    <w:rsid w:val="0B803A66"/>
    <w:rsid w:val="0BE4744A"/>
    <w:rsid w:val="0C191D25"/>
    <w:rsid w:val="0C81168A"/>
    <w:rsid w:val="0D111572"/>
    <w:rsid w:val="0D6C2329"/>
    <w:rsid w:val="0D8C6527"/>
    <w:rsid w:val="0DC970F4"/>
    <w:rsid w:val="0EF97BEC"/>
    <w:rsid w:val="0F6E63D4"/>
    <w:rsid w:val="10A43B1F"/>
    <w:rsid w:val="11423597"/>
    <w:rsid w:val="117404B8"/>
    <w:rsid w:val="11D84431"/>
    <w:rsid w:val="11DD2029"/>
    <w:rsid w:val="122A4C8C"/>
    <w:rsid w:val="12745F08"/>
    <w:rsid w:val="127D1BE6"/>
    <w:rsid w:val="13082AF4"/>
    <w:rsid w:val="13702473"/>
    <w:rsid w:val="13A8699E"/>
    <w:rsid w:val="14427158"/>
    <w:rsid w:val="146C5ADE"/>
    <w:rsid w:val="14C65A67"/>
    <w:rsid w:val="158F3058"/>
    <w:rsid w:val="15D1541F"/>
    <w:rsid w:val="16CD208A"/>
    <w:rsid w:val="172577D0"/>
    <w:rsid w:val="172D2B29"/>
    <w:rsid w:val="17410382"/>
    <w:rsid w:val="179505D8"/>
    <w:rsid w:val="17B73663"/>
    <w:rsid w:val="17B82277"/>
    <w:rsid w:val="1800023D"/>
    <w:rsid w:val="181949BB"/>
    <w:rsid w:val="18BC4349"/>
    <w:rsid w:val="19D11E91"/>
    <w:rsid w:val="19FB6F0E"/>
    <w:rsid w:val="1A0A60E9"/>
    <w:rsid w:val="1AA13D10"/>
    <w:rsid w:val="1AB01AA7"/>
    <w:rsid w:val="1AF5570C"/>
    <w:rsid w:val="1B2E6E70"/>
    <w:rsid w:val="1CAE2016"/>
    <w:rsid w:val="1E917E41"/>
    <w:rsid w:val="1E9A0BE8"/>
    <w:rsid w:val="1ED9498A"/>
    <w:rsid w:val="1F2B5FC9"/>
    <w:rsid w:val="1FC81641"/>
    <w:rsid w:val="215F7D83"/>
    <w:rsid w:val="21C422DC"/>
    <w:rsid w:val="22E42C35"/>
    <w:rsid w:val="22E542B8"/>
    <w:rsid w:val="233F60BE"/>
    <w:rsid w:val="23720241"/>
    <w:rsid w:val="240B5FA0"/>
    <w:rsid w:val="25FE400E"/>
    <w:rsid w:val="25FF2CBA"/>
    <w:rsid w:val="273001EC"/>
    <w:rsid w:val="2795663A"/>
    <w:rsid w:val="282B35D4"/>
    <w:rsid w:val="289F13AD"/>
    <w:rsid w:val="29312B43"/>
    <w:rsid w:val="29DE2CDD"/>
    <w:rsid w:val="2A286F03"/>
    <w:rsid w:val="2A314286"/>
    <w:rsid w:val="2A5C62E9"/>
    <w:rsid w:val="2B097498"/>
    <w:rsid w:val="2B9920E3"/>
    <w:rsid w:val="2BCB43B2"/>
    <w:rsid w:val="2C844B41"/>
    <w:rsid w:val="2D8F11E9"/>
    <w:rsid w:val="2DD92C6B"/>
    <w:rsid w:val="2E7B3D22"/>
    <w:rsid w:val="2EB021A6"/>
    <w:rsid w:val="2EB92AB6"/>
    <w:rsid w:val="2EDF0F65"/>
    <w:rsid w:val="2F0672B1"/>
    <w:rsid w:val="2F340AA1"/>
    <w:rsid w:val="30A734F4"/>
    <w:rsid w:val="316F64A7"/>
    <w:rsid w:val="317C228B"/>
    <w:rsid w:val="31E85B72"/>
    <w:rsid w:val="324C1F57"/>
    <w:rsid w:val="324E3046"/>
    <w:rsid w:val="329F54EE"/>
    <w:rsid w:val="32C4034C"/>
    <w:rsid w:val="33244988"/>
    <w:rsid w:val="33583057"/>
    <w:rsid w:val="33713891"/>
    <w:rsid w:val="33EA5BD2"/>
    <w:rsid w:val="3512281F"/>
    <w:rsid w:val="35584DBD"/>
    <w:rsid w:val="35817CE5"/>
    <w:rsid w:val="36BB3856"/>
    <w:rsid w:val="36BD137C"/>
    <w:rsid w:val="374B0E62"/>
    <w:rsid w:val="37E8067A"/>
    <w:rsid w:val="38482EC7"/>
    <w:rsid w:val="38A8605B"/>
    <w:rsid w:val="38C20ECB"/>
    <w:rsid w:val="396522CF"/>
    <w:rsid w:val="3A8D642C"/>
    <w:rsid w:val="3AB31024"/>
    <w:rsid w:val="3AE8273F"/>
    <w:rsid w:val="3B842468"/>
    <w:rsid w:val="3C7E15AD"/>
    <w:rsid w:val="3CEA6C43"/>
    <w:rsid w:val="3D0870C9"/>
    <w:rsid w:val="3D3562F8"/>
    <w:rsid w:val="3EA51955"/>
    <w:rsid w:val="3F18735D"/>
    <w:rsid w:val="3F3F3816"/>
    <w:rsid w:val="3F953302"/>
    <w:rsid w:val="41947B21"/>
    <w:rsid w:val="41A02224"/>
    <w:rsid w:val="41AA4235"/>
    <w:rsid w:val="41CB027C"/>
    <w:rsid w:val="42187DAE"/>
    <w:rsid w:val="42196F8F"/>
    <w:rsid w:val="422E5267"/>
    <w:rsid w:val="4249440B"/>
    <w:rsid w:val="42843695"/>
    <w:rsid w:val="428A31E3"/>
    <w:rsid w:val="43F62371"/>
    <w:rsid w:val="449E10E6"/>
    <w:rsid w:val="45742080"/>
    <w:rsid w:val="459260C9"/>
    <w:rsid w:val="464A0752"/>
    <w:rsid w:val="466F1A0C"/>
    <w:rsid w:val="467D4684"/>
    <w:rsid w:val="468772B0"/>
    <w:rsid w:val="4787231A"/>
    <w:rsid w:val="47B95B8F"/>
    <w:rsid w:val="47C167F2"/>
    <w:rsid w:val="47DD3E88"/>
    <w:rsid w:val="48233009"/>
    <w:rsid w:val="49B760FE"/>
    <w:rsid w:val="49D3700A"/>
    <w:rsid w:val="4A78588E"/>
    <w:rsid w:val="4A82269D"/>
    <w:rsid w:val="4AC43E16"/>
    <w:rsid w:val="4AD827D0"/>
    <w:rsid w:val="4B0863C3"/>
    <w:rsid w:val="4BA44460"/>
    <w:rsid w:val="4CE143B5"/>
    <w:rsid w:val="4CEC0D45"/>
    <w:rsid w:val="4DD03C33"/>
    <w:rsid w:val="4DF10D6C"/>
    <w:rsid w:val="4E4F3F5C"/>
    <w:rsid w:val="4F385DD5"/>
    <w:rsid w:val="50201DEF"/>
    <w:rsid w:val="50680152"/>
    <w:rsid w:val="50E41142"/>
    <w:rsid w:val="515062C0"/>
    <w:rsid w:val="515F1555"/>
    <w:rsid w:val="51751D99"/>
    <w:rsid w:val="52EE6661"/>
    <w:rsid w:val="537C7EB9"/>
    <w:rsid w:val="5389561A"/>
    <w:rsid w:val="54C85664"/>
    <w:rsid w:val="55CC3F3B"/>
    <w:rsid w:val="57C71C02"/>
    <w:rsid w:val="58160210"/>
    <w:rsid w:val="58303561"/>
    <w:rsid w:val="5842711A"/>
    <w:rsid w:val="5858679C"/>
    <w:rsid w:val="59E24AD2"/>
    <w:rsid w:val="5A2A6479"/>
    <w:rsid w:val="5A3D43FE"/>
    <w:rsid w:val="5A56101C"/>
    <w:rsid w:val="5AD92379"/>
    <w:rsid w:val="5AFF7905"/>
    <w:rsid w:val="5B3F7D02"/>
    <w:rsid w:val="5B461BE6"/>
    <w:rsid w:val="5B5A2315"/>
    <w:rsid w:val="5CBF4B0B"/>
    <w:rsid w:val="5D966A55"/>
    <w:rsid w:val="5E441B2F"/>
    <w:rsid w:val="5EE4309A"/>
    <w:rsid w:val="5F4D1122"/>
    <w:rsid w:val="5FB82E15"/>
    <w:rsid w:val="5FD21144"/>
    <w:rsid w:val="5FE33B7B"/>
    <w:rsid w:val="60A919DB"/>
    <w:rsid w:val="60B151FE"/>
    <w:rsid w:val="60C53368"/>
    <w:rsid w:val="614D13CA"/>
    <w:rsid w:val="620A6FDF"/>
    <w:rsid w:val="63181564"/>
    <w:rsid w:val="649F5297"/>
    <w:rsid w:val="64D66B77"/>
    <w:rsid w:val="658E5B0E"/>
    <w:rsid w:val="661B25F2"/>
    <w:rsid w:val="66DB1226"/>
    <w:rsid w:val="675863D3"/>
    <w:rsid w:val="67FF6671"/>
    <w:rsid w:val="68734FC9"/>
    <w:rsid w:val="688E5B5B"/>
    <w:rsid w:val="68DC3034"/>
    <w:rsid w:val="695157D0"/>
    <w:rsid w:val="698D5FA9"/>
    <w:rsid w:val="699D6C67"/>
    <w:rsid w:val="69C45FA2"/>
    <w:rsid w:val="69FD7706"/>
    <w:rsid w:val="6CDA3D2E"/>
    <w:rsid w:val="6D4C4C2C"/>
    <w:rsid w:val="6D910891"/>
    <w:rsid w:val="6DA16F45"/>
    <w:rsid w:val="6DBB76BC"/>
    <w:rsid w:val="6E1312A6"/>
    <w:rsid w:val="6E661D1D"/>
    <w:rsid w:val="70233051"/>
    <w:rsid w:val="70385AFA"/>
    <w:rsid w:val="71133BAF"/>
    <w:rsid w:val="71C56D5B"/>
    <w:rsid w:val="720A0C12"/>
    <w:rsid w:val="73A744CA"/>
    <w:rsid w:val="73BE506A"/>
    <w:rsid w:val="74940C67"/>
    <w:rsid w:val="75D91027"/>
    <w:rsid w:val="771F2A69"/>
    <w:rsid w:val="78FB5758"/>
    <w:rsid w:val="792C3B64"/>
    <w:rsid w:val="794964C4"/>
    <w:rsid w:val="79FA156C"/>
    <w:rsid w:val="7A3302EE"/>
    <w:rsid w:val="7AB3392A"/>
    <w:rsid w:val="7ACD16AF"/>
    <w:rsid w:val="7B8C0E3D"/>
    <w:rsid w:val="7C9C4B5C"/>
    <w:rsid w:val="7CD267D0"/>
    <w:rsid w:val="7D40373A"/>
    <w:rsid w:val="7D641F45"/>
    <w:rsid w:val="7D7E0CF7"/>
    <w:rsid w:val="7E024C7D"/>
    <w:rsid w:val="7E040C0B"/>
    <w:rsid w:val="7E2B32BC"/>
    <w:rsid w:val="7EF02F3D"/>
    <w:rsid w:val="7F9E0BE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14:defaultImageDpi w14:val="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uiPriority="99" w:name="HTML Keyboard"/>
    <w:lsdException w:qFormat="1" w:unhideWhenUsed="0" w:uiPriority="99" w:semiHidden="0" w:name="HTML Preformatted"/>
    <w:lsdException w:uiPriority="99" w:name="HTML Sample"/>
    <w:lsdException w:uiPriority="99" w:name="HTML Typewriter"/>
    <w:lsdException w:qFormat="1" w:unhideWhenUsed="0"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adjustRightInd w:val="0"/>
    </w:pPr>
    <w:rPr>
      <w:rFonts w:ascii="宋体" w:hAnsi="Times New Roman" w:eastAsia="宋体" w:cs="宋体"/>
      <w:sz w:val="22"/>
      <w:szCs w:val="22"/>
      <w:lang w:val="en-US" w:eastAsia="zh-CN" w:bidi="ar-SA"/>
    </w:rPr>
  </w:style>
  <w:style w:type="paragraph" w:styleId="3">
    <w:name w:val="heading 1"/>
    <w:basedOn w:val="1"/>
    <w:next w:val="1"/>
    <w:link w:val="59"/>
    <w:qFormat/>
    <w:uiPriority w:val="9"/>
    <w:pPr>
      <w:spacing w:before="73"/>
      <w:jc w:val="center"/>
      <w:outlineLvl w:val="0"/>
    </w:pPr>
    <w:rPr>
      <w:sz w:val="36"/>
      <w:szCs w:val="36"/>
    </w:rPr>
  </w:style>
  <w:style w:type="paragraph" w:styleId="2">
    <w:name w:val="heading 2"/>
    <w:basedOn w:val="1"/>
    <w:next w:val="1"/>
    <w:link w:val="60"/>
    <w:qFormat/>
    <w:uiPriority w:val="9"/>
    <w:pPr>
      <w:ind w:left="541"/>
      <w:outlineLvl w:val="1"/>
    </w:pPr>
    <w:rPr>
      <w:sz w:val="32"/>
      <w:szCs w:val="32"/>
    </w:rPr>
  </w:style>
  <w:style w:type="paragraph" w:styleId="4">
    <w:name w:val="heading 3"/>
    <w:basedOn w:val="1"/>
    <w:next w:val="1"/>
    <w:link w:val="61"/>
    <w:qFormat/>
    <w:uiPriority w:val="9"/>
    <w:pPr>
      <w:spacing w:before="62"/>
      <w:ind w:right="28"/>
      <w:jc w:val="center"/>
      <w:outlineLvl w:val="2"/>
    </w:pPr>
    <w:rPr>
      <w:sz w:val="28"/>
      <w:szCs w:val="28"/>
    </w:rPr>
  </w:style>
  <w:style w:type="paragraph" w:styleId="5">
    <w:name w:val="heading 4"/>
    <w:basedOn w:val="1"/>
    <w:next w:val="1"/>
    <w:link w:val="62"/>
    <w:qFormat/>
    <w:uiPriority w:val="9"/>
    <w:pPr>
      <w:spacing w:before="56"/>
      <w:ind w:left="208"/>
      <w:outlineLvl w:val="3"/>
    </w:pPr>
    <w:rPr>
      <w:i/>
      <w:iCs/>
      <w:sz w:val="25"/>
      <w:szCs w:val="25"/>
    </w:rPr>
  </w:style>
  <w:style w:type="paragraph" w:styleId="6">
    <w:name w:val="heading 5"/>
    <w:basedOn w:val="1"/>
    <w:next w:val="1"/>
    <w:link w:val="63"/>
    <w:qFormat/>
    <w:uiPriority w:val="9"/>
    <w:pPr>
      <w:keepNext/>
      <w:keepLines/>
      <w:autoSpaceDE/>
      <w:autoSpaceDN/>
      <w:spacing w:before="280" w:after="290" w:line="376" w:lineRule="atLeast"/>
      <w:jc w:val="both"/>
      <w:textAlignment w:val="baseline"/>
      <w:outlineLvl w:val="4"/>
    </w:pPr>
    <w:rPr>
      <w:rFonts w:ascii="Times New Roman" w:cs="Times New Roman"/>
      <w:b/>
      <w:sz w:val="28"/>
      <w:szCs w:val="20"/>
    </w:rPr>
  </w:style>
  <w:style w:type="paragraph" w:styleId="7">
    <w:name w:val="heading 6"/>
    <w:basedOn w:val="1"/>
    <w:next w:val="1"/>
    <w:link w:val="64"/>
    <w:qFormat/>
    <w:uiPriority w:val="9"/>
    <w:pPr>
      <w:keepNext/>
      <w:keepLines/>
      <w:autoSpaceDE/>
      <w:autoSpaceDN/>
      <w:spacing w:before="240" w:after="64" w:line="320" w:lineRule="atLeast"/>
      <w:jc w:val="both"/>
      <w:textAlignment w:val="baseline"/>
      <w:outlineLvl w:val="5"/>
    </w:pPr>
    <w:rPr>
      <w:rFonts w:ascii="Arial" w:hAnsi="Arial" w:eastAsia="黑体" w:cs="Times New Roman"/>
      <w:b/>
      <w:sz w:val="24"/>
      <w:szCs w:val="20"/>
    </w:rPr>
  </w:style>
  <w:style w:type="paragraph" w:styleId="8">
    <w:name w:val="heading 7"/>
    <w:basedOn w:val="1"/>
    <w:next w:val="1"/>
    <w:link w:val="65"/>
    <w:qFormat/>
    <w:uiPriority w:val="9"/>
    <w:pPr>
      <w:keepNext/>
      <w:keepLines/>
      <w:autoSpaceDE/>
      <w:autoSpaceDN/>
      <w:spacing w:before="240" w:after="64" w:line="320" w:lineRule="atLeast"/>
      <w:jc w:val="both"/>
      <w:textAlignment w:val="baseline"/>
      <w:outlineLvl w:val="6"/>
    </w:pPr>
    <w:rPr>
      <w:rFonts w:ascii="Times New Roman" w:cs="Times New Roman"/>
      <w:b/>
      <w:sz w:val="24"/>
      <w:szCs w:val="20"/>
    </w:rPr>
  </w:style>
  <w:style w:type="paragraph" w:styleId="9">
    <w:name w:val="heading 8"/>
    <w:basedOn w:val="1"/>
    <w:next w:val="1"/>
    <w:link w:val="66"/>
    <w:qFormat/>
    <w:uiPriority w:val="9"/>
    <w:pPr>
      <w:keepNext/>
      <w:keepLines/>
      <w:autoSpaceDE/>
      <w:autoSpaceDN/>
      <w:spacing w:before="240" w:after="64" w:line="320" w:lineRule="atLeast"/>
      <w:jc w:val="both"/>
      <w:textAlignment w:val="baseline"/>
      <w:outlineLvl w:val="7"/>
    </w:pPr>
    <w:rPr>
      <w:rFonts w:ascii="Arial" w:hAnsi="Arial" w:eastAsia="黑体" w:cs="Times New Roman"/>
      <w:sz w:val="24"/>
      <w:szCs w:val="20"/>
    </w:rPr>
  </w:style>
  <w:style w:type="paragraph" w:styleId="10">
    <w:name w:val="heading 9"/>
    <w:basedOn w:val="1"/>
    <w:next w:val="1"/>
    <w:link w:val="67"/>
    <w:qFormat/>
    <w:uiPriority w:val="9"/>
    <w:pPr>
      <w:keepNext/>
      <w:keepLines/>
      <w:autoSpaceDE/>
      <w:autoSpaceDN/>
      <w:spacing w:before="240" w:after="64" w:line="320" w:lineRule="atLeast"/>
      <w:jc w:val="both"/>
      <w:textAlignment w:val="baseline"/>
      <w:outlineLvl w:val="8"/>
    </w:pPr>
    <w:rPr>
      <w:rFonts w:ascii="Arial" w:hAnsi="Arial" w:eastAsia="黑体" w:cs="Times New Roman"/>
      <w:sz w:val="21"/>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autoSpaceDE/>
      <w:autoSpaceDN/>
      <w:adjustRightInd/>
      <w:ind w:left="2520" w:leftChars="1200"/>
      <w:jc w:val="both"/>
    </w:pPr>
    <w:rPr>
      <w:rFonts w:ascii="Times New Roman" w:cs="Times New Roman"/>
      <w:kern w:val="2"/>
      <w:sz w:val="21"/>
      <w:szCs w:val="24"/>
    </w:rPr>
  </w:style>
  <w:style w:type="paragraph" w:styleId="12">
    <w:name w:val="Normal Indent"/>
    <w:basedOn w:val="1"/>
    <w:link w:val="96"/>
    <w:qFormat/>
    <w:uiPriority w:val="99"/>
    <w:pPr>
      <w:ind w:firstLine="420"/>
    </w:pPr>
    <w:rPr>
      <w:rFonts w:cs="Times New Roman"/>
      <w:kern w:val="2"/>
      <w:sz w:val="24"/>
      <w:szCs w:val="24"/>
    </w:rPr>
  </w:style>
  <w:style w:type="paragraph" w:styleId="13">
    <w:name w:val="caption"/>
    <w:basedOn w:val="1"/>
    <w:next w:val="1"/>
    <w:qFormat/>
    <w:uiPriority w:val="35"/>
    <w:pPr>
      <w:autoSpaceDE/>
      <w:autoSpaceDN/>
      <w:adjustRightInd/>
      <w:spacing w:line="480" w:lineRule="auto"/>
      <w:jc w:val="both"/>
    </w:pPr>
    <w:rPr>
      <w:rFonts w:ascii="华文中宋" w:hAnsi="华文中宋" w:eastAsia="华文中宋" w:cs="Times New Roman"/>
      <w:kern w:val="2"/>
      <w:sz w:val="36"/>
      <w:szCs w:val="20"/>
    </w:rPr>
  </w:style>
  <w:style w:type="paragraph" w:styleId="14">
    <w:name w:val="Document Map"/>
    <w:basedOn w:val="1"/>
    <w:link w:val="77"/>
    <w:qFormat/>
    <w:uiPriority w:val="99"/>
    <w:pPr>
      <w:shd w:val="clear" w:color="auto" w:fill="000080"/>
      <w:autoSpaceDE/>
      <w:autoSpaceDN/>
      <w:adjustRightInd/>
      <w:jc w:val="both"/>
    </w:pPr>
    <w:rPr>
      <w:rFonts w:ascii="Times New Roman" w:cs="Times New Roman"/>
      <w:kern w:val="2"/>
      <w:sz w:val="21"/>
      <w:szCs w:val="24"/>
    </w:rPr>
  </w:style>
  <w:style w:type="paragraph" w:styleId="15">
    <w:name w:val="annotation text"/>
    <w:basedOn w:val="1"/>
    <w:link w:val="78"/>
    <w:qFormat/>
    <w:uiPriority w:val="99"/>
    <w:pPr>
      <w:autoSpaceDE/>
      <w:autoSpaceDN/>
      <w:adjustRightInd/>
    </w:pPr>
    <w:rPr>
      <w:rFonts w:ascii="Times New Roman" w:cs="Times New Roman"/>
      <w:kern w:val="2"/>
      <w:sz w:val="21"/>
      <w:szCs w:val="24"/>
    </w:rPr>
  </w:style>
  <w:style w:type="paragraph" w:styleId="16">
    <w:name w:val="Body Text 3"/>
    <w:basedOn w:val="1"/>
    <w:link w:val="73"/>
    <w:qFormat/>
    <w:uiPriority w:val="99"/>
    <w:pPr>
      <w:autoSpaceDE/>
      <w:autoSpaceDN/>
      <w:adjustRightInd/>
      <w:spacing w:after="120"/>
      <w:jc w:val="both"/>
    </w:pPr>
    <w:rPr>
      <w:rFonts w:ascii="Times New Roman" w:cs="Times New Roman"/>
      <w:kern w:val="2"/>
      <w:sz w:val="16"/>
      <w:szCs w:val="16"/>
    </w:rPr>
  </w:style>
  <w:style w:type="paragraph" w:styleId="17">
    <w:name w:val="Body Text"/>
    <w:basedOn w:val="1"/>
    <w:link w:val="68"/>
    <w:qFormat/>
    <w:uiPriority w:val="99"/>
    <w:rPr>
      <w:sz w:val="24"/>
      <w:szCs w:val="24"/>
    </w:rPr>
  </w:style>
  <w:style w:type="paragraph" w:styleId="18">
    <w:name w:val="Body Text Indent"/>
    <w:basedOn w:val="1"/>
    <w:next w:val="19"/>
    <w:link w:val="80"/>
    <w:qFormat/>
    <w:uiPriority w:val="99"/>
    <w:pPr>
      <w:autoSpaceDE/>
      <w:autoSpaceDN/>
      <w:adjustRightInd/>
      <w:spacing w:line="360" w:lineRule="auto"/>
      <w:ind w:firstLine="570"/>
      <w:jc w:val="both"/>
    </w:pPr>
    <w:rPr>
      <w:rFonts w:ascii="Times New Roman" w:cs="Times New Roman"/>
      <w:kern w:val="2"/>
      <w:sz w:val="24"/>
      <w:szCs w:val="24"/>
    </w:rPr>
  </w:style>
  <w:style w:type="paragraph" w:styleId="19">
    <w:name w:val="envelope return"/>
    <w:basedOn w:val="1"/>
    <w:qFormat/>
    <w:uiPriority w:val="99"/>
    <w:pPr>
      <w:autoSpaceDE/>
      <w:autoSpaceDN/>
      <w:adjustRightInd/>
      <w:snapToGrid w:val="0"/>
      <w:jc w:val="both"/>
    </w:pPr>
    <w:rPr>
      <w:rFonts w:ascii="Arial" w:hAnsi="Arial" w:cs="Times New Roman"/>
      <w:kern w:val="2"/>
      <w:sz w:val="21"/>
      <w:szCs w:val="24"/>
    </w:rPr>
  </w:style>
  <w:style w:type="paragraph" w:styleId="20">
    <w:name w:val="List 2"/>
    <w:basedOn w:val="1"/>
    <w:qFormat/>
    <w:uiPriority w:val="99"/>
    <w:pPr>
      <w:autoSpaceDE/>
      <w:autoSpaceDN/>
      <w:adjustRightInd/>
      <w:ind w:left="100" w:leftChars="200" w:hanging="200" w:hangingChars="200"/>
      <w:jc w:val="both"/>
    </w:pPr>
    <w:rPr>
      <w:rFonts w:ascii="Times New Roman" w:cs="Times New Roman"/>
      <w:kern w:val="2"/>
      <w:sz w:val="21"/>
      <w:szCs w:val="24"/>
    </w:rPr>
  </w:style>
  <w:style w:type="paragraph" w:styleId="21">
    <w:name w:val="Block Text"/>
    <w:basedOn w:val="1"/>
    <w:qFormat/>
    <w:uiPriority w:val="99"/>
    <w:pPr>
      <w:widowControl/>
      <w:autoSpaceDE/>
      <w:autoSpaceDN/>
      <w:adjustRightInd/>
      <w:ind w:left="480" w:right="-341" w:firstLine="513"/>
      <w:jc w:val="both"/>
    </w:pPr>
    <w:rPr>
      <w:rFonts w:ascii="Times New Roman" w:cs="Times New Roman"/>
      <w:sz w:val="24"/>
      <w:szCs w:val="20"/>
    </w:rPr>
  </w:style>
  <w:style w:type="paragraph" w:styleId="22">
    <w:name w:val="toc 5"/>
    <w:basedOn w:val="1"/>
    <w:next w:val="1"/>
    <w:qFormat/>
    <w:uiPriority w:val="39"/>
    <w:pPr>
      <w:autoSpaceDE/>
      <w:autoSpaceDN/>
      <w:adjustRightInd/>
      <w:ind w:left="1680" w:leftChars="800"/>
      <w:jc w:val="both"/>
    </w:pPr>
    <w:rPr>
      <w:rFonts w:ascii="Times New Roman" w:cs="Times New Roman"/>
      <w:kern w:val="2"/>
      <w:sz w:val="21"/>
      <w:szCs w:val="24"/>
    </w:rPr>
  </w:style>
  <w:style w:type="paragraph" w:styleId="23">
    <w:name w:val="toc 3"/>
    <w:basedOn w:val="1"/>
    <w:next w:val="1"/>
    <w:qFormat/>
    <w:uiPriority w:val="39"/>
    <w:pPr>
      <w:autoSpaceDE/>
      <w:autoSpaceDN/>
      <w:adjustRightInd/>
      <w:ind w:left="840" w:leftChars="400"/>
      <w:jc w:val="both"/>
    </w:pPr>
    <w:rPr>
      <w:rFonts w:ascii="Times New Roman" w:cs="Times New Roman"/>
      <w:kern w:val="2"/>
      <w:sz w:val="21"/>
      <w:szCs w:val="24"/>
    </w:rPr>
  </w:style>
  <w:style w:type="paragraph" w:styleId="24">
    <w:name w:val="Plain Text"/>
    <w:basedOn w:val="1"/>
    <w:next w:val="1"/>
    <w:link w:val="74"/>
    <w:qFormat/>
    <w:uiPriority w:val="99"/>
    <w:pPr>
      <w:autoSpaceDE/>
      <w:autoSpaceDN/>
      <w:adjustRightInd/>
      <w:jc w:val="both"/>
    </w:pPr>
    <w:rPr>
      <w:rFonts w:hAnsi="Courier New" w:cs="Times New Roman"/>
      <w:kern w:val="2"/>
      <w:sz w:val="21"/>
      <w:szCs w:val="20"/>
    </w:rPr>
  </w:style>
  <w:style w:type="paragraph" w:styleId="25">
    <w:name w:val="toc 8"/>
    <w:basedOn w:val="1"/>
    <w:next w:val="1"/>
    <w:qFormat/>
    <w:uiPriority w:val="39"/>
    <w:pPr>
      <w:autoSpaceDE/>
      <w:autoSpaceDN/>
      <w:adjustRightInd/>
      <w:ind w:left="2940" w:leftChars="1400"/>
      <w:jc w:val="both"/>
    </w:pPr>
    <w:rPr>
      <w:rFonts w:ascii="Times New Roman" w:cs="Times New Roman"/>
      <w:kern w:val="2"/>
      <w:sz w:val="21"/>
      <w:szCs w:val="24"/>
    </w:rPr>
  </w:style>
  <w:style w:type="paragraph" w:styleId="26">
    <w:name w:val="Date"/>
    <w:basedOn w:val="1"/>
    <w:next w:val="1"/>
    <w:link w:val="82"/>
    <w:qFormat/>
    <w:uiPriority w:val="99"/>
    <w:pPr>
      <w:autoSpaceDE/>
      <w:autoSpaceDN/>
      <w:adjustRightInd/>
      <w:ind w:left="100" w:leftChars="2500"/>
      <w:jc w:val="both"/>
    </w:pPr>
    <w:rPr>
      <w:rFonts w:ascii="仿宋_GB2312" w:hAnsi="宋体" w:eastAsia="仿宋_GB2312" w:cs="Times New Roman"/>
      <w:color w:val="000000"/>
      <w:kern w:val="2"/>
      <w:sz w:val="24"/>
      <w:szCs w:val="24"/>
    </w:rPr>
  </w:style>
  <w:style w:type="paragraph" w:styleId="27">
    <w:name w:val="Body Text Indent 2"/>
    <w:basedOn w:val="1"/>
    <w:link w:val="83"/>
    <w:qFormat/>
    <w:uiPriority w:val="99"/>
    <w:pPr>
      <w:autoSpaceDE/>
      <w:autoSpaceDN/>
      <w:adjustRightInd/>
      <w:ind w:firstLine="480" w:firstLineChars="200"/>
      <w:jc w:val="both"/>
    </w:pPr>
    <w:rPr>
      <w:rFonts w:ascii="仿宋_GB2312" w:eastAsia="仿宋_GB2312" w:cs="Times New Roman"/>
      <w:kern w:val="2"/>
      <w:sz w:val="24"/>
      <w:szCs w:val="24"/>
    </w:rPr>
  </w:style>
  <w:style w:type="paragraph" w:styleId="28">
    <w:name w:val="Balloon Text"/>
    <w:basedOn w:val="1"/>
    <w:link w:val="84"/>
    <w:qFormat/>
    <w:uiPriority w:val="99"/>
    <w:pPr>
      <w:autoSpaceDE/>
      <w:autoSpaceDN/>
      <w:adjustRightInd/>
      <w:jc w:val="both"/>
    </w:pPr>
    <w:rPr>
      <w:rFonts w:ascii="Times New Roman" w:cs="Times New Roman"/>
      <w:kern w:val="2"/>
      <w:sz w:val="18"/>
      <w:szCs w:val="18"/>
    </w:rPr>
  </w:style>
  <w:style w:type="paragraph" w:styleId="29">
    <w:name w:val="footer"/>
    <w:basedOn w:val="1"/>
    <w:next w:val="1"/>
    <w:link w:val="72"/>
    <w:unhideWhenUsed/>
    <w:qFormat/>
    <w:uiPriority w:val="99"/>
    <w:pPr>
      <w:tabs>
        <w:tab w:val="center" w:pos="4153"/>
        <w:tab w:val="right" w:pos="8306"/>
      </w:tabs>
      <w:snapToGrid w:val="0"/>
    </w:pPr>
    <w:rPr>
      <w:sz w:val="18"/>
      <w:szCs w:val="18"/>
    </w:rPr>
  </w:style>
  <w:style w:type="paragraph" w:styleId="30">
    <w:name w:val="header"/>
    <w:basedOn w:val="1"/>
    <w:link w:val="71"/>
    <w:unhideWhenUsed/>
    <w:qFormat/>
    <w:uiPriority w:val="99"/>
    <w:pP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autoSpaceDE/>
      <w:autoSpaceDN/>
      <w:adjustRightInd/>
      <w:spacing w:line="300" w:lineRule="auto"/>
      <w:jc w:val="both"/>
    </w:pPr>
    <w:rPr>
      <w:rFonts w:hAnsi="宋体" w:cs="Times New Roman"/>
      <w:b/>
      <w:kern w:val="2"/>
      <w:sz w:val="24"/>
      <w:szCs w:val="24"/>
    </w:rPr>
  </w:style>
  <w:style w:type="paragraph" w:styleId="32">
    <w:name w:val="toc 4"/>
    <w:basedOn w:val="1"/>
    <w:next w:val="1"/>
    <w:qFormat/>
    <w:uiPriority w:val="39"/>
    <w:pPr>
      <w:autoSpaceDE/>
      <w:autoSpaceDN/>
      <w:adjustRightInd/>
      <w:ind w:left="1260" w:leftChars="600"/>
      <w:jc w:val="both"/>
    </w:pPr>
    <w:rPr>
      <w:rFonts w:ascii="Times New Roman" w:cs="Times New Roman"/>
      <w:kern w:val="2"/>
      <w:sz w:val="21"/>
      <w:szCs w:val="24"/>
    </w:rPr>
  </w:style>
  <w:style w:type="paragraph" w:styleId="33">
    <w:name w:val="toc 6"/>
    <w:basedOn w:val="1"/>
    <w:next w:val="1"/>
    <w:qFormat/>
    <w:uiPriority w:val="39"/>
    <w:pPr>
      <w:autoSpaceDE/>
      <w:autoSpaceDN/>
      <w:adjustRightInd/>
      <w:ind w:left="2100" w:leftChars="1000"/>
      <w:jc w:val="both"/>
    </w:pPr>
    <w:rPr>
      <w:rFonts w:ascii="Times New Roman" w:cs="Times New Roman"/>
      <w:kern w:val="2"/>
      <w:sz w:val="21"/>
      <w:szCs w:val="24"/>
    </w:rPr>
  </w:style>
  <w:style w:type="paragraph" w:styleId="34">
    <w:name w:val="Body Text Indent 3"/>
    <w:basedOn w:val="1"/>
    <w:link w:val="85"/>
    <w:qFormat/>
    <w:uiPriority w:val="99"/>
    <w:pPr>
      <w:spacing w:before="120" w:line="22" w:lineRule="atLeast"/>
      <w:ind w:left="720" w:firstLine="480"/>
    </w:pPr>
    <w:rPr>
      <w:rFonts w:cs="Times New Roman"/>
      <w:sz w:val="24"/>
      <w:szCs w:val="20"/>
    </w:rPr>
  </w:style>
  <w:style w:type="paragraph" w:styleId="35">
    <w:name w:val="toc 2"/>
    <w:basedOn w:val="1"/>
    <w:next w:val="1"/>
    <w:qFormat/>
    <w:uiPriority w:val="39"/>
    <w:pPr>
      <w:tabs>
        <w:tab w:val="right" w:leader="dot" w:pos="8937"/>
      </w:tabs>
      <w:autoSpaceDE/>
      <w:autoSpaceDN/>
      <w:adjustRightInd/>
      <w:spacing w:line="312" w:lineRule="auto"/>
      <w:ind w:left="420" w:leftChars="200"/>
      <w:jc w:val="both"/>
    </w:pPr>
    <w:rPr>
      <w:rFonts w:ascii="Times New Roman" w:cs="Times New Roman"/>
      <w:kern w:val="2"/>
      <w:sz w:val="21"/>
      <w:szCs w:val="24"/>
    </w:rPr>
  </w:style>
  <w:style w:type="paragraph" w:styleId="36">
    <w:name w:val="toc 9"/>
    <w:basedOn w:val="1"/>
    <w:next w:val="1"/>
    <w:qFormat/>
    <w:uiPriority w:val="39"/>
    <w:pPr>
      <w:autoSpaceDE/>
      <w:autoSpaceDN/>
      <w:adjustRightInd/>
      <w:ind w:left="3360" w:leftChars="1600"/>
      <w:jc w:val="both"/>
    </w:pPr>
    <w:rPr>
      <w:rFonts w:ascii="Times New Roman" w:cs="Times New Roman"/>
      <w:kern w:val="2"/>
      <w:sz w:val="21"/>
      <w:szCs w:val="24"/>
    </w:rPr>
  </w:style>
  <w:style w:type="paragraph" w:styleId="37">
    <w:name w:val="HTML Preformatted"/>
    <w:basedOn w:val="1"/>
    <w:link w:val="8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hAnsi="宋体"/>
      <w:sz w:val="24"/>
      <w:szCs w:val="24"/>
    </w:rPr>
  </w:style>
  <w:style w:type="paragraph" w:styleId="38">
    <w:name w:val="Normal (Web)"/>
    <w:basedOn w:val="1"/>
    <w:unhideWhenUsed/>
    <w:qFormat/>
    <w:uiPriority w:val="99"/>
    <w:pPr>
      <w:widowControl/>
      <w:autoSpaceDE/>
      <w:autoSpaceDN/>
      <w:adjustRightInd/>
      <w:spacing w:before="100" w:beforeAutospacing="1" w:after="100" w:afterAutospacing="1"/>
    </w:pPr>
    <w:rPr>
      <w:rFonts w:hAnsi="宋体"/>
      <w:sz w:val="24"/>
      <w:szCs w:val="24"/>
    </w:rPr>
  </w:style>
  <w:style w:type="paragraph" w:styleId="39">
    <w:name w:val="index 1"/>
    <w:basedOn w:val="1"/>
    <w:next w:val="1"/>
    <w:qFormat/>
    <w:uiPriority w:val="99"/>
    <w:pPr>
      <w:autoSpaceDE/>
      <w:autoSpaceDN/>
      <w:adjustRightInd/>
      <w:jc w:val="both"/>
    </w:pPr>
    <w:rPr>
      <w:rFonts w:ascii="Times New Roman" w:cs="Times New Roman"/>
      <w:kern w:val="2"/>
      <w:sz w:val="21"/>
      <w:szCs w:val="20"/>
    </w:rPr>
  </w:style>
  <w:style w:type="paragraph" w:styleId="40">
    <w:name w:val="Title"/>
    <w:basedOn w:val="1"/>
    <w:link w:val="87"/>
    <w:qFormat/>
    <w:uiPriority w:val="10"/>
    <w:pPr>
      <w:autoSpaceDE/>
      <w:autoSpaceDN/>
      <w:adjustRightInd/>
      <w:jc w:val="center"/>
      <w:outlineLvl w:val="0"/>
    </w:pPr>
    <w:rPr>
      <w:rFonts w:ascii="Times New Roman" w:cs="Times New Roman"/>
      <w:b/>
      <w:kern w:val="2"/>
      <w:sz w:val="32"/>
      <w:szCs w:val="20"/>
    </w:rPr>
  </w:style>
  <w:style w:type="paragraph" w:styleId="41">
    <w:name w:val="annotation subject"/>
    <w:basedOn w:val="15"/>
    <w:next w:val="15"/>
    <w:link w:val="88"/>
    <w:qFormat/>
    <w:uiPriority w:val="99"/>
    <w:rPr>
      <w:b/>
      <w:bCs/>
    </w:rPr>
  </w:style>
  <w:style w:type="paragraph" w:styleId="42">
    <w:name w:val="Body Text First Indent"/>
    <w:basedOn w:val="17"/>
    <w:link w:val="274"/>
    <w:semiHidden/>
    <w:unhideWhenUsed/>
    <w:uiPriority w:val="99"/>
    <w:pPr>
      <w:spacing w:after="120"/>
      <w:ind w:firstLine="420" w:firstLineChars="100"/>
    </w:pPr>
    <w:rPr>
      <w:sz w:val="22"/>
      <w:szCs w:val="22"/>
    </w:rPr>
  </w:style>
  <w:style w:type="paragraph" w:styleId="43">
    <w:name w:val="Body Text First Indent 2"/>
    <w:basedOn w:val="18"/>
    <w:link w:val="89"/>
    <w:qFormat/>
    <w:uiPriority w:val="99"/>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67"/>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rFonts w:cs="Times New Roman"/>
        <w:b/>
        <w:bCs/>
      </w:rPr>
    </w:tblStylePr>
    <w:tblStylePr w:type="lastRow">
      <w:rPr>
        <w:rFonts w:cs="Times New Roman"/>
        <w:b/>
        <w:bCs/>
      </w:rPr>
      <w:tblPr/>
      <w:tcPr>
        <w:tcBorders>
          <w:top w:val="single" w:color="CF7B79" w:sz="18" w:space="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A7A6"/>
      </w:tcPr>
    </w:tblStylePr>
    <w:tblStylePr w:type="band1Horz">
      <w:rPr>
        <w:rFonts w:cs="Times New Roman"/>
      </w:rPr>
      <w:tblPr/>
      <w:tcPr>
        <w:shd w:val="clear" w:color="auto" w:fill="DFA7A6"/>
      </w:tcPr>
    </w:tblStylePr>
  </w:style>
  <w:style w:type="character" w:styleId="48">
    <w:name w:val="Strong"/>
    <w:basedOn w:val="47"/>
    <w:qFormat/>
    <w:uiPriority w:val="22"/>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cs="Times New Roman"/>
      <w:color w:val="800080"/>
      <w:u w:val="single"/>
    </w:rPr>
  </w:style>
  <w:style w:type="character" w:styleId="51">
    <w:name w:val="Emphasis"/>
    <w:basedOn w:val="47"/>
    <w:qFormat/>
    <w:uiPriority w:val="20"/>
    <w:rPr>
      <w:rFonts w:cs="Times New Roman"/>
      <w:color w:val="CC0033"/>
    </w:rPr>
  </w:style>
  <w:style w:type="character" w:styleId="52">
    <w:name w:val="HTML Definition"/>
    <w:basedOn w:val="47"/>
    <w:qFormat/>
    <w:uiPriority w:val="99"/>
    <w:rPr>
      <w:rFonts w:cs="Times New Roman"/>
    </w:rPr>
  </w:style>
  <w:style w:type="character" w:styleId="53">
    <w:name w:val="HTML Acronym"/>
    <w:basedOn w:val="47"/>
    <w:qFormat/>
    <w:uiPriority w:val="99"/>
    <w:rPr>
      <w:rFonts w:cs="Times New Roman"/>
    </w:rPr>
  </w:style>
  <w:style w:type="character" w:styleId="54">
    <w:name w:val="HTML Variable"/>
    <w:basedOn w:val="47"/>
    <w:qFormat/>
    <w:uiPriority w:val="99"/>
    <w:rPr>
      <w:rFonts w:cs="Times New Roman"/>
    </w:rPr>
  </w:style>
  <w:style w:type="character" w:styleId="55">
    <w:name w:val="Hyperlink"/>
    <w:basedOn w:val="47"/>
    <w:qFormat/>
    <w:uiPriority w:val="99"/>
    <w:rPr>
      <w:rFonts w:cs="Times New Roman"/>
      <w:color w:val="0000FF"/>
      <w:u w:val="single"/>
    </w:rPr>
  </w:style>
  <w:style w:type="character" w:styleId="56">
    <w:name w:val="HTML Code"/>
    <w:basedOn w:val="47"/>
    <w:qFormat/>
    <w:uiPriority w:val="99"/>
    <w:rPr>
      <w:rFonts w:ascii="Courier New" w:hAnsi="Courier New" w:cs="Times New Roman"/>
      <w:sz w:val="20"/>
    </w:rPr>
  </w:style>
  <w:style w:type="character" w:styleId="57">
    <w:name w:val="annotation reference"/>
    <w:basedOn w:val="47"/>
    <w:qFormat/>
    <w:uiPriority w:val="99"/>
    <w:rPr>
      <w:rFonts w:cs="Times New Roman"/>
      <w:sz w:val="21"/>
    </w:rPr>
  </w:style>
  <w:style w:type="character" w:styleId="58">
    <w:name w:val="HTML Cite"/>
    <w:basedOn w:val="47"/>
    <w:qFormat/>
    <w:uiPriority w:val="99"/>
    <w:rPr>
      <w:rFonts w:cs="Times New Roman"/>
      <w:i/>
    </w:rPr>
  </w:style>
  <w:style w:type="character" w:customStyle="1" w:styleId="59">
    <w:name w:val="标题 1 字符"/>
    <w:basedOn w:val="47"/>
    <w:link w:val="3"/>
    <w:qFormat/>
    <w:uiPriority w:val="9"/>
    <w:rPr>
      <w:rFonts w:ascii="宋体" w:hAnsi="Times New Roman" w:eastAsia="宋体" w:cs="宋体"/>
      <w:b/>
      <w:bCs/>
      <w:kern w:val="44"/>
      <w:sz w:val="44"/>
      <w:szCs w:val="44"/>
    </w:rPr>
  </w:style>
  <w:style w:type="character" w:customStyle="1" w:styleId="60">
    <w:name w:val="标题 2 字符"/>
    <w:basedOn w:val="47"/>
    <w:link w:val="2"/>
    <w:qFormat/>
    <w:uiPriority w:val="9"/>
    <w:rPr>
      <w:rFonts w:cs="Times New Roman" w:asciiTheme="majorHAnsi" w:hAnsiTheme="majorHAnsi" w:eastAsiaTheme="majorEastAsia"/>
      <w:b/>
      <w:bCs/>
      <w:kern w:val="0"/>
      <w:sz w:val="32"/>
      <w:szCs w:val="32"/>
    </w:rPr>
  </w:style>
  <w:style w:type="character" w:customStyle="1" w:styleId="61">
    <w:name w:val="标题 3 字符"/>
    <w:basedOn w:val="47"/>
    <w:link w:val="4"/>
    <w:qFormat/>
    <w:uiPriority w:val="9"/>
    <w:rPr>
      <w:rFonts w:ascii="宋体" w:hAnsi="Times New Roman" w:eastAsia="宋体" w:cs="宋体"/>
      <w:b/>
      <w:bCs/>
      <w:kern w:val="0"/>
      <w:sz w:val="32"/>
      <w:szCs w:val="32"/>
    </w:rPr>
  </w:style>
  <w:style w:type="character" w:customStyle="1" w:styleId="62">
    <w:name w:val="标题 4 字符"/>
    <w:basedOn w:val="47"/>
    <w:link w:val="5"/>
    <w:qFormat/>
    <w:uiPriority w:val="9"/>
    <w:rPr>
      <w:rFonts w:cs="Times New Roman" w:asciiTheme="majorHAnsi" w:hAnsiTheme="majorHAnsi" w:eastAsiaTheme="majorEastAsia"/>
      <w:b/>
      <w:bCs/>
      <w:kern w:val="0"/>
      <w:sz w:val="28"/>
      <w:szCs w:val="28"/>
    </w:rPr>
  </w:style>
  <w:style w:type="character" w:customStyle="1" w:styleId="63">
    <w:name w:val="标题 5 字符"/>
    <w:basedOn w:val="47"/>
    <w:link w:val="6"/>
    <w:qFormat/>
    <w:uiPriority w:val="9"/>
    <w:rPr>
      <w:rFonts w:ascii="Times New Roman" w:hAnsi="Times New Roman" w:eastAsia="宋体" w:cs="Times New Roman"/>
      <w:b/>
      <w:kern w:val="0"/>
      <w:sz w:val="20"/>
      <w:szCs w:val="20"/>
    </w:rPr>
  </w:style>
  <w:style w:type="character" w:customStyle="1" w:styleId="64">
    <w:name w:val="标题 6 字符"/>
    <w:basedOn w:val="47"/>
    <w:link w:val="7"/>
    <w:qFormat/>
    <w:uiPriority w:val="9"/>
    <w:rPr>
      <w:rFonts w:ascii="Arial" w:hAnsi="Arial" w:eastAsia="黑体" w:cs="Times New Roman"/>
      <w:b/>
      <w:kern w:val="0"/>
      <w:sz w:val="20"/>
      <w:szCs w:val="20"/>
    </w:rPr>
  </w:style>
  <w:style w:type="character" w:customStyle="1" w:styleId="65">
    <w:name w:val="标题 7 字符"/>
    <w:basedOn w:val="47"/>
    <w:link w:val="8"/>
    <w:qFormat/>
    <w:uiPriority w:val="9"/>
    <w:rPr>
      <w:rFonts w:ascii="Times New Roman" w:hAnsi="Times New Roman" w:eastAsia="宋体" w:cs="Times New Roman"/>
      <w:b/>
      <w:kern w:val="0"/>
      <w:sz w:val="20"/>
      <w:szCs w:val="20"/>
    </w:rPr>
  </w:style>
  <w:style w:type="character" w:customStyle="1" w:styleId="66">
    <w:name w:val="标题 8 字符"/>
    <w:basedOn w:val="47"/>
    <w:link w:val="9"/>
    <w:qFormat/>
    <w:uiPriority w:val="9"/>
    <w:rPr>
      <w:rFonts w:ascii="Arial" w:hAnsi="Arial" w:eastAsia="黑体" w:cs="Times New Roman"/>
      <w:kern w:val="0"/>
      <w:sz w:val="20"/>
      <w:szCs w:val="20"/>
    </w:rPr>
  </w:style>
  <w:style w:type="character" w:customStyle="1" w:styleId="67">
    <w:name w:val="标题 9 字符"/>
    <w:basedOn w:val="47"/>
    <w:link w:val="10"/>
    <w:qFormat/>
    <w:uiPriority w:val="9"/>
    <w:rPr>
      <w:rFonts w:ascii="Arial" w:hAnsi="Arial" w:eastAsia="黑体" w:cs="Times New Roman"/>
      <w:kern w:val="0"/>
      <w:sz w:val="20"/>
      <w:szCs w:val="20"/>
    </w:rPr>
  </w:style>
  <w:style w:type="character" w:customStyle="1" w:styleId="68">
    <w:name w:val="正文文本 字符"/>
    <w:basedOn w:val="47"/>
    <w:link w:val="17"/>
    <w:qFormat/>
    <w:uiPriority w:val="99"/>
    <w:rPr>
      <w:rFonts w:ascii="宋体" w:hAnsi="Times New Roman" w:eastAsia="宋体" w:cs="宋体"/>
      <w:kern w:val="0"/>
      <w:sz w:val="22"/>
    </w:rPr>
  </w:style>
  <w:style w:type="paragraph" w:styleId="69">
    <w:name w:val="List Paragraph"/>
    <w:basedOn w:val="1"/>
    <w:link w:val="105"/>
    <w:qFormat/>
    <w:uiPriority w:val="34"/>
    <w:pPr>
      <w:ind w:left="1616" w:hanging="720"/>
    </w:pPr>
    <w:rPr>
      <w:sz w:val="24"/>
      <w:szCs w:val="24"/>
    </w:rPr>
  </w:style>
  <w:style w:type="paragraph" w:customStyle="1" w:styleId="70">
    <w:name w:val="Table Paragraph"/>
    <w:basedOn w:val="1"/>
    <w:qFormat/>
    <w:uiPriority w:val="1"/>
    <w:rPr>
      <w:sz w:val="24"/>
      <w:szCs w:val="24"/>
    </w:rPr>
  </w:style>
  <w:style w:type="character" w:customStyle="1" w:styleId="71">
    <w:name w:val="页眉 字符"/>
    <w:basedOn w:val="47"/>
    <w:link w:val="30"/>
    <w:qFormat/>
    <w:uiPriority w:val="99"/>
    <w:rPr>
      <w:rFonts w:ascii="宋体" w:hAnsi="Times New Roman" w:eastAsia="宋体" w:cs="宋体"/>
      <w:kern w:val="0"/>
      <w:sz w:val="18"/>
      <w:szCs w:val="18"/>
    </w:rPr>
  </w:style>
  <w:style w:type="character" w:customStyle="1" w:styleId="72">
    <w:name w:val="页脚 字符"/>
    <w:basedOn w:val="47"/>
    <w:link w:val="29"/>
    <w:qFormat/>
    <w:uiPriority w:val="99"/>
    <w:rPr>
      <w:rFonts w:ascii="宋体" w:hAnsi="Times New Roman" w:eastAsia="宋体" w:cs="宋体"/>
      <w:kern w:val="0"/>
      <w:sz w:val="18"/>
      <w:szCs w:val="18"/>
    </w:rPr>
  </w:style>
  <w:style w:type="character" w:customStyle="1" w:styleId="73">
    <w:name w:val="正文文本 3 字符"/>
    <w:basedOn w:val="47"/>
    <w:link w:val="16"/>
    <w:qFormat/>
    <w:uiPriority w:val="99"/>
    <w:rPr>
      <w:rFonts w:ascii="Times New Roman" w:hAnsi="Times New Roman" w:eastAsia="宋体" w:cs="Times New Roman"/>
      <w:sz w:val="16"/>
      <w:szCs w:val="16"/>
    </w:rPr>
  </w:style>
  <w:style w:type="character" w:customStyle="1" w:styleId="74">
    <w:name w:val="纯文本 字符"/>
    <w:basedOn w:val="47"/>
    <w:link w:val="24"/>
    <w:qFormat/>
    <w:uiPriority w:val="99"/>
    <w:rPr>
      <w:rFonts w:ascii="宋体" w:hAnsi="Courier New" w:eastAsia="宋体"/>
      <w:sz w:val="20"/>
    </w:rPr>
  </w:style>
  <w:style w:type="paragraph" w:customStyle="1" w:styleId="75">
    <w:name w:val="图例"/>
    <w:basedOn w:val="1"/>
    <w:qFormat/>
    <w:uiPriority w:val="0"/>
    <w:pPr>
      <w:autoSpaceDE/>
      <w:autoSpaceDN/>
      <w:adjustRightInd/>
      <w:spacing w:before="120" w:after="120" w:line="360" w:lineRule="auto"/>
      <w:jc w:val="center"/>
    </w:pPr>
    <w:rPr>
      <w:rFonts w:ascii="Times New Roman" w:eastAsia="仿宋_GB2312" w:cs="Times New Roman"/>
      <w:b/>
      <w:kern w:val="2"/>
      <w:sz w:val="24"/>
      <w:szCs w:val="20"/>
    </w:rPr>
  </w:style>
  <w:style w:type="paragraph" w:customStyle="1" w:styleId="76">
    <w:name w:val="正文 缩进2字符"/>
    <w:basedOn w:val="1"/>
    <w:qFormat/>
    <w:uiPriority w:val="0"/>
    <w:pPr>
      <w:autoSpaceDE/>
      <w:autoSpaceDN/>
      <w:adjustRightInd/>
      <w:spacing w:after="160" w:line="288" w:lineRule="auto"/>
      <w:jc w:val="both"/>
    </w:pPr>
    <w:rPr>
      <w:rFonts w:hAnsi="宋体" w:cs="Times New Roman"/>
      <w:kern w:val="2"/>
      <w:sz w:val="28"/>
      <w:szCs w:val="28"/>
    </w:rPr>
  </w:style>
  <w:style w:type="character" w:customStyle="1" w:styleId="77">
    <w:name w:val="文档结构图 字符"/>
    <w:basedOn w:val="47"/>
    <w:link w:val="14"/>
    <w:qFormat/>
    <w:uiPriority w:val="99"/>
    <w:rPr>
      <w:rFonts w:ascii="Times New Roman" w:hAnsi="Times New Roman" w:eastAsia="宋体" w:cs="Times New Roman"/>
      <w:sz w:val="24"/>
      <w:szCs w:val="24"/>
      <w:shd w:val="clear" w:color="auto" w:fill="000080"/>
    </w:rPr>
  </w:style>
  <w:style w:type="character" w:customStyle="1" w:styleId="78">
    <w:name w:val="批注文字 字符"/>
    <w:basedOn w:val="47"/>
    <w:link w:val="15"/>
    <w:qFormat/>
    <w:uiPriority w:val="99"/>
    <w:rPr>
      <w:rFonts w:ascii="Times New Roman" w:hAnsi="Times New Roman" w:eastAsia="宋体"/>
      <w:sz w:val="24"/>
    </w:rPr>
  </w:style>
  <w:style w:type="paragraph" w:customStyle="1" w:styleId="79">
    <w:name w:val="标题1-附件"/>
    <w:basedOn w:val="3"/>
    <w:qFormat/>
    <w:uiPriority w:val="0"/>
    <w:pPr>
      <w:keepNext/>
      <w:keepLines/>
      <w:spacing w:before="240" w:after="120" w:line="300" w:lineRule="auto"/>
      <w:jc w:val="left"/>
    </w:pPr>
    <w:rPr>
      <w:rFonts w:cs="Times New Roman"/>
      <w:b/>
      <w:kern w:val="44"/>
      <w:sz w:val="24"/>
      <w:szCs w:val="24"/>
    </w:rPr>
  </w:style>
  <w:style w:type="character" w:customStyle="1" w:styleId="80">
    <w:name w:val="正文文本缩进 字符"/>
    <w:basedOn w:val="47"/>
    <w:link w:val="18"/>
    <w:qFormat/>
    <w:uiPriority w:val="99"/>
    <w:rPr>
      <w:rFonts w:ascii="Times New Roman" w:hAnsi="Times New Roman" w:eastAsia="宋体" w:cs="Times New Roman"/>
      <w:sz w:val="24"/>
      <w:szCs w:val="24"/>
    </w:rPr>
  </w:style>
  <w:style w:type="paragraph" w:customStyle="1" w:styleId="8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82">
    <w:name w:val="日期 字符"/>
    <w:basedOn w:val="47"/>
    <w:link w:val="26"/>
    <w:qFormat/>
    <w:uiPriority w:val="99"/>
    <w:rPr>
      <w:rFonts w:ascii="仿宋_GB2312" w:hAnsi="宋体" w:eastAsia="仿宋_GB2312" w:cs="Times New Roman"/>
      <w:color w:val="000000"/>
      <w:sz w:val="24"/>
      <w:szCs w:val="24"/>
    </w:rPr>
  </w:style>
  <w:style w:type="character" w:customStyle="1" w:styleId="83">
    <w:name w:val="正文文本缩进 2 字符"/>
    <w:basedOn w:val="47"/>
    <w:link w:val="27"/>
    <w:qFormat/>
    <w:uiPriority w:val="99"/>
    <w:rPr>
      <w:rFonts w:ascii="仿宋_GB2312" w:hAnsi="Times New Roman" w:eastAsia="仿宋_GB2312" w:cs="Times New Roman"/>
      <w:sz w:val="24"/>
      <w:szCs w:val="24"/>
    </w:rPr>
  </w:style>
  <w:style w:type="character" w:customStyle="1" w:styleId="84">
    <w:name w:val="批注框文本 字符"/>
    <w:basedOn w:val="47"/>
    <w:link w:val="28"/>
    <w:qFormat/>
    <w:uiPriority w:val="99"/>
    <w:rPr>
      <w:rFonts w:ascii="Times New Roman" w:hAnsi="Times New Roman" w:eastAsia="宋体" w:cs="Times New Roman"/>
      <w:sz w:val="18"/>
      <w:szCs w:val="18"/>
    </w:rPr>
  </w:style>
  <w:style w:type="character" w:customStyle="1" w:styleId="85">
    <w:name w:val="正文文本缩进 3 字符"/>
    <w:basedOn w:val="47"/>
    <w:link w:val="34"/>
    <w:qFormat/>
    <w:uiPriority w:val="99"/>
    <w:rPr>
      <w:rFonts w:ascii="宋体" w:hAnsi="Times New Roman" w:eastAsia="宋体" w:cs="Times New Roman"/>
      <w:kern w:val="0"/>
      <w:sz w:val="20"/>
      <w:szCs w:val="20"/>
    </w:rPr>
  </w:style>
  <w:style w:type="character" w:customStyle="1" w:styleId="86">
    <w:name w:val="HTML 预设格式 字符"/>
    <w:basedOn w:val="47"/>
    <w:link w:val="37"/>
    <w:qFormat/>
    <w:uiPriority w:val="99"/>
    <w:rPr>
      <w:rFonts w:ascii="宋体" w:hAnsi="宋体" w:eastAsia="宋体" w:cs="宋体"/>
      <w:kern w:val="0"/>
      <w:sz w:val="24"/>
      <w:szCs w:val="24"/>
    </w:rPr>
  </w:style>
  <w:style w:type="character" w:customStyle="1" w:styleId="87">
    <w:name w:val="标题 字符"/>
    <w:basedOn w:val="47"/>
    <w:link w:val="40"/>
    <w:qFormat/>
    <w:uiPriority w:val="10"/>
    <w:rPr>
      <w:rFonts w:ascii="Times New Roman" w:hAnsi="Times New Roman" w:eastAsia="宋体" w:cs="Times New Roman"/>
      <w:b/>
      <w:sz w:val="20"/>
      <w:szCs w:val="20"/>
    </w:rPr>
  </w:style>
  <w:style w:type="character" w:customStyle="1" w:styleId="88">
    <w:name w:val="批注主题 字符"/>
    <w:link w:val="41"/>
    <w:qFormat/>
    <w:uiPriority w:val="99"/>
    <w:rPr>
      <w:rFonts w:ascii="Times New Roman" w:hAnsi="Times New Roman" w:eastAsia="宋体" w:cs="Times New Roman"/>
      <w:b/>
      <w:bCs/>
      <w:kern w:val="0"/>
      <w:sz w:val="24"/>
      <w:szCs w:val="24"/>
    </w:rPr>
  </w:style>
  <w:style w:type="character" w:customStyle="1" w:styleId="89">
    <w:name w:val="正文文本首行缩进 2 字符"/>
    <w:basedOn w:val="80"/>
    <w:link w:val="43"/>
    <w:qFormat/>
    <w:uiPriority w:val="99"/>
    <w:rPr>
      <w:rFonts w:ascii="Times New Roman" w:hAnsi="Times New Roman" w:eastAsia="宋体" w:cs="Times New Roman"/>
      <w:sz w:val="20"/>
      <w:szCs w:val="20"/>
    </w:rPr>
  </w:style>
  <w:style w:type="character" w:customStyle="1" w:styleId="90">
    <w:name w:val="c21"/>
    <w:qFormat/>
    <w:uiPriority w:val="0"/>
    <w:rPr>
      <w:rFonts w:ascii="??" w:hAnsi="??"/>
      <w:color w:val="000000"/>
      <w:sz w:val="20"/>
      <w:u w:val="none"/>
    </w:rPr>
  </w:style>
  <w:style w:type="character" w:customStyle="1" w:styleId="91">
    <w:name w:val="title4"/>
    <w:qFormat/>
    <w:uiPriority w:val="0"/>
    <w:rPr>
      <w:b/>
      <w:color w:val="1D87B3"/>
      <w:sz w:val="15"/>
    </w:rPr>
  </w:style>
  <w:style w:type="character" w:customStyle="1" w:styleId="92">
    <w:name w:val="标题 2 Char Char"/>
    <w:qFormat/>
    <w:uiPriority w:val="0"/>
    <w:rPr>
      <w:rFonts w:ascii="Arial" w:hAnsi="Arial" w:eastAsia="黑体"/>
      <w:b/>
      <w:kern w:val="2"/>
      <w:sz w:val="32"/>
      <w:lang w:val="en-US" w:eastAsia="zh-CN"/>
    </w:rPr>
  </w:style>
  <w:style w:type="character" w:customStyle="1" w:styleId="93">
    <w:name w:val="black1"/>
    <w:qFormat/>
    <w:uiPriority w:val="0"/>
    <w:rPr>
      <w:color w:val="000000"/>
    </w:rPr>
  </w:style>
  <w:style w:type="character" w:customStyle="1" w:styleId="94">
    <w:name w:val="street-address"/>
    <w:basedOn w:val="47"/>
    <w:qFormat/>
    <w:uiPriority w:val="0"/>
    <w:rPr>
      <w:rFonts w:cs="Times New Roman"/>
    </w:rPr>
  </w:style>
  <w:style w:type="character" w:customStyle="1" w:styleId="95">
    <w:name w:val="locality"/>
    <w:basedOn w:val="47"/>
    <w:qFormat/>
    <w:uiPriority w:val="0"/>
    <w:rPr>
      <w:rFonts w:cs="Times New Roman"/>
    </w:rPr>
  </w:style>
  <w:style w:type="character" w:customStyle="1" w:styleId="96">
    <w:name w:val="正文缩进 字符"/>
    <w:link w:val="12"/>
    <w:qFormat/>
    <w:uiPriority w:val="99"/>
    <w:rPr>
      <w:rFonts w:ascii="宋体" w:hAnsi="Times New Roman" w:eastAsia="宋体"/>
      <w:sz w:val="24"/>
    </w:rPr>
  </w:style>
  <w:style w:type="character" w:customStyle="1" w:styleId="97">
    <w:name w:val="正文文本缩进 Char1"/>
    <w:link w:val="98"/>
    <w:qFormat/>
    <w:uiPriority w:val="0"/>
    <w:rPr>
      <w:rFonts w:ascii="宋体" w:hAnsi="宋体" w:eastAsia="宋体"/>
      <w:sz w:val="24"/>
    </w:rPr>
  </w:style>
  <w:style w:type="paragraph" w:customStyle="1" w:styleId="98">
    <w:name w:val="正文文本缩进1"/>
    <w:basedOn w:val="1"/>
    <w:link w:val="97"/>
    <w:qFormat/>
    <w:uiPriority w:val="0"/>
    <w:pPr>
      <w:autoSpaceDE/>
      <w:autoSpaceDN/>
      <w:adjustRightInd/>
      <w:spacing w:line="480" w:lineRule="exact"/>
      <w:ind w:firstLine="480" w:firstLineChars="200"/>
      <w:jc w:val="both"/>
    </w:pPr>
    <w:rPr>
      <w:rFonts w:hAnsi="宋体" w:cs="Times New Roman"/>
      <w:kern w:val="2"/>
      <w:sz w:val="24"/>
      <w:szCs w:val="24"/>
    </w:rPr>
  </w:style>
  <w:style w:type="character" w:customStyle="1" w:styleId="99">
    <w:name w:val="Char Char11"/>
    <w:qFormat/>
    <w:uiPriority w:val="0"/>
    <w:rPr>
      <w:rFonts w:ascii="宋体" w:eastAsia="宋体"/>
      <w:b/>
      <w:sz w:val="24"/>
      <w:u w:val="single"/>
      <w:lang w:val="en-US" w:eastAsia="zh-CN"/>
    </w:rPr>
  </w:style>
  <w:style w:type="character" w:customStyle="1" w:styleId="100">
    <w:name w:val="txt"/>
    <w:basedOn w:val="47"/>
    <w:qFormat/>
    <w:uiPriority w:val="0"/>
    <w:rPr>
      <w:rFonts w:cs="Times New Roman"/>
    </w:rPr>
  </w:style>
  <w:style w:type="character" w:customStyle="1" w:styleId="101">
    <w:name w:val="正文缩进 Char Char"/>
    <w:link w:val="102"/>
    <w:qFormat/>
    <w:uiPriority w:val="0"/>
    <w:rPr>
      <w:rFonts w:ascii="宋体" w:eastAsia="宋体"/>
      <w:color w:val="000000"/>
      <w:kern w:val="28"/>
      <w:sz w:val="28"/>
    </w:rPr>
  </w:style>
  <w:style w:type="paragraph" w:customStyle="1" w:styleId="102">
    <w:name w:val="正文缩进1"/>
    <w:basedOn w:val="1"/>
    <w:link w:val="101"/>
    <w:qFormat/>
    <w:uiPriority w:val="0"/>
    <w:pPr>
      <w:widowControl/>
      <w:autoSpaceDE/>
      <w:autoSpaceDN/>
      <w:snapToGrid w:val="0"/>
      <w:spacing w:line="480" w:lineRule="exact"/>
      <w:ind w:firstLine="567"/>
      <w:jc w:val="both"/>
    </w:pPr>
    <w:rPr>
      <w:rFonts w:cs="Times New Roman" w:hAnsiTheme="minorHAnsi"/>
      <w:color w:val="000000"/>
      <w:kern w:val="28"/>
      <w:sz w:val="28"/>
    </w:rPr>
  </w:style>
  <w:style w:type="character" w:customStyle="1" w:styleId="103">
    <w:name w:val="普通文字1 Char1"/>
    <w:qFormat/>
    <w:uiPriority w:val="0"/>
    <w:rPr>
      <w:rFonts w:ascii="宋体" w:hAnsi="Courier New" w:eastAsia="宋体"/>
      <w:kern w:val="2"/>
      <w:sz w:val="21"/>
      <w:lang w:val="en-US" w:eastAsia="zh-CN"/>
    </w:rPr>
  </w:style>
  <w:style w:type="character" w:customStyle="1" w:styleId="104">
    <w:name w:val="chanpin1"/>
    <w:qFormat/>
    <w:uiPriority w:val="0"/>
    <w:rPr>
      <w:rFonts w:ascii="??" w:hAnsi="??"/>
      <w:color w:val="000000"/>
      <w:sz w:val="20"/>
      <w:u w:val="none"/>
    </w:rPr>
  </w:style>
  <w:style w:type="character" w:customStyle="1" w:styleId="105">
    <w:name w:val="列表段落 字符"/>
    <w:link w:val="69"/>
    <w:qFormat/>
    <w:uiPriority w:val="1"/>
    <w:rPr>
      <w:rFonts w:ascii="宋体" w:hAnsi="Times New Roman" w:eastAsia="宋体"/>
      <w:kern w:val="0"/>
      <w:sz w:val="24"/>
    </w:rPr>
  </w:style>
  <w:style w:type="character" w:customStyle="1" w:styleId="106">
    <w:name w:val="标题 3 Char Char"/>
    <w:qFormat/>
    <w:uiPriority w:val="0"/>
    <w:rPr>
      <w:rFonts w:eastAsia="宋体"/>
      <w:b/>
      <w:kern w:val="2"/>
      <w:sz w:val="32"/>
      <w:lang w:val="en-US" w:eastAsia="zh-CN"/>
    </w:rPr>
  </w:style>
  <w:style w:type="character" w:customStyle="1" w:styleId="107">
    <w:name w:val="段1 Char"/>
    <w:qFormat/>
    <w:uiPriority w:val="0"/>
    <w:rPr>
      <w:rFonts w:ascii="宋体" w:eastAsia="宋体"/>
      <w:sz w:val="24"/>
      <w:lang w:val="en-US" w:eastAsia="zh-CN"/>
    </w:rPr>
  </w:style>
  <w:style w:type="character" w:customStyle="1" w:styleId="108">
    <w:name w:val="chanpin拷贝"/>
    <w:basedOn w:val="47"/>
    <w:qFormat/>
    <w:uiPriority w:val="0"/>
    <w:rPr>
      <w:rFonts w:cs="Times New Roman"/>
    </w:rPr>
  </w:style>
  <w:style w:type="character" w:customStyle="1" w:styleId="109">
    <w:name w:val="纯文本 Char1"/>
    <w:qFormat/>
    <w:uiPriority w:val="0"/>
    <w:rPr>
      <w:rFonts w:ascii="宋体" w:hAnsi="Courier New" w:eastAsia="宋体"/>
      <w:kern w:val="2"/>
      <w:sz w:val="21"/>
      <w:lang w:val="en-US" w:eastAsia="zh-CN"/>
    </w:rPr>
  </w:style>
  <w:style w:type="character" w:customStyle="1" w:styleId="110">
    <w:name w:val="apple-style-span"/>
    <w:qFormat/>
    <w:uiPriority w:val="0"/>
  </w:style>
  <w:style w:type="paragraph" w:customStyle="1" w:styleId="111">
    <w:name w:val="二级条标题"/>
    <w:basedOn w:val="112"/>
    <w:next w:val="1"/>
    <w:qFormat/>
    <w:uiPriority w:val="0"/>
    <w:pPr>
      <w:numPr>
        <w:numId w:val="0"/>
      </w:numPr>
      <w:tabs>
        <w:tab w:val="left" w:pos="360"/>
        <w:tab w:val="left" w:pos="840"/>
      </w:tabs>
      <w:ind w:hanging="840"/>
      <w:outlineLvl w:val="2"/>
    </w:pPr>
    <w:rPr>
      <w:rFonts w:ascii="宋体" w:eastAsia="宋体"/>
      <w:b w:val="0"/>
    </w:rPr>
  </w:style>
  <w:style w:type="paragraph" w:customStyle="1" w:styleId="112">
    <w:name w:val="一级条标题"/>
    <w:basedOn w:val="113"/>
    <w:next w:val="1"/>
    <w:qFormat/>
    <w:uiPriority w:val="0"/>
    <w:pPr>
      <w:numPr>
        <w:ilvl w:val="1"/>
      </w:numPr>
      <w:tabs>
        <w:tab w:val="left" w:pos="360"/>
        <w:tab w:val="left" w:pos="840"/>
      </w:tabs>
      <w:ind w:hanging="840"/>
      <w:outlineLvl w:val="1"/>
    </w:pPr>
  </w:style>
  <w:style w:type="paragraph" w:customStyle="1" w:styleId="113">
    <w:name w:val="章标题"/>
    <w:next w:val="1"/>
    <w:qFormat/>
    <w:uiPriority w:val="0"/>
    <w:pPr>
      <w:numPr>
        <w:ilvl w:val="0"/>
        <w:numId w:val="1"/>
      </w:numPr>
      <w:spacing w:before="156" w:beforeLines="50" w:after="156" w:afterLines="50" w:line="460" w:lineRule="exact"/>
      <w:ind w:hanging="229"/>
      <w:jc w:val="both"/>
      <w:outlineLvl w:val="0"/>
    </w:pPr>
    <w:rPr>
      <w:rFonts w:ascii="黑体" w:hAnsi="Times New Roman" w:eastAsia="黑体" w:cs="Times New Roman"/>
      <w:b/>
      <w:sz w:val="28"/>
      <w:lang w:val="en-US" w:eastAsia="zh-CN" w:bidi="ar-SA"/>
    </w:rPr>
  </w:style>
  <w:style w:type="paragraph" w:customStyle="1" w:styleId="114">
    <w:name w:val="font7"/>
    <w:basedOn w:val="1"/>
    <w:qFormat/>
    <w:uiPriority w:val="0"/>
    <w:pPr>
      <w:widowControl/>
      <w:autoSpaceDE/>
      <w:autoSpaceDN/>
      <w:adjustRightInd/>
      <w:spacing w:before="100" w:beforeAutospacing="1" w:after="100" w:afterAutospacing="1"/>
    </w:pPr>
    <w:rPr>
      <w:rFonts w:ascii="Times New Roman" w:eastAsia="Arial Unicode MS" w:cs="Times New Roman"/>
      <w:b/>
      <w:bCs/>
      <w:color w:val="000000"/>
      <w:sz w:val="20"/>
      <w:szCs w:val="20"/>
    </w:rPr>
  </w:style>
  <w:style w:type="paragraph" w:customStyle="1" w:styleId="115">
    <w:name w:val="字元 字元"/>
    <w:basedOn w:val="1"/>
    <w:qFormat/>
    <w:uiPriority w:val="0"/>
    <w:pPr>
      <w:autoSpaceDE/>
      <w:autoSpaceDN/>
      <w:adjustRightInd/>
      <w:jc w:val="both"/>
    </w:pPr>
    <w:rPr>
      <w:rFonts w:ascii="Tahoma" w:hAnsi="Tahoma" w:cs="Times New Roman"/>
      <w:kern w:val="2"/>
      <w:sz w:val="24"/>
      <w:szCs w:val="20"/>
    </w:rPr>
  </w:style>
  <w:style w:type="paragraph" w:customStyle="1" w:styleId="116">
    <w:name w:val="Char3 Char Char Char"/>
    <w:basedOn w:val="1"/>
    <w:qFormat/>
    <w:uiPriority w:val="0"/>
    <w:pPr>
      <w:autoSpaceDE/>
      <w:autoSpaceDN/>
      <w:adjustRightInd/>
      <w:jc w:val="both"/>
    </w:pPr>
    <w:rPr>
      <w:rFonts w:ascii="Tahoma" w:hAnsi="Tahoma" w:cs="Times New Roman"/>
      <w:kern w:val="2"/>
      <w:sz w:val="24"/>
      <w:szCs w:val="20"/>
    </w:rPr>
  </w:style>
  <w:style w:type="paragraph" w:customStyle="1" w:styleId="117">
    <w:name w:val="font6"/>
    <w:basedOn w:val="1"/>
    <w:qFormat/>
    <w:uiPriority w:val="0"/>
    <w:pPr>
      <w:widowControl/>
      <w:autoSpaceDE/>
      <w:autoSpaceDN/>
      <w:adjustRightInd/>
      <w:spacing w:before="100" w:beforeAutospacing="1" w:after="100" w:afterAutospacing="1"/>
    </w:pPr>
    <w:rPr>
      <w:rFonts w:hAnsi="宋体"/>
      <w:sz w:val="20"/>
      <w:szCs w:val="20"/>
    </w:rPr>
  </w:style>
  <w:style w:type="paragraph" w:customStyle="1" w:styleId="118">
    <w:name w:val="项目编号2"/>
    <w:basedOn w:val="119"/>
    <w:qFormat/>
    <w:uiPriority w:val="0"/>
    <w:pPr>
      <w:numPr>
        <w:numId w:val="2"/>
      </w:numPr>
      <w:ind w:left="883" w:hanging="663"/>
    </w:pPr>
  </w:style>
  <w:style w:type="paragraph" w:customStyle="1" w:styleId="119">
    <w:name w:val="项目编号1"/>
    <w:basedOn w:val="1"/>
    <w:qFormat/>
    <w:uiPriority w:val="0"/>
    <w:pPr>
      <w:numPr>
        <w:ilvl w:val="0"/>
        <w:numId w:val="3"/>
      </w:numPr>
      <w:autoSpaceDE/>
      <w:autoSpaceDN/>
      <w:adjustRightInd/>
      <w:spacing w:before="100" w:beforeAutospacing="1" w:after="100" w:afterAutospacing="1" w:line="360" w:lineRule="auto"/>
      <w:ind w:left="930" w:hanging="229"/>
      <w:jc w:val="both"/>
    </w:pPr>
    <w:rPr>
      <w:rFonts w:ascii="Times New Roman" w:cs="Times New Roman"/>
      <w:kern w:val="2"/>
      <w:sz w:val="24"/>
      <w:szCs w:val="24"/>
    </w:rPr>
  </w:style>
  <w:style w:type="paragraph" w:customStyle="1" w:styleId="120">
    <w:name w:val="图中文字"/>
    <w:basedOn w:val="1"/>
    <w:qFormat/>
    <w:uiPriority w:val="0"/>
    <w:pPr>
      <w:autoSpaceDE/>
      <w:autoSpaceDN/>
      <w:snapToGrid w:val="0"/>
      <w:spacing w:line="240" w:lineRule="atLeast"/>
      <w:jc w:val="center"/>
    </w:pPr>
    <w:rPr>
      <w:rFonts w:ascii="Times New Roman" w:cs="Times New Roman"/>
      <w:kern w:val="2"/>
      <w:sz w:val="24"/>
      <w:szCs w:val="20"/>
    </w:rPr>
  </w:style>
  <w:style w:type="paragraph" w:customStyle="1" w:styleId="121">
    <w:name w:val="xl46"/>
    <w:basedOn w:val="1"/>
    <w:qFormat/>
    <w:uiPriority w:val="0"/>
    <w:pPr>
      <w:widowControl/>
      <w:pBdr>
        <w:top w:val="single" w:color="auto" w:sz="4" w:space="0"/>
        <w:bottom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22">
    <w:name w:val="xl25"/>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textAlignment w:val="top"/>
    </w:pPr>
    <w:rPr>
      <w:rFonts w:ascii="Arial Unicode MS" w:hAnsi="Arial Unicode MS" w:eastAsia="Arial Unicode MS" w:cs="Arial Unicode MS"/>
      <w:b/>
      <w:bCs/>
      <w:color w:val="000000"/>
      <w:sz w:val="20"/>
      <w:szCs w:val="20"/>
    </w:rPr>
  </w:style>
  <w:style w:type="paragraph" w:customStyle="1" w:styleId="123">
    <w:name w:val="Char2"/>
    <w:basedOn w:val="1"/>
    <w:qFormat/>
    <w:uiPriority w:val="0"/>
    <w:pPr>
      <w:autoSpaceDE/>
      <w:autoSpaceDN/>
      <w:adjustRightInd/>
      <w:jc w:val="both"/>
    </w:pPr>
    <w:rPr>
      <w:rFonts w:ascii="Tahoma" w:hAnsi="Tahoma" w:cs="Times New Roman"/>
      <w:kern w:val="2"/>
      <w:sz w:val="24"/>
      <w:szCs w:val="20"/>
    </w:rPr>
  </w:style>
  <w:style w:type="paragraph" w:customStyle="1" w:styleId="124">
    <w:name w:val="xl35"/>
    <w:basedOn w:val="1"/>
    <w:qFormat/>
    <w:uiPriority w:val="0"/>
    <w:pPr>
      <w:widowControl/>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25">
    <w:name w:val="xl4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26">
    <w:name w:val="xl5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Arial Unicode MS" w:hAnsi="Arial Unicode MS" w:eastAsia="Arial Unicode MS" w:cs="Arial Unicode MS"/>
      <w:b/>
      <w:bCs/>
      <w:color w:val="000000"/>
      <w:sz w:val="16"/>
      <w:szCs w:val="16"/>
    </w:rPr>
  </w:style>
  <w:style w:type="paragraph" w:customStyle="1" w:styleId="127">
    <w:name w:val="xl43"/>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28">
    <w:name w:val="background1"/>
    <w:basedOn w:val="1"/>
    <w:qFormat/>
    <w:uiPriority w:val="0"/>
    <w:pPr>
      <w:widowControl/>
      <w:autoSpaceDE/>
      <w:autoSpaceDN/>
      <w:adjustRightInd/>
      <w:spacing w:before="100" w:beforeAutospacing="1" w:after="100" w:afterAutospacing="1"/>
    </w:pPr>
    <w:rPr>
      <w:rFonts w:hAnsi="宋体"/>
      <w:sz w:val="24"/>
      <w:szCs w:val="24"/>
    </w:rPr>
  </w:style>
  <w:style w:type="paragraph" w:customStyle="1" w:styleId="129">
    <w:name w:val="Char Char Char Char Char Char Char"/>
    <w:basedOn w:val="1"/>
    <w:qFormat/>
    <w:uiPriority w:val="0"/>
    <w:pPr>
      <w:autoSpaceDE/>
      <w:autoSpaceDN/>
      <w:adjustRightInd/>
      <w:snapToGrid w:val="0"/>
      <w:spacing w:line="360" w:lineRule="auto"/>
      <w:ind w:firstLine="200" w:firstLineChars="200"/>
      <w:jc w:val="both"/>
    </w:pPr>
    <w:rPr>
      <w:rFonts w:ascii="Times New Roman" w:eastAsia="仿宋_GB2312" w:cs="Times New Roman"/>
      <w:kern w:val="2"/>
      <w:sz w:val="24"/>
      <w:szCs w:val="24"/>
    </w:rPr>
  </w:style>
  <w:style w:type="paragraph" w:customStyle="1" w:styleId="130">
    <w:name w:val="xl3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16"/>
      <w:szCs w:val="16"/>
    </w:rPr>
  </w:style>
  <w:style w:type="paragraph" w:customStyle="1" w:styleId="131">
    <w:name w:val="xl36"/>
    <w:basedOn w:val="1"/>
    <w:qFormat/>
    <w:uiPriority w:val="0"/>
    <w:pPr>
      <w:widowControl/>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32">
    <w:name w:val="正文 + 宋体"/>
    <w:basedOn w:val="1"/>
    <w:qFormat/>
    <w:uiPriority w:val="0"/>
    <w:pPr>
      <w:widowControl/>
      <w:autoSpaceDE/>
      <w:autoSpaceDN/>
      <w:adjustRightInd/>
      <w:ind w:left="360" w:hanging="360"/>
    </w:pPr>
    <w:rPr>
      <w:rFonts w:hAnsi="宋体"/>
      <w:b/>
      <w:bCs/>
      <w:color w:val="000000"/>
      <w:sz w:val="18"/>
      <w:szCs w:val="18"/>
    </w:rPr>
  </w:style>
  <w:style w:type="paragraph" w:customStyle="1" w:styleId="133">
    <w:name w:val="正文列项_数字"/>
    <w:basedOn w:val="1"/>
    <w:qFormat/>
    <w:uiPriority w:val="0"/>
    <w:pPr>
      <w:numPr>
        <w:ilvl w:val="7"/>
        <w:numId w:val="1"/>
      </w:numPr>
      <w:adjustRightInd/>
      <w:spacing w:line="460" w:lineRule="exact"/>
      <w:ind w:left="680" w:leftChars="530" w:hanging="150" w:hangingChars="150"/>
      <w:jc w:val="both"/>
      <w:outlineLvl w:val="7"/>
    </w:pPr>
    <w:rPr>
      <w:rFonts w:cs="Times New Roman"/>
      <w:sz w:val="28"/>
      <w:szCs w:val="20"/>
    </w:rPr>
  </w:style>
  <w:style w:type="paragraph" w:customStyle="1" w:styleId="134">
    <w:name w:val="xl3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35">
    <w:name w:val="xl37"/>
    <w:basedOn w:val="1"/>
    <w:qFormat/>
    <w:uiPriority w:val="0"/>
    <w:pPr>
      <w:widowControl/>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36">
    <w:name w:val="xl3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Arial Unicode MS" w:hAnsi="Arial Unicode MS" w:eastAsia="Arial Unicode MS" w:cs="Arial Unicode MS"/>
      <w:color w:val="000000"/>
      <w:sz w:val="20"/>
      <w:szCs w:val="20"/>
    </w:rPr>
  </w:style>
  <w:style w:type="paragraph" w:customStyle="1" w:styleId="137">
    <w:name w:val="font8"/>
    <w:basedOn w:val="1"/>
    <w:qFormat/>
    <w:uiPriority w:val="0"/>
    <w:pPr>
      <w:widowControl/>
      <w:autoSpaceDE/>
      <w:autoSpaceDN/>
      <w:adjustRightInd/>
      <w:spacing w:before="100" w:beforeAutospacing="1" w:after="100" w:afterAutospacing="1"/>
    </w:pPr>
    <w:rPr>
      <w:rFonts w:ascii="Times New Roman" w:cs="Times New Roman"/>
      <w:sz w:val="36"/>
      <w:szCs w:val="36"/>
    </w:rPr>
  </w:style>
  <w:style w:type="paragraph" w:customStyle="1" w:styleId="138">
    <w:name w:val="Char"/>
    <w:basedOn w:val="1"/>
    <w:qFormat/>
    <w:uiPriority w:val="0"/>
    <w:pPr>
      <w:tabs>
        <w:tab w:val="left" w:pos="360"/>
      </w:tabs>
      <w:autoSpaceDE/>
      <w:autoSpaceDN/>
      <w:adjustRightInd/>
      <w:jc w:val="both"/>
    </w:pPr>
    <w:rPr>
      <w:rFonts w:ascii="Times New Roman" w:cs="Times New Roman"/>
      <w:kern w:val="2"/>
      <w:sz w:val="24"/>
      <w:szCs w:val="24"/>
    </w:rPr>
  </w:style>
  <w:style w:type="paragraph" w:customStyle="1" w:styleId="139">
    <w:name w:val="Char Char Char Char Char Char Char Char Char Char Char Char Char Char Char Char"/>
    <w:basedOn w:val="1"/>
    <w:qFormat/>
    <w:uiPriority w:val="0"/>
    <w:pPr>
      <w:widowControl/>
      <w:autoSpaceDE/>
      <w:autoSpaceDN/>
      <w:adjustRightInd/>
      <w:spacing w:after="160" w:line="240" w:lineRule="exact"/>
      <w:jc w:val="center"/>
    </w:pPr>
    <w:rPr>
      <w:rFonts w:hAnsi="宋体" w:cs="Times New Roman"/>
      <w:b/>
      <w:sz w:val="30"/>
      <w:szCs w:val="30"/>
      <w:lang w:eastAsia="en-US"/>
    </w:rPr>
  </w:style>
  <w:style w:type="paragraph" w:customStyle="1" w:styleId="140">
    <w:name w:val="xl45"/>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41">
    <w:name w:val="Char Char1 Char Char Char Char Char Char"/>
    <w:basedOn w:val="1"/>
    <w:qFormat/>
    <w:uiPriority w:val="0"/>
    <w:pPr>
      <w:widowControl/>
      <w:autoSpaceDE/>
      <w:autoSpaceDN/>
      <w:adjustRightInd/>
      <w:spacing w:after="160" w:line="240" w:lineRule="exact"/>
    </w:pPr>
    <w:rPr>
      <w:rFonts w:ascii="Verdana" w:hAnsi="Verdana" w:eastAsia="仿宋_GB2312" w:cs="Times New Roman"/>
      <w:sz w:val="24"/>
      <w:szCs w:val="20"/>
      <w:lang w:eastAsia="en-US"/>
    </w:rPr>
  </w:style>
  <w:style w:type="paragraph" w:customStyle="1" w:styleId="142">
    <w:name w:val="Char Char1"/>
    <w:basedOn w:val="14"/>
    <w:qFormat/>
    <w:uiPriority w:val="0"/>
    <w:rPr>
      <w:rFonts w:ascii="Tahoma" w:hAnsi="Tahoma"/>
      <w:sz w:val="24"/>
    </w:rPr>
  </w:style>
  <w:style w:type="paragraph" w:customStyle="1" w:styleId="143">
    <w:name w:val="xl26"/>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eastAsia="Arial Unicode MS" w:cs="Times New Roman"/>
      <w:color w:val="000000"/>
    </w:rPr>
  </w:style>
  <w:style w:type="paragraph" w:customStyle="1" w:styleId="144">
    <w:name w:val="xl3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sz w:val="20"/>
      <w:szCs w:val="20"/>
    </w:rPr>
  </w:style>
  <w:style w:type="paragraph" w:customStyle="1" w:styleId="145">
    <w:name w:val="xl41"/>
    <w:basedOn w:val="1"/>
    <w:qFormat/>
    <w:uiPriority w:val="0"/>
    <w:pPr>
      <w:widowControl/>
      <w:pBdr>
        <w:top w:val="single" w:color="auto" w:sz="4" w:space="0"/>
        <w:left w:val="single" w:color="auto" w:sz="4" w:space="0"/>
        <w:bottom w:val="single" w:color="auto" w:sz="4" w:space="0"/>
      </w:pBdr>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46">
    <w:name w:val="样式 宋体 五号 行距: 单倍行距"/>
    <w:basedOn w:val="1"/>
    <w:qFormat/>
    <w:uiPriority w:val="0"/>
    <w:pPr>
      <w:autoSpaceDE/>
      <w:autoSpaceDN/>
      <w:textAlignment w:val="baseline"/>
    </w:pPr>
    <w:rPr>
      <w:rFonts w:hAnsi="宋体" w:cs="Times New Roman"/>
      <w:sz w:val="21"/>
      <w:szCs w:val="20"/>
    </w:rPr>
  </w:style>
  <w:style w:type="paragraph" w:customStyle="1" w:styleId="147">
    <w:name w:val="Char1 Char Char Char1"/>
    <w:basedOn w:val="1"/>
    <w:qFormat/>
    <w:uiPriority w:val="0"/>
    <w:pPr>
      <w:autoSpaceDE/>
      <w:autoSpaceDN/>
      <w:adjustRightInd/>
      <w:jc w:val="both"/>
    </w:pPr>
    <w:rPr>
      <w:rFonts w:ascii="Tahoma" w:hAnsi="Tahoma" w:cs="仿宋_GB2312"/>
      <w:kern w:val="2"/>
      <w:sz w:val="24"/>
      <w:szCs w:val="28"/>
    </w:rPr>
  </w:style>
  <w:style w:type="paragraph" w:customStyle="1" w:styleId="148">
    <w:name w:val="四级条标题"/>
    <w:basedOn w:val="149"/>
    <w:next w:val="1"/>
    <w:qFormat/>
    <w:uiPriority w:val="0"/>
    <w:pPr>
      <w:numPr>
        <w:ilvl w:val="4"/>
      </w:numPr>
      <w:tabs>
        <w:tab w:val="left" w:pos="360"/>
        <w:tab w:val="left" w:pos="840"/>
      </w:tabs>
      <w:outlineLvl w:val="4"/>
    </w:pPr>
  </w:style>
  <w:style w:type="paragraph" w:customStyle="1" w:styleId="149">
    <w:name w:val="三级条标题"/>
    <w:basedOn w:val="111"/>
    <w:next w:val="1"/>
    <w:qFormat/>
    <w:uiPriority w:val="0"/>
    <w:pPr>
      <w:numPr>
        <w:ilvl w:val="3"/>
        <w:numId w:val="1"/>
      </w:numPr>
      <w:outlineLvl w:val="3"/>
    </w:pPr>
  </w:style>
  <w:style w:type="paragraph" w:customStyle="1" w:styleId="15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51">
    <w:name w:val="样式 标题 2 + 宋体 五号 行距: 单倍行距"/>
    <w:basedOn w:val="2"/>
    <w:qFormat/>
    <w:uiPriority w:val="0"/>
    <w:pPr>
      <w:keepNext/>
      <w:keepLines/>
      <w:numPr>
        <w:ilvl w:val="1"/>
        <w:numId w:val="4"/>
      </w:numPr>
      <w:autoSpaceDE/>
      <w:autoSpaceDN/>
      <w:spacing w:before="260" w:after="260"/>
      <w:ind w:left="1348" w:hanging="348"/>
      <w:textAlignment w:val="baseline"/>
    </w:pPr>
    <w:rPr>
      <w:rFonts w:hAnsi="宋体" w:cs="Times New Roman"/>
      <w:b/>
      <w:bCs/>
      <w:sz w:val="21"/>
      <w:szCs w:val="20"/>
    </w:rPr>
  </w:style>
  <w:style w:type="paragraph" w:customStyle="1" w:styleId="152">
    <w:name w:val="List Paragraph1"/>
    <w:basedOn w:val="1"/>
    <w:qFormat/>
    <w:uiPriority w:val="0"/>
    <w:pPr>
      <w:autoSpaceDE/>
      <w:autoSpaceDN/>
      <w:adjustRightInd/>
      <w:ind w:firstLine="420" w:firstLineChars="200"/>
      <w:jc w:val="both"/>
    </w:pPr>
    <w:rPr>
      <w:rFonts w:ascii="Calibri" w:hAnsi="Calibri" w:cs="Times New Roman"/>
      <w:kern w:val="2"/>
      <w:sz w:val="21"/>
    </w:rPr>
  </w:style>
  <w:style w:type="paragraph" w:customStyle="1" w:styleId="153">
    <w:name w:val="项目符号1"/>
    <w:basedOn w:val="154"/>
    <w:qFormat/>
    <w:uiPriority w:val="0"/>
    <w:pPr>
      <w:ind w:left="-25" w:firstLine="0"/>
    </w:pPr>
  </w:style>
  <w:style w:type="paragraph" w:customStyle="1" w:styleId="154">
    <w:name w:val="正文文本样式"/>
    <w:basedOn w:val="1"/>
    <w:qFormat/>
    <w:uiPriority w:val="0"/>
    <w:pPr>
      <w:autoSpaceDE/>
      <w:autoSpaceDN/>
      <w:adjustRightInd/>
      <w:spacing w:line="360" w:lineRule="auto"/>
      <w:ind w:firstLine="482"/>
      <w:jc w:val="both"/>
    </w:pPr>
    <w:rPr>
      <w:rFonts w:ascii="Times New Roman"/>
      <w:kern w:val="2"/>
      <w:sz w:val="24"/>
      <w:szCs w:val="20"/>
    </w:rPr>
  </w:style>
  <w:style w:type="paragraph" w:customStyle="1" w:styleId="155">
    <w:name w:val="xl27"/>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eastAsia="Arial Unicode MS" w:cs="Times New Roman"/>
      <w:color w:val="000000"/>
      <w:sz w:val="20"/>
      <w:szCs w:val="20"/>
    </w:rPr>
  </w:style>
  <w:style w:type="paragraph" w:customStyle="1" w:styleId="156">
    <w:name w:val="font5"/>
    <w:basedOn w:val="1"/>
    <w:qFormat/>
    <w:uiPriority w:val="0"/>
    <w:pPr>
      <w:widowControl/>
      <w:autoSpaceDE/>
      <w:autoSpaceDN/>
      <w:adjustRightInd/>
      <w:spacing w:before="100" w:beforeAutospacing="1" w:after="100" w:afterAutospacing="1"/>
    </w:pPr>
    <w:rPr>
      <w:rFonts w:hAnsi="宋体"/>
      <w:sz w:val="18"/>
      <w:szCs w:val="18"/>
    </w:rPr>
  </w:style>
  <w:style w:type="paragraph" w:customStyle="1" w:styleId="157">
    <w:name w:val="五级条标题"/>
    <w:basedOn w:val="148"/>
    <w:next w:val="1"/>
    <w:qFormat/>
    <w:uiPriority w:val="0"/>
    <w:pPr>
      <w:numPr>
        <w:ilvl w:val="5"/>
      </w:numPr>
      <w:outlineLvl w:val="5"/>
    </w:pPr>
  </w:style>
  <w:style w:type="paragraph" w:customStyle="1" w:styleId="158">
    <w:name w:val="xl4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color w:val="000000"/>
    </w:rPr>
  </w:style>
  <w:style w:type="paragraph" w:customStyle="1" w:styleId="159">
    <w:name w:val="文档正文"/>
    <w:basedOn w:val="1"/>
    <w:qFormat/>
    <w:uiPriority w:val="0"/>
    <w:pPr>
      <w:autoSpaceDE/>
      <w:autoSpaceDN/>
      <w:adjustRightInd/>
      <w:snapToGrid w:val="0"/>
      <w:spacing w:before="120" w:after="120" w:line="180" w:lineRule="auto"/>
      <w:jc w:val="both"/>
    </w:pPr>
    <w:rPr>
      <w:rFonts w:ascii="Arial" w:hAnsi="Arial" w:cs="Times New Roman"/>
      <w:kern w:val="2"/>
      <w:sz w:val="21"/>
      <w:szCs w:val="20"/>
    </w:rPr>
  </w:style>
  <w:style w:type="paragraph" w:customStyle="1" w:styleId="160">
    <w:name w:val="xl3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Times New Roman" w:eastAsia="Arial Unicode MS" w:cs="Times New Roman"/>
      <w:color w:val="000000"/>
      <w:sz w:val="20"/>
      <w:szCs w:val="20"/>
    </w:rPr>
  </w:style>
  <w:style w:type="paragraph" w:customStyle="1" w:styleId="161">
    <w:name w:val="xl42"/>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Times New Roman" w:eastAsia="Arial Unicode MS" w:cs="Times New Roman"/>
      <w:b/>
      <w:bCs/>
      <w:color w:val="000000"/>
      <w:sz w:val="20"/>
      <w:szCs w:val="20"/>
    </w:rPr>
  </w:style>
  <w:style w:type="paragraph" w:customStyle="1" w:styleId="162">
    <w:name w:val="Char Char Char1 Char"/>
    <w:basedOn w:val="1"/>
    <w:qFormat/>
    <w:uiPriority w:val="0"/>
    <w:pPr>
      <w:autoSpaceDE/>
      <w:autoSpaceDN/>
      <w:adjustRightInd/>
      <w:jc w:val="both"/>
    </w:pPr>
    <w:rPr>
      <w:rFonts w:ascii="Tahoma" w:hAnsi="Tahoma" w:cs="Times New Roman"/>
      <w:kern w:val="2"/>
      <w:sz w:val="24"/>
      <w:szCs w:val="20"/>
    </w:rPr>
  </w:style>
  <w:style w:type="paragraph" w:customStyle="1" w:styleId="163">
    <w:name w:val="xl44"/>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sz w:val="24"/>
      <w:szCs w:val="24"/>
    </w:rPr>
  </w:style>
  <w:style w:type="paragraph" w:customStyle="1" w:styleId="164">
    <w:name w:val="1名"/>
    <w:basedOn w:val="1"/>
    <w:qFormat/>
    <w:uiPriority w:val="0"/>
    <w:pPr>
      <w:numPr>
        <w:ilvl w:val="0"/>
        <w:numId w:val="5"/>
      </w:numPr>
      <w:tabs>
        <w:tab w:val="clear" w:pos="360"/>
      </w:tabs>
      <w:autoSpaceDE/>
      <w:autoSpaceDN/>
      <w:adjustRightInd/>
      <w:spacing w:before="120"/>
      <w:ind w:left="541" w:hanging="229"/>
      <w:jc w:val="both"/>
    </w:pPr>
    <w:rPr>
      <w:rFonts w:cs="Times New Roman"/>
      <w:kern w:val="2"/>
      <w:sz w:val="28"/>
      <w:szCs w:val="20"/>
    </w:rPr>
  </w:style>
  <w:style w:type="paragraph" w:customStyle="1" w:styleId="165">
    <w:name w:val="font9"/>
    <w:basedOn w:val="1"/>
    <w:qFormat/>
    <w:uiPriority w:val="0"/>
    <w:pPr>
      <w:widowControl/>
      <w:autoSpaceDE/>
      <w:autoSpaceDN/>
      <w:adjustRightInd/>
      <w:spacing w:before="100" w:beforeAutospacing="1" w:after="100" w:afterAutospacing="1"/>
    </w:pPr>
    <w:rPr>
      <w:rFonts w:hAnsi="宋体" w:cs="Arial Unicode MS"/>
      <w:color w:val="000000"/>
      <w:sz w:val="20"/>
      <w:szCs w:val="20"/>
    </w:rPr>
  </w:style>
  <w:style w:type="paragraph" w:customStyle="1" w:styleId="166">
    <w:name w:val="Char Char Char1 Char1"/>
    <w:basedOn w:val="1"/>
    <w:qFormat/>
    <w:uiPriority w:val="0"/>
    <w:pPr>
      <w:autoSpaceDE/>
      <w:autoSpaceDN/>
      <w:adjustRightInd/>
      <w:jc w:val="both"/>
    </w:pPr>
    <w:rPr>
      <w:rFonts w:ascii="Tahoma" w:hAnsi="Tahoma" w:cs="Times New Roman"/>
      <w:kern w:val="2"/>
      <w:sz w:val="24"/>
      <w:szCs w:val="20"/>
    </w:rPr>
  </w:style>
  <w:style w:type="paragraph" w:customStyle="1" w:styleId="167">
    <w:name w:val="Char Char Char Char Char Char Char Char Char Char"/>
    <w:basedOn w:val="1"/>
    <w:qFormat/>
    <w:uiPriority w:val="0"/>
    <w:pPr>
      <w:autoSpaceDE/>
      <w:autoSpaceDN/>
      <w:adjustRightInd/>
      <w:jc w:val="both"/>
    </w:pPr>
    <w:rPr>
      <w:rFonts w:ascii="Times New Roman" w:cs="Times New Roman"/>
      <w:kern w:val="2"/>
      <w:sz w:val="21"/>
      <w:szCs w:val="24"/>
    </w:rPr>
  </w:style>
  <w:style w:type="paragraph" w:customStyle="1" w:styleId="168">
    <w:name w:val="Char Char1 Char Char Char Char Char Char Char Char"/>
    <w:basedOn w:val="1"/>
    <w:qFormat/>
    <w:uiPriority w:val="0"/>
    <w:pPr>
      <w:widowControl/>
      <w:autoSpaceDE/>
      <w:autoSpaceDN/>
      <w:adjustRightInd/>
      <w:spacing w:after="160" w:line="240" w:lineRule="exact"/>
    </w:pPr>
    <w:rPr>
      <w:rFonts w:ascii="Verdana" w:hAnsi="Verdana" w:cs="Times New Roman"/>
      <w:sz w:val="20"/>
      <w:szCs w:val="20"/>
      <w:lang w:eastAsia="en-US"/>
    </w:rPr>
  </w:style>
  <w:style w:type="paragraph" w:customStyle="1" w:styleId="169">
    <w:name w:val="Char1"/>
    <w:basedOn w:val="1"/>
    <w:qFormat/>
    <w:uiPriority w:val="0"/>
    <w:pPr>
      <w:tabs>
        <w:tab w:val="left" w:pos="360"/>
      </w:tabs>
      <w:autoSpaceDE/>
      <w:autoSpaceDN/>
      <w:adjustRightInd/>
      <w:jc w:val="both"/>
    </w:pPr>
    <w:rPr>
      <w:rFonts w:ascii="Times New Roman" w:cs="Times New Roman"/>
      <w:kern w:val="2"/>
      <w:sz w:val="24"/>
      <w:szCs w:val="24"/>
    </w:rPr>
  </w:style>
  <w:style w:type="paragraph" w:customStyle="1" w:styleId="170">
    <w:name w:val="正文列项_字母"/>
    <w:basedOn w:val="1"/>
    <w:qFormat/>
    <w:uiPriority w:val="0"/>
    <w:pPr>
      <w:numPr>
        <w:ilvl w:val="6"/>
        <w:numId w:val="1"/>
      </w:numPr>
      <w:adjustRightInd/>
      <w:spacing w:line="460" w:lineRule="exact"/>
      <w:ind w:left="480" w:leftChars="300" w:hanging="180" w:hangingChars="180"/>
      <w:jc w:val="both"/>
      <w:outlineLvl w:val="6"/>
    </w:pPr>
    <w:rPr>
      <w:rFonts w:cs="Times New Roman"/>
      <w:sz w:val="28"/>
      <w:szCs w:val="20"/>
    </w:rPr>
  </w:style>
  <w:style w:type="paragraph" w:customStyle="1" w:styleId="171">
    <w:name w:val="xl2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172">
    <w:name w:val="xl47"/>
    <w:basedOn w:val="1"/>
    <w:qFormat/>
    <w:uiPriority w:val="0"/>
    <w:pPr>
      <w:widowControl/>
      <w:pBdr>
        <w:top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73">
    <w:name w:val="默认段落字体 Para Char Char Char Char"/>
    <w:basedOn w:val="1"/>
    <w:qFormat/>
    <w:uiPriority w:val="0"/>
    <w:pPr>
      <w:autoSpaceDE/>
      <w:autoSpaceDN/>
      <w:adjustRightInd/>
      <w:jc w:val="both"/>
    </w:pPr>
    <w:rPr>
      <w:rFonts w:ascii="Arial" w:hAnsi="Arial" w:cs="Arial"/>
      <w:kern w:val="2"/>
      <w:sz w:val="21"/>
      <w:szCs w:val="21"/>
    </w:rPr>
  </w:style>
  <w:style w:type="paragraph" w:customStyle="1" w:styleId="174">
    <w:name w:val="xl48"/>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b/>
      <w:bCs/>
      <w:color w:val="000000"/>
    </w:rPr>
  </w:style>
  <w:style w:type="paragraph" w:customStyle="1" w:styleId="175">
    <w:name w:val="xl3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Times New Roman" w:eastAsia="Arial Unicode MS" w:cs="Times New Roman"/>
      <w:color w:val="000000"/>
      <w:sz w:val="20"/>
      <w:szCs w:val="20"/>
    </w:rPr>
  </w:style>
  <w:style w:type="paragraph" w:customStyle="1" w:styleId="176">
    <w:name w:val="xl53"/>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top"/>
    </w:pPr>
    <w:rPr>
      <w:rFonts w:ascii="Arial Unicode MS" w:hAnsi="Arial Unicode MS" w:eastAsia="Arial Unicode MS" w:cs="Arial Unicode MS"/>
      <w:b/>
      <w:bCs/>
      <w:color w:val="000000"/>
      <w:sz w:val="20"/>
      <w:szCs w:val="20"/>
    </w:rPr>
  </w:style>
  <w:style w:type="paragraph" w:customStyle="1" w:styleId="177">
    <w:name w:val="Char Char Char"/>
    <w:basedOn w:val="1"/>
    <w:qFormat/>
    <w:uiPriority w:val="0"/>
    <w:pPr>
      <w:autoSpaceDE/>
      <w:autoSpaceDN/>
      <w:adjustRightInd/>
      <w:jc w:val="both"/>
    </w:pPr>
    <w:rPr>
      <w:rFonts w:ascii="Tahoma" w:hAnsi="Tahoma" w:cs="Times New Roman"/>
      <w:kern w:val="2"/>
      <w:sz w:val="24"/>
      <w:szCs w:val="20"/>
    </w:rPr>
  </w:style>
  <w:style w:type="paragraph" w:customStyle="1" w:styleId="178">
    <w:name w:val="xl50"/>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179">
    <w:name w:val="缺省文本"/>
    <w:basedOn w:val="1"/>
    <w:qFormat/>
    <w:uiPriority w:val="0"/>
    <w:rPr>
      <w:rFonts w:ascii="Times New Roman" w:cs="Times New Roman"/>
      <w:sz w:val="24"/>
      <w:szCs w:val="24"/>
    </w:rPr>
  </w:style>
  <w:style w:type="paragraph" w:customStyle="1" w:styleId="180">
    <w:name w:val="Char Char Char1"/>
    <w:basedOn w:val="1"/>
    <w:qFormat/>
    <w:uiPriority w:val="0"/>
    <w:pPr>
      <w:autoSpaceDE/>
      <w:autoSpaceDN/>
      <w:adjustRightInd/>
      <w:jc w:val="both"/>
    </w:pPr>
    <w:rPr>
      <w:rFonts w:ascii="Tahoma" w:hAnsi="Tahoma" w:cs="Times New Roman"/>
      <w:kern w:val="2"/>
      <w:sz w:val="24"/>
      <w:szCs w:val="20"/>
    </w:rPr>
  </w:style>
  <w:style w:type="paragraph" w:customStyle="1" w:styleId="181">
    <w:name w:val="Char Char Char Char Char Char Char1"/>
    <w:basedOn w:val="1"/>
    <w:qFormat/>
    <w:uiPriority w:val="0"/>
    <w:pPr>
      <w:autoSpaceDE/>
      <w:autoSpaceDN/>
      <w:adjustRightInd/>
      <w:snapToGrid w:val="0"/>
      <w:spacing w:line="360" w:lineRule="auto"/>
      <w:ind w:firstLine="200" w:firstLineChars="200"/>
      <w:jc w:val="both"/>
    </w:pPr>
    <w:rPr>
      <w:rFonts w:ascii="Times New Roman" w:eastAsia="仿宋_GB2312" w:cs="Times New Roman"/>
      <w:kern w:val="2"/>
      <w:sz w:val="24"/>
      <w:szCs w:val="24"/>
    </w:rPr>
  </w:style>
  <w:style w:type="paragraph" w:customStyle="1" w:styleId="182">
    <w:name w:val="xl51"/>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both"/>
      <w:textAlignment w:val="top"/>
    </w:pPr>
    <w:rPr>
      <w:rFonts w:ascii="Arial Unicode MS" w:hAnsi="Arial Unicode MS" w:eastAsia="Arial Unicode MS" w:cs="Arial Unicode MS"/>
      <w:b/>
      <w:bCs/>
      <w:color w:val="000000"/>
      <w:sz w:val="20"/>
      <w:szCs w:val="20"/>
    </w:rPr>
  </w:style>
  <w:style w:type="paragraph" w:customStyle="1" w:styleId="183">
    <w:name w:val="样式2"/>
    <w:basedOn w:val="39"/>
    <w:qFormat/>
    <w:uiPriority w:val="0"/>
    <w:pPr>
      <w:spacing w:line="360" w:lineRule="auto"/>
      <w:jc w:val="center"/>
    </w:pPr>
    <w:rPr>
      <w:sz w:val="24"/>
    </w:rPr>
  </w:style>
  <w:style w:type="paragraph" w:customStyle="1" w:styleId="184">
    <w:name w:val="xl2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185">
    <w:name w:val="xl29"/>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Times New Roman" w:cs="Times New Roman"/>
      <w:sz w:val="20"/>
      <w:szCs w:val="20"/>
    </w:rPr>
  </w:style>
  <w:style w:type="paragraph" w:customStyle="1" w:styleId="186">
    <w:name w:val="正文 + 楷体_GB2312"/>
    <w:basedOn w:val="1"/>
    <w:qFormat/>
    <w:uiPriority w:val="0"/>
    <w:pPr>
      <w:widowControl/>
      <w:autoSpaceDE/>
      <w:autoSpaceDN/>
      <w:adjustRightInd/>
    </w:pPr>
    <w:rPr>
      <w:rFonts w:ascii="楷体_GB2312" w:eastAsia="楷体_GB2312" w:cs="Arial"/>
      <w:sz w:val="24"/>
      <w:szCs w:val="24"/>
    </w:rPr>
  </w:style>
  <w:style w:type="paragraph" w:customStyle="1" w:styleId="187">
    <w:name w:val="xl34"/>
    <w:basedOn w:val="1"/>
    <w:qFormat/>
    <w:uiPriority w:val="0"/>
    <w:pPr>
      <w:widowControl/>
      <w:pBdr>
        <w:top w:val="single" w:color="auto" w:sz="4" w:space="0"/>
        <w:left w:val="single" w:color="auto" w:sz="4" w:space="0"/>
        <w:bottom w:val="single" w:color="auto" w:sz="4" w:space="0"/>
        <w:right w:val="single" w:color="auto" w:sz="4" w:space="0"/>
      </w:pBdr>
      <w:autoSpaceDE/>
      <w:autoSpaceDN/>
      <w:adjustRightInd/>
      <w:spacing w:before="100" w:beforeAutospacing="1" w:after="100" w:afterAutospacing="1"/>
      <w:jc w:val="center"/>
      <w:textAlignment w:val="center"/>
    </w:pPr>
    <w:rPr>
      <w:rFonts w:ascii="Times New Roman" w:cs="Times New Roman"/>
      <w:color w:val="FF6600"/>
      <w:sz w:val="20"/>
      <w:szCs w:val="20"/>
    </w:rPr>
  </w:style>
  <w:style w:type="paragraph" w:customStyle="1" w:styleId="188">
    <w:name w:val="1 Char Char Char Char"/>
    <w:basedOn w:val="1"/>
    <w:qFormat/>
    <w:uiPriority w:val="0"/>
    <w:pPr>
      <w:autoSpaceDE/>
      <w:autoSpaceDN/>
      <w:adjustRightInd/>
      <w:jc w:val="both"/>
    </w:pPr>
    <w:rPr>
      <w:rFonts w:ascii="Tahoma" w:hAnsi="Tahoma" w:cs="Times New Roman"/>
      <w:kern w:val="2"/>
      <w:sz w:val="24"/>
      <w:szCs w:val="20"/>
    </w:rPr>
  </w:style>
  <w:style w:type="paragraph" w:customStyle="1" w:styleId="189">
    <w:name w:val="列出段落1"/>
    <w:basedOn w:val="1"/>
    <w:qFormat/>
    <w:uiPriority w:val="0"/>
    <w:pPr>
      <w:autoSpaceDE/>
      <w:autoSpaceDN/>
      <w:adjustRightInd/>
      <w:ind w:firstLine="420" w:firstLineChars="200"/>
      <w:jc w:val="both"/>
    </w:pPr>
    <w:rPr>
      <w:rFonts w:ascii="Calibri" w:hAnsi="Calibri" w:cs="Times New Roman"/>
      <w:kern w:val="2"/>
      <w:sz w:val="21"/>
    </w:rPr>
  </w:style>
  <w:style w:type="paragraph" w:customStyle="1" w:styleId="190">
    <w:name w:val="default"/>
    <w:basedOn w:val="1"/>
    <w:qFormat/>
    <w:uiPriority w:val="0"/>
    <w:pPr>
      <w:widowControl/>
      <w:autoSpaceDE/>
      <w:autoSpaceDN/>
      <w:adjustRightInd/>
      <w:spacing w:before="100" w:beforeAutospacing="1" w:after="100" w:afterAutospacing="1"/>
    </w:pPr>
    <w:rPr>
      <w:rFonts w:hAnsi="宋体"/>
      <w:sz w:val="24"/>
      <w:szCs w:val="24"/>
    </w:rPr>
  </w:style>
  <w:style w:type="paragraph" w:customStyle="1" w:styleId="191">
    <w:name w:val="字元 字元1"/>
    <w:basedOn w:val="1"/>
    <w:qFormat/>
    <w:uiPriority w:val="0"/>
    <w:pPr>
      <w:autoSpaceDE/>
      <w:autoSpaceDN/>
      <w:adjustRightInd/>
      <w:jc w:val="both"/>
    </w:pPr>
    <w:rPr>
      <w:rFonts w:ascii="Tahoma" w:hAnsi="Tahoma" w:cs="Times New Roman"/>
      <w:kern w:val="2"/>
      <w:sz w:val="24"/>
      <w:szCs w:val="20"/>
    </w:rPr>
  </w:style>
  <w:style w:type="paragraph" w:customStyle="1" w:styleId="192">
    <w:name w:val="_Style 160"/>
    <w:qFormat/>
    <w:uiPriority w:val="0"/>
    <w:rPr>
      <w:rFonts w:ascii="Times New Roman" w:hAnsi="Times New Roman" w:eastAsia="宋体" w:cs="Times New Roman"/>
      <w:kern w:val="2"/>
      <w:sz w:val="21"/>
      <w:szCs w:val="24"/>
      <w:lang w:val="en-US" w:eastAsia="zh-CN" w:bidi="ar-SA"/>
    </w:rPr>
  </w:style>
  <w:style w:type="paragraph" w:customStyle="1" w:styleId="193">
    <w:name w:val="项目编号3"/>
    <w:basedOn w:val="154"/>
    <w:qFormat/>
    <w:uiPriority w:val="0"/>
    <w:pPr>
      <w:numPr>
        <w:ilvl w:val="0"/>
        <w:numId w:val="6"/>
      </w:numPr>
      <w:ind w:left="1605" w:hanging="633"/>
    </w:pPr>
  </w:style>
  <w:style w:type="paragraph" w:customStyle="1" w:styleId="194">
    <w:name w:val="Char21"/>
    <w:basedOn w:val="1"/>
    <w:qFormat/>
    <w:uiPriority w:val="0"/>
    <w:pPr>
      <w:autoSpaceDE/>
      <w:autoSpaceDN/>
      <w:adjustRightInd/>
      <w:jc w:val="both"/>
    </w:pPr>
    <w:rPr>
      <w:rFonts w:ascii="Tahoma" w:hAnsi="Tahoma" w:cs="Times New Roman"/>
      <w:kern w:val="2"/>
      <w:sz w:val="24"/>
      <w:szCs w:val="20"/>
    </w:rPr>
  </w:style>
  <w:style w:type="paragraph" w:customStyle="1" w:styleId="19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6">
    <w:name w:val="Char Char Char Char Char Char Char Char Char Char1"/>
    <w:basedOn w:val="1"/>
    <w:qFormat/>
    <w:uiPriority w:val="0"/>
    <w:pPr>
      <w:autoSpaceDE/>
      <w:autoSpaceDN/>
      <w:adjustRightInd/>
      <w:jc w:val="both"/>
    </w:pPr>
    <w:rPr>
      <w:rFonts w:hAnsi="宋体" w:cs="Courier New"/>
      <w:kern w:val="2"/>
      <w:sz w:val="32"/>
      <w:szCs w:val="32"/>
    </w:rPr>
  </w:style>
  <w:style w:type="paragraph" w:customStyle="1" w:styleId="197">
    <w:name w:val="正文文本样式 加粗"/>
    <w:basedOn w:val="154"/>
    <w:qFormat/>
    <w:uiPriority w:val="0"/>
    <w:rPr>
      <w:b/>
    </w:rPr>
  </w:style>
  <w:style w:type="paragraph" w:customStyle="1" w:styleId="198">
    <w:name w:val="Char2 Char Char Char Char Char Char"/>
    <w:basedOn w:val="1"/>
    <w:qFormat/>
    <w:uiPriority w:val="0"/>
    <w:pPr>
      <w:widowControl/>
      <w:autoSpaceDE/>
      <w:autoSpaceDN/>
      <w:adjustRightInd/>
      <w:spacing w:line="400" w:lineRule="exact"/>
      <w:jc w:val="center"/>
    </w:pPr>
    <w:rPr>
      <w:rFonts w:ascii="Times New Roman" w:cs="Times New Roman"/>
      <w:kern w:val="2"/>
      <w:sz w:val="21"/>
      <w:szCs w:val="24"/>
    </w:rPr>
  </w:style>
  <w:style w:type="paragraph" w:customStyle="1" w:styleId="199">
    <w:name w:val="Char Char4"/>
    <w:basedOn w:val="1"/>
    <w:qFormat/>
    <w:uiPriority w:val="0"/>
    <w:pPr>
      <w:widowControl/>
      <w:autoSpaceDE/>
      <w:autoSpaceDN/>
      <w:adjustRightInd/>
      <w:spacing w:line="400" w:lineRule="exact"/>
      <w:jc w:val="center"/>
    </w:pPr>
    <w:rPr>
      <w:rFonts w:ascii="Times New Roman" w:cs="Times New Roman"/>
      <w:kern w:val="2"/>
      <w:sz w:val="21"/>
      <w:szCs w:val="24"/>
    </w:rPr>
  </w:style>
  <w:style w:type="paragraph" w:customStyle="1" w:styleId="200">
    <w:name w:val="Char3 Char Char Char1"/>
    <w:basedOn w:val="1"/>
    <w:qFormat/>
    <w:uiPriority w:val="0"/>
    <w:pPr>
      <w:autoSpaceDE/>
      <w:autoSpaceDN/>
      <w:adjustRightInd/>
      <w:jc w:val="both"/>
    </w:pPr>
    <w:rPr>
      <w:rFonts w:ascii="Tahoma" w:hAnsi="Tahoma" w:cs="Times New Roman"/>
      <w:kern w:val="2"/>
      <w:sz w:val="24"/>
      <w:szCs w:val="20"/>
    </w:rPr>
  </w:style>
  <w:style w:type="paragraph" w:styleId="20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02">
    <w:name w:val="22222222222222"/>
    <w:basedOn w:val="1"/>
    <w:qFormat/>
    <w:uiPriority w:val="0"/>
    <w:pPr>
      <w:widowControl/>
      <w:autoSpaceDE/>
      <w:autoSpaceDN/>
      <w:spacing w:line="360" w:lineRule="auto"/>
      <w:ind w:firstLine="480" w:firstLineChars="200"/>
    </w:pPr>
    <w:rPr>
      <w:rFonts w:ascii="Times New Roman" w:cs="Times New Roman"/>
      <w:color w:val="FF0000"/>
      <w:sz w:val="24"/>
      <w:szCs w:val="20"/>
    </w:rPr>
  </w:style>
  <w:style w:type="character" w:customStyle="1" w:styleId="203">
    <w:name w:val="中等深浅网格 1 - 强调文字颜色 2 Char"/>
    <w:link w:val="204"/>
    <w:qFormat/>
    <w:uiPriority w:val="0"/>
    <w:rPr>
      <w:sz w:val="24"/>
      <w:lang w:val="zh-CN" w:eastAsia="zh-CN"/>
    </w:rPr>
  </w:style>
  <w:style w:type="paragraph" w:customStyle="1" w:styleId="204">
    <w:name w:val="1"/>
    <w:next w:val="1"/>
    <w:link w:val="203"/>
    <w:qFormat/>
    <w:uiPriority w:val="0"/>
    <w:rPr>
      <w:rFonts w:cs="Times New Roman" w:asciiTheme="minorHAnsi" w:hAnsiTheme="minorHAnsi" w:eastAsiaTheme="minorEastAsia"/>
      <w:kern w:val="2"/>
      <w:sz w:val="21"/>
      <w:szCs w:val="24"/>
      <w:lang w:val="zh-CN" w:eastAsia="zh-CN" w:bidi="ar-SA"/>
    </w:rPr>
  </w:style>
  <w:style w:type="paragraph" w:customStyle="1" w:styleId="205">
    <w:name w:val="图文"/>
    <w:basedOn w:val="1"/>
    <w:qFormat/>
    <w:uiPriority w:val="0"/>
    <w:pPr>
      <w:autoSpaceDE/>
      <w:autoSpaceDN/>
      <w:snapToGrid w:val="0"/>
      <w:spacing w:after="50" w:line="360" w:lineRule="auto"/>
      <w:jc w:val="both"/>
    </w:pPr>
    <w:rPr>
      <w:rFonts w:ascii="Times New Roman" w:cs="Times New Roman"/>
      <w:kern w:val="2"/>
      <w:sz w:val="24"/>
      <w:szCs w:val="24"/>
    </w:rPr>
  </w:style>
  <w:style w:type="paragraph" w:customStyle="1" w:styleId="206">
    <w:name w:val="xl23"/>
    <w:basedOn w:val="1"/>
    <w:qFormat/>
    <w:uiPriority w:val="0"/>
    <w:pPr>
      <w:widowControl/>
      <w:autoSpaceDE/>
      <w:autoSpaceDN/>
      <w:adjustRightInd/>
      <w:spacing w:before="100" w:beforeAutospacing="1" w:after="100" w:afterAutospacing="1" w:line="360" w:lineRule="auto"/>
      <w:jc w:val="both"/>
      <w:textAlignment w:val="top"/>
    </w:pPr>
    <w:rPr>
      <w:rFonts w:ascii="Times New Roman" w:cs="Times New Roman"/>
      <w:sz w:val="24"/>
      <w:szCs w:val="20"/>
    </w:rPr>
  </w:style>
  <w:style w:type="paragraph" w:customStyle="1" w:styleId="207">
    <w:name w:val="正文表格"/>
    <w:basedOn w:val="1"/>
    <w:link w:val="208"/>
    <w:qFormat/>
    <w:uiPriority w:val="0"/>
    <w:pPr>
      <w:autoSpaceDE/>
      <w:autoSpaceDN/>
      <w:snapToGrid w:val="0"/>
    </w:pPr>
    <w:rPr>
      <w:rFonts w:hAnsi="宋体" w:cs="Times New Roman"/>
      <w:color w:val="000000"/>
      <w:kern w:val="2"/>
      <w:sz w:val="21"/>
      <w:szCs w:val="21"/>
    </w:rPr>
  </w:style>
  <w:style w:type="character" w:customStyle="1" w:styleId="208">
    <w:name w:val="正文表格 Char"/>
    <w:link w:val="207"/>
    <w:qFormat/>
    <w:uiPriority w:val="0"/>
    <w:rPr>
      <w:rFonts w:ascii="宋体" w:hAnsi="宋体" w:eastAsia="宋体"/>
      <w:color w:val="000000"/>
      <w:sz w:val="21"/>
    </w:rPr>
  </w:style>
  <w:style w:type="paragraph" w:customStyle="1" w:styleId="209">
    <w:name w:val="正文重点"/>
    <w:basedOn w:val="1"/>
    <w:link w:val="210"/>
    <w:qFormat/>
    <w:uiPriority w:val="0"/>
    <w:pPr>
      <w:autoSpaceDE/>
      <w:autoSpaceDN/>
      <w:spacing w:line="360" w:lineRule="auto"/>
      <w:ind w:firstLine="482" w:firstLineChars="200"/>
      <w:textAlignment w:val="baseline"/>
    </w:pPr>
    <w:rPr>
      <w:rFonts w:ascii="Times New Roman" w:cs="Times New Roman"/>
      <w:b/>
      <w:sz w:val="24"/>
      <w:szCs w:val="20"/>
    </w:rPr>
  </w:style>
  <w:style w:type="character" w:customStyle="1" w:styleId="210">
    <w:name w:val="正文重点 Char"/>
    <w:link w:val="209"/>
    <w:qFormat/>
    <w:uiPriority w:val="0"/>
    <w:rPr>
      <w:rFonts w:ascii="Times New Roman" w:hAnsi="Times New Roman" w:eastAsia="宋体"/>
      <w:b/>
      <w:kern w:val="0"/>
      <w:sz w:val="20"/>
    </w:rPr>
  </w:style>
  <w:style w:type="paragraph" w:customStyle="1" w:styleId="211">
    <w:name w:val="正文小标题"/>
    <w:basedOn w:val="1"/>
    <w:next w:val="12"/>
    <w:link w:val="212"/>
    <w:qFormat/>
    <w:uiPriority w:val="0"/>
    <w:pPr>
      <w:autoSpaceDE/>
      <w:autoSpaceDN/>
      <w:snapToGrid w:val="0"/>
      <w:spacing w:before="312" w:beforeLines="100" w:after="312" w:afterLines="100"/>
      <w:ind w:firstLine="482"/>
    </w:pPr>
    <w:rPr>
      <w:rFonts w:hAnsi="宋体" w:cs="Times New Roman"/>
      <w:b/>
      <w:i/>
      <w:color w:val="FF0000"/>
      <w:kern w:val="2"/>
      <w:sz w:val="24"/>
      <w:szCs w:val="20"/>
    </w:rPr>
  </w:style>
  <w:style w:type="character" w:customStyle="1" w:styleId="212">
    <w:name w:val="正文小标题 Char"/>
    <w:link w:val="211"/>
    <w:qFormat/>
    <w:uiPriority w:val="0"/>
    <w:rPr>
      <w:rFonts w:ascii="宋体" w:hAnsi="宋体" w:eastAsia="宋体"/>
      <w:b/>
      <w:i/>
      <w:color w:val="FF0000"/>
      <w:sz w:val="20"/>
    </w:rPr>
  </w:style>
  <w:style w:type="paragraph" w:customStyle="1" w:styleId="213">
    <w:name w:val="正文大标题"/>
    <w:basedOn w:val="211"/>
    <w:next w:val="12"/>
    <w:link w:val="214"/>
    <w:qFormat/>
    <w:uiPriority w:val="0"/>
    <w:pPr>
      <w:jc w:val="center"/>
    </w:pPr>
    <w:rPr>
      <w:i w:val="0"/>
      <w:color w:val="000000"/>
      <w:sz w:val="28"/>
      <w:szCs w:val="21"/>
    </w:rPr>
  </w:style>
  <w:style w:type="character" w:customStyle="1" w:styleId="214">
    <w:name w:val="正文大标题 Char"/>
    <w:link w:val="213"/>
    <w:qFormat/>
    <w:uiPriority w:val="0"/>
    <w:rPr>
      <w:rFonts w:ascii="宋体" w:hAnsi="宋体" w:eastAsia="宋体"/>
      <w:b/>
      <w:color w:val="000000"/>
      <w:sz w:val="21"/>
    </w:rPr>
  </w:style>
  <w:style w:type="paragraph" w:customStyle="1" w:styleId="215">
    <w:name w:val="注释"/>
    <w:basedOn w:val="1"/>
    <w:link w:val="216"/>
    <w:qFormat/>
    <w:uiPriority w:val="0"/>
    <w:pPr>
      <w:autoSpaceDE/>
      <w:autoSpaceDN/>
      <w:snapToGrid w:val="0"/>
      <w:ind w:left="420" w:hanging="420" w:hangingChars="200"/>
    </w:pPr>
    <w:rPr>
      <w:rFonts w:hAnsi="宋体" w:cs="Times New Roman"/>
      <w:kern w:val="2"/>
      <w:sz w:val="21"/>
      <w:szCs w:val="21"/>
    </w:rPr>
  </w:style>
  <w:style w:type="character" w:customStyle="1" w:styleId="216">
    <w:name w:val="注释 Char"/>
    <w:link w:val="215"/>
    <w:qFormat/>
    <w:uiPriority w:val="0"/>
    <w:rPr>
      <w:rFonts w:ascii="宋体" w:hAnsi="宋体" w:eastAsia="宋体"/>
      <w:sz w:val="21"/>
    </w:rPr>
  </w:style>
  <w:style w:type="paragraph" w:customStyle="1" w:styleId="217">
    <w:name w:val="正文须知-1级"/>
    <w:basedOn w:val="1"/>
    <w:next w:val="1"/>
    <w:qFormat/>
    <w:uiPriority w:val="0"/>
    <w:pPr>
      <w:numPr>
        <w:ilvl w:val="0"/>
        <w:numId w:val="7"/>
      </w:numPr>
      <w:autoSpaceDE/>
      <w:autoSpaceDN/>
      <w:snapToGrid w:val="0"/>
      <w:spacing w:line="300" w:lineRule="auto"/>
      <w:ind w:left="1297" w:hanging="348"/>
      <w:jc w:val="both"/>
    </w:pPr>
    <w:rPr>
      <w:rFonts w:hAnsi="Calibri" w:cs="Times New Roman"/>
      <w:kern w:val="2"/>
      <w:sz w:val="24"/>
      <w:szCs w:val="21"/>
    </w:rPr>
  </w:style>
  <w:style w:type="paragraph" w:customStyle="1" w:styleId="218">
    <w:name w:val="正文须知-2级"/>
    <w:basedOn w:val="1"/>
    <w:qFormat/>
    <w:uiPriority w:val="0"/>
    <w:pPr>
      <w:numPr>
        <w:ilvl w:val="1"/>
        <w:numId w:val="7"/>
      </w:numPr>
      <w:autoSpaceDE/>
      <w:autoSpaceDN/>
      <w:snapToGrid w:val="0"/>
      <w:spacing w:line="300" w:lineRule="auto"/>
      <w:ind w:left="2188" w:hanging="348"/>
      <w:jc w:val="both"/>
    </w:pPr>
    <w:rPr>
      <w:rFonts w:hAnsi="Calibri" w:cs="Times New Roman"/>
      <w:kern w:val="2"/>
      <w:sz w:val="24"/>
      <w:szCs w:val="21"/>
    </w:rPr>
  </w:style>
  <w:style w:type="paragraph" w:customStyle="1" w:styleId="219">
    <w:name w:val="正文须知-3级"/>
    <w:basedOn w:val="1"/>
    <w:qFormat/>
    <w:uiPriority w:val="0"/>
    <w:pPr>
      <w:numPr>
        <w:ilvl w:val="2"/>
        <w:numId w:val="7"/>
      </w:numPr>
      <w:autoSpaceDE/>
      <w:autoSpaceDN/>
      <w:snapToGrid w:val="0"/>
      <w:spacing w:line="300" w:lineRule="auto"/>
      <w:ind w:left="3077" w:hanging="355" w:hangingChars="355"/>
      <w:jc w:val="both"/>
    </w:pPr>
    <w:rPr>
      <w:rFonts w:hAnsi="Calibri" w:cs="Times New Roman"/>
      <w:kern w:val="2"/>
      <w:sz w:val="24"/>
      <w:szCs w:val="21"/>
    </w:rPr>
  </w:style>
  <w:style w:type="paragraph" w:customStyle="1" w:styleId="220">
    <w:name w:val="表格1"/>
    <w:basedOn w:val="1"/>
    <w:qFormat/>
    <w:uiPriority w:val="0"/>
    <w:pPr>
      <w:autoSpaceDE/>
      <w:autoSpaceDN/>
      <w:adjustRightInd/>
      <w:ind w:firstLine="480" w:firstLineChars="200"/>
      <w:jc w:val="center"/>
    </w:pPr>
    <w:rPr>
      <w:rFonts w:ascii="Times New Roman" w:cs="Times New Roman"/>
      <w:kern w:val="2"/>
      <w:sz w:val="24"/>
      <w:szCs w:val="20"/>
    </w:rPr>
  </w:style>
  <w:style w:type="character" w:customStyle="1" w:styleId="221">
    <w:name w:val="纯文本 字符1"/>
    <w:qFormat/>
    <w:uiPriority w:val="0"/>
    <w:rPr>
      <w:rFonts w:ascii="宋体" w:hAnsi="Courier New"/>
    </w:rPr>
  </w:style>
  <w:style w:type="character" w:customStyle="1" w:styleId="222">
    <w:name w:val="bjh-p"/>
    <w:qFormat/>
    <w:uiPriority w:val="0"/>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4">
    <w:name w:val="正文格式 Char"/>
    <w:link w:val="225"/>
    <w:qFormat/>
    <w:locked/>
    <w:uiPriority w:val="0"/>
    <w:rPr>
      <w:rFonts w:ascii="宋体" w:eastAsia="宋体"/>
      <w:sz w:val="24"/>
      <w:lang w:val="en-GB" w:eastAsia="zh-CN"/>
    </w:rPr>
  </w:style>
  <w:style w:type="paragraph" w:customStyle="1" w:styleId="225">
    <w:name w:val="正文格式"/>
    <w:basedOn w:val="1"/>
    <w:link w:val="224"/>
    <w:qFormat/>
    <w:uiPriority w:val="0"/>
    <w:pPr>
      <w:autoSpaceDE/>
      <w:autoSpaceDN/>
      <w:adjustRightInd/>
      <w:spacing w:beforeLines="50" w:line="360" w:lineRule="auto"/>
      <w:ind w:firstLine="480" w:firstLineChars="200"/>
      <w:jc w:val="both"/>
    </w:pPr>
    <w:rPr>
      <w:rFonts w:hAnsi="宋体" w:cs="Times New Roman" w:eastAsiaTheme="minorEastAsia"/>
      <w:kern w:val="2"/>
      <w:sz w:val="24"/>
      <w:szCs w:val="24"/>
      <w:lang w:val="en-GB"/>
    </w:rPr>
  </w:style>
  <w:style w:type="character" w:customStyle="1" w:styleId="226">
    <w:name w:val="标题 3 Char"/>
    <w:qFormat/>
    <w:uiPriority w:val="0"/>
    <w:rPr>
      <w:rFonts w:ascii="宋体" w:eastAsia="宋体"/>
      <w:b/>
      <w:sz w:val="24"/>
      <w:u w:val="single"/>
      <w:lang w:val="en-US" w:eastAsia="zh-CN"/>
    </w:rPr>
  </w:style>
  <w:style w:type="character" w:customStyle="1" w:styleId="227">
    <w:name w:val="正文缩进 Char"/>
    <w:qFormat/>
    <w:uiPriority w:val="0"/>
    <w:rPr>
      <w:rFonts w:ascii="宋体" w:eastAsia="宋体"/>
      <w:kern w:val="2"/>
      <w:sz w:val="24"/>
      <w:lang w:val="en-US" w:eastAsia="zh-CN"/>
    </w:rPr>
  </w:style>
  <w:style w:type="character" w:customStyle="1" w:styleId="228">
    <w:name w:val="Char Char111"/>
    <w:qFormat/>
    <w:uiPriority w:val="0"/>
    <w:rPr>
      <w:rFonts w:ascii="宋体" w:eastAsia="宋体"/>
      <w:b/>
      <w:sz w:val="24"/>
      <w:u w:val="single"/>
      <w:lang w:val="en-US" w:eastAsia="zh-CN"/>
    </w:rPr>
  </w:style>
  <w:style w:type="character" w:customStyle="1" w:styleId="229">
    <w:name w:val="正文文本缩进 Char"/>
    <w:qFormat/>
    <w:uiPriority w:val="0"/>
    <w:rPr>
      <w:rFonts w:eastAsia="宋体"/>
      <w:kern w:val="2"/>
      <w:sz w:val="24"/>
      <w:lang w:val="en-US" w:eastAsia="zh-CN"/>
    </w:rPr>
  </w:style>
  <w:style w:type="character" w:customStyle="1" w:styleId="230">
    <w:name w:val="列出段落 Char"/>
    <w:qFormat/>
    <w:uiPriority w:val="0"/>
    <w:rPr>
      <w:rFonts w:ascii="Calibri" w:hAnsi="Calibri" w:eastAsia="宋体"/>
      <w:kern w:val="2"/>
      <w:sz w:val="22"/>
      <w:lang w:val="en-US" w:eastAsia="zh-CN"/>
    </w:rPr>
  </w:style>
  <w:style w:type="character" w:customStyle="1" w:styleId="231">
    <w:name w:val="页眉 Char"/>
    <w:qFormat/>
    <w:uiPriority w:val="0"/>
    <w:rPr>
      <w:rFonts w:eastAsia="宋体"/>
      <w:kern w:val="2"/>
      <w:sz w:val="18"/>
      <w:lang w:val="en-US" w:eastAsia="zh-CN"/>
    </w:rPr>
  </w:style>
  <w:style w:type="character" w:customStyle="1" w:styleId="232">
    <w:name w:val="标题 2 Char"/>
    <w:qFormat/>
    <w:uiPriority w:val="0"/>
    <w:rPr>
      <w:rFonts w:ascii="Arial" w:hAnsi="Arial" w:eastAsia="黑体"/>
      <w:b/>
      <w:sz w:val="30"/>
      <w:lang w:val="en-US" w:eastAsia="zh-CN"/>
    </w:rPr>
  </w:style>
  <w:style w:type="paragraph" w:customStyle="1" w:styleId="233">
    <w:name w:val="字元 字元2"/>
    <w:basedOn w:val="1"/>
    <w:qFormat/>
    <w:uiPriority w:val="0"/>
    <w:pPr>
      <w:autoSpaceDE/>
      <w:autoSpaceDN/>
      <w:adjustRightInd/>
      <w:jc w:val="both"/>
    </w:pPr>
    <w:rPr>
      <w:rFonts w:ascii="Tahoma" w:hAnsi="Tahoma" w:cs="Times New Roman"/>
      <w:kern w:val="2"/>
      <w:sz w:val="24"/>
      <w:szCs w:val="20"/>
    </w:rPr>
  </w:style>
  <w:style w:type="paragraph" w:customStyle="1" w:styleId="234">
    <w:name w:val="Char3 Char Char Char2"/>
    <w:basedOn w:val="1"/>
    <w:qFormat/>
    <w:uiPriority w:val="0"/>
    <w:pPr>
      <w:autoSpaceDE/>
      <w:autoSpaceDN/>
      <w:adjustRightInd/>
      <w:jc w:val="both"/>
    </w:pPr>
    <w:rPr>
      <w:rFonts w:ascii="Tahoma" w:hAnsi="Tahoma" w:cs="Times New Roman"/>
      <w:kern w:val="2"/>
      <w:sz w:val="24"/>
      <w:szCs w:val="20"/>
    </w:rPr>
  </w:style>
  <w:style w:type="paragraph" w:customStyle="1" w:styleId="235">
    <w:name w:val="正文文本缩进2"/>
    <w:basedOn w:val="1"/>
    <w:qFormat/>
    <w:uiPriority w:val="0"/>
    <w:pPr>
      <w:autoSpaceDE/>
      <w:autoSpaceDN/>
      <w:adjustRightInd/>
      <w:spacing w:line="480" w:lineRule="exact"/>
      <w:ind w:firstLine="480" w:firstLineChars="200"/>
      <w:jc w:val="both"/>
    </w:pPr>
    <w:rPr>
      <w:rFonts w:hAnsi="宋体" w:cs="Times New Roman"/>
      <w:sz w:val="24"/>
      <w:szCs w:val="24"/>
      <w:lang w:val="zh-CN"/>
    </w:rPr>
  </w:style>
  <w:style w:type="paragraph" w:customStyle="1" w:styleId="236">
    <w:name w:val="Char3"/>
    <w:basedOn w:val="1"/>
    <w:qFormat/>
    <w:uiPriority w:val="0"/>
    <w:pPr>
      <w:tabs>
        <w:tab w:val="left" w:pos="360"/>
      </w:tabs>
      <w:autoSpaceDE/>
      <w:autoSpaceDN/>
      <w:adjustRightInd/>
      <w:jc w:val="both"/>
    </w:pPr>
    <w:rPr>
      <w:rFonts w:ascii="Times New Roman" w:cs="Times New Roman"/>
      <w:kern w:val="2"/>
      <w:sz w:val="24"/>
      <w:szCs w:val="24"/>
    </w:rPr>
  </w:style>
  <w:style w:type="paragraph" w:customStyle="1" w:styleId="237">
    <w:name w:val="Char Char Char Char Char Char Char Char Char Char Char Char Char Char Char Char1"/>
    <w:basedOn w:val="1"/>
    <w:qFormat/>
    <w:uiPriority w:val="0"/>
    <w:pPr>
      <w:widowControl/>
      <w:autoSpaceDE/>
      <w:autoSpaceDN/>
      <w:adjustRightInd/>
      <w:spacing w:after="160" w:line="240" w:lineRule="exact"/>
      <w:jc w:val="center"/>
    </w:pPr>
    <w:rPr>
      <w:rFonts w:hAnsi="宋体" w:cs="Times New Roman"/>
      <w:b/>
      <w:sz w:val="30"/>
      <w:szCs w:val="30"/>
      <w:lang w:eastAsia="en-US"/>
    </w:rPr>
  </w:style>
  <w:style w:type="paragraph" w:customStyle="1" w:styleId="238">
    <w:name w:val="Char Char1 Char Char Char Char Char Char1"/>
    <w:basedOn w:val="1"/>
    <w:qFormat/>
    <w:uiPriority w:val="0"/>
    <w:pPr>
      <w:widowControl/>
      <w:autoSpaceDE/>
      <w:autoSpaceDN/>
      <w:adjustRightInd/>
      <w:spacing w:after="160" w:line="240" w:lineRule="exact"/>
    </w:pPr>
    <w:rPr>
      <w:rFonts w:ascii="Verdana" w:hAnsi="Verdana" w:eastAsia="仿宋_GB2312" w:cs="Times New Roman"/>
      <w:sz w:val="24"/>
      <w:szCs w:val="20"/>
      <w:lang w:eastAsia="en-US"/>
    </w:rPr>
  </w:style>
  <w:style w:type="paragraph" w:customStyle="1" w:styleId="239">
    <w:name w:val="列出段落2"/>
    <w:basedOn w:val="1"/>
    <w:qFormat/>
    <w:uiPriority w:val="0"/>
    <w:pPr>
      <w:autoSpaceDE/>
      <w:autoSpaceDN/>
      <w:adjustRightInd/>
      <w:ind w:firstLine="420" w:firstLineChars="200"/>
      <w:jc w:val="both"/>
    </w:pPr>
    <w:rPr>
      <w:rFonts w:ascii="Calibri" w:hAnsi="Calibri" w:cs="Times New Roman"/>
      <w:kern w:val="2"/>
      <w:sz w:val="21"/>
    </w:rPr>
  </w:style>
  <w:style w:type="paragraph" w:customStyle="1" w:styleId="240">
    <w:name w:val="Char Char Char1 Char2"/>
    <w:basedOn w:val="1"/>
    <w:qFormat/>
    <w:uiPriority w:val="0"/>
    <w:pPr>
      <w:autoSpaceDE/>
      <w:autoSpaceDN/>
      <w:adjustRightInd/>
      <w:jc w:val="both"/>
    </w:pPr>
    <w:rPr>
      <w:rFonts w:ascii="Tahoma" w:hAnsi="Tahoma" w:cs="Times New Roman"/>
      <w:kern w:val="2"/>
      <w:sz w:val="24"/>
      <w:szCs w:val="20"/>
    </w:rPr>
  </w:style>
  <w:style w:type="paragraph" w:customStyle="1" w:styleId="241">
    <w:name w:val="Char Char Char2"/>
    <w:basedOn w:val="1"/>
    <w:qFormat/>
    <w:uiPriority w:val="0"/>
    <w:pPr>
      <w:autoSpaceDE/>
      <w:autoSpaceDN/>
      <w:adjustRightInd/>
      <w:jc w:val="both"/>
    </w:pPr>
    <w:rPr>
      <w:rFonts w:ascii="Tahoma" w:hAnsi="Tahoma" w:cs="Times New Roman"/>
      <w:kern w:val="2"/>
      <w:sz w:val="24"/>
      <w:szCs w:val="20"/>
    </w:rPr>
  </w:style>
  <w:style w:type="paragraph" w:customStyle="1" w:styleId="242">
    <w:name w:val="Char Char Char Char Char Char Char2"/>
    <w:basedOn w:val="1"/>
    <w:qFormat/>
    <w:uiPriority w:val="0"/>
    <w:pPr>
      <w:autoSpaceDE/>
      <w:autoSpaceDN/>
      <w:adjustRightInd/>
      <w:snapToGrid w:val="0"/>
      <w:spacing w:line="360" w:lineRule="auto"/>
      <w:ind w:firstLine="200" w:firstLineChars="200"/>
      <w:jc w:val="both"/>
    </w:pPr>
    <w:rPr>
      <w:rFonts w:ascii="Times New Roman" w:eastAsia="仿宋_GB2312" w:cs="Times New Roman"/>
      <w:kern w:val="2"/>
      <w:sz w:val="24"/>
      <w:szCs w:val="24"/>
    </w:rPr>
  </w:style>
  <w:style w:type="paragraph" w:customStyle="1" w:styleId="243">
    <w:name w:val="正文缩进2"/>
    <w:basedOn w:val="1"/>
    <w:qFormat/>
    <w:uiPriority w:val="0"/>
    <w:pPr>
      <w:widowControl/>
      <w:autoSpaceDE/>
      <w:autoSpaceDN/>
      <w:snapToGrid w:val="0"/>
      <w:spacing w:line="480" w:lineRule="exact"/>
      <w:ind w:firstLine="567"/>
      <w:jc w:val="both"/>
    </w:pPr>
    <w:rPr>
      <w:rFonts w:cs="Times New Roman"/>
      <w:color w:val="000000"/>
      <w:kern w:val="28"/>
      <w:sz w:val="28"/>
      <w:szCs w:val="20"/>
      <w:lang w:val="zh-CN"/>
    </w:rPr>
  </w:style>
  <w:style w:type="paragraph" w:customStyle="1" w:styleId="244">
    <w:name w:val="修订1"/>
    <w:qFormat/>
    <w:uiPriority w:val="0"/>
    <w:rPr>
      <w:rFonts w:ascii="Times New Roman" w:hAnsi="Times New Roman" w:eastAsia="宋体" w:cs="Times New Roman"/>
      <w:kern w:val="2"/>
      <w:sz w:val="21"/>
      <w:szCs w:val="24"/>
      <w:lang w:val="en-US" w:eastAsia="zh-CN" w:bidi="ar-SA"/>
    </w:rPr>
  </w:style>
  <w:style w:type="paragraph" w:customStyle="1" w:styleId="245">
    <w:name w:val="Char22"/>
    <w:basedOn w:val="1"/>
    <w:qFormat/>
    <w:uiPriority w:val="0"/>
    <w:pPr>
      <w:autoSpaceDE/>
      <w:autoSpaceDN/>
      <w:adjustRightInd/>
      <w:jc w:val="both"/>
    </w:pPr>
    <w:rPr>
      <w:rFonts w:ascii="Tahoma" w:hAnsi="Tahoma" w:cs="Times New Roman"/>
      <w:kern w:val="2"/>
      <w:sz w:val="24"/>
      <w:szCs w:val="20"/>
    </w:rPr>
  </w:style>
  <w:style w:type="paragraph" w:customStyle="1" w:styleId="246">
    <w:name w:val="Char Char Char Char Char Char Char Char Char Char2"/>
    <w:basedOn w:val="1"/>
    <w:qFormat/>
    <w:uiPriority w:val="0"/>
    <w:pPr>
      <w:autoSpaceDE/>
      <w:autoSpaceDN/>
      <w:adjustRightInd/>
      <w:jc w:val="both"/>
    </w:pPr>
    <w:rPr>
      <w:rFonts w:hAnsi="宋体" w:cs="Courier New"/>
      <w:kern w:val="2"/>
      <w:sz w:val="32"/>
      <w:szCs w:val="32"/>
    </w:rPr>
  </w:style>
  <w:style w:type="paragraph" w:customStyle="1" w:styleId="247">
    <w:name w:val="Char2 Char Char Char Char Char Char1"/>
    <w:basedOn w:val="1"/>
    <w:qFormat/>
    <w:uiPriority w:val="0"/>
    <w:pPr>
      <w:widowControl/>
      <w:autoSpaceDE/>
      <w:autoSpaceDN/>
      <w:adjustRightInd/>
      <w:spacing w:line="400" w:lineRule="exact"/>
      <w:jc w:val="center"/>
    </w:pPr>
    <w:rPr>
      <w:rFonts w:ascii="Times New Roman" w:cs="Times New Roman"/>
      <w:kern w:val="2"/>
      <w:sz w:val="21"/>
      <w:szCs w:val="24"/>
    </w:rPr>
  </w:style>
  <w:style w:type="character" w:customStyle="1" w:styleId="248">
    <w:name w:val="页脚 Char"/>
    <w:qFormat/>
    <w:uiPriority w:val="0"/>
    <w:rPr>
      <w:rFonts w:ascii="宋体" w:eastAsia="宋体"/>
      <w:sz w:val="18"/>
      <w:lang w:val="en-US" w:eastAsia="zh-CN"/>
    </w:rPr>
  </w:style>
  <w:style w:type="paragraph" w:customStyle="1" w:styleId="249">
    <w:name w:val="Char Char41"/>
    <w:basedOn w:val="1"/>
    <w:qFormat/>
    <w:uiPriority w:val="0"/>
    <w:pPr>
      <w:widowControl/>
      <w:autoSpaceDE/>
      <w:autoSpaceDN/>
      <w:adjustRightInd/>
      <w:spacing w:line="400" w:lineRule="exact"/>
      <w:jc w:val="center"/>
    </w:pPr>
    <w:rPr>
      <w:rFonts w:ascii="Times New Roman" w:cs="Times New Roman"/>
      <w:kern w:val="2"/>
      <w:sz w:val="21"/>
      <w:szCs w:val="24"/>
    </w:rPr>
  </w:style>
  <w:style w:type="character" w:customStyle="1" w:styleId="250">
    <w:name w:val="批注文字 Char"/>
    <w:qFormat/>
    <w:uiPriority w:val="99"/>
    <w:rPr>
      <w:kern w:val="2"/>
      <w:sz w:val="24"/>
    </w:rPr>
  </w:style>
  <w:style w:type="character" w:customStyle="1" w:styleId="251">
    <w:name w:val="标题 Char"/>
    <w:qFormat/>
    <w:uiPriority w:val="0"/>
    <w:rPr>
      <w:b/>
      <w:kern w:val="2"/>
      <w:sz w:val="32"/>
    </w:rPr>
  </w:style>
  <w:style w:type="table" w:customStyle="1" w:styleId="252">
    <w:name w:val="Table Normal"/>
    <w:semiHidden/>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253">
    <w:name w:val="Body text|1"/>
    <w:basedOn w:val="1"/>
    <w:qFormat/>
    <w:uiPriority w:val="0"/>
    <w:pPr>
      <w:adjustRightInd/>
      <w:spacing w:line="480" w:lineRule="auto"/>
      <w:ind w:firstLine="300"/>
    </w:pPr>
    <w:rPr>
      <w:rFonts w:hAnsi="宋体"/>
      <w:sz w:val="20"/>
      <w:szCs w:val="24"/>
      <w:lang w:val="zh-TW" w:eastAsia="zh-TW"/>
    </w:rPr>
  </w:style>
  <w:style w:type="character" w:customStyle="1" w:styleId="254">
    <w:name w:val="not([class*=suffix])"/>
    <w:basedOn w:val="47"/>
    <w:qFormat/>
    <w:uiPriority w:val="0"/>
    <w:rPr>
      <w:rFonts w:cs="Times New Roman"/>
    </w:rPr>
  </w:style>
  <w:style w:type="character" w:customStyle="1" w:styleId="255">
    <w:name w:val="not([class*=suffix])1"/>
    <w:qFormat/>
    <w:uiPriority w:val="0"/>
    <w:rPr>
      <w:sz w:val="19"/>
    </w:rPr>
  </w:style>
  <w:style w:type="paragraph" w:customStyle="1" w:styleId="256">
    <w:name w:val="样式 标题 2 + Times New Roman 四号 非加粗 段前: 5 磅 段后: 0 磅 行距: 固定值 20..."/>
    <w:basedOn w:val="2"/>
    <w:qFormat/>
    <w:uiPriority w:val="99"/>
    <w:pPr>
      <w:keepNext/>
      <w:keepLines/>
      <w:spacing w:before="100" w:line="400" w:lineRule="exact"/>
      <w:ind w:left="0"/>
      <w:jc w:val="both"/>
    </w:pPr>
    <w:rPr>
      <w:rFonts w:ascii="Times New Roman" w:eastAsia="黑体"/>
      <w:kern w:val="2"/>
      <w:sz w:val="28"/>
      <w:szCs w:val="20"/>
    </w:rPr>
  </w:style>
  <w:style w:type="paragraph" w:customStyle="1" w:styleId="257">
    <w:name w:val="样式 标题 3 + (中文) 黑体 小四 非加粗 段前: 7.8 磅 段后: 0 磅 行距: 固定值 20 磅"/>
    <w:basedOn w:val="4"/>
    <w:qFormat/>
    <w:uiPriority w:val="0"/>
    <w:pPr>
      <w:keepNext/>
      <w:keepLines/>
      <w:spacing w:before="0" w:line="400" w:lineRule="exact"/>
      <w:ind w:right="0"/>
      <w:jc w:val="left"/>
    </w:pPr>
    <w:rPr>
      <w:rFonts w:eastAsia="黑体" w:cs="Times New Roman"/>
      <w:sz w:val="24"/>
      <w:szCs w:val="20"/>
      <w:u w:val="single"/>
    </w:rPr>
  </w:style>
  <w:style w:type="paragraph" w:customStyle="1" w:styleId="258">
    <w:name w:val="msolistparagraph"/>
    <w:basedOn w:val="1"/>
    <w:qFormat/>
    <w:uiPriority w:val="0"/>
    <w:pPr>
      <w:autoSpaceDE/>
      <w:autoSpaceDN/>
      <w:adjustRightInd/>
      <w:ind w:firstLine="420" w:firstLineChars="200"/>
      <w:jc w:val="both"/>
    </w:pPr>
    <w:rPr>
      <w:rFonts w:ascii="Times New Roman" w:cs="Times New Roman"/>
      <w:kern w:val="2"/>
      <w:sz w:val="21"/>
      <w:szCs w:val="24"/>
    </w:rPr>
  </w:style>
  <w:style w:type="paragraph" w:customStyle="1" w:styleId="25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60">
    <w:name w:val="正文2"/>
    <w:basedOn w:val="1"/>
    <w:qFormat/>
    <w:uiPriority w:val="0"/>
    <w:pPr>
      <w:autoSpaceDE/>
      <w:autoSpaceDN/>
      <w:adjustRightInd/>
      <w:spacing w:before="156"/>
      <w:ind w:firstLine="510"/>
      <w:jc w:val="both"/>
    </w:pPr>
    <w:rPr>
      <w:rFonts w:ascii="Times New Roman" w:cs="Times New Roman"/>
      <w:kern w:val="2"/>
      <w:sz w:val="24"/>
      <w:szCs w:val="24"/>
    </w:rPr>
  </w:style>
  <w:style w:type="paragraph" w:customStyle="1" w:styleId="261">
    <w:name w:val="标题一"/>
    <w:basedOn w:val="3"/>
    <w:next w:val="262"/>
    <w:qFormat/>
    <w:uiPriority w:val="0"/>
    <w:pPr>
      <w:keepNext/>
      <w:keepLines/>
      <w:tabs>
        <w:tab w:val="left" w:pos="425"/>
      </w:tabs>
      <w:spacing w:before="240" w:after="120" w:line="300" w:lineRule="auto"/>
      <w:ind w:right="17"/>
    </w:pPr>
    <w:rPr>
      <w:b/>
      <w:bCs/>
      <w:color w:val="000000"/>
      <w:sz w:val="32"/>
      <w:szCs w:val="21"/>
      <w:lang w:val="zh-CN"/>
    </w:rPr>
  </w:style>
  <w:style w:type="paragraph" w:customStyle="1" w:styleId="262">
    <w:name w:val="标题二"/>
    <w:basedOn w:val="2"/>
    <w:next w:val="1"/>
    <w:qFormat/>
    <w:uiPriority w:val="0"/>
    <w:pPr>
      <w:keepNext/>
      <w:keepLines/>
      <w:tabs>
        <w:tab w:val="left" w:pos="720"/>
        <w:tab w:val="left" w:pos="1342"/>
      </w:tabs>
      <w:spacing w:line="360" w:lineRule="auto"/>
      <w:ind w:left="0"/>
    </w:pPr>
    <w:rPr>
      <w:rFonts w:hAnsi="Arial" w:eastAsia="黑体"/>
      <w:b/>
      <w:bCs/>
      <w:color w:val="000000"/>
      <w:sz w:val="21"/>
      <w:szCs w:val="21"/>
      <w:lang w:val="zh-CN"/>
    </w:rPr>
  </w:style>
  <w:style w:type="paragraph" w:customStyle="1" w:styleId="263">
    <w:name w:val="标题三"/>
    <w:basedOn w:val="4"/>
    <w:next w:val="5"/>
    <w:qFormat/>
    <w:uiPriority w:val="0"/>
    <w:pPr>
      <w:keepNext/>
      <w:keepLines/>
      <w:tabs>
        <w:tab w:val="left" w:pos="720"/>
        <w:tab w:val="left" w:pos="1080"/>
      </w:tabs>
      <w:spacing w:before="0" w:line="360" w:lineRule="auto"/>
      <w:ind w:right="0"/>
      <w:jc w:val="left"/>
    </w:pPr>
    <w:rPr>
      <w:rFonts w:cs="Times New Roman"/>
      <w:bCs/>
      <w:sz w:val="21"/>
      <w:szCs w:val="21"/>
      <w:u w:val="single"/>
    </w:rPr>
  </w:style>
  <w:style w:type="paragraph" w:customStyle="1" w:styleId="264">
    <w:name w:val="合同标题1"/>
    <w:basedOn w:val="1"/>
    <w:qFormat/>
    <w:uiPriority w:val="0"/>
    <w:pPr>
      <w:autoSpaceDE/>
      <w:autoSpaceDN/>
      <w:adjustRightInd/>
      <w:jc w:val="center"/>
    </w:pPr>
    <w:rPr>
      <w:rFonts w:ascii="Times New Roman" w:cs="Times New Roman"/>
      <w:b/>
      <w:kern w:val="2"/>
      <w:sz w:val="32"/>
      <w:szCs w:val="32"/>
    </w:rPr>
  </w:style>
  <w:style w:type="paragraph" w:customStyle="1" w:styleId="265">
    <w:name w:val="合同正文"/>
    <w:basedOn w:val="1"/>
    <w:qFormat/>
    <w:uiPriority w:val="0"/>
    <w:pPr>
      <w:autoSpaceDE/>
      <w:autoSpaceDN/>
      <w:adjustRightInd/>
      <w:spacing w:line="360" w:lineRule="auto"/>
      <w:ind w:firstLine="420" w:firstLineChars="200"/>
      <w:jc w:val="both"/>
    </w:pPr>
    <w:rPr>
      <w:rFonts w:hAnsi="宋体" w:cs="Times New Roman"/>
      <w:kern w:val="2"/>
      <w:sz w:val="21"/>
      <w:szCs w:val="21"/>
    </w:rPr>
  </w:style>
  <w:style w:type="paragraph" w:customStyle="1" w:styleId="266">
    <w:name w:val="合同标题2"/>
    <w:basedOn w:val="256"/>
    <w:qFormat/>
    <w:uiPriority w:val="0"/>
    <w:pPr>
      <w:tabs>
        <w:tab w:val="left" w:pos="720"/>
      </w:tabs>
      <w:spacing w:before="120" w:beforeLines="50" w:after="120" w:afterLines="50" w:line="360" w:lineRule="auto"/>
      <w:outlineLvl w:val="0"/>
    </w:pPr>
    <w:rPr>
      <w:rFonts w:hAnsi="Cambria" w:eastAsia="宋体"/>
      <w:szCs w:val="32"/>
    </w:rPr>
  </w:style>
  <w:style w:type="paragraph" w:customStyle="1" w:styleId="267">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68">
    <w:name w:val="TOC 标题1"/>
    <w:basedOn w:val="3"/>
    <w:next w:val="1"/>
    <w:unhideWhenUsed/>
    <w:qFormat/>
    <w:uiPriority w:val="39"/>
    <w:pPr>
      <w:keepNext/>
      <w:keepLines/>
      <w:widowControl/>
      <w:autoSpaceDE/>
      <w:autoSpaceDN/>
      <w:adjustRightInd/>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269">
    <w:name w:val="apple-converted-space"/>
    <w:basedOn w:val="47"/>
    <w:qFormat/>
    <w:uiPriority w:val="0"/>
  </w:style>
  <w:style w:type="paragraph" w:customStyle="1" w:styleId="270">
    <w:name w:val="修订4"/>
    <w:hidden/>
    <w:unhideWhenUsed/>
    <w:qFormat/>
    <w:uiPriority w:val="99"/>
    <w:rPr>
      <w:rFonts w:ascii="宋体" w:hAnsi="Times New Roman" w:eastAsia="宋体" w:cs="宋体"/>
      <w:sz w:val="22"/>
      <w:szCs w:val="22"/>
      <w:lang w:val="en-US" w:eastAsia="zh-CN" w:bidi="ar-SA"/>
    </w:rPr>
  </w:style>
  <w:style w:type="paragraph" w:customStyle="1" w:styleId="271">
    <w:name w:val="WW-正文（首行缩进两字）"/>
    <w:basedOn w:val="1"/>
    <w:qFormat/>
    <w:uiPriority w:val="0"/>
    <w:pPr>
      <w:suppressAutoHyphens/>
      <w:spacing w:line="360" w:lineRule="auto"/>
      <w:ind w:firstLine="480"/>
    </w:pPr>
    <w:rPr>
      <w:rFonts w:eastAsia="仿宋_GB2312"/>
      <w:color w:val="FF00FF"/>
      <w:kern w:val="1"/>
      <w:sz w:val="24"/>
    </w:rPr>
  </w:style>
  <w:style w:type="paragraph" w:customStyle="1" w:styleId="272">
    <w:name w:val="目录"/>
    <w:basedOn w:val="1"/>
    <w:qFormat/>
    <w:uiPriority w:val="0"/>
    <w:pPr>
      <w:jc w:val="center"/>
    </w:pPr>
    <w:rPr>
      <w:b/>
      <w:sz w:val="36"/>
      <w:szCs w:val="20"/>
    </w:rPr>
  </w:style>
  <w:style w:type="paragraph" w:customStyle="1" w:styleId="273">
    <w:name w:val="正文 A"/>
    <w:qFormat/>
    <w:uiPriority w:val="0"/>
    <w:pPr>
      <w:ind w:firstLine="360"/>
    </w:pPr>
    <w:rPr>
      <w:rFonts w:ascii="Calibri" w:hAnsi="Calibri" w:eastAsia="Calibri" w:cs="Calibri"/>
      <w:color w:val="000000"/>
      <w:sz w:val="22"/>
      <w:szCs w:val="22"/>
      <w:u w:color="000000"/>
      <w:lang w:val="en-US" w:eastAsia="zh-CN" w:bidi="ar-SA"/>
    </w:rPr>
  </w:style>
  <w:style w:type="character" w:customStyle="1" w:styleId="274">
    <w:name w:val="正文文本首行缩进 字符"/>
    <w:basedOn w:val="68"/>
    <w:link w:val="42"/>
    <w:semiHidden/>
    <w:uiPriority w:val="99"/>
    <w:rPr>
      <w:rFonts w:ascii="宋体" w:hAnsi="Times New Roman" w:eastAsia="宋体" w:cs="宋体"/>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C2A6C8-3F03-4784-8DA3-95FD417C06B1}">
  <ds:schemaRefs/>
</ds:datastoreItem>
</file>

<file path=docProps/app.xml><?xml version="1.0" encoding="utf-8"?>
<Properties xmlns="http://schemas.openxmlformats.org/officeDocument/2006/extended-properties" xmlns:vt="http://schemas.openxmlformats.org/officeDocument/2006/docPropsVTypes">
  <Template>Normal</Template>
  <Pages>61</Pages>
  <Words>4525</Words>
  <Characters>25798</Characters>
  <Lines>214</Lines>
  <Paragraphs>60</Paragraphs>
  <TotalTime>25</TotalTime>
  <ScaleCrop>false</ScaleCrop>
  <LinksUpToDate>false</LinksUpToDate>
  <CharactersWithSpaces>30263</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2023-11-20T03:01:00Z</dcterms:created>
  <dc:creator>尹皓</dc:creator>
  <cp:lastModifiedBy>李梦尧</cp:lastModifiedBy>
  <dcterms:modified xsi:type="dcterms:W3CDTF">2024-04-17T03:13:35Z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F14B6BC9FC2D43F3B4E840F0A5B38F34_13</vt:lpwstr>
  </property>
</Properties>
</file>