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19"/>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30"/>
          <w:rFonts w:hint="eastAsia" w:ascii="宋体" w:hAnsi="宋体" w:eastAsia="宋体" w:cs="宋体"/>
          <w:b/>
          <w:bCs/>
          <w:i w:val="0"/>
          <w:caps w:val="0"/>
          <w:color w:val="auto"/>
          <w:spacing w:val="0"/>
          <w:sz w:val="36"/>
          <w:szCs w:val="36"/>
          <w:u w:val="none"/>
          <w:shd w:val="clear" w:color="auto" w:fill="FFFFFF"/>
        </w:rPr>
        <w:t>11010724210200012717-XM001</w:t>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w w:val="90"/>
          <w:sz w:val="36"/>
          <w:szCs w:val="36"/>
        </w:rPr>
        <w:t>2025年石景山区图书馆物业管理服务采购项目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both"/>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四</w:t>
      </w:r>
      <w:r>
        <w:rPr>
          <w:rFonts w:hint="eastAsia" w:ascii="宋体" w:hAnsi="宋体"/>
          <w:b/>
          <w:color w:val="auto"/>
          <w:sz w:val="36"/>
          <w:szCs w:val="36"/>
        </w:rPr>
        <w:t>年</w:t>
      </w:r>
      <w:r>
        <w:rPr>
          <w:rFonts w:hint="eastAsia" w:ascii="宋体" w:hAnsi="宋体"/>
          <w:b/>
          <w:color w:val="auto"/>
          <w:sz w:val="36"/>
          <w:szCs w:val="36"/>
          <w:lang w:eastAsia="zh-CN"/>
        </w:rPr>
        <w:t>十二</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auto"/>
          <w:sz w:val="21"/>
          <w:szCs w:val="21"/>
        </w:rPr>
      </w:pPr>
    </w:p>
    <w:p>
      <w:pPr>
        <w:pStyle w:val="19"/>
        <w:tabs>
          <w:tab w:val="right" w:leader="dot" w:pos="8721"/>
        </w:tabs>
        <w:spacing w:line="360" w:lineRule="auto"/>
        <w:rPr>
          <w:color w:val="auto"/>
          <w:kern w:val="2"/>
          <w:sz w:val="24"/>
          <w:szCs w:val="24"/>
          <w:highlight w:val="none"/>
        </w:rPr>
      </w:pPr>
      <w:r>
        <w:rPr>
          <w:rFonts w:hint="eastAsia" w:ascii="宋体" w:hAnsi="宋体" w:cs="微软雅黑"/>
          <w:color w:val="auto"/>
          <w:sz w:val="21"/>
          <w:szCs w:val="21"/>
          <w:highlight w:val="yellow"/>
        </w:rPr>
        <w:fldChar w:fldCharType="begin"/>
      </w:r>
      <w:r>
        <w:rPr>
          <w:rFonts w:hint="eastAsia" w:ascii="宋体" w:hAnsi="宋体" w:cs="微软雅黑"/>
          <w:color w:val="auto"/>
          <w:sz w:val="21"/>
          <w:szCs w:val="21"/>
          <w:highlight w:val="yellow"/>
        </w:rPr>
        <w:instrText xml:space="preserve">TOC \o "1-1" \h \u </w:instrText>
      </w:r>
      <w:r>
        <w:rPr>
          <w:rFonts w:hint="eastAsia" w:ascii="宋体" w:hAnsi="宋体" w:cs="微软雅黑"/>
          <w:color w:val="auto"/>
          <w:sz w:val="21"/>
          <w:szCs w:val="21"/>
          <w:highlight w:val="yellow"/>
        </w:rPr>
        <w:fldChar w:fldCharType="separate"/>
      </w:r>
      <w:r>
        <w:rPr>
          <w:color w:val="auto"/>
          <w:szCs w:val="24"/>
          <w:highlight w:val="none"/>
        </w:rPr>
        <w:fldChar w:fldCharType="begin"/>
      </w:r>
      <w:r>
        <w:rPr>
          <w:color w:val="auto"/>
          <w:szCs w:val="24"/>
          <w:highlight w:val="none"/>
        </w:rPr>
        <w:instrText xml:space="preserve"> HYPERLINK \l "_Toc466015310" </w:instrText>
      </w:r>
      <w:r>
        <w:rPr>
          <w:color w:val="auto"/>
          <w:szCs w:val="24"/>
          <w:highlight w:val="none"/>
        </w:rPr>
        <w:fldChar w:fldCharType="separate"/>
      </w:r>
      <w:r>
        <w:rPr>
          <w:rStyle w:val="30"/>
          <w:rFonts w:hint="eastAsia" w:ascii="宋体" w:hAnsi="宋体"/>
          <w:color w:val="auto"/>
          <w:sz w:val="24"/>
          <w:szCs w:val="24"/>
          <w:highlight w:val="none"/>
        </w:rPr>
        <w:t>第一部分 投标邀请</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eastAsia="zh-CN"/>
        </w:rPr>
        <w:t>3</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"_Toc466015311"</w:instrText>
      </w:r>
      <w:r>
        <w:rPr>
          <w:color w:val="auto"/>
          <w:szCs w:val="24"/>
          <w:highlight w:val="none"/>
        </w:rPr>
        <w:fldChar w:fldCharType="separate"/>
      </w:r>
      <w:r>
        <w:rPr>
          <w:rStyle w:val="30"/>
          <w:rFonts w:hint="eastAsia" w:ascii="宋体" w:hAnsi="宋体"/>
          <w:color w:val="auto"/>
          <w:sz w:val="24"/>
          <w:szCs w:val="24"/>
          <w:highlight w:val="none"/>
        </w:rPr>
        <w:t>第二部分 投标人须知前附表</w:t>
      </w:r>
      <w:r>
        <w:rPr>
          <w:color w:val="auto"/>
          <w:sz w:val="24"/>
          <w:szCs w:val="24"/>
          <w:highlight w:val="none"/>
        </w:rPr>
        <w:tab/>
      </w:r>
      <w:r>
        <w:rPr>
          <w:color w:val="auto"/>
          <w:szCs w:val="24"/>
          <w:highlight w:val="none"/>
        </w:rPr>
        <w:fldChar w:fldCharType="end"/>
      </w:r>
      <w:r>
        <w:rPr>
          <w:rFonts w:hint="eastAsia"/>
          <w:color w:val="auto"/>
          <w:sz w:val="24"/>
          <w:szCs w:val="24"/>
          <w:highlight w:val="none"/>
          <w:lang w:val="en-US" w:eastAsia="zh-CN"/>
        </w:rPr>
        <w:t>7</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"_Toc466015312"</w:instrText>
      </w:r>
      <w:r>
        <w:rPr>
          <w:color w:val="auto"/>
          <w:szCs w:val="24"/>
          <w:highlight w:val="none"/>
        </w:rPr>
        <w:fldChar w:fldCharType="separate"/>
      </w:r>
      <w:r>
        <w:rPr>
          <w:rStyle w:val="30"/>
          <w:rFonts w:hint="eastAsia" w:ascii="宋体" w:hAnsi="宋体"/>
          <w:color w:val="auto"/>
          <w:sz w:val="24"/>
          <w:szCs w:val="24"/>
          <w:highlight w:val="none"/>
        </w:rPr>
        <w:t>第三部分 投标人须知</w:t>
      </w:r>
      <w:r>
        <w:rPr>
          <w:color w:val="auto"/>
          <w:sz w:val="24"/>
          <w:szCs w:val="24"/>
          <w:highlight w:val="none"/>
        </w:rPr>
        <w:tab/>
      </w:r>
      <w:r>
        <w:rPr>
          <w:color w:val="auto"/>
          <w:szCs w:val="24"/>
          <w:highlight w:val="none"/>
        </w:rPr>
        <w:fldChar w:fldCharType="end"/>
      </w:r>
      <w:r>
        <w:rPr>
          <w:rFonts w:hint="eastAsia"/>
          <w:color w:val="auto"/>
          <w:sz w:val="24"/>
          <w:szCs w:val="24"/>
          <w:highlight w:val="none"/>
          <w:lang w:eastAsia="zh-CN"/>
        </w:rPr>
        <w:t>9</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"_Toc466015313"</w:instrText>
      </w:r>
      <w:r>
        <w:rPr>
          <w:color w:val="auto"/>
          <w:szCs w:val="24"/>
          <w:highlight w:val="none"/>
        </w:rPr>
        <w:fldChar w:fldCharType="separate"/>
      </w:r>
      <w:r>
        <w:rPr>
          <w:rStyle w:val="30"/>
          <w:rFonts w:hint="eastAsia" w:ascii="宋体" w:hAnsi="宋体"/>
          <w:color w:val="auto"/>
          <w:sz w:val="24"/>
          <w:szCs w:val="24"/>
          <w:highlight w:val="none"/>
        </w:rPr>
        <w:t>第四部分 采</w:t>
      </w:r>
      <w:bookmarkStart w:id="0" w:name="_Hlt45033262"/>
      <w:bookmarkStart w:id="1" w:name="_Hlt45033263"/>
      <w:bookmarkStart w:id="2" w:name="_Hlt42179902"/>
      <w:r>
        <w:rPr>
          <w:rStyle w:val="30"/>
          <w:rFonts w:hint="eastAsia" w:ascii="宋体" w:hAnsi="宋体"/>
          <w:color w:val="auto"/>
          <w:sz w:val="24"/>
          <w:szCs w:val="24"/>
          <w:highlight w:val="none"/>
        </w:rPr>
        <w:t>购</w:t>
      </w:r>
      <w:bookmarkEnd w:id="0"/>
      <w:bookmarkEnd w:id="1"/>
      <w:bookmarkEnd w:id="2"/>
      <w:bookmarkStart w:id="3" w:name="_Hlt42177996"/>
      <w:bookmarkStart w:id="4" w:name="_Hlt42177995"/>
      <w:r>
        <w:rPr>
          <w:rStyle w:val="30"/>
          <w:rFonts w:hint="eastAsia" w:ascii="宋体" w:hAnsi="宋体"/>
          <w:color w:val="auto"/>
          <w:sz w:val="24"/>
          <w:szCs w:val="24"/>
          <w:highlight w:val="none"/>
        </w:rPr>
        <w:t>需</w:t>
      </w:r>
      <w:bookmarkEnd w:id="3"/>
      <w:bookmarkEnd w:id="4"/>
      <w:bookmarkStart w:id="5" w:name="_Hlt43459032"/>
      <w:r>
        <w:rPr>
          <w:rStyle w:val="30"/>
          <w:rFonts w:hint="eastAsia" w:ascii="宋体" w:hAnsi="宋体"/>
          <w:color w:val="auto"/>
          <w:sz w:val="24"/>
          <w:szCs w:val="24"/>
          <w:highlight w:val="none"/>
        </w:rPr>
        <w:t>求</w:t>
      </w:r>
      <w:bookmarkEnd w:id="5"/>
      <w:r>
        <w:rPr>
          <w:color w:val="auto"/>
          <w:sz w:val="24"/>
          <w:szCs w:val="24"/>
          <w:highlight w:val="none"/>
        </w:rPr>
        <w:tab/>
      </w:r>
      <w:r>
        <w:rPr>
          <w:color w:val="auto"/>
          <w:szCs w:val="24"/>
          <w:highlight w:val="none"/>
        </w:rPr>
        <w:fldChar w:fldCharType="end"/>
      </w:r>
      <w:r>
        <w:rPr>
          <w:rFonts w:hint="eastAsia"/>
          <w:color w:val="auto"/>
          <w:sz w:val="24"/>
          <w:szCs w:val="24"/>
          <w:highlight w:val="none"/>
          <w:lang w:eastAsia="zh-CN"/>
        </w:rPr>
        <w:t>1</w:t>
      </w:r>
      <w:r>
        <w:rPr>
          <w:rFonts w:hint="eastAsia"/>
          <w:color w:val="auto"/>
          <w:sz w:val="24"/>
          <w:szCs w:val="24"/>
          <w:highlight w:val="none"/>
          <w:lang w:val="en-US" w:eastAsia="zh-CN"/>
        </w:rPr>
        <w:t>9</w:t>
      </w:r>
    </w:p>
    <w:p>
      <w:pPr>
        <w:pStyle w:val="19"/>
        <w:tabs>
          <w:tab w:val="right" w:leader="dot" w:pos="8721"/>
        </w:tabs>
        <w:spacing w:line="360" w:lineRule="auto"/>
        <w:rPr>
          <w:color w:val="auto"/>
          <w:kern w:val="2"/>
          <w:sz w:val="21"/>
          <w:szCs w:val="21"/>
          <w:highlight w:val="none"/>
        </w:rPr>
      </w:pPr>
      <w:r>
        <w:rPr>
          <w:color w:val="auto"/>
          <w:szCs w:val="24"/>
          <w:highlight w:val="none"/>
        </w:rPr>
        <w:fldChar w:fldCharType="begin"/>
      </w:r>
      <w:r>
        <w:rPr>
          <w:color w:val="auto"/>
          <w:szCs w:val="24"/>
          <w:highlight w:val="none"/>
        </w:rPr>
        <w:instrText xml:space="preserve">HYPERLINK \l "_Toc466015314"</w:instrText>
      </w:r>
      <w:r>
        <w:rPr>
          <w:color w:val="auto"/>
          <w:szCs w:val="24"/>
          <w:highlight w:val="none"/>
        </w:rPr>
        <w:fldChar w:fldCharType="separate"/>
      </w:r>
      <w:r>
        <w:rPr>
          <w:rStyle w:val="30"/>
          <w:rFonts w:hint="eastAsia" w:ascii="宋体" w:hAnsi="宋体"/>
          <w:color w:val="auto"/>
          <w:sz w:val="24"/>
          <w:szCs w:val="24"/>
          <w:highlight w:val="none"/>
        </w:rPr>
        <w:t>第五部分 评标标准和</w:t>
      </w:r>
      <w:bookmarkStart w:id="6" w:name="_Hlt43458265"/>
      <w:bookmarkStart w:id="7" w:name="_Hlt43458266"/>
      <w:bookmarkStart w:id="8" w:name="_Hlt43452204"/>
      <w:r>
        <w:rPr>
          <w:rStyle w:val="30"/>
          <w:rFonts w:hint="eastAsia" w:ascii="宋体" w:hAnsi="宋体"/>
          <w:color w:val="auto"/>
          <w:sz w:val="24"/>
          <w:szCs w:val="24"/>
          <w:highlight w:val="none"/>
        </w:rPr>
        <w:t>评</w:t>
      </w:r>
      <w:bookmarkEnd w:id="6"/>
      <w:bookmarkEnd w:id="7"/>
      <w:bookmarkEnd w:id="8"/>
      <w:r>
        <w:rPr>
          <w:rStyle w:val="30"/>
          <w:rFonts w:hint="eastAsia" w:ascii="宋体" w:hAnsi="宋体"/>
          <w:color w:val="auto"/>
          <w:sz w:val="24"/>
          <w:szCs w:val="24"/>
          <w:highlight w:val="none"/>
        </w:rPr>
        <w:t>标方法</w:t>
      </w:r>
      <w:r>
        <w:rPr>
          <w:color w:val="auto"/>
          <w:sz w:val="24"/>
          <w:szCs w:val="24"/>
          <w:highlight w:val="none"/>
        </w:rPr>
        <w:tab/>
      </w:r>
      <w:r>
        <w:rPr>
          <w:rFonts w:hint="eastAsia"/>
          <w:color w:val="auto"/>
          <w:sz w:val="24"/>
          <w:szCs w:val="24"/>
          <w:highlight w:val="none"/>
          <w:lang w:val="en-US" w:eastAsia="zh-CN"/>
        </w:rPr>
        <w:t>3</w:t>
      </w:r>
      <w:r>
        <w:rPr>
          <w:color w:val="auto"/>
          <w:szCs w:val="24"/>
          <w:highlight w:val="none"/>
        </w:rPr>
        <w:fldChar w:fldCharType="end"/>
      </w:r>
      <w:r>
        <w:rPr>
          <w:rFonts w:hint="eastAsia"/>
          <w:color w:val="auto"/>
          <w:szCs w:val="24"/>
          <w:highlight w:val="none"/>
          <w:lang w:val="en-US" w:eastAsia="zh-CN"/>
        </w:rPr>
        <w:t>3</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"_Toc466015315"</w:instrText>
      </w:r>
      <w:r>
        <w:rPr>
          <w:color w:val="auto"/>
          <w:szCs w:val="24"/>
          <w:highlight w:val="none"/>
        </w:rPr>
        <w:fldChar w:fldCharType="separate"/>
      </w:r>
      <w:r>
        <w:rPr>
          <w:rStyle w:val="30"/>
          <w:rFonts w:hint="eastAsia" w:ascii="宋体" w:hAnsi="宋体"/>
          <w:color w:val="auto"/>
          <w:sz w:val="24"/>
          <w:szCs w:val="24"/>
          <w:highlight w:val="none"/>
        </w:rPr>
        <w:t>第六部分 政府采购合同</w:t>
      </w:r>
      <w:r>
        <w:rPr>
          <w:color w:val="auto"/>
          <w:sz w:val="24"/>
          <w:szCs w:val="24"/>
          <w:highlight w:val="none"/>
        </w:rPr>
        <w:tab/>
      </w:r>
      <w:r>
        <w:rPr>
          <w:rFonts w:hint="eastAsia"/>
          <w:color w:val="auto"/>
          <w:sz w:val="24"/>
          <w:szCs w:val="24"/>
          <w:highlight w:val="none"/>
          <w:lang w:val="en-US" w:eastAsia="zh-CN"/>
        </w:rPr>
        <w:t>3</w:t>
      </w:r>
      <w:r>
        <w:rPr>
          <w:color w:val="auto"/>
          <w:szCs w:val="24"/>
          <w:highlight w:val="none"/>
        </w:rPr>
        <w:fldChar w:fldCharType="end"/>
      </w:r>
      <w:r>
        <w:rPr>
          <w:rFonts w:hint="eastAsia"/>
          <w:color w:val="auto"/>
          <w:szCs w:val="24"/>
          <w:highlight w:val="none"/>
          <w:lang w:val="en-US" w:eastAsia="zh-CN"/>
        </w:rPr>
        <w:t>7</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"_Toc466015317"</w:instrText>
      </w:r>
      <w:r>
        <w:rPr>
          <w:color w:val="auto"/>
          <w:szCs w:val="24"/>
          <w:highlight w:val="none"/>
        </w:rPr>
        <w:fldChar w:fldCharType="separate"/>
      </w:r>
      <w:r>
        <w:rPr>
          <w:rStyle w:val="30"/>
          <w:rFonts w:hint="eastAsia"/>
          <w:color w:val="auto"/>
          <w:sz w:val="24"/>
          <w:szCs w:val="24"/>
          <w:highlight w:val="none"/>
        </w:rPr>
        <w:t>第七部分</w:t>
      </w:r>
      <w:r>
        <w:rPr>
          <w:rStyle w:val="30"/>
          <w:rFonts w:hint="eastAsia" w:ascii="宋体" w:hAnsi="宋体"/>
          <w:color w:val="auto"/>
          <w:sz w:val="24"/>
          <w:szCs w:val="24"/>
          <w:highlight w:val="none"/>
        </w:rPr>
        <w:t xml:space="preserve"> 电子投标文件格式</w:t>
      </w:r>
      <w:r>
        <w:rPr>
          <w:color w:val="auto"/>
          <w:sz w:val="24"/>
          <w:szCs w:val="24"/>
          <w:highlight w:val="none"/>
        </w:rPr>
        <w:tab/>
      </w:r>
      <w:r>
        <w:rPr>
          <w:color w:val="auto"/>
          <w:szCs w:val="24"/>
          <w:highlight w:val="none"/>
        </w:rPr>
        <w:fldChar w:fldCharType="end"/>
      </w:r>
      <w:r>
        <w:rPr>
          <w:rFonts w:hint="eastAsia"/>
          <w:color w:val="auto"/>
          <w:sz w:val="24"/>
          <w:szCs w:val="24"/>
          <w:highlight w:val="none"/>
          <w:lang w:val="en-US" w:eastAsia="zh-CN"/>
        </w:rPr>
        <w:t>49</w:t>
      </w:r>
    </w:p>
    <w:p>
      <w:pPr>
        <w:snapToGrid w:val="0"/>
        <w:spacing w:line="400" w:lineRule="exact"/>
        <w:jc w:val="both"/>
        <w:rPr>
          <w:rFonts w:ascii="宋体" w:hAnsi="宋体" w:cs="微软雅黑"/>
          <w:color w:val="auto"/>
          <w:sz w:val="21"/>
          <w:szCs w:val="21"/>
          <w:highlight w:val="yellow"/>
        </w:rPr>
      </w:pPr>
      <w:r>
        <w:rPr>
          <w:rFonts w:hint="eastAsia" w:ascii="宋体" w:hAnsi="宋体" w:cs="微软雅黑"/>
          <w:color w:val="auto"/>
          <w:sz w:val="21"/>
          <w:szCs w:val="21"/>
          <w:highlight w:val="yellow"/>
        </w:rPr>
        <w:fldChar w:fldCharType="end"/>
      </w:r>
    </w:p>
    <w:p>
      <w:pPr>
        <w:snapToGrid w:val="0"/>
        <w:spacing w:line="400" w:lineRule="exact"/>
        <w:jc w:val="both"/>
        <w:rPr>
          <w:rFonts w:ascii="宋体" w:hAnsi="宋体" w:cs="微软雅黑"/>
          <w:color w:val="auto"/>
          <w:sz w:val="21"/>
          <w:szCs w:val="21"/>
          <w:highlight w:val="yellow"/>
        </w:rPr>
        <w:sectPr>
          <w:headerReference r:id="rId4" w:type="first"/>
          <w:footerReference r:id="rId7" w:type="first"/>
          <w:headerReference r:id="rId3" w:type="default"/>
          <w:footerReference r:id="rId5" w:type="default"/>
          <w:footerReference r:id="rId6" w:type="even"/>
          <w:pgSz w:w="11907" w:h="16840"/>
          <w:pgMar w:top="1701" w:right="1588" w:bottom="1701" w:left="1588" w:header="851" w:footer="851" w:gutter="0"/>
          <w:pgNumType w:fmt="decimal"/>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9"/>
        <w:snapToGrid w:val="0"/>
        <w:spacing w:before="0" w:after="0"/>
        <w:ind w:left="3360" w:firstLine="480"/>
        <w:jc w:val="both"/>
        <w:rPr>
          <w:rFonts w:ascii="宋体" w:hAnsi="宋体"/>
          <w:color w:val="auto"/>
        </w:rPr>
      </w:pPr>
      <w:bookmarkStart w:id="9" w:name="_Toc184023106"/>
      <w:bookmarkStart w:id="10" w:name="_Toc186274103"/>
      <w:bookmarkStart w:id="11" w:name="_Toc180051014"/>
      <w:bookmarkStart w:id="12" w:name="_Toc174185151"/>
      <w:bookmarkStart w:id="13" w:name="_Toc184013607"/>
      <w:r>
        <w:rPr>
          <w:rFonts w:hint="eastAsia" w:ascii="宋体" w:hAnsi="宋体"/>
          <w:color w:val="auto"/>
          <w:lang w:val="en-US" w:eastAsia="zh-CN"/>
        </w:rPr>
        <w:t xml:space="preserve"> </w:t>
      </w:r>
      <w:r>
        <w:rPr>
          <w:rFonts w:hint="eastAsia" w:ascii="宋体" w:hAnsi="宋体"/>
          <w:color w:val="auto"/>
        </w:rPr>
        <w:t>投标邀请</w:t>
      </w:r>
    </w:p>
    <w:p>
      <w:pPr>
        <w:pStyle w:val="49"/>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hint="eastAsia" w:ascii="Verdana" w:hAnsi="Verdana" w:cs="Arial"/>
          <w:color w:val="auto"/>
          <w:sz w:val="24"/>
          <w:szCs w:val="24"/>
        </w:rPr>
        <w:t>北京市石景山区图书馆</w:t>
      </w:r>
      <w:r>
        <w:rPr>
          <w:rFonts w:hint="eastAsia" w:ascii="宋体" w:hAnsi="宋体"/>
          <w:color w:val="auto"/>
          <w:sz w:val="24"/>
          <w:lang w:val="zh-CN"/>
        </w:rPr>
        <w:t>的委托对</w:t>
      </w:r>
      <w:r>
        <w:rPr>
          <w:rFonts w:hint="eastAsia" w:ascii="宋体" w:hAnsi="宋体"/>
          <w:bCs/>
          <w:color w:val="auto"/>
          <w:sz w:val="24"/>
        </w:rPr>
        <w:t>2025年石景山区图书馆物业管理服务采购项目</w:t>
      </w:r>
      <w:r>
        <w:rPr>
          <w:rFonts w:hint="eastAsia" w:ascii="宋体" w:hAnsi="宋体"/>
          <w:color w:val="auto"/>
          <w:sz w:val="24"/>
          <w:lang w:val="zh-CN"/>
        </w:rPr>
        <w:t>进行国内公开招标。欢迎符合本招标文件条件的投标人前来投标。</w:t>
      </w:r>
    </w:p>
    <w:p>
      <w:pPr>
        <w:pStyle w:val="2"/>
        <w:rPr>
          <w:rFonts w:hint="eastAsia"/>
          <w:lang w:val="zh-CN"/>
        </w:rPr>
      </w:pP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r>
        <w:rPr>
          <w:rStyle w:val="30"/>
          <w:rFonts w:hint="eastAsia" w:ascii="宋体" w:hAnsi="宋体" w:eastAsia="宋体" w:cs="宋体"/>
          <w:b w:val="0"/>
          <w:bCs w:val="0"/>
          <w:i w:val="0"/>
          <w:caps w:val="0"/>
          <w:color w:val="auto"/>
          <w:spacing w:val="0"/>
          <w:sz w:val="24"/>
          <w:szCs w:val="24"/>
          <w:u w:val="none"/>
          <w:shd w:val="clear" w:color="auto" w:fill="FFFFFF"/>
        </w:rPr>
        <w:t>11010724210200012717-XM001</w:t>
      </w:r>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893" w:rightChars="-372"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2025年石景山区图书馆物业管理服务采购项目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采购人</w:t>
      </w:r>
      <w:r>
        <w:rPr>
          <w:rFonts w:hint="eastAsia" w:ascii="宋体" w:hAnsi="宋体"/>
          <w:b/>
          <w:bCs/>
          <w:color w:val="auto"/>
          <w:sz w:val="24"/>
        </w:rPr>
        <w:t>名称：</w:t>
      </w:r>
      <w:r>
        <w:rPr>
          <w:rFonts w:hint="eastAsia" w:ascii="宋体" w:hAnsi="宋体"/>
          <w:bCs/>
          <w:color w:val="auto"/>
          <w:sz w:val="24"/>
        </w:rPr>
        <w:t>北京市石景山区图书馆</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采购人</w:t>
      </w:r>
      <w:r>
        <w:rPr>
          <w:rFonts w:hint="eastAsia" w:ascii="宋体" w:hAnsi="宋体"/>
          <w:b/>
          <w:bCs/>
          <w:color w:val="auto"/>
          <w:sz w:val="24"/>
        </w:rPr>
        <w:t>地址：</w:t>
      </w:r>
      <w:r>
        <w:rPr>
          <w:rFonts w:hint="eastAsia" w:ascii="宋体" w:hAnsi="宋体"/>
          <w:bCs/>
          <w:color w:val="auto"/>
          <w:sz w:val="24"/>
        </w:rPr>
        <w:t>北京市石景山区八角南路2号</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联系方式：</w:t>
      </w:r>
      <w:r>
        <w:rPr>
          <w:rFonts w:hint="eastAsia" w:ascii="宋体" w:hAnsi="宋体"/>
          <w:b w:val="0"/>
          <w:bCs w:val="0"/>
          <w:color w:val="auto"/>
          <w:sz w:val="24"/>
          <w:lang w:eastAsia="zh-CN"/>
        </w:rPr>
        <w:t>纪庆学</w:t>
      </w:r>
      <w:r>
        <w:rPr>
          <w:rFonts w:hint="eastAsia" w:ascii="宋体" w:hAnsi="宋体"/>
          <w:b w:val="0"/>
          <w:bCs w:val="0"/>
          <w:color w:val="auto"/>
          <w:sz w:val="24"/>
          <w:lang w:val="en-US" w:eastAsia="zh-CN"/>
        </w:rPr>
        <w:t>68874077</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w:t>
      </w:r>
      <w:r>
        <w:rPr>
          <w:rFonts w:hint="eastAsia" w:ascii="宋体" w:hAnsi="宋体" w:cs="宋体"/>
          <w:color w:val="auto"/>
          <w:sz w:val="24"/>
          <w:lang w:eastAsia="zh-CN"/>
        </w:rPr>
        <w:t>京原西街</w:t>
      </w:r>
      <w:r>
        <w:rPr>
          <w:rFonts w:hint="eastAsia" w:ascii="宋体" w:hAnsi="宋体" w:cs="宋体"/>
          <w:color w:val="auto"/>
          <w:sz w:val="24"/>
          <w:lang w:val="en-US" w:eastAsia="zh-CN"/>
        </w:rPr>
        <w:t>6号院3号楼7层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lang w:val="en-US" w:eastAsia="zh-CN"/>
        </w:rPr>
        <w:t>81927379</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firstLine="480" w:firstLineChars="200"/>
        <w:rPr>
          <w:rFonts w:hint="eastAsia" w:ascii="宋体" w:hAnsi="宋体"/>
          <w:bCs/>
          <w:color w:val="auto"/>
          <w:sz w:val="24"/>
        </w:rPr>
      </w:pPr>
      <w:r>
        <w:rPr>
          <w:rFonts w:hint="eastAsia" w:ascii="宋体" w:hAnsi="宋体"/>
          <w:color w:val="auto"/>
          <w:sz w:val="24"/>
        </w:rPr>
        <w:t>1、招标内容：</w:t>
      </w:r>
      <w:r>
        <w:rPr>
          <w:rFonts w:hint="eastAsia" w:ascii="宋体" w:hAnsi="宋体"/>
          <w:color w:val="auto"/>
          <w:sz w:val="24"/>
          <w:lang w:eastAsia="zh-CN"/>
        </w:rPr>
        <w:t>环卫中心及衙门口场站2025年物业管理服务</w:t>
      </w:r>
    </w:p>
    <w:p>
      <w:pPr>
        <w:tabs>
          <w:tab w:val="left" w:pos="360"/>
        </w:tabs>
        <w:spacing w:line="360" w:lineRule="auto"/>
        <w:ind w:firstLine="480" w:firstLineChars="200"/>
        <w:rPr>
          <w:rFonts w:hint="eastAsia" w:ascii="宋体" w:hAnsi="宋体"/>
          <w:bCs/>
          <w:color w:val="auto"/>
          <w:sz w:val="24"/>
          <w:highlight w:val="none"/>
          <w:lang w:val="en-US" w:eastAsia="zh-CN"/>
        </w:rPr>
      </w:pPr>
      <w:r>
        <w:rPr>
          <w:rFonts w:hint="eastAsia" w:ascii="宋体" w:hAnsi="宋体"/>
          <w:bCs/>
          <w:color w:val="auto"/>
          <w:sz w:val="24"/>
          <w:lang w:val="en-US" w:eastAsia="zh-CN"/>
        </w:rPr>
        <w:t xml:space="preserve"> </w:t>
      </w:r>
      <w:r>
        <w:rPr>
          <w:rFonts w:hint="eastAsia" w:ascii="宋体" w:hAnsi="宋体" w:cs="宋体"/>
          <w:bCs/>
          <w:color w:val="auto"/>
          <w:kern w:val="0"/>
          <w:sz w:val="24"/>
          <w:highlight w:val="none"/>
        </w:rPr>
        <w:t>预算控制金额：</w:t>
      </w:r>
      <w:r>
        <w:rPr>
          <w:rFonts w:hint="eastAsia" w:ascii="宋体" w:hAnsi="宋体" w:cs="宋体"/>
          <w:bCs/>
          <w:color w:val="auto"/>
          <w:kern w:val="0"/>
          <w:sz w:val="24"/>
          <w:highlight w:val="none"/>
          <w:lang w:val="en-US" w:eastAsia="zh-CN"/>
        </w:rPr>
        <w:t>1，794，000</w:t>
      </w:r>
      <w:r>
        <w:rPr>
          <w:rFonts w:hint="eastAsia" w:ascii="宋体" w:hAnsi="宋体" w:cs="宋体"/>
          <w:bCs/>
          <w:color w:val="auto"/>
          <w:kern w:val="0"/>
          <w:sz w:val="24"/>
          <w:highlight w:val="none"/>
        </w:rPr>
        <w:t>元</w:t>
      </w:r>
    </w:p>
    <w:p>
      <w:pPr>
        <w:tabs>
          <w:tab w:val="left" w:pos="360"/>
        </w:tabs>
        <w:spacing w:line="360" w:lineRule="auto"/>
        <w:ind w:firstLine="480" w:firstLineChars="200"/>
        <w:rPr>
          <w:rFonts w:hint="eastAsia" w:ascii="宋体" w:hAnsi="宋体"/>
          <w:color w:val="auto"/>
          <w:sz w:val="24"/>
          <w:szCs w:val="24"/>
        </w:rPr>
      </w:pPr>
      <w:r>
        <w:rPr>
          <w:rFonts w:hint="eastAsia" w:ascii="宋体" w:hAnsi="宋体" w:cs="宋体"/>
          <w:bCs/>
          <w:color w:val="auto"/>
          <w:kern w:val="0"/>
          <w:sz w:val="24"/>
          <w:lang w:val="en-US" w:eastAsia="zh-CN"/>
        </w:rPr>
        <w:t xml:space="preserve"> </w:t>
      </w:r>
      <w:r>
        <w:rPr>
          <w:rFonts w:hint="eastAsia" w:eastAsia="宋体"/>
          <w:color w:val="auto"/>
          <w:sz w:val="24"/>
          <w:szCs w:val="24"/>
        </w:rPr>
        <w:t>服务期限</w:t>
      </w:r>
      <w:r>
        <w:rPr>
          <w:rFonts w:hint="eastAsia"/>
          <w:color w:val="auto"/>
          <w:sz w:val="24"/>
          <w:szCs w:val="24"/>
          <w:lang w:eastAsia="zh-CN"/>
        </w:rPr>
        <w:t>：</w:t>
      </w:r>
      <w:r>
        <w:rPr>
          <w:rFonts w:hint="eastAsia" w:ascii="宋体" w:hAnsi="宋体" w:eastAsia="宋体" w:cs="宋体"/>
          <w:color w:val="auto"/>
          <w:sz w:val="24"/>
          <w:szCs w:val="24"/>
        </w:rPr>
        <w:t>自202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年1月1日至202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年12月31日</w:t>
      </w:r>
      <w:r>
        <w:rPr>
          <w:rFonts w:hint="eastAsia" w:ascii="宋体" w:hAnsi="宋体" w:cs="宋体"/>
          <w:bCs/>
          <w:color w:val="auto"/>
          <w:kern w:val="0"/>
          <w:sz w:val="24"/>
        </w:rPr>
        <w:t xml:space="preserve">         </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（九）本项目为专门面向</w:t>
      </w:r>
      <w:r>
        <w:rPr>
          <w:rFonts w:hint="eastAsia" w:ascii="宋体" w:hAnsi="宋体" w:cs="宋体"/>
          <w:color w:val="auto"/>
          <w:sz w:val="24"/>
          <w:lang w:eastAsia="zh-CN"/>
        </w:rPr>
        <w:t>小微</w:t>
      </w:r>
      <w:r>
        <w:rPr>
          <w:rFonts w:hint="eastAsia" w:ascii="宋体" w:hAnsi="宋体" w:cs="宋体"/>
          <w:color w:val="auto"/>
          <w:sz w:val="24"/>
        </w:rPr>
        <w:t>企业采购。</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7"/>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12</w:t>
      </w:r>
      <w:r>
        <w:rPr>
          <w:rFonts w:hint="eastAsia" w:ascii="宋体" w:hAnsi="宋体" w:cs="宋体"/>
          <w:color w:val="auto"/>
          <w:sz w:val="24"/>
        </w:rPr>
        <w:t>月</w:t>
      </w:r>
      <w:r>
        <w:rPr>
          <w:rFonts w:hint="eastAsia" w:ascii="宋体" w:hAnsi="宋体" w:cs="宋体"/>
          <w:color w:val="auto"/>
          <w:sz w:val="24"/>
          <w:lang w:val="en-US" w:eastAsia="zh-CN"/>
        </w:rPr>
        <w:t>11</w:t>
      </w:r>
      <w:r>
        <w:rPr>
          <w:rFonts w:hint="eastAsia" w:ascii="宋体" w:hAnsi="宋体" w:cs="宋体"/>
          <w:color w:val="auto"/>
          <w:sz w:val="24"/>
        </w:rPr>
        <w:t>日至202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12</w:t>
      </w:r>
      <w:r>
        <w:rPr>
          <w:rFonts w:hint="eastAsia" w:ascii="宋体" w:hAnsi="宋体" w:cs="宋体"/>
          <w:color w:val="auto"/>
          <w:sz w:val="24"/>
        </w:rPr>
        <w:t>月</w:t>
      </w:r>
      <w:r>
        <w:rPr>
          <w:rFonts w:hint="eastAsia" w:ascii="宋体" w:hAnsi="宋体" w:cs="宋体"/>
          <w:color w:val="auto"/>
          <w:sz w:val="24"/>
          <w:lang w:val="en-US" w:eastAsia="zh-CN"/>
        </w:rPr>
        <w:t>17</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34"/>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numPr>
          <w:ilvl w:val="0"/>
          <w:numId w:val="5"/>
        </w:numPr>
        <w:snapToGrid/>
        <w:spacing w:line="380" w:lineRule="exact"/>
        <w:ind w:left="720" w:hanging="723" w:hangingChars="300"/>
        <w:rPr>
          <w:rFonts w:hint="eastAsia" w:ascii="宋体" w:hAnsi="宋体"/>
          <w:color w:val="auto"/>
          <w:sz w:val="24"/>
        </w:rPr>
      </w:pPr>
      <w:bookmarkStart w:id="14" w:name="_Toc186274097"/>
      <w:bookmarkStart w:id="15" w:name="_Toc174185144"/>
      <w:bookmarkStart w:id="16" w:name="_Toc184013601"/>
      <w:bookmarkStart w:id="17" w:name="_Toc184023100"/>
      <w:bookmarkStart w:id="18" w:name="_Toc180051008"/>
      <w:r>
        <w:rPr>
          <w:rFonts w:hint="eastAsia" w:ascii="宋体" w:hAnsi="宋体"/>
          <w:b/>
          <w:bCs/>
          <w:color w:val="auto"/>
          <w:sz w:val="24"/>
        </w:rPr>
        <w:t>询标时间：</w:t>
      </w:r>
      <w:r>
        <w:rPr>
          <w:rFonts w:hint="eastAsia" w:ascii="宋体" w:hAnsi="宋体"/>
          <w:color w:val="auto"/>
          <w:sz w:val="24"/>
        </w:rPr>
        <w:t>202</w:t>
      </w:r>
      <w:r>
        <w:rPr>
          <w:rFonts w:hint="eastAsia" w:ascii="宋体" w:hAnsi="宋体"/>
          <w:color w:val="auto"/>
          <w:sz w:val="24"/>
          <w:lang w:val="en-US" w:eastAsia="zh-CN"/>
        </w:rPr>
        <w:t>4</w:t>
      </w:r>
      <w:r>
        <w:rPr>
          <w:rFonts w:hint="eastAsia" w:ascii="宋体" w:hAnsi="宋体"/>
          <w:color w:val="auto"/>
          <w:sz w:val="24"/>
        </w:rPr>
        <w:t>年</w:t>
      </w:r>
      <w:r>
        <w:rPr>
          <w:rFonts w:hint="eastAsia" w:ascii="宋体" w:hAnsi="宋体"/>
          <w:color w:val="auto"/>
          <w:sz w:val="24"/>
          <w:lang w:val="en-US" w:eastAsia="zh-CN"/>
        </w:rPr>
        <w:t>12</w:t>
      </w:r>
      <w:r>
        <w:rPr>
          <w:rFonts w:hint="eastAsia" w:ascii="宋体" w:hAnsi="宋体"/>
          <w:color w:val="auto"/>
          <w:sz w:val="24"/>
        </w:rPr>
        <w:t>月</w:t>
      </w:r>
      <w:r>
        <w:rPr>
          <w:rFonts w:hint="eastAsia" w:ascii="宋体" w:hAnsi="宋体"/>
          <w:color w:val="auto"/>
          <w:sz w:val="24"/>
          <w:lang w:val="en-US" w:eastAsia="zh-CN"/>
        </w:rPr>
        <w:t>18</w:t>
      </w:r>
      <w:r>
        <w:rPr>
          <w:rFonts w:hint="eastAsia" w:ascii="宋体" w:hAnsi="宋体"/>
          <w:color w:val="auto"/>
          <w:sz w:val="24"/>
        </w:rPr>
        <w:t>日下午1</w:t>
      </w:r>
      <w:r>
        <w:rPr>
          <w:rFonts w:hint="eastAsia" w:ascii="宋体" w:hAnsi="宋体"/>
          <w:color w:val="auto"/>
          <w:sz w:val="24"/>
          <w:lang w:val="en-US" w:eastAsia="zh-CN"/>
        </w:rPr>
        <w:t>5</w:t>
      </w:r>
      <w:r>
        <w:rPr>
          <w:rFonts w:hint="eastAsia" w:ascii="宋体" w:hAnsi="宋体"/>
          <w:color w:val="auto"/>
          <w:sz w:val="24"/>
        </w:rPr>
        <w:t xml:space="preserve">：30 </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（北京市石景山区京原西街6号院3号楼7层</w:t>
      </w:r>
      <w:r>
        <w:rPr>
          <w:rFonts w:hint="eastAsia" w:ascii="宋体" w:hAnsi="宋体" w:cs="宋体"/>
          <w:color w:val="auto"/>
          <w:sz w:val="24"/>
          <w:lang w:val="en-US" w:eastAsia="zh-CN"/>
        </w:rPr>
        <w:t>711室</w:t>
      </w:r>
      <w:r>
        <w:rPr>
          <w:rFonts w:hint="eastAsia" w:ascii="宋体" w:hAnsi="宋体" w:cs="宋体"/>
          <w:color w:val="auto"/>
          <w:sz w:val="24"/>
        </w:rPr>
        <w:t>）</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4</w:t>
      </w:r>
      <w:r>
        <w:rPr>
          <w:rFonts w:hint="eastAsia" w:ascii="宋体" w:hAnsi="宋体"/>
          <w:b w:val="0"/>
          <w:bCs/>
          <w:color w:val="auto"/>
          <w:sz w:val="24"/>
        </w:rPr>
        <w:t>年</w:t>
      </w:r>
      <w:r>
        <w:rPr>
          <w:rFonts w:hint="eastAsia" w:ascii="宋体" w:hAnsi="宋体"/>
          <w:b w:val="0"/>
          <w:bCs/>
          <w:color w:val="auto"/>
          <w:sz w:val="24"/>
          <w:lang w:val="en-US" w:eastAsia="zh-CN"/>
        </w:rPr>
        <w:t>12</w:t>
      </w:r>
      <w:r>
        <w:rPr>
          <w:rFonts w:hint="eastAsia" w:ascii="宋体" w:hAnsi="宋体"/>
          <w:b w:val="0"/>
          <w:bCs/>
          <w:color w:val="auto"/>
          <w:sz w:val="24"/>
        </w:rPr>
        <w:t>月</w:t>
      </w:r>
      <w:r>
        <w:rPr>
          <w:rFonts w:hint="eastAsia" w:ascii="宋体" w:hAnsi="宋体"/>
          <w:b w:val="0"/>
          <w:bCs/>
          <w:color w:val="auto"/>
          <w:sz w:val="24"/>
          <w:lang w:val="en-US" w:eastAsia="zh-CN"/>
        </w:rPr>
        <w:t>31</w:t>
      </w:r>
      <w:r>
        <w:rPr>
          <w:rFonts w:hint="eastAsia" w:ascii="宋体" w:hAnsi="宋体"/>
          <w:b w:val="0"/>
          <w:bCs/>
          <w:color w:val="auto"/>
          <w:sz w:val="24"/>
        </w:rPr>
        <w:t>日  上午9:</w:t>
      </w:r>
      <w:r>
        <w:rPr>
          <w:rFonts w:hint="eastAsia" w:ascii="宋体" w:hAnsi="宋体"/>
          <w:b w:val="0"/>
          <w:bCs/>
          <w:color w:val="auto"/>
          <w:sz w:val="24"/>
          <w:lang w:val="en-US" w:eastAsia="zh-CN"/>
        </w:rPr>
        <w:t>0</w:t>
      </w:r>
      <w:r>
        <w:rPr>
          <w:rFonts w:hint="eastAsia" w:ascii="宋体" w:hAnsi="宋体"/>
          <w:b w:val="0"/>
          <w:bCs/>
          <w:color w:val="auto"/>
          <w:sz w:val="24"/>
        </w:rPr>
        <w:t>0（北京时间）</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val="en-US" w:eastAsia="zh-CN"/>
        </w:rPr>
        <w:t>4</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12</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31</w:t>
      </w:r>
      <w:r>
        <w:rPr>
          <w:rFonts w:hint="eastAsia" w:ascii="宋体" w:hAnsi="宋体" w:cs="微软雅黑"/>
          <w:color w:val="auto"/>
          <w:sz w:val="24"/>
          <w:szCs w:val="24"/>
        </w:rPr>
        <w:t>日  上午9:</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4"/>
      <w:bookmarkEnd w:id="15"/>
      <w:bookmarkEnd w:id="16"/>
      <w:bookmarkEnd w:id="17"/>
      <w:bookmarkEnd w:id="18"/>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址：北京市石景山区京原西街6号院</w:t>
      </w:r>
      <w:r>
        <w:rPr>
          <w:rFonts w:hint="eastAsia" w:ascii="宋体" w:hAnsi="宋体"/>
          <w:color w:val="auto"/>
          <w:sz w:val="24"/>
          <w:lang w:val="en-US" w:eastAsia="zh-CN"/>
        </w:rPr>
        <w:t>3</w:t>
      </w:r>
      <w:r>
        <w:rPr>
          <w:rFonts w:hint="eastAsia" w:ascii="宋体" w:hAnsi="宋体"/>
          <w:color w:val="auto"/>
          <w:sz w:val="24"/>
        </w:rPr>
        <w:t>号楼</w:t>
      </w:r>
      <w:r>
        <w:rPr>
          <w:rFonts w:hint="eastAsia" w:ascii="宋体" w:hAnsi="宋体"/>
          <w:color w:val="auto"/>
          <w:sz w:val="24"/>
          <w:lang w:val="en-US" w:eastAsia="zh-CN"/>
        </w:rPr>
        <w:t>7层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电　　话：</w:t>
      </w:r>
      <w:r>
        <w:rPr>
          <w:rFonts w:hint="eastAsia" w:ascii="宋体" w:hAnsi="宋体"/>
          <w:color w:val="auto"/>
          <w:sz w:val="24"/>
          <w:lang w:val="en-US" w:eastAsia="zh-CN"/>
        </w:rPr>
        <w:t>81927379</w:t>
      </w:r>
      <w:r>
        <w:rPr>
          <w:rFonts w:hint="eastAsia" w:ascii="宋体" w:hAnsi="宋体"/>
          <w:color w:val="auto"/>
          <w:sz w:val="24"/>
        </w:rPr>
        <w:t xml:space="preserve">                        </w:t>
      </w:r>
    </w:p>
    <w:p>
      <w:pPr>
        <w:autoSpaceDE w:val="0"/>
        <w:autoSpaceDN w:val="0"/>
        <w:adjustRightInd w:val="0"/>
        <w:spacing w:line="360" w:lineRule="auto"/>
        <w:ind w:firstLine="960" w:firstLineChars="400"/>
        <w:rPr>
          <w:rFonts w:ascii="宋体" w:hAnsi="宋体" w:cs="微软雅黑"/>
          <w:color w:val="auto"/>
          <w:sz w:val="21"/>
          <w:szCs w:val="21"/>
        </w:rPr>
      </w:pPr>
      <w:r>
        <w:rPr>
          <w:rFonts w:hint="eastAsia" w:ascii="宋体" w:hAnsi="宋体"/>
          <w:color w:val="auto"/>
          <w:sz w:val="24"/>
        </w:rPr>
        <w:t>联 系 人：</w:t>
      </w:r>
      <w:r>
        <w:rPr>
          <w:rFonts w:hint="eastAsia" w:ascii="宋体" w:hAnsi="宋体"/>
          <w:color w:val="auto"/>
          <w:sz w:val="24"/>
          <w:lang w:eastAsia="zh-CN"/>
        </w:rPr>
        <w:t>刘思彤</w:t>
      </w:r>
    </w:p>
    <w:bookmarkEnd w:id="9"/>
    <w:bookmarkEnd w:id="10"/>
    <w:bookmarkEnd w:id="11"/>
    <w:bookmarkEnd w:id="12"/>
    <w:bookmarkEnd w:id="13"/>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19" w:name="_Toc180051012"/>
      <w:bookmarkStart w:id="20" w:name="_Toc174185149"/>
      <w:bookmarkStart w:id="21" w:name="_Toc184013605"/>
      <w:bookmarkStart w:id="22" w:name="_Toc186274101"/>
      <w:bookmarkStart w:id="23" w:name="_Toc184023104"/>
      <w:r>
        <w:rPr>
          <w:rFonts w:hint="eastAsia" w:ascii="宋体" w:hAnsi="宋体" w:cs="微软雅黑"/>
          <w:b/>
          <w:color w:val="auto"/>
          <w:sz w:val="30"/>
          <w:szCs w:val="30"/>
        </w:rPr>
        <w:t>电子投标文件制作及上传说明</w:t>
      </w:r>
      <w:bookmarkEnd w:id="19"/>
      <w:bookmarkEnd w:id="20"/>
      <w:bookmarkEnd w:id="21"/>
      <w:bookmarkEnd w:id="22"/>
      <w:bookmarkEnd w:id="23"/>
    </w:p>
    <w:p>
      <w:pPr>
        <w:pStyle w:val="11"/>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6"/>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6"/>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6"/>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6"/>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9"/>
        <w:snapToGrid w:val="0"/>
        <w:spacing w:before="0" w:after="0"/>
        <w:ind w:left="0"/>
        <w:rPr>
          <w:rFonts w:ascii="宋体" w:hAnsi="宋体"/>
          <w:color w:val="auto"/>
        </w:rPr>
      </w:pPr>
      <w:bookmarkStart w:id="24" w:name="_Toc466015311"/>
      <w:bookmarkStart w:id="25" w:name="_Toc174185152"/>
      <w:bookmarkStart w:id="26" w:name="_Toc186274104"/>
      <w:bookmarkStart w:id="27" w:name="_Toc22558"/>
      <w:r>
        <w:rPr>
          <w:rFonts w:hint="eastAsia" w:ascii="宋体" w:hAnsi="宋体"/>
          <w:color w:val="auto"/>
          <w:lang w:val="en-US" w:eastAsia="zh-CN"/>
        </w:rPr>
        <w:t xml:space="preserve"> </w:t>
      </w:r>
      <w:r>
        <w:rPr>
          <w:rFonts w:hint="eastAsia" w:ascii="宋体" w:hAnsi="宋体"/>
          <w:color w:val="auto"/>
        </w:rPr>
        <w:t>投标人须知前附表</w:t>
      </w:r>
      <w:bookmarkEnd w:id="24"/>
      <w:bookmarkEnd w:id="25"/>
      <w:bookmarkEnd w:id="26"/>
      <w:bookmarkEnd w:id="27"/>
    </w:p>
    <w:p>
      <w:pPr>
        <w:pStyle w:val="49"/>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w:t>
      </w:r>
    </w:p>
    <w:p>
      <w:pPr>
        <w:pStyle w:val="49"/>
        <w:numPr>
          <w:ilvl w:val="0"/>
          <w:numId w:val="0"/>
        </w:numPr>
        <w:snapToGrid w:val="0"/>
        <w:spacing w:before="0" w:after="0"/>
        <w:jc w:val="left"/>
        <w:rPr>
          <w:rFonts w:cs="微软雅黑"/>
          <w:color w:val="auto"/>
          <w:sz w:val="21"/>
          <w:szCs w:val="21"/>
        </w:rPr>
      </w:pPr>
    </w:p>
    <w:tbl>
      <w:tblPr>
        <w:tblStyle w:val="32"/>
        <w:tblW w:w="9358" w:type="dxa"/>
        <w:tblInd w:w="-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r>
              <w:rPr>
                <w:rFonts w:hint="eastAsia" w:cs="微软雅黑"/>
                <w:b/>
                <w:bCs/>
                <w:color w:val="auto"/>
                <w:sz w:val="24"/>
                <w:szCs w:val="24"/>
              </w:rPr>
              <w:t>序号</w:t>
            </w: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ascii="宋体" w:hAnsi="宋体" w:eastAsia="宋体" w:cs="宋体"/>
                <w:bCs/>
                <w:color w:val="auto"/>
                <w:sz w:val="24"/>
                <w:szCs w:val="24"/>
              </w:rPr>
              <w:t>5、</w:t>
            </w:r>
            <w:r>
              <w:rPr>
                <w:rFonts w:hint="eastAsia"/>
                <w:bCs/>
                <w:color w:val="auto"/>
                <w:sz w:val="24"/>
                <w:szCs w:val="24"/>
              </w:rPr>
              <w:t>偏离表</w:t>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6、</w:t>
            </w:r>
            <w:r>
              <w:rPr>
                <w:rFonts w:hint="eastAsia" w:hAnsi="宋体"/>
                <w:color w:val="auto"/>
                <w:sz w:val="24"/>
                <w:szCs w:val="24"/>
                <w:highlight w:val="none"/>
                <w:lang w:eastAsia="zh-CN"/>
              </w:rPr>
              <w:t>服务方案</w:t>
            </w:r>
          </w:p>
          <w:p>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eastAsia="zh-CN"/>
              </w:rPr>
              <w:t>服务团队</w:t>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cs="宋体"/>
                <w:color w:val="auto"/>
                <w:sz w:val="24"/>
                <w:szCs w:val="24"/>
                <w:highlight w:val="none"/>
                <w:lang w:eastAsia="zh-CN"/>
              </w:rPr>
              <w:t>投标人</w:t>
            </w:r>
            <w:r>
              <w:rPr>
                <w:rFonts w:hint="eastAsia" w:ascii="宋体" w:hAnsi="宋体" w:cs="宋体"/>
                <w:bCs/>
                <w:color w:val="auto"/>
                <w:sz w:val="24"/>
                <w:szCs w:val="24"/>
                <w:highlight w:val="none"/>
                <w:lang w:eastAsia="zh-CN"/>
              </w:rPr>
              <w:t>履约能力</w:t>
            </w:r>
          </w:p>
          <w:p>
            <w:pPr>
              <w:spacing w:line="360" w:lineRule="auto"/>
              <w:rPr>
                <w:rFonts w:hint="eastAsia" w:ascii="宋体" w:hAnsi="宋体" w:eastAsia="宋体" w:cs="宋体"/>
                <w:bCs/>
                <w:color w:val="FF0000"/>
                <w:sz w:val="24"/>
                <w:szCs w:val="24"/>
                <w:highlight w:val="none"/>
              </w:rPr>
            </w:pPr>
            <w:r>
              <w:rPr>
                <w:rFonts w:hint="eastAsia" w:ascii="宋体" w:hAnsi="宋体" w:eastAsia="宋体" w:cs="宋体"/>
                <w:bCs/>
                <w:color w:val="auto"/>
                <w:sz w:val="24"/>
                <w:szCs w:val="24"/>
                <w:highlight w:val="none"/>
              </w:rPr>
              <w:t>9、</w:t>
            </w:r>
            <w:r>
              <w:rPr>
                <w:rFonts w:hint="eastAsia" w:ascii="宋体" w:hAnsi="宋体" w:cs="宋体"/>
                <w:bCs/>
                <w:color w:val="auto"/>
                <w:sz w:val="24"/>
                <w:szCs w:val="24"/>
                <w:highlight w:val="none"/>
                <w:lang w:val="en-US" w:eastAsia="zh-CN"/>
              </w:rPr>
              <w:t>中小企业</w:t>
            </w:r>
            <w:r>
              <w:rPr>
                <w:rFonts w:hint="eastAsia" w:ascii="宋体" w:hAnsi="宋体" w:eastAsia="宋体" w:cs="宋体"/>
                <w:color w:val="auto"/>
                <w:sz w:val="24"/>
                <w:szCs w:val="24"/>
                <w:highlight w:val="none"/>
              </w:rPr>
              <w:t>声明函</w:t>
            </w:r>
          </w:p>
          <w:p>
            <w:pPr>
              <w:spacing w:line="360" w:lineRule="auto"/>
              <w:rPr>
                <w:rFonts w:hAnsi="宋体"/>
                <w:color w:val="auto"/>
                <w:sz w:val="24"/>
                <w:szCs w:val="24"/>
              </w:rPr>
            </w:pPr>
            <w:r>
              <w:rPr>
                <w:rFonts w:hint="eastAsia" w:ascii="宋体" w:hAnsi="宋体" w:eastAsia="宋体" w:cs="宋体"/>
                <w:bCs/>
                <w:color w:val="auto"/>
                <w:sz w:val="24"/>
                <w:szCs w:val="24"/>
                <w:lang w:val="en-US" w:eastAsia="zh-CN"/>
              </w:rPr>
              <w:t>10、</w:t>
            </w:r>
            <w:r>
              <w:rPr>
                <w:rFonts w:hint="eastAsia" w:ascii="宋体" w:hAnsi="宋体"/>
                <w:color w:val="auto"/>
                <w:sz w:val="24"/>
                <w:szCs w:val="24"/>
              </w:rPr>
              <w:t>投标人认为有必要提供的其他文件</w:t>
            </w:r>
          </w:p>
        </w:tc>
        <w:tc>
          <w:tcPr>
            <w:tcW w:w="249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7"/>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7"/>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highlight w:val="none"/>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highlight w:val="none"/>
              </w:rPr>
            </w:pPr>
            <w:r>
              <w:rPr>
                <w:rFonts w:hint="eastAsia" w:ascii="宋体" w:hAnsi="宋体" w:cs="微软雅黑"/>
                <w:bCs/>
                <w:color w:val="auto"/>
                <w:sz w:val="24"/>
                <w:szCs w:val="24"/>
                <w:highlight w:val="none"/>
              </w:rPr>
              <w:t>是否允许分包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highlight w:val="none"/>
              </w:rPr>
            </w:pPr>
            <w:r>
              <w:rPr>
                <w:rFonts w:hint="eastAsia" w:cs="微软雅黑"/>
                <w:bCs/>
                <w:color w:val="auto"/>
                <w:sz w:val="24"/>
                <w:szCs w:val="24"/>
                <w:highlight w:val="none"/>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本项目所属行业为物业管理。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eastAsia="宋体" w:cs="微软雅黑"/>
                <w:bCs/>
                <w:color w:val="auto"/>
                <w:sz w:val="24"/>
                <w:szCs w:val="24"/>
                <w:lang w:eastAsia="zh-CN"/>
              </w:rPr>
            </w:pPr>
            <w:r>
              <w:rPr>
                <w:rFonts w:hint="eastAsia" w:cs="微软雅黑"/>
                <w:bCs/>
                <w:color w:val="auto"/>
                <w:sz w:val="24"/>
                <w:szCs w:val="24"/>
                <w:lang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742" w:type="dxa"/>
            <w:vAlign w:val="center"/>
          </w:tcPr>
          <w:p>
            <w:pPr>
              <w:numPr>
                <w:ilvl w:val="0"/>
                <w:numId w:val="7"/>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8" w:type="default"/>
          <w:footerReference r:id="rId9" w:type="default"/>
          <w:pgSz w:w="11907" w:h="16840"/>
          <w:pgMar w:top="1418" w:right="1418" w:bottom="1418" w:left="1418" w:header="851" w:footer="850" w:gutter="0"/>
          <w:pgNumType w:fmt="decimal"/>
          <w:cols w:space="720" w:num="1"/>
          <w:docGrid w:type="lines" w:linePitch="326" w:charSpace="0"/>
        </w:sectPr>
      </w:pPr>
    </w:p>
    <w:p>
      <w:pPr>
        <w:pStyle w:val="49"/>
        <w:snapToGrid w:val="0"/>
        <w:spacing w:before="0" w:after="0"/>
        <w:ind w:left="0"/>
        <w:rPr>
          <w:rFonts w:ascii="宋体" w:hAnsi="宋体"/>
          <w:color w:val="auto"/>
        </w:rPr>
      </w:pPr>
      <w:bookmarkStart w:id="28" w:name="_Toc5503"/>
      <w:bookmarkEnd w:id="28"/>
      <w:bookmarkStart w:id="29" w:name="_Toc466015312"/>
      <w:bookmarkStart w:id="30" w:name="_Toc20975"/>
      <w:bookmarkStart w:id="31" w:name="_Toc328815991"/>
      <w:bookmarkStart w:id="32" w:name="_Toc186274106"/>
      <w:bookmarkStart w:id="33" w:name="_Toc174185153"/>
      <w:bookmarkStart w:id="34" w:name="_Toc86202581"/>
      <w:bookmarkStart w:id="35" w:name="_Toc466015313"/>
      <w:r>
        <w:rPr>
          <w:rFonts w:hint="eastAsia" w:ascii="宋体" w:hAnsi="宋体"/>
          <w:color w:val="auto"/>
          <w:lang w:val="en-US" w:eastAsia="zh-CN"/>
        </w:rPr>
        <w:t xml:space="preserve"> </w:t>
      </w:r>
      <w:r>
        <w:rPr>
          <w:rFonts w:hint="eastAsia" w:ascii="宋体" w:hAnsi="宋体"/>
          <w:color w:val="auto"/>
        </w:rPr>
        <w:t>投标人须知</w:t>
      </w:r>
      <w:bookmarkEnd w:id="29"/>
      <w:bookmarkEnd w:id="30"/>
      <w:bookmarkEnd w:id="31"/>
    </w:p>
    <w:bookmarkEnd w:id="32"/>
    <w:bookmarkEnd w:id="33"/>
    <w:p>
      <w:pPr>
        <w:pStyle w:val="54"/>
        <w:numPr>
          <w:ilvl w:val="0"/>
          <w:numId w:val="0"/>
        </w:numPr>
        <w:adjustRightInd/>
        <w:textAlignment w:val="auto"/>
        <w:rPr>
          <w:color w:val="auto"/>
        </w:rPr>
      </w:pPr>
    </w:p>
    <w:bookmarkEnd w:id="34"/>
    <w:p>
      <w:pPr>
        <w:pStyle w:val="5"/>
        <w:spacing w:before="0" w:after="120" w:line="400" w:lineRule="exact"/>
        <w:ind w:left="238"/>
        <w:rPr>
          <w:rFonts w:ascii="宋体" w:hAnsi="宋体" w:eastAsia="宋体" w:cs="微软雅黑"/>
          <w:bCs w:val="0"/>
          <w:color w:val="auto"/>
          <w:sz w:val="24"/>
          <w:szCs w:val="24"/>
        </w:rPr>
      </w:pPr>
      <w:bookmarkStart w:id="36" w:name="_Toc328815992"/>
      <w:r>
        <w:rPr>
          <w:rFonts w:hint="eastAsia" w:ascii="宋体" w:hAnsi="宋体" w:eastAsia="宋体" w:cs="微软雅黑"/>
          <w:bCs w:val="0"/>
          <w:color w:val="auto"/>
          <w:sz w:val="24"/>
          <w:szCs w:val="24"/>
        </w:rPr>
        <w:t>总则</w:t>
      </w:r>
      <w:bookmarkEnd w:id="36"/>
    </w:p>
    <w:p>
      <w:pPr>
        <w:pStyle w:val="54"/>
        <w:tabs>
          <w:tab w:val="clear" w:pos="709"/>
        </w:tabs>
        <w:spacing w:line="400" w:lineRule="exact"/>
        <w:rPr>
          <w:rFonts w:cs="微软雅黑"/>
          <w:color w:val="auto"/>
          <w:sz w:val="24"/>
          <w:szCs w:val="24"/>
        </w:rPr>
      </w:pPr>
      <w:r>
        <w:rPr>
          <w:rFonts w:hint="eastAsia" w:cs="微软雅黑"/>
          <w:color w:val="auto"/>
          <w:sz w:val="24"/>
          <w:szCs w:val="24"/>
        </w:rPr>
        <w:t>定义：</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30"/>
          <w:rFonts w:cs="微软雅黑"/>
          <w:color w:val="auto"/>
          <w:sz w:val="24"/>
          <w:szCs w:val="24"/>
          <w:u w:val="none"/>
        </w:rPr>
        <w:t>http://www.ccgp-beijing.gov.cn</w:t>
      </w:r>
      <w:r>
        <w:rPr>
          <w:rStyle w:val="30"/>
          <w:rFonts w:cs="微软雅黑"/>
          <w:color w:val="auto"/>
          <w:sz w:val="24"/>
          <w:szCs w:val="24"/>
          <w:u w:val="none"/>
        </w:rPr>
        <w:fldChar w:fldCharType="end"/>
      </w:r>
      <w:r>
        <w:rPr>
          <w:rFonts w:hint="eastAsia" w:cs="微软雅黑"/>
          <w:color w:val="auto"/>
          <w:sz w:val="24"/>
          <w:szCs w:val="24"/>
        </w:rPr>
        <w:t>）。</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4"/>
        <w:numPr>
          <w:ilvl w:val="-1"/>
          <w:numId w:val="0"/>
        </w:numPr>
        <w:tabs>
          <w:tab w:val="clear" w:pos="709"/>
        </w:tabs>
        <w:snapToGrid w:val="0"/>
        <w:spacing w:line="400" w:lineRule="exact"/>
        <w:rPr>
          <w:rFonts w:cs="微软雅黑"/>
          <w:color w:val="auto"/>
          <w:sz w:val="24"/>
          <w:szCs w:val="24"/>
        </w:rPr>
      </w:pPr>
    </w:p>
    <w:p>
      <w:pPr>
        <w:pStyle w:val="54"/>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8"/>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4"/>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4"/>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4"/>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4"/>
        <w:numPr>
          <w:ilvl w:val="0"/>
          <w:numId w:val="0"/>
        </w:numPr>
        <w:tabs>
          <w:tab w:val="left" w:pos="420"/>
        </w:tabs>
        <w:spacing w:line="400" w:lineRule="exact"/>
        <w:rPr>
          <w:rFonts w:cs="微软雅黑"/>
          <w:color w:val="auto"/>
        </w:rPr>
      </w:pPr>
    </w:p>
    <w:p>
      <w:pPr>
        <w:pStyle w:val="54"/>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4"/>
        <w:numPr>
          <w:ilvl w:val="0"/>
          <w:numId w:val="0"/>
        </w:numPr>
        <w:snapToGrid w:val="0"/>
        <w:spacing w:line="400" w:lineRule="exact"/>
        <w:rPr>
          <w:rFonts w:cs="微软雅黑"/>
          <w:color w:val="auto"/>
        </w:rPr>
      </w:pPr>
    </w:p>
    <w:p>
      <w:pPr>
        <w:pStyle w:val="5"/>
        <w:spacing w:before="0" w:after="120" w:line="400" w:lineRule="exact"/>
        <w:ind w:left="238"/>
        <w:rPr>
          <w:rFonts w:ascii="宋体" w:hAnsi="宋体" w:eastAsia="宋体" w:cs="微软雅黑"/>
          <w:bCs w:val="0"/>
          <w:color w:val="auto"/>
          <w:sz w:val="24"/>
          <w:szCs w:val="24"/>
        </w:rPr>
      </w:pPr>
      <w:bookmarkStart w:id="37" w:name="_Toc328815993"/>
      <w:r>
        <w:rPr>
          <w:rFonts w:hint="eastAsia" w:ascii="宋体" w:hAnsi="宋体" w:eastAsia="宋体" w:cs="微软雅黑"/>
          <w:bCs w:val="0"/>
          <w:color w:val="auto"/>
          <w:sz w:val="24"/>
          <w:szCs w:val="24"/>
        </w:rPr>
        <w:t>招标文件</w:t>
      </w:r>
      <w:bookmarkEnd w:id="37"/>
    </w:p>
    <w:p>
      <w:pPr>
        <w:pStyle w:val="54"/>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4"/>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4"/>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4"/>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4"/>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4"/>
        <w:numPr>
          <w:ilvl w:val="0"/>
          <w:numId w:val="0"/>
        </w:numPr>
        <w:spacing w:line="400" w:lineRule="exact"/>
        <w:ind w:left="709"/>
        <w:rPr>
          <w:rFonts w:cs="微软雅黑"/>
          <w:color w:val="auto"/>
        </w:rPr>
      </w:pPr>
    </w:p>
    <w:p>
      <w:pPr>
        <w:pStyle w:val="5"/>
        <w:spacing w:before="0" w:after="120" w:line="400" w:lineRule="exact"/>
        <w:ind w:left="238"/>
        <w:rPr>
          <w:rFonts w:ascii="宋体" w:hAnsi="宋体" w:eastAsia="宋体" w:cs="微软雅黑"/>
          <w:bCs w:val="0"/>
          <w:color w:val="auto"/>
          <w:sz w:val="24"/>
          <w:szCs w:val="24"/>
        </w:rPr>
      </w:pPr>
      <w:bookmarkStart w:id="38" w:name="_Toc328815994"/>
      <w:r>
        <w:rPr>
          <w:rFonts w:hint="eastAsia" w:ascii="宋体" w:hAnsi="宋体" w:eastAsia="宋体" w:cs="微软雅黑"/>
          <w:bCs w:val="0"/>
          <w:color w:val="auto"/>
          <w:sz w:val="24"/>
          <w:szCs w:val="24"/>
        </w:rPr>
        <w:t>电子投标文件</w:t>
      </w:r>
      <w:bookmarkEnd w:id="38"/>
    </w:p>
    <w:p>
      <w:pPr>
        <w:pStyle w:val="54"/>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4"/>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4"/>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4"/>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4"/>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9"/>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9"/>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9"/>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w:t>
      </w:r>
      <w:r>
        <w:rPr>
          <w:rFonts w:hint="eastAsia" w:ascii="宋体" w:hAnsi="宋体" w:cs="微软雅黑"/>
          <w:b/>
          <w:color w:val="auto"/>
          <w:sz w:val="24"/>
          <w:szCs w:val="24"/>
          <w:lang w:eastAsia="zh-CN"/>
        </w:rPr>
        <w:t>自行编制</w:t>
      </w:r>
      <w:r>
        <w:rPr>
          <w:rFonts w:hint="eastAsia" w:ascii="宋体" w:hAnsi="宋体" w:cs="微软雅黑"/>
          <w:b/>
          <w:color w:val="auto"/>
          <w:sz w:val="24"/>
          <w:szCs w:val="24"/>
        </w:rPr>
        <w:t>，填报的分项报价和投标总价均不得为零、为空，否则作无效投标处理。</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w:t>
      </w:r>
      <w:r>
        <w:rPr>
          <w:rFonts w:hint="eastAsia" w:ascii="宋体" w:hAnsi="宋体" w:cs="微软雅黑"/>
          <w:color w:val="auto"/>
          <w:sz w:val="24"/>
          <w:szCs w:val="24"/>
          <w:lang w:eastAsia="zh-CN"/>
        </w:rPr>
        <w:t>服务人员工资、福利费、税费及其他相关</w:t>
      </w:r>
      <w:r>
        <w:rPr>
          <w:rFonts w:hint="eastAsia" w:ascii="宋体" w:hAnsi="宋体" w:cs="微软雅黑"/>
          <w:color w:val="auto"/>
          <w:sz w:val="24"/>
          <w:szCs w:val="24"/>
        </w:rPr>
        <w:t>全部费用均应包含在投标报价中，否则作无效投标处理。</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9"/>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w:t>
      </w:r>
      <w:r>
        <w:rPr>
          <w:rFonts w:hint="eastAsia" w:ascii="宋体" w:hAnsi="宋体" w:cs="微软雅黑"/>
          <w:b/>
          <w:color w:val="auto"/>
          <w:sz w:val="24"/>
          <w:szCs w:val="24"/>
          <w:lang w:eastAsia="zh-CN"/>
        </w:rPr>
        <w:t>服务</w:t>
      </w:r>
      <w:r>
        <w:rPr>
          <w:rFonts w:hint="eastAsia" w:ascii="宋体" w:hAnsi="宋体" w:cs="微软雅黑"/>
          <w:b/>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9"/>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4"/>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4"/>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5"/>
        <w:spacing w:before="0" w:after="120" w:line="400" w:lineRule="exact"/>
        <w:ind w:left="238"/>
        <w:rPr>
          <w:rFonts w:ascii="宋体" w:hAnsi="宋体" w:eastAsia="宋体" w:cs="微软雅黑"/>
          <w:bCs w:val="0"/>
          <w:color w:val="auto"/>
          <w:sz w:val="24"/>
          <w:szCs w:val="24"/>
        </w:rPr>
      </w:pPr>
      <w:bookmarkStart w:id="39" w:name="_Toc328815995"/>
      <w:r>
        <w:rPr>
          <w:rFonts w:hint="eastAsia" w:ascii="宋体" w:hAnsi="宋体" w:eastAsia="宋体" w:cs="微软雅黑"/>
          <w:bCs w:val="0"/>
          <w:color w:val="auto"/>
          <w:sz w:val="24"/>
          <w:szCs w:val="24"/>
        </w:rPr>
        <w:t>电子投标文件的</w:t>
      </w:r>
      <w:bookmarkEnd w:id="39"/>
      <w:r>
        <w:rPr>
          <w:rFonts w:hint="eastAsia" w:ascii="宋体" w:hAnsi="宋体" w:eastAsia="宋体" w:cs="微软雅黑"/>
          <w:bCs w:val="0"/>
          <w:color w:val="auto"/>
          <w:sz w:val="24"/>
          <w:szCs w:val="24"/>
        </w:rPr>
        <w:t xml:space="preserve">提交     </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4"/>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5"/>
        <w:spacing w:before="0" w:after="120" w:line="400" w:lineRule="exact"/>
        <w:ind w:left="238"/>
        <w:rPr>
          <w:rFonts w:ascii="宋体" w:hAnsi="宋体" w:eastAsia="宋体" w:cs="微软雅黑"/>
          <w:bCs w:val="0"/>
          <w:color w:val="auto"/>
          <w:sz w:val="21"/>
          <w:szCs w:val="21"/>
        </w:rPr>
      </w:pPr>
      <w:bookmarkStart w:id="40" w:name="_Toc328815996"/>
      <w:r>
        <w:rPr>
          <w:rFonts w:hint="eastAsia" w:ascii="宋体" w:hAnsi="宋体" w:eastAsia="宋体" w:cs="微软雅黑"/>
          <w:bCs w:val="0"/>
          <w:color w:val="auto"/>
          <w:sz w:val="24"/>
          <w:szCs w:val="24"/>
        </w:rPr>
        <w:t>开标</w:t>
      </w:r>
      <w:bookmarkEnd w:id="40"/>
      <w:r>
        <w:rPr>
          <w:rFonts w:hint="eastAsia" w:ascii="宋体" w:hAnsi="宋体" w:eastAsia="宋体" w:cs="微软雅黑"/>
          <w:bCs w:val="0"/>
          <w:color w:val="auto"/>
          <w:sz w:val="24"/>
          <w:szCs w:val="24"/>
        </w:rPr>
        <w:t xml:space="preserve">、解密及唱标 </w:t>
      </w:r>
      <w:r>
        <w:rPr>
          <w:rFonts w:hint="eastAsia" w:ascii="宋体" w:hAnsi="宋体" w:eastAsia="宋体" w:cs="微软雅黑"/>
          <w:bCs w:val="0"/>
          <w:color w:val="auto"/>
          <w:sz w:val="21"/>
          <w:szCs w:val="21"/>
        </w:rPr>
        <w:t xml:space="preserve">    </w:t>
      </w:r>
    </w:p>
    <w:p>
      <w:pPr>
        <w:pStyle w:val="54"/>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4"/>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hint="eastAsia" w:cs="宋体"/>
          <w:spacing w:val="3"/>
          <w:sz w:val="24"/>
          <w:szCs w:val="24"/>
          <w:lang w:eastAsia="zh-CN"/>
        </w:rPr>
        <w:t>异议</w:t>
      </w:r>
      <w:r>
        <w:rPr>
          <w:rFonts w:ascii="宋体" w:hAnsi="宋体" w:eastAsia="宋体" w:cs="宋体"/>
          <w:spacing w:val="3"/>
          <w:sz w:val="24"/>
          <w:szCs w:val="24"/>
        </w:rPr>
        <w:t>或确认一览表的，视同认可开标结果</w:t>
      </w:r>
      <w:r>
        <w:rPr>
          <w:rFonts w:hint="eastAsia" w:ascii="宋体" w:hAnsi="宋体" w:eastAsia="宋体" w:cs="宋体"/>
          <w:spacing w:val="3"/>
          <w:sz w:val="24"/>
          <w:szCs w:val="24"/>
          <w:lang w:eastAsia="zh-CN"/>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4"/>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5"/>
        <w:spacing w:before="0" w:after="120" w:line="400" w:lineRule="exact"/>
        <w:ind w:left="238"/>
        <w:rPr>
          <w:rFonts w:ascii="宋体" w:hAnsi="宋体" w:eastAsia="宋体" w:cs="微软雅黑"/>
          <w:bCs w:val="0"/>
          <w:color w:val="auto"/>
          <w:sz w:val="24"/>
          <w:szCs w:val="24"/>
        </w:rPr>
      </w:pPr>
      <w:bookmarkStart w:id="41" w:name="_Toc328815997"/>
      <w:r>
        <w:rPr>
          <w:rFonts w:hint="eastAsia" w:ascii="宋体" w:hAnsi="宋体" w:eastAsia="宋体" w:cs="微软雅黑"/>
          <w:bCs w:val="0"/>
          <w:color w:val="auto"/>
          <w:sz w:val="24"/>
          <w:szCs w:val="24"/>
        </w:rPr>
        <w:t>评标步骤和要求</w:t>
      </w:r>
      <w:bookmarkEnd w:id="41"/>
    </w:p>
    <w:p>
      <w:pPr>
        <w:pStyle w:val="54"/>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4"/>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6"/>
          <w:rFonts w:cs="宋体"/>
          <w:color w:val="auto"/>
          <w:sz w:val="24"/>
          <w:szCs w:val="24"/>
        </w:rPr>
        <w:t> </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4"/>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4"/>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2"/>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2"/>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2"/>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2"/>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4"/>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4"/>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4"/>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4"/>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4"/>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4"/>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4"/>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4"/>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5"/>
        <w:spacing w:before="0" w:after="120" w:line="400" w:lineRule="exact"/>
        <w:ind w:left="238"/>
        <w:rPr>
          <w:rFonts w:ascii="宋体" w:hAnsi="宋体" w:eastAsia="宋体" w:cs="微软雅黑"/>
          <w:bCs w:val="0"/>
          <w:color w:val="auto"/>
          <w:sz w:val="24"/>
          <w:szCs w:val="24"/>
        </w:rPr>
      </w:pPr>
      <w:bookmarkStart w:id="42" w:name="_Toc328815998"/>
      <w:r>
        <w:rPr>
          <w:rFonts w:hint="eastAsia" w:ascii="宋体" w:hAnsi="宋体" w:eastAsia="宋体" w:cs="微软雅黑"/>
          <w:bCs w:val="0"/>
          <w:color w:val="auto"/>
          <w:sz w:val="24"/>
          <w:szCs w:val="24"/>
        </w:rPr>
        <w:t>中标、未中标通知</w:t>
      </w:r>
      <w:bookmarkEnd w:id="42"/>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4"/>
        <w:numPr>
          <w:ilvl w:val="0"/>
          <w:numId w:val="0"/>
        </w:numPr>
        <w:snapToGrid w:val="0"/>
        <w:spacing w:line="400" w:lineRule="exact"/>
        <w:ind w:left="709"/>
        <w:rPr>
          <w:rFonts w:cs="微软雅黑"/>
          <w:color w:val="auto"/>
          <w:sz w:val="24"/>
          <w:szCs w:val="24"/>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5"/>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4"/>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4"/>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4"/>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4"/>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5"/>
        <w:spacing w:before="0" w:after="120" w:line="400" w:lineRule="exact"/>
        <w:ind w:left="238"/>
        <w:rPr>
          <w:rFonts w:ascii="宋体" w:hAnsi="宋体" w:eastAsia="宋体" w:cs="微软雅黑"/>
          <w:bCs w:val="0"/>
          <w:color w:val="auto"/>
          <w:sz w:val="24"/>
          <w:szCs w:val="24"/>
        </w:rPr>
      </w:pPr>
      <w:bookmarkStart w:id="43" w:name="_Toc328816000"/>
      <w:r>
        <w:rPr>
          <w:rFonts w:hint="eastAsia" w:ascii="宋体" w:hAnsi="宋体" w:eastAsia="宋体" w:cs="微软雅黑"/>
          <w:bCs w:val="0"/>
          <w:color w:val="auto"/>
          <w:sz w:val="24"/>
          <w:szCs w:val="24"/>
        </w:rPr>
        <w:t>质疑</w:t>
      </w:r>
      <w:bookmarkEnd w:id="43"/>
    </w:p>
    <w:p>
      <w:pPr>
        <w:pStyle w:val="54"/>
        <w:tabs>
          <w:tab w:val="clear" w:pos="709"/>
        </w:tabs>
        <w:spacing w:line="400" w:lineRule="exact"/>
        <w:rPr>
          <w:color w:val="auto"/>
          <w:sz w:val="24"/>
          <w:szCs w:val="24"/>
        </w:rPr>
      </w:pPr>
      <w:r>
        <w:rPr>
          <w:rFonts w:hint="eastAsia"/>
          <w:color w:val="auto"/>
          <w:sz w:val="24"/>
          <w:szCs w:val="24"/>
        </w:rPr>
        <w:t>质疑</w:t>
      </w:r>
    </w:p>
    <w:p>
      <w:pPr>
        <w:pStyle w:val="54"/>
        <w:numPr>
          <w:ilvl w:val="1"/>
          <w:numId w:val="3"/>
        </w:numPr>
        <w:spacing w:line="400" w:lineRule="exact"/>
        <w:rPr>
          <w:rFonts w:cs="微软雅黑"/>
          <w:color w:val="auto"/>
          <w:sz w:val="24"/>
          <w:szCs w:val="24"/>
        </w:rPr>
      </w:pPr>
      <w:bookmarkStart w:id="44"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4"/>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4"/>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4"/>
        <w:numPr>
          <w:ilvl w:val="1"/>
          <w:numId w:val="3"/>
        </w:numPr>
        <w:spacing w:line="400" w:lineRule="exact"/>
        <w:rPr>
          <w:rFonts w:cs="微软雅黑"/>
          <w:color w:val="auto"/>
          <w:sz w:val="24"/>
          <w:szCs w:val="24"/>
        </w:rPr>
      </w:pPr>
      <w:bookmarkStart w:id="45" w:name="_Toc435830560"/>
      <w:bookmarkStart w:id="46" w:name="_Toc435828258"/>
      <w:bookmarkStart w:id="47" w:name="_Toc356478669"/>
      <w:r>
        <w:rPr>
          <w:rFonts w:cs="微软雅黑"/>
          <w:color w:val="auto"/>
          <w:sz w:val="24"/>
          <w:szCs w:val="24"/>
        </w:rPr>
        <w:t>供应商提出质疑应当提交质疑函和必要的证明材料。质疑函应当包括下列内容：</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4"/>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5"/>
    <w:bookmarkEnd w:id="46"/>
    <w:bookmarkEnd w:id="47"/>
    <w:p>
      <w:pPr>
        <w:pStyle w:val="54"/>
        <w:numPr>
          <w:ilvl w:val="1"/>
          <w:numId w:val="3"/>
        </w:numPr>
        <w:spacing w:line="400" w:lineRule="exact"/>
        <w:rPr>
          <w:rFonts w:cs="微软雅黑"/>
          <w:color w:val="auto"/>
          <w:sz w:val="24"/>
          <w:szCs w:val="24"/>
        </w:rPr>
      </w:pPr>
      <w:bookmarkStart w:id="48" w:name="_Toc435830561"/>
      <w:bookmarkStart w:id="49" w:name="_Toc356478670"/>
      <w:bookmarkStart w:id="50" w:name="_Toc435828259"/>
      <w:r>
        <w:rPr>
          <w:rFonts w:hint="eastAsia" w:cs="微软雅黑"/>
          <w:color w:val="auto"/>
          <w:sz w:val="24"/>
          <w:szCs w:val="24"/>
        </w:rPr>
        <w:t>不符合上述26.2-26.9条规定的质疑函不予受理。</w:t>
      </w:r>
      <w:bookmarkEnd w:id="48"/>
      <w:bookmarkEnd w:id="49"/>
      <w:bookmarkEnd w:id="50"/>
    </w:p>
    <w:p>
      <w:pPr>
        <w:pStyle w:val="54"/>
        <w:numPr>
          <w:ilvl w:val="1"/>
          <w:numId w:val="3"/>
        </w:numPr>
        <w:spacing w:line="400" w:lineRule="exact"/>
        <w:rPr>
          <w:rFonts w:cs="微软雅黑"/>
          <w:color w:val="auto"/>
          <w:sz w:val="24"/>
          <w:szCs w:val="24"/>
        </w:rPr>
      </w:pPr>
      <w:bookmarkStart w:id="51" w:name="_Toc435830562"/>
      <w:bookmarkStart w:id="52" w:name="_Toc435828260"/>
      <w:bookmarkStart w:id="53" w:name="_Toc356478671"/>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1"/>
      <w:bookmarkEnd w:id="52"/>
      <w:bookmarkEnd w:id="53"/>
    </w:p>
    <w:p>
      <w:pPr>
        <w:pStyle w:val="54"/>
        <w:numPr>
          <w:ilvl w:val="0"/>
          <w:numId w:val="0"/>
        </w:numPr>
        <w:spacing w:line="400" w:lineRule="exact"/>
        <w:rPr>
          <w:rFonts w:cs="微软雅黑"/>
          <w:color w:val="auto"/>
          <w:sz w:val="24"/>
          <w:szCs w:val="24"/>
        </w:rPr>
      </w:pPr>
    </w:p>
    <w:p>
      <w:pPr>
        <w:pStyle w:val="54"/>
        <w:numPr>
          <w:ilvl w:val="0"/>
          <w:numId w:val="0"/>
        </w:numPr>
        <w:spacing w:line="400" w:lineRule="exact"/>
        <w:rPr>
          <w:rStyle w:val="57"/>
          <w:b w:val="0"/>
          <w:bCs w:val="0"/>
          <w:color w:val="auto"/>
          <w:kern w:val="2"/>
          <w:sz w:val="24"/>
          <w:szCs w:val="24"/>
        </w:rPr>
      </w:pPr>
      <w:r>
        <w:rPr>
          <w:rStyle w:val="57"/>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4"/>
        <w:numPr>
          <w:ilvl w:val="0"/>
          <w:numId w:val="0"/>
        </w:numPr>
        <w:adjustRightInd/>
        <w:rPr>
          <w:rFonts w:hint="eastAsia" w:ascii="宋体" w:hAnsi="宋体"/>
          <w:color w:val="auto"/>
          <w:sz w:val="24"/>
          <w:szCs w:val="24"/>
        </w:rPr>
      </w:pPr>
      <w:r>
        <w:rPr>
          <w:rFonts w:hint="eastAsia" w:ascii="宋体" w:hAnsi="宋体"/>
          <w:color w:val="auto"/>
          <w:sz w:val="24"/>
          <w:szCs w:val="24"/>
        </w:rPr>
        <w:t>提交日期：</w:t>
      </w:r>
      <w:bookmarkEnd w:id="44"/>
    </w:p>
    <w:p>
      <w:pPr>
        <w:pStyle w:val="54"/>
        <w:numPr>
          <w:ilvl w:val="0"/>
          <w:numId w:val="0"/>
        </w:numPr>
        <w:adjustRightInd/>
        <w:rPr>
          <w:rFonts w:hint="eastAsia" w:ascii="宋体" w:hAnsi="宋体"/>
          <w:color w:val="auto"/>
          <w:sz w:val="24"/>
          <w:szCs w:val="24"/>
        </w:rPr>
      </w:pPr>
    </w:p>
    <w:p>
      <w:pPr>
        <w:pStyle w:val="54"/>
        <w:numPr>
          <w:ilvl w:val="0"/>
          <w:numId w:val="0"/>
        </w:numPr>
        <w:adjustRightInd/>
        <w:rPr>
          <w:rFonts w:hint="eastAsia" w:ascii="宋体" w:hAnsi="宋体"/>
          <w:color w:val="auto"/>
          <w:sz w:val="24"/>
          <w:szCs w:val="24"/>
        </w:rPr>
      </w:pPr>
    </w:p>
    <w:p>
      <w:pPr>
        <w:pStyle w:val="54"/>
        <w:numPr>
          <w:ilvl w:val="0"/>
          <w:numId w:val="0"/>
        </w:numPr>
        <w:adjustRightInd/>
        <w:rPr>
          <w:rFonts w:hint="eastAsia" w:ascii="宋体" w:hAnsi="宋体"/>
          <w:color w:val="auto"/>
          <w:sz w:val="24"/>
          <w:szCs w:val="24"/>
        </w:rPr>
      </w:pPr>
    </w:p>
    <w:p>
      <w:pPr>
        <w:pStyle w:val="54"/>
        <w:numPr>
          <w:ilvl w:val="0"/>
          <w:numId w:val="0"/>
        </w:numPr>
        <w:adjustRightInd/>
        <w:rPr>
          <w:rFonts w:hint="eastAsia" w:ascii="宋体" w:hAnsi="宋体"/>
          <w:color w:val="auto"/>
          <w:sz w:val="24"/>
          <w:szCs w:val="24"/>
        </w:rPr>
      </w:pPr>
    </w:p>
    <w:p>
      <w:pPr>
        <w:pStyle w:val="54"/>
        <w:numPr>
          <w:ilvl w:val="0"/>
          <w:numId w:val="0"/>
        </w:numPr>
        <w:adjustRightInd/>
        <w:rPr>
          <w:rFonts w:hint="eastAsia" w:ascii="宋体" w:hAnsi="宋体"/>
          <w:color w:val="auto"/>
          <w:sz w:val="24"/>
          <w:szCs w:val="24"/>
        </w:rPr>
      </w:pPr>
    </w:p>
    <w:p>
      <w:pPr>
        <w:pStyle w:val="54"/>
        <w:numPr>
          <w:ilvl w:val="0"/>
          <w:numId w:val="0"/>
        </w:numPr>
        <w:adjustRightInd/>
        <w:rPr>
          <w:rFonts w:hint="eastAsia" w:ascii="宋体" w:hAnsi="宋体"/>
          <w:color w:val="auto"/>
          <w:sz w:val="24"/>
          <w:szCs w:val="24"/>
        </w:rPr>
      </w:pPr>
    </w:p>
    <w:bookmarkEnd w:id="35"/>
    <w:p>
      <w:pPr>
        <w:pStyle w:val="49"/>
        <w:snapToGrid w:val="0"/>
        <w:spacing w:before="0" w:after="0"/>
        <w:ind w:left="0"/>
        <w:rPr>
          <w:rFonts w:ascii="宋体" w:hAnsi="宋体"/>
          <w:color w:val="auto"/>
        </w:rPr>
      </w:pPr>
      <w:bookmarkStart w:id="54" w:name="_Toc174185168"/>
      <w:bookmarkStart w:id="55" w:name="_Toc13684"/>
      <w:bookmarkStart w:id="56" w:name="_Toc184023125"/>
      <w:r>
        <w:rPr>
          <w:rFonts w:hint="eastAsia" w:ascii="宋体" w:hAnsi="宋体"/>
          <w:color w:val="auto"/>
          <w:lang w:val="en-US" w:eastAsia="zh-CN"/>
        </w:rPr>
        <w:t xml:space="preserve"> </w:t>
      </w:r>
      <w:r>
        <w:rPr>
          <w:rFonts w:hint="eastAsia" w:ascii="宋体" w:hAnsi="宋体"/>
          <w:color w:val="auto"/>
        </w:rPr>
        <w:t>采购需求</w:t>
      </w:r>
    </w:p>
    <w:p>
      <w:pPr>
        <w:numPr>
          <w:ilvl w:val="0"/>
          <w:numId w:val="16"/>
        </w:numPr>
        <w:spacing w:line="360" w:lineRule="auto"/>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采购标的</w:t>
      </w:r>
    </w:p>
    <w:p>
      <w:pPr>
        <w:spacing w:line="360" w:lineRule="auto"/>
        <w:ind w:firstLine="480" w:firstLineChars="200"/>
        <w:outlineLvl w:val="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1794000</w:t>
      </w:r>
      <w:r>
        <w:rPr>
          <w:rFonts w:hint="eastAsia" w:ascii="宋体" w:hAnsi="宋体" w:eastAsia="宋体" w:cs="宋体"/>
          <w:color w:val="auto"/>
          <w:sz w:val="24"/>
          <w:szCs w:val="24"/>
        </w:rPr>
        <w:t>元。服务期限自202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月1日至202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年12月31日。</w:t>
      </w:r>
    </w:p>
    <w:p>
      <w:pPr>
        <w:numPr>
          <w:ilvl w:val="0"/>
          <w:numId w:val="16"/>
        </w:numPr>
        <w:spacing w:before="156" w:beforeLines="50" w:line="360" w:lineRule="auto"/>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项目概述</w:t>
      </w:r>
    </w:p>
    <w:p>
      <w:pPr>
        <w:numPr>
          <w:ilvl w:val="0"/>
          <w:numId w:val="17"/>
        </w:numPr>
        <w:spacing w:line="360" w:lineRule="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项目基本情况</w:t>
      </w:r>
    </w:p>
    <w:p>
      <w:pPr>
        <w:numPr>
          <w:ilvl w:val="0"/>
          <w:numId w:val="18"/>
        </w:numPr>
        <w:spacing w:line="360" w:lineRule="auto"/>
        <w:ind w:firstLine="729" w:firstLineChars="304"/>
        <w:rPr>
          <w:rFonts w:hint="eastAsia" w:ascii="宋体" w:hAnsi="宋体" w:eastAsia="宋体" w:cs="宋体"/>
          <w:color w:val="auto"/>
          <w:sz w:val="24"/>
          <w:szCs w:val="24"/>
        </w:rPr>
      </w:pPr>
      <w:r>
        <w:rPr>
          <w:rFonts w:hint="eastAsia" w:ascii="宋体" w:hAnsi="宋体" w:eastAsia="宋体" w:cs="宋体"/>
          <w:color w:val="auto"/>
          <w:sz w:val="24"/>
          <w:szCs w:val="24"/>
        </w:rPr>
        <w:t>区位及面积。石景山区</w:t>
      </w:r>
      <w:r>
        <w:rPr>
          <w:rFonts w:hint="eastAsia" w:ascii="宋体" w:hAnsi="宋体" w:eastAsia="宋体" w:cs="宋体"/>
          <w:color w:val="auto"/>
          <w:sz w:val="24"/>
          <w:szCs w:val="24"/>
          <w:lang w:val="en-US" w:eastAsia="zh-CN"/>
        </w:rPr>
        <w:t>图书馆物业管理服务</w:t>
      </w:r>
      <w:r>
        <w:rPr>
          <w:rFonts w:hint="eastAsia" w:ascii="宋体" w:hAnsi="宋体" w:eastAsia="宋体" w:cs="宋体"/>
          <w:color w:val="auto"/>
          <w:sz w:val="24"/>
          <w:szCs w:val="24"/>
        </w:rPr>
        <w:t>项目位于石景山区</w:t>
      </w:r>
      <w:r>
        <w:rPr>
          <w:rFonts w:hint="eastAsia" w:ascii="宋体" w:hAnsi="宋体" w:eastAsia="宋体" w:cs="宋体"/>
          <w:color w:val="auto"/>
          <w:sz w:val="24"/>
          <w:szCs w:val="24"/>
          <w:lang w:val="en-US" w:eastAsia="zh-CN"/>
        </w:rPr>
        <w:t>八角南路2号（图书馆总馆）以及古城南路11号（少儿馆）</w:t>
      </w:r>
      <w:r>
        <w:rPr>
          <w:rFonts w:hint="eastAsia" w:ascii="宋体" w:hAnsi="宋体" w:eastAsia="宋体" w:cs="宋体"/>
          <w:color w:val="auto"/>
          <w:sz w:val="24"/>
          <w:szCs w:val="24"/>
        </w:rPr>
        <w:t>，总建筑面积</w:t>
      </w:r>
      <w:r>
        <w:rPr>
          <w:rFonts w:hint="eastAsia" w:ascii="宋体" w:hAnsi="宋体" w:eastAsia="宋体" w:cs="宋体"/>
          <w:color w:val="auto"/>
          <w:sz w:val="24"/>
          <w:szCs w:val="24"/>
          <w:lang w:val="en-US" w:eastAsia="zh-CN"/>
        </w:rPr>
        <w:t>12278</w:t>
      </w:r>
      <w:r>
        <w:rPr>
          <w:rFonts w:hint="eastAsia" w:ascii="宋体" w:hAnsi="宋体" w:eastAsia="宋体" w:cs="宋体"/>
          <w:color w:val="auto"/>
          <w:sz w:val="24"/>
          <w:szCs w:val="24"/>
        </w:rPr>
        <w:t>平方米，</w:t>
      </w:r>
      <w:r>
        <w:rPr>
          <w:rFonts w:hint="eastAsia" w:ascii="宋体" w:hAnsi="宋体" w:eastAsia="宋体" w:cs="宋体"/>
          <w:color w:val="auto"/>
          <w:sz w:val="24"/>
          <w:szCs w:val="24"/>
          <w:lang w:val="en-US" w:eastAsia="zh-CN"/>
        </w:rPr>
        <w:t>其中总馆</w:t>
      </w:r>
      <w:r>
        <w:rPr>
          <w:rFonts w:hint="eastAsia" w:ascii="宋体" w:hAnsi="宋体" w:eastAsia="宋体" w:cs="宋体"/>
          <w:color w:val="auto"/>
          <w:sz w:val="24"/>
          <w:szCs w:val="24"/>
        </w:rPr>
        <w:t>地上</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层，地下</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层（包括</w:t>
      </w:r>
      <w:r>
        <w:rPr>
          <w:rFonts w:hint="eastAsia" w:ascii="宋体" w:hAnsi="宋体" w:eastAsia="宋体" w:cs="宋体"/>
          <w:color w:val="auto"/>
          <w:sz w:val="24"/>
          <w:szCs w:val="24"/>
          <w:lang w:val="en-US" w:eastAsia="zh-CN"/>
        </w:rPr>
        <w:t>人防工程</w:t>
      </w:r>
      <w:r>
        <w:rPr>
          <w:rFonts w:hint="eastAsia" w:ascii="宋体" w:hAnsi="宋体" w:eastAsia="宋体" w:cs="宋体"/>
          <w:color w:val="auto"/>
          <w:sz w:val="24"/>
          <w:szCs w:val="24"/>
        </w:rPr>
        <w:t xml:space="preserve">及设备用房） </w:t>
      </w:r>
      <w:r>
        <w:rPr>
          <w:rFonts w:hint="eastAsia" w:ascii="宋体" w:hAnsi="宋体" w:eastAsia="宋体" w:cs="宋体"/>
          <w:color w:val="auto"/>
          <w:sz w:val="24"/>
          <w:szCs w:val="24"/>
          <w:lang w:val="en-US" w:eastAsia="zh-CN"/>
        </w:rPr>
        <w:t>共9042</w:t>
      </w:r>
      <w:r>
        <w:rPr>
          <w:rFonts w:hint="eastAsia" w:ascii="宋体" w:hAnsi="宋体" w:eastAsia="宋体" w:cs="宋体"/>
          <w:color w:val="auto"/>
          <w:sz w:val="24"/>
          <w:szCs w:val="24"/>
        </w:rPr>
        <w:t>平方米</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少儿馆地上四层，共3236平方米</w:t>
      </w:r>
      <w:r>
        <w:rPr>
          <w:rFonts w:hint="eastAsia" w:ascii="宋体" w:hAnsi="宋体" w:eastAsia="宋体" w:cs="宋体"/>
          <w:color w:val="auto"/>
          <w:sz w:val="24"/>
          <w:szCs w:val="24"/>
        </w:rPr>
        <w:t>。</w:t>
      </w:r>
    </w:p>
    <w:p>
      <w:pPr>
        <w:numPr>
          <w:ilvl w:val="0"/>
          <w:numId w:val="18"/>
        </w:numPr>
        <w:spacing w:line="360" w:lineRule="auto"/>
        <w:ind w:firstLine="729" w:firstLineChars="304"/>
        <w:rPr>
          <w:rFonts w:hint="eastAsia" w:ascii="宋体" w:hAnsi="宋体" w:eastAsia="宋体" w:cs="宋体"/>
          <w:color w:val="auto"/>
          <w:sz w:val="24"/>
          <w:szCs w:val="24"/>
        </w:rPr>
      </w:pPr>
      <w:r>
        <w:rPr>
          <w:rFonts w:hint="eastAsia" w:ascii="宋体" w:hAnsi="宋体" w:eastAsia="宋体" w:cs="宋体"/>
          <w:color w:val="auto"/>
          <w:sz w:val="24"/>
          <w:szCs w:val="24"/>
        </w:rPr>
        <w:t>设备设施系统及规划情况。</w:t>
      </w:r>
      <w:r>
        <w:rPr>
          <w:rFonts w:hint="eastAsia" w:ascii="宋体" w:hAnsi="宋体" w:eastAsia="宋体" w:cs="宋体"/>
          <w:color w:val="auto"/>
          <w:sz w:val="24"/>
          <w:szCs w:val="24"/>
          <w:lang w:val="en-US" w:eastAsia="zh-CN"/>
        </w:rPr>
        <w:t>图书馆</w:t>
      </w:r>
      <w:r>
        <w:rPr>
          <w:rFonts w:hint="eastAsia" w:ascii="宋体" w:hAnsi="宋体" w:eastAsia="宋体" w:cs="宋体"/>
          <w:color w:val="auto"/>
          <w:sz w:val="24"/>
          <w:szCs w:val="24"/>
        </w:rPr>
        <w:t>防火等级为</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类</w:t>
      </w:r>
      <w:r>
        <w:rPr>
          <w:rFonts w:hint="eastAsia" w:ascii="宋体" w:hAnsi="宋体" w:eastAsia="宋体" w:cs="宋体"/>
          <w:color w:val="auto"/>
          <w:sz w:val="24"/>
          <w:szCs w:val="24"/>
          <w:lang w:val="en-US" w:eastAsia="zh-CN"/>
        </w:rPr>
        <w:t>多</w:t>
      </w:r>
      <w:r>
        <w:rPr>
          <w:rFonts w:hint="eastAsia" w:ascii="宋体" w:hAnsi="宋体" w:eastAsia="宋体" w:cs="宋体"/>
          <w:color w:val="auto"/>
          <w:sz w:val="24"/>
          <w:szCs w:val="24"/>
        </w:rPr>
        <w:t>层；</w:t>
      </w:r>
      <w:r>
        <w:rPr>
          <w:rFonts w:hint="eastAsia" w:ascii="宋体" w:hAnsi="宋体" w:eastAsia="宋体" w:cs="宋体"/>
          <w:color w:val="auto"/>
          <w:sz w:val="24"/>
          <w:szCs w:val="24"/>
          <w:lang w:val="en-US" w:eastAsia="zh-CN"/>
        </w:rPr>
        <w:t>内部设有变配电室，</w:t>
      </w:r>
      <w:r>
        <w:rPr>
          <w:rFonts w:hint="eastAsia" w:ascii="宋体" w:hAnsi="宋体" w:eastAsia="宋体" w:cs="宋体"/>
          <w:color w:val="auto"/>
          <w:sz w:val="24"/>
          <w:szCs w:val="24"/>
        </w:rPr>
        <w:t>中央空调系统，新风系统，消防监控系统，</w:t>
      </w:r>
      <w:r>
        <w:rPr>
          <w:rFonts w:hint="eastAsia" w:ascii="宋体" w:hAnsi="宋体" w:eastAsia="宋体" w:cs="宋体"/>
          <w:color w:val="auto"/>
          <w:sz w:val="24"/>
          <w:szCs w:val="24"/>
          <w:lang w:val="en-US" w:eastAsia="zh-CN"/>
        </w:rPr>
        <w:t>供暖系统等</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总馆</w:t>
      </w:r>
      <w:r>
        <w:rPr>
          <w:rFonts w:hint="eastAsia" w:ascii="宋体" w:hAnsi="宋体" w:eastAsia="宋体" w:cs="宋体"/>
          <w:color w:val="auto"/>
          <w:sz w:val="24"/>
          <w:szCs w:val="24"/>
        </w:rPr>
        <w:t>楼内有电梯</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部。</w:t>
      </w:r>
    </w:p>
    <w:p>
      <w:pPr>
        <w:numPr>
          <w:ilvl w:val="0"/>
          <w:numId w:val="17"/>
        </w:numPr>
        <w:spacing w:line="360" w:lineRule="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采购范围及服务描述</w:t>
      </w:r>
    </w:p>
    <w:tbl>
      <w:tblPr>
        <w:tblStyle w:val="79"/>
        <w:tblW w:w="87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96"/>
        <w:gridCol w:w="654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17" w:hRule="atLeast"/>
        </w:trPr>
        <w:tc>
          <w:tcPr>
            <w:tcW w:w="2196" w:type="dxa"/>
            <w:tcBorders>
              <w:top w:val="single" w:color="000000" w:sz="2" w:space="0"/>
              <w:bottom w:val="single" w:color="000000" w:sz="2" w:space="0"/>
            </w:tcBorders>
            <w:vAlign w:val="center"/>
          </w:tcPr>
          <w:p>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采购范围</w:t>
            </w:r>
          </w:p>
        </w:tc>
        <w:tc>
          <w:tcPr>
            <w:tcW w:w="6549" w:type="dxa"/>
            <w:tcBorders>
              <w:top w:val="single" w:color="000000" w:sz="2" w:space="0"/>
              <w:bottom w:val="single" w:color="000000" w:sz="2" w:space="0"/>
            </w:tcBorders>
            <w:vAlign w:val="center"/>
          </w:tcPr>
          <w:p>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服务描述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90" w:hRule="atLeast"/>
        </w:trPr>
        <w:tc>
          <w:tcPr>
            <w:tcW w:w="2196" w:type="dxa"/>
            <w:tcBorders>
              <w:top w:val="single" w:color="000000" w:sz="2" w:space="0"/>
              <w:bottom w:val="single" w:color="000000" w:sz="2" w:space="0"/>
            </w:tcBorders>
            <w:vAlign w:val="center"/>
          </w:tcPr>
          <w:p>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房屋安全管理</w:t>
            </w:r>
          </w:p>
        </w:tc>
        <w:tc>
          <w:tcPr>
            <w:tcW w:w="6549" w:type="dxa"/>
            <w:tcBorders>
              <w:top w:val="single" w:color="000000" w:sz="2" w:space="0"/>
              <w:bottom w:val="single" w:color="000000" w:sz="2" w:space="0"/>
            </w:tcBorders>
            <w:vAlign w:val="to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进行日常房屋完好性的检查及常规维护，使房屋建筑物完好。</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90" w:hRule="atLeast"/>
        </w:trPr>
        <w:tc>
          <w:tcPr>
            <w:tcW w:w="2196" w:type="dxa"/>
            <w:tcBorders>
              <w:top w:val="single" w:color="000000" w:sz="2" w:space="0"/>
              <w:bottom w:val="single" w:color="000000" w:sz="2" w:space="0"/>
            </w:tcBorders>
            <w:vAlign w:val="center"/>
          </w:tcPr>
          <w:p>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设备设施管理</w:t>
            </w:r>
          </w:p>
        </w:tc>
        <w:tc>
          <w:tcPr>
            <w:tcW w:w="6549" w:type="dxa"/>
            <w:tcBorders>
              <w:top w:val="single" w:color="000000" w:sz="2" w:space="0"/>
              <w:bottom w:val="single" w:color="000000" w:sz="2" w:space="0"/>
            </w:tcBorders>
            <w:vAlign w:val="to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对物业设备设施提供专业管理服务，使设备设施正常稳定运行。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90" w:hRule="atLeast"/>
        </w:trPr>
        <w:tc>
          <w:tcPr>
            <w:tcW w:w="2196" w:type="dxa"/>
            <w:tcBorders>
              <w:top w:val="single" w:color="000000" w:sz="2" w:space="0"/>
              <w:bottom w:val="single" w:color="000000" w:sz="2" w:space="0"/>
            </w:tcBorders>
            <w:vAlign w:val="center"/>
          </w:tcPr>
          <w:p>
            <w:pPr>
              <w:spacing w:line="360" w:lineRule="auto"/>
              <w:jc w:val="center"/>
              <w:rPr>
                <w:rFonts w:hint="eastAsia" w:ascii="宋体" w:hAnsi="宋体" w:eastAsia="宋体" w:cs="宋体"/>
                <w:snapToGrid w:val="0"/>
                <w:color w:val="auto"/>
                <w:sz w:val="24"/>
                <w:szCs w:val="24"/>
                <w:lang w:val="en-US" w:eastAsia="zh-CN" w:bidi="ar-SA"/>
              </w:rPr>
            </w:pPr>
            <w:r>
              <w:rPr>
                <w:rFonts w:hint="eastAsia" w:ascii="宋体" w:hAnsi="宋体" w:eastAsia="宋体" w:cs="宋体"/>
                <w:color w:val="auto"/>
                <w:sz w:val="24"/>
                <w:szCs w:val="24"/>
              </w:rPr>
              <w:t>工程管理</w:t>
            </w:r>
          </w:p>
        </w:tc>
        <w:tc>
          <w:tcPr>
            <w:tcW w:w="6549" w:type="dxa"/>
            <w:tcBorders>
              <w:top w:val="single" w:color="000000" w:sz="2" w:space="0"/>
              <w:bottom w:val="single" w:color="000000" w:sz="2" w:space="0"/>
            </w:tcBorders>
            <w:vAlign w:val="top"/>
          </w:tcPr>
          <w:p>
            <w:pPr>
              <w:spacing w:line="360" w:lineRule="auto"/>
              <w:rPr>
                <w:rFonts w:hint="eastAsia" w:ascii="宋体" w:hAnsi="宋体" w:eastAsia="宋体" w:cs="宋体"/>
                <w:snapToGrid w:val="0"/>
                <w:color w:val="auto"/>
                <w:sz w:val="24"/>
                <w:szCs w:val="24"/>
                <w:lang w:val="en-US" w:eastAsia="zh-CN" w:bidi="ar-SA"/>
              </w:rPr>
            </w:pPr>
            <w:r>
              <w:rPr>
                <w:rFonts w:hint="eastAsia" w:ascii="宋体" w:hAnsi="宋体" w:eastAsia="宋体" w:cs="宋体"/>
                <w:color w:val="auto"/>
                <w:sz w:val="24"/>
                <w:szCs w:val="24"/>
              </w:rPr>
              <w:t>配电室、空调机房运行值守，</w:t>
            </w:r>
            <w:r>
              <w:rPr>
                <w:rFonts w:hint="eastAsia" w:ascii="宋体" w:hAnsi="宋体" w:eastAsia="宋体" w:cs="宋体"/>
                <w:color w:val="auto"/>
                <w:sz w:val="24"/>
                <w:szCs w:val="24"/>
                <w:lang w:val="en-US" w:eastAsia="zh-CN"/>
              </w:rPr>
              <w:t>电气设备、给排水、供暖等</w:t>
            </w:r>
            <w:r>
              <w:rPr>
                <w:rFonts w:hint="eastAsia" w:ascii="宋体" w:hAnsi="宋体" w:eastAsia="宋体" w:cs="宋体"/>
                <w:color w:val="auto"/>
                <w:sz w:val="24"/>
                <w:szCs w:val="24"/>
              </w:rPr>
              <w:t>日常小修服务</w:t>
            </w:r>
            <w:r>
              <w:rPr>
                <w:rFonts w:hint="eastAsia" w:ascii="宋体" w:hAnsi="宋体" w:eastAsia="宋体" w:cs="宋体"/>
                <w:color w:val="auto"/>
                <w:sz w:val="24"/>
                <w:szCs w:val="24"/>
                <w:lang w:val="en-US" w:eastAsia="zh-CN"/>
              </w:rPr>
              <w:t>等，以及突发故障应急处置</w:t>
            </w:r>
            <w:r>
              <w:rPr>
                <w:rFonts w:hint="eastAsia" w:ascii="宋体" w:hAnsi="宋体" w:eastAsia="宋体" w:cs="宋体"/>
                <w:color w:val="auto"/>
                <w:sz w:val="24"/>
                <w:szCs w:val="24"/>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121" w:hRule="atLeast"/>
        </w:trPr>
        <w:tc>
          <w:tcPr>
            <w:tcW w:w="2196" w:type="dxa"/>
            <w:tcBorders>
              <w:top w:val="single" w:color="000000" w:sz="2" w:space="0"/>
              <w:bottom w:val="single" w:color="000000" w:sz="2" w:space="0"/>
            </w:tcBorders>
            <w:vAlign w:val="center"/>
          </w:tcPr>
          <w:p>
            <w:pPr>
              <w:spacing w:line="360" w:lineRule="auto"/>
              <w:jc w:val="center"/>
              <w:rPr>
                <w:rFonts w:hint="eastAsia" w:ascii="宋体" w:hAnsi="宋体" w:eastAsia="宋体" w:cs="宋体"/>
                <w:color w:val="auto"/>
                <w:sz w:val="24"/>
                <w:szCs w:val="24"/>
              </w:rPr>
            </w:pPr>
          </w:p>
          <w:p>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环境卫生管理</w:t>
            </w:r>
          </w:p>
        </w:tc>
        <w:tc>
          <w:tcPr>
            <w:tcW w:w="6549" w:type="dxa"/>
            <w:tcBorders>
              <w:top w:val="single" w:color="000000" w:sz="2" w:space="0"/>
              <w:bottom w:val="single" w:color="000000" w:sz="2" w:space="0"/>
            </w:tcBorders>
            <w:vAlign w:val="to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为楼内所有公共区域（不限于楼梯、大厅、天台、电梯间、卫生间、会议室、多功能厅、报告厅、停车场及门前三包等区域）等实施提供有效的日常保洁服务，垃圾等废弃物</w:t>
            </w:r>
            <w:r>
              <w:rPr>
                <w:rFonts w:hint="eastAsia" w:ascii="宋体" w:hAnsi="宋体" w:eastAsia="宋体" w:cs="宋体"/>
                <w:color w:val="auto"/>
                <w:sz w:val="24"/>
                <w:szCs w:val="24"/>
                <w:lang w:val="en-US" w:eastAsia="zh-CN"/>
              </w:rPr>
              <w:t>分类</w:t>
            </w:r>
            <w:r>
              <w:rPr>
                <w:rFonts w:hint="eastAsia" w:ascii="宋体" w:hAnsi="宋体" w:eastAsia="宋体" w:cs="宋体"/>
                <w:color w:val="auto"/>
                <w:sz w:val="24"/>
                <w:szCs w:val="24"/>
              </w:rPr>
              <w:t>清理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消纳</w:t>
            </w:r>
            <w:r>
              <w:rPr>
                <w:rFonts w:hint="eastAsia" w:ascii="宋体" w:hAnsi="宋体" w:eastAsia="宋体" w:cs="宋体"/>
                <w:color w:val="auto"/>
                <w:sz w:val="24"/>
                <w:szCs w:val="24"/>
              </w:rPr>
              <w:t>和化粪池清掏等，保证楼宇办公环境卫生干净整洁；负责楼内绿植的日常养护。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13" w:hRule="atLeast"/>
        </w:trPr>
        <w:tc>
          <w:tcPr>
            <w:tcW w:w="2196" w:type="dxa"/>
            <w:tcBorders>
              <w:top w:val="single" w:color="000000" w:sz="2" w:space="0"/>
              <w:bottom w:val="single" w:color="000000" w:sz="2" w:space="0"/>
            </w:tcBorders>
            <w:vAlign w:val="center"/>
          </w:tcPr>
          <w:p>
            <w:pPr>
              <w:spacing w:line="360" w:lineRule="auto"/>
              <w:jc w:val="center"/>
              <w:rPr>
                <w:rFonts w:hint="eastAsia" w:ascii="宋体" w:hAnsi="宋体" w:eastAsia="宋体" w:cs="宋体"/>
                <w:snapToGrid w:val="0"/>
                <w:color w:val="auto"/>
                <w:sz w:val="24"/>
                <w:szCs w:val="24"/>
                <w:lang w:val="en-US" w:eastAsia="zh-CN" w:bidi="ar-SA"/>
              </w:rPr>
            </w:pPr>
            <w:r>
              <w:rPr>
                <w:rFonts w:hint="eastAsia" w:ascii="宋体" w:hAnsi="宋体" w:eastAsia="宋体" w:cs="宋体"/>
                <w:color w:val="auto"/>
                <w:sz w:val="24"/>
                <w:szCs w:val="24"/>
              </w:rPr>
              <w:t>安保服务</w:t>
            </w:r>
          </w:p>
        </w:tc>
        <w:tc>
          <w:tcPr>
            <w:tcW w:w="6549" w:type="dxa"/>
            <w:tcBorders>
              <w:top w:val="single" w:color="000000" w:sz="2" w:space="0"/>
              <w:bottom w:val="single" w:color="000000" w:sz="2" w:space="0"/>
            </w:tcBorders>
            <w:vAlign w:val="top"/>
          </w:tcPr>
          <w:p>
            <w:pPr>
              <w:rPr>
                <w:rFonts w:hint="eastAsia" w:ascii="宋体" w:hAnsi="宋体" w:eastAsia="宋体" w:cs="宋体"/>
                <w:snapToGrid w:val="0"/>
                <w:color w:val="auto"/>
                <w:sz w:val="24"/>
                <w:szCs w:val="24"/>
                <w:lang w:val="en-US" w:eastAsia="zh-CN" w:bidi="ar-SA"/>
              </w:rPr>
            </w:pPr>
            <w:r>
              <w:rPr>
                <w:rFonts w:hint="eastAsia" w:ascii="宋体" w:hAnsi="宋体" w:eastAsia="宋体" w:cs="宋体"/>
                <w:color w:val="auto"/>
                <w:sz w:val="24"/>
                <w:szCs w:val="24"/>
              </w:rPr>
              <w:t>负责</w:t>
            </w:r>
            <w:r>
              <w:rPr>
                <w:rFonts w:hint="eastAsia" w:ascii="宋体" w:hAnsi="宋体" w:eastAsia="宋体" w:cs="宋体"/>
                <w:color w:val="auto"/>
                <w:sz w:val="24"/>
                <w:szCs w:val="24"/>
                <w:lang w:val="en-US" w:eastAsia="zh-CN"/>
              </w:rPr>
              <w:t>图书馆总馆和少儿馆</w:t>
            </w:r>
            <w:r>
              <w:rPr>
                <w:rFonts w:hint="eastAsia" w:ascii="宋体" w:hAnsi="宋体" w:eastAsia="宋体" w:cs="宋体"/>
                <w:color w:val="auto"/>
                <w:sz w:val="24"/>
                <w:szCs w:val="24"/>
              </w:rPr>
              <w:t>安保服务，</w:t>
            </w:r>
            <w:r>
              <w:rPr>
                <w:rFonts w:hint="eastAsia" w:ascii="宋体" w:hAnsi="宋体" w:eastAsia="宋体" w:cs="宋体"/>
                <w:color w:val="auto"/>
                <w:sz w:val="24"/>
                <w:szCs w:val="24"/>
                <w:lang w:val="en-US" w:eastAsia="zh-CN"/>
              </w:rPr>
              <w:t>负责图书馆安全生产法和安全生产要求，</w:t>
            </w:r>
            <w:r>
              <w:rPr>
                <w:rFonts w:hint="eastAsia" w:ascii="宋体" w:hAnsi="宋体" w:eastAsia="宋体" w:cs="宋体"/>
                <w:color w:val="auto"/>
                <w:sz w:val="24"/>
                <w:szCs w:val="24"/>
              </w:rPr>
              <w:t>具体负责各出入口、微型消防站、公共区域日常安防、站岗巡逻、</w:t>
            </w:r>
            <w:r>
              <w:rPr>
                <w:rFonts w:hint="eastAsia" w:ascii="宋体" w:hAnsi="宋体" w:eastAsia="宋体" w:cs="宋体"/>
                <w:color w:val="auto"/>
                <w:sz w:val="24"/>
                <w:szCs w:val="24"/>
                <w:lang w:val="en-US" w:eastAsia="zh-CN"/>
              </w:rPr>
              <w:t>防火巡查、</w:t>
            </w:r>
            <w:r>
              <w:rPr>
                <w:rFonts w:hint="eastAsia" w:ascii="宋体" w:hAnsi="宋体" w:eastAsia="宋体" w:cs="宋体"/>
                <w:color w:val="auto"/>
                <w:sz w:val="24"/>
                <w:szCs w:val="24"/>
              </w:rPr>
              <w:t>综合服务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车场管理和车辆引导</w:t>
            </w:r>
            <w:r>
              <w:rPr>
                <w:rFonts w:hint="eastAsia" w:ascii="宋体" w:hAnsi="宋体" w:eastAsia="宋体" w:cs="宋体"/>
                <w:color w:val="auto"/>
                <w:sz w:val="24"/>
                <w:szCs w:val="24"/>
              </w:rPr>
              <w:t>等职责</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以及突发事件的应急处置</w:t>
            </w:r>
            <w:r>
              <w:rPr>
                <w:rFonts w:hint="eastAsia" w:ascii="宋体" w:hAnsi="宋体" w:eastAsia="宋体" w:cs="宋体"/>
                <w:color w:val="auto"/>
                <w:sz w:val="24"/>
                <w:szCs w:val="24"/>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54" w:hRule="atLeast"/>
        </w:trPr>
        <w:tc>
          <w:tcPr>
            <w:tcW w:w="2196" w:type="dxa"/>
            <w:tcBorders>
              <w:top w:val="single" w:color="000000" w:sz="2" w:space="0"/>
              <w:bottom w:val="single" w:color="000000" w:sz="2" w:space="0"/>
            </w:tcBorders>
            <w:vAlign w:val="center"/>
          </w:tcPr>
          <w:p>
            <w:pPr>
              <w:spacing w:line="360" w:lineRule="auto"/>
              <w:jc w:val="center"/>
              <w:rPr>
                <w:rFonts w:hint="eastAsia" w:ascii="宋体" w:hAnsi="宋体" w:eastAsia="宋体" w:cs="宋体"/>
                <w:snapToGrid w:val="0"/>
                <w:color w:val="auto"/>
                <w:sz w:val="24"/>
                <w:szCs w:val="24"/>
                <w:lang w:val="en-US" w:eastAsia="zh-CN" w:bidi="ar-SA"/>
              </w:rPr>
            </w:pPr>
            <w:r>
              <w:rPr>
                <w:rFonts w:hint="eastAsia" w:ascii="宋体" w:hAnsi="宋体" w:eastAsia="宋体" w:cs="宋体"/>
                <w:color w:val="auto"/>
                <w:sz w:val="24"/>
                <w:szCs w:val="24"/>
              </w:rPr>
              <w:t>消防中控服务</w:t>
            </w:r>
          </w:p>
        </w:tc>
        <w:tc>
          <w:tcPr>
            <w:tcW w:w="6549" w:type="dxa"/>
            <w:tcBorders>
              <w:top w:val="single" w:color="000000" w:sz="2" w:space="0"/>
              <w:bottom w:val="single" w:color="000000" w:sz="2" w:space="0"/>
            </w:tcBorders>
            <w:vAlign w:val="top"/>
          </w:tcPr>
          <w:p>
            <w:pPr>
              <w:spacing w:line="360" w:lineRule="auto"/>
              <w:rPr>
                <w:rFonts w:hint="eastAsia" w:ascii="宋体" w:hAnsi="宋体" w:eastAsia="宋体" w:cs="宋体"/>
                <w:snapToGrid w:val="0"/>
                <w:color w:val="auto"/>
                <w:sz w:val="24"/>
                <w:szCs w:val="24"/>
                <w:lang w:val="en-US" w:eastAsia="zh-CN" w:bidi="ar-SA"/>
              </w:rPr>
            </w:pPr>
            <w:r>
              <w:rPr>
                <w:rFonts w:hint="eastAsia" w:ascii="宋体" w:hAnsi="宋体" w:eastAsia="宋体" w:cs="宋体"/>
                <w:color w:val="auto"/>
                <w:sz w:val="24"/>
                <w:szCs w:val="24"/>
              </w:rPr>
              <w:t>一层消防中控室 、24小时值班，消防设备设施定期巡视检查</w:t>
            </w:r>
            <w:r>
              <w:rPr>
                <w:rFonts w:hint="eastAsia" w:ascii="宋体" w:hAnsi="宋体" w:eastAsia="宋体" w:cs="宋体"/>
                <w:color w:val="auto"/>
                <w:sz w:val="24"/>
                <w:szCs w:val="24"/>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54" w:hRule="atLeast"/>
        </w:trPr>
        <w:tc>
          <w:tcPr>
            <w:tcW w:w="2196" w:type="dxa"/>
            <w:tcBorders>
              <w:top w:val="single" w:color="000000" w:sz="2" w:space="0"/>
              <w:bottom w:val="single" w:color="000000" w:sz="2" w:space="0"/>
            </w:tcBorders>
            <w:vAlign w:val="center"/>
          </w:tcPr>
          <w:p>
            <w:pPr>
              <w:spacing w:line="360" w:lineRule="auto"/>
              <w:jc w:val="center"/>
              <w:rPr>
                <w:rFonts w:hint="eastAsia" w:ascii="宋体" w:hAnsi="宋体" w:eastAsia="宋体" w:cs="宋体"/>
                <w:snapToGrid w:val="0"/>
                <w:color w:val="auto"/>
                <w:sz w:val="24"/>
                <w:szCs w:val="24"/>
                <w:lang w:val="en-US" w:eastAsia="zh-CN" w:bidi="ar-SA"/>
              </w:rPr>
            </w:pPr>
            <w:r>
              <w:rPr>
                <w:rFonts w:hint="eastAsia" w:ascii="宋体" w:hAnsi="宋体" w:eastAsia="宋体" w:cs="宋体"/>
                <w:color w:val="auto"/>
                <w:sz w:val="24"/>
                <w:szCs w:val="24"/>
              </w:rPr>
              <w:t>前台问询服务</w:t>
            </w:r>
          </w:p>
        </w:tc>
        <w:tc>
          <w:tcPr>
            <w:tcW w:w="6549" w:type="dxa"/>
            <w:tcBorders>
              <w:top w:val="single" w:color="000000" w:sz="2" w:space="0"/>
              <w:bottom w:val="single" w:color="000000" w:sz="2" w:space="0"/>
            </w:tcBorders>
            <w:vAlign w:val="top"/>
          </w:tcPr>
          <w:p>
            <w:pPr>
              <w:spacing w:line="360" w:lineRule="auto"/>
              <w:rPr>
                <w:rFonts w:hint="eastAsia" w:ascii="宋体" w:hAnsi="宋体" w:eastAsia="宋体" w:cs="宋体"/>
                <w:snapToGrid w:val="0"/>
                <w:color w:val="auto"/>
                <w:sz w:val="24"/>
                <w:szCs w:val="24"/>
                <w:lang w:val="en-US" w:eastAsia="zh-CN" w:bidi="ar-SA"/>
              </w:rPr>
            </w:pPr>
            <w:r>
              <w:rPr>
                <w:rFonts w:hint="eastAsia" w:ascii="宋体" w:hAnsi="宋体" w:eastAsia="宋体" w:cs="宋体"/>
                <w:color w:val="auto"/>
                <w:sz w:val="24"/>
                <w:szCs w:val="24"/>
              </w:rPr>
              <w:t>提供前台接待及问询服务、</w:t>
            </w:r>
            <w:r>
              <w:rPr>
                <w:rFonts w:hint="eastAsia" w:ascii="宋体" w:hAnsi="宋体" w:eastAsia="宋体" w:cs="宋体"/>
                <w:color w:val="auto"/>
                <w:sz w:val="24"/>
                <w:szCs w:val="24"/>
                <w:lang w:val="en-US" w:eastAsia="zh-CN"/>
              </w:rPr>
              <w:t>文化活动</w:t>
            </w:r>
            <w:r>
              <w:rPr>
                <w:rFonts w:hint="eastAsia" w:ascii="宋体" w:hAnsi="宋体" w:eastAsia="宋体" w:cs="宋体"/>
                <w:color w:val="auto"/>
                <w:sz w:val="24"/>
                <w:szCs w:val="24"/>
              </w:rPr>
              <w:t>服务</w:t>
            </w:r>
            <w:r>
              <w:rPr>
                <w:rFonts w:hint="eastAsia" w:ascii="宋体" w:hAnsi="宋体" w:eastAsia="宋体" w:cs="宋体"/>
                <w:color w:val="auto"/>
                <w:sz w:val="24"/>
                <w:szCs w:val="24"/>
                <w:lang w:val="en-US" w:eastAsia="zh-CN"/>
              </w:rPr>
              <w:t>保障等</w:t>
            </w:r>
            <w:r>
              <w:rPr>
                <w:rFonts w:hint="eastAsia" w:ascii="宋体" w:hAnsi="宋体" w:eastAsia="宋体" w:cs="宋体"/>
                <w:color w:val="auto"/>
                <w:sz w:val="24"/>
                <w:szCs w:val="24"/>
                <w:lang w:eastAsia="zh-CN"/>
              </w:rPr>
              <w:t>。</w:t>
            </w:r>
          </w:p>
        </w:tc>
      </w:tr>
    </w:tbl>
    <w:p>
      <w:pPr>
        <w:numPr>
          <w:ilvl w:val="0"/>
          <w:numId w:val="17"/>
        </w:numPr>
        <w:spacing w:before="156" w:beforeLines="50" w:line="360" w:lineRule="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物业服务标准参照依据</w:t>
      </w:r>
    </w:p>
    <w:p>
      <w:pPr>
        <w:spacing w:line="360" w:lineRule="auto"/>
        <w:ind w:left="19" w:leftChars="8" w:firstLine="708" w:firstLineChars="295"/>
        <w:rPr>
          <w:rFonts w:hint="eastAsia" w:ascii="宋体" w:hAnsi="宋体" w:eastAsia="宋体" w:cs="宋体"/>
          <w:color w:val="auto"/>
          <w:sz w:val="24"/>
          <w:szCs w:val="24"/>
        </w:rPr>
      </w:pPr>
      <w:r>
        <w:rPr>
          <w:rFonts w:hint="eastAsia" w:ascii="宋体" w:hAnsi="宋体" w:eastAsia="宋体" w:cs="宋体"/>
          <w:color w:val="auto"/>
          <w:sz w:val="24"/>
          <w:szCs w:val="24"/>
        </w:rPr>
        <w:t>参照京建发〔2010〕507号文件要求的《北京市物业管理示范项目—大厦服务标准》执行；具体服务内容及标准见第</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rPr>
        <w:t>部分《物业管理服务内容及标准》。</w:t>
      </w:r>
    </w:p>
    <w:p>
      <w:pPr>
        <w:numPr>
          <w:ilvl w:val="0"/>
          <w:numId w:val="17"/>
        </w:numPr>
        <w:spacing w:line="360" w:lineRule="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服务提供地点</w:t>
      </w:r>
    </w:p>
    <w:p>
      <w:pPr>
        <w:spacing w:line="360" w:lineRule="auto"/>
        <w:ind w:left="420"/>
        <w:rPr>
          <w:rFonts w:hint="eastAsia" w:ascii="宋体" w:hAnsi="宋体" w:eastAsia="宋体" w:cs="宋体"/>
          <w:color w:val="auto"/>
          <w:sz w:val="24"/>
          <w:szCs w:val="24"/>
        </w:rPr>
      </w:pPr>
      <w:r>
        <w:rPr>
          <w:rFonts w:hint="eastAsia" w:ascii="宋体" w:hAnsi="宋体" w:eastAsia="宋体" w:cs="宋体"/>
          <w:color w:val="auto"/>
          <w:sz w:val="24"/>
          <w:szCs w:val="24"/>
        </w:rPr>
        <w:t>石景山区</w:t>
      </w:r>
      <w:r>
        <w:rPr>
          <w:rFonts w:hint="eastAsia" w:ascii="宋体" w:hAnsi="宋体" w:eastAsia="宋体" w:cs="宋体"/>
          <w:color w:val="auto"/>
          <w:sz w:val="24"/>
          <w:szCs w:val="24"/>
          <w:lang w:val="en-US" w:eastAsia="zh-CN"/>
        </w:rPr>
        <w:t>八角南路2号（图书馆总馆）以及古城南路11号（少儿馆）</w:t>
      </w:r>
      <w:r>
        <w:rPr>
          <w:rFonts w:hint="eastAsia" w:ascii="宋体" w:hAnsi="宋体" w:eastAsia="宋体" w:cs="宋体"/>
          <w:color w:val="auto"/>
          <w:sz w:val="24"/>
          <w:szCs w:val="24"/>
        </w:rPr>
        <w:t>。</w:t>
      </w:r>
    </w:p>
    <w:p>
      <w:pPr>
        <w:numPr>
          <w:ilvl w:val="0"/>
          <w:numId w:val="16"/>
        </w:numPr>
        <w:spacing w:before="156" w:beforeLines="50" w:line="360" w:lineRule="auto"/>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物业管理服务内容及标准</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服务区域：负责石景山区图书馆（地址为石景山区八角南路2号）及石景山区图书馆少儿馆（石景山区古城南路11号），合计馆舍面积12</w:t>
      </w:r>
      <w:r>
        <w:rPr>
          <w:rFonts w:hint="eastAsia" w:ascii="宋体" w:hAnsi="宋体" w:eastAsia="宋体" w:cs="宋体"/>
          <w:color w:val="auto"/>
          <w:sz w:val="24"/>
          <w:szCs w:val="24"/>
          <w:lang w:val="en-US" w:eastAsia="zh-CN"/>
        </w:rPr>
        <w:t>278</w:t>
      </w:r>
      <w:r>
        <w:rPr>
          <w:rFonts w:hint="eastAsia" w:ascii="宋体" w:hAnsi="宋体" w:eastAsia="宋体" w:cs="宋体"/>
          <w:color w:val="auto"/>
          <w:sz w:val="24"/>
          <w:szCs w:val="24"/>
        </w:rPr>
        <w:t>㎡。</w:t>
      </w:r>
    </w:p>
    <w:p>
      <w:pPr>
        <w:spacing w:line="360" w:lineRule="auto"/>
        <w:ind w:firstLine="480" w:firstLineChars="200"/>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服务范围包括：</w:t>
      </w:r>
      <w:r>
        <w:rPr>
          <w:rFonts w:hint="eastAsia" w:ascii="宋体" w:hAnsi="宋体" w:eastAsia="宋体" w:cs="宋体"/>
          <w:color w:val="auto"/>
          <w:sz w:val="24"/>
          <w:szCs w:val="24"/>
          <w:highlight w:val="none"/>
        </w:rPr>
        <w:t>消防</w:t>
      </w:r>
      <w:r>
        <w:rPr>
          <w:rFonts w:hint="eastAsia" w:ascii="宋体" w:hAnsi="宋体" w:eastAsia="宋体" w:cs="宋体"/>
          <w:color w:val="auto"/>
          <w:sz w:val="24"/>
          <w:szCs w:val="24"/>
          <w:highlight w:val="none"/>
          <w:lang w:val="en-US" w:eastAsia="zh-CN"/>
        </w:rPr>
        <w:t>安全管理（中控员需具备专业资格证），供电设备管理，给排水运行管理，</w:t>
      </w:r>
      <w:r>
        <w:rPr>
          <w:rFonts w:hint="eastAsia" w:ascii="宋体" w:hAnsi="宋体" w:eastAsia="宋体" w:cs="宋体"/>
          <w:color w:val="auto"/>
          <w:sz w:val="24"/>
          <w:szCs w:val="24"/>
          <w:highlight w:val="none"/>
        </w:rPr>
        <w:t>综合维修</w:t>
      </w:r>
      <w:r>
        <w:rPr>
          <w:rFonts w:hint="eastAsia" w:ascii="宋体" w:hAnsi="宋体" w:eastAsia="宋体" w:cs="宋体"/>
          <w:color w:val="auto"/>
          <w:sz w:val="24"/>
          <w:szCs w:val="24"/>
          <w:highlight w:val="none"/>
          <w:lang w:val="en-US" w:eastAsia="zh-CN"/>
        </w:rPr>
        <w:t>管理</w:t>
      </w:r>
      <w:r>
        <w:rPr>
          <w:rFonts w:hint="eastAsia" w:ascii="宋体" w:hAnsi="宋体" w:eastAsia="宋体" w:cs="宋体"/>
          <w:color w:val="auto"/>
          <w:sz w:val="24"/>
          <w:szCs w:val="24"/>
          <w:highlight w:val="none"/>
        </w:rPr>
        <w:t>服务（电工</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具备专业资格证）</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环境保洁管理服务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安保服务（包括安保、秩序维护等），应急处置管理，以及垃圾清运处理和绿植维护</w:t>
      </w:r>
      <w:r>
        <w:rPr>
          <w:rFonts w:hint="eastAsia" w:ascii="宋体" w:hAnsi="宋体" w:eastAsia="宋体" w:cs="宋体"/>
          <w:color w:val="auto"/>
          <w:sz w:val="24"/>
          <w:szCs w:val="24"/>
          <w:highlight w:val="none"/>
        </w:rPr>
        <w:t>。</w:t>
      </w:r>
    </w:p>
    <w:p>
      <w:pPr>
        <w:spacing w:line="360" w:lineRule="auto"/>
        <w:ind w:left="420"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物业管理服务人员岗位需求：</w:t>
      </w:r>
    </w:p>
    <w:tbl>
      <w:tblPr>
        <w:tblStyle w:val="32"/>
        <w:tblW w:w="8947" w:type="dxa"/>
        <w:jc w:val="center"/>
        <w:tblInd w:w="0" w:type="dxa"/>
        <w:tblLayout w:type="fixed"/>
        <w:tblCellMar>
          <w:top w:w="0" w:type="dxa"/>
          <w:left w:w="108" w:type="dxa"/>
          <w:bottom w:w="0" w:type="dxa"/>
          <w:right w:w="108" w:type="dxa"/>
        </w:tblCellMar>
      </w:tblPr>
      <w:tblGrid>
        <w:gridCol w:w="2459"/>
        <w:gridCol w:w="4074"/>
        <w:gridCol w:w="2414"/>
      </w:tblGrid>
      <w:tr>
        <w:tblPrEx>
          <w:tblLayout w:type="fixed"/>
          <w:tblCellMar>
            <w:top w:w="0" w:type="dxa"/>
            <w:left w:w="108" w:type="dxa"/>
            <w:bottom w:w="0" w:type="dxa"/>
            <w:right w:w="108" w:type="dxa"/>
          </w:tblCellMar>
        </w:tblPrEx>
        <w:trPr>
          <w:trHeight w:val="226" w:hRule="atLeast"/>
          <w:jc w:val="center"/>
        </w:trPr>
        <w:tc>
          <w:tcPr>
            <w:tcW w:w="2459"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部门</w:t>
            </w:r>
          </w:p>
        </w:tc>
        <w:tc>
          <w:tcPr>
            <w:tcW w:w="407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岗位</w:t>
            </w:r>
          </w:p>
        </w:tc>
        <w:tc>
          <w:tcPr>
            <w:tcW w:w="241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人数 </w:t>
            </w:r>
          </w:p>
        </w:tc>
      </w:tr>
      <w:tr>
        <w:tblPrEx>
          <w:tblLayout w:type="fixed"/>
          <w:tblCellMar>
            <w:top w:w="0" w:type="dxa"/>
            <w:left w:w="108" w:type="dxa"/>
            <w:bottom w:w="0" w:type="dxa"/>
            <w:right w:w="108" w:type="dxa"/>
          </w:tblCellMar>
        </w:tblPrEx>
        <w:trPr>
          <w:trHeight w:val="226" w:hRule="atLeast"/>
          <w:jc w:val="center"/>
        </w:trPr>
        <w:tc>
          <w:tcPr>
            <w:tcW w:w="2459"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项目负责人</w:t>
            </w:r>
          </w:p>
        </w:tc>
        <w:tc>
          <w:tcPr>
            <w:tcW w:w="407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项目经理</w:t>
            </w:r>
          </w:p>
        </w:tc>
        <w:tc>
          <w:tcPr>
            <w:tcW w:w="241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1</w:t>
            </w:r>
          </w:p>
        </w:tc>
      </w:tr>
      <w:tr>
        <w:tblPrEx>
          <w:tblLayout w:type="fixed"/>
          <w:tblCellMar>
            <w:top w:w="0" w:type="dxa"/>
            <w:left w:w="108" w:type="dxa"/>
            <w:bottom w:w="0" w:type="dxa"/>
            <w:right w:w="108" w:type="dxa"/>
          </w:tblCellMar>
        </w:tblPrEx>
        <w:trPr>
          <w:trHeight w:val="226" w:hRule="atLeast"/>
          <w:jc w:val="center"/>
        </w:trPr>
        <w:tc>
          <w:tcPr>
            <w:tcW w:w="2459"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工程部</w:t>
            </w:r>
          </w:p>
        </w:tc>
        <w:tc>
          <w:tcPr>
            <w:tcW w:w="407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
              </w:rPr>
              <w:t>综合服务及协调（辅助管理）</w:t>
            </w:r>
          </w:p>
        </w:tc>
        <w:tc>
          <w:tcPr>
            <w:tcW w:w="241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r>
      <w:tr>
        <w:tblPrEx>
          <w:tblLayout w:type="fixed"/>
          <w:tblCellMar>
            <w:top w:w="0" w:type="dxa"/>
            <w:left w:w="108" w:type="dxa"/>
            <w:bottom w:w="0" w:type="dxa"/>
            <w:right w:w="108" w:type="dxa"/>
          </w:tblCellMar>
        </w:tblPrEx>
        <w:trPr>
          <w:trHeight w:val="226" w:hRule="atLeast"/>
          <w:jc w:val="center"/>
        </w:trPr>
        <w:tc>
          <w:tcPr>
            <w:tcW w:w="2459" w:type="dxa"/>
            <w:vMerge w:val="continue"/>
            <w:tcBorders>
              <w:left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lang w:val="en-US" w:eastAsia="zh-CN" w:bidi="ar"/>
              </w:rPr>
            </w:pPr>
          </w:p>
        </w:tc>
        <w:tc>
          <w:tcPr>
            <w:tcW w:w="407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snapToGrid w:val="0"/>
                <w:color w:val="auto"/>
                <w:sz w:val="24"/>
                <w:szCs w:val="24"/>
                <w:lang w:val="en-US" w:eastAsia="zh-CN" w:bidi="ar-SA"/>
              </w:rPr>
            </w:pPr>
            <w:r>
              <w:rPr>
                <w:rFonts w:hint="eastAsia" w:ascii="宋体" w:hAnsi="宋体" w:eastAsia="宋体" w:cs="宋体"/>
                <w:color w:val="auto"/>
                <w:sz w:val="24"/>
                <w:szCs w:val="24"/>
                <w:lang w:val="en-US" w:eastAsia="zh-CN" w:bidi="ar"/>
              </w:rPr>
              <w:t>高、低压电工（各1人，持证）</w:t>
            </w:r>
          </w:p>
        </w:tc>
        <w:tc>
          <w:tcPr>
            <w:tcW w:w="241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snapToGrid w:val="0"/>
                <w:color w:val="auto"/>
                <w:sz w:val="24"/>
                <w:szCs w:val="24"/>
                <w:lang w:val="en-US" w:eastAsia="zh-CN" w:bidi="ar-SA"/>
              </w:rPr>
            </w:pPr>
            <w:r>
              <w:rPr>
                <w:rFonts w:hint="eastAsia" w:ascii="宋体" w:hAnsi="宋体" w:eastAsia="宋体" w:cs="宋体"/>
                <w:color w:val="auto"/>
                <w:sz w:val="24"/>
                <w:szCs w:val="24"/>
                <w:lang w:val="en-US" w:eastAsia="zh-CN" w:bidi="ar"/>
              </w:rPr>
              <w:t>2</w:t>
            </w:r>
          </w:p>
        </w:tc>
      </w:tr>
      <w:tr>
        <w:tblPrEx>
          <w:tblLayout w:type="fixed"/>
          <w:tblCellMar>
            <w:top w:w="0" w:type="dxa"/>
            <w:left w:w="108" w:type="dxa"/>
            <w:bottom w:w="0" w:type="dxa"/>
            <w:right w:w="108" w:type="dxa"/>
          </w:tblCellMar>
        </w:tblPrEx>
        <w:trPr>
          <w:trHeight w:val="226" w:hRule="atLeast"/>
          <w:jc w:val="center"/>
        </w:trPr>
        <w:tc>
          <w:tcPr>
            <w:tcW w:w="245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szCs w:val="24"/>
              </w:rPr>
            </w:pPr>
          </w:p>
        </w:tc>
        <w:tc>
          <w:tcPr>
            <w:tcW w:w="407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综合维修</w:t>
            </w:r>
          </w:p>
        </w:tc>
        <w:tc>
          <w:tcPr>
            <w:tcW w:w="241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2</w:t>
            </w:r>
          </w:p>
        </w:tc>
      </w:tr>
      <w:tr>
        <w:tblPrEx>
          <w:tblLayout w:type="fixed"/>
          <w:tblCellMar>
            <w:top w:w="0" w:type="dxa"/>
            <w:left w:w="108" w:type="dxa"/>
            <w:bottom w:w="0" w:type="dxa"/>
            <w:right w:w="108" w:type="dxa"/>
          </w:tblCellMar>
        </w:tblPrEx>
        <w:trPr>
          <w:trHeight w:val="226" w:hRule="atLeast"/>
          <w:jc w:val="center"/>
        </w:trPr>
        <w:tc>
          <w:tcPr>
            <w:tcW w:w="2459"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环境管理部</w:t>
            </w:r>
          </w:p>
          <w:p>
            <w:pPr>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val="en-US" w:eastAsia="zh-CN" w:bidi="ar"/>
              </w:rPr>
              <w:t>保洁</w:t>
            </w:r>
            <w:r>
              <w:rPr>
                <w:rFonts w:hint="eastAsia" w:ascii="宋体" w:hAnsi="宋体" w:eastAsia="宋体" w:cs="宋体"/>
                <w:color w:val="auto"/>
                <w:sz w:val="24"/>
                <w:szCs w:val="24"/>
                <w:lang w:eastAsia="zh-CN" w:bidi="ar"/>
              </w:rPr>
              <w:t>）</w:t>
            </w:r>
          </w:p>
        </w:tc>
        <w:tc>
          <w:tcPr>
            <w:tcW w:w="407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
              </w:rPr>
              <w:t>保洁主管</w:t>
            </w:r>
          </w:p>
        </w:tc>
        <w:tc>
          <w:tcPr>
            <w:tcW w:w="241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1</w:t>
            </w:r>
          </w:p>
        </w:tc>
      </w:tr>
      <w:tr>
        <w:tblPrEx>
          <w:tblLayout w:type="fixed"/>
          <w:tblCellMar>
            <w:top w:w="0" w:type="dxa"/>
            <w:left w:w="108" w:type="dxa"/>
            <w:bottom w:w="0" w:type="dxa"/>
            <w:right w:w="108" w:type="dxa"/>
          </w:tblCellMar>
        </w:tblPrEx>
        <w:trPr>
          <w:trHeight w:val="226" w:hRule="atLeast"/>
          <w:jc w:val="center"/>
        </w:trPr>
        <w:tc>
          <w:tcPr>
            <w:tcW w:w="245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szCs w:val="24"/>
              </w:rPr>
            </w:pPr>
          </w:p>
        </w:tc>
        <w:tc>
          <w:tcPr>
            <w:tcW w:w="407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领班</w:t>
            </w:r>
          </w:p>
        </w:tc>
        <w:tc>
          <w:tcPr>
            <w:tcW w:w="241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2</w:t>
            </w:r>
          </w:p>
        </w:tc>
      </w:tr>
      <w:tr>
        <w:tblPrEx>
          <w:tblLayout w:type="fixed"/>
          <w:tblCellMar>
            <w:top w:w="0" w:type="dxa"/>
            <w:left w:w="108" w:type="dxa"/>
            <w:bottom w:w="0" w:type="dxa"/>
            <w:right w:w="108" w:type="dxa"/>
          </w:tblCellMar>
        </w:tblPrEx>
        <w:trPr>
          <w:trHeight w:val="226" w:hRule="atLeast"/>
          <w:jc w:val="center"/>
        </w:trPr>
        <w:tc>
          <w:tcPr>
            <w:tcW w:w="245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szCs w:val="24"/>
              </w:rPr>
            </w:pPr>
          </w:p>
        </w:tc>
        <w:tc>
          <w:tcPr>
            <w:tcW w:w="407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
              </w:rPr>
              <w:t>楼层保洁员</w:t>
            </w:r>
          </w:p>
        </w:tc>
        <w:tc>
          <w:tcPr>
            <w:tcW w:w="241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5</w:t>
            </w:r>
          </w:p>
        </w:tc>
      </w:tr>
      <w:tr>
        <w:tblPrEx>
          <w:tblLayout w:type="fixed"/>
          <w:tblCellMar>
            <w:top w:w="0" w:type="dxa"/>
            <w:left w:w="108" w:type="dxa"/>
            <w:bottom w:w="0" w:type="dxa"/>
            <w:right w:w="108" w:type="dxa"/>
          </w:tblCellMar>
        </w:tblPrEx>
        <w:trPr>
          <w:trHeight w:val="277" w:hRule="atLeast"/>
          <w:jc w:val="center"/>
        </w:trPr>
        <w:tc>
          <w:tcPr>
            <w:tcW w:w="2459" w:type="dxa"/>
            <w:vMerge w:val="restart"/>
            <w:tcBorders>
              <w:top w:val="single" w:color="000000" w:sz="4" w:space="0"/>
              <w:left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安保</w:t>
            </w:r>
            <w:r>
              <w:rPr>
                <w:rFonts w:hint="eastAsia" w:ascii="宋体" w:hAnsi="宋体" w:eastAsia="宋体" w:cs="宋体"/>
                <w:color w:val="auto"/>
                <w:sz w:val="24"/>
                <w:szCs w:val="24"/>
                <w:lang w:bidi="ar"/>
              </w:rPr>
              <w:t>部</w:t>
            </w:r>
          </w:p>
          <w:p>
            <w:pPr>
              <w:jc w:val="center"/>
              <w:textAlignment w:val="center"/>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val="en-US" w:eastAsia="zh-CN" w:bidi="ar"/>
              </w:rPr>
              <w:t>包括秩序维护、综合咨询服务等</w:t>
            </w:r>
            <w:r>
              <w:rPr>
                <w:rFonts w:hint="eastAsia" w:ascii="宋体" w:hAnsi="宋体" w:eastAsia="宋体" w:cs="宋体"/>
                <w:color w:val="auto"/>
                <w:sz w:val="24"/>
                <w:szCs w:val="24"/>
                <w:lang w:eastAsia="zh-CN" w:bidi="ar"/>
              </w:rPr>
              <w:t>）</w:t>
            </w:r>
          </w:p>
        </w:tc>
        <w:tc>
          <w:tcPr>
            <w:tcW w:w="407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安保主管</w:t>
            </w:r>
          </w:p>
        </w:tc>
        <w:tc>
          <w:tcPr>
            <w:tcW w:w="241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1</w:t>
            </w:r>
          </w:p>
        </w:tc>
      </w:tr>
      <w:tr>
        <w:tblPrEx>
          <w:tblLayout w:type="fixed"/>
          <w:tblCellMar>
            <w:top w:w="0" w:type="dxa"/>
            <w:left w:w="108" w:type="dxa"/>
            <w:bottom w:w="0" w:type="dxa"/>
            <w:right w:w="108" w:type="dxa"/>
          </w:tblCellMar>
        </w:tblPrEx>
        <w:trPr>
          <w:trHeight w:val="277" w:hRule="atLeast"/>
          <w:jc w:val="center"/>
        </w:trPr>
        <w:tc>
          <w:tcPr>
            <w:tcW w:w="2459" w:type="dxa"/>
            <w:vMerge w:val="continue"/>
            <w:tcBorders>
              <w:left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lang w:val="en-US" w:eastAsia="zh-CN"/>
              </w:rPr>
            </w:pPr>
          </w:p>
        </w:tc>
        <w:tc>
          <w:tcPr>
            <w:tcW w:w="407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中控员及</w:t>
            </w:r>
            <w:r>
              <w:rPr>
                <w:rFonts w:hint="eastAsia" w:ascii="宋体" w:hAnsi="宋体" w:eastAsia="宋体" w:cs="宋体"/>
                <w:color w:val="auto"/>
                <w:sz w:val="24"/>
                <w:szCs w:val="24"/>
                <w:lang w:val="en-US" w:eastAsia="zh-CN" w:bidi="ar"/>
              </w:rPr>
              <w:t>秩序维护（文明引导、巡逻）</w:t>
            </w:r>
          </w:p>
        </w:tc>
        <w:tc>
          <w:tcPr>
            <w:tcW w:w="241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10</w:t>
            </w:r>
          </w:p>
        </w:tc>
      </w:tr>
      <w:tr>
        <w:tblPrEx>
          <w:tblLayout w:type="fixed"/>
          <w:tblCellMar>
            <w:top w:w="0" w:type="dxa"/>
            <w:left w:w="108" w:type="dxa"/>
            <w:bottom w:w="0" w:type="dxa"/>
            <w:right w:w="108" w:type="dxa"/>
          </w:tblCellMar>
        </w:tblPrEx>
        <w:trPr>
          <w:trHeight w:val="226" w:hRule="atLeast"/>
          <w:jc w:val="center"/>
        </w:trPr>
        <w:tc>
          <w:tcPr>
            <w:tcW w:w="2459" w:type="dxa"/>
            <w:vMerge w:val="continue"/>
            <w:tcBorders>
              <w:left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rPr>
            </w:pPr>
          </w:p>
        </w:tc>
        <w:tc>
          <w:tcPr>
            <w:tcW w:w="407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保安员（持证）</w:t>
            </w:r>
          </w:p>
        </w:tc>
        <w:tc>
          <w:tcPr>
            <w:tcW w:w="241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3</w:t>
            </w:r>
          </w:p>
        </w:tc>
      </w:tr>
      <w:tr>
        <w:tblPrEx>
          <w:tblLayout w:type="fixed"/>
          <w:tblCellMar>
            <w:top w:w="0" w:type="dxa"/>
            <w:left w:w="108" w:type="dxa"/>
            <w:bottom w:w="0" w:type="dxa"/>
            <w:right w:w="108" w:type="dxa"/>
          </w:tblCellMar>
        </w:tblPrEx>
        <w:trPr>
          <w:trHeight w:val="226" w:hRule="atLeast"/>
          <w:jc w:val="center"/>
        </w:trPr>
        <w:tc>
          <w:tcPr>
            <w:tcW w:w="6533" w:type="dxa"/>
            <w:gridSpan w:val="2"/>
            <w:tcBorders>
              <w:top w:val="single" w:color="000000" w:sz="4" w:space="0"/>
              <w:left w:val="single" w:color="000000" w:sz="4" w:space="0"/>
              <w:bottom w:val="single" w:color="auto" w:sz="4" w:space="0"/>
              <w:right w:val="single" w:color="000000" w:sz="4" w:space="0"/>
            </w:tcBorders>
            <w:vAlign w:val="center"/>
          </w:tcPr>
          <w:p>
            <w:pPr>
              <w:jc w:val="center"/>
              <w:textAlignment w:val="center"/>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合计</w:t>
            </w:r>
          </w:p>
        </w:tc>
        <w:tc>
          <w:tcPr>
            <w:tcW w:w="2414" w:type="dxa"/>
            <w:tcBorders>
              <w:top w:val="single" w:color="000000" w:sz="4" w:space="0"/>
              <w:left w:val="single" w:color="000000" w:sz="4" w:space="0"/>
              <w:bottom w:val="single" w:color="auto" w:sz="4" w:space="0"/>
              <w:right w:val="single" w:color="000000" w:sz="4" w:space="0"/>
            </w:tcBorders>
            <w:vAlign w:val="center"/>
          </w:tcPr>
          <w:p>
            <w:pPr>
              <w:jc w:val="center"/>
              <w:textAlignment w:val="center"/>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28</w:t>
            </w:r>
          </w:p>
        </w:tc>
      </w:tr>
    </w:tbl>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详细情况如下：</w:t>
      </w:r>
    </w:p>
    <w:p>
      <w:pPr>
        <w:numPr>
          <w:ilvl w:val="0"/>
          <w:numId w:val="0"/>
        </w:numPr>
        <w:spacing w:line="360" w:lineRule="auto"/>
        <w:ind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（一）项目经理</w:t>
      </w:r>
    </w:p>
    <w:p>
      <w:pPr>
        <w:numPr>
          <w:ilvl w:val="0"/>
          <w:numId w:val="19"/>
        </w:num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全面负责图书馆（总馆及少儿馆）范围内的物业服务综合管理，根据图书馆实际工作制定科学、合理的物业团队接管和进驻方案，依据图书馆整体工作计划制定物业服务年度、月度工作计划并组织实施，贯彻执行图书馆各类规章制度，定期进行总结和向图书馆汇报。</w:t>
      </w:r>
    </w:p>
    <w:p>
      <w:pPr>
        <w:numPr>
          <w:ilvl w:val="0"/>
          <w:numId w:val="19"/>
        </w:num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统筹图书馆（总馆及少儿馆）范围内物业团队从业人员管理工作，包括人员调度管理、人员培训，服务项目实施，合理调配人员并定期开展检查和考核。</w:t>
      </w:r>
    </w:p>
    <w:p>
      <w:pPr>
        <w:numPr>
          <w:ilvl w:val="0"/>
          <w:numId w:val="19"/>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统筹图书馆（总馆及少儿馆）安全生产、消防安全、治安安全、房屋安全等各项安全管理工作具体实施，规范安全管理制度，完善安全管理台账及档案。</w:t>
      </w:r>
    </w:p>
    <w:p>
      <w:pPr>
        <w:numPr>
          <w:ilvl w:val="0"/>
          <w:numId w:val="19"/>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统筹实施图书馆（总馆及少儿馆）日常开放各项基础设施保障工作，包括设备设施管理、小型维修及修缮项目过程管理，确保图书馆电气设备、消防设备、暖通设备、给排水设备等各项设备设施运转正常。</w:t>
      </w:r>
    </w:p>
    <w:p>
      <w:pPr>
        <w:numPr>
          <w:ilvl w:val="0"/>
          <w:numId w:val="19"/>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统筹实施图书馆（总馆及少儿馆）对外开放的日常保障工作，包括环境卫生、文明引导、馆内开放区域的秩序维护、停车场秩序维护，前台咨询解答，以及协助图书馆开展各项文化活动、会议的会场服务保障工作。</w:t>
      </w:r>
    </w:p>
    <w:p>
      <w:pPr>
        <w:numPr>
          <w:ilvl w:val="0"/>
          <w:numId w:val="19"/>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负责对接与物业管理服务有关的职能部门协调工作，包括属地街道、消防管理部门、卫生监督部门、城市管理部门、各执法部门，以及供水、供电、供气、供暖等相关单位。</w:t>
      </w:r>
    </w:p>
    <w:p>
      <w:pPr>
        <w:numPr>
          <w:ilvl w:val="0"/>
          <w:numId w:val="19"/>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协助图书馆处置对外开放过程中发生的消防、治安、交通、工程施工，以及极端天气等各类突发事件应急处置工作。</w:t>
      </w:r>
    </w:p>
    <w:p>
      <w:pPr>
        <w:numPr>
          <w:ilvl w:val="0"/>
          <w:numId w:val="19"/>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根据图书馆整体工作计划及文化活动开展情况，完成日常各项后勤服务保障工作，并协助完成图书馆及上级主管部门交办的临时性工作。</w:t>
      </w:r>
    </w:p>
    <w:p>
      <w:pPr>
        <w:pStyle w:val="10"/>
        <w:numPr>
          <w:ilvl w:val="0"/>
          <w:numId w:val="0"/>
        </w:numPr>
        <w:spacing w:before="156" w:beforeLines="50" w:after="156" w:afterLines="50"/>
        <w:ind w:firstLine="482" w:firstLineChars="200"/>
        <w:outlineLvl w:val="1"/>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二</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消防</w:t>
      </w:r>
      <w:r>
        <w:rPr>
          <w:rFonts w:hint="eastAsia" w:ascii="宋体" w:hAnsi="宋体" w:eastAsia="宋体" w:cs="宋体"/>
          <w:b/>
          <w:color w:val="auto"/>
          <w:sz w:val="24"/>
          <w:szCs w:val="24"/>
          <w:lang w:val="en-US" w:eastAsia="zh-CN"/>
        </w:rPr>
        <w:t>安全</w:t>
      </w:r>
      <w:r>
        <w:rPr>
          <w:rFonts w:hint="eastAsia" w:ascii="宋体" w:hAnsi="宋体" w:eastAsia="宋体" w:cs="宋体"/>
          <w:b/>
          <w:color w:val="auto"/>
          <w:sz w:val="24"/>
          <w:szCs w:val="24"/>
        </w:rPr>
        <w:t>管理</w:t>
      </w:r>
    </w:p>
    <w:p>
      <w:pPr>
        <w:pStyle w:val="10"/>
        <w:numPr>
          <w:ilvl w:val="0"/>
          <w:numId w:val="0"/>
        </w:numPr>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服务内容</w:t>
      </w:r>
    </w:p>
    <w:p>
      <w:pPr>
        <w:pStyle w:val="10"/>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负责日常的消防系统值守，负责月度消防设备定期检查并做检查记录，对消防中控室、火灾自动报警系统、自动喷淋系统、室内消火栓、安全疏散、应急系统、防火门系统、二氧化碳等灭火</w:t>
      </w:r>
      <w:r>
        <w:rPr>
          <w:rFonts w:hint="eastAsia" w:ascii="宋体" w:hAnsi="宋体" w:eastAsia="宋体" w:cs="宋体"/>
          <w:color w:val="auto"/>
          <w:sz w:val="24"/>
          <w:szCs w:val="24"/>
          <w:lang w:val="en-US" w:eastAsia="zh-CN"/>
        </w:rPr>
        <w:t>设备</w:t>
      </w:r>
      <w:r>
        <w:rPr>
          <w:rFonts w:hint="eastAsia" w:ascii="宋体" w:hAnsi="宋体" w:eastAsia="宋体" w:cs="宋体"/>
          <w:color w:val="auto"/>
          <w:sz w:val="24"/>
          <w:szCs w:val="24"/>
        </w:rPr>
        <w:t>进行日常管理；监督、配合维保单位进行日常维修养护，发现问题时及时通知维保单位到场维修，紧急情况下的应急处理。</w:t>
      </w:r>
    </w:p>
    <w:p>
      <w:pPr>
        <w:pStyle w:val="10"/>
        <w:keepNext w:val="0"/>
        <w:keepLines w:val="0"/>
        <w:pageBreakBefore w:val="0"/>
        <w:widowControl/>
        <w:numPr>
          <w:ilvl w:val="0"/>
          <w:numId w:val="0"/>
        </w:numPr>
        <w:kinsoku w:val="0"/>
        <w:wordWrap/>
        <w:overflowPunct/>
        <w:topLinePunct w:val="0"/>
        <w:autoSpaceDE w:val="0"/>
        <w:autoSpaceDN w:val="0"/>
        <w:bidi w:val="0"/>
        <w:adjustRightInd w:val="0"/>
        <w:snapToGrid w:val="0"/>
        <w:ind w:firstLine="482" w:firstLineChars="200"/>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服务标准</w:t>
      </w:r>
    </w:p>
    <w:p>
      <w:pPr>
        <w:pStyle w:val="10"/>
        <w:keepNext w:val="0"/>
        <w:keepLines w:val="0"/>
        <w:pageBreakBefore w:val="0"/>
        <w:widowControl/>
        <w:tabs>
          <w:tab w:val="left" w:pos="630"/>
        </w:tabs>
        <w:kinsoku w:val="0"/>
        <w:wordWrap/>
        <w:overflowPunct/>
        <w:topLinePunct w:val="0"/>
        <w:autoSpaceDE w:val="0"/>
        <w:autoSpaceDN w:val="0"/>
        <w:bidi w:val="0"/>
        <w:adjustRightInd w:val="0"/>
        <w:snapToGrid w:val="0"/>
        <w:ind w:left="0" w:leftChars="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2.1 严格执行消防法规，建立消防安全管理制度，搞好消防安全管理工作，确保整个系统处于良好的状态。</w:t>
      </w:r>
    </w:p>
    <w:p>
      <w:pPr>
        <w:pStyle w:val="10"/>
        <w:keepNext w:val="0"/>
        <w:keepLines w:val="0"/>
        <w:pageBreakBefore w:val="0"/>
        <w:widowControl/>
        <w:tabs>
          <w:tab w:val="left" w:pos="630"/>
        </w:tabs>
        <w:kinsoku w:val="0"/>
        <w:wordWrap/>
        <w:overflowPunct/>
        <w:topLinePunct w:val="0"/>
        <w:autoSpaceDE w:val="0"/>
        <w:autoSpaceDN w:val="0"/>
        <w:bidi w:val="0"/>
        <w:adjustRightInd w:val="0"/>
        <w:snapToGrid w:val="0"/>
        <w:ind w:left="0" w:leftChars="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2.2 定期巡视检查消防设备，完成率100%。</w:t>
      </w:r>
    </w:p>
    <w:p>
      <w:pPr>
        <w:pStyle w:val="10"/>
        <w:keepNext w:val="0"/>
        <w:keepLines w:val="0"/>
        <w:pageBreakBefore w:val="0"/>
        <w:widowControl/>
        <w:tabs>
          <w:tab w:val="left" w:pos="630"/>
        </w:tabs>
        <w:kinsoku w:val="0"/>
        <w:wordWrap/>
        <w:overflowPunct/>
        <w:topLinePunct w:val="0"/>
        <w:autoSpaceDE w:val="0"/>
        <w:autoSpaceDN w:val="0"/>
        <w:bidi w:val="0"/>
        <w:adjustRightInd w:val="0"/>
        <w:snapToGrid w:val="0"/>
        <w:ind w:left="0" w:leftChars="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2.3 及时发现安全隐患，及时报告、处理，完成率100%。发现问题及时通知维保单位，保质保量达到消防要求，保证系统正常运行。</w:t>
      </w:r>
    </w:p>
    <w:p>
      <w:pPr>
        <w:pStyle w:val="10"/>
        <w:keepNext w:val="0"/>
        <w:keepLines w:val="0"/>
        <w:pageBreakBefore w:val="0"/>
        <w:widowControl/>
        <w:tabs>
          <w:tab w:val="left" w:pos="630"/>
        </w:tabs>
        <w:kinsoku w:val="0"/>
        <w:wordWrap/>
        <w:overflowPunct/>
        <w:topLinePunct w:val="0"/>
        <w:autoSpaceDE w:val="0"/>
        <w:autoSpaceDN w:val="0"/>
        <w:bidi w:val="0"/>
        <w:adjustRightInd w:val="0"/>
        <w:snapToGrid w:val="0"/>
        <w:ind w:left="0" w:leftChars="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2.4 每月对消防设备定期检查一次，重大节日增加检查次数，有故障时，通知维保单位维修人员及时维修。</w:t>
      </w:r>
    </w:p>
    <w:p>
      <w:pPr>
        <w:pStyle w:val="10"/>
        <w:keepNext w:val="0"/>
        <w:keepLines w:val="0"/>
        <w:pageBreakBefore w:val="0"/>
        <w:widowControl/>
        <w:tabs>
          <w:tab w:val="left" w:pos="630"/>
        </w:tabs>
        <w:kinsoku w:val="0"/>
        <w:wordWrap/>
        <w:overflowPunct/>
        <w:topLinePunct w:val="0"/>
        <w:autoSpaceDE w:val="0"/>
        <w:autoSpaceDN w:val="0"/>
        <w:bidi w:val="0"/>
        <w:adjustRightInd w:val="0"/>
        <w:snapToGrid w:val="0"/>
        <w:ind w:left="0" w:leftChars="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2.5 定期组织义务消防员的培训和演习。</w:t>
      </w:r>
    </w:p>
    <w:p>
      <w:pPr>
        <w:pStyle w:val="10"/>
        <w:keepNext w:val="0"/>
        <w:keepLines w:val="0"/>
        <w:pageBreakBefore w:val="0"/>
        <w:widowControl/>
        <w:tabs>
          <w:tab w:val="left" w:pos="630"/>
        </w:tabs>
        <w:kinsoku w:val="0"/>
        <w:wordWrap/>
        <w:overflowPunct/>
        <w:topLinePunct w:val="0"/>
        <w:autoSpaceDE w:val="0"/>
        <w:autoSpaceDN w:val="0"/>
        <w:bidi w:val="0"/>
        <w:adjustRightInd w:val="0"/>
        <w:snapToGrid w:val="0"/>
        <w:ind w:left="0" w:leftChars="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2.6 配合</w:t>
      </w:r>
      <w:r>
        <w:rPr>
          <w:rFonts w:hint="eastAsia" w:ascii="宋体" w:hAnsi="宋体" w:eastAsia="宋体" w:cs="宋体"/>
          <w:color w:val="auto"/>
          <w:sz w:val="24"/>
          <w:szCs w:val="24"/>
          <w:lang w:val="en-US" w:eastAsia="zh-CN"/>
        </w:rPr>
        <w:t>图书馆</w:t>
      </w:r>
      <w:r>
        <w:rPr>
          <w:rFonts w:hint="eastAsia" w:ascii="宋体" w:hAnsi="宋体" w:eastAsia="宋体" w:cs="宋体"/>
          <w:color w:val="auto"/>
          <w:sz w:val="24"/>
          <w:szCs w:val="24"/>
        </w:rPr>
        <w:t>完成消防、电气检测工作，取得消防电气检测报告。</w:t>
      </w:r>
    </w:p>
    <w:p>
      <w:pPr>
        <w:pStyle w:val="10"/>
        <w:keepNext w:val="0"/>
        <w:keepLines w:val="0"/>
        <w:pageBreakBefore w:val="0"/>
        <w:widowControl/>
        <w:numPr>
          <w:ilvl w:val="0"/>
          <w:numId w:val="0"/>
        </w:numPr>
        <w:kinsoku w:val="0"/>
        <w:wordWrap/>
        <w:overflowPunct/>
        <w:topLinePunct w:val="0"/>
        <w:autoSpaceDE w:val="0"/>
        <w:autoSpaceDN w:val="0"/>
        <w:bidi w:val="0"/>
        <w:adjustRightInd w:val="0"/>
        <w:snapToGrid w:val="0"/>
        <w:ind w:left="480" w:leftChars="200"/>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rPr>
        <w:t>运行管理要求</w:t>
      </w:r>
    </w:p>
    <w:p>
      <w:pPr>
        <w:pStyle w:val="10"/>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 管理制度。依据消防泵房的功能及特点，建立相应的运行管理制度，并在机房显著位置上墙张贴。设备运行管理制度的制定应以保障消防设备机房的安全、正常运行为标准，内容应包括：操作规程、设备出现故障时的处理方法、值班人员的岗位责任、外来人员进入设备所在机房的授权、出入登记、设备所在机房内的物品存放以及消防安全的有关规定等事项；</w:t>
      </w:r>
    </w:p>
    <w:p>
      <w:pPr>
        <w:pStyle w:val="10"/>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 消防值班。值班应进行记录，记录内容包括：本班工作内容及完成情况，设备的当前状态 （运行、停止、待修等）及设备调整情况说明；交班接班人上岗时间、下岗时间。主管应每日检查值班工作记录并确认签字；</w:t>
      </w:r>
    </w:p>
    <w:p>
      <w:pPr>
        <w:pStyle w:val="10"/>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3.3 设备运行。系统设备运行正常，每天进行一次各类信息检查，并做好记录，设备设施符合《安全技术防范管理规定》的相关规定，各种主要控制设备正常运行、开关灵活，各系统联动正常。</w:t>
      </w:r>
    </w:p>
    <w:p>
      <w:pPr>
        <w:pStyle w:val="10"/>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3.4 现场管理。标识清晰、干净整洁、无尘土、 无杂物堆放，通风、照明、门窗、锁等设施良好；各种阀门开关灵活、性能可靠，主要阀门标识清晰、无锈蚀、 无跑冒滴漏现象；压力表、温度表显示正常；电梯轿厢、井道、机房环境整洁、卫生良好；设备运行平稳、无异常声响；保存所有相应的巡检报告。</w:t>
      </w:r>
    </w:p>
    <w:p>
      <w:pPr>
        <w:pStyle w:val="10"/>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 日常安全管理。依据国家及行业的有关规定，建立涉及系统操作及维护的《安全操作规程》；配合甲方约请国家指定的专业机构对楼宇进行必要的消检、电检，保存好所有的相关检查、检测报告以及各项整改记录等文件以备查；定期对所有服务人员进行安全意识、安全知识方面的培训，并留有相应的培训记录。</w:t>
      </w:r>
    </w:p>
    <w:p>
      <w:pPr>
        <w:pStyle w:val="10"/>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3.6 档案管理。按国家规定建立和管理消防档案，消防档案完整、准确，并妥善保存以备查询。</w:t>
      </w:r>
    </w:p>
    <w:p>
      <w:pPr>
        <w:pStyle w:val="10"/>
        <w:numPr>
          <w:ilvl w:val="0"/>
          <w:numId w:val="0"/>
        </w:numPr>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rPr>
        <w:t>维护维修要求</w:t>
      </w:r>
    </w:p>
    <w:p>
      <w:pPr>
        <w:pStyle w:val="10"/>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4.1 监督、配合甲方委托的专业单位的保养实施工作。对于专业单位保养计划的实施以及维修服务工作进行检查、记录，记录应包括维护（维修、急修）时间、工作内容、完成情况等以备查；在意外故障出现时，专业单位维修人员能够按照规定时间到达现场，制定应急故障处理措施并严格按照执行；应建立上述设备运行情况的自查制度及检修制度，并做好相应的工作记录，以保证对委托服务的有效监管。</w:t>
      </w:r>
    </w:p>
    <w:p>
      <w:pPr>
        <w:pStyle w:val="10"/>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4.2 在意外故障出现时，维修人员能够按照规定时间到达现场，制定应急故障处理措施并严格按照执行；应建立上述设备运行情况的自查制度及检修制度，并做好相应的工作记录，以保证对委托服务的有效监管。</w:t>
      </w:r>
    </w:p>
    <w:p>
      <w:pPr>
        <w:pStyle w:val="10"/>
        <w:numPr>
          <w:ilvl w:val="0"/>
          <w:numId w:val="0"/>
        </w:numPr>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应急维修</w:t>
      </w:r>
    </w:p>
    <w:p>
      <w:pPr>
        <w:pStyle w:val="10"/>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.1 当接到报修信息后，维修人员应在15分钟内到达现场，维修工作随即展开，一般故障的修复不应超过24小时；</w:t>
      </w:r>
    </w:p>
    <w:p>
      <w:pPr>
        <w:pStyle w:val="10"/>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.2 当故障在规定时间内确实无法修复时，应及时通知维保单位人员并采取相应的跟进措施。</w:t>
      </w:r>
    </w:p>
    <w:p>
      <w:pPr>
        <w:pStyle w:val="10"/>
        <w:numPr>
          <w:ilvl w:val="0"/>
          <w:numId w:val="0"/>
        </w:numPr>
        <w:spacing w:before="156" w:beforeLines="50" w:after="156" w:afterLines="50"/>
        <w:ind w:firstLine="482" w:firstLineChars="200"/>
        <w:outlineLvl w:val="1"/>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供电设备管理</w:t>
      </w:r>
    </w:p>
    <w:p>
      <w:pPr>
        <w:pStyle w:val="10"/>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负责配电室的日常值守，监督、配合维护单位进行</w:t>
      </w:r>
      <w:r>
        <w:rPr>
          <w:rFonts w:hint="eastAsia" w:ascii="宋体" w:hAnsi="宋体" w:eastAsia="宋体" w:cs="宋体"/>
          <w:color w:val="auto"/>
          <w:sz w:val="24"/>
          <w:szCs w:val="24"/>
          <w:lang w:val="en-US" w:eastAsia="zh-CN"/>
        </w:rPr>
        <w:t>图书馆（总馆及少儿馆）</w:t>
      </w:r>
      <w:r>
        <w:rPr>
          <w:rFonts w:hint="eastAsia" w:ascii="宋体" w:hAnsi="宋体" w:eastAsia="宋体" w:cs="宋体"/>
          <w:color w:val="auto"/>
          <w:sz w:val="24"/>
          <w:szCs w:val="24"/>
        </w:rPr>
        <w:t>供电系统正常运行对供电设备的日常管理和养护维修。</w:t>
      </w:r>
    </w:p>
    <w:p>
      <w:pPr>
        <w:pStyle w:val="10"/>
        <w:numPr>
          <w:ilvl w:val="0"/>
          <w:numId w:val="0"/>
        </w:numPr>
        <w:ind w:left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服务内容</w:t>
      </w:r>
    </w:p>
    <w:p>
      <w:pPr>
        <w:pStyle w:val="10"/>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对</w:t>
      </w:r>
      <w:r>
        <w:rPr>
          <w:rFonts w:hint="eastAsia" w:ascii="宋体" w:hAnsi="宋体" w:eastAsia="宋体" w:cs="宋体"/>
          <w:color w:val="auto"/>
          <w:sz w:val="24"/>
          <w:szCs w:val="24"/>
          <w:lang w:val="en-US" w:eastAsia="zh-CN"/>
        </w:rPr>
        <w:t>图书馆</w:t>
      </w:r>
      <w:r>
        <w:rPr>
          <w:rFonts w:hint="eastAsia" w:ascii="宋体" w:hAnsi="宋体" w:eastAsia="宋体" w:cs="宋体"/>
          <w:color w:val="auto"/>
          <w:sz w:val="24"/>
          <w:szCs w:val="24"/>
        </w:rPr>
        <w:t>供电系统高、低压电器设备、电线电缆、电气照明装置等设备正常运行使用，并进行日常巡视管理。</w:t>
      </w:r>
    </w:p>
    <w:p>
      <w:pPr>
        <w:pStyle w:val="10"/>
        <w:numPr>
          <w:ilvl w:val="0"/>
          <w:numId w:val="0"/>
        </w:numPr>
        <w:ind w:left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服务标准</w:t>
      </w:r>
    </w:p>
    <w:p>
      <w:pPr>
        <w:pStyle w:val="10"/>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对供电范围内的电气设备定期巡视维护和重点检测，建立各项设备档案，做到安全、合理、节约用电；建立严格的配送电运行制度、电气维修制度和配电房管理制度，供电运行和维修人员必须持证上岗；加强日常维护检修，公共使用的照明、指示灯具线路、开关要保证完好，确保用电完全；管理和维护好避雷设施。发现问题时及时通知维保单位人员到场及时排除故障，紧急情况下的应急处理。</w:t>
      </w:r>
    </w:p>
    <w:p>
      <w:pPr>
        <w:pStyle w:val="10"/>
        <w:numPr>
          <w:ilvl w:val="0"/>
          <w:numId w:val="0"/>
        </w:numPr>
        <w:ind w:left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rPr>
        <w:t>运行管理要求</w:t>
      </w:r>
    </w:p>
    <w:p>
      <w:pPr>
        <w:pStyle w:val="10"/>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 管理制度。依据各设备及设备所在机房的功能及特点，建立相应的运行管理制度，并在设备所在机房显著位置上墙张贴。设备运行管理制度的制定应以保障设备及设备所在机房的安全、正常运行为标准，内容应包括：各专业设备的操作规程、设备出现故障时的处理方法、值班人员的岗位责任、外来人员进入设备所在机房的授权、出入登记、设备所在机房内的物品存放以及消防安全的有关规定等事项；</w:t>
      </w:r>
    </w:p>
    <w:p>
      <w:pPr>
        <w:pStyle w:val="10"/>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 工程值班。值班应进行记录，记录内容包括：本班工作内容及完成情况，设备的当前状态 （运行、停止、待修等）及设备调整情况说明；交班接班人上岗时间、下岗时间，工程主管人员每日检查值班工作记录的确认签字等；所有无人值守的机房，都应当建立定时巡视制度，并有相应的《巡视签到表》。</w:t>
      </w:r>
    </w:p>
    <w:p>
      <w:pPr>
        <w:pStyle w:val="10"/>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3.3 设备运行。重要设备及主要附属设备应建立相应的设备运行记录；重要设备及辅助设备的运行记录中，应记载设备的起、停时间，运行参数，设备运行状况、发生故障的时间及处理经过、运行记录表的抄表频次；重要设备的运行参数根据设备的具体情况确定抄表间隔，各种主要控制设备正常运行、开关灵活，各系统联动正常。</w:t>
      </w:r>
    </w:p>
    <w:p>
      <w:pPr>
        <w:pStyle w:val="10"/>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3.4 现场管理。设备及所在机房、管道井内标识清晰、干净整洁、无尘土、无杂物堆放，通风、照明、门窗、锁等设施良好；各种阀门开关灵活、性能可靠，主要阀门标识清晰、无锈蚀、 无跑冒滴漏现象；压力表、温度表显示正常；电梯轿厢、井道、机房环境整洁、卫生良好；电梯专用工具悬挂或码放整齐有序、标识清晰；机电设备运行平稳、无异常声响；设备运行与维护工作人员对公共照明、空调系统、给排水系统、建筑装修设备设施进行日常巡视检查，并保存所有相应的巡检报告。</w:t>
      </w:r>
    </w:p>
    <w:p>
      <w:pPr>
        <w:pStyle w:val="10"/>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 日常安全管理。依据国家及行业的有关规定，建立涉及系统操作及维护的《安全操作规程》；配合甲方按时约请国家指定的专业机构对楼宇进行必要的消检、电检，保存好所有的相关检查、检测报告以及各项整改记录等文件以备查；定期对所有服务人员进行安全意识、安全知识方面的培训，并留有相应的培训记录。</w:t>
      </w:r>
    </w:p>
    <w:p>
      <w:pPr>
        <w:pStyle w:val="10"/>
        <w:numPr>
          <w:ilvl w:val="0"/>
          <w:numId w:val="0"/>
        </w:numPr>
        <w:ind w:leftChars="200"/>
        <w:rPr>
          <w:rFonts w:hint="eastAsia" w:ascii="宋体" w:hAnsi="宋体" w:eastAsia="宋体" w:cs="宋体"/>
          <w:color w:val="auto"/>
          <w:sz w:val="24"/>
          <w:szCs w:val="24"/>
        </w:rPr>
      </w:pPr>
      <w:r>
        <w:rPr>
          <w:rFonts w:hint="eastAsia" w:ascii="宋体" w:hAnsi="宋体" w:eastAsia="宋体" w:cs="宋体"/>
          <w:color w:val="auto"/>
          <w:sz w:val="24"/>
          <w:szCs w:val="24"/>
        </w:rPr>
        <w:t>3.6 档案管理。按国家规定建立和管理工程档案，档案完整、准确，并妥善保存以备查</w:t>
      </w:r>
    </w:p>
    <w:p>
      <w:pPr>
        <w:pStyle w:val="10"/>
        <w:keepNext w:val="0"/>
        <w:keepLines w:val="0"/>
        <w:pageBreakBefore w:val="0"/>
        <w:widowControl/>
        <w:numPr>
          <w:ilvl w:val="0"/>
          <w:numId w:val="0"/>
        </w:numPr>
        <w:kinsoku w:val="0"/>
        <w:wordWrap/>
        <w:overflowPunct/>
        <w:topLinePunct w:val="0"/>
        <w:autoSpaceDE w:val="0"/>
        <w:autoSpaceDN w:val="0"/>
        <w:bidi w:val="0"/>
        <w:adjustRightInd w:val="0"/>
        <w:snapToGrid w:val="0"/>
        <w:textAlignment w:val="baseline"/>
        <w:rPr>
          <w:rFonts w:hint="eastAsia" w:ascii="宋体" w:hAnsi="宋体" w:eastAsia="宋体" w:cs="宋体"/>
          <w:b/>
          <w:color w:val="auto"/>
          <w:sz w:val="24"/>
          <w:szCs w:val="24"/>
          <w:lang w:eastAsia="zh-CN"/>
        </w:rPr>
      </w:pPr>
      <w:r>
        <w:rPr>
          <w:rFonts w:hint="eastAsia" w:ascii="宋体" w:hAnsi="宋体" w:eastAsia="宋体" w:cs="宋体"/>
          <w:color w:val="auto"/>
          <w:sz w:val="24"/>
          <w:szCs w:val="24"/>
        </w:rPr>
        <w:t>询。</w:t>
      </w:r>
    </w:p>
    <w:p>
      <w:pPr>
        <w:pStyle w:val="10"/>
        <w:numPr>
          <w:ilvl w:val="0"/>
          <w:numId w:val="0"/>
        </w:numPr>
        <w:spacing w:before="156" w:beforeLines="50" w:after="156" w:afterLines="50"/>
        <w:ind w:left="420" w:leftChars="0"/>
        <w:outlineLvl w:val="1"/>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四</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排水设备运行管理</w:t>
      </w:r>
    </w:p>
    <w:p>
      <w:pPr>
        <w:pStyle w:val="10"/>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监督 、配合维保单位进行给排水设备运行维护，保证</w:t>
      </w:r>
      <w:r>
        <w:rPr>
          <w:rFonts w:hint="eastAsia" w:ascii="宋体" w:hAnsi="宋体" w:eastAsia="宋体" w:cs="宋体"/>
          <w:color w:val="auto"/>
          <w:sz w:val="24"/>
          <w:szCs w:val="24"/>
          <w:lang w:val="en-US" w:eastAsia="zh-CN"/>
        </w:rPr>
        <w:t>图书馆</w:t>
      </w:r>
      <w:r>
        <w:rPr>
          <w:rFonts w:hint="eastAsia" w:ascii="宋体" w:hAnsi="宋体" w:eastAsia="宋体" w:cs="宋体"/>
          <w:color w:val="auto"/>
          <w:sz w:val="24"/>
          <w:szCs w:val="24"/>
        </w:rPr>
        <w:t>给排水设备、设施的正常运行使用所进行的日常养护维修。</w:t>
      </w:r>
    </w:p>
    <w:p>
      <w:pPr>
        <w:pStyle w:val="10"/>
        <w:numPr>
          <w:ilvl w:val="0"/>
          <w:numId w:val="20"/>
        </w:numPr>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服务内容</w:t>
      </w:r>
    </w:p>
    <w:p>
      <w:pPr>
        <w:pStyle w:val="10"/>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对</w:t>
      </w:r>
      <w:r>
        <w:rPr>
          <w:rFonts w:hint="eastAsia" w:ascii="宋体" w:hAnsi="宋体" w:eastAsia="宋体" w:cs="宋体"/>
          <w:color w:val="auto"/>
          <w:sz w:val="24"/>
          <w:szCs w:val="24"/>
          <w:lang w:val="en-US" w:eastAsia="zh-CN"/>
        </w:rPr>
        <w:t>图书馆</w:t>
      </w:r>
      <w:r>
        <w:rPr>
          <w:rFonts w:hint="eastAsia" w:ascii="宋体" w:hAnsi="宋体" w:eastAsia="宋体" w:cs="宋体"/>
          <w:color w:val="auto"/>
          <w:sz w:val="24"/>
          <w:szCs w:val="24"/>
        </w:rPr>
        <w:t>室内外给排水系统的设备、设施，如水泵、水箱、气压给水装置、水处理设备、消火栓、管道、管件、阀门、水嘴、洁具、排水管、透气管及疏通、水封设备、室外排水管及其附属构筑物等正常运行使用进行日常巡查，发现问题及时通知维保单位进行维修养护。</w:t>
      </w:r>
    </w:p>
    <w:p>
      <w:pPr>
        <w:pStyle w:val="10"/>
        <w:numPr>
          <w:ilvl w:val="0"/>
          <w:numId w:val="20"/>
        </w:numPr>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服务标准</w:t>
      </w:r>
    </w:p>
    <w:p>
      <w:pPr>
        <w:pStyle w:val="10"/>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加强日常检查巡视，保证给排水系统正常运行使用。建立正常供水管理制度，保证水质符合国家标准，防止跑、冒、滴、漏，对供水系统管路、水泵、水箱、阀门等进行日常维护和定期检修，水箱保持清洁卫生并定期消毒，定期对水泵房及机电设备进行检查、保养、维修、清洁；定期对排水管进行清通、养护及清除污垢，保证室内外排水系统畅通；发现问题及时通知维保单位维修人员解决故障，零维修合格率100%，故障排除不过夜，做好节约用水工作。</w:t>
      </w:r>
    </w:p>
    <w:p>
      <w:pPr>
        <w:pStyle w:val="10"/>
        <w:numPr>
          <w:ilvl w:val="0"/>
          <w:numId w:val="0"/>
        </w:numPr>
        <w:ind w:leftChars="200"/>
        <w:rPr>
          <w:rFonts w:hint="eastAsia" w:ascii="宋体" w:hAnsi="宋体" w:eastAsia="宋体" w:cs="宋体"/>
          <w:b/>
          <w:bCs/>
          <w:color w:val="auto"/>
          <w:sz w:val="24"/>
          <w:szCs w:val="24"/>
        </w:rPr>
      </w:pPr>
      <w:r>
        <w:rPr>
          <w:rFonts w:hint="eastAsia" w:ascii="宋体" w:hAnsi="宋体" w:eastAsia="宋体" w:cs="宋体"/>
          <w:b w:val="0"/>
          <w:bCs w:val="0"/>
          <w:color w:val="auto"/>
          <w:sz w:val="24"/>
          <w:szCs w:val="24"/>
          <w:lang w:val="en-US" w:eastAsia="zh-CN"/>
        </w:rPr>
        <w:t xml:space="preserve">3. </w:t>
      </w:r>
      <w:r>
        <w:rPr>
          <w:rFonts w:hint="eastAsia" w:ascii="宋体" w:hAnsi="宋体" w:eastAsia="宋体" w:cs="宋体"/>
          <w:b w:val="0"/>
          <w:bCs w:val="0"/>
          <w:color w:val="auto"/>
          <w:sz w:val="24"/>
          <w:szCs w:val="24"/>
        </w:rPr>
        <w:t>运行管理要求</w:t>
      </w:r>
    </w:p>
    <w:p>
      <w:pPr>
        <w:pStyle w:val="10"/>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 管理制度。运行管理制度的制定应以保障设备及设备所在机房的安全、正常运行为标准，内容应包括：操作规程、设备出现故障时的处理方法、值班人员的岗位责任、外来人员进入设备所在机房的授权、出入登记、机房内的物品存放以及消防安全的有关规定等事项；</w:t>
      </w:r>
    </w:p>
    <w:p>
      <w:pPr>
        <w:pStyle w:val="10"/>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 工程值班。值班应进行记录，记录内容包括：本班工作内容及完成情况，设备的当前状态 （运行、停止、待修等）及设备调整情况说明；交班接班人 上岗时间、下岗时间，工程主管人员每日检查值班工作记录的确认签字等；所有无人值守的机房，都应当建立定时巡视制度，并有相应的《巡视签到表》。</w:t>
      </w:r>
    </w:p>
    <w:p>
      <w:pPr>
        <w:pStyle w:val="10"/>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3.3 设备运行。重要设备及主要附属设备应建立相应的设备运行记录；重要设备及辅助设备的运行记录中，应记载设备的起、停时间，运行参数，设备运行状况、发生故障的时间及处理经过、运行记录表的抄表频次；重要设备的运行参数根据设备的具体情况确定抄表间隔，各种主要控制设备正常运行、开关灵活，各系统联动正常。</w:t>
      </w:r>
    </w:p>
    <w:p>
      <w:pPr>
        <w:pStyle w:val="10"/>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3.4 现场管理。设备及所在机房标识清晰、干净整洁、无尘土、 无杂物堆放，通风、照明、门窗、锁等设施良好；各种阀门开关灵活、性能可靠，主要阀门标识清晰、无锈蚀、 无跑冒滴漏现象；压力表、温度表显示正常；空调系统检修设备设施进行日常巡视检查，并保存所有相应的巡检报告。</w:t>
      </w:r>
    </w:p>
    <w:p>
      <w:pPr>
        <w:pStyle w:val="10"/>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 日常安全管理。依据国家及行业的有关规定，建立涉及系统操作及维护的《安全操作规程》；保存好所有的相关检查、检测报告以及各项整改记录等文件以备查；定期对所有服务人员进行安全意识、安全知识方面的培训，并留有相应的培训记录。</w:t>
      </w:r>
    </w:p>
    <w:p>
      <w:pPr>
        <w:spacing w:line="360" w:lineRule="auto"/>
        <w:ind w:left="42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rPr>
        <w:t>）综合维修管理</w:t>
      </w:r>
      <w:r>
        <w:rPr>
          <w:rFonts w:hint="eastAsia" w:ascii="宋体" w:hAnsi="宋体" w:eastAsia="宋体" w:cs="宋体"/>
          <w:b/>
          <w:bCs/>
          <w:color w:val="auto"/>
          <w:sz w:val="24"/>
          <w:szCs w:val="24"/>
          <w:lang w:val="en-US" w:eastAsia="zh-CN"/>
        </w:rPr>
        <w:t>服务</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负责馆内</w:t>
      </w:r>
      <w:r>
        <w:rPr>
          <w:rFonts w:hint="eastAsia" w:ascii="宋体" w:hAnsi="宋体" w:eastAsia="宋体" w:cs="宋体"/>
          <w:color w:val="auto"/>
          <w:sz w:val="24"/>
          <w:szCs w:val="24"/>
          <w:lang w:val="en-US" w:eastAsia="zh-CN"/>
        </w:rPr>
        <w:t>房屋及</w:t>
      </w:r>
      <w:r>
        <w:rPr>
          <w:rFonts w:hint="eastAsia" w:ascii="宋体" w:hAnsi="宋体" w:eastAsia="宋体" w:cs="宋体"/>
          <w:color w:val="auto"/>
          <w:sz w:val="24"/>
          <w:szCs w:val="24"/>
        </w:rPr>
        <w:t>设备、设施的</w:t>
      </w:r>
      <w:r>
        <w:rPr>
          <w:rFonts w:hint="eastAsia" w:ascii="宋体" w:hAnsi="宋体" w:eastAsia="宋体" w:cs="宋体"/>
          <w:color w:val="auto"/>
          <w:sz w:val="24"/>
          <w:szCs w:val="24"/>
          <w:lang w:val="en-US" w:eastAsia="zh-CN"/>
        </w:rPr>
        <w:t>安全检查，确保基础设施</w:t>
      </w:r>
      <w:r>
        <w:rPr>
          <w:rFonts w:hint="eastAsia" w:ascii="宋体" w:hAnsi="宋体" w:eastAsia="宋体" w:cs="宋体"/>
          <w:color w:val="auto"/>
          <w:sz w:val="24"/>
          <w:szCs w:val="24"/>
        </w:rPr>
        <w:t>正常运行，每天不定时巡视，及时发现安全隐患及损坏设备；第一时间上报图书馆相关领导，</w:t>
      </w:r>
      <w:r>
        <w:rPr>
          <w:rFonts w:hint="eastAsia" w:ascii="宋体" w:hAnsi="宋体" w:eastAsia="宋体" w:cs="宋体"/>
          <w:color w:val="auto"/>
          <w:sz w:val="24"/>
          <w:szCs w:val="24"/>
          <w:lang w:val="en-US" w:eastAsia="zh-CN"/>
        </w:rPr>
        <w:t>并</w:t>
      </w:r>
      <w:r>
        <w:rPr>
          <w:rFonts w:hint="eastAsia" w:ascii="宋体" w:hAnsi="宋体" w:eastAsia="宋体" w:cs="宋体"/>
          <w:color w:val="auto"/>
          <w:sz w:val="24"/>
          <w:szCs w:val="24"/>
        </w:rPr>
        <w:t>及时处理解决问题。</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物业小修具体包括：</w:t>
      </w:r>
    </w:p>
    <w:p>
      <w:pPr>
        <w:numPr>
          <w:ilvl w:val="0"/>
          <w:numId w:val="21"/>
        </w:numPr>
        <w:spacing w:line="360" w:lineRule="auto"/>
        <w:ind w:firstLine="480" w:firstLineChars="200"/>
        <w:rPr>
          <w:rFonts w:hint="eastAsia" w:ascii="宋体" w:hAnsi="宋体" w:eastAsia="宋体" w:cs="宋体"/>
          <w:snapToGrid w:val="0"/>
          <w:color w:val="auto"/>
          <w:sz w:val="24"/>
          <w:szCs w:val="24"/>
          <w:lang w:val="en-US" w:eastAsia="zh-CN" w:bidi="ar-SA"/>
        </w:rPr>
      </w:pPr>
      <w:r>
        <w:rPr>
          <w:rFonts w:hint="eastAsia" w:ascii="宋体" w:hAnsi="宋体" w:eastAsia="宋体" w:cs="宋体"/>
          <w:snapToGrid w:val="0"/>
          <w:color w:val="auto"/>
          <w:sz w:val="24"/>
          <w:szCs w:val="24"/>
          <w:lang w:val="en-US" w:eastAsia="zh-CN" w:bidi="ar-SA"/>
        </w:rPr>
        <w:t>卫生设备及配件；将残缺的配齐、有破损的及时维修。质量标准达到修缮后给排水畅通，各部位零件齐全、灵活有效、无跑、冒、漏、滴现象，确保正常使用。</w:t>
      </w:r>
    </w:p>
    <w:p>
      <w:pPr>
        <w:numPr>
          <w:ilvl w:val="0"/>
          <w:numId w:val="21"/>
        </w:numPr>
        <w:spacing w:line="360" w:lineRule="auto"/>
        <w:ind w:firstLine="480" w:firstLineChars="200"/>
        <w:rPr>
          <w:rFonts w:hint="eastAsia" w:ascii="宋体" w:hAnsi="宋体" w:eastAsia="宋体" w:cs="宋体"/>
          <w:snapToGrid w:val="0"/>
          <w:color w:val="auto"/>
          <w:sz w:val="24"/>
          <w:szCs w:val="24"/>
          <w:lang w:val="en-US" w:eastAsia="zh-CN" w:bidi="ar-SA"/>
        </w:rPr>
      </w:pPr>
      <w:r>
        <w:rPr>
          <w:rFonts w:hint="eastAsia" w:ascii="宋体" w:hAnsi="宋体" w:eastAsia="宋体" w:cs="宋体"/>
          <w:snapToGrid w:val="0"/>
          <w:color w:val="auto"/>
          <w:sz w:val="24"/>
          <w:szCs w:val="24"/>
          <w:lang w:val="en-US" w:eastAsia="zh-CN" w:bidi="ar-SA"/>
        </w:rPr>
        <w:t>配电设施包括：配电柜、配电箱、配电盘；质量标准达到元器件齐全，显示正常动作可靠，接地良好。</w:t>
      </w:r>
    </w:p>
    <w:p>
      <w:pPr>
        <w:numPr>
          <w:ilvl w:val="0"/>
          <w:numId w:val="21"/>
        </w:numPr>
        <w:spacing w:line="360" w:lineRule="auto"/>
        <w:ind w:firstLine="480" w:firstLineChars="200"/>
        <w:rPr>
          <w:rFonts w:hint="eastAsia" w:ascii="宋体" w:hAnsi="宋体" w:eastAsia="宋体" w:cs="宋体"/>
          <w:snapToGrid w:val="0"/>
          <w:color w:val="auto"/>
          <w:sz w:val="24"/>
          <w:szCs w:val="24"/>
          <w:lang w:val="en-US" w:eastAsia="zh-CN" w:bidi="ar-SA"/>
        </w:rPr>
      </w:pPr>
      <w:r>
        <w:rPr>
          <w:rFonts w:hint="eastAsia" w:ascii="宋体" w:hAnsi="宋体" w:eastAsia="宋体" w:cs="宋体"/>
          <w:snapToGrid w:val="0"/>
          <w:color w:val="auto"/>
          <w:sz w:val="24"/>
          <w:szCs w:val="24"/>
          <w:lang w:val="en-US" w:eastAsia="zh-CN" w:bidi="ar-SA"/>
        </w:rPr>
        <w:t>室内设备包括闸具、电源插座、开关、灯头；质量标准达到正常使用。</w:t>
      </w:r>
    </w:p>
    <w:p>
      <w:pPr>
        <w:numPr>
          <w:ilvl w:val="0"/>
          <w:numId w:val="21"/>
        </w:numPr>
        <w:spacing w:line="360" w:lineRule="auto"/>
        <w:ind w:firstLine="480" w:firstLineChars="200"/>
        <w:rPr>
          <w:rFonts w:hint="eastAsia" w:ascii="宋体" w:hAnsi="宋体" w:eastAsia="宋体" w:cs="宋体"/>
          <w:snapToGrid w:val="0"/>
          <w:color w:val="auto"/>
          <w:sz w:val="24"/>
          <w:szCs w:val="24"/>
          <w:lang w:val="en-US" w:eastAsia="zh-CN" w:bidi="ar-SA"/>
        </w:rPr>
      </w:pPr>
      <w:r>
        <w:rPr>
          <w:rFonts w:hint="eastAsia" w:ascii="宋体" w:hAnsi="宋体" w:eastAsia="宋体" w:cs="宋体"/>
          <w:snapToGrid w:val="0"/>
          <w:color w:val="auto"/>
          <w:sz w:val="24"/>
          <w:szCs w:val="24"/>
          <w:lang w:val="en-US" w:eastAsia="zh-CN" w:bidi="ar-SA"/>
        </w:rPr>
        <w:t>配电线路包括导线、支持物；质量标准达到良好完整可靠。</w:t>
      </w:r>
    </w:p>
    <w:p>
      <w:pPr>
        <w:numPr>
          <w:ilvl w:val="0"/>
          <w:numId w:val="21"/>
        </w:numPr>
        <w:spacing w:line="360" w:lineRule="auto"/>
        <w:ind w:firstLine="480" w:firstLineChars="200"/>
        <w:rPr>
          <w:rFonts w:hint="eastAsia" w:ascii="宋体" w:hAnsi="宋体" w:eastAsia="宋体" w:cs="宋体"/>
          <w:snapToGrid w:val="0"/>
          <w:color w:val="auto"/>
          <w:sz w:val="24"/>
          <w:szCs w:val="24"/>
          <w:lang w:val="en-US" w:eastAsia="zh-CN" w:bidi="ar-SA"/>
        </w:rPr>
      </w:pPr>
      <w:r>
        <w:rPr>
          <w:rFonts w:hint="eastAsia" w:ascii="宋体" w:hAnsi="宋体" w:eastAsia="宋体" w:cs="宋体"/>
          <w:snapToGrid w:val="0"/>
          <w:color w:val="auto"/>
          <w:sz w:val="24"/>
          <w:szCs w:val="24"/>
          <w:lang w:val="en-US" w:eastAsia="zh-CN" w:bidi="ar-SA"/>
        </w:rPr>
        <w:t>排水管道，检查井等包括楼房排污管道堵塞、排污不畅通；质量标准达到楼房排污管道经疏通后管道畅通，不滴水；井体、池体、井圈、井盖、池盖完好。</w:t>
      </w:r>
    </w:p>
    <w:p>
      <w:pPr>
        <w:numPr>
          <w:ilvl w:val="0"/>
          <w:numId w:val="21"/>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snapToGrid w:val="0"/>
          <w:color w:val="auto"/>
          <w:sz w:val="24"/>
          <w:szCs w:val="24"/>
          <w:lang w:val="en-US" w:eastAsia="zh-CN" w:bidi="ar-SA"/>
        </w:rPr>
        <w:t>检修门窗；钢木门窗松动、门窗扇开关不灵活、脱榫、槽朽、开焊、小五金缺损的及时修补；质量标准达到修缮后的钢木门窗开关灵活不松动，框与墙体结合牢固，五金齐全；玻璃装钉牢固，腻子饱满，窗纱紧绷，不露纱头。</w:t>
      </w:r>
    </w:p>
    <w:p>
      <w:pPr>
        <w:numPr>
          <w:ilvl w:val="0"/>
          <w:numId w:val="21"/>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空调设备</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进行日常检查巡视，保证空调设备、设施处于良好状态，发现问题及时通知维保单位进行维修养护。</w:t>
      </w:r>
    </w:p>
    <w:p>
      <w:pPr>
        <w:numPr>
          <w:ilvl w:val="0"/>
          <w:numId w:val="21"/>
        </w:num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snapToGrid w:val="0"/>
          <w:color w:val="auto"/>
          <w:sz w:val="24"/>
          <w:szCs w:val="24"/>
          <w:lang w:val="en-US" w:eastAsia="zh-CN" w:bidi="ar-SA"/>
        </w:rPr>
        <w:t>供暖设备：供暖周期进度日常检查巡视，保证供暖设备处于良好状态，冒滴漏等情况简易应急处理。</w:t>
      </w:r>
    </w:p>
    <w:p>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六</w:t>
      </w:r>
      <w:r>
        <w:rPr>
          <w:rFonts w:hint="eastAsia" w:ascii="宋体" w:hAnsi="宋体" w:eastAsia="宋体" w:cs="宋体"/>
          <w:b/>
          <w:bCs/>
          <w:color w:val="auto"/>
          <w:sz w:val="24"/>
          <w:szCs w:val="24"/>
        </w:rPr>
        <w:t>）环境保洁服务</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负责</w:t>
      </w:r>
      <w:r>
        <w:rPr>
          <w:rFonts w:hint="eastAsia" w:ascii="宋体" w:hAnsi="宋体" w:eastAsia="宋体" w:cs="宋体"/>
          <w:color w:val="auto"/>
          <w:sz w:val="24"/>
          <w:szCs w:val="24"/>
        </w:rPr>
        <w:t>图书馆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总馆及少儿馆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大楼内的楼道、走廊、卫生间、会议室、多功能厅、外围（地）面、明沟、门、窗、灯具、等设施和器皿，所有公共部位设施，红线规划内的道路等所有公共场地及设施和门前三包"区域的日常保洁保养等红线规划范围内的所有环境卫生保洁。</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清洁服务时间：早上：7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w:t>
      </w:r>
      <w:r>
        <w:rPr>
          <w:rFonts w:hint="eastAsia" w:ascii="宋体" w:hAnsi="宋体" w:eastAsia="宋体" w:cs="宋体"/>
          <w:color w:val="auto"/>
          <w:sz w:val="24"/>
          <w:szCs w:val="24"/>
          <w:lang w:val="en-US" w:eastAsia="zh-CN"/>
        </w:rPr>
        <w:t>11:30,13:30</w:t>
      </w:r>
      <w:r>
        <w:rPr>
          <w:rFonts w:hint="eastAsia" w:ascii="宋体" w:hAnsi="宋体" w:eastAsia="宋体" w:cs="宋体"/>
          <w:color w:val="auto"/>
          <w:sz w:val="24"/>
          <w:szCs w:val="24"/>
        </w:rPr>
        <w:t>--16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30</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服务标准：</w:t>
      </w:r>
    </w:p>
    <w:p>
      <w:pPr>
        <w:numPr>
          <w:ilvl w:val="0"/>
          <w:numId w:val="22"/>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日常服务内容及标准达到地面、扶手、门窗玻璃、门及门窗框，附体、会议室座椅、各类宣传牌、橱窗及有关附体，消防楼梯区域等，及时清除各种垃圾等杂物，无积灰、印迹、污渍，雨天做好防滑工作和各种提示语。</w:t>
      </w:r>
    </w:p>
    <w:p>
      <w:pPr>
        <w:numPr>
          <w:ilvl w:val="0"/>
          <w:numId w:val="22"/>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各楼层等特定区域保洁服务内容及标准达到：地面、墙面、门窗玻璃、门及门窗框、墙壁附体，公用设施表面及卫生间。楼道地面严格按要求清洁、垃圾的收集及日常消杀工作，定点巡视，并随时保持清洁。</w:t>
      </w:r>
    </w:p>
    <w:p>
      <w:pPr>
        <w:numPr>
          <w:ilvl w:val="0"/>
          <w:numId w:val="22"/>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不锈钢保洁达到标准：包括所有不锈钢制品、设施、设备，除有明确规定的保洁要求外，至少每二个月用不锈钢油保养一次。不锈钢表面无污渍、无灰尘。</w:t>
      </w:r>
    </w:p>
    <w:p>
      <w:pPr>
        <w:numPr>
          <w:ilvl w:val="0"/>
          <w:numId w:val="22"/>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垃圾</w:t>
      </w:r>
      <w:r>
        <w:rPr>
          <w:rFonts w:hint="eastAsia" w:ascii="宋体" w:hAnsi="宋体" w:eastAsia="宋体" w:cs="宋体"/>
          <w:color w:val="auto"/>
          <w:sz w:val="24"/>
          <w:szCs w:val="24"/>
          <w:lang w:val="en-US" w:eastAsia="zh-CN"/>
        </w:rPr>
        <w:t>分类及清运</w:t>
      </w:r>
      <w:r>
        <w:rPr>
          <w:rFonts w:hint="eastAsia" w:ascii="宋体" w:hAnsi="宋体" w:eastAsia="宋体" w:cs="宋体"/>
          <w:color w:val="auto"/>
          <w:sz w:val="24"/>
          <w:szCs w:val="24"/>
        </w:rPr>
        <w:t>：垃圾箱、筒的垃圾存量不超过上缘，每日清理二次，垃圾不在筒箱内过夜。垃圾中转站工具摆放整齐，垃圾存量不超过三分之二且做到日产日清，定期清洗，每周消毒一次，无明显积水，无蚊蝇飞舞。垃圾清运工具应保持清洁无破损，清运过程中不得产生二次污染。各类垃圾运到规定的地方</w:t>
      </w:r>
      <w:r>
        <w:rPr>
          <w:rFonts w:hint="eastAsia" w:ascii="宋体" w:hAnsi="宋体" w:eastAsia="宋体" w:cs="宋体"/>
          <w:color w:val="auto"/>
          <w:sz w:val="24"/>
          <w:szCs w:val="24"/>
          <w:lang w:val="en-US" w:eastAsia="zh-CN"/>
        </w:rPr>
        <w:t>待清运单位集中处置</w:t>
      </w:r>
      <w:r>
        <w:rPr>
          <w:rFonts w:hint="eastAsia" w:ascii="宋体" w:hAnsi="宋体" w:eastAsia="宋体" w:cs="宋体"/>
          <w:color w:val="auto"/>
          <w:sz w:val="24"/>
          <w:szCs w:val="24"/>
        </w:rPr>
        <w:t>，其中公共区域、卫生间无堆积垃圾。</w:t>
      </w:r>
    </w:p>
    <w:p>
      <w:pPr>
        <w:numPr>
          <w:ilvl w:val="0"/>
          <w:numId w:val="22"/>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图书馆玻璃墙内侧每年2次清洁，无灰尘、表面无污渍、保持明亮。</w:t>
      </w:r>
    </w:p>
    <w:p>
      <w:pPr>
        <w:spacing w:line="360" w:lineRule="auto"/>
        <w:ind w:left="42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具体标准如下：</w:t>
      </w:r>
    </w:p>
    <w:tbl>
      <w:tblPr>
        <w:tblStyle w:val="32"/>
        <w:tblpPr w:leftFromText="180" w:rightFromText="180" w:vertAnchor="text" w:horzAnchor="page" w:tblpX="1797" w:tblpY="399"/>
        <w:tblOverlap w:val="never"/>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4"/>
        <w:gridCol w:w="1533"/>
        <w:gridCol w:w="1918"/>
        <w:gridCol w:w="1917"/>
        <w:gridCol w:w="2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7" w:hRule="atLeast"/>
        </w:trPr>
        <w:tc>
          <w:tcPr>
            <w:tcW w:w="1534"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区域</w:t>
            </w: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项目</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工作内容</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标准</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保洁频率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楼层</w:t>
            </w: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楼梯及护栏</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除尘、清洁</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清洁无灰尘，不锈钢护栏光亮</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每日循环保洁、检查，发现污渍及时处理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标识牌（各类）</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除尘</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无积灰</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每日清抹一次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消防栓</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除尘</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无灰尘</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每周清抹一次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风口</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除尘</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无积灰</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每季度冲洗一次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垃圾箱</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清除垃圾、外表抹净</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无垃圾满溢，无拖挂</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每日及时清洗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门框</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除尘</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无灰尘、无手印、明亮</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循环保洁，每星期保洁一次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玻璃</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清洗</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无积灰、无划痕，明亮</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循环保洁，每年保洁两次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楼道装饰物</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除尘</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无灰尘</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每日清抹一次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楼层地面</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除尘、清洁</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地面光洁、无污渍</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随时打扫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楼层墙面、墙裙</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清洗、除尘</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无蜘蛛网、无悬挂、无积灰</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每月清洗一次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天花板、灯具</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清洗、除尘</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无蜘蛛网、无悬挂、无积灰</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每周清洗一次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楼内绿植</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擦抹</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常规管理</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定期浇水、无积尘，每周一次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洗手间</w:t>
            </w: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尿斗、坐厕、面盆</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除污垢（用中性药剂）除锈斑、消毒</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无污垢、无积垢、清洁</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随时保持畅通，无漏水，无污垢，垃圾袋定时更换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水龙头</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抹净</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无水锈、无污渍</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循环保洁，每天清洁一次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镜面</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抹净</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无水迹、无污渍、明亮</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循环保洁，每天清洁二次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地面</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清洗、消毒</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无垃圾、无水迹、无污渍</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循环保洁，每天清洁一次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墙面</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除尘</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无灰尘、无污渍</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循环保洁，每月整体清洁一次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门和门框</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除尘</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无灰尘、无污渍</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循环保洁，每天清洁一次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台面</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抹净</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无水迹、无污渍</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循环保洁，每日清洗一次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废物箱</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清除垃圾、外表清洁</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无垃圾满溢、无污渍</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每日及时清洗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扶手、栏杆</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除尘、抹净</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无灰尘</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循环保洁，随时清抹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楼梯</w:t>
            </w: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外露管道</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除尘</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无灰尘</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每星期清洁一次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地面</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清扫</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无垃圾、无杂物</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循环保洁，每天清洁一次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34" w:type="dxa"/>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外围</w:t>
            </w: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院内</w:t>
            </w:r>
            <w:r>
              <w:rPr>
                <w:rFonts w:hint="eastAsia" w:ascii="宋体" w:hAnsi="宋体" w:eastAsia="宋体" w:cs="宋体"/>
                <w:color w:val="auto"/>
                <w:sz w:val="24"/>
                <w:szCs w:val="24"/>
              </w:rPr>
              <w:t>地面</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清扫</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整洁干净、无白色垃圾</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循环保洁，每天清洁2次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铺装路面</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清扫</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整洁干净、无白色垃圾</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循环巡视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5" w:hRule="atLeast"/>
        </w:trPr>
        <w:tc>
          <w:tcPr>
            <w:tcW w:w="1534"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p>
        </w:tc>
        <w:tc>
          <w:tcPr>
            <w:tcW w:w="1533"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车棚栏杆</w:t>
            </w:r>
            <w:r>
              <w:rPr>
                <w:rFonts w:hint="eastAsia" w:ascii="宋体" w:hAnsi="宋体" w:eastAsia="宋体" w:cs="宋体"/>
                <w:color w:val="auto"/>
                <w:sz w:val="24"/>
                <w:szCs w:val="24"/>
              </w:rPr>
              <w:t>、旗杆、灯杆</w:t>
            </w:r>
          </w:p>
        </w:tc>
        <w:tc>
          <w:tcPr>
            <w:tcW w:w="1918"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除尘、抹净</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无灰尘、无污渍</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循环保洁，每天一次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5" w:hRule="atLeast"/>
        </w:trPr>
        <w:tc>
          <w:tcPr>
            <w:tcW w:w="1534"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3451"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图书馆领导交办的临时性任务</w:t>
            </w:r>
          </w:p>
        </w:tc>
        <w:tc>
          <w:tcPr>
            <w:tcW w:w="191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随时</w:t>
            </w:r>
          </w:p>
        </w:tc>
        <w:tc>
          <w:tcPr>
            <w:tcW w:w="20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按要求完成任务</w:t>
            </w:r>
          </w:p>
        </w:tc>
      </w:tr>
    </w:tbl>
    <w:p>
      <w:pPr>
        <w:pStyle w:val="10"/>
        <w:numPr>
          <w:ilvl w:val="0"/>
          <w:numId w:val="0"/>
        </w:numPr>
        <w:spacing w:before="156" w:beforeLines="50" w:after="156" w:afterLines="50"/>
        <w:ind w:firstLine="482" w:firstLineChars="20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七</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安保服务</w:t>
      </w:r>
      <w:r>
        <w:rPr>
          <w:rFonts w:hint="eastAsia" w:ascii="宋体" w:hAnsi="宋体" w:eastAsia="宋体" w:cs="宋体"/>
          <w:b/>
          <w:color w:val="auto"/>
          <w:sz w:val="24"/>
          <w:szCs w:val="24"/>
          <w:lang w:val="en-US" w:eastAsia="zh-CN"/>
        </w:rPr>
        <w:t>及秩序维护</w:t>
      </w:r>
    </w:p>
    <w:p>
      <w:pPr>
        <w:pStyle w:val="10"/>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乙方负责</w:t>
      </w:r>
      <w:r>
        <w:rPr>
          <w:rFonts w:hint="eastAsia" w:ascii="宋体" w:hAnsi="宋体" w:eastAsia="宋体" w:cs="宋体"/>
          <w:color w:val="auto"/>
          <w:sz w:val="24"/>
          <w:szCs w:val="24"/>
          <w:lang w:val="en-US" w:eastAsia="zh-CN"/>
        </w:rPr>
        <w:t>图书馆（总馆及少儿馆）</w:t>
      </w:r>
      <w:r>
        <w:rPr>
          <w:rFonts w:hint="eastAsia" w:ascii="宋体" w:hAnsi="宋体" w:eastAsia="宋体" w:cs="宋体"/>
          <w:color w:val="auto"/>
          <w:sz w:val="24"/>
          <w:szCs w:val="24"/>
        </w:rPr>
        <w:t>安保服务</w:t>
      </w:r>
      <w:r>
        <w:rPr>
          <w:rFonts w:hint="eastAsia" w:ascii="宋体" w:hAnsi="宋体" w:eastAsia="宋体" w:cs="宋体"/>
          <w:color w:val="auto"/>
          <w:sz w:val="24"/>
          <w:szCs w:val="24"/>
          <w:lang w:val="en-US" w:eastAsia="zh-CN"/>
        </w:rPr>
        <w:t>及文明秩序引导</w:t>
      </w:r>
      <w:r>
        <w:rPr>
          <w:rFonts w:hint="eastAsia" w:ascii="宋体" w:hAnsi="宋体" w:eastAsia="宋体" w:cs="宋体"/>
          <w:color w:val="auto"/>
          <w:sz w:val="24"/>
          <w:szCs w:val="24"/>
        </w:rPr>
        <w:t>，具体负责各出入口、微型消防站、公共区域日常安防、站岗巡逻、综合服务等职责。</w:t>
      </w:r>
    </w:p>
    <w:p>
      <w:pPr>
        <w:pStyle w:val="10"/>
        <w:numPr>
          <w:ilvl w:val="0"/>
          <w:numId w:val="0"/>
        </w:numPr>
        <w:ind w:left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1.保安人员</w:t>
      </w:r>
    </w:p>
    <w:p>
      <w:pPr>
        <w:pStyle w:val="10"/>
        <w:ind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工作职责：</w:t>
      </w:r>
      <w:r>
        <w:rPr>
          <w:rFonts w:hint="eastAsia" w:ascii="宋体" w:hAnsi="宋体" w:eastAsia="宋体" w:cs="宋体"/>
          <w:color w:val="auto"/>
          <w:sz w:val="24"/>
          <w:szCs w:val="24"/>
        </w:rPr>
        <w:t>负责具体安排及全面督导日常安全、综合服务工作，巡检现场安保服务情况，做好防电、防火、防盗、防破坏工作，防范和制止损害甲方安全的行为和事件发生，维护甲方的安全和秩序；及时处理甲方或服务方（客户）投诉，负责</w:t>
      </w:r>
      <w:r>
        <w:rPr>
          <w:rFonts w:hint="eastAsia" w:ascii="宋体" w:hAnsi="宋体" w:eastAsia="宋体" w:cs="宋体"/>
          <w:color w:val="auto"/>
          <w:sz w:val="24"/>
          <w:szCs w:val="24"/>
          <w:lang w:val="en-US" w:eastAsia="zh-CN"/>
        </w:rPr>
        <w:t>图书馆</w:t>
      </w:r>
      <w:r>
        <w:rPr>
          <w:rFonts w:hint="eastAsia" w:ascii="宋体" w:hAnsi="宋体" w:eastAsia="宋体" w:cs="宋体"/>
          <w:color w:val="auto"/>
          <w:sz w:val="24"/>
          <w:szCs w:val="24"/>
        </w:rPr>
        <w:t>的入馆流程；违禁检查；查验预约信息；政府各单位来访、各类检查的初步接待、大门内外的安全保障；突发应急事件的处置；门口安全检查；微型消防站；公共区域秩序维护；及时处理突发事件；极端天气应急处置、停车场出入管理、停车场秩序维护、停车场应急事件处置、及时处理车库车辆刮蹭事故等。并保持与甲方相关负责人的日常联系，以便于工作配合与协调。</w:t>
      </w:r>
    </w:p>
    <w:p>
      <w:pPr>
        <w:pStyle w:val="10"/>
        <w:numPr>
          <w:ilvl w:val="0"/>
          <w:numId w:val="0"/>
        </w:numPr>
        <w:ind w:firstLine="480" w:firstLineChars="200"/>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服务标准</w:t>
      </w:r>
      <w:r>
        <w:rPr>
          <w:rFonts w:hint="eastAsia" w:ascii="宋体" w:hAnsi="宋体" w:eastAsia="宋体" w:cs="宋体"/>
          <w:b w:val="0"/>
          <w:bCs w:val="0"/>
          <w:color w:val="auto"/>
          <w:sz w:val="24"/>
          <w:szCs w:val="24"/>
          <w:lang w:eastAsia="zh-CN"/>
        </w:rPr>
        <w:t>：</w:t>
      </w:r>
      <w:r>
        <w:rPr>
          <w:rFonts w:hint="eastAsia" w:ascii="宋体" w:hAnsi="宋体" w:eastAsia="宋体" w:cs="宋体"/>
          <w:color w:val="auto"/>
          <w:sz w:val="24"/>
          <w:szCs w:val="24"/>
        </w:rPr>
        <w:t xml:space="preserve"> 派驻</w:t>
      </w:r>
      <w:r>
        <w:rPr>
          <w:rFonts w:hint="eastAsia" w:ascii="宋体" w:hAnsi="宋体" w:eastAsia="宋体" w:cs="宋体"/>
          <w:color w:val="auto"/>
          <w:sz w:val="24"/>
          <w:szCs w:val="24"/>
          <w:lang w:val="en-US" w:eastAsia="zh-CN"/>
        </w:rPr>
        <w:t>保安员</w:t>
      </w:r>
      <w:r>
        <w:rPr>
          <w:rFonts w:hint="eastAsia" w:ascii="宋体" w:hAnsi="宋体" w:eastAsia="宋体" w:cs="宋体"/>
          <w:color w:val="auto"/>
          <w:sz w:val="24"/>
          <w:szCs w:val="24"/>
        </w:rPr>
        <w:t>需为经过北京市公安机关认可的经统一培训、持有《保安人员资格证》的保安员，保安进场第一时间建立档案并提交《保安人员资格证》； 保安人员应礼貌服务，落实防火、防盗、防爆炸、防破坏等治安防范措施，发现执勤区域内的治安隐患，立即报告甲方单位和公安机关等主管部门，并协助予以处置</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按规定时间进行上岗及换岗，进行相关工作记录。</w:t>
      </w:r>
    </w:p>
    <w:p>
      <w:pPr>
        <w:pStyle w:val="10"/>
        <w:ind w:left="0" w:leftChars="0"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color w:val="auto"/>
          <w:sz w:val="24"/>
          <w:szCs w:val="24"/>
          <w:lang w:val="en-US" w:eastAsia="zh-CN"/>
        </w:rPr>
        <w:t>2.</w:t>
      </w:r>
      <w:r>
        <w:rPr>
          <w:rFonts w:hint="eastAsia" w:ascii="宋体" w:hAnsi="宋体" w:eastAsia="宋体" w:cs="宋体"/>
          <w:b/>
          <w:bCs/>
          <w:color w:val="auto"/>
          <w:sz w:val="24"/>
          <w:szCs w:val="24"/>
          <w:lang w:val="en-US" w:eastAsia="zh-CN"/>
        </w:rPr>
        <w:t>秩序维护及文明引导</w:t>
      </w:r>
    </w:p>
    <w:p>
      <w:pPr>
        <w:pStyle w:val="10"/>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工作职责：图书馆（总馆及少儿馆）开放期间的文明秩序引导，制止读者在公共场所打闹、喧哗、饮食、吸烟、插队、（疫情流行期间）不正确佩戴口罩等不文明行为，以及非开放期间（夜间）安全巡查和值守。</w:t>
      </w:r>
    </w:p>
    <w:p>
      <w:pPr>
        <w:pStyle w:val="10"/>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（2）服务标准：具备较高的职业道德和职业素养，对不文明行为要有较高的敏感性和较好的策略性，服务热情主动、礼貌待人，文明执勤。</w:t>
      </w:r>
    </w:p>
    <w:p>
      <w:pPr>
        <w:pStyle w:val="10"/>
        <w:ind w:left="0" w:leftChars="0"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（八）应急处置工作</w:t>
      </w:r>
    </w:p>
    <w:p>
      <w:pPr>
        <w:pStyle w:val="10"/>
        <w:tabs>
          <w:tab w:val="left" w:pos="630"/>
        </w:tabs>
        <w:ind w:left="0" w:leftChars="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面对</w:t>
      </w:r>
      <w:r>
        <w:rPr>
          <w:rFonts w:hint="eastAsia" w:ascii="宋体" w:hAnsi="宋体" w:eastAsia="宋体" w:cs="宋体"/>
          <w:color w:val="auto"/>
          <w:sz w:val="24"/>
          <w:szCs w:val="24"/>
          <w:lang w:val="en-US" w:eastAsia="zh-CN"/>
        </w:rPr>
        <w:t>图书馆开放过程中及设备设施运行中</w:t>
      </w:r>
      <w:r>
        <w:rPr>
          <w:rFonts w:hint="eastAsia" w:ascii="宋体" w:hAnsi="宋体" w:eastAsia="宋体" w:cs="宋体"/>
          <w:color w:val="auto"/>
          <w:sz w:val="24"/>
          <w:szCs w:val="24"/>
        </w:rPr>
        <w:t>可能发生的各类</w:t>
      </w:r>
      <w:r>
        <w:rPr>
          <w:rFonts w:hint="eastAsia" w:ascii="宋体" w:hAnsi="宋体" w:eastAsia="宋体" w:cs="宋体"/>
          <w:color w:val="auto"/>
          <w:sz w:val="24"/>
          <w:szCs w:val="24"/>
          <w:lang w:val="en-US" w:eastAsia="zh-CN"/>
        </w:rPr>
        <w:t>突发紧急事件，</w:t>
      </w:r>
      <w:r>
        <w:rPr>
          <w:rFonts w:hint="eastAsia" w:ascii="宋体" w:hAnsi="宋体" w:eastAsia="宋体" w:cs="宋体"/>
          <w:color w:val="auto"/>
          <w:sz w:val="24"/>
          <w:szCs w:val="24"/>
        </w:rPr>
        <w:t>建立科学、完善、可行的《突发</w:t>
      </w:r>
      <w:r>
        <w:rPr>
          <w:rFonts w:hint="eastAsia" w:ascii="宋体" w:hAnsi="宋体" w:eastAsia="宋体" w:cs="宋体"/>
          <w:color w:val="auto"/>
          <w:sz w:val="24"/>
          <w:szCs w:val="24"/>
          <w:lang w:val="en-US" w:eastAsia="zh-CN"/>
        </w:rPr>
        <w:t>事件</w:t>
      </w:r>
      <w:r>
        <w:rPr>
          <w:rFonts w:hint="eastAsia" w:ascii="宋体" w:hAnsi="宋体" w:eastAsia="宋体" w:cs="宋体"/>
          <w:color w:val="auto"/>
          <w:sz w:val="24"/>
          <w:szCs w:val="24"/>
        </w:rPr>
        <w:t>应急处理预案》</w:t>
      </w:r>
      <w:r>
        <w:rPr>
          <w:rFonts w:hint="eastAsia" w:ascii="宋体" w:hAnsi="宋体" w:eastAsia="宋体" w:cs="宋体"/>
          <w:color w:val="auto"/>
          <w:sz w:val="24"/>
          <w:szCs w:val="24"/>
          <w:lang w:val="en-US" w:eastAsia="zh-CN"/>
        </w:rPr>
        <w:t>和应急处置流程图，关键环节责任到人</w:t>
      </w:r>
      <w:r>
        <w:rPr>
          <w:rFonts w:hint="eastAsia" w:ascii="宋体" w:hAnsi="宋体" w:eastAsia="宋体" w:cs="宋体"/>
          <w:color w:val="auto"/>
          <w:sz w:val="24"/>
          <w:szCs w:val="24"/>
          <w:lang w:eastAsia="zh-CN"/>
        </w:rPr>
        <w:t>。</w:t>
      </w:r>
    </w:p>
    <w:p>
      <w:pPr>
        <w:pStyle w:val="10"/>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 针对《突发</w:t>
      </w:r>
      <w:r>
        <w:rPr>
          <w:rFonts w:hint="eastAsia" w:ascii="宋体" w:hAnsi="宋体" w:eastAsia="宋体" w:cs="宋体"/>
          <w:color w:val="auto"/>
          <w:sz w:val="24"/>
          <w:szCs w:val="24"/>
          <w:lang w:val="en-US" w:eastAsia="zh-CN"/>
        </w:rPr>
        <w:t>事件</w:t>
      </w:r>
      <w:r>
        <w:rPr>
          <w:rFonts w:hint="eastAsia" w:ascii="宋体" w:hAnsi="宋体" w:eastAsia="宋体" w:cs="宋体"/>
          <w:color w:val="auto"/>
          <w:sz w:val="24"/>
          <w:szCs w:val="24"/>
        </w:rPr>
        <w:t>应急处理预案》制定相应的培训、演练计划，使所有的在岗员工都能够熟悉预案内容，培训后应留有相应的培训记录；</w:t>
      </w:r>
    </w:p>
    <w:p>
      <w:pPr>
        <w:numPr>
          <w:ilvl w:val="0"/>
          <w:numId w:val="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建立事故报告制度，对于已发生的事故应在24小时内提供书面的《事故报告》，报告内容应包括：</w:t>
      </w:r>
      <w:r>
        <w:rPr>
          <w:rFonts w:hint="eastAsia" w:ascii="宋体" w:hAnsi="宋体" w:eastAsia="宋体" w:cs="宋体"/>
          <w:color w:val="auto"/>
          <w:sz w:val="24"/>
          <w:szCs w:val="24"/>
          <w:lang w:val="en-US" w:eastAsia="zh-CN"/>
        </w:rPr>
        <w:t>事件</w:t>
      </w:r>
      <w:r>
        <w:rPr>
          <w:rFonts w:hint="eastAsia" w:ascii="宋体" w:hAnsi="宋体" w:eastAsia="宋体" w:cs="宋体"/>
          <w:color w:val="auto"/>
          <w:sz w:val="24"/>
          <w:szCs w:val="24"/>
        </w:rPr>
        <w:t>经过、采取措施、 原因分析、整改措施、整改完成日期等。</w:t>
      </w:r>
    </w:p>
    <w:p>
      <w:pPr>
        <w:pStyle w:val="10"/>
        <w:numPr>
          <w:ilvl w:val="0"/>
          <w:numId w:val="0"/>
        </w:numPr>
        <w:spacing w:before="156" w:beforeLines="50" w:after="156" w:afterLines="50"/>
        <w:ind w:firstLine="482" w:firstLineChars="200"/>
        <w:outlineLvl w:val="1"/>
        <w:rPr>
          <w:rFonts w:hint="eastAsia" w:ascii="宋体" w:eastAsia="宋体" w:cs="宋体"/>
          <w:b/>
          <w:color w:val="auto"/>
          <w:sz w:val="24"/>
          <w:szCs w:val="24"/>
          <w:lang w:val="en-US" w:eastAsia="zh-CN"/>
        </w:rPr>
      </w:pPr>
      <w:r>
        <w:rPr>
          <w:rFonts w:hint="eastAsia" w:ascii="宋体" w:eastAsia="宋体" w:cs="宋体"/>
          <w:b/>
          <w:color w:val="auto"/>
          <w:sz w:val="24"/>
          <w:szCs w:val="24"/>
          <w:lang w:val="en-US" w:eastAsia="zh-CN"/>
        </w:rPr>
        <w:t>四、付款方式</w:t>
      </w:r>
    </w:p>
    <w:p>
      <w:pPr>
        <w:keepNext w:val="0"/>
        <w:keepLines w:val="0"/>
        <w:pageBreakBefore w:val="0"/>
        <w:widowControl w:val="0"/>
        <w:numPr>
          <w:ilvl w:val="0"/>
          <w:numId w:val="0"/>
        </w:numPr>
        <w:kinsoku/>
        <w:wordWrap/>
        <w:overflowPunct/>
        <w:topLinePunct w:val="0"/>
        <w:autoSpaceDE/>
        <w:autoSpaceDN/>
        <w:bidi w:val="0"/>
        <w:adjustRightInd w:val="0"/>
        <w:snapToGrid/>
        <w:spacing w:line="520" w:lineRule="exact"/>
        <w:ind w:right="0" w:rightChars="0" w:firstLine="480" w:firstLineChars="200"/>
        <w:outlineLvl w:val="9"/>
        <w:rPr>
          <w:rFonts w:hint="eastAsia" w:ascii="宋体" w:hAnsi="宋体" w:eastAsia="宋体" w:cs="宋体"/>
          <w:sz w:val="24"/>
          <w:szCs w:val="24"/>
          <w:lang w:val="en-US" w:eastAsia="zh-CN"/>
        </w:rPr>
      </w:pPr>
      <w:r>
        <w:rPr>
          <w:rFonts w:hint="eastAsia" w:ascii="宋体" w:hAnsi="宋体" w:eastAsia="宋体" w:cs="宋体"/>
          <w:sz w:val="24"/>
          <w:szCs w:val="24"/>
        </w:rPr>
        <w:t>甲乙双方约定合同签订后</w:t>
      </w:r>
      <w:r>
        <w:rPr>
          <w:rFonts w:hint="eastAsia" w:ascii="宋体" w:hAnsi="宋体" w:eastAsia="宋体" w:cs="宋体"/>
          <w:sz w:val="24"/>
          <w:szCs w:val="24"/>
          <w:lang w:val="en-US" w:eastAsia="zh-CN"/>
        </w:rPr>
        <w:t>七个工作日内</w:t>
      </w:r>
      <w:r>
        <w:rPr>
          <w:rFonts w:hint="eastAsia" w:ascii="宋体" w:hAnsi="宋体" w:eastAsia="宋体" w:cs="宋体"/>
          <w:sz w:val="24"/>
          <w:szCs w:val="24"/>
        </w:rPr>
        <w:t>，</w:t>
      </w:r>
      <w:r>
        <w:rPr>
          <w:rFonts w:hint="eastAsia" w:ascii="宋体" w:hAnsi="宋体" w:eastAsia="宋体" w:cs="宋体"/>
          <w:sz w:val="24"/>
          <w:szCs w:val="24"/>
          <w:lang w:val="en-US" w:eastAsia="zh-CN"/>
        </w:rPr>
        <w:t>甲方支付首笔物业管理服务费（约占合同总额60%），20</w:t>
      </w:r>
      <w:r>
        <w:rPr>
          <w:rFonts w:hint="eastAsia" w:ascii="宋体" w:hAnsi="宋体" w:cs="宋体"/>
          <w:sz w:val="24"/>
          <w:szCs w:val="24"/>
          <w:lang w:val="en-US" w:eastAsia="zh-CN"/>
        </w:rPr>
        <w:t>25</w:t>
      </w:r>
      <w:r>
        <w:rPr>
          <w:rFonts w:hint="eastAsia" w:ascii="宋体" w:hAnsi="宋体" w:eastAsia="宋体" w:cs="宋体"/>
          <w:sz w:val="24"/>
          <w:szCs w:val="24"/>
          <w:lang w:val="en-US" w:eastAsia="zh-CN"/>
        </w:rPr>
        <w:t>年7月1日前，乙方支付约定费用总额的5%作为履约保证金，甲方支付乙方第二笔物业服务费（约占合同总额40%），待服务期满后，乙方服务符合本项目约定及甲方要求的，甲方于2026年1月15日前无息返还履约保证金。</w:t>
      </w:r>
    </w:p>
    <w:p>
      <w:pPr>
        <w:pStyle w:val="25"/>
        <w:ind w:left="0" w:leftChars="0" w:firstLine="482" w:firstLineChars="200"/>
        <w:rPr>
          <w:rFonts w:hint="eastAsia" w:ascii="宋体" w:hAnsi="宋体" w:cs="宋体"/>
          <w:b/>
          <w:bCs/>
          <w:color w:val="000000"/>
        </w:rPr>
      </w:pPr>
      <w:r>
        <w:rPr>
          <w:rFonts w:hint="eastAsia" w:ascii="宋体" w:hAnsi="宋体" w:cs="宋体"/>
          <w:b/>
          <w:bCs/>
          <w:color w:val="000000"/>
          <w:lang w:eastAsia="zh-CN"/>
        </w:rPr>
        <w:t>五</w:t>
      </w:r>
      <w:r>
        <w:rPr>
          <w:rFonts w:hint="eastAsia" w:ascii="宋体" w:hAnsi="宋体" w:cs="宋体"/>
          <w:b/>
          <w:bCs/>
          <w:color w:val="000000"/>
        </w:rPr>
        <w:t>、政策要求</w:t>
      </w:r>
    </w:p>
    <w:p>
      <w:pPr>
        <w:pStyle w:val="25"/>
        <w:ind w:left="480" w:leftChars="200" w:firstLine="0" w:firstLineChars="0"/>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1.</w:t>
      </w:r>
      <w:r>
        <w:rPr>
          <w:rFonts w:hint="eastAsia" w:ascii="宋体" w:hAnsi="宋体" w:cs="宋体"/>
          <w:color w:val="000000"/>
        </w:rPr>
        <w:t>中小企业、监狱企业及残疾人福利性单位</w:t>
      </w:r>
    </w:p>
    <w:p>
      <w:pPr>
        <w:pStyle w:val="2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中小企业定义：</w:t>
      </w:r>
    </w:p>
    <w:p>
      <w:pPr>
        <w:pStyle w:val="2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p>
    <w:p>
      <w:pPr>
        <w:pStyle w:val="25"/>
        <w:ind w:left="480" w:leftChars="200" w:firstLine="0" w:firstLineChars="0"/>
        <w:rPr>
          <w:rFonts w:hint="eastAsia" w:ascii="宋体" w:hAnsi="宋体" w:cs="宋体"/>
          <w:color w:val="000000"/>
        </w:rPr>
      </w:pPr>
      <w:r>
        <w:rPr>
          <w:rFonts w:hint="eastAsia" w:ascii="宋体" w:hAnsi="宋体" w:cs="宋体"/>
          <w:color w:val="000000"/>
        </w:rPr>
        <w:t>（工信部联企业〔2011〕300号）。</w:t>
      </w:r>
    </w:p>
    <w:p>
      <w:pPr>
        <w:pStyle w:val="25"/>
        <w:ind w:left="720" w:leftChars="3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25"/>
        <w:ind w:left="480" w:leftChars="200" w:firstLine="0" w:firstLineChars="0"/>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25"/>
        <w:ind w:left="480" w:leftChars="200" w:firstLine="0" w:firstLineChars="0"/>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25"/>
        <w:ind w:left="480" w:leftChars="200" w:firstLine="0" w:firstLineChars="0"/>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.2在政府采购活动中，监狱企业视同小型、微型企业，享受预留份额、评审中价格扣除等政府采购促进中小企业发展的政府采购政策。监狱企业定义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.3.1 安置的残疾人占本单位在职职工人数的比例不低于 25%（含 25%），并且安置的残疾人人数不少于 10人（含 10人）；</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.3.2 依法与安置的每位残疾人签订了一年以上（含一年）的劳动合同或服务协议；</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.3.3 为安置的每位残疾人按月足额缴纳了基本养老保险、基本医疗保险、失业保险、工伤保险和生育保险等社会保险费；</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.4 本项目是否专门面向中小企业预留采购份额见第一章《投标邀请》。</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.5 采购标的对应的中小企业划分标准所属行业见《投标人须知资料表》。</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.6 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p>
    <w:p>
      <w:pPr>
        <w:pStyle w:val="25"/>
        <w:numPr>
          <w:ilvl w:val="0"/>
          <w:numId w:val="0"/>
        </w:numPr>
        <w:ind w:leftChars="200"/>
        <w:rPr>
          <w:rFonts w:hint="eastAsia" w:ascii="宋体" w:hAnsi="宋体" w:cs="宋体"/>
          <w:color w:val="000000"/>
          <w:lang w:val="en-US" w:eastAsia="zh-CN"/>
        </w:rPr>
      </w:pPr>
      <w:r>
        <w:rPr>
          <w:rFonts w:hint="eastAsia" w:ascii="宋体" w:hAnsi="宋体" w:cs="宋体"/>
          <w:color w:val="000000"/>
          <w:lang w:val="en-US" w:eastAsia="zh-CN"/>
        </w:rPr>
        <w:t>2.本项目执行《北京市财政局中国人民银行营业管理部关于推进政府采购合同线上融资有关工作的通知》（京财采购[2023]637号）“政采贷”相关政策。</w:t>
      </w: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bookmarkEnd w:id="54"/>
    <w:bookmarkEnd w:id="55"/>
    <w:bookmarkEnd w:id="56"/>
    <w:p>
      <w:pPr>
        <w:pStyle w:val="49"/>
        <w:snapToGrid w:val="0"/>
        <w:spacing w:before="0" w:after="0"/>
        <w:ind w:left="0"/>
        <w:rPr>
          <w:rFonts w:ascii="宋体" w:hAnsi="宋体"/>
          <w:color w:val="auto"/>
        </w:rPr>
      </w:pPr>
      <w:r>
        <w:rPr>
          <w:rFonts w:hint="eastAsia" w:ascii="宋体" w:hAnsi="宋体"/>
          <w:color w:val="auto"/>
          <w:lang w:val="en-US" w:eastAsia="zh-CN"/>
        </w:rPr>
        <w:t xml:space="preserve"> </w:t>
      </w:r>
      <w:r>
        <w:rPr>
          <w:rFonts w:hint="eastAsia" w:ascii="宋体" w:hAnsi="宋体"/>
          <w:color w:val="auto"/>
        </w:rPr>
        <w:t>评标标准和评标方法</w:t>
      </w:r>
    </w:p>
    <w:p>
      <w:pPr>
        <w:pStyle w:val="25"/>
        <w:keepNext w:val="0"/>
        <w:keepLines w:val="0"/>
        <w:pageBreakBefore w:val="0"/>
        <w:widowControl/>
        <w:kinsoku/>
        <w:wordWrap/>
        <w:overflowPunct/>
        <w:topLinePunct w:val="0"/>
        <w:autoSpaceDE/>
        <w:autoSpaceDN/>
        <w:bidi w:val="0"/>
        <w:adjustRightInd w:val="0"/>
        <w:snapToGrid w:val="0"/>
        <w:spacing w:line="520" w:lineRule="exact"/>
        <w:ind w:left="0" w:leftChars="0" w:right="0" w:rightChars="0" w:firstLine="482" w:firstLineChars="200"/>
        <w:jc w:val="left"/>
        <w:textAlignment w:val="auto"/>
        <w:outlineLvl w:val="9"/>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5"/>
        <w:keepNext w:val="0"/>
        <w:keepLines w:val="0"/>
        <w:pageBreakBefore w:val="0"/>
        <w:widowControl/>
        <w:kinsoku/>
        <w:wordWrap/>
        <w:overflowPunct/>
        <w:topLinePunct w:val="0"/>
        <w:autoSpaceDE/>
        <w:autoSpaceDN/>
        <w:bidi w:val="0"/>
        <w:adjustRightInd w:val="0"/>
        <w:snapToGrid w:val="0"/>
        <w:spacing w:line="520" w:lineRule="exact"/>
        <w:ind w:left="0" w:leftChars="0" w:right="0" w:rightChars="0" w:firstLine="482" w:firstLineChars="200"/>
        <w:jc w:val="left"/>
        <w:textAlignment w:val="auto"/>
        <w:outlineLvl w:val="9"/>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5"/>
        <w:keepNext w:val="0"/>
        <w:keepLines w:val="0"/>
        <w:pageBreakBefore w:val="0"/>
        <w:widowControl/>
        <w:kinsoku/>
        <w:wordWrap/>
        <w:overflowPunct/>
        <w:topLinePunct w:val="0"/>
        <w:autoSpaceDE/>
        <w:autoSpaceDN/>
        <w:bidi w:val="0"/>
        <w:adjustRightInd w:val="0"/>
        <w:snapToGrid w:val="0"/>
        <w:spacing w:line="520" w:lineRule="exact"/>
        <w:ind w:left="0" w:leftChars="0" w:right="0" w:rightChars="0" w:firstLine="480" w:firstLineChars="200"/>
        <w:jc w:val="left"/>
        <w:textAlignment w:val="auto"/>
        <w:outlineLvl w:val="9"/>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5"/>
        <w:keepNext w:val="0"/>
        <w:keepLines w:val="0"/>
        <w:pageBreakBefore w:val="0"/>
        <w:widowControl/>
        <w:kinsoku/>
        <w:wordWrap/>
        <w:overflowPunct/>
        <w:topLinePunct w:val="0"/>
        <w:autoSpaceDE/>
        <w:autoSpaceDN/>
        <w:bidi w:val="0"/>
        <w:adjustRightInd w:val="0"/>
        <w:snapToGrid w:val="0"/>
        <w:spacing w:line="520" w:lineRule="exact"/>
        <w:ind w:left="0" w:leftChars="0" w:right="0" w:rightChars="0" w:firstLine="482" w:firstLineChars="200"/>
        <w:jc w:val="left"/>
        <w:textAlignment w:val="auto"/>
        <w:outlineLvl w:val="9"/>
        <w:rPr>
          <w:rFonts w:hint="eastAsia" w:ascii="宋体" w:hAnsi="宋体" w:cs="仿宋"/>
          <w:b/>
          <w:color w:val="auto"/>
        </w:rPr>
      </w:pPr>
      <w:r>
        <w:rPr>
          <w:rFonts w:hint="eastAsia" w:ascii="宋体" w:hAnsi="宋体" w:cs="仿宋"/>
          <w:b/>
          <w:color w:val="auto"/>
        </w:rPr>
        <w:t>附表1</w:t>
      </w:r>
    </w:p>
    <w:tbl>
      <w:tblPr>
        <w:tblStyle w:val="32"/>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w:t>
            </w:r>
            <w:r>
              <w:rPr>
                <w:rFonts w:hint="eastAsia" w:ascii="宋体" w:hAnsi="宋体" w:cs="宋体"/>
                <w:color w:val="auto"/>
                <w:kern w:val="0"/>
                <w:sz w:val="24"/>
                <w:szCs w:val="24"/>
                <w:lang w:eastAsia="zh-CN" w:bidi="ar"/>
              </w:rPr>
              <w:t>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5</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eastAsia="宋体" w:cs="宋体"/>
                <w:bCs/>
                <w:color w:val="auto"/>
                <w:kern w:val="0"/>
                <w:sz w:val="24"/>
                <w:szCs w:val="24"/>
                <w:lang w:eastAsia="zh-CN" w:bidi="ar"/>
              </w:rPr>
            </w:pPr>
            <w:r>
              <w:rPr>
                <w:rFonts w:hint="eastAsia" w:ascii="宋体" w:hAnsi="宋体" w:cs="宋体"/>
                <w:bCs/>
                <w:color w:val="auto"/>
                <w:kern w:val="0"/>
                <w:sz w:val="24"/>
                <w:szCs w:val="24"/>
                <w:lang w:eastAsia="zh-CN" w:bidi="ar"/>
              </w:rPr>
              <w:t>企业类型</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本项目为专门面向小微企业采购</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5"/>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2"/>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23"/>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tbl>
      <w:tblPr>
        <w:tblStyle w:val="32"/>
        <w:tblW w:w="93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
        <w:gridCol w:w="1241"/>
        <w:gridCol w:w="1896"/>
        <w:gridCol w:w="845"/>
        <w:gridCol w:w="4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Align w:val="center"/>
          </w:tcPr>
          <w:p>
            <w:pPr>
              <w:widowControl/>
              <w:spacing w:line="276" w:lineRule="auto"/>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241" w:type="dxa"/>
            <w:vAlign w:val="center"/>
          </w:tcPr>
          <w:p>
            <w:pPr>
              <w:widowControl/>
              <w:spacing w:line="276" w:lineRule="auto"/>
              <w:jc w:val="center"/>
              <w:rPr>
                <w:rFonts w:hint="eastAsia" w:ascii="宋体" w:hAnsi="宋体" w:eastAsia="宋体" w:cs="宋体"/>
                <w:b/>
                <w:bCs/>
                <w:sz w:val="24"/>
                <w:szCs w:val="24"/>
              </w:rPr>
            </w:pPr>
            <w:r>
              <w:rPr>
                <w:rFonts w:hint="eastAsia" w:ascii="宋体" w:hAnsi="宋体" w:eastAsia="宋体" w:cs="宋体"/>
                <w:b/>
                <w:bCs/>
                <w:sz w:val="24"/>
                <w:szCs w:val="24"/>
              </w:rPr>
              <w:t>评分因素</w:t>
            </w:r>
          </w:p>
        </w:tc>
        <w:tc>
          <w:tcPr>
            <w:tcW w:w="7592" w:type="dxa"/>
            <w:gridSpan w:val="3"/>
            <w:vAlign w:val="center"/>
          </w:tcPr>
          <w:p>
            <w:pPr>
              <w:widowControl/>
              <w:spacing w:line="276" w:lineRule="auto"/>
              <w:jc w:val="center"/>
              <w:rPr>
                <w:rFonts w:hint="eastAsia" w:ascii="宋体" w:hAnsi="宋体" w:eastAsia="宋体" w:cs="宋体"/>
                <w:b/>
                <w:bCs/>
                <w:sz w:val="24"/>
                <w:szCs w:val="24"/>
              </w:rPr>
            </w:pPr>
            <w:r>
              <w:rPr>
                <w:rFonts w:hint="eastAsia" w:ascii="宋体" w:hAnsi="宋体" w:eastAsia="宋体" w:cs="宋体"/>
                <w:b/>
                <w:bCs/>
                <w:sz w:val="24"/>
                <w:szCs w:val="24"/>
              </w:rPr>
              <w:t>评价指标和分值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Align w:val="center"/>
          </w:tcPr>
          <w:p>
            <w:pPr>
              <w:widowControl/>
              <w:spacing w:line="276" w:lineRule="auto"/>
              <w:jc w:val="center"/>
              <w:rPr>
                <w:rFonts w:hint="eastAsia" w:ascii="宋体" w:hAnsi="宋体" w:eastAsia="宋体" w:cs="宋体"/>
                <w:b/>
                <w:bCs/>
                <w:sz w:val="24"/>
                <w:szCs w:val="24"/>
              </w:rPr>
            </w:pPr>
            <w:r>
              <w:rPr>
                <w:rFonts w:hint="eastAsia" w:ascii="宋体" w:hAnsi="宋体" w:eastAsia="宋体" w:cs="宋体"/>
                <w:b w:val="0"/>
                <w:bCs w:val="0"/>
                <w:sz w:val="24"/>
                <w:szCs w:val="24"/>
              </w:rPr>
              <w:t>1</w:t>
            </w:r>
          </w:p>
        </w:tc>
        <w:tc>
          <w:tcPr>
            <w:tcW w:w="1241" w:type="dxa"/>
            <w:vAlign w:val="center"/>
          </w:tcPr>
          <w:p>
            <w:pPr>
              <w:widowControl/>
              <w:spacing w:line="276" w:lineRule="auto"/>
              <w:jc w:val="center"/>
              <w:rPr>
                <w:rFonts w:hint="eastAsia" w:ascii="宋体" w:hAnsi="宋体" w:eastAsia="宋体" w:cs="宋体"/>
                <w:b/>
                <w:bCs/>
                <w:sz w:val="24"/>
                <w:szCs w:val="24"/>
              </w:rPr>
            </w:pPr>
            <w:r>
              <w:rPr>
                <w:rFonts w:hint="eastAsia" w:ascii="宋体" w:hAnsi="宋体" w:eastAsia="宋体" w:cs="宋体"/>
                <w:sz w:val="24"/>
                <w:szCs w:val="24"/>
              </w:rPr>
              <w:t>投标报价（10分）</w:t>
            </w:r>
          </w:p>
        </w:tc>
        <w:tc>
          <w:tcPr>
            <w:tcW w:w="7592" w:type="dxa"/>
            <w:gridSpan w:val="3"/>
            <w:vAlign w:val="center"/>
          </w:tcPr>
          <w:p>
            <w:pPr>
              <w:pStyle w:val="9"/>
              <w:rPr>
                <w:rFonts w:hint="eastAsia" w:ascii="宋体" w:hAnsi="宋体" w:eastAsia="宋体" w:cs="宋体"/>
                <w:sz w:val="24"/>
                <w:szCs w:val="24"/>
              </w:rPr>
            </w:pPr>
            <w:r>
              <w:rPr>
                <w:rFonts w:hint="eastAsia" w:ascii="宋体" w:hAnsi="宋体" w:eastAsia="宋体" w:cs="宋体"/>
                <w:sz w:val="24"/>
                <w:szCs w:val="24"/>
              </w:rPr>
              <w:t>各投标人的价格得分：（评标基准价/评标价）×价格权重（10%）×100</w:t>
            </w:r>
          </w:p>
          <w:p>
            <w:pPr>
              <w:pStyle w:val="9"/>
              <w:rPr>
                <w:rFonts w:hint="eastAsia" w:ascii="宋体" w:hAnsi="宋体" w:eastAsia="宋体" w:cs="宋体"/>
                <w:sz w:val="24"/>
                <w:szCs w:val="24"/>
              </w:rPr>
            </w:pPr>
            <w:r>
              <w:rPr>
                <w:rFonts w:hint="eastAsia" w:ascii="宋体" w:hAnsi="宋体" w:eastAsia="宋体" w:cs="宋体"/>
                <w:sz w:val="24"/>
                <w:szCs w:val="24"/>
              </w:rPr>
              <w:t>（注：1.实质性响应招标文件要求且最低评标价为评标基准价</w:t>
            </w:r>
          </w:p>
          <w:p>
            <w:pPr>
              <w:pStyle w:val="9"/>
              <w:rPr>
                <w:rFonts w:hint="eastAsia" w:ascii="宋体" w:hAnsi="宋体" w:eastAsia="宋体" w:cs="宋体"/>
                <w:sz w:val="24"/>
                <w:szCs w:val="24"/>
              </w:rPr>
            </w:pPr>
            <w:r>
              <w:rPr>
                <w:rFonts w:hint="eastAsia" w:ascii="宋体" w:hAnsi="宋体" w:eastAsia="宋体" w:cs="宋体"/>
                <w:sz w:val="24"/>
                <w:szCs w:val="24"/>
              </w:rPr>
              <w:t>2.投标人报价低于成本的除外。）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2" w:hRule="atLeast"/>
          <w:jc w:val="center"/>
        </w:trPr>
        <w:tc>
          <w:tcPr>
            <w:tcW w:w="553" w:type="dxa"/>
            <w:vMerge w:val="restart"/>
            <w:vAlign w:val="center"/>
          </w:tcPr>
          <w:p>
            <w:pPr>
              <w:widowControl/>
              <w:spacing w:line="34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1241" w:type="dxa"/>
            <w:vMerge w:val="restart"/>
            <w:vAlign w:val="center"/>
          </w:tcPr>
          <w:p>
            <w:pPr>
              <w:widowControl/>
              <w:spacing w:line="340" w:lineRule="exact"/>
              <w:jc w:val="center"/>
              <w:rPr>
                <w:rFonts w:hint="eastAsia" w:ascii="宋体" w:hAnsi="宋体" w:eastAsia="宋体" w:cs="宋体"/>
                <w:sz w:val="24"/>
                <w:szCs w:val="24"/>
              </w:rPr>
            </w:pPr>
            <w:r>
              <w:rPr>
                <w:rFonts w:hint="eastAsia" w:ascii="宋体" w:hAnsi="宋体" w:eastAsia="宋体" w:cs="宋体"/>
                <w:sz w:val="24"/>
                <w:szCs w:val="24"/>
              </w:rPr>
              <w:t>服务方案（</w:t>
            </w:r>
            <w:r>
              <w:rPr>
                <w:rFonts w:hint="eastAsia" w:ascii="宋体" w:hAnsi="宋体" w:eastAsia="宋体" w:cs="宋体"/>
                <w:sz w:val="24"/>
                <w:szCs w:val="24"/>
                <w:lang w:val="en-US" w:eastAsia="zh-CN"/>
              </w:rPr>
              <w:t>65</w:t>
            </w:r>
            <w:r>
              <w:rPr>
                <w:rFonts w:hint="eastAsia" w:ascii="宋体" w:hAnsi="宋体" w:eastAsia="宋体" w:cs="宋体"/>
                <w:sz w:val="24"/>
                <w:szCs w:val="24"/>
              </w:rPr>
              <w:t>分）</w:t>
            </w:r>
          </w:p>
        </w:tc>
        <w:tc>
          <w:tcPr>
            <w:tcW w:w="1896" w:type="dxa"/>
            <w:vAlign w:val="center"/>
          </w:tcPr>
          <w:p>
            <w:pPr>
              <w:spacing w:line="340" w:lineRule="exact"/>
              <w:jc w:val="center"/>
              <w:rPr>
                <w:rFonts w:hint="eastAsia" w:ascii="宋体" w:hAnsi="宋体" w:eastAsia="宋体" w:cs="宋体"/>
                <w:sz w:val="24"/>
                <w:szCs w:val="24"/>
              </w:rPr>
            </w:pPr>
            <w:r>
              <w:rPr>
                <w:rFonts w:hint="eastAsia" w:ascii="宋体" w:hAnsi="宋体" w:eastAsia="宋体" w:cs="宋体"/>
                <w:position w:val="-1"/>
                <w:sz w:val="24"/>
                <w:szCs w:val="24"/>
              </w:rPr>
              <w:t>项目服务特点、难点分析及相应措施</w:t>
            </w:r>
          </w:p>
        </w:tc>
        <w:tc>
          <w:tcPr>
            <w:tcW w:w="845" w:type="dxa"/>
            <w:vAlign w:val="center"/>
          </w:tcPr>
          <w:p>
            <w:pPr>
              <w:spacing w:line="34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分</w:t>
            </w:r>
          </w:p>
        </w:tc>
        <w:tc>
          <w:tcPr>
            <w:tcW w:w="4851" w:type="dxa"/>
            <w:vAlign w:val="center"/>
          </w:tcPr>
          <w:p>
            <w:pPr>
              <w:spacing w:line="340" w:lineRule="exact"/>
              <w:rPr>
                <w:rFonts w:hint="eastAsia" w:ascii="宋体" w:hAnsi="宋体" w:eastAsia="宋体" w:cs="宋体"/>
                <w:sz w:val="24"/>
                <w:szCs w:val="24"/>
              </w:rPr>
            </w:pPr>
            <w:r>
              <w:rPr>
                <w:rFonts w:hint="eastAsia" w:ascii="宋体" w:hAnsi="宋体" w:eastAsia="宋体" w:cs="宋体"/>
                <w:color w:val="000000"/>
                <w:sz w:val="24"/>
                <w:szCs w:val="24"/>
                <w:highlight w:val="none"/>
              </w:rPr>
              <w:t>针对本项目的服务特点、难点分析及相应措施。服务特点、难点定位准确、分析合理、全面得</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分，较好</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分，一般4分，较差或无得0分。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15" w:hRule="atLeast"/>
          <w:jc w:val="center"/>
        </w:trPr>
        <w:tc>
          <w:tcPr>
            <w:tcW w:w="553" w:type="dxa"/>
            <w:vMerge w:val="continue"/>
            <w:vAlign w:val="center"/>
          </w:tcPr>
          <w:p>
            <w:pPr>
              <w:widowControl/>
              <w:spacing w:line="340" w:lineRule="exact"/>
              <w:rPr>
                <w:rFonts w:hint="eastAsia" w:ascii="宋体" w:hAnsi="宋体" w:eastAsia="宋体" w:cs="宋体"/>
                <w:sz w:val="24"/>
                <w:szCs w:val="24"/>
              </w:rPr>
            </w:pPr>
          </w:p>
        </w:tc>
        <w:tc>
          <w:tcPr>
            <w:tcW w:w="1241" w:type="dxa"/>
            <w:vMerge w:val="continue"/>
            <w:vAlign w:val="center"/>
          </w:tcPr>
          <w:p>
            <w:pPr>
              <w:spacing w:line="340" w:lineRule="exact"/>
              <w:rPr>
                <w:rFonts w:hint="eastAsia" w:ascii="宋体" w:hAnsi="宋体" w:eastAsia="宋体" w:cs="宋体"/>
                <w:sz w:val="24"/>
                <w:szCs w:val="24"/>
              </w:rPr>
            </w:pPr>
          </w:p>
        </w:tc>
        <w:tc>
          <w:tcPr>
            <w:tcW w:w="1896" w:type="dxa"/>
            <w:vAlign w:val="center"/>
          </w:tcPr>
          <w:p>
            <w:pPr>
              <w:widowControl/>
              <w:spacing w:line="340" w:lineRule="exact"/>
              <w:jc w:val="center"/>
              <w:rPr>
                <w:rFonts w:hint="eastAsia" w:ascii="宋体" w:hAnsi="宋体" w:eastAsia="宋体" w:cs="宋体"/>
                <w:position w:val="-1"/>
                <w:sz w:val="24"/>
                <w:szCs w:val="24"/>
              </w:rPr>
            </w:pPr>
            <w:r>
              <w:rPr>
                <w:rFonts w:hint="eastAsia" w:ascii="宋体" w:hAnsi="宋体" w:eastAsia="宋体" w:cs="宋体"/>
                <w:sz w:val="24"/>
                <w:szCs w:val="24"/>
              </w:rPr>
              <w:t>针对本项目的重点工作方案</w:t>
            </w:r>
          </w:p>
        </w:tc>
        <w:tc>
          <w:tcPr>
            <w:tcW w:w="845" w:type="dxa"/>
            <w:vMerge w:val="restart"/>
            <w:vAlign w:val="center"/>
          </w:tcPr>
          <w:p>
            <w:pPr>
              <w:widowControl/>
              <w:spacing w:line="34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分</w:t>
            </w:r>
          </w:p>
        </w:tc>
        <w:tc>
          <w:tcPr>
            <w:tcW w:w="4851" w:type="dxa"/>
            <w:vAlign w:val="top"/>
          </w:tcPr>
          <w:p>
            <w:pP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人员招收及稳定性措施：提交人员招收、招聘来源情况及人员稳定性保障措施得</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val="en-US" w:eastAsia="zh-CN"/>
              </w:rPr>
              <w:t>仅</w:t>
            </w:r>
            <w:r>
              <w:rPr>
                <w:rFonts w:hint="eastAsia" w:ascii="宋体" w:hAnsi="宋体" w:eastAsia="宋体" w:cs="宋体"/>
                <w:color w:val="000000"/>
                <w:sz w:val="24"/>
                <w:szCs w:val="24"/>
                <w:highlight w:val="none"/>
              </w:rPr>
              <w:t>提供有关协议或合作证明得1分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不提交不得分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p>
          <w:p>
            <w:pP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项目整体服务策划：项目的管理模式及运作方法科学、适用得</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分，一般得1分；较差或无得0分。</w:t>
            </w:r>
          </w:p>
          <w:p>
            <w:pP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对本项目的接管</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进驻</w:t>
            </w:r>
            <w:r>
              <w:rPr>
                <w:rFonts w:hint="eastAsia" w:ascii="宋体" w:hAnsi="宋体" w:eastAsia="宋体" w:cs="宋体"/>
                <w:color w:val="000000"/>
                <w:sz w:val="24"/>
                <w:szCs w:val="24"/>
                <w:highlight w:val="none"/>
              </w:rPr>
              <w:t>方案：针对本项目提出接管</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进驻</w:t>
            </w:r>
            <w:r>
              <w:rPr>
                <w:rFonts w:hint="eastAsia" w:ascii="宋体" w:hAnsi="宋体" w:eastAsia="宋体" w:cs="宋体"/>
                <w:color w:val="000000"/>
                <w:sz w:val="24"/>
                <w:szCs w:val="24"/>
                <w:highlight w:val="none"/>
              </w:rPr>
              <w:t>方案，科学、合理得</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分；一般得1分；较差或无得0分。</w:t>
            </w:r>
          </w:p>
          <w:p>
            <w:pPr>
              <w:spacing w:line="340" w:lineRule="exact"/>
              <w:rPr>
                <w:rFonts w:hint="eastAsia" w:ascii="宋体" w:hAnsi="宋体" w:eastAsia="宋体" w:cs="宋体"/>
                <w:sz w:val="24"/>
                <w:szCs w:val="24"/>
              </w:rPr>
            </w:pPr>
            <w:r>
              <w:rPr>
                <w:rFonts w:hint="eastAsia" w:ascii="宋体" w:hAnsi="宋体" w:eastAsia="宋体" w:cs="宋体"/>
                <w:color w:val="000000"/>
                <w:sz w:val="24"/>
                <w:szCs w:val="24"/>
                <w:highlight w:val="none"/>
              </w:rPr>
              <w:t>4</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投入本项目的物资装备：投入本项目的物资装备科学合理，符合要求3分，一般1分，较差0分</w:t>
            </w:r>
            <w:r>
              <w:rPr>
                <w:rFonts w:hint="eastAsia" w:ascii="宋体" w:hAnsi="宋体" w:eastAsia="宋体" w:cs="宋体"/>
                <w:kern w:val="2"/>
                <w:sz w:val="24"/>
                <w:szCs w:val="24"/>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jc w:val="center"/>
        </w:trPr>
        <w:tc>
          <w:tcPr>
            <w:tcW w:w="553" w:type="dxa"/>
            <w:vMerge w:val="continue"/>
            <w:vAlign w:val="center"/>
          </w:tcPr>
          <w:p>
            <w:pPr>
              <w:widowControl/>
              <w:spacing w:line="340" w:lineRule="exact"/>
              <w:rPr>
                <w:rFonts w:hint="eastAsia" w:ascii="宋体" w:hAnsi="宋体" w:eastAsia="宋体" w:cs="宋体"/>
                <w:sz w:val="24"/>
                <w:szCs w:val="24"/>
              </w:rPr>
            </w:pPr>
          </w:p>
        </w:tc>
        <w:tc>
          <w:tcPr>
            <w:tcW w:w="1241" w:type="dxa"/>
            <w:vMerge w:val="continue"/>
            <w:vAlign w:val="center"/>
          </w:tcPr>
          <w:p>
            <w:pPr>
              <w:spacing w:line="340" w:lineRule="exact"/>
              <w:rPr>
                <w:rFonts w:hint="eastAsia" w:ascii="宋体" w:hAnsi="宋体" w:eastAsia="宋体" w:cs="宋体"/>
                <w:sz w:val="24"/>
                <w:szCs w:val="24"/>
              </w:rPr>
            </w:pPr>
          </w:p>
        </w:tc>
        <w:tc>
          <w:tcPr>
            <w:tcW w:w="1896" w:type="dxa"/>
            <w:vAlign w:val="center"/>
          </w:tcPr>
          <w:p>
            <w:pPr>
              <w:widowControl/>
              <w:spacing w:line="340" w:lineRule="exact"/>
              <w:jc w:val="center"/>
              <w:rPr>
                <w:rFonts w:hint="eastAsia" w:ascii="宋体" w:hAnsi="宋体" w:eastAsia="宋体" w:cs="宋体"/>
                <w:sz w:val="24"/>
                <w:szCs w:val="24"/>
              </w:rPr>
            </w:pPr>
            <w:r>
              <w:rPr>
                <w:rFonts w:hint="eastAsia" w:ascii="宋体" w:hAnsi="宋体" w:eastAsia="宋体" w:cs="宋体"/>
                <w:position w:val="-1"/>
                <w:sz w:val="24"/>
                <w:szCs w:val="24"/>
              </w:rPr>
              <w:t>日常服务方案</w:t>
            </w:r>
          </w:p>
        </w:tc>
        <w:tc>
          <w:tcPr>
            <w:tcW w:w="845" w:type="dxa"/>
            <w:vAlign w:val="center"/>
          </w:tcPr>
          <w:p>
            <w:pPr>
              <w:widowControl/>
              <w:spacing w:line="34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30</w:t>
            </w:r>
            <w:r>
              <w:rPr>
                <w:rFonts w:hint="eastAsia" w:ascii="宋体" w:hAnsi="宋体" w:eastAsia="宋体" w:cs="宋体"/>
                <w:sz w:val="24"/>
                <w:szCs w:val="24"/>
              </w:rPr>
              <w:t>分</w:t>
            </w:r>
          </w:p>
        </w:tc>
        <w:tc>
          <w:tcPr>
            <w:tcW w:w="4851" w:type="dxa"/>
            <w:vAlign w:val="center"/>
          </w:tcPr>
          <w:p>
            <w:pPr>
              <w:numPr>
                <w:ilvl w:val="0"/>
                <w:numId w:val="0"/>
              </w:numPr>
              <w:jc w:val="left"/>
              <w:rPr>
                <w:rFonts w:hint="eastAsia" w:ascii="宋体" w:hAnsi="宋体" w:eastAsia="宋体" w:cs="宋体"/>
                <w:sz w:val="24"/>
                <w:szCs w:val="24"/>
              </w:rPr>
            </w:pPr>
            <w:r>
              <w:rPr>
                <w:rFonts w:hint="eastAsia" w:ascii="宋体" w:hAnsi="宋体" w:eastAsia="宋体" w:cs="宋体"/>
                <w:sz w:val="24"/>
                <w:szCs w:val="24"/>
                <w:lang w:val="en-US" w:eastAsia="zh-CN"/>
              </w:rPr>
              <w:t>1.针对本项目的工作计划合理、可执行性强</w:t>
            </w:r>
            <w:r>
              <w:rPr>
                <w:rFonts w:hint="eastAsia" w:ascii="宋体" w:hAnsi="宋体" w:eastAsia="宋体" w:cs="宋体"/>
                <w:sz w:val="24"/>
                <w:szCs w:val="24"/>
              </w:rPr>
              <w:t>，完全满足或优于招标方需求得5分，基本满足招标方需求得3分，不满足招标方需求得0分；</w:t>
            </w:r>
          </w:p>
          <w:p>
            <w:pPr>
              <w:pStyle w:val="34"/>
              <w:numPr>
                <w:ilvl w:val="0"/>
                <w:numId w:val="0"/>
              </w:numP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2.消防安全管理方案合理，完全满足或优于招标方需求得5分，基本满足招标方需求得3分，不满足招标方需求得0分；</w:t>
            </w:r>
          </w:p>
          <w:p>
            <w:pPr>
              <w:pStyle w:val="34"/>
              <w:numPr>
                <w:ilvl w:val="0"/>
                <w:numId w:val="0"/>
              </w:numP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3.设备设施（包括但不限于供电、给排水、暖通等）管理方案合理，完全满足或优于招标方需求得5分，基本满足招标方需求得3分，不满足招标方需求得0分；</w:t>
            </w:r>
          </w:p>
          <w:p>
            <w:pPr>
              <w:pStyle w:val="34"/>
              <w:numPr>
                <w:ilvl w:val="0"/>
                <w:numId w:val="0"/>
              </w:numPr>
              <w:rPr>
                <w:rFonts w:hint="eastAsia" w:ascii="宋体" w:hAnsi="宋体" w:eastAsia="宋体" w:cs="宋体"/>
                <w:b w:val="0"/>
                <w:bCs w:val="0"/>
                <w:kern w:val="2"/>
                <w:sz w:val="24"/>
                <w:szCs w:val="24"/>
                <w:lang w:val="en-US" w:eastAsia="zh-CN" w:bidi="ar-SA"/>
              </w:rPr>
            </w:pPr>
            <w:r>
              <w:rPr>
                <w:rFonts w:hint="eastAsia" w:ascii="宋体" w:hAnsi="宋体" w:eastAsia="宋体" w:cs="宋体"/>
                <w:kern w:val="2"/>
                <w:sz w:val="24"/>
                <w:szCs w:val="24"/>
                <w:lang w:val="en-US" w:eastAsia="zh-CN" w:bidi="ar-SA"/>
              </w:rPr>
              <w:t>4.重点区域安保方案、服务方案科学合理，完全满足或优于招标方需求得5分，基本满足招标方需求得</w:t>
            </w:r>
            <w:r>
              <w:rPr>
                <w:rFonts w:hint="eastAsia" w:ascii="宋体" w:hAnsi="宋体" w:eastAsia="宋体" w:cs="宋体"/>
                <w:b w:val="0"/>
                <w:bCs w:val="0"/>
                <w:kern w:val="2"/>
                <w:sz w:val="24"/>
                <w:szCs w:val="24"/>
                <w:lang w:val="en-US" w:eastAsia="zh-CN" w:bidi="ar-SA"/>
              </w:rPr>
              <w:t>3分，不满足招标方需求得0分；</w:t>
            </w:r>
          </w:p>
          <w:p>
            <w:pPr>
              <w:pStyle w:val="34"/>
              <w:numPr>
                <w:ilvl w:val="0"/>
                <w:numId w:val="0"/>
              </w:numP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5.重点岗位人员保障方案科学合理，完全满足或优于招标方需求得5分，基本满足招标方需求得3分，不满足招标方需求得0分；</w:t>
            </w:r>
          </w:p>
          <w:p>
            <w:pPr>
              <w:pStyle w:val="34"/>
              <w:numPr>
                <w:ilvl w:val="0"/>
                <w:numId w:val="0"/>
              </w:numPr>
              <w:rPr>
                <w:rFonts w:hint="eastAsia" w:ascii="宋体" w:hAnsi="宋体" w:eastAsia="宋体" w:cs="宋体"/>
                <w:sz w:val="24"/>
                <w:szCs w:val="24"/>
              </w:rPr>
            </w:pPr>
            <w:r>
              <w:rPr>
                <w:rFonts w:hint="eastAsia" w:ascii="宋体" w:hAnsi="宋体" w:eastAsia="宋体" w:cs="宋体"/>
                <w:b w:val="0"/>
                <w:bCs w:val="0"/>
                <w:kern w:val="2"/>
                <w:sz w:val="24"/>
                <w:szCs w:val="24"/>
                <w:lang w:val="en-US" w:eastAsia="zh-CN" w:bidi="ar-SA"/>
              </w:rPr>
              <w:t>6.环境卫生服务方案科学合理，完全满足或优于招标方需求得5分，基本满足招标方需求得3分，不满足招标方需求得0分。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0" w:hRule="atLeast"/>
          <w:jc w:val="center"/>
        </w:trPr>
        <w:tc>
          <w:tcPr>
            <w:tcW w:w="553" w:type="dxa"/>
            <w:vMerge w:val="continue"/>
            <w:vAlign w:val="center"/>
          </w:tcPr>
          <w:p>
            <w:pPr>
              <w:widowControl/>
              <w:spacing w:line="340" w:lineRule="exact"/>
              <w:rPr>
                <w:rFonts w:hint="eastAsia" w:ascii="宋体" w:hAnsi="宋体" w:eastAsia="宋体" w:cs="宋体"/>
                <w:sz w:val="24"/>
                <w:szCs w:val="24"/>
              </w:rPr>
            </w:pPr>
          </w:p>
        </w:tc>
        <w:tc>
          <w:tcPr>
            <w:tcW w:w="1241" w:type="dxa"/>
            <w:vMerge w:val="continue"/>
            <w:vAlign w:val="center"/>
          </w:tcPr>
          <w:p>
            <w:pPr>
              <w:spacing w:line="340" w:lineRule="exact"/>
              <w:rPr>
                <w:rFonts w:hint="eastAsia" w:ascii="宋体" w:hAnsi="宋体" w:eastAsia="宋体" w:cs="宋体"/>
                <w:sz w:val="24"/>
                <w:szCs w:val="24"/>
              </w:rPr>
            </w:pPr>
          </w:p>
        </w:tc>
        <w:tc>
          <w:tcPr>
            <w:tcW w:w="1896" w:type="dxa"/>
            <w:vAlign w:val="center"/>
          </w:tcPr>
          <w:p>
            <w:pPr>
              <w:widowControl/>
              <w:spacing w:line="340" w:lineRule="exact"/>
              <w:jc w:val="center"/>
              <w:rPr>
                <w:rFonts w:hint="eastAsia" w:ascii="宋体" w:hAnsi="宋体" w:eastAsia="宋体" w:cs="宋体"/>
                <w:sz w:val="24"/>
                <w:szCs w:val="24"/>
              </w:rPr>
            </w:pPr>
            <w:r>
              <w:rPr>
                <w:rFonts w:hint="eastAsia" w:ascii="宋体" w:hAnsi="宋体" w:eastAsia="宋体" w:cs="宋体"/>
                <w:sz w:val="24"/>
                <w:szCs w:val="24"/>
              </w:rPr>
              <w:t>日常管理制度</w:t>
            </w:r>
          </w:p>
        </w:tc>
        <w:tc>
          <w:tcPr>
            <w:tcW w:w="845" w:type="dxa"/>
            <w:vMerge w:val="restart"/>
            <w:vAlign w:val="center"/>
          </w:tcPr>
          <w:p>
            <w:pPr>
              <w:widowControl/>
              <w:spacing w:line="34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分</w:t>
            </w:r>
          </w:p>
        </w:tc>
        <w:tc>
          <w:tcPr>
            <w:tcW w:w="4851" w:type="dxa"/>
            <w:vAlign w:val="center"/>
          </w:tcPr>
          <w:p>
            <w:pPr>
              <w:widowControl/>
              <w:spacing w:line="340" w:lineRule="exact"/>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1.日常人员考核、培训和管理制度：针对本项目的人员日常考核、培训和管理制度科学合理，完全满足或优于招标方需求得5分，基本满足招标方需求得3分，不满足招标方需求得0分。</w:t>
            </w:r>
          </w:p>
          <w:p>
            <w:pPr>
              <w:widowControl/>
              <w:spacing w:line="340" w:lineRule="exact"/>
              <w:rPr>
                <w:rFonts w:hint="eastAsia" w:ascii="宋体" w:hAnsi="宋体" w:eastAsia="宋体" w:cs="宋体"/>
                <w:sz w:val="24"/>
                <w:szCs w:val="24"/>
              </w:rPr>
            </w:pPr>
            <w:r>
              <w:rPr>
                <w:rFonts w:hint="eastAsia" w:ascii="宋体" w:hAnsi="宋体" w:eastAsia="宋体" w:cs="宋体"/>
                <w:b w:val="0"/>
                <w:bCs w:val="0"/>
                <w:kern w:val="2"/>
                <w:sz w:val="24"/>
                <w:szCs w:val="24"/>
                <w:lang w:val="en-US" w:eastAsia="zh-CN" w:bidi="ar-SA"/>
              </w:rPr>
              <w:t>2.日常管理和服务保障制度：针对本项目的日常管理制度和服务保障制度科学合理，完全满足或优于招标方需求得5分，基本满足招标方需求得3分，不满足招标方需求得0分。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Merge w:val="continue"/>
            <w:vAlign w:val="center"/>
          </w:tcPr>
          <w:p>
            <w:pPr>
              <w:widowControl/>
              <w:spacing w:line="340" w:lineRule="exact"/>
              <w:rPr>
                <w:rFonts w:hint="eastAsia" w:ascii="宋体" w:hAnsi="宋体" w:eastAsia="宋体" w:cs="宋体"/>
                <w:sz w:val="24"/>
                <w:szCs w:val="24"/>
              </w:rPr>
            </w:pPr>
          </w:p>
        </w:tc>
        <w:tc>
          <w:tcPr>
            <w:tcW w:w="1241" w:type="dxa"/>
            <w:vMerge w:val="continue"/>
            <w:vAlign w:val="center"/>
          </w:tcPr>
          <w:p>
            <w:pPr>
              <w:spacing w:line="340" w:lineRule="exact"/>
              <w:rPr>
                <w:rFonts w:hint="eastAsia" w:ascii="宋体" w:hAnsi="宋体" w:eastAsia="宋体" w:cs="宋体"/>
                <w:sz w:val="24"/>
                <w:szCs w:val="24"/>
              </w:rPr>
            </w:pPr>
          </w:p>
        </w:tc>
        <w:tc>
          <w:tcPr>
            <w:tcW w:w="1896" w:type="dxa"/>
            <w:vAlign w:val="center"/>
          </w:tcPr>
          <w:p>
            <w:pPr>
              <w:widowControl/>
              <w:spacing w:line="340" w:lineRule="exact"/>
              <w:jc w:val="center"/>
              <w:rPr>
                <w:rFonts w:hint="eastAsia" w:ascii="宋体" w:hAnsi="宋体" w:eastAsia="宋体" w:cs="宋体"/>
                <w:sz w:val="24"/>
                <w:szCs w:val="24"/>
              </w:rPr>
            </w:pPr>
            <w:r>
              <w:rPr>
                <w:rFonts w:hint="eastAsia" w:ascii="宋体" w:hAnsi="宋体" w:eastAsia="宋体" w:cs="宋体"/>
                <w:sz w:val="24"/>
                <w:szCs w:val="24"/>
              </w:rPr>
              <w:t>应急预案</w:t>
            </w:r>
          </w:p>
        </w:tc>
        <w:tc>
          <w:tcPr>
            <w:tcW w:w="845" w:type="dxa"/>
            <w:vAlign w:val="center"/>
          </w:tcPr>
          <w:p>
            <w:pPr>
              <w:widowControl/>
              <w:spacing w:line="340" w:lineRule="exact"/>
              <w:jc w:val="center"/>
              <w:rPr>
                <w:rFonts w:hint="eastAsia" w:ascii="宋体" w:hAnsi="宋体" w:eastAsia="宋体" w:cs="宋体"/>
                <w:sz w:val="24"/>
                <w:szCs w:val="24"/>
              </w:rPr>
            </w:pPr>
            <w:r>
              <w:rPr>
                <w:rFonts w:hint="eastAsia" w:ascii="宋体" w:hAnsi="宋体" w:eastAsia="宋体" w:cs="宋体"/>
                <w:sz w:val="24"/>
                <w:szCs w:val="24"/>
              </w:rPr>
              <w:t>3分</w:t>
            </w:r>
          </w:p>
        </w:tc>
        <w:tc>
          <w:tcPr>
            <w:tcW w:w="4851" w:type="dxa"/>
            <w:vAlign w:val="center"/>
          </w:tcPr>
          <w:p>
            <w:pPr>
              <w:widowControl/>
              <w:spacing w:line="340" w:lineRule="exact"/>
              <w:rPr>
                <w:rFonts w:hint="eastAsia" w:ascii="宋体" w:hAnsi="宋体" w:eastAsia="宋体" w:cs="宋体"/>
                <w:sz w:val="24"/>
                <w:szCs w:val="24"/>
              </w:rPr>
            </w:pPr>
            <w:r>
              <w:rPr>
                <w:rFonts w:hint="eastAsia" w:ascii="宋体" w:hAnsi="宋体" w:eastAsia="宋体" w:cs="宋体"/>
                <w:color w:val="000000"/>
                <w:sz w:val="24"/>
                <w:szCs w:val="24"/>
                <w:highlight w:val="none"/>
              </w:rPr>
              <w:t>应急预案科学合理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可执行性强得</w:t>
            </w:r>
            <w:r>
              <w:rPr>
                <w:rFonts w:hint="eastAsia" w:ascii="宋体" w:hAnsi="宋体" w:eastAsia="宋体" w:cs="宋体"/>
                <w:color w:val="000000"/>
                <w:sz w:val="24"/>
                <w:szCs w:val="24"/>
                <w:highlight w:val="none"/>
              </w:rPr>
              <w:t>3分，一般</w:t>
            </w:r>
            <w:r>
              <w:rPr>
                <w:rFonts w:hint="eastAsia" w:ascii="宋体" w:hAnsi="宋体" w:eastAsia="宋体" w:cs="宋体"/>
                <w:color w:val="000000"/>
                <w:sz w:val="24"/>
                <w:szCs w:val="24"/>
                <w:highlight w:val="none"/>
                <w:lang w:val="en-US" w:eastAsia="zh-CN"/>
              </w:rPr>
              <w:t>得1</w:t>
            </w:r>
            <w:r>
              <w:rPr>
                <w:rFonts w:hint="eastAsia" w:ascii="宋体" w:hAnsi="宋体" w:eastAsia="宋体" w:cs="宋体"/>
                <w:color w:val="000000"/>
                <w:sz w:val="24"/>
                <w:szCs w:val="24"/>
                <w:highlight w:val="none"/>
              </w:rPr>
              <w:t>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3" w:hRule="atLeast"/>
          <w:jc w:val="center"/>
        </w:trPr>
        <w:tc>
          <w:tcPr>
            <w:tcW w:w="553" w:type="dxa"/>
            <w:vMerge w:val="restart"/>
            <w:vAlign w:val="center"/>
          </w:tcPr>
          <w:p>
            <w:pPr>
              <w:widowControl/>
              <w:spacing w:line="340" w:lineRule="exact"/>
              <w:rPr>
                <w:rFonts w:hint="eastAsia" w:ascii="宋体" w:hAnsi="宋体" w:eastAsia="宋体" w:cs="宋体"/>
                <w:sz w:val="24"/>
                <w:szCs w:val="24"/>
              </w:rPr>
            </w:pPr>
            <w:r>
              <w:rPr>
                <w:rFonts w:hint="eastAsia" w:ascii="宋体" w:hAnsi="宋体" w:eastAsia="宋体" w:cs="宋体"/>
                <w:sz w:val="24"/>
                <w:szCs w:val="24"/>
              </w:rPr>
              <w:t>3</w:t>
            </w:r>
          </w:p>
        </w:tc>
        <w:tc>
          <w:tcPr>
            <w:tcW w:w="1241" w:type="dxa"/>
            <w:vMerge w:val="restart"/>
            <w:vAlign w:val="center"/>
          </w:tcPr>
          <w:p>
            <w:pPr>
              <w:spacing w:line="340" w:lineRule="exact"/>
              <w:rPr>
                <w:rFonts w:hint="eastAsia" w:ascii="宋体" w:hAnsi="宋体" w:eastAsia="宋体" w:cs="宋体"/>
                <w:sz w:val="24"/>
                <w:szCs w:val="24"/>
              </w:rPr>
            </w:pPr>
            <w:r>
              <w:rPr>
                <w:rFonts w:hint="eastAsia" w:ascii="宋体" w:hAnsi="宋体" w:eastAsia="宋体" w:cs="宋体"/>
                <w:sz w:val="24"/>
                <w:szCs w:val="24"/>
              </w:rPr>
              <w:t>服务团队</w:t>
            </w:r>
          </w:p>
          <w:p>
            <w:pPr>
              <w:spacing w:line="340" w:lineRule="exac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cs="宋体"/>
                <w:sz w:val="24"/>
                <w:szCs w:val="24"/>
                <w:lang w:val="en-US" w:eastAsia="zh-CN"/>
              </w:rPr>
              <w:t>5</w:t>
            </w:r>
            <w:r>
              <w:rPr>
                <w:rFonts w:hint="eastAsia" w:ascii="宋体" w:hAnsi="宋体" w:eastAsia="宋体" w:cs="宋体"/>
                <w:sz w:val="24"/>
                <w:szCs w:val="24"/>
              </w:rPr>
              <w:t>分）</w:t>
            </w:r>
          </w:p>
        </w:tc>
        <w:tc>
          <w:tcPr>
            <w:tcW w:w="1896" w:type="dxa"/>
            <w:vAlign w:val="center"/>
          </w:tcPr>
          <w:p>
            <w:pPr>
              <w:jc w:val="left"/>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组织</w:t>
            </w:r>
            <w:bookmarkStart w:id="63" w:name="_GoBack"/>
            <w:bookmarkEnd w:id="63"/>
            <w:r>
              <w:rPr>
                <w:rFonts w:hint="eastAsia" w:ascii="宋体" w:hAnsi="宋体" w:eastAsia="宋体" w:cs="宋体"/>
                <w:color w:val="000000"/>
                <w:sz w:val="24"/>
                <w:szCs w:val="24"/>
                <w:highlight w:val="none"/>
                <w:lang w:val="en-US" w:eastAsia="zh-CN"/>
              </w:rPr>
              <w:t>机构及</w:t>
            </w:r>
            <w:r>
              <w:rPr>
                <w:rFonts w:hint="eastAsia" w:ascii="宋体" w:hAnsi="宋体" w:eastAsia="宋体" w:cs="宋体"/>
                <w:color w:val="000000"/>
                <w:sz w:val="24"/>
                <w:szCs w:val="24"/>
                <w:highlight w:val="none"/>
              </w:rPr>
              <w:t>人员配置</w:t>
            </w:r>
          </w:p>
        </w:tc>
        <w:tc>
          <w:tcPr>
            <w:tcW w:w="845" w:type="dxa"/>
            <w:vAlign w:val="center"/>
          </w:tcPr>
          <w:p>
            <w:pPr>
              <w:widowControl/>
              <w:spacing w:line="34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分</w:t>
            </w:r>
          </w:p>
        </w:tc>
        <w:tc>
          <w:tcPr>
            <w:tcW w:w="4851" w:type="dxa"/>
            <w:vAlign w:val="center"/>
          </w:tcPr>
          <w:p>
            <w:pPr>
              <w:numPr>
                <w:ilvl w:val="0"/>
                <w:numId w:val="0"/>
              </w:numPr>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有健全的项目组织机构</w:t>
            </w:r>
            <w:r>
              <w:rPr>
                <w:rFonts w:hint="eastAsia" w:ascii="宋体" w:hAnsi="宋体" w:eastAsia="宋体" w:cs="宋体"/>
                <w:sz w:val="24"/>
                <w:szCs w:val="24"/>
                <w:lang w:eastAsia="zh-CN"/>
              </w:rPr>
              <w:t>：</w:t>
            </w:r>
            <w:r>
              <w:rPr>
                <w:rFonts w:hint="eastAsia" w:ascii="宋体" w:hAnsi="宋体" w:eastAsia="宋体" w:cs="宋体"/>
                <w:sz w:val="24"/>
                <w:szCs w:val="24"/>
              </w:rPr>
              <w:t>人员岗位安排能够完全满足管理服务需求，人员选派标准及管理措施符合需求得</w:t>
            </w:r>
            <w:r>
              <w:rPr>
                <w:rFonts w:hint="eastAsia" w:ascii="宋体" w:hAnsi="宋体" w:eastAsia="宋体" w:cs="宋体"/>
                <w:sz w:val="24"/>
                <w:szCs w:val="24"/>
                <w:lang w:val="en-US" w:eastAsia="zh-CN"/>
              </w:rPr>
              <w:t>3</w:t>
            </w:r>
            <w:r>
              <w:rPr>
                <w:rFonts w:hint="eastAsia" w:ascii="宋体" w:hAnsi="宋体" w:eastAsia="宋体" w:cs="宋体"/>
                <w:sz w:val="24"/>
                <w:szCs w:val="24"/>
              </w:rPr>
              <w:t>分，一般得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较差得0分</w:t>
            </w:r>
            <w:r>
              <w:rPr>
                <w:rFonts w:hint="eastAsia" w:ascii="宋体" w:hAnsi="宋体" w:eastAsia="宋体" w:cs="宋体"/>
                <w:sz w:val="24"/>
                <w:szCs w:val="24"/>
              </w:rPr>
              <w:t>。</w:t>
            </w:r>
          </w:p>
          <w:p>
            <w:pPr>
              <w:numPr>
                <w:ilvl w:val="0"/>
                <w:numId w:val="0"/>
              </w:numPr>
              <w:jc w:val="left"/>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2.人员配备：人员配备合理，分工明确，得3分，一般得1分，较差得0分。</w:t>
            </w:r>
          </w:p>
          <w:p>
            <w:pPr>
              <w:numPr>
                <w:ilvl w:val="0"/>
                <w:numId w:val="0"/>
              </w:numPr>
              <w:jc w:val="left"/>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3.高、低压电工，中控员、保安员，需持有经过认可的资格证书，符合得4分，缺一项减1分，扣完为止。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1" w:hRule="atLeast"/>
          <w:jc w:val="center"/>
        </w:trPr>
        <w:tc>
          <w:tcPr>
            <w:tcW w:w="553" w:type="dxa"/>
            <w:vMerge w:val="continue"/>
            <w:vAlign w:val="center"/>
          </w:tcPr>
          <w:p>
            <w:pPr>
              <w:widowControl/>
              <w:spacing w:line="340" w:lineRule="exact"/>
              <w:rPr>
                <w:rFonts w:hint="eastAsia" w:ascii="宋体" w:hAnsi="宋体" w:eastAsia="宋体" w:cs="宋体"/>
                <w:sz w:val="24"/>
                <w:szCs w:val="24"/>
              </w:rPr>
            </w:pPr>
          </w:p>
        </w:tc>
        <w:tc>
          <w:tcPr>
            <w:tcW w:w="1241" w:type="dxa"/>
            <w:vMerge w:val="continue"/>
            <w:vAlign w:val="center"/>
          </w:tcPr>
          <w:p>
            <w:pPr>
              <w:spacing w:line="340" w:lineRule="exact"/>
              <w:rPr>
                <w:rFonts w:hint="eastAsia" w:ascii="宋体" w:hAnsi="宋体" w:eastAsia="宋体" w:cs="宋体"/>
                <w:sz w:val="24"/>
                <w:szCs w:val="24"/>
              </w:rPr>
            </w:pPr>
          </w:p>
        </w:tc>
        <w:tc>
          <w:tcPr>
            <w:tcW w:w="1896" w:type="dxa"/>
            <w:vAlign w:val="center"/>
          </w:tcPr>
          <w:p>
            <w:pPr>
              <w:jc w:val="left"/>
              <w:rPr>
                <w:rFonts w:hint="eastAsia" w:ascii="宋体" w:hAnsi="宋体" w:eastAsia="宋体" w:cs="宋体"/>
                <w:sz w:val="24"/>
                <w:szCs w:val="24"/>
              </w:rPr>
            </w:pPr>
            <w:r>
              <w:rPr>
                <w:rFonts w:hint="eastAsia" w:ascii="宋体" w:hAnsi="宋体" w:eastAsia="宋体" w:cs="宋体"/>
                <w:sz w:val="24"/>
                <w:szCs w:val="24"/>
                <w:lang w:val="en-US" w:eastAsia="zh-CN"/>
              </w:rPr>
              <w:t>项目经理</w:t>
            </w:r>
          </w:p>
        </w:tc>
        <w:tc>
          <w:tcPr>
            <w:tcW w:w="845" w:type="dxa"/>
            <w:vAlign w:val="center"/>
          </w:tcPr>
          <w:p>
            <w:pPr>
              <w:widowControl/>
              <w:spacing w:line="34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分</w:t>
            </w:r>
          </w:p>
        </w:tc>
        <w:tc>
          <w:tcPr>
            <w:tcW w:w="4851" w:type="dxa"/>
            <w:vAlign w:val="center"/>
          </w:tcPr>
          <w:p>
            <w:pPr>
              <w:widowControl/>
              <w:spacing w:line="340" w:lineRule="exact"/>
              <w:rPr>
                <w:rFonts w:hint="eastAsia" w:ascii="宋体" w:hAnsi="宋体" w:eastAsia="宋体" w:cs="宋体"/>
                <w:sz w:val="24"/>
                <w:szCs w:val="24"/>
              </w:rPr>
            </w:pPr>
            <w:r>
              <w:rPr>
                <w:rFonts w:hint="eastAsia" w:ascii="宋体" w:hAnsi="宋体" w:eastAsia="宋体" w:cs="宋体"/>
                <w:bCs/>
                <w:sz w:val="24"/>
                <w:szCs w:val="24"/>
              </w:rPr>
              <w:t>项目经理</w:t>
            </w:r>
            <w:r>
              <w:rPr>
                <w:rFonts w:hint="eastAsia" w:ascii="宋体" w:hAnsi="宋体" w:eastAsia="宋体" w:cs="宋体"/>
                <w:sz w:val="24"/>
                <w:szCs w:val="24"/>
              </w:rPr>
              <w:t>：</w:t>
            </w:r>
          </w:p>
          <w:p>
            <w:pPr>
              <w:widowControl/>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rPr>
              <w:t>具有</w:t>
            </w:r>
            <w:r>
              <w:rPr>
                <w:rFonts w:hint="eastAsia" w:ascii="宋体" w:hAnsi="宋体" w:eastAsia="宋体" w:cs="宋体"/>
                <w:sz w:val="24"/>
                <w:szCs w:val="24"/>
                <w:lang w:val="en-US" w:eastAsia="zh-CN"/>
              </w:rPr>
              <w:t>专</w:t>
            </w:r>
            <w:r>
              <w:rPr>
                <w:rFonts w:hint="eastAsia" w:ascii="宋体" w:hAnsi="宋体" w:eastAsia="宋体" w:cs="宋体"/>
                <w:sz w:val="24"/>
                <w:szCs w:val="24"/>
              </w:rPr>
              <w:t>科（含）以上学历的得2分；</w:t>
            </w:r>
          </w:p>
          <w:p>
            <w:pPr>
              <w:widowControl/>
              <w:spacing w:line="340" w:lineRule="exact"/>
              <w:rPr>
                <w:rFonts w:hint="eastAsia" w:ascii="宋体" w:hAnsi="宋体" w:eastAsia="宋体" w:cs="宋体"/>
                <w:sz w:val="24"/>
                <w:szCs w:val="24"/>
              </w:rPr>
            </w:pPr>
            <w:r>
              <w:rPr>
                <w:rFonts w:hint="eastAsia" w:ascii="宋体" w:hAnsi="宋体" w:eastAsia="宋体" w:cs="宋体"/>
                <w:sz w:val="24"/>
                <w:szCs w:val="24"/>
              </w:rPr>
              <w:t>具有类似项目3年及以上管理经验的得</w:t>
            </w:r>
            <w:r>
              <w:rPr>
                <w:rFonts w:hint="eastAsia" w:ascii="宋体" w:hAnsi="宋体" w:eastAsia="宋体" w:cs="宋体"/>
                <w:sz w:val="24"/>
                <w:szCs w:val="24"/>
                <w:lang w:val="en-US" w:eastAsia="zh-CN"/>
              </w:rPr>
              <w:t>3</w:t>
            </w:r>
            <w:r>
              <w:rPr>
                <w:rFonts w:hint="eastAsia" w:ascii="宋体" w:hAnsi="宋体" w:eastAsia="宋体" w:cs="宋体"/>
                <w:sz w:val="24"/>
                <w:szCs w:val="24"/>
              </w:rPr>
              <w:t>分，3年以</w:t>
            </w:r>
            <w:r>
              <w:rPr>
                <w:rFonts w:hint="eastAsia" w:ascii="宋体" w:hAnsi="宋体" w:eastAsia="宋体" w:cs="宋体"/>
                <w:sz w:val="24"/>
                <w:szCs w:val="24"/>
                <w:lang w:val="en-US" w:eastAsia="zh-CN"/>
              </w:rPr>
              <w:t>下</w:t>
            </w:r>
            <w:r>
              <w:rPr>
                <w:rFonts w:hint="eastAsia" w:ascii="宋体" w:hAnsi="宋体" w:eastAsia="宋体" w:cs="宋体"/>
                <w:sz w:val="24"/>
                <w:szCs w:val="24"/>
              </w:rPr>
              <w:t>管理经验的得1分，须提供相应证明材料。</w:t>
            </w:r>
          </w:p>
          <w:p>
            <w:pPr>
              <w:jc w:val="left"/>
              <w:rPr>
                <w:rFonts w:hint="eastAsia" w:ascii="宋体" w:hAnsi="宋体" w:eastAsia="宋体" w:cs="宋体"/>
                <w:sz w:val="24"/>
                <w:szCs w:val="24"/>
              </w:rPr>
            </w:pPr>
            <w:r>
              <w:rPr>
                <w:rFonts w:hint="eastAsia" w:ascii="宋体" w:hAnsi="宋体" w:eastAsia="宋体" w:cs="宋体"/>
                <w:sz w:val="24"/>
                <w:szCs w:val="24"/>
              </w:rPr>
              <w:t>注：需提供项目经理开标前连续12个月</w:t>
            </w:r>
            <w:r>
              <w:rPr>
                <w:rFonts w:hint="eastAsia" w:ascii="宋体" w:hAnsi="宋体" w:eastAsia="宋体" w:cs="宋体"/>
                <w:sz w:val="24"/>
                <w:szCs w:val="24"/>
                <w:lang w:val="en-US" w:eastAsia="zh-CN"/>
              </w:rPr>
              <w:t>缴纳</w:t>
            </w:r>
            <w:r>
              <w:rPr>
                <w:rFonts w:hint="eastAsia" w:ascii="宋体" w:hAnsi="宋体" w:eastAsia="宋体" w:cs="宋体"/>
                <w:sz w:val="24"/>
                <w:szCs w:val="24"/>
              </w:rPr>
              <w:t>社保的证明材料，否则该项不得分。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Merge w:val="restart"/>
            <w:vAlign w:val="center"/>
          </w:tcPr>
          <w:p>
            <w:pPr>
              <w:widowControl/>
              <w:spacing w:line="34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1241" w:type="dxa"/>
            <w:vMerge w:val="restart"/>
            <w:vAlign w:val="center"/>
          </w:tcPr>
          <w:p>
            <w:pPr>
              <w:widowControl/>
              <w:spacing w:line="340" w:lineRule="exact"/>
              <w:jc w:val="center"/>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lang w:eastAsia="zh-CN"/>
              </w:rPr>
              <w:t>履约能力</w:t>
            </w:r>
          </w:p>
          <w:p>
            <w:pPr>
              <w:widowControl/>
              <w:spacing w:line="340" w:lineRule="exact"/>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10</w:t>
            </w:r>
            <w:r>
              <w:rPr>
                <w:rFonts w:hint="eastAsia" w:ascii="宋体" w:hAnsi="宋体" w:eastAsia="宋体" w:cs="宋体"/>
                <w:sz w:val="24"/>
                <w:szCs w:val="24"/>
              </w:rPr>
              <w:t>分）</w:t>
            </w:r>
          </w:p>
        </w:tc>
        <w:tc>
          <w:tcPr>
            <w:tcW w:w="1896" w:type="dxa"/>
            <w:vAlign w:val="center"/>
          </w:tcPr>
          <w:p>
            <w:pPr>
              <w:widowControl/>
              <w:spacing w:line="340" w:lineRule="exact"/>
              <w:jc w:val="center"/>
              <w:rPr>
                <w:rFonts w:hint="eastAsia" w:ascii="宋体" w:hAnsi="宋体" w:eastAsia="宋体" w:cs="宋体"/>
                <w:sz w:val="24"/>
                <w:szCs w:val="24"/>
              </w:rPr>
            </w:pPr>
            <w:r>
              <w:rPr>
                <w:rFonts w:hint="eastAsia" w:ascii="宋体" w:hAnsi="宋体" w:eastAsia="宋体" w:cs="宋体"/>
                <w:sz w:val="24"/>
                <w:szCs w:val="24"/>
              </w:rPr>
              <w:t>投标人业绩</w:t>
            </w:r>
          </w:p>
        </w:tc>
        <w:tc>
          <w:tcPr>
            <w:tcW w:w="845" w:type="dxa"/>
            <w:vAlign w:val="center"/>
          </w:tcPr>
          <w:p>
            <w:pPr>
              <w:widowControl/>
              <w:spacing w:line="34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分</w:t>
            </w:r>
          </w:p>
        </w:tc>
        <w:tc>
          <w:tcPr>
            <w:tcW w:w="4851" w:type="dxa"/>
            <w:vAlign w:val="center"/>
          </w:tcPr>
          <w:p>
            <w:pPr>
              <w:jc w:val="left"/>
              <w:rPr>
                <w:rFonts w:hint="eastAsia" w:ascii="宋体" w:hAnsi="宋体" w:eastAsia="宋体" w:cs="宋体"/>
                <w:sz w:val="24"/>
                <w:szCs w:val="24"/>
              </w:rPr>
            </w:pPr>
            <w:r>
              <w:rPr>
                <w:rFonts w:hint="eastAsia" w:ascii="宋体" w:hAnsi="宋体" w:eastAsia="宋体" w:cs="宋体"/>
                <w:color w:val="000000"/>
                <w:sz w:val="24"/>
                <w:szCs w:val="24"/>
                <w:highlight w:val="none"/>
              </w:rPr>
              <w:t>投标人</w:t>
            </w:r>
            <w:r>
              <w:rPr>
                <w:rFonts w:hint="eastAsia" w:ascii="宋体" w:hAnsi="宋体" w:eastAsia="宋体" w:cs="宋体"/>
                <w:color w:val="000000"/>
                <w:sz w:val="24"/>
                <w:szCs w:val="24"/>
                <w:highlight w:val="none"/>
                <w:lang w:val="en-US" w:eastAsia="zh-CN"/>
              </w:rPr>
              <w:t>自2022年1月（</w:t>
            </w:r>
            <w:r>
              <w:rPr>
                <w:rFonts w:hint="eastAsia" w:ascii="宋体" w:hAnsi="宋体" w:eastAsia="宋体" w:cs="宋体"/>
                <w:color w:val="000000"/>
                <w:sz w:val="24"/>
                <w:szCs w:val="24"/>
                <w:highlight w:val="none"/>
              </w:rPr>
              <w:t>近三年</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以来</w:t>
            </w:r>
            <w:r>
              <w:rPr>
                <w:rFonts w:hint="eastAsia" w:ascii="宋体" w:hAnsi="宋体" w:eastAsia="宋体" w:cs="宋体"/>
                <w:color w:val="000000"/>
                <w:sz w:val="24"/>
                <w:szCs w:val="24"/>
                <w:highlight w:val="none"/>
                <w:lang w:val="en-US" w:eastAsia="zh-CN"/>
              </w:rPr>
              <w:t>类似</w:t>
            </w:r>
            <w:r>
              <w:rPr>
                <w:rFonts w:hint="eastAsia" w:ascii="宋体" w:hAnsi="宋体" w:eastAsia="宋体" w:cs="宋体"/>
                <w:color w:val="000000"/>
                <w:sz w:val="24"/>
                <w:szCs w:val="24"/>
                <w:highlight w:val="none"/>
              </w:rPr>
              <w:t>项目业绩，每提供一个有效业绩得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分，最多得</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分。</w:t>
            </w:r>
            <w:r>
              <w:rPr>
                <w:rFonts w:hint="eastAsia" w:ascii="宋体" w:hAnsi="宋体" w:eastAsia="宋体" w:cs="宋体"/>
                <w:sz w:val="24"/>
                <w:szCs w:val="24"/>
              </w:rPr>
              <w:t>（未按要求提供完整材料的，不得分。一个单位分年度多次签订的案例仅计入1个案例；同一个项目，分两期或以上建设完成的，计入1个案例；同一个业主，不同地址、不同名称的项目仅计入1个案例。材料中需有合同首页、甲方名称、服务内容、服务金额、合同签署页等关键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Merge w:val="continue"/>
            <w:vAlign w:val="center"/>
          </w:tcPr>
          <w:p>
            <w:pPr>
              <w:widowControl/>
              <w:spacing w:line="340" w:lineRule="exact"/>
              <w:jc w:val="center"/>
              <w:rPr>
                <w:rFonts w:hint="eastAsia" w:ascii="宋体" w:hAnsi="宋体" w:eastAsia="宋体" w:cs="宋体"/>
                <w:sz w:val="24"/>
                <w:szCs w:val="24"/>
              </w:rPr>
            </w:pPr>
          </w:p>
        </w:tc>
        <w:tc>
          <w:tcPr>
            <w:tcW w:w="1241" w:type="dxa"/>
            <w:vMerge w:val="continue"/>
            <w:vAlign w:val="center"/>
          </w:tcPr>
          <w:p>
            <w:pPr>
              <w:spacing w:line="340" w:lineRule="exact"/>
              <w:rPr>
                <w:rFonts w:hint="eastAsia" w:ascii="宋体" w:hAnsi="宋体" w:eastAsia="宋体" w:cs="宋体"/>
                <w:sz w:val="24"/>
                <w:szCs w:val="24"/>
              </w:rPr>
            </w:pPr>
          </w:p>
        </w:tc>
        <w:tc>
          <w:tcPr>
            <w:tcW w:w="1896" w:type="dxa"/>
            <w:vAlign w:val="center"/>
          </w:tcPr>
          <w:p>
            <w:pPr>
              <w:widowControl/>
              <w:spacing w:line="340" w:lineRule="exact"/>
              <w:jc w:val="center"/>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lang w:eastAsia="zh-CN"/>
              </w:rPr>
              <w:t>证书</w:t>
            </w:r>
          </w:p>
        </w:tc>
        <w:tc>
          <w:tcPr>
            <w:tcW w:w="845" w:type="dxa"/>
            <w:vAlign w:val="center"/>
          </w:tcPr>
          <w:p>
            <w:pPr>
              <w:widowControl/>
              <w:spacing w:line="34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4851" w:type="dxa"/>
            <w:vAlign w:val="center"/>
          </w:tcPr>
          <w:p>
            <w:pPr>
              <w:jc w:val="left"/>
              <w:rPr>
                <w:rFonts w:hint="eastAsia" w:ascii="宋体" w:hAnsi="宋体" w:eastAsia="宋体" w:cs="宋体"/>
                <w:sz w:val="24"/>
                <w:szCs w:val="24"/>
              </w:rPr>
            </w:pPr>
            <w:r>
              <w:rPr>
                <w:rFonts w:hint="eastAsia" w:ascii="宋体" w:hAnsi="宋体" w:cs="宋体"/>
                <w:color w:val="000000"/>
                <w:sz w:val="24"/>
                <w:szCs w:val="24"/>
                <w:highlight w:val="none"/>
                <w:lang w:eastAsia="zh-CN"/>
              </w:rPr>
              <w:t>提供</w:t>
            </w:r>
            <w:r>
              <w:rPr>
                <w:rFonts w:hint="eastAsia" w:ascii="宋体" w:hAnsi="宋体" w:eastAsia="宋体" w:cs="宋体"/>
                <w:color w:val="000000"/>
                <w:sz w:val="24"/>
                <w:szCs w:val="24"/>
                <w:highlight w:val="none"/>
              </w:rPr>
              <w:t>有效</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rPr>
              <w:t>质量管理体系认证证书、环境管理体系认证证书、职业健康安全管理体系认证证书</w:t>
            </w:r>
            <w:r>
              <w:rPr>
                <w:rFonts w:hint="eastAsia" w:ascii="宋体" w:hAnsi="宋体" w:cs="宋体"/>
                <w:color w:val="000000"/>
                <w:sz w:val="24"/>
                <w:szCs w:val="24"/>
                <w:highlight w:val="none"/>
                <w:lang w:eastAsia="zh-CN"/>
              </w:rPr>
              <w:t>复印件并加盖公章</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每有一项得1分，最高3分。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9386" w:type="dxa"/>
            <w:gridSpan w:val="5"/>
            <w:vAlign w:val="center"/>
          </w:tcPr>
          <w:p>
            <w:pPr>
              <w:widowControl/>
              <w:spacing w:line="340" w:lineRule="exact"/>
              <w:jc w:val="left"/>
              <w:rPr>
                <w:rFonts w:hint="eastAsia" w:ascii="宋体" w:hAnsi="宋体" w:eastAsia="宋体" w:cs="宋体"/>
                <w:sz w:val="24"/>
                <w:szCs w:val="24"/>
              </w:rPr>
            </w:pPr>
            <w:r>
              <w:rPr>
                <w:rFonts w:hint="eastAsia" w:ascii="宋体" w:hAnsi="宋体" w:eastAsia="宋体" w:cs="宋体"/>
                <w:sz w:val="24"/>
                <w:szCs w:val="24"/>
              </w:rPr>
              <w:t>合计100分</w:t>
            </w:r>
          </w:p>
        </w:tc>
      </w:tr>
    </w:tbl>
    <w:p>
      <w:pPr>
        <w:widowControl/>
        <w:adjustRightInd/>
        <w:spacing w:line="400" w:lineRule="exact"/>
        <w:jc w:val="both"/>
        <w:textAlignment w:val="auto"/>
        <w:rPr>
          <w:rFonts w:ascii="宋体" w:hAnsi="宋体"/>
          <w:color w:val="auto"/>
          <w:sz w:val="24"/>
          <w:szCs w:val="24"/>
        </w:rPr>
      </w:pPr>
    </w:p>
    <w:p>
      <w:pPr>
        <w:rPr>
          <w:rFonts w:ascii="宋体" w:hAnsi="宋体"/>
          <w:color w:val="auto"/>
          <w:sz w:val="24"/>
          <w:szCs w:val="24"/>
        </w:rPr>
      </w:pPr>
    </w:p>
    <w:p>
      <w:pPr>
        <w:jc w:val="both"/>
        <w:rPr>
          <w:rFonts w:hint="eastAsia" w:ascii="宋体" w:hAnsi="宋体" w:cs="宋体"/>
          <w:b/>
          <w:sz w:val="34"/>
          <w:szCs w:val="34"/>
          <w:lang w:eastAsia="zh-CN"/>
        </w:rPr>
      </w:pPr>
    </w:p>
    <w:p>
      <w:pPr>
        <w:pStyle w:val="34"/>
        <w:rPr>
          <w:rFonts w:hint="eastAsia" w:ascii="宋体" w:hAnsi="宋体" w:cs="宋体"/>
          <w:b/>
          <w:sz w:val="34"/>
          <w:szCs w:val="34"/>
          <w:lang w:eastAsia="zh-CN"/>
        </w:rPr>
      </w:pPr>
    </w:p>
    <w:p>
      <w:pPr>
        <w:pStyle w:val="34"/>
        <w:rPr>
          <w:rFonts w:hint="eastAsia" w:ascii="宋体" w:hAnsi="宋体" w:cs="宋体"/>
          <w:b/>
          <w:sz w:val="34"/>
          <w:szCs w:val="34"/>
          <w:lang w:eastAsia="zh-CN"/>
        </w:rPr>
      </w:pPr>
    </w:p>
    <w:p>
      <w:pPr>
        <w:pStyle w:val="49"/>
        <w:numPr>
          <w:ilvl w:val="0"/>
          <w:numId w:val="0"/>
        </w:numPr>
        <w:snapToGrid w:val="0"/>
        <w:spacing w:before="0" w:after="0"/>
        <w:jc w:val="center"/>
        <w:rPr>
          <w:rFonts w:hint="eastAsia" w:ascii="宋体" w:hAnsi="宋体" w:cs="宋体"/>
          <w:b/>
          <w:sz w:val="34"/>
          <w:szCs w:val="34"/>
          <w:lang w:eastAsia="zh-CN"/>
        </w:rPr>
      </w:pPr>
      <w:r>
        <w:rPr>
          <w:rFonts w:hint="eastAsia" w:ascii="宋体" w:hAnsi="宋体"/>
          <w:color w:val="auto"/>
          <w:lang w:eastAsia="zh-CN"/>
        </w:rPr>
        <w:t>第六部分</w:t>
      </w:r>
      <w:r>
        <w:rPr>
          <w:rFonts w:hint="eastAsia" w:ascii="宋体" w:hAnsi="宋体"/>
          <w:color w:val="auto"/>
          <w:lang w:val="en-US" w:eastAsia="zh-CN"/>
        </w:rPr>
        <w:t xml:space="preserve"> </w:t>
      </w:r>
      <w:r>
        <w:rPr>
          <w:rFonts w:hint="eastAsia" w:ascii="宋体" w:hAnsi="宋体"/>
          <w:color w:val="auto"/>
        </w:rPr>
        <w:t>政府采购合同</w:t>
      </w:r>
    </w:p>
    <w:p>
      <w:pPr>
        <w:pStyle w:val="6"/>
        <w:tabs>
          <w:tab w:val="left" w:pos="900"/>
          <w:tab w:val="clear" w:pos="1260"/>
        </w:tabs>
        <w:spacing w:before="0" w:after="0" w:line="480" w:lineRule="exact"/>
        <w:ind w:left="720" w:hanging="720"/>
        <w:jc w:val="center"/>
        <w:rPr>
          <w:rFonts w:hint="eastAsia" w:ascii="宋体" w:hAnsi="宋体" w:cs="宋体"/>
          <w:b/>
          <w:color w:val="auto"/>
          <w:sz w:val="21"/>
          <w:szCs w:val="21"/>
        </w:rPr>
      </w:pPr>
    </w:p>
    <w:p>
      <w:pPr>
        <w:wordWrap w:val="0"/>
        <w:spacing w:line="700" w:lineRule="exact"/>
        <w:jc w:val="right"/>
        <w:rPr>
          <w:rFonts w:ascii="宋体" w:hAnsi="宋体"/>
          <w:b/>
          <w:sz w:val="21"/>
          <w:szCs w:val="21"/>
        </w:rPr>
      </w:pPr>
      <w:r>
        <w:rPr>
          <w:rFonts w:hint="eastAsia" w:ascii="宋体" w:hAnsi="宋体"/>
          <w:color w:val="auto"/>
          <w:kern w:val="44"/>
          <w:sz w:val="28"/>
          <w:szCs w:val="28"/>
        </w:rPr>
        <w:t xml:space="preserve">           </w:t>
      </w:r>
      <w:r>
        <w:rPr>
          <w:rFonts w:hint="eastAsia" w:ascii="华文细黑" w:hAnsi="华文细黑" w:eastAsia="华文细黑"/>
          <w:b/>
        </w:rPr>
        <w:t xml:space="preserve">合同编号：        </w:t>
      </w:r>
    </w:p>
    <w:p>
      <w:pPr>
        <w:spacing w:line="700" w:lineRule="exact"/>
        <w:jc w:val="right"/>
        <w:rPr>
          <w:sz w:val="28"/>
          <w:szCs w:val="28"/>
        </w:rPr>
      </w:pPr>
    </w:p>
    <w:p>
      <w:pPr>
        <w:spacing w:line="700" w:lineRule="exact"/>
        <w:ind w:right="560"/>
        <w:rPr>
          <w:sz w:val="28"/>
          <w:szCs w:val="28"/>
        </w:rPr>
      </w:pPr>
    </w:p>
    <w:p>
      <w:pPr>
        <w:spacing w:line="700" w:lineRule="exact"/>
        <w:ind w:right="560"/>
        <w:rPr>
          <w:sz w:val="28"/>
          <w:szCs w:val="28"/>
        </w:rPr>
      </w:pPr>
    </w:p>
    <w:p>
      <w:pPr>
        <w:spacing w:line="700" w:lineRule="exact"/>
        <w:ind w:right="560"/>
        <w:rPr>
          <w:sz w:val="28"/>
          <w:szCs w:val="28"/>
        </w:rPr>
      </w:pPr>
    </w:p>
    <w:p>
      <w:pPr>
        <w:jc w:val="center"/>
        <w:rPr>
          <w:rFonts w:ascii="黑体" w:hAnsi="黑体" w:eastAsia="黑体"/>
          <w:b/>
          <w:sz w:val="44"/>
          <w:szCs w:val="44"/>
        </w:rPr>
      </w:pPr>
    </w:p>
    <w:p>
      <w:pPr>
        <w:jc w:val="center"/>
        <w:outlineLvl w:val="0"/>
        <w:rPr>
          <w:rFonts w:ascii="宋体" w:hAnsi="宋体"/>
          <w:b/>
          <w:sz w:val="52"/>
          <w:szCs w:val="52"/>
        </w:rPr>
      </w:pPr>
      <w:bookmarkStart w:id="57" w:name="_Toc24464"/>
      <w:r>
        <w:rPr>
          <w:rFonts w:hint="eastAsia" w:ascii="宋体" w:hAnsi="宋体"/>
          <w:b/>
          <w:sz w:val="52"/>
          <w:szCs w:val="52"/>
        </w:rPr>
        <w:t>北京市石景山区</w:t>
      </w:r>
      <w:bookmarkEnd w:id="57"/>
      <w:r>
        <w:rPr>
          <w:rFonts w:hint="eastAsia" w:ascii="宋体" w:hAnsi="宋体"/>
          <w:b/>
          <w:sz w:val="52"/>
          <w:szCs w:val="52"/>
          <w:lang w:eastAsia="zh-CN"/>
        </w:rPr>
        <w:t>图书馆</w:t>
      </w:r>
    </w:p>
    <w:p>
      <w:pPr>
        <w:jc w:val="center"/>
        <w:rPr>
          <w:rFonts w:ascii="宋体" w:hAnsi="宋体"/>
          <w:b/>
          <w:sz w:val="52"/>
          <w:szCs w:val="52"/>
        </w:rPr>
      </w:pPr>
      <w:r>
        <w:rPr>
          <w:rFonts w:hint="eastAsia" w:ascii="宋体" w:hAnsi="宋体"/>
          <w:b/>
          <w:sz w:val="52"/>
          <w:szCs w:val="52"/>
        </w:rPr>
        <w:t>物业</w:t>
      </w:r>
      <w:r>
        <w:rPr>
          <w:rFonts w:hint="eastAsia" w:ascii="宋体" w:hAnsi="宋体"/>
          <w:b/>
          <w:sz w:val="52"/>
          <w:szCs w:val="52"/>
          <w:lang w:eastAsia="zh-CN"/>
        </w:rPr>
        <w:t>管理</w:t>
      </w:r>
      <w:r>
        <w:rPr>
          <w:rFonts w:ascii="宋体" w:hAnsi="宋体"/>
          <w:b/>
          <w:sz w:val="52"/>
          <w:szCs w:val="52"/>
        </w:rPr>
        <w:t>服务</w:t>
      </w:r>
      <w:r>
        <w:rPr>
          <w:rFonts w:hint="eastAsia" w:ascii="宋体" w:hAnsi="宋体"/>
          <w:b/>
          <w:sz w:val="52"/>
          <w:szCs w:val="52"/>
        </w:rPr>
        <w:t>委托</w:t>
      </w:r>
      <w:r>
        <w:rPr>
          <w:rFonts w:ascii="宋体" w:hAnsi="宋体"/>
          <w:b/>
          <w:sz w:val="52"/>
          <w:szCs w:val="52"/>
        </w:rPr>
        <w:t>合同</w:t>
      </w:r>
    </w:p>
    <w:p>
      <w:pPr>
        <w:spacing w:line="700" w:lineRule="exact"/>
        <w:ind w:right="560"/>
        <w:rPr>
          <w:rFonts w:ascii="宋体" w:hAnsi="宋体"/>
          <w:sz w:val="52"/>
          <w:szCs w:val="52"/>
        </w:rPr>
      </w:pPr>
    </w:p>
    <w:p>
      <w:pPr>
        <w:spacing w:line="700" w:lineRule="exact"/>
        <w:ind w:right="560"/>
        <w:rPr>
          <w:sz w:val="28"/>
          <w:szCs w:val="28"/>
        </w:rPr>
      </w:pPr>
    </w:p>
    <w:p>
      <w:pPr>
        <w:spacing w:line="700" w:lineRule="exact"/>
        <w:ind w:right="560"/>
        <w:rPr>
          <w:sz w:val="28"/>
          <w:szCs w:val="28"/>
        </w:rPr>
      </w:pPr>
    </w:p>
    <w:p>
      <w:pPr>
        <w:spacing w:line="700" w:lineRule="exact"/>
        <w:ind w:right="560"/>
        <w:rPr>
          <w:sz w:val="28"/>
          <w:szCs w:val="28"/>
        </w:rPr>
      </w:pPr>
    </w:p>
    <w:p>
      <w:pPr>
        <w:spacing w:line="700" w:lineRule="exact"/>
        <w:ind w:right="560"/>
        <w:rPr>
          <w:sz w:val="28"/>
          <w:szCs w:val="28"/>
        </w:rPr>
      </w:pPr>
    </w:p>
    <w:p>
      <w:pPr>
        <w:spacing w:line="700" w:lineRule="exact"/>
        <w:ind w:right="560"/>
        <w:rPr>
          <w:sz w:val="28"/>
          <w:szCs w:val="28"/>
        </w:rPr>
      </w:pPr>
    </w:p>
    <w:p>
      <w:pPr>
        <w:spacing w:line="700" w:lineRule="exact"/>
        <w:ind w:right="560" w:firstLine="984" w:firstLineChars="350"/>
        <w:rPr>
          <w:rFonts w:ascii="宋体" w:hAnsi="宋体"/>
          <w:b/>
          <w:sz w:val="28"/>
          <w:szCs w:val="28"/>
        </w:rPr>
      </w:pPr>
      <w:r>
        <w:rPr>
          <w:rFonts w:hint="eastAsia" w:ascii="宋体" w:hAnsi="宋体"/>
          <w:b/>
          <w:sz w:val="28"/>
          <w:szCs w:val="28"/>
        </w:rPr>
        <w:t>委托方（甲方）</w:t>
      </w:r>
      <w:r>
        <w:rPr>
          <w:rFonts w:hint="eastAsia" w:ascii="宋体" w:hAnsi="宋体"/>
          <w:b/>
          <w:sz w:val="28"/>
          <w:szCs w:val="28"/>
          <w:u w:val="single"/>
        </w:rPr>
        <w:t xml:space="preserve">  北京市石景山区</w:t>
      </w:r>
      <w:r>
        <w:rPr>
          <w:rFonts w:hint="eastAsia" w:ascii="宋体" w:hAnsi="宋体"/>
          <w:b/>
          <w:sz w:val="28"/>
          <w:szCs w:val="28"/>
          <w:u w:val="single"/>
          <w:lang w:eastAsia="zh-CN"/>
        </w:rPr>
        <w:t>图书馆</w:t>
      </w:r>
      <w:r>
        <w:rPr>
          <w:rFonts w:hint="eastAsia" w:ascii="宋体" w:hAnsi="宋体"/>
          <w:b/>
          <w:sz w:val="28"/>
          <w:szCs w:val="28"/>
          <w:u w:val="single"/>
          <w:lang w:val="en-US" w:eastAsia="zh-CN"/>
        </w:rPr>
        <w:t xml:space="preserve">  </w:t>
      </w:r>
      <w:r>
        <w:rPr>
          <w:rFonts w:hint="eastAsia" w:ascii="宋体" w:hAnsi="宋体"/>
          <w:b/>
          <w:sz w:val="28"/>
          <w:szCs w:val="28"/>
          <w:u w:val="single"/>
        </w:rPr>
        <w:t xml:space="preserve">           </w:t>
      </w:r>
    </w:p>
    <w:p>
      <w:pPr>
        <w:spacing w:line="700" w:lineRule="exact"/>
        <w:ind w:right="560" w:firstLine="984" w:firstLineChars="350"/>
        <w:rPr>
          <w:rFonts w:ascii="宋体" w:hAnsi="宋体"/>
          <w:b/>
          <w:sz w:val="28"/>
          <w:szCs w:val="28"/>
        </w:rPr>
      </w:pPr>
      <w:r>
        <w:rPr>
          <w:rFonts w:hint="eastAsia" w:ascii="宋体" w:hAnsi="宋体"/>
          <w:b/>
          <w:sz w:val="28"/>
          <w:szCs w:val="28"/>
        </w:rPr>
        <w:t>受托方（乙方）</w:t>
      </w:r>
      <w:r>
        <w:rPr>
          <w:rFonts w:hint="eastAsia" w:ascii="宋体" w:hAnsi="宋体"/>
          <w:b/>
          <w:sz w:val="28"/>
          <w:szCs w:val="28"/>
          <w:u w:val="single"/>
        </w:rPr>
        <w:t xml:space="preserve">                                   </w:t>
      </w:r>
    </w:p>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outlineLvl w:val="9"/>
        <w:rPr>
          <w:rFonts w:hint="eastAsia" w:ascii="宋体"/>
          <w:b/>
          <w:sz w:val="36"/>
          <w:szCs w:val="30"/>
        </w:rPr>
      </w:pPr>
      <w:r>
        <w:rPr>
          <w:rFonts w:hint="eastAsia" w:ascii="宋体"/>
          <w:b/>
          <w:sz w:val="36"/>
          <w:szCs w:val="30"/>
        </w:rPr>
        <w:t>石景山区</w:t>
      </w:r>
      <w:r>
        <w:rPr>
          <w:rFonts w:hint="eastAsia" w:ascii="宋体"/>
          <w:b/>
          <w:sz w:val="36"/>
          <w:szCs w:val="30"/>
          <w:lang w:val="en-US" w:eastAsia="zh-CN"/>
        </w:rPr>
        <w:t>图书馆</w:t>
      </w:r>
      <w:r>
        <w:rPr>
          <w:rFonts w:hint="eastAsia" w:ascii="宋体"/>
          <w:b/>
          <w:sz w:val="36"/>
          <w:szCs w:val="30"/>
        </w:rPr>
        <w:t>物业管理服务委托合同</w:t>
      </w:r>
    </w:p>
    <w:p>
      <w:pPr>
        <w:pStyle w:val="10"/>
        <w:rPr>
          <w:rFonts w:hint="eastAsia"/>
        </w:rPr>
      </w:pPr>
    </w:p>
    <w:p>
      <w:pPr>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right="0" w:rightChars="0"/>
        <w:jc w:val="center"/>
        <w:outlineLvl w:val="9"/>
        <w:rPr>
          <w:rFonts w:hint="eastAsia" w:ascii="宋体" w:hAnsi="宋体" w:eastAsia="宋体" w:cs="宋体"/>
          <w:b/>
          <w:sz w:val="24"/>
          <w:szCs w:val="24"/>
        </w:rPr>
      </w:pPr>
      <w:r>
        <w:rPr>
          <w:rFonts w:hint="eastAsia" w:ascii="宋体" w:hAnsi="宋体" w:eastAsia="宋体" w:cs="宋体"/>
          <w:b/>
          <w:sz w:val="24"/>
          <w:szCs w:val="24"/>
        </w:rPr>
        <w:t>总  则</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b/>
          <w:sz w:val="24"/>
          <w:szCs w:val="24"/>
        </w:rPr>
      </w:pPr>
    </w:p>
    <w:p>
      <w:pPr>
        <w:keepNext w:val="0"/>
        <w:keepLines w:val="0"/>
        <w:pageBreakBefore w:val="0"/>
        <w:widowControl w:val="0"/>
        <w:numPr>
          <w:ilvl w:val="0"/>
          <w:numId w:val="25"/>
        </w:numPr>
        <w:kinsoku/>
        <w:wordWrap/>
        <w:overflowPunct/>
        <w:topLinePunct w:val="0"/>
        <w:autoSpaceDE/>
        <w:autoSpaceDN/>
        <w:bidi w:val="0"/>
        <w:adjustRightInd w:val="0"/>
        <w:snapToGrid w:val="0"/>
        <w:spacing w:line="360" w:lineRule="auto"/>
        <w:ind w:right="0" w:rightChars="0" w:hanging="660"/>
        <w:outlineLvl w:val="9"/>
        <w:rPr>
          <w:rFonts w:hint="eastAsia" w:ascii="宋体" w:hAnsi="宋体" w:eastAsia="宋体" w:cs="宋体"/>
          <w:sz w:val="24"/>
          <w:szCs w:val="24"/>
        </w:rPr>
      </w:pPr>
      <w:r>
        <w:rPr>
          <w:rFonts w:hint="eastAsia" w:ascii="宋体" w:hAnsi="宋体" w:eastAsia="宋体" w:cs="宋体"/>
          <w:sz w:val="24"/>
          <w:szCs w:val="24"/>
        </w:rPr>
        <w:t>本合同当事人</w:t>
      </w:r>
    </w:p>
    <w:p>
      <w:pPr>
        <w:keepNext w:val="0"/>
        <w:keepLines w:val="0"/>
        <w:pageBreakBefore w:val="0"/>
        <w:widowControl w:val="0"/>
        <w:kinsoku/>
        <w:wordWrap/>
        <w:overflowPunct/>
        <w:topLinePunct w:val="0"/>
        <w:autoSpaceDE/>
        <w:autoSpaceDN/>
        <w:bidi w:val="0"/>
        <w:adjustRightInd w:val="0"/>
        <w:snapToGrid w:val="0"/>
        <w:spacing w:line="360" w:lineRule="auto"/>
        <w:ind w:left="617" w:leftChars="257" w:right="0" w:rightChars="0"/>
        <w:outlineLvl w:val="9"/>
        <w:rPr>
          <w:rFonts w:hint="eastAsia" w:ascii="宋体" w:hAnsi="宋体" w:eastAsia="宋体" w:cs="宋体"/>
          <w:sz w:val="24"/>
          <w:szCs w:val="24"/>
        </w:rPr>
      </w:pPr>
      <w:r>
        <w:rPr>
          <w:rFonts w:hint="eastAsia" w:ascii="宋体" w:hAnsi="宋体" w:eastAsia="宋体" w:cs="宋体"/>
          <w:sz w:val="24"/>
          <w:szCs w:val="24"/>
        </w:rPr>
        <w:t>委托方（以下简称甲方）</w:t>
      </w:r>
    </w:p>
    <w:p>
      <w:pPr>
        <w:keepNext w:val="0"/>
        <w:keepLines w:val="0"/>
        <w:pageBreakBefore w:val="0"/>
        <w:widowControl w:val="0"/>
        <w:kinsoku/>
        <w:wordWrap/>
        <w:overflowPunct/>
        <w:topLinePunct w:val="0"/>
        <w:autoSpaceDE/>
        <w:autoSpaceDN/>
        <w:bidi w:val="0"/>
        <w:adjustRightInd w:val="0"/>
        <w:snapToGrid w:val="0"/>
        <w:spacing w:line="360" w:lineRule="auto"/>
        <w:ind w:left="617" w:leftChars="257" w:right="0" w:rightChars="0"/>
        <w:outlineLvl w:val="9"/>
        <w:rPr>
          <w:rFonts w:hint="eastAsia" w:ascii="宋体" w:hAnsi="宋体" w:eastAsia="宋体" w:cs="宋体"/>
          <w:sz w:val="24"/>
          <w:szCs w:val="24"/>
        </w:rPr>
      </w:pPr>
      <w:r>
        <w:rPr>
          <w:rFonts w:hint="eastAsia" w:ascii="宋体" w:hAnsi="宋体" w:eastAsia="宋体" w:cs="宋体"/>
          <w:sz w:val="24"/>
          <w:szCs w:val="24"/>
        </w:rPr>
        <w:t>名称：北京市石景山区图书馆</w:t>
      </w:r>
    </w:p>
    <w:p>
      <w:pPr>
        <w:keepNext w:val="0"/>
        <w:keepLines w:val="0"/>
        <w:pageBreakBefore w:val="0"/>
        <w:widowControl w:val="0"/>
        <w:kinsoku/>
        <w:wordWrap/>
        <w:overflowPunct/>
        <w:topLinePunct w:val="0"/>
        <w:autoSpaceDE/>
        <w:autoSpaceDN/>
        <w:bidi w:val="0"/>
        <w:adjustRightInd w:val="0"/>
        <w:snapToGrid w:val="0"/>
        <w:spacing w:line="360" w:lineRule="auto"/>
        <w:ind w:left="617" w:leftChars="257" w:right="0" w:rightChars="0"/>
        <w:outlineLvl w:val="9"/>
        <w:rPr>
          <w:rFonts w:hint="eastAsia" w:ascii="宋体" w:hAnsi="宋体" w:eastAsia="宋体" w:cs="宋体"/>
          <w:sz w:val="24"/>
          <w:szCs w:val="24"/>
        </w:rPr>
      </w:pPr>
      <w:r>
        <w:rPr>
          <w:rFonts w:hint="eastAsia" w:ascii="宋体" w:hAnsi="宋体" w:eastAsia="宋体" w:cs="宋体"/>
          <w:sz w:val="24"/>
          <w:szCs w:val="24"/>
        </w:rPr>
        <w:t>地址：石景山区八角南路2号</w:t>
      </w:r>
    </w:p>
    <w:p>
      <w:pPr>
        <w:keepNext w:val="0"/>
        <w:keepLines w:val="0"/>
        <w:pageBreakBefore w:val="0"/>
        <w:widowControl w:val="0"/>
        <w:kinsoku/>
        <w:wordWrap/>
        <w:overflowPunct/>
        <w:topLinePunct w:val="0"/>
        <w:autoSpaceDE/>
        <w:autoSpaceDN/>
        <w:bidi w:val="0"/>
        <w:adjustRightInd w:val="0"/>
        <w:snapToGrid w:val="0"/>
        <w:spacing w:line="360" w:lineRule="auto"/>
        <w:ind w:left="617" w:leftChars="257" w:right="0" w:rightChars="0"/>
        <w:outlineLvl w:val="9"/>
        <w:rPr>
          <w:rFonts w:hint="eastAsia" w:ascii="宋体" w:hAnsi="宋体" w:eastAsia="宋体" w:cs="宋体"/>
          <w:sz w:val="24"/>
          <w:szCs w:val="24"/>
        </w:rPr>
      </w:pPr>
      <w:r>
        <w:rPr>
          <w:rFonts w:hint="eastAsia" w:ascii="宋体" w:hAnsi="宋体" w:eastAsia="宋体" w:cs="宋体"/>
          <w:sz w:val="24"/>
          <w:szCs w:val="24"/>
        </w:rPr>
        <w:t>负责人：</w:t>
      </w:r>
    </w:p>
    <w:p>
      <w:pPr>
        <w:keepNext w:val="0"/>
        <w:keepLines w:val="0"/>
        <w:pageBreakBefore w:val="0"/>
        <w:widowControl w:val="0"/>
        <w:kinsoku/>
        <w:wordWrap/>
        <w:overflowPunct/>
        <w:topLinePunct w:val="0"/>
        <w:autoSpaceDE/>
        <w:autoSpaceDN/>
        <w:bidi w:val="0"/>
        <w:adjustRightInd w:val="0"/>
        <w:snapToGrid w:val="0"/>
        <w:spacing w:line="360" w:lineRule="auto"/>
        <w:ind w:left="3374" w:leftChars="256" w:right="0" w:rightChars="0" w:hanging="2760" w:hangingChars="1150"/>
        <w:outlineLvl w:val="9"/>
        <w:rPr>
          <w:rFonts w:hint="eastAsia" w:ascii="宋体" w:hAnsi="宋体" w:eastAsia="宋体" w:cs="宋体"/>
          <w:sz w:val="24"/>
          <w:szCs w:val="24"/>
        </w:rPr>
      </w:pPr>
      <w:r>
        <w:rPr>
          <w:rFonts w:hint="eastAsia" w:ascii="宋体" w:hAnsi="宋体" w:eastAsia="宋体" w:cs="宋体"/>
          <w:sz w:val="24"/>
          <w:szCs w:val="24"/>
        </w:rPr>
        <w:t>受托方（以下简称乙方）</w:t>
      </w:r>
    </w:p>
    <w:p>
      <w:pPr>
        <w:keepNext w:val="0"/>
        <w:keepLines w:val="0"/>
        <w:pageBreakBefore w:val="0"/>
        <w:widowControl w:val="0"/>
        <w:kinsoku/>
        <w:wordWrap/>
        <w:overflowPunct/>
        <w:topLinePunct w:val="0"/>
        <w:autoSpaceDE/>
        <w:autoSpaceDN/>
        <w:bidi w:val="0"/>
        <w:adjustRightInd w:val="0"/>
        <w:snapToGrid w:val="0"/>
        <w:spacing w:line="360" w:lineRule="auto"/>
        <w:ind w:left="3374" w:leftChars="256" w:right="0" w:rightChars="0" w:hanging="2760" w:hangingChars="1150"/>
        <w:outlineLvl w:val="9"/>
        <w:rPr>
          <w:rFonts w:hint="eastAsia" w:ascii="宋体" w:hAnsi="宋体" w:eastAsia="宋体" w:cs="宋体"/>
          <w:sz w:val="24"/>
          <w:szCs w:val="24"/>
        </w:rPr>
      </w:pPr>
      <w:r>
        <w:rPr>
          <w:rFonts w:hint="eastAsia" w:ascii="宋体" w:hAnsi="宋体" w:eastAsia="宋体" w:cs="宋体"/>
          <w:sz w:val="24"/>
          <w:szCs w:val="24"/>
        </w:rPr>
        <w:t>名称：</w:t>
      </w:r>
    </w:p>
    <w:p>
      <w:pPr>
        <w:keepNext w:val="0"/>
        <w:keepLines w:val="0"/>
        <w:pageBreakBefore w:val="0"/>
        <w:widowControl w:val="0"/>
        <w:kinsoku/>
        <w:wordWrap/>
        <w:overflowPunct/>
        <w:topLinePunct w:val="0"/>
        <w:autoSpaceDE/>
        <w:autoSpaceDN/>
        <w:bidi w:val="0"/>
        <w:adjustRightInd w:val="0"/>
        <w:snapToGrid w:val="0"/>
        <w:spacing w:line="360" w:lineRule="auto"/>
        <w:ind w:left="3374" w:leftChars="256" w:right="0" w:rightChars="0" w:hanging="2760" w:hangingChars="1150"/>
        <w:outlineLvl w:val="9"/>
        <w:rPr>
          <w:rFonts w:hint="eastAsia" w:ascii="宋体" w:hAnsi="宋体" w:eastAsia="宋体" w:cs="宋体"/>
          <w:sz w:val="24"/>
          <w:szCs w:val="24"/>
        </w:rPr>
      </w:pPr>
      <w:r>
        <w:rPr>
          <w:rFonts w:hint="eastAsia" w:ascii="宋体" w:hAnsi="宋体" w:eastAsia="宋体" w:cs="宋体"/>
          <w:sz w:val="24"/>
          <w:szCs w:val="24"/>
        </w:rPr>
        <w:t>地址：</w:t>
      </w:r>
    </w:p>
    <w:p>
      <w:pPr>
        <w:keepNext w:val="0"/>
        <w:keepLines w:val="0"/>
        <w:pageBreakBefore w:val="0"/>
        <w:widowControl w:val="0"/>
        <w:kinsoku/>
        <w:wordWrap/>
        <w:overflowPunct/>
        <w:topLinePunct w:val="0"/>
        <w:autoSpaceDE/>
        <w:autoSpaceDN/>
        <w:bidi w:val="0"/>
        <w:adjustRightInd w:val="0"/>
        <w:snapToGrid w:val="0"/>
        <w:spacing w:line="360" w:lineRule="auto"/>
        <w:ind w:left="3374" w:leftChars="256" w:right="0" w:rightChars="0" w:hanging="2760" w:hangingChars="1150"/>
        <w:outlineLvl w:val="9"/>
        <w:rPr>
          <w:rFonts w:hint="eastAsia" w:ascii="宋体" w:hAnsi="宋体" w:eastAsia="宋体" w:cs="宋体"/>
          <w:sz w:val="24"/>
          <w:szCs w:val="24"/>
        </w:rPr>
      </w:pPr>
      <w:r>
        <w:rPr>
          <w:rFonts w:hint="eastAsia" w:ascii="宋体" w:hAnsi="宋体" w:eastAsia="宋体" w:cs="宋体"/>
          <w:sz w:val="24"/>
          <w:szCs w:val="24"/>
        </w:rPr>
        <w:t>法定代表人：</w:t>
      </w:r>
    </w:p>
    <w:p>
      <w:pPr>
        <w:keepNext w:val="0"/>
        <w:keepLines w:val="0"/>
        <w:pageBreakBefore w:val="0"/>
        <w:widowControl w:val="0"/>
        <w:kinsoku/>
        <w:wordWrap/>
        <w:overflowPunct/>
        <w:topLinePunct w:val="0"/>
        <w:autoSpaceDE/>
        <w:autoSpaceDN/>
        <w:bidi w:val="0"/>
        <w:adjustRightInd w:val="0"/>
        <w:snapToGrid w:val="0"/>
        <w:spacing w:line="360" w:lineRule="auto"/>
        <w:ind w:left="3374" w:leftChars="256" w:right="0" w:rightChars="0" w:hanging="2760" w:hangingChars="1150"/>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left="550" w:leftChars="229" w:right="0" w:rightChars="0"/>
        <w:outlineLvl w:val="9"/>
        <w:rPr>
          <w:rFonts w:hint="eastAsia" w:ascii="宋体" w:hAnsi="宋体" w:eastAsia="宋体" w:cs="宋体"/>
          <w:sz w:val="24"/>
          <w:szCs w:val="24"/>
        </w:rPr>
      </w:pPr>
      <w:r>
        <w:rPr>
          <w:rFonts w:hint="eastAsia" w:ascii="宋体" w:hAnsi="宋体" w:eastAsia="宋体" w:cs="宋体"/>
          <w:sz w:val="24"/>
          <w:szCs w:val="24"/>
        </w:rPr>
        <w:t>物业管理资质等级证书编号：</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根据有关法律、法规，甲、乙双方在自愿、平等、协商一致的基础上，就甲方委托乙方为其提供物业管理服务事宜，订立本合同。</w:t>
      </w:r>
    </w:p>
    <w:p>
      <w:pPr>
        <w:keepNext w:val="0"/>
        <w:keepLines w:val="0"/>
        <w:pageBreakBefore w:val="0"/>
        <w:widowControl w:val="0"/>
        <w:numPr>
          <w:ilvl w:val="0"/>
          <w:numId w:val="25"/>
        </w:numPr>
        <w:kinsoku/>
        <w:wordWrap/>
        <w:overflowPunct/>
        <w:topLinePunct w:val="0"/>
        <w:autoSpaceDE/>
        <w:autoSpaceDN/>
        <w:bidi w:val="0"/>
        <w:adjustRightInd w:val="0"/>
        <w:snapToGrid w:val="0"/>
        <w:spacing w:line="360" w:lineRule="auto"/>
        <w:ind w:right="0" w:rightChars="0" w:hanging="660"/>
        <w:outlineLvl w:val="9"/>
        <w:rPr>
          <w:rFonts w:hint="eastAsia" w:ascii="宋体" w:hAnsi="宋体" w:eastAsia="宋体" w:cs="宋体"/>
          <w:sz w:val="24"/>
          <w:szCs w:val="24"/>
        </w:rPr>
      </w:pPr>
      <w:r>
        <w:rPr>
          <w:rFonts w:hint="eastAsia" w:ascii="宋体" w:hAnsi="宋体" w:eastAsia="宋体" w:cs="宋体"/>
          <w:sz w:val="24"/>
          <w:szCs w:val="24"/>
        </w:rPr>
        <w:t>物业管理区域基本情况</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物业基本类型：公用建筑及相关设施</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服务区域：石景山区图书馆（地址为石景山区八角南路2号）及石景山区图书馆少儿馆（石景山区古城南路11号），合计馆舍面积12</w:t>
      </w:r>
      <w:r>
        <w:rPr>
          <w:rFonts w:hint="eastAsia" w:ascii="宋体" w:hAnsi="宋体" w:eastAsia="宋体" w:cs="宋体"/>
          <w:sz w:val="24"/>
          <w:szCs w:val="24"/>
          <w:lang w:val="en-US" w:eastAsia="zh-CN"/>
        </w:rPr>
        <w:t>278</w:t>
      </w:r>
      <w:r>
        <w:rPr>
          <w:rFonts w:hint="eastAsia" w:ascii="宋体" w:hAnsi="宋体" w:eastAsia="宋体" w:cs="宋体"/>
          <w:sz w:val="24"/>
          <w:szCs w:val="24"/>
        </w:rPr>
        <w:t>㎡。</w:t>
      </w:r>
    </w:p>
    <w:p>
      <w:pPr>
        <w:pStyle w:val="10"/>
        <w:rPr>
          <w:rFonts w:hint="eastAsia"/>
        </w:rPr>
      </w:pPr>
    </w:p>
    <w:p>
      <w:pPr>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right="0" w:rightChars="0"/>
        <w:jc w:val="center"/>
        <w:outlineLvl w:val="9"/>
        <w:rPr>
          <w:rFonts w:hint="eastAsia" w:ascii="宋体" w:hAnsi="宋体" w:eastAsia="宋体" w:cs="宋体"/>
          <w:b/>
          <w:sz w:val="24"/>
          <w:szCs w:val="24"/>
        </w:rPr>
      </w:pPr>
      <w:r>
        <w:rPr>
          <w:rFonts w:hint="eastAsia" w:ascii="宋体" w:hAnsi="宋体" w:eastAsia="宋体" w:cs="宋体"/>
          <w:b/>
          <w:sz w:val="24"/>
          <w:szCs w:val="24"/>
        </w:rPr>
        <w:t>乙方物业管理服务内容和要求</w:t>
      </w:r>
    </w:p>
    <w:p>
      <w:pPr>
        <w:keepNext w:val="0"/>
        <w:keepLines w:val="0"/>
        <w:pageBreakBefore w:val="0"/>
        <w:widowControl w:val="0"/>
        <w:numPr>
          <w:ilvl w:val="0"/>
          <w:numId w:val="25"/>
        </w:numPr>
        <w:tabs>
          <w:tab w:val="left" w:pos="0"/>
          <w:tab w:val="clear" w:pos="1200"/>
        </w:tabs>
        <w:kinsoku/>
        <w:wordWrap/>
        <w:overflowPunct/>
        <w:topLinePunct w:val="0"/>
        <w:autoSpaceDE/>
        <w:autoSpaceDN/>
        <w:bidi w:val="0"/>
        <w:adjustRightInd w:val="0"/>
        <w:snapToGrid w:val="0"/>
        <w:spacing w:line="360" w:lineRule="auto"/>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乙方向甲方派遣物业管理人员共2</w:t>
      </w:r>
      <w:r>
        <w:rPr>
          <w:rFonts w:hint="eastAsia" w:ascii="宋体" w:hAnsi="宋体" w:eastAsia="宋体" w:cs="宋体"/>
          <w:sz w:val="24"/>
          <w:szCs w:val="24"/>
          <w:lang w:val="en-US" w:eastAsia="zh-CN"/>
        </w:rPr>
        <w:t>8</w:t>
      </w:r>
      <w:r>
        <w:rPr>
          <w:rFonts w:hint="eastAsia" w:ascii="宋体" w:hAnsi="宋体" w:eastAsia="宋体" w:cs="宋体"/>
          <w:sz w:val="24"/>
          <w:szCs w:val="24"/>
        </w:rPr>
        <w:t>人组成项目团队，包括下列人员：项目经理1人；工程部</w:t>
      </w:r>
      <w:r>
        <w:rPr>
          <w:rFonts w:hint="eastAsia" w:ascii="宋体" w:hAnsi="宋体" w:eastAsia="宋体" w:cs="宋体"/>
          <w:sz w:val="24"/>
          <w:szCs w:val="24"/>
          <w:lang w:val="en-US" w:eastAsia="zh-CN"/>
        </w:rPr>
        <w:t>5</w:t>
      </w:r>
      <w:r>
        <w:rPr>
          <w:rFonts w:hint="eastAsia" w:ascii="宋体" w:hAnsi="宋体" w:eastAsia="宋体" w:cs="宋体"/>
          <w:sz w:val="24"/>
          <w:szCs w:val="24"/>
        </w:rPr>
        <w:t>人</w:t>
      </w:r>
      <w:r>
        <w:rPr>
          <w:rFonts w:hint="eastAsia" w:ascii="宋体" w:hAnsi="宋体" w:eastAsia="宋体" w:cs="宋体"/>
          <w:sz w:val="24"/>
          <w:szCs w:val="24"/>
          <w:lang w:eastAsia="zh-CN"/>
        </w:rPr>
        <w:t>（</w:t>
      </w:r>
      <w:r>
        <w:rPr>
          <w:rFonts w:hint="eastAsia" w:ascii="宋体" w:hAnsi="宋体" w:eastAsia="宋体" w:cs="宋体"/>
          <w:sz w:val="24"/>
          <w:szCs w:val="24"/>
        </w:rPr>
        <w:t>其中具有高、低压本特种作业操作证的电工2人，综修工2人</w:t>
      </w:r>
      <w:r>
        <w:rPr>
          <w:rFonts w:hint="eastAsia" w:ascii="宋体" w:hAnsi="宋体" w:eastAsia="宋体" w:cs="宋体"/>
          <w:sz w:val="24"/>
          <w:szCs w:val="24"/>
          <w:lang w:eastAsia="zh-CN"/>
        </w:rPr>
        <w:t>）</w:t>
      </w:r>
      <w:r>
        <w:rPr>
          <w:rFonts w:hint="eastAsia" w:ascii="宋体" w:hAnsi="宋体" w:eastAsia="宋体" w:cs="宋体"/>
          <w:sz w:val="24"/>
          <w:szCs w:val="24"/>
        </w:rPr>
        <w:t>；保洁部8人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，安</w:t>
      </w:r>
      <w:r>
        <w:rPr>
          <w:rFonts w:hint="eastAsia" w:ascii="宋体" w:hAnsi="宋体" w:eastAsia="宋体" w:cs="宋体"/>
          <w:sz w:val="24"/>
          <w:szCs w:val="24"/>
        </w:rPr>
        <w:t>保部</w:t>
      </w:r>
      <w:r>
        <w:rPr>
          <w:rFonts w:hint="eastAsia" w:ascii="宋体" w:hAnsi="宋体" w:eastAsia="宋体" w:cs="宋体"/>
          <w:sz w:val="24"/>
          <w:szCs w:val="24"/>
          <w:lang w:val="en-US" w:eastAsia="zh-CN"/>
        </w:rPr>
        <w:t>14</w:t>
      </w:r>
      <w:r>
        <w:rPr>
          <w:rFonts w:hint="eastAsia" w:ascii="宋体" w:hAnsi="宋体" w:eastAsia="宋体" w:cs="宋体"/>
          <w:sz w:val="24"/>
          <w:szCs w:val="24"/>
        </w:rPr>
        <w:t>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其中中控员及保安员需具备专业资格证</w:t>
      </w:r>
      <w:r>
        <w:rPr>
          <w:rFonts w:hint="eastAsia" w:ascii="宋体" w:hAnsi="宋体" w:eastAsia="宋体" w:cs="宋体"/>
          <w:sz w:val="24"/>
          <w:szCs w:val="24"/>
          <w:lang w:eastAsia="zh-CN"/>
        </w:rPr>
        <w:t>）</w:t>
      </w:r>
      <w:r>
        <w:rPr>
          <w:rFonts w:hint="eastAsia" w:ascii="宋体" w:hAnsi="宋体" w:eastAsia="宋体" w:cs="宋体"/>
          <w:sz w:val="24"/>
          <w:szCs w:val="24"/>
        </w:rPr>
        <w:t>。</w:t>
      </w:r>
    </w:p>
    <w:p>
      <w:pPr>
        <w:pStyle w:val="10"/>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82" w:firstLineChars="200"/>
        <w:outlineLvl w:val="9"/>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具体岗位情况如下：</w:t>
      </w:r>
    </w:p>
    <w:p>
      <w:pPr>
        <w:pStyle w:val="10"/>
        <w:keepNext w:val="0"/>
        <w:keepLines w:val="0"/>
        <w:pageBreakBefore w:val="0"/>
        <w:widowControl w:val="0"/>
        <w:kinsoku/>
        <w:wordWrap/>
        <w:overflowPunct/>
        <w:topLinePunct w:val="0"/>
        <w:autoSpaceDE/>
        <w:autoSpaceDN/>
        <w:bidi w:val="0"/>
        <w:adjustRightInd w:val="0"/>
        <w:snapToGrid w:val="0"/>
        <w:spacing w:after="0" w:line="360" w:lineRule="auto"/>
        <w:ind w:right="0" w:rightChars="0"/>
        <w:outlineLvl w:val="9"/>
        <w:rPr>
          <w:rFonts w:hint="eastAsia" w:ascii="宋体" w:hAnsi="宋体" w:eastAsia="宋体" w:cs="宋体"/>
          <w:sz w:val="24"/>
          <w:szCs w:val="24"/>
        </w:rPr>
      </w:pPr>
    </w:p>
    <w:tbl>
      <w:tblPr>
        <w:tblStyle w:val="32"/>
        <w:tblW w:w="8947" w:type="dxa"/>
        <w:jc w:val="center"/>
        <w:tblInd w:w="0" w:type="dxa"/>
        <w:tblLayout w:type="fixed"/>
        <w:tblCellMar>
          <w:top w:w="0" w:type="dxa"/>
          <w:left w:w="108" w:type="dxa"/>
          <w:bottom w:w="0" w:type="dxa"/>
          <w:right w:w="108" w:type="dxa"/>
        </w:tblCellMar>
      </w:tblPr>
      <w:tblGrid>
        <w:gridCol w:w="3464"/>
        <w:gridCol w:w="4133"/>
        <w:gridCol w:w="1350"/>
      </w:tblGrid>
      <w:tr>
        <w:tblPrEx>
          <w:tblLayout w:type="fixed"/>
          <w:tblCellMar>
            <w:top w:w="0" w:type="dxa"/>
            <w:left w:w="108" w:type="dxa"/>
            <w:bottom w:w="0" w:type="dxa"/>
            <w:right w:w="108" w:type="dxa"/>
          </w:tblCellMar>
        </w:tblPrEx>
        <w:trPr>
          <w:trHeight w:val="359" w:hRule="atLeast"/>
          <w:jc w:val="center"/>
        </w:trPr>
        <w:tc>
          <w:tcPr>
            <w:tcW w:w="346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部门</w:t>
            </w:r>
          </w:p>
        </w:tc>
        <w:tc>
          <w:tcPr>
            <w:tcW w:w="41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岗位</w:t>
            </w:r>
          </w:p>
        </w:tc>
        <w:tc>
          <w:tcPr>
            <w:tcW w:w="135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人数 </w:t>
            </w:r>
          </w:p>
        </w:tc>
      </w:tr>
      <w:tr>
        <w:tblPrEx>
          <w:tblLayout w:type="fixed"/>
          <w:tblCellMar>
            <w:top w:w="0" w:type="dxa"/>
            <w:left w:w="108" w:type="dxa"/>
            <w:bottom w:w="0" w:type="dxa"/>
            <w:right w:w="108" w:type="dxa"/>
          </w:tblCellMar>
        </w:tblPrEx>
        <w:trPr>
          <w:trHeight w:val="359" w:hRule="atLeast"/>
          <w:jc w:val="center"/>
        </w:trPr>
        <w:tc>
          <w:tcPr>
            <w:tcW w:w="346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lang w:bidi="ar"/>
              </w:rPr>
              <w:t>项目负责人</w:t>
            </w:r>
          </w:p>
        </w:tc>
        <w:tc>
          <w:tcPr>
            <w:tcW w:w="41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lang w:bidi="ar"/>
              </w:rPr>
              <w:t>项目经理</w:t>
            </w:r>
          </w:p>
        </w:tc>
        <w:tc>
          <w:tcPr>
            <w:tcW w:w="135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lang w:bidi="ar"/>
              </w:rPr>
              <w:t>1</w:t>
            </w:r>
          </w:p>
        </w:tc>
      </w:tr>
      <w:tr>
        <w:tblPrEx>
          <w:tblLayout w:type="fixed"/>
          <w:tblCellMar>
            <w:top w:w="0" w:type="dxa"/>
            <w:left w:w="108" w:type="dxa"/>
            <w:bottom w:w="0" w:type="dxa"/>
            <w:right w:w="108" w:type="dxa"/>
          </w:tblCellMar>
        </w:tblPrEx>
        <w:trPr>
          <w:trHeight w:val="359" w:hRule="atLeast"/>
          <w:jc w:val="center"/>
        </w:trPr>
        <w:tc>
          <w:tcPr>
            <w:tcW w:w="3464"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工程部</w:t>
            </w:r>
          </w:p>
        </w:tc>
        <w:tc>
          <w:tcPr>
            <w:tcW w:w="41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综合服务协调（辅助管理）</w:t>
            </w:r>
          </w:p>
        </w:tc>
        <w:tc>
          <w:tcPr>
            <w:tcW w:w="135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r>
      <w:tr>
        <w:tblPrEx>
          <w:tblLayout w:type="fixed"/>
          <w:tblCellMar>
            <w:top w:w="0" w:type="dxa"/>
            <w:left w:w="108" w:type="dxa"/>
            <w:bottom w:w="0" w:type="dxa"/>
            <w:right w:w="108" w:type="dxa"/>
          </w:tblCellMar>
        </w:tblPrEx>
        <w:trPr>
          <w:trHeight w:val="359" w:hRule="atLeast"/>
          <w:jc w:val="center"/>
        </w:trPr>
        <w:tc>
          <w:tcPr>
            <w:tcW w:w="3464" w:type="dxa"/>
            <w:vMerge w:val="continue"/>
            <w:tcBorders>
              <w:left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val="en-US" w:eastAsia="zh-CN" w:bidi="ar"/>
              </w:rPr>
            </w:pPr>
          </w:p>
        </w:tc>
        <w:tc>
          <w:tcPr>
            <w:tcW w:w="41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bidi="ar"/>
              </w:rPr>
              <w:t>高、低压电工（各1人，持证）</w:t>
            </w:r>
          </w:p>
        </w:tc>
        <w:tc>
          <w:tcPr>
            <w:tcW w:w="135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bidi="ar"/>
              </w:rPr>
              <w:t>2</w:t>
            </w:r>
          </w:p>
        </w:tc>
      </w:tr>
      <w:tr>
        <w:tblPrEx>
          <w:tblLayout w:type="fixed"/>
          <w:tblCellMar>
            <w:top w:w="0" w:type="dxa"/>
            <w:left w:w="108" w:type="dxa"/>
            <w:bottom w:w="0" w:type="dxa"/>
            <w:right w:w="108" w:type="dxa"/>
          </w:tblCellMar>
        </w:tblPrEx>
        <w:trPr>
          <w:trHeight w:val="359" w:hRule="atLeast"/>
          <w:jc w:val="center"/>
        </w:trPr>
        <w:tc>
          <w:tcPr>
            <w:tcW w:w="346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outlineLvl w:val="9"/>
              <w:rPr>
                <w:rFonts w:hint="eastAsia" w:ascii="宋体" w:hAnsi="宋体" w:eastAsia="宋体" w:cs="宋体"/>
                <w:color w:val="auto"/>
                <w:sz w:val="24"/>
                <w:szCs w:val="24"/>
              </w:rPr>
            </w:pPr>
          </w:p>
        </w:tc>
        <w:tc>
          <w:tcPr>
            <w:tcW w:w="41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综合维修</w:t>
            </w:r>
          </w:p>
        </w:tc>
        <w:tc>
          <w:tcPr>
            <w:tcW w:w="135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lang w:bidi="ar"/>
              </w:rPr>
              <w:t>2</w:t>
            </w:r>
          </w:p>
        </w:tc>
      </w:tr>
      <w:tr>
        <w:tblPrEx>
          <w:tblLayout w:type="fixed"/>
          <w:tblCellMar>
            <w:top w:w="0" w:type="dxa"/>
            <w:left w:w="108" w:type="dxa"/>
            <w:bottom w:w="0" w:type="dxa"/>
            <w:right w:w="108" w:type="dxa"/>
          </w:tblCellMar>
        </w:tblPrEx>
        <w:trPr>
          <w:trHeight w:val="359" w:hRule="atLeast"/>
          <w:jc w:val="center"/>
        </w:trPr>
        <w:tc>
          <w:tcPr>
            <w:tcW w:w="3464"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环境管理部</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val="en-US" w:eastAsia="zh-CN" w:bidi="ar"/>
              </w:rPr>
              <w:t>保洁</w:t>
            </w:r>
            <w:r>
              <w:rPr>
                <w:rFonts w:hint="eastAsia" w:ascii="宋体" w:hAnsi="宋体" w:eastAsia="宋体" w:cs="宋体"/>
                <w:color w:val="auto"/>
                <w:sz w:val="24"/>
                <w:szCs w:val="24"/>
                <w:lang w:eastAsia="zh-CN" w:bidi="ar"/>
              </w:rPr>
              <w:t>）</w:t>
            </w:r>
          </w:p>
        </w:tc>
        <w:tc>
          <w:tcPr>
            <w:tcW w:w="41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
              </w:rPr>
              <w:t>保洁主管</w:t>
            </w:r>
          </w:p>
        </w:tc>
        <w:tc>
          <w:tcPr>
            <w:tcW w:w="135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lang w:bidi="ar"/>
              </w:rPr>
              <w:t>1</w:t>
            </w:r>
          </w:p>
        </w:tc>
      </w:tr>
      <w:tr>
        <w:tblPrEx>
          <w:tblLayout w:type="fixed"/>
          <w:tblCellMar>
            <w:top w:w="0" w:type="dxa"/>
            <w:left w:w="108" w:type="dxa"/>
            <w:bottom w:w="0" w:type="dxa"/>
            <w:right w:w="108" w:type="dxa"/>
          </w:tblCellMar>
        </w:tblPrEx>
        <w:trPr>
          <w:trHeight w:val="359" w:hRule="atLeast"/>
          <w:jc w:val="center"/>
        </w:trPr>
        <w:tc>
          <w:tcPr>
            <w:tcW w:w="346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outlineLvl w:val="9"/>
              <w:rPr>
                <w:rFonts w:hint="eastAsia" w:ascii="宋体" w:hAnsi="宋体" w:eastAsia="宋体" w:cs="宋体"/>
                <w:color w:val="auto"/>
                <w:sz w:val="24"/>
                <w:szCs w:val="24"/>
              </w:rPr>
            </w:pPr>
          </w:p>
        </w:tc>
        <w:tc>
          <w:tcPr>
            <w:tcW w:w="41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领班</w:t>
            </w:r>
          </w:p>
        </w:tc>
        <w:tc>
          <w:tcPr>
            <w:tcW w:w="135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lang w:bidi="ar"/>
              </w:rPr>
              <w:t>2</w:t>
            </w:r>
          </w:p>
        </w:tc>
      </w:tr>
      <w:tr>
        <w:tblPrEx>
          <w:tblLayout w:type="fixed"/>
          <w:tblCellMar>
            <w:top w:w="0" w:type="dxa"/>
            <w:left w:w="108" w:type="dxa"/>
            <w:bottom w:w="0" w:type="dxa"/>
            <w:right w:w="108" w:type="dxa"/>
          </w:tblCellMar>
        </w:tblPrEx>
        <w:trPr>
          <w:trHeight w:val="359" w:hRule="atLeast"/>
          <w:jc w:val="center"/>
        </w:trPr>
        <w:tc>
          <w:tcPr>
            <w:tcW w:w="346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outlineLvl w:val="9"/>
              <w:rPr>
                <w:rFonts w:hint="eastAsia" w:ascii="宋体" w:hAnsi="宋体" w:eastAsia="宋体" w:cs="宋体"/>
                <w:color w:val="auto"/>
                <w:sz w:val="24"/>
                <w:szCs w:val="24"/>
              </w:rPr>
            </w:pPr>
          </w:p>
        </w:tc>
        <w:tc>
          <w:tcPr>
            <w:tcW w:w="41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
              </w:rPr>
              <w:t>楼层保洁员</w:t>
            </w:r>
          </w:p>
        </w:tc>
        <w:tc>
          <w:tcPr>
            <w:tcW w:w="135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5</w:t>
            </w:r>
          </w:p>
        </w:tc>
      </w:tr>
      <w:tr>
        <w:tblPrEx>
          <w:tblLayout w:type="fixed"/>
          <w:tblCellMar>
            <w:top w:w="0" w:type="dxa"/>
            <w:left w:w="108" w:type="dxa"/>
            <w:bottom w:w="0" w:type="dxa"/>
            <w:right w:w="108" w:type="dxa"/>
          </w:tblCellMar>
        </w:tblPrEx>
        <w:trPr>
          <w:trHeight w:val="359" w:hRule="atLeast"/>
          <w:jc w:val="center"/>
        </w:trPr>
        <w:tc>
          <w:tcPr>
            <w:tcW w:w="3464" w:type="dxa"/>
            <w:vMerge w:val="restart"/>
            <w:tcBorders>
              <w:top w:val="single" w:color="000000" w:sz="4" w:space="0"/>
              <w:left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安保</w:t>
            </w:r>
            <w:r>
              <w:rPr>
                <w:rFonts w:hint="eastAsia" w:ascii="宋体" w:hAnsi="宋体" w:eastAsia="宋体" w:cs="宋体"/>
                <w:color w:val="auto"/>
                <w:sz w:val="24"/>
                <w:szCs w:val="24"/>
                <w:lang w:bidi="ar"/>
              </w:rPr>
              <w:t>部</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val="en-US" w:eastAsia="zh-CN" w:bidi="ar"/>
              </w:rPr>
              <w:t>包括秩序维护、综合咨询服务等</w:t>
            </w:r>
            <w:r>
              <w:rPr>
                <w:rFonts w:hint="eastAsia" w:ascii="宋体" w:hAnsi="宋体" w:eastAsia="宋体" w:cs="宋体"/>
                <w:color w:val="auto"/>
                <w:sz w:val="24"/>
                <w:szCs w:val="24"/>
                <w:lang w:eastAsia="zh-CN" w:bidi="ar"/>
              </w:rPr>
              <w:t>）</w:t>
            </w:r>
          </w:p>
        </w:tc>
        <w:tc>
          <w:tcPr>
            <w:tcW w:w="41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安保主管</w:t>
            </w:r>
          </w:p>
        </w:tc>
        <w:tc>
          <w:tcPr>
            <w:tcW w:w="135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1</w:t>
            </w:r>
          </w:p>
        </w:tc>
      </w:tr>
      <w:tr>
        <w:tblPrEx>
          <w:tblLayout w:type="fixed"/>
          <w:tblCellMar>
            <w:top w:w="0" w:type="dxa"/>
            <w:left w:w="108" w:type="dxa"/>
            <w:bottom w:w="0" w:type="dxa"/>
            <w:right w:w="108" w:type="dxa"/>
          </w:tblCellMar>
        </w:tblPrEx>
        <w:trPr>
          <w:trHeight w:val="359" w:hRule="atLeast"/>
          <w:jc w:val="center"/>
        </w:trPr>
        <w:tc>
          <w:tcPr>
            <w:tcW w:w="3464" w:type="dxa"/>
            <w:vMerge w:val="continue"/>
            <w:tcBorders>
              <w:left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val="en-US" w:eastAsia="zh-CN"/>
              </w:rPr>
            </w:pPr>
          </w:p>
        </w:tc>
        <w:tc>
          <w:tcPr>
            <w:tcW w:w="41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中控员（持证）及</w:t>
            </w:r>
            <w:r>
              <w:rPr>
                <w:rFonts w:hint="eastAsia" w:ascii="宋体" w:hAnsi="宋体" w:eastAsia="宋体" w:cs="宋体"/>
                <w:color w:val="auto"/>
                <w:sz w:val="24"/>
                <w:szCs w:val="24"/>
                <w:lang w:val="en-US" w:eastAsia="zh-CN" w:bidi="ar"/>
              </w:rPr>
              <w:t>秩序维护（文明引导、巡逻）</w:t>
            </w:r>
          </w:p>
        </w:tc>
        <w:tc>
          <w:tcPr>
            <w:tcW w:w="135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10</w:t>
            </w:r>
          </w:p>
        </w:tc>
      </w:tr>
      <w:tr>
        <w:tblPrEx>
          <w:tblLayout w:type="fixed"/>
          <w:tblCellMar>
            <w:top w:w="0" w:type="dxa"/>
            <w:left w:w="108" w:type="dxa"/>
            <w:bottom w:w="0" w:type="dxa"/>
            <w:right w:w="108" w:type="dxa"/>
          </w:tblCellMar>
        </w:tblPrEx>
        <w:trPr>
          <w:trHeight w:val="359" w:hRule="atLeast"/>
          <w:jc w:val="center"/>
        </w:trPr>
        <w:tc>
          <w:tcPr>
            <w:tcW w:w="3464" w:type="dxa"/>
            <w:vMerge w:val="continue"/>
            <w:tcBorders>
              <w:left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rPr>
            </w:pPr>
          </w:p>
        </w:tc>
        <w:tc>
          <w:tcPr>
            <w:tcW w:w="413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保安员（持证）</w:t>
            </w:r>
          </w:p>
        </w:tc>
        <w:tc>
          <w:tcPr>
            <w:tcW w:w="135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3</w:t>
            </w:r>
          </w:p>
        </w:tc>
      </w:tr>
      <w:tr>
        <w:tblPrEx>
          <w:tblLayout w:type="fixed"/>
          <w:tblCellMar>
            <w:top w:w="0" w:type="dxa"/>
            <w:left w:w="108" w:type="dxa"/>
            <w:bottom w:w="0" w:type="dxa"/>
            <w:right w:w="108" w:type="dxa"/>
          </w:tblCellMar>
        </w:tblPrEx>
        <w:trPr>
          <w:trHeight w:val="380" w:hRule="atLeast"/>
          <w:jc w:val="center"/>
        </w:trPr>
        <w:tc>
          <w:tcPr>
            <w:tcW w:w="7597" w:type="dxa"/>
            <w:gridSpan w:val="2"/>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合计</w:t>
            </w:r>
          </w:p>
        </w:tc>
        <w:tc>
          <w:tcPr>
            <w:tcW w:w="1350"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center"/>
              <w:outlineLvl w:val="9"/>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28</w:t>
            </w:r>
          </w:p>
        </w:tc>
      </w:tr>
    </w:tbl>
    <w:p>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人员配备合理，管理总负责人：具有物业管理经理资格证书，从事物业管理五年以上、曾担任物业管理负责人二年以上、担任类似项目负责人二年以上，具备丰富的物业管理经验。乙方应确保其派遣的物业管理人员身体健康</w:t>
      </w:r>
      <w:r>
        <w:rPr>
          <w:rFonts w:hint="eastAsia" w:ascii="宋体" w:hAnsi="宋体" w:eastAsia="宋体" w:cs="宋体"/>
          <w:sz w:val="24"/>
          <w:szCs w:val="24"/>
          <w:lang w:eastAsia="zh-CN"/>
        </w:rPr>
        <w:t>（</w:t>
      </w:r>
      <w:r>
        <w:rPr>
          <w:rFonts w:hint="eastAsia" w:ascii="宋体" w:hAnsi="宋体" w:eastAsia="宋体" w:cs="宋体"/>
          <w:sz w:val="24"/>
          <w:szCs w:val="24"/>
        </w:rPr>
        <w:t>提供相关健康证明</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且符合项目所要求的专业资质和履职能力</w:t>
      </w:r>
      <w:r>
        <w:rPr>
          <w:rFonts w:hint="eastAsia" w:ascii="宋体" w:hAnsi="宋体" w:eastAsia="宋体" w:cs="宋体"/>
          <w:sz w:val="24"/>
          <w:szCs w:val="24"/>
        </w:rPr>
        <w:t>。</w:t>
      </w:r>
    </w:p>
    <w:p>
      <w:pPr>
        <w:keepNext w:val="0"/>
        <w:keepLines w:val="0"/>
        <w:pageBreakBefore w:val="0"/>
        <w:widowControl w:val="0"/>
        <w:numPr>
          <w:ilvl w:val="0"/>
          <w:numId w:val="25"/>
        </w:numPr>
        <w:tabs>
          <w:tab w:val="left" w:pos="0"/>
          <w:tab w:val="clear" w:pos="1200"/>
        </w:tabs>
        <w:kinsoku/>
        <w:wordWrap/>
        <w:overflowPunct/>
        <w:topLinePunct w:val="0"/>
        <w:autoSpaceDE/>
        <w:autoSpaceDN/>
        <w:bidi w:val="0"/>
        <w:adjustRightInd w:val="0"/>
        <w:snapToGrid w:val="0"/>
        <w:spacing w:line="360" w:lineRule="auto"/>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列入本次物业管理的范围为：甲方所有的设备设施的管理及维护，内容包括：环境卫生管理；传达、</w:t>
      </w:r>
      <w:r>
        <w:rPr>
          <w:rFonts w:hint="eastAsia" w:ascii="宋体" w:hAnsi="宋体" w:eastAsia="宋体" w:cs="宋体"/>
          <w:sz w:val="24"/>
          <w:szCs w:val="24"/>
          <w:lang w:val="en-US" w:eastAsia="zh-CN"/>
        </w:rPr>
        <w:t>安保</w:t>
      </w:r>
      <w:r>
        <w:rPr>
          <w:rFonts w:hint="eastAsia" w:ascii="宋体" w:hAnsi="宋体" w:eastAsia="宋体" w:cs="宋体"/>
          <w:sz w:val="24"/>
          <w:szCs w:val="24"/>
        </w:rPr>
        <w:t xml:space="preserve">、秩序管理和消防、监控设施日常管理维护；给排水设备日常运行维护；变电配电设备日常管理维护；照明系统日常运行维护；弱电系统日常维护；空调系统日常运行维护；特种设备日常管理；会议服务；家具日常清洁及养护维修；综合维修及巡查和甲方交办的其他工作（如会议、活动服务等等）。  </w:t>
      </w:r>
    </w:p>
    <w:p>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highlight w:val="yellow"/>
        </w:rPr>
      </w:pPr>
      <w:r>
        <w:rPr>
          <w:rFonts w:hint="eastAsia" w:ascii="宋体" w:hAnsi="宋体" w:eastAsia="宋体" w:cs="宋体"/>
          <w:sz w:val="24"/>
          <w:szCs w:val="24"/>
        </w:rPr>
        <w:t xml:space="preserve">    其他设备设施部分构成明细见附件一。</w:t>
      </w:r>
    </w:p>
    <w:p>
      <w:pPr>
        <w:keepNext w:val="0"/>
        <w:keepLines w:val="0"/>
        <w:pageBreakBefore w:val="0"/>
        <w:widowControl w:val="0"/>
        <w:numPr>
          <w:ilvl w:val="0"/>
          <w:numId w:val="25"/>
        </w:numPr>
        <w:kinsoku/>
        <w:wordWrap/>
        <w:overflowPunct/>
        <w:topLinePunct w:val="0"/>
        <w:autoSpaceDE/>
        <w:autoSpaceDN/>
        <w:bidi w:val="0"/>
        <w:adjustRightInd w:val="0"/>
        <w:snapToGrid w:val="0"/>
        <w:spacing w:line="360" w:lineRule="auto"/>
        <w:ind w:left="0" w:right="0" w:rightChars="0" w:firstLine="504"/>
        <w:outlineLvl w:val="9"/>
        <w:rPr>
          <w:rFonts w:hint="eastAsia" w:ascii="宋体" w:hAnsi="宋体" w:eastAsia="宋体" w:cs="宋体"/>
          <w:sz w:val="24"/>
          <w:szCs w:val="24"/>
        </w:rPr>
      </w:pPr>
      <w:r>
        <w:rPr>
          <w:rFonts w:hint="eastAsia" w:ascii="宋体" w:hAnsi="宋体" w:eastAsia="宋体" w:cs="宋体"/>
          <w:sz w:val="24"/>
          <w:szCs w:val="24"/>
        </w:rPr>
        <w:t>根据图书馆物业的特点提出合理的物业管理服务理念，充分考虑用户的日常用途和需求，对本次物管服务的各项内容有较深入的理解和渗透。制定物业管理服务工作计划、物业管理规章制度、设备操作规程并组织实施，具体要求如下：</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1. 提出服务定位、目标，物业的管理模式能够切合实际，且安全可行；</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2.有比较完善的组织架构，清晰简练地列出主要管理流程，包括运作流程图、激励机制、监督机制、自我约束机制、信息反馈渠道及处理机制，管理指标承诺达到物业管理标准；</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70"/>
        <w:outlineLvl w:val="9"/>
        <w:rPr>
          <w:rFonts w:hint="eastAsia" w:ascii="宋体" w:hAnsi="宋体" w:eastAsia="宋体" w:cs="宋体"/>
          <w:sz w:val="24"/>
          <w:szCs w:val="24"/>
        </w:rPr>
      </w:pPr>
      <w:r>
        <w:rPr>
          <w:rFonts w:hint="eastAsia" w:ascii="宋体" w:hAnsi="宋体" w:eastAsia="宋体" w:cs="宋体"/>
          <w:sz w:val="24"/>
          <w:szCs w:val="24"/>
        </w:rPr>
        <w:t>3.完善的物业管理制度、作业流程、物业管理工作计划及实施时间、地点，做好台账。</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4.管理合同</w:t>
      </w:r>
      <w:r>
        <w:rPr>
          <w:rFonts w:hint="eastAsia" w:ascii="宋体" w:hAnsi="宋体" w:eastAsia="宋体" w:cs="宋体"/>
          <w:sz w:val="24"/>
          <w:szCs w:val="24"/>
          <w:lang w:val="en-US" w:eastAsia="zh-CN"/>
        </w:rPr>
        <w:t>期限</w:t>
      </w:r>
      <w:r>
        <w:rPr>
          <w:rFonts w:hint="eastAsia" w:ascii="宋体" w:hAnsi="宋体" w:eastAsia="宋体" w:cs="宋体"/>
          <w:sz w:val="24"/>
          <w:szCs w:val="24"/>
        </w:rPr>
        <w:t>内物业相关工作台账和保管设备运行记录，做好工作台账。</w:t>
      </w:r>
    </w:p>
    <w:p>
      <w:pPr>
        <w:keepNext w:val="0"/>
        <w:keepLines w:val="0"/>
        <w:pageBreakBefore w:val="0"/>
        <w:widowControl w:val="0"/>
        <w:numPr>
          <w:ilvl w:val="0"/>
          <w:numId w:val="25"/>
        </w:numPr>
        <w:tabs>
          <w:tab w:val="left" w:pos="0"/>
          <w:tab w:val="clear" w:pos="1200"/>
        </w:tabs>
        <w:kinsoku/>
        <w:wordWrap/>
        <w:overflowPunct/>
        <w:topLinePunct w:val="0"/>
        <w:autoSpaceDE/>
        <w:autoSpaceDN/>
        <w:bidi w:val="0"/>
        <w:adjustRightInd w:val="0"/>
        <w:snapToGrid w:val="0"/>
        <w:spacing w:line="360" w:lineRule="auto"/>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环境卫生管理。包括大楼内的楼梯、大厅、走廊、屋顶天台、吊顶、平台、雨棚、电梯间、卫生间、茶水间、花盆、会议室、接待室、办公区域、公共活动场所的台（地）面、明沟、阅览桌椅、墙面、门、窗、灯具、果壳箱等设施和器皿，楼宇外墙等所有公共部位设施，红线规划内的道路、园林、停车场(库)、垃圾房等所有公共场地及设施和门前三包区域的日常保洁保养以及垃圾、废弃物清理和灭“四害”等图书馆红线规划范围内的所有环境卫生保洁</w:t>
      </w:r>
      <w:r>
        <w:rPr>
          <w:rFonts w:hint="eastAsia" w:ascii="宋体" w:hAnsi="宋体" w:eastAsia="宋体" w:cs="宋体"/>
          <w:sz w:val="24"/>
          <w:szCs w:val="24"/>
          <w:lang w:val="en-US" w:eastAsia="zh-CN"/>
        </w:rPr>
        <w:t>以及垃圾清运和消纳（由物业管理服务承接单位负责消纳费用，图书馆不再单独支付）</w:t>
      </w:r>
      <w:r>
        <w:rPr>
          <w:rFonts w:hint="eastAsia" w:ascii="宋体" w:hAnsi="宋体" w:eastAsia="宋体" w:cs="宋体"/>
          <w:sz w:val="24"/>
          <w:szCs w:val="24"/>
          <w:lang w:eastAsia="zh-CN"/>
        </w:rPr>
        <w:t>。</w:t>
      </w:r>
    </w:p>
    <w:p>
      <w:pPr>
        <w:keepNext w:val="0"/>
        <w:keepLines w:val="0"/>
        <w:pageBreakBefore w:val="0"/>
        <w:widowControl w:val="0"/>
        <w:numPr>
          <w:ilvl w:val="0"/>
          <w:numId w:val="25"/>
        </w:numPr>
        <w:tabs>
          <w:tab w:val="left" w:pos="0"/>
          <w:tab w:val="clear" w:pos="1200"/>
        </w:tabs>
        <w:kinsoku/>
        <w:wordWrap/>
        <w:overflowPunct/>
        <w:topLinePunct w:val="0"/>
        <w:autoSpaceDE/>
        <w:autoSpaceDN/>
        <w:bidi w:val="0"/>
        <w:adjustRightInd w:val="0"/>
        <w:snapToGrid w:val="0"/>
        <w:spacing w:line="360" w:lineRule="auto"/>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传达、</w:t>
      </w:r>
      <w:r>
        <w:rPr>
          <w:rFonts w:hint="eastAsia" w:ascii="宋体" w:hAnsi="宋体" w:eastAsia="宋体" w:cs="宋体"/>
          <w:sz w:val="24"/>
          <w:szCs w:val="24"/>
          <w:lang w:eastAsia="zh-CN"/>
        </w:rPr>
        <w:t>安保</w:t>
      </w:r>
      <w:r>
        <w:rPr>
          <w:rFonts w:hint="eastAsia" w:ascii="宋体" w:hAnsi="宋体" w:eastAsia="宋体" w:cs="宋体"/>
          <w:sz w:val="24"/>
          <w:szCs w:val="24"/>
        </w:rPr>
        <w:t>、秩序管理和消防、监控管理。包括能熟悉周边的环境，能处理和应对公共秩序维护工作，能正确使用各类消防、物防、技防器械和设备，能够熟悉、掌握各类刑事、治安案件和各类灾害事故的应急预案；来人来访的通报、证件检验、登记、报刊信件收发等;门卫、守护和巡逻，维护公共秩序;处理治安及其他突发事件;负责道路交通管理、机动车和非机动车停放管理;负责防盗、防火报警监控设备运行管理。积极主动的配合、服从对口管理部门的临时应急调度</w:t>
      </w:r>
      <w:r>
        <w:rPr>
          <w:rFonts w:hint="eastAsia" w:ascii="宋体" w:hAnsi="宋体" w:eastAsia="宋体" w:cs="宋体"/>
          <w:sz w:val="24"/>
          <w:szCs w:val="24"/>
          <w:lang w:eastAsia="zh-CN"/>
        </w:rPr>
        <w:t>。</w:t>
      </w:r>
      <w:r>
        <w:rPr>
          <w:rFonts w:hint="eastAsia" w:ascii="宋体" w:hAnsi="宋体" w:eastAsia="宋体" w:cs="宋体"/>
          <w:sz w:val="24"/>
          <w:szCs w:val="24"/>
        </w:rPr>
        <w:t>按照图书馆消防制度建立完善图书馆责任区内的消防工作计划，物管人员应定期接受消防培训并掌握现有消防设施设备的使用方法，并能及时处理各种火灾事故。明确防火责任人，保证消防疏散示意图</w:t>
      </w:r>
      <w:r>
        <w:rPr>
          <w:rFonts w:hint="eastAsia" w:ascii="宋体" w:hAnsi="宋体" w:eastAsia="宋体" w:cs="宋体"/>
          <w:sz w:val="24"/>
          <w:szCs w:val="24"/>
          <w:lang w:eastAsia="zh-CN"/>
        </w:rPr>
        <w:t>、</w:t>
      </w:r>
      <w:r>
        <w:rPr>
          <w:rFonts w:hint="eastAsia" w:ascii="宋体" w:hAnsi="宋体" w:eastAsia="宋体" w:cs="宋体"/>
          <w:sz w:val="24"/>
          <w:szCs w:val="24"/>
        </w:rPr>
        <w:t>照明设施及引路标志完好，紧急疏散通道畅通。对</w:t>
      </w:r>
      <w:r>
        <w:rPr>
          <w:rFonts w:hint="eastAsia" w:ascii="宋体" w:hAnsi="宋体" w:eastAsia="宋体" w:cs="宋体"/>
          <w:sz w:val="24"/>
          <w:szCs w:val="24"/>
          <w:lang w:val="en-US" w:eastAsia="zh-CN"/>
        </w:rPr>
        <w:t>图书</w:t>
      </w:r>
      <w:r>
        <w:rPr>
          <w:rFonts w:hint="eastAsia" w:ascii="宋体" w:hAnsi="宋体" w:eastAsia="宋体" w:cs="宋体"/>
          <w:sz w:val="24"/>
          <w:szCs w:val="24"/>
        </w:rPr>
        <w:t>馆区域内的消防火灾报警系统、喷淋灭火系统、电器火灾报警系统、空气采样报警系统、防火卷帘、消防排烟机组等消防设备按本合同约定进行监管和操作使用</w:t>
      </w:r>
      <w:r>
        <w:rPr>
          <w:rFonts w:hint="eastAsia" w:ascii="宋体" w:hAnsi="宋体" w:eastAsia="宋体" w:cs="宋体"/>
          <w:sz w:val="24"/>
          <w:szCs w:val="24"/>
          <w:lang w:eastAsia="zh-CN"/>
        </w:rPr>
        <w:t>。</w:t>
      </w:r>
    </w:p>
    <w:p>
      <w:pPr>
        <w:keepNext w:val="0"/>
        <w:keepLines w:val="0"/>
        <w:pageBreakBefore w:val="0"/>
        <w:widowControl w:val="0"/>
        <w:numPr>
          <w:ilvl w:val="0"/>
          <w:numId w:val="25"/>
        </w:numPr>
        <w:tabs>
          <w:tab w:val="left" w:pos="0"/>
          <w:tab w:val="clear" w:pos="1200"/>
        </w:tabs>
        <w:kinsoku/>
        <w:wordWrap/>
        <w:overflowPunct/>
        <w:topLinePunct w:val="0"/>
        <w:autoSpaceDE/>
        <w:autoSpaceDN/>
        <w:bidi w:val="0"/>
        <w:adjustRightInd w:val="0"/>
        <w:snapToGrid w:val="0"/>
        <w:spacing w:line="360" w:lineRule="auto"/>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物业管理区域内绿化</w:t>
      </w:r>
      <w:r>
        <w:rPr>
          <w:rFonts w:hint="eastAsia" w:ascii="宋体" w:hAnsi="宋体" w:eastAsia="宋体" w:cs="宋体"/>
          <w:sz w:val="24"/>
          <w:szCs w:val="24"/>
          <w:lang w:val="en-US" w:eastAsia="zh-CN"/>
        </w:rPr>
        <w:t>和楼内绿植的</w:t>
      </w:r>
      <w:r>
        <w:rPr>
          <w:rFonts w:hint="eastAsia" w:ascii="宋体" w:hAnsi="宋体" w:eastAsia="宋体" w:cs="宋体"/>
          <w:sz w:val="24"/>
          <w:szCs w:val="24"/>
        </w:rPr>
        <w:t>日常管理，图书馆内绿地、草坪的巡视检查、养护和日常清理。</w:t>
      </w:r>
    </w:p>
    <w:p>
      <w:pPr>
        <w:keepNext w:val="0"/>
        <w:keepLines w:val="0"/>
        <w:pageBreakBefore w:val="0"/>
        <w:widowControl w:val="0"/>
        <w:numPr>
          <w:ilvl w:val="0"/>
          <w:numId w:val="25"/>
        </w:numPr>
        <w:tabs>
          <w:tab w:val="left" w:pos="0"/>
          <w:tab w:val="clear" w:pos="1200"/>
        </w:tabs>
        <w:kinsoku/>
        <w:wordWrap/>
        <w:overflowPunct/>
        <w:topLinePunct w:val="0"/>
        <w:autoSpaceDE/>
        <w:autoSpaceDN/>
        <w:bidi w:val="0"/>
        <w:adjustRightInd w:val="0"/>
        <w:snapToGrid w:val="0"/>
        <w:spacing w:line="360" w:lineRule="auto"/>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给排水设备运行维护管理。包括对图书馆内外给排水系统的设备、设施，如水泵、水箱、气压给水装置、水处理设备、消火栓、管道、管件、阀门、水嘴、卫生洁具、排水管、透气管、室外排水管及附属构筑物等进行日常养护维修，保持正常运行。</w:t>
      </w:r>
    </w:p>
    <w:p>
      <w:pPr>
        <w:keepNext w:val="0"/>
        <w:keepLines w:val="0"/>
        <w:pageBreakBefore w:val="0"/>
        <w:widowControl w:val="0"/>
        <w:numPr>
          <w:ilvl w:val="0"/>
          <w:numId w:val="25"/>
        </w:numPr>
        <w:tabs>
          <w:tab w:val="left" w:pos="0"/>
          <w:tab w:val="clear" w:pos="1200"/>
        </w:tabs>
        <w:kinsoku/>
        <w:wordWrap/>
        <w:overflowPunct/>
        <w:topLinePunct w:val="0"/>
        <w:autoSpaceDE/>
        <w:autoSpaceDN/>
        <w:bidi w:val="0"/>
        <w:adjustRightInd w:val="0"/>
        <w:snapToGrid w:val="0"/>
        <w:spacing w:line="360" w:lineRule="auto"/>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供电设备管理维护。保证变(配)电柜、低压配电柜全年24小时运行正常，设备完好率99%以上，满足现场工作要求，各类表计显示正常；负责各类照明系统、供用电设备设施（包括配电箱柜、桥架、井道、分电箱、开关、插座等）的日常管理和维护修理并作好相应的维修记录工作，亮灯率和插座完好率达到99.9%，保证每天不少于二次对楼层配电室进行巡视检查并要有相应的巡查记录表，保证整个大楼的供电安全。</w:t>
      </w:r>
    </w:p>
    <w:p>
      <w:pPr>
        <w:keepNext w:val="0"/>
        <w:keepLines w:val="0"/>
        <w:pageBreakBefore w:val="0"/>
        <w:widowControl w:val="0"/>
        <w:numPr>
          <w:ilvl w:val="0"/>
          <w:numId w:val="25"/>
        </w:numPr>
        <w:tabs>
          <w:tab w:val="left" w:pos="0"/>
          <w:tab w:val="clear" w:pos="1200"/>
        </w:tabs>
        <w:kinsoku/>
        <w:wordWrap/>
        <w:overflowPunct/>
        <w:topLinePunct w:val="0"/>
        <w:autoSpaceDE/>
        <w:autoSpaceDN/>
        <w:bidi w:val="0"/>
        <w:adjustRightInd w:val="0"/>
        <w:snapToGrid w:val="0"/>
        <w:spacing w:line="360" w:lineRule="auto"/>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 xml:space="preserve"> 空调系统运行管理维护：包括中央空调系统、普通空调的运行管理和维护。具体内容有空调机组、送排风机组、新风机组、管道系统、各种阀类、采气装置、各类风口内外置滤网、自动控制系统等设备的日常养护、维修和清洁卫生。定期对空调系统主机、水泵、电机、管道检查保养,每月定期做好各空调机房和空调机组的清洁工作。</w:t>
      </w:r>
    </w:p>
    <w:p>
      <w:pPr>
        <w:keepNext w:val="0"/>
        <w:keepLines w:val="0"/>
        <w:pageBreakBefore w:val="0"/>
        <w:widowControl w:val="0"/>
        <w:numPr>
          <w:ilvl w:val="0"/>
          <w:numId w:val="25"/>
        </w:numPr>
        <w:tabs>
          <w:tab w:val="left" w:pos="0"/>
          <w:tab w:val="clear" w:pos="1200"/>
        </w:tabs>
        <w:kinsoku/>
        <w:wordWrap/>
        <w:overflowPunct/>
        <w:topLinePunct w:val="0"/>
        <w:autoSpaceDE/>
        <w:autoSpaceDN/>
        <w:bidi w:val="0"/>
        <w:adjustRightInd w:val="0"/>
        <w:snapToGrid w:val="0"/>
        <w:spacing w:line="360" w:lineRule="auto"/>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 xml:space="preserve"> 家具及设施日常清洁及维修；包括办公楼(区)房屋地面、墙、台面及吊顶、门窗、楼梯、通风道等的日常巡查和养护维修；外墙及玻璃幕墙的养护。</w:t>
      </w:r>
    </w:p>
    <w:p>
      <w:pPr>
        <w:keepNext w:val="0"/>
        <w:keepLines w:val="0"/>
        <w:pageBreakBefore w:val="0"/>
        <w:widowControl w:val="0"/>
        <w:numPr>
          <w:ilvl w:val="0"/>
          <w:numId w:val="25"/>
        </w:numPr>
        <w:tabs>
          <w:tab w:val="left" w:pos="0"/>
          <w:tab w:val="clear" w:pos="1200"/>
        </w:tabs>
        <w:kinsoku/>
        <w:wordWrap/>
        <w:overflowPunct/>
        <w:topLinePunct w:val="0"/>
        <w:autoSpaceDE/>
        <w:autoSpaceDN/>
        <w:bidi w:val="0"/>
        <w:adjustRightInd w:val="0"/>
        <w:snapToGrid w:val="0"/>
        <w:spacing w:line="360" w:lineRule="auto"/>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 xml:space="preserve">  特种设备管理（电梯、升降机）。保证管辖区域内所有特种设备在办公时段有效运行，电梯按时开启和关闭。轿厢内、外按钮及灯具等配件保持完好，维持轿厢整洁。保证停车设备安全稳定运行，设备整洁干净并做好每天的巡查及保养记录工作。</w:t>
      </w:r>
    </w:p>
    <w:p>
      <w:pPr>
        <w:keepNext w:val="0"/>
        <w:keepLines w:val="0"/>
        <w:pageBreakBefore w:val="0"/>
        <w:widowControl w:val="0"/>
        <w:numPr>
          <w:ilvl w:val="0"/>
          <w:numId w:val="25"/>
        </w:numPr>
        <w:tabs>
          <w:tab w:val="left" w:pos="0"/>
          <w:tab w:val="clear" w:pos="1200"/>
        </w:tabs>
        <w:kinsoku/>
        <w:wordWrap/>
        <w:overflowPunct/>
        <w:topLinePunct w:val="0"/>
        <w:autoSpaceDE/>
        <w:autoSpaceDN/>
        <w:bidi w:val="0"/>
        <w:adjustRightInd w:val="0"/>
        <w:snapToGrid w:val="0"/>
        <w:spacing w:line="360" w:lineRule="auto"/>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 xml:space="preserve">  综合会议、活动管理：根据需要提供重大会议、庆典、节日、学术活动、布展等活动的服务，包括布置会场、绿化（盆景）摆设和保养、宣传标语悬挂、搬运器材、桌椅、空调、会后清场等工作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制定完备的会务服务工作流程、细则及服务工作计划</w:t>
      </w:r>
      <w:r>
        <w:rPr>
          <w:rFonts w:hint="eastAsia" w:ascii="宋体" w:hAnsi="宋体" w:eastAsia="宋体" w:cs="宋体"/>
          <w:sz w:val="24"/>
          <w:szCs w:val="24"/>
        </w:rPr>
        <w:t>并严格执行，保证各项会议的正常进行。</w:t>
      </w:r>
    </w:p>
    <w:p>
      <w:pPr>
        <w:keepNext w:val="0"/>
        <w:keepLines w:val="0"/>
        <w:pageBreakBefore w:val="0"/>
        <w:widowControl w:val="0"/>
        <w:numPr>
          <w:ilvl w:val="0"/>
          <w:numId w:val="25"/>
        </w:numPr>
        <w:tabs>
          <w:tab w:val="left" w:pos="0"/>
          <w:tab w:val="clear" w:pos="1200"/>
        </w:tabs>
        <w:kinsoku/>
        <w:wordWrap/>
        <w:overflowPunct/>
        <w:topLinePunct w:val="0"/>
        <w:autoSpaceDE/>
        <w:autoSpaceDN/>
        <w:bidi w:val="0"/>
        <w:adjustRightInd w:val="0"/>
        <w:snapToGrid w:val="0"/>
        <w:spacing w:line="360" w:lineRule="auto"/>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zh-CN"/>
        </w:rPr>
        <w:t>综合维修及巡查</w:t>
      </w:r>
      <w:r>
        <w:rPr>
          <w:rFonts w:hint="eastAsia" w:ascii="宋体" w:hAnsi="宋体" w:eastAsia="宋体" w:cs="宋体"/>
          <w:sz w:val="24"/>
          <w:szCs w:val="24"/>
        </w:rPr>
        <w:t>：</w:t>
      </w:r>
      <w:r>
        <w:rPr>
          <w:rFonts w:hint="eastAsia" w:ascii="宋体" w:hAnsi="宋体" w:eastAsia="宋体" w:cs="宋体"/>
          <w:sz w:val="24"/>
          <w:szCs w:val="24"/>
          <w:lang w:val="zh-CN"/>
        </w:rPr>
        <w:t>工程综合维修人员日常工作除特定工作外，实行定期巡查维修制，包括配电设施、照明及供用电设施、空调设施、通风设施、给排水设施、房屋及装修设施、其他公用设施等，以及每天对所有区域和房间巡查到一次，并随时记录和处理等</w:t>
      </w:r>
      <w:r>
        <w:rPr>
          <w:rFonts w:hint="eastAsia" w:ascii="宋体" w:hAnsi="宋体" w:eastAsia="宋体" w:cs="宋体"/>
          <w:sz w:val="24"/>
          <w:szCs w:val="24"/>
        </w:rPr>
        <w:t>。</w:t>
      </w:r>
    </w:p>
    <w:p>
      <w:pPr>
        <w:keepNext w:val="0"/>
        <w:keepLines w:val="0"/>
        <w:pageBreakBefore w:val="0"/>
        <w:widowControl w:val="0"/>
        <w:numPr>
          <w:ilvl w:val="0"/>
          <w:numId w:val="25"/>
        </w:numPr>
        <w:tabs>
          <w:tab w:val="clear" w:pos="1200"/>
        </w:tabs>
        <w:kinsoku/>
        <w:wordWrap/>
        <w:overflowPunct/>
        <w:topLinePunct w:val="0"/>
        <w:autoSpaceDE/>
        <w:autoSpaceDN/>
        <w:bidi w:val="0"/>
        <w:adjustRightInd w:val="0"/>
        <w:snapToGrid w:val="0"/>
        <w:spacing w:line="360" w:lineRule="auto"/>
        <w:ind w:left="0" w:right="0" w:rightChars="0" w:firstLine="540"/>
        <w:outlineLvl w:val="9"/>
        <w:rPr>
          <w:rFonts w:hint="eastAsia" w:ascii="宋体" w:hAnsi="宋体" w:eastAsia="宋体" w:cs="宋体"/>
          <w:sz w:val="24"/>
          <w:szCs w:val="24"/>
        </w:rPr>
      </w:pPr>
      <w:r>
        <w:rPr>
          <w:rFonts w:hint="eastAsia" w:ascii="宋体" w:hAnsi="宋体" w:eastAsia="宋体" w:cs="宋体"/>
          <w:sz w:val="24"/>
          <w:szCs w:val="24"/>
        </w:rPr>
        <w:t xml:space="preserve">  协助配合甲方的建设项目和技术改造项目。</w:t>
      </w:r>
    </w:p>
    <w:p>
      <w:pPr>
        <w:keepNext w:val="0"/>
        <w:keepLines w:val="0"/>
        <w:pageBreakBefore w:val="0"/>
        <w:widowControl w:val="0"/>
        <w:kinsoku/>
        <w:wordWrap/>
        <w:overflowPunct/>
        <w:topLinePunct w:val="0"/>
        <w:autoSpaceDE/>
        <w:autoSpaceDN/>
        <w:bidi w:val="0"/>
        <w:adjustRightInd w:val="0"/>
        <w:snapToGrid w:val="0"/>
        <w:spacing w:line="360" w:lineRule="auto"/>
        <w:ind w:left="540" w:right="0" w:rightChars="0"/>
        <w:outlineLvl w:val="9"/>
        <w:rPr>
          <w:rFonts w:hint="eastAsia" w:ascii="宋体" w:hAnsi="宋体" w:eastAsia="宋体" w:cs="宋体"/>
          <w:sz w:val="24"/>
          <w:szCs w:val="24"/>
        </w:rPr>
      </w:pPr>
    </w:p>
    <w:p>
      <w:pPr>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right="0" w:rightChars="0"/>
        <w:jc w:val="center"/>
        <w:outlineLvl w:val="9"/>
        <w:rPr>
          <w:rFonts w:hint="eastAsia" w:ascii="宋体" w:hAnsi="宋体" w:eastAsia="宋体" w:cs="宋体"/>
          <w:b/>
          <w:sz w:val="24"/>
          <w:szCs w:val="24"/>
        </w:rPr>
      </w:pPr>
      <w:r>
        <w:rPr>
          <w:rFonts w:hint="eastAsia" w:ascii="宋体" w:hAnsi="宋体" w:eastAsia="宋体" w:cs="宋体"/>
          <w:b/>
          <w:sz w:val="24"/>
          <w:szCs w:val="24"/>
        </w:rPr>
        <w:t>委托管理期限</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第十七条  委托管理期限为自</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日 起</w:t>
      </w:r>
      <w:r>
        <w:rPr>
          <w:rFonts w:hint="eastAsia" w:ascii="宋体" w:hAnsi="宋体" w:eastAsia="宋体" w:cs="宋体"/>
          <w:sz w:val="24"/>
          <w:szCs w:val="24"/>
          <w:lang w:val="en-US" w:eastAsia="zh-CN"/>
        </w:rPr>
        <w:t>至</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日。</w:t>
      </w:r>
    </w:p>
    <w:p>
      <w:pPr>
        <w:keepNext w:val="0"/>
        <w:keepLines w:val="0"/>
        <w:pageBreakBefore w:val="0"/>
        <w:widowControl w:val="0"/>
        <w:kinsoku/>
        <w:wordWrap/>
        <w:overflowPunct/>
        <w:topLinePunct w:val="0"/>
        <w:autoSpaceDE/>
        <w:autoSpaceDN/>
        <w:bidi w:val="0"/>
        <w:adjustRightInd w:val="0"/>
        <w:snapToGrid w:val="0"/>
        <w:spacing w:line="360" w:lineRule="auto"/>
        <w:ind w:left="1" w:right="0" w:rightChars="0" w:hanging="1"/>
        <w:outlineLvl w:val="9"/>
        <w:rPr>
          <w:rFonts w:hint="eastAsia" w:ascii="宋体" w:hAnsi="宋体" w:eastAsia="宋体" w:cs="宋体"/>
          <w:sz w:val="24"/>
          <w:szCs w:val="24"/>
        </w:rPr>
      </w:pPr>
    </w:p>
    <w:p>
      <w:pPr>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right="0" w:rightChars="0"/>
        <w:jc w:val="center"/>
        <w:outlineLvl w:val="9"/>
        <w:rPr>
          <w:rFonts w:hint="eastAsia" w:ascii="宋体" w:hAnsi="宋体" w:eastAsia="宋体" w:cs="宋体"/>
          <w:b/>
          <w:sz w:val="24"/>
          <w:szCs w:val="24"/>
        </w:rPr>
      </w:pPr>
      <w:r>
        <w:rPr>
          <w:rFonts w:hint="eastAsia" w:ascii="宋体" w:hAnsi="宋体" w:eastAsia="宋体" w:cs="宋体"/>
          <w:b/>
          <w:sz w:val="24"/>
          <w:szCs w:val="24"/>
        </w:rPr>
        <w:t>双方权利义务</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第十八条  甲方权利义务</w:t>
      </w:r>
    </w:p>
    <w:p>
      <w:pPr>
        <w:keepNext w:val="0"/>
        <w:keepLines w:val="0"/>
        <w:pageBreakBefore w:val="0"/>
        <w:widowControl w:val="0"/>
        <w:kinsoku/>
        <w:wordWrap/>
        <w:overflowPunct/>
        <w:topLinePunct w:val="0"/>
        <w:autoSpaceDE/>
        <w:autoSpaceDN/>
        <w:bidi w:val="0"/>
        <w:adjustRightInd w:val="0"/>
        <w:snapToGrid w:val="0"/>
        <w:spacing w:line="360" w:lineRule="auto"/>
        <w:ind w:left="170" w:leftChars="71" w:right="0" w:rightChars="0" w:firstLine="307" w:firstLineChars="128"/>
        <w:outlineLvl w:val="9"/>
        <w:rPr>
          <w:rFonts w:hint="eastAsia" w:ascii="宋体" w:hAnsi="宋体" w:eastAsia="宋体" w:cs="宋体"/>
          <w:sz w:val="24"/>
          <w:szCs w:val="24"/>
        </w:rPr>
      </w:pPr>
      <w:r>
        <w:rPr>
          <w:rFonts w:hint="eastAsia" w:ascii="宋体" w:hAnsi="宋体" w:eastAsia="宋体" w:cs="宋体"/>
          <w:sz w:val="24"/>
          <w:szCs w:val="24"/>
        </w:rPr>
        <w:t>1、审定乙方拟订的各项物业管理制度、工作计划、实施细则、设备检修计划和材料申购计划。</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2、管理、监督检查乙方管理工作的实施及制度、计划的执行情况、工作进度和工作质量。有权要求乙方更换不能胜任本协议项下工作的物业服务人员，乙方应当在收到更换通知后5天之内更换完毕。</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3、在合同生效之日起为乙方无偿提供管理用房和维修操作用房及内部工作电话、办公桌椅及档案管理用品。</w:t>
      </w:r>
    </w:p>
    <w:p>
      <w:pPr>
        <w:keepNext w:val="0"/>
        <w:keepLines w:val="0"/>
        <w:pageBreakBefore w:val="0"/>
        <w:widowControl w:val="0"/>
        <w:kinsoku/>
        <w:wordWrap/>
        <w:overflowPunct/>
        <w:topLinePunct w:val="0"/>
        <w:autoSpaceDE/>
        <w:autoSpaceDN/>
        <w:bidi w:val="0"/>
        <w:adjustRightInd w:val="0"/>
        <w:snapToGrid w:val="0"/>
        <w:spacing w:line="360" w:lineRule="auto"/>
        <w:ind w:left="720" w:leftChars="300" w:right="0" w:rightChars="0"/>
        <w:outlineLvl w:val="9"/>
        <w:rPr>
          <w:rFonts w:hint="eastAsia" w:ascii="宋体" w:hAnsi="宋体" w:eastAsia="宋体" w:cs="宋体"/>
          <w:sz w:val="24"/>
          <w:szCs w:val="24"/>
        </w:rPr>
      </w:pPr>
      <w:r>
        <w:rPr>
          <w:rFonts w:hint="eastAsia" w:ascii="宋体" w:hAnsi="宋体" w:eastAsia="宋体" w:cs="宋体"/>
          <w:sz w:val="24"/>
          <w:szCs w:val="24"/>
        </w:rPr>
        <w:t>4、负责向乙方提供物业管理所需图纸、档案、资料。</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5、负责提供物业管理和设备运行、维修、养护必备的专用设备和工具。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6、负责乙方提出的并经甲方审定的设备维修养护计划中零配件、备件和材料等的采购和保管。</w:t>
      </w:r>
    </w:p>
    <w:p>
      <w:pPr>
        <w:keepNext w:val="0"/>
        <w:keepLines w:val="0"/>
        <w:pageBreakBefore w:val="0"/>
        <w:widowControl w:val="0"/>
        <w:kinsoku/>
        <w:wordWrap/>
        <w:overflowPunct/>
        <w:topLinePunct w:val="0"/>
        <w:autoSpaceDE/>
        <w:autoSpaceDN/>
        <w:bidi w:val="0"/>
        <w:adjustRightInd w:val="0"/>
        <w:snapToGrid w:val="0"/>
        <w:spacing w:line="360" w:lineRule="auto"/>
        <w:ind w:left="720" w:leftChars="300" w:right="0" w:rightChars="0"/>
        <w:outlineLvl w:val="9"/>
        <w:rPr>
          <w:rFonts w:hint="eastAsia" w:ascii="宋体" w:hAnsi="宋体" w:eastAsia="宋体" w:cs="宋体"/>
          <w:sz w:val="24"/>
          <w:szCs w:val="24"/>
        </w:rPr>
      </w:pPr>
      <w:r>
        <w:rPr>
          <w:rFonts w:hint="eastAsia" w:ascii="宋体" w:hAnsi="宋体" w:eastAsia="宋体" w:cs="宋体"/>
          <w:sz w:val="24"/>
          <w:szCs w:val="24"/>
        </w:rPr>
        <w:t>7、协调内部关系，协助乙方做好物业管理工作。</w:t>
      </w:r>
    </w:p>
    <w:p>
      <w:pPr>
        <w:keepNext w:val="0"/>
        <w:keepLines w:val="0"/>
        <w:pageBreakBefore w:val="0"/>
        <w:widowControl w:val="0"/>
        <w:kinsoku/>
        <w:wordWrap/>
        <w:overflowPunct/>
        <w:topLinePunct w:val="0"/>
        <w:autoSpaceDE/>
        <w:autoSpaceDN/>
        <w:bidi w:val="0"/>
        <w:adjustRightInd w:val="0"/>
        <w:snapToGrid w:val="0"/>
        <w:spacing w:line="360" w:lineRule="auto"/>
        <w:ind w:left="720" w:leftChars="300" w:right="0" w:rightChars="0"/>
        <w:outlineLvl w:val="9"/>
        <w:rPr>
          <w:rFonts w:hint="eastAsia" w:ascii="宋体" w:hAnsi="宋体" w:eastAsia="宋体" w:cs="宋体"/>
          <w:sz w:val="24"/>
          <w:szCs w:val="24"/>
        </w:rPr>
      </w:pPr>
      <w:r>
        <w:rPr>
          <w:rFonts w:hint="eastAsia" w:ascii="宋体" w:hAnsi="宋体" w:eastAsia="宋体" w:cs="宋体"/>
          <w:sz w:val="24"/>
          <w:szCs w:val="24"/>
        </w:rPr>
        <w:t>8、负责向乙方传达上级安全会议精神并组织落实。</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第十九条 乙方的权利义务</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1、根据有关法律法规，乙方应具备国家承认的物业管理资质，并按国家规定及本协议约定为甲方配备数量充足、技术合格和经过有关部门岗位资格认定的物业管理及安保人员。</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2、根据有关法律法规及本合同的约定，制订物业管理制度，包括：设备操作规程、岗位责任制和上岗人员执业资格证明，报甲方备案。</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3、服从甲方管理，接受甲方监督、检查，遵守甲方有关制度以及疫情防控的相关规定，乙方或乙方物业管理人员违反上述规定的，应自行承担相应责任，且不得因此降低物业管理标准，乙方应及时更换违反上述规定的物业管理人员。</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4、对甲方人员违反政策法规、物业管理制度及甲方的有关制度的行为有权提请甲方有关部门处理。</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5、负责编制设备年度维修养护计划和大中修方案，费用由甲方承担，经双方议定后由乙方组织实施。</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6、负责编制物业管理年度管理、设备维保、大中修预算计划。</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7、 负责准确记录、妥善保管设备运行、维修、养护档案资料，建立设备台帐。</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 8、负责本物业范围内公用设施、设备（主设备及附属设备）的维护和保养。</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9、负责设备完好率的统计，每月向甲方提交物业管理工作计划，每年提交年度总结。</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10、负责对房屋、附属建筑物、构筑物、设施、设备等的设计缺陷、安全隐患提出改进方案，经双方议定后由乙方组织或监督实施。</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11、 配合甲方对通讯系统、卫星电视系统、舞台音响系统进行维护和管理。</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12、本物业的设备设施不得擅自改动，如需在本物业内改、扩建或完善配套项目，须与甲方协商后经甲方批准方可实施。</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13、对突发性事故、灾害和其它公共事件，有义务在甲方的统一领导下，组织抢险、救灾和突击抢修工作。</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14、本合同终止时，乙方必须向甲方移交全部档案资料、原始记录和图纸。</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color w:val="FF0000"/>
          <w:sz w:val="24"/>
          <w:szCs w:val="24"/>
        </w:rPr>
      </w:pPr>
      <w:r>
        <w:rPr>
          <w:rFonts w:hint="eastAsia" w:ascii="宋体" w:hAnsi="宋体" w:eastAsia="宋体" w:cs="宋体"/>
          <w:sz w:val="24"/>
          <w:szCs w:val="24"/>
        </w:rPr>
        <w:t xml:space="preserve">    15、乙方对所管辖甲方的设备、财产的安全负责。因乙方人员无章操作、违章操作或误操作、巡查不认真或不到位、给甲方设备、财产或者第三方的财产造成损失，由乙方承担由此产生的直接损失</w:t>
      </w:r>
      <w:r>
        <w:rPr>
          <w:rFonts w:hint="eastAsia" w:ascii="宋体" w:hAnsi="宋体" w:eastAsia="宋体" w:cs="宋体"/>
          <w:color w:val="000000"/>
          <w:sz w:val="24"/>
          <w:szCs w:val="24"/>
        </w:rPr>
        <w:t>。</w:t>
      </w:r>
      <w:r>
        <w:rPr>
          <w:rFonts w:hint="eastAsia" w:ascii="宋体" w:hAnsi="宋体" w:eastAsia="宋体" w:cs="宋体"/>
          <w:sz w:val="24"/>
          <w:szCs w:val="24"/>
        </w:rPr>
        <w:t>因乙方人员工作失职、失误，未按规程操作</w:t>
      </w:r>
      <w:r>
        <w:rPr>
          <w:rFonts w:hint="eastAsia" w:ascii="宋体" w:hAnsi="宋体" w:eastAsia="宋体" w:cs="宋体"/>
          <w:sz w:val="24"/>
          <w:szCs w:val="24"/>
          <w:lang w:val="en-US" w:eastAsia="zh-CN"/>
        </w:rPr>
        <w:t>等原因</w:t>
      </w:r>
      <w:r>
        <w:rPr>
          <w:rFonts w:hint="eastAsia" w:ascii="宋体" w:hAnsi="宋体" w:eastAsia="宋体" w:cs="宋体"/>
          <w:sz w:val="24"/>
          <w:szCs w:val="24"/>
        </w:rPr>
        <w:t>，发生事故、导致</w:t>
      </w:r>
      <w:r>
        <w:rPr>
          <w:rFonts w:hint="eastAsia" w:ascii="宋体" w:hAnsi="宋体" w:eastAsia="宋体" w:cs="宋体"/>
          <w:sz w:val="24"/>
          <w:szCs w:val="24"/>
          <w:lang w:val="en-US" w:eastAsia="zh-CN"/>
        </w:rPr>
        <w:t>人员</w:t>
      </w:r>
      <w:r>
        <w:rPr>
          <w:rFonts w:hint="eastAsia" w:ascii="宋体" w:hAnsi="宋体" w:eastAsia="宋体" w:cs="宋体"/>
          <w:sz w:val="24"/>
          <w:szCs w:val="24"/>
        </w:rPr>
        <w:t>伤亡，由乙方承担全部责任并赔偿甲方的全部经济损失。</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 xml:space="preserve">16、因乙方原因未达到约定的物业管理质量标准，影响了甲方正常工作的开展（如各种设备突然处于停滞状态、发生断电、气体泄露、漏水等情况）造成的损失将从所支付的管理费中扣除。    </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17、在乙方责任范围内，因工作不到位导致卫生不合格、人员安排不到位、空岗等情况，甲方发现后，第一次发《物业服务监督意见书》（见附件八）限期整改，不予纠正的可开具《物业服务过失告知单》（见附件九）交乙方负责人，并依据物业考核制度，视情况从所支付的物业管理费中扣除相应费用。</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18、在乙方责任范围内，因</w:t>
      </w:r>
      <w:r>
        <w:rPr>
          <w:rFonts w:hint="eastAsia" w:ascii="宋体" w:hAnsi="宋体" w:eastAsia="宋体" w:cs="宋体"/>
          <w:sz w:val="24"/>
          <w:szCs w:val="24"/>
          <w:lang w:eastAsia="zh-CN"/>
        </w:rPr>
        <w:t>安保</w:t>
      </w:r>
      <w:r>
        <w:rPr>
          <w:rFonts w:hint="eastAsia" w:ascii="宋体" w:hAnsi="宋体" w:eastAsia="宋体" w:cs="宋体"/>
          <w:sz w:val="24"/>
          <w:szCs w:val="24"/>
        </w:rPr>
        <w:t>值勤期间工作不负责、服务不到位、空岗等情况，甲方发现后，第一次发《物业服务监督意见书》（见附件八）限期整改，不予纠正的可开具《物业服务过失告知单》（见附件九）交乙方负责人，并依据物业考核制度，视情况从所支付的物业管理费中扣除相应费用。</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19、 在乙方责任范围内，因工作不到位导致甲方受到政府相关部门的处罚，由乙方承担全部处罚责任及赔偿经济损失。</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20、负责乙方人员和财物的安全管理并承担乙方人员伤亡和财物损失的全部责任。</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21、乙方人员的工资、福利、劳保、保险、医疗等及其它相关费用全部由乙方自行负责。甲方与乙方人员不因本协议的签订及履行而成立任何劳动或者劳务关系，若因此发生任何纠纷的，一切责任由乙方自行承担。</w:t>
      </w:r>
    </w:p>
    <w:p>
      <w:pPr>
        <w:keepNext w:val="0"/>
        <w:keepLines w:val="0"/>
        <w:pageBreakBefore w:val="0"/>
        <w:widowControl w:val="0"/>
        <w:kinsoku/>
        <w:wordWrap/>
        <w:overflowPunct/>
        <w:topLinePunct w:val="0"/>
        <w:autoSpaceDE/>
        <w:autoSpaceDN/>
        <w:bidi w:val="0"/>
        <w:adjustRightInd w:val="0"/>
        <w:snapToGrid w:val="0"/>
        <w:spacing w:line="360" w:lineRule="auto"/>
        <w:ind w:left="-2" w:leftChars="-1" w:right="0" w:rightChars="0" w:firstLine="307" w:firstLineChars="128"/>
        <w:outlineLvl w:val="9"/>
        <w:rPr>
          <w:rFonts w:hint="eastAsia" w:ascii="宋体" w:hAnsi="宋体" w:eastAsia="宋体" w:cs="宋体"/>
          <w:sz w:val="24"/>
          <w:szCs w:val="24"/>
        </w:rPr>
      </w:pPr>
      <w:r>
        <w:rPr>
          <w:rFonts w:hint="eastAsia" w:ascii="宋体" w:hAnsi="宋体" w:eastAsia="宋体" w:cs="宋体"/>
          <w:sz w:val="24"/>
          <w:szCs w:val="24"/>
        </w:rPr>
        <w:t xml:space="preserve"> 22、乙方的企业资质每年在政府审批部门年检结论下达后，要及时将年检情况书面报予甲方。</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307" w:firstLineChars="128"/>
        <w:outlineLvl w:val="9"/>
        <w:rPr>
          <w:rFonts w:hint="eastAsia" w:ascii="宋体" w:hAnsi="宋体" w:eastAsia="宋体" w:cs="宋体"/>
          <w:sz w:val="24"/>
          <w:szCs w:val="24"/>
        </w:rPr>
      </w:pPr>
      <w:r>
        <w:rPr>
          <w:rFonts w:hint="eastAsia" w:ascii="宋体" w:hAnsi="宋体" w:eastAsia="宋体" w:cs="宋体"/>
          <w:sz w:val="24"/>
          <w:szCs w:val="24"/>
        </w:rPr>
        <w:t xml:space="preserve"> 23、乙方物业管理人员上班期间不得做与工作无关的事情，甲方发现后，第一次发《物业服务监督意见书》</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见附件八</w:t>
      </w:r>
      <w:r>
        <w:rPr>
          <w:rFonts w:hint="eastAsia" w:ascii="宋体" w:hAnsi="宋体" w:eastAsia="宋体" w:cs="宋体"/>
          <w:sz w:val="24"/>
          <w:szCs w:val="24"/>
          <w:lang w:eastAsia="zh-CN"/>
        </w:rPr>
        <w:t>）</w:t>
      </w:r>
      <w:r>
        <w:rPr>
          <w:rFonts w:hint="eastAsia" w:ascii="宋体" w:hAnsi="宋体" w:eastAsia="宋体" w:cs="宋体"/>
          <w:sz w:val="24"/>
          <w:szCs w:val="24"/>
        </w:rPr>
        <w:t>限期整改，不予纠正的可开具《物业服务过失告知单》</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见附件九</w:t>
      </w:r>
      <w:r>
        <w:rPr>
          <w:rFonts w:hint="eastAsia" w:ascii="宋体" w:hAnsi="宋体" w:eastAsia="宋体" w:cs="宋体"/>
          <w:sz w:val="24"/>
          <w:szCs w:val="24"/>
          <w:lang w:eastAsia="zh-CN"/>
        </w:rPr>
        <w:t>）</w:t>
      </w:r>
      <w:r>
        <w:rPr>
          <w:rFonts w:hint="eastAsia" w:ascii="宋体" w:hAnsi="宋体" w:eastAsia="宋体" w:cs="宋体"/>
          <w:sz w:val="24"/>
          <w:szCs w:val="24"/>
        </w:rPr>
        <w:t>交乙方负责人，并依据物业考核制度，视情况从所支付的物业管理费中扣除相应费用。</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24、物业员工不得与读者及其他第三方发生冲突，在处理问题时，不得损害甲方的利益和名声，如果有读者或第三方因与物业工作人员发生冲突而投诉甲方，依据物业考核制度，视情况从所支付的物业管理费中扣除相应费用。</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25、乙方应当加强对其员工的业务技能培训，并完成每年定期组织全馆职工、物业人员进行</w:t>
      </w:r>
      <w:r>
        <w:rPr>
          <w:rFonts w:hint="eastAsia" w:ascii="宋体" w:hAnsi="宋体" w:eastAsia="宋体" w:cs="宋体"/>
          <w:sz w:val="24"/>
          <w:szCs w:val="24"/>
          <w:lang w:val="en-US" w:eastAsia="zh-CN"/>
        </w:rPr>
        <w:t>的</w:t>
      </w:r>
      <w:r>
        <w:rPr>
          <w:rFonts w:hint="eastAsia" w:ascii="宋体" w:hAnsi="宋体" w:eastAsia="宋体" w:cs="宋体"/>
          <w:sz w:val="24"/>
          <w:szCs w:val="24"/>
        </w:rPr>
        <w:t>安全培训及演练活动。</w:t>
      </w:r>
    </w:p>
    <w:p>
      <w:pPr>
        <w:pStyle w:val="10"/>
        <w:rPr>
          <w:rFonts w:hint="eastAsia"/>
        </w:rPr>
      </w:pPr>
    </w:p>
    <w:p>
      <w:pPr>
        <w:keepNext w:val="0"/>
        <w:keepLines w:val="0"/>
        <w:pageBreakBefore w:val="0"/>
        <w:widowControl w:val="0"/>
        <w:kinsoku/>
        <w:wordWrap/>
        <w:overflowPunct/>
        <w:topLinePunct w:val="0"/>
        <w:autoSpaceDE/>
        <w:autoSpaceDN/>
        <w:bidi w:val="0"/>
        <w:adjustRightInd w:val="0"/>
        <w:snapToGrid w:val="0"/>
        <w:spacing w:line="360" w:lineRule="auto"/>
        <w:ind w:left="420" w:right="0" w:rightChars="0"/>
        <w:jc w:val="center"/>
        <w:outlineLvl w:val="9"/>
        <w:rPr>
          <w:rFonts w:hint="eastAsia" w:ascii="宋体" w:hAnsi="宋体" w:eastAsia="宋体" w:cs="宋体"/>
          <w:b/>
          <w:sz w:val="24"/>
          <w:szCs w:val="24"/>
        </w:rPr>
      </w:pPr>
      <w:r>
        <w:rPr>
          <w:rFonts w:hint="eastAsia" w:ascii="宋体" w:hAnsi="宋体" w:eastAsia="宋体" w:cs="宋体"/>
          <w:b/>
          <w:sz w:val="24"/>
          <w:szCs w:val="24"/>
        </w:rPr>
        <w:t>第五章 物业管理服务费用及支付方式</w:t>
      </w:r>
    </w:p>
    <w:p>
      <w:pPr>
        <w:keepNext w:val="0"/>
        <w:keepLines w:val="0"/>
        <w:pageBreakBefore w:val="0"/>
        <w:widowControl w:val="0"/>
        <w:kinsoku/>
        <w:wordWrap/>
        <w:overflowPunct/>
        <w:topLinePunct w:val="0"/>
        <w:autoSpaceDE/>
        <w:autoSpaceDN/>
        <w:bidi w:val="0"/>
        <w:adjustRightInd w:val="0"/>
        <w:snapToGrid w:val="0"/>
        <w:spacing w:line="360" w:lineRule="auto"/>
        <w:ind w:left="420" w:right="0" w:rightChars="0"/>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76" w:firstLineChars="240"/>
        <w:outlineLvl w:val="9"/>
        <w:rPr>
          <w:rFonts w:hint="eastAsia" w:ascii="宋体" w:hAnsi="宋体" w:eastAsia="宋体" w:cs="宋体"/>
          <w:sz w:val="24"/>
          <w:szCs w:val="24"/>
        </w:rPr>
      </w:pPr>
      <w:r>
        <w:rPr>
          <w:rFonts w:hint="eastAsia" w:ascii="宋体" w:hAnsi="宋体" w:eastAsia="宋体" w:cs="宋体"/>
          <w:sz w:val="24"/>
          <w:szCs w:val="24"/>
        </w:rPr>
        <w:t>第二十条  本协议项下委托物业管理服务费</w:t>
      </w:r>
      <w:r>
        <w:rPr>
          <w:rFonts w:hint="eastAsia" w:ascii="宋体" w:hAnsi="宋体" w:eastAsia="宋体" w:cs="宋体"/>
          <w:sz w:val="24"/>
          <w:szCs w:val="24"/>
          <w:lang w:val="en-US" w:eastAsia="zh-CN"/>
        </w:rPr>
        <w:t>为每月     元</w:t>
      </w:r>
      <w:r>
        <w:rPr>
          <w:rFonts w:hint="eastAsia" w:ascii="宋体" w:hAnsi="宋体" w:eastAsia="宋体" w:cs="宋体"/>
          <w:sz w:val="24"/>
          <w:szCs w:val="24"/>
        </w:rPr>
        <w:t>（大写：</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上述费用包括物业管理所需人员（含工资、社会保险或商业保险、福利等）、物品、设备设施、管理费、税费、利润等全部费用在内，除本协议有特别约定外，乙方无权要求甲方再支付任何费用或者提供其他条件。</w:t>
      </w:r>
    </w:p>
    <w:p>
      <w:pPr>
        <w:keepNext w:val="0"/>
        <w:keepLines w:val="0"/>
        <w:pageBreakBefore w:val="0"/>
        <w:widowControl w:val="0"/>
        <w:kinsoku/>
        <w:wordWrap/>
        <w:overflowPunct/>
        <w:topLinePunct w:val="0"/>
        <w:autoSpaceDE/>
        <w:autoSpaceDN/>
        <w:bidi w:val="0"/>
        <w:adjustRightInd w:val="0"/>
        <w:snapToGrid w:val="0"/>
        <w:spacing w:line="360" w:lineRule="auto"/>
        <w:ind w:left="540" w:right="0" w:rightChars="0"/>
        <w:outlineLvl w:val="9"/>
        <w:rPr>
          <w:rFonts w:hint="eastAsia" w:ascii="宋体" w:hAnsi="宋体" w:eastAsia="宋体" w:cs="宋体"/>
          <w:sz w:val="24"/>
          <w:szCs w:val="24"/>
        </w:rPr>
      </w:pPr>
      <w:r>
        <w:rPr>
          <w:rFonts w:hint="eastAsia" w:ascii="宋体" w:hAnsi="宋体" w:eastAsia="宋体" w:cs="宋体"/>
          <w:sz w:val="24"/>
          <w:szCs w:val="24"/>
        </w:rPr>
        <w:t>第二十一条  物业管理服务费的支付方式</w:t>
      </w:r>
    </w:p>
    <w:p>
      <w:pPr>
        <w:keepNext w:val="0"/>
        <w:keepLines w:val="0"/>
        <w:pageBreakBefore w:val="0"/>
        <w:widowControl w:val="0"/>
        <w:numPr>
          <w:ilvl w:val="0"/>
          <w:numId w:val="26"/>
        </w:numPr>
        <w:kinsoku/>
        <w:wordWrap/>
        <w:overflowPunct/>
        <w:topLinePunct w:val="0"/>
        <w:autoSpaceDE/>
        <w:autoSpaceDN/>
        <w:bidi w:val="0"/>
        <w:adjustRightInd w:val="0"/>
        <w:snapToGrid w:val="0"/>
        <w:spacing w:line="360" w:lineRule="auto"/>
        <w:ind w:right="0" w:rightChars="0" w:firstLine="480" w:firstLineChars="200"/>
        <w:outlineLvl w:val="9"/>
        <w:rPr>
          <w:rFonts w:hint="eastAsia" w:ascii="宋体" w:hAnsi="宋体" w:eastAsia="宋体" w:cs="宋体"/>
          <w:sz w:val="24"/>
          <w:szCs w:val="24"/>
          <w:lang w:val="en-US" w:eastAsia="zh-CN"/>
        </w:rPr>
      </w:pPr>
      <w:r>
        <w:rPr>
          <w:rFonts w:hint="eastAsia" w:ascii="宋体" w:hAnsi="宋体" w:eastAsia="宋体" w:cs="宋体"/>
          <w:sz w:val="24"/>
          <w:szCs w:val="24"/>
        </w:rPr>
        <w:t>甲乙双方约定合同签订后</w:t>
      </w:r>
      <w:r>
        <w:rPr>
          <w:rFonts w:hint="eastAsia" w:ascii="宋体" w:hAnsi="宋体" w:eastAsia="宋体" w:cs="宋体"/>
          <w:sz w:val="24"/>
          <w:szCs w:val="24"/>
          <w:lang w:val="en-US" w:eastAsia="zh-CN"/>
        </w:rPr>
        <w:t>七个工作日内</w:t>
      </w:r>
      <w:r>
        <w:rPr>
          <w:rFonts w:hint="eastAsia" w:ascii="宋体" w:hAnsi="宋体" w:eastAsia="宋体" w:cs="宋体"/>
          <w:sz w:val="24"/>
          <w:szCs w:val="24"/>
        </w:rPr>
        <w:t>，</w:t>
      </w:r>
      <w:r>
        <w:rPr>
          <w:rFonts w:hint="eastAsia" w:ascii="宋体" w:hAnsi="宋体" w:eastAsia="宋体" w:cs="宋体"/>
          <w:sz w:val="24"/>
          <w:szCs w:val="24"/>
          <w:lang w:val="en-US" w:eastAsia="zh-CN"/>
        </w:rPr>
        <w:t>甲方支付首笔物业管理服务费（约占合同总额60%），2025年7月1日前，乙方支付约定费用总额的5%作为履约保证金，甲方支付乙方第二笔物业服务费（约占合同总额40%），待服务期满后，乙方服务符合本项目约定及甲方要求的，甲方于2026年1月15日前无息返还履约保证金。</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2、物业管理过程中发生的能源费用，维修、改造、养护的材料费用，备件、配件、设备委托检测维保费用均由甲方承担；乙方负责支付工程部工具及维修小件耗材</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甲方不需另外支付此项费用</w:t>
      </w:r>
      <w:r>
        <w:rPr>
          <w:rFonts w:hint="eastAsia" w:ascii="宋体" w:hAnsi="宋体" w:eastAsia="宋体" w:cs="宋体"/>
          <w:sz w:val="24"/>
          <w:szCs w:val="24"/>
        </w:rPr>
        <w:t>。</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3、在甲方支付相关费用之前，乙方应当向甲方开具同等金额的发票，否则甲方有权拒绝支付相应款项，并不承担任何违约责任；但乙方不得以此为由拒绝履行相关合同义务。若本协议项下物业管理服务费用涉及审批且甲方因此未按约定时间付款的，则付款时间相应顺延，甲方无需因此承担任何法律责任。</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4、双方在此确认，甲方可能因情势变更或不可抗力（包括自然灾害、疫情、政府管制或行政命令等）而部分或全部中止物业管理区域对外开放，因部分或全部中止物业管理区域对外开放而造成本协议无法履行、无需履行或履行已无实际意义的，不视为甲方违约，甲方将根据乙方已实际提供物业管理服务情况与乙方结算物业管理服务费用。</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p>
    <w:p>
      <w:pPr>
        <w:keepNext w:val="0"/>
        <w:keepLines w:val="0"/>
        <w:pageBreakBefore w:val="0"/>
        <w:widowControl w:val="0"/>
        <w:numPr>
          <w:ilvl w:val="0"/>
          <w:numId w:val="27"/>
        </w:numPr>
        <w:kinsoku/>
        <w:wordWrap/>
        <w:overflowPunct/>
        <w:topLinePunct w:val="0"/>
        <w:autoSpaceDE/>
        <w:autoSpaceDN/>
        <w:bidi w:val="0"/>
        <w:adjustRightInd w:val="0"/>
        <w:snapToGrid w:val="0"/>
        <w:spacing w:line="360" w:lineRule="auto"/>
        <w:ind w:right="0" w:rightChars="0"/>
        <w:jc w:val="center"/>
        <w:outlineLvl w:val="9"/>
        <w:rPr>
          <w:rFonts w:hint="eastAsia" w:ascii="宋体" w:hAnsi="宋体" w:eastAsia="宋体" w:cs="宋体"/>
          <w:b/>
          <w:bCs/>
          <w:sz w:val="24"/>
          <w:szCs w:val="24"/>
        </w:rPr>
      </w:pPr>
      <w:r>
        <w:rPr>
          <w:rFonts w:hint="eastAsia" w:ascii="宋体" w:hAnsi="宋体" w:eastAsia="宋体" w:cs="宋体"/>
          <w:b/>
          <w:bCs/>
          <w:sz w:val="24"/>
          <w:szCs w:val="24"/>
        </w:rPr>
        <w:t>合同解除和终止的约定</w:t>
      </w:r>
    </w:p>
    <w:p>
      <w:pPr>
        <w:keepNext w:val="0"/>
        <w:keepLines w:val="0"/>
        <w:pageBreakBefore w:val="0"/>
        <w:widowControl w:val="0"/>
        <w:kinsoku/>
        <w:wordWrap/>
        <w:overflowPunct/>
        <w:topLinePunct w:val="0"/>
        <w:autoSpaceDE/>
        <w:autoSpaceDN/>
        <w:bidi w:val="0"/>
        <w:adjustRightInd w:val="0"/>
        <w:snapToGrid w:val="0"/>
        <w:spacing w:line="360" w:lineRule="auto"/>
        <w:ind w:left="420" w:right="0" w:rightChars="0"/>
        <w:outlineLvl w:val="9"/>
        <w:rPr>
          <w:rFonts w:hint="eastAsia" w:ascii="宋体" w:hAnsi="宋体" w:eastAsia="宋体" w:cs="宋体"/>
          <w:b/>
          <w:bCs/>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76" w:firstLineChars="240"/>
        <w:outlineLvl w:val="9"/>
        <w:rPr>
          <w:rFonts w:hint="eastAsia" w:ascii="宋体" w:hAnsi="宋体" w:eastAsia="宋体" w:cs="宋体"/>
          <w:sz w:val="24"/>
          <w:szCs w:val="24"/>
        </w:rPr>
      </w:pPr>
      <w:r>
        <w:rPr>
          <w:rFonts w:hint="eastAsia" w:ascii="宋体" w:hAnsi="宋体" w:eastAsia="宋体" w:cs="宋体"/>
          <w:sz w:val="24"/>
          <w:szCs w:val="24"/>
        </w:rPr>
        <w:t>第二十二条  本合同期满，甲方可根据乙方服务质量以及相关部门发布的政府采购、招标投标等相关规定确定是否与乙方续约。</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第二十三条  双方履约期间，如遇北京市及石景山区政府采购相关政策变化调整或政府采购定点名录更新等，导致双方不能继续履行协议的，以市、区政府采购相关政策规定及甲方上级主管部门批复意见为约束，未尽事宜双方协商处理，据实结算，不视为</w:t>
      </w:r>
      <w:r>
        <w:rPr>
          <w:rFonts w:hint="eastAsia" w:ascii="宋体" w:hAnsi="宋体" w:eastAsia="宋体" w:cs="宋体"/>
          <w:sz w:val="24"/>
          <w:szCs w:val="24"/>
          <w:lang w:val="en-US" w:eastAsia="zh-CN"/>
        </w:rPr>
        <w:t>甲方</w:t>
      </w:r>
      <w:r>
        <w:rPr>
          <w:rFonts w:hint="eastAsia" w:ascii="宋体" w:hAnsi="宋体" w:eastAsia="宋体" w:cs="宋体"/>
          <w:sz w:val="24"/>
          <w:szCs w:val="24"/>
        </w:rPr>
        <w:t>违约。　　</w:t>
      </w:r>
    </w:p>
    <w:p>
      <w:pPr>
        <w:keepNext w:val="0"/>
        <w:keepLines w:val="0"/>
        <w:pageBreakBefore w:val="0"/>
        <w:widowControl w:val="0"/>
        <w:kinsoku/>
        <w:wordWrap/>
        <w:overflowPunct/>
        <w:topLinePunct w:val="0"/>
        <w:autoSpaceDE/>
        <w:autoSpaceDN/>
        <w:bidi w:val="0"/>
        <w:adjustRightInd w:val="0"/>
        <w:snapToGrid w:val="0"/>
        <w:spacing w:line="360" w:lineRule="auto"/>
        <w:ind w:left="2" w:right="0" w:rightChars="0" w:firstLine="573" w:firstLineChars="239"/>
        <w:outlineLvl w:val="9"/>
        <w:rPr>
          <w:rFonts w:hint="eastAsia" w:ascii="宋体" w:hAnsi="宋体" w:eastAsia="宋体" w:cs="宋体"/>
          <w:sz w:val="24"/>
          <w:szCs w:val="24"/>
        </w:rPr>
      </w:pPr>
      <w:r>
        <w:rPr>
          <w:rFonts w:hint="eastAsia" w:ascii="宋体" w:hAnsi="宋体" w:eastAsia="宋体" w:cs="宋体"/>
          <w:sz w:val="24"/>
          <w:szCs w:val="24"/>
        </w:rPr>
        <w:t>第二十四条  本合同终止前，甲方应组织协调新老物业的交接。如有必要，甲乙双方协商可适当延长交接期限，但甲方需支付乙方相关费用。</w:t>
      </w:r>
    </w:p>
    <w:p>
      <w:pPr>
        <w:pStyle w:val="10"/>
        <w:rPr>
          <w:rFonts w:hint="eastAsia"/>
        </w:rPr>
      </w:pPr>
    </w:p>
    <w:p>
      <w:pPr>
        <w:keepNext w:val="0"/>
        <w:keepLines w:val="0"/>
        <w:pageBreakBefore w:val="0"/>
        <w:widowControl w:val="0"/>
        <w:numPr>
          <w:ilvl w:val="0"/>
          <w:numId w:val="27"/>
        </w:numPr>
        <w:kinsoku/>
        <w:wordWrap/>
        <w:overflowPunct/>
        <w:topLinePunct w:val="0"/>
        <w:autoSpaceDE/>
        <w:autoSpaceDN/>
        <w:bidi w:val="0"/>
        <w:adjustRightInd w:val="0"/>
        <w:snapToGrid w:val="0"/>
        <w:spacing w:line="360" w:lineRule="auto"/>
        <w:ind w:right="0" w:rightChars="0"/>
        <w:jc w:val="center"/>
        <w:outlineLvl w:val="9"/>
        <w:rPr>
          <w:rFonts w:hint="eastAsia" w:ascii="宋体" w:hAnsi="宋体" w:eastAsia="宋体" w:cs="宋体"/>
          <w:b/>
          <w:sz w:val="24"/>
          <w:szCs w:val="24"/>
        </w:rPr>
      </w:pPr>
      <w:r>
        <w:rPr>
          <w:rFonts w:hint="eastAsia" w:ascii="宋体" w:hAnsi="宋体" w:eastAsia="宋体" w:cs="宋体"/>
          <w:b/>
          <w:sz w:val="24"/>
          <w:szCs w:val="24"/>
        </w:rPr>
        <w:t>违约责任</w:t>
      </w:r>
    </w:p>
    <w:p>
      <w:pPr>
        <w:keepNext w:val="0"/>
        <w:keepLines w:val="0"/>
        <w:pageBreakBefore w:val="0"/>
        <w:widowControl w:val="0"/>
        <w:kinsoku/>
        <w:wordWrap/>
        <w:overflowPunct/>
        <w:topLinePunct w:val="0"/>
        <w:autoSpaceDE/>
        <w:autoSpaceDN/>
        <w:bidi w:val="0"/>
        <w:adjustRightInd w:val="0"/>
        <w:snapToGrid w:val="0"/>
        <w:spacing w:line="360" w:lineRule="auto"/>
        <w:ind w:left="420" w:right="0" w:rightChars="0"/>
        <w:jc w:val="center"/>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left="2" w:right="0" w:rightChars="0"/>
        <w:outlineLvl w:val="9"/>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第二十五条  甲方违反本合同第四章第十八</w:t>
      </w:r>
      <w:r>
        <w:rPr>
          <w:rFonts w:hint="eastAsia" w:ascii="宋体" w:hAnsi="宋体" w:eastAsia="宋体" w:cs="宋体"/>
          <w:sz w:val="24"/>
          <w:szCs w:val="24"/>
          <w:lang w:val="en-US" w:eastAsia="zh-CN"/>
        </w:rPr>
        <w:t>条</w:t>
      </w:r>
      <w:r>
        <w:rPr>
          <w:rFonts w:hint="eastAsia" w:ascii="宋体" w:hAnsi="宋体" w:eastAsia="宋体" w:cs="宋体"/>
          <w:sz w:val="24"/>
          <w:szCs w:val="24"/>
        </w:rPr>
        <w:t>的约定，使乙方未完成规定管理目标，乙方有权要求甲方在一定期限内解决，甲方仍未能解决的，乙方不承担因此导致的相关责任。</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76" w:firstLineChars="240"/>
        <w:outlineLvl w:val="9"/>
        <w:rPr>
          <w:rFonts w:hint="eastAsia" w:ascii="宋体" w:hAnsi="宋体" w:eastAsia="宋体" w:cs="宋体"/>
          <w:sz w:val="24"/>
          <w:szCs w:val="24"/>
        </w:rPr>
      </w:pPr>
      <w:r>
        <w:rPr>
          <w:rFonts w:hint="eastAsia" w:ascii="宋体" w:hAnsi="宋体" w:eastAsia="宋体" w:cs="宋体"/>
          <w:sz w:val="24"/>
          <w:szCs w:val="24"/>
        </w:rPr>
        <w:t>第二十六条  乙方有下列情形之一的，</w:t>
      </w:r>
      <w:r>
        <w:rPr>
          <w:rFonts w:hint="eastAsia" w:ascii="宋体" w:hAnsi="宋体" w:eastAsia="宋体" w:cs="宋体"/>
          <w:sz w:val="24"/>
          <w:szCs w:val="24"/>
          <w:lang w:val="en-US" w:eastAsia="zh-CN"/>
        </w:rPr>
        <w:t>需承担违约责任</w:t>
      </w:r>
      <w:r>
        <w:rPr>
          <w:rFonts w:hint="eastAsia" w:ascii="宋体" w:hAnsi="宋体" w:eastAsia="宋体" w:cs="宋体"/>
          <w:sz w:val="24"/>
          <w:szCs w:val="24"/>
        </w:rPr>
        <w:t>：</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672" w:firstLineChars="0"/>
        <w:outlineLvl w:val="9"/>
        <w:rPr>
          <w:rFonts w:hint="eastAsia" w:ascii="宋体" w:hAnsi="宋体" w:eastAsia="宋体" w:cs="宋体"/>
          <w:sz w:val="24"/>
          <w:szCs w:val="24"/>
        </w:rPr>
      </w:pPr>
      <w:r>
        <w:rPr>
          <w:rFonts w:hint="eastAsia" w:ascii="宋体" w:hAnsi="宋体" w:eastAsia="宋体" w:cs="宋体"/>
          <w:sz w:val="24"/>
          <w:szCs w:val="24"/>
        </w:rPr>
        <w:t>1、乙方未能达到约定的管理目标、要求且在甲方提出整改要求3日后仍未能达到整改效果的；</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672"/>
        <w:outlineLvl w:val="9"/>
        <w:rPr>
          <w:rFonts w:hint="eastAsia" w:ascii="宋体" w:hAnsi="宋体" w:eastAsia="宋体" w:cs="宋体"/>
          <w:sz w:val="24"/>
          <w:szCs w:val="24"/>
        </w:rPr>
      </w:pPr>
      <w:r>
        <w:rPr>
          <w:rFonts w:hint="eastAsia" w:ascii="宋体" w:hAnsi="宋体" w:eastAsia="宋体" w:cs="宋体"/>
          <w:sz w:val="24"/>
          <w:szCs w:val="24"/>
        </w:rPr>
        <w:t>2、因乙方原因造成任何人身、财产损失或其他安全事故（包括但不限于停电、停水、漏水、漏气等）的；</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672"/>
        <w:outlineLvl w:val="9"/>
        <w:rPr>
          <w:rFonts w:hint="eastAsia" w:ascii="宋体" w:hAnsi="宋体" w:eastAsia="宋体" w:cs="宋体"/>
          <w:sz w:val="24"/>
          <w:szCs w:val="24"/>
        </w:rPr>
      </w:pPr>
      <w:r>
        <w:rPr>
          <w:rFonts w:hint="eastAsia" w:ascii="宋体" w:hAnsi="宋体" w:eastAsia="宋体" w:cs="宋体"/>
          <w:sz w:val="24"/>
          <w:szCs w:val="24"/>
        </w:rPr>
        <w:t>3、乙方或乙方物业管理人员违反甲方或相关方管理制度或因乙方原因与第三方产生任何争议、纠纷的；</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672"/>
        <w:outlineLvl w:val="9"/>
        <w:rPr>
          <w:rFonts w:hint="eastAsia" w:ascii="宋体" w:hAnsi="宋体" w:eastAsia="宋体" w:cs="宋体"/>
          <w:sz w:val="24"/>
          <w:szCs w:val="24"/>
        </w:rPr>
      </w:pPr>
      <w:r>
        <w:rPr>
          <w:rFonts w:hint="eastAsia" w:ascii="宋体" w:hAnsi="宋体" w:eastAsia="宋体" w:cs="宋体"/>
          <w:sz w:val="24"/>
          <w:szCs w:val="24"/>
        </w:rPr>
        <w:t>4、乙方瞒报、谎报、缓报物业管理人员身体健康状况或行动轨迹、来源地区等基本情况的；</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672"/>
        <w:outlineLvl w:val="9"/>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、乙方有其他违反法律法规或本协议约定的情形的。</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672" w:firstLineChars="0"/>
        <w:outlineLvl w:val="9"/>
        <w:rPr>
          <w:rFonts w:hint="eastAsia" w:ascii="宋体" w:hAnsi="宋体" w:eastAsia="宋体" w:cs="宋体"/>
          <w:sz w:val="24"/>
          <w:szCs w:val="24"/>
        </w:rPr>
      </w:pPr>
      <w:r>
        <w:rPr>
          <w:rFonts w:hint="eastAsia" w:ascii="宋体" w:hAnsi="宋体" w:eastAsia="宋体" w:cs="宋体"/>
          <w:sz w:val="24"/>
          <w:szCs w:val="24"/>
        </w:rPr>
        <w:t>乙方有上述情形之一的，甲方有权解除本协议，无需支付未经甲方确认以及尚未履行部分物业管理服务费用，如相关费用已支付的，乙方应予以退还，除此之外，乙方还应向甲方支付相当于一个月物业管理服务费用总额的违约金，该违约金不视为甲方全部实际损失，甲方仍保留追究乙方法律责任的权利。</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76" w:firstLineChars="240"/>
        <w:outlineLvl w:val="9"/>
        <w:rPr>
          <w:rFonts w:hint="eastAsia" w:ascii="宋体" w:hAnsi="宋体" w:eastAsia="宋体" w:cs="宋体"/>
          <w:sz w:val="24"/>
          <w:szCs w:val="24"/>
        </w:rPr>
      </w:pPr>
      <w:r>
        <w:rPr>
          <w:rFonts w:hint="eastAsia" w:ascii="宋体" w:hAnsi="宋体" w:eastAsia="宋体" w:cs="宋体"/>
          <w:sz w:val="24"/>
          <w:szCs w:val="24"/>
        </w:rPr>
        <w:t>第二十七条  因</w:t>
      </w:r>
      <w:r>
        <w:rPr>
          <w:rFonts w:hint="eastAsia" w:ascii="宋体" w:hAnsi="宋体" w:eastAsia="宋体" w:cs="宋体"/>
          <w:sz w:val="24"/>
          <w:szCs w:val="24"/>
          <w:lang w:val="en-US" w:eastAsia="zh-CN"/>
        </w:rPr>
        <w:t>本协议第</w:t>
      </w:r>
      <w:r>
        <w:rPr>
          <w:rFonts w:hint="eastAsia" w:ascii="宋体" w:hAnsi="宋体" w:eastAsia="宋体" w:cs="宋体"/>
          <w:sz w:val="24"/>
          <w:szCs w:val="24"/>
        </w:rPr>
        <w:t>四章十八条和十九条规定的原因导致守约方不得不提前终止合同的，或者任何一方无法律及合同上的依据单方面提前终止合同的，违约方应赔偿对方</w:t>
      </w:r>
      <w:r>
        <w:rPr>
          <w:rFonts w:hint="eastAsia" w:ascii="宋体" w:hAnsi="宋体" w:eastAsia="宋体" w:cs="宋体"/>
          <w:sz w:val="24"/>
          <w:szCs w:val="24"/>
          <w:lang w:val="en-US" w:eastAsia="zh-CN"/>
        </w:rPr>
        <w:t>三</w:t>
      </w:r>
      <w:r>
        <w:rPr>
          <w:rFonts w:hint="eastAsia" w:ascii="宋体" w:hAnsi="宋体" w:eastAsia="宋体" w:cs="宋体"/>
          <w:sz w:val="24"/>
          <w:szCs w:val="24"/>
        </w:rPr>
        <w:t>万元人民币的违约金，违约金不足以弥补对方损失的，还应赔偿该等损失；任何一方违反合同的其他规定造成对方经济损失的，应给予经济赔偿。</w:t>
      </w:r>
    </w:p>
    <w:p>
      <w:pPr>
        <w:pStyle w:val="10"/>
        <w:rPr>
          <w:rFonts w:hint="eastAsia"/>
        </w:rPr>
      </w:pPr>
    </w:p>
    <w:p>
      <w:pPr>
        <w:keepNext w:val="0"/>
        <w:keepLines w:val="0"/>
        <w:pageBreakBefore w:val="0"/>
        <w:widowControl w:val="0"/>
        <w:kinsoku/>
        <w:wordWrap/>
        <w:overflowPunct/>
        <w:topLinePunct w:val="0"/>
        <w:autoSpaceDE/>
        <w:autoSpaceDN/>
        <w:bidi w:val="0"/>
        <w:adjustRightInd w:val="0"/>
        <w:snapToGrid w:val="0"/>
        <w:spacing w:line="360" w:lineRule="auto"/>
        <w:ind w:left="840" w:right="0" w:rightChars="0"/>
        <w:jc w:val="center"/>
        <w:outlineLvl w:val="9"/>
        <w:rPr>
          <w:rFonts w:hint="eastAsia" w:ascii="宋体" w:hAnsi="宋体" w:eastAsia="宋体" w:cs="宋体"/>
          <w:b/>
          <w:sz w:val="24"/>
          <w:szCs w:val="24"/>
        </w:rPr>
      </w:pPr>
      <w:r>
        <w:rPr>
          <w:rFonts w:hint="eastAsia" w:ascii="宋体" w:hAnsi="宋体" w:eastAsia="宋体" w:cs="宋体"/>
          <w:b/>
          <w:sz w:val="24"/>
          <w:szCs w:val="24"/>
        </w:rPr>
        <w:t>第八章 附  则</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第二十八条  甲乙双方可对本合同条款进行补充，以书面形式签订补充协议，补充协议与本合同具有同等效力。</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76" w:firstLineChars="240"/>
        <w:outlineLvl w:val="9"/>
        <w:rPr>
          <w:rFonts w:hint="eastAsia" w:ascii="宋体" w:hAnsi="宋体" w:eastAsia="宋体" w:cs="宋体"/>
          <w:sz w:val="24"/>
          <w:szCs w:val="24"/>
        </w:rPr>
      </w:pPr>
      <w:r>
        <w:rPr>
          <w:rFonts w:hint="eastAsia" w:ascii="宋体" w:hAnsi="宋体" w:eastAsia="宋体" w:cs="宋体"/>
          <w:sz w:val="24"/>
          <w:szCs w:val="24"/>
        </w:rPr>
        <w:t>第二十九条  本合同之附件均为合同有效组成部分，具有同等效力。本合同及其附件中未规定的事宜，均遵照国家有关法律、法规和政策执行。</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第三十条  本合同执行期间，如遇不可抗力</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包括自然灾害、政府管制或禁令等</w:t>
      </w:r>
      <w:r>
        <w:rPr>
          <w:rFonts w:hint="eastAsia" w:ascii="宋体" w:hAnsi="宋体" w:eastAsia="宋体" w:cs="宋体"/>
          <w:sz w:val="24"/>
          <w:szCs w:val="24"/>
          <w:lang w:eastAsia="zh-CN"/>
        </w:rPr>
        <w:t>）</w:t>
      </w:r>
      <w:r>
        <w:rPr>
          <w:rFonts w:hint="eastAsia" w:ascii="宋体" w:hAnsi="宋体" w:eastAsia="宋体" w:cs="宋体"/>
          <w:sz w:val="24"/>
          <w:szCs w:val="24"/>
        </w:rPr>
        <w:t>致使合同无法履行时，甲方有权终止合同。如遇上级部门、政策要求停止履行合同时，甲方有权终止合同，无需承担违约责任。如有争议，双方应按有关法律规定协商处理。</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第三十一条 乙方应当对其因本合同的签订及履行而获知的甲方相关信息进行保密，且未经甲方书面同意，不得超出本合同目的范围使用；若乙方违反上述义务给甲方造成损失的，应当承担赔偿责任。</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乙方应当保证其员工承担相同程度的保密义务，并为其员工违反义务的行为向甲方承担责任。</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本条约定的保密责任不因本合同的终止而终止履行。</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第三十二条 本合同在履行或终止时如发生争议，双方应协商解决，协商不成的，任何一方可以向甲方所在地北京市石景山区有管辖权的法院提起诉讼。</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第三十三条 本合同正本共</w:t>
      </w:r>
      <w:r>
        <w:rPr>
          <w:rFonts w:hint="eastAsia" w:ascii="宋体" w:hAnsi="宋体" w:eastAsia="宋体" w:cs="宋体"/>
          <w:sz w:val="24"/>
          <w:szCs w:val="24"/>
          <w:u w:val="single"/>
        </w:rPr>
        <w:t xml:space="preserve">  </w:t>
      </w:r>
      <w:r>
        <w:rPr>
          <w:rFonts w:hint="eastAsia" w:ascii="宋体" w:hAnsi="宋体" w:eastAsia="宋体" w:cs="宋体"/>
          <w:sz w:val="24"/>
          <w:szCs w:val="24"/>
        </w:rPr>
        <w:t>页，一式四份，</w:t>
      </w:r>
      <w:r>
        <w:rPr>
          <w:rFonts w:hint="eastAsia" w:ascii="宋体" w:hAnsi="宋体" w:eastAsia="宋体" w:cs="宋体"/>
          <w:color w:val="000000"/>
          <w:sz w:val="24"/>
          <w:szCs w:val="24"/>
        </w:rPr>
        <w:t>甲乙双方</w:t>
      </w:r>
      <w:r>
        <w:rPr>
          <w:rFonts w:hint="eastAsia" w:ascii="宋体" w:hAnsi="宋体" w:eastAsia="宋体" w:cs="宋体"/>
          <w:sz w:val="24"/>
          <w:szCs w:val="24"/>
        </w:rPr>
        <w:t>各执两份，具有同等的法律效力。</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第三十四条  本合同自双方签字盖章之日起生效。</w:t>
      </w:r>
    </w:p>
    <w:p>
      <w:pPr>
        <w:keepNext w:val="0"/>
        <w:keepLines w:val="0"/>
        <w:pageBreakBefore w:val="0"/>
        <w:widowControl w:val="0"/>
        <w:kinsoku/>
        <w:wordWrap/>
        <w:overflowPunct/>
        <w:topLinePunct w:val="0"/>
        <w:autoSpaceDE/>
        <w:autoSpaceDN/>
        <w:bidi w:val="0"/>
        <w:adjustRightInd w:val="0"/>
        <w:snapToGrid w:val="0"/>
        <w:spacing w:line="360" w:lineRule="auto"/>
        <w:ind w:left="420" w:right="0" w:rightChars="0"/>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left="420" w:right="0" w:rightChars="0"/>
        <w:outlineLvl w:val="9"/>
        <w:rPr>
          <w:rFonts w:hint="eastAsia" w:ascii="宋体" w:hAnsi="宋体" w:eastAsia="宋体" w:cs="宋体"/>
          <w:sz w:val="24"/>
          <w:szCs w:val="24"/>
        </w:rPr>
      </w:pPr>
      <w:r>
        <w:rPr>
          <w:rFonts w:hint="eastAsia" w:ascii="宋体" w:hAnsi="宋体" w:eastAsia="宋体" w:cs="宋体"/>
          <w:sz w:val="24"/>
          <w:szCs w:val="24"/>
        </w:rPr>
        <w:t>甲方签章                          乙方签章</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代表人：                          代表人：</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年    月     日                   年    月     日</w:t>
      </w:r>
    </w:p>
    <w:p>
      <w:pPr>
        <w:rPr>
          <w:rFonts w:hint="eastAsia" w:ascii="宋体" w:hAnsi="宋体" w:cs="宋体"/>
          <w:b/>
          <w:bCs/>
          <w:color w:val="auto"/>
          <w:sz w:val="24"/>
          <w:highlight w:val="none"/>
        </w:rPr>
      </w:pPr>
    </w:p>
    <w:p>
      <w:pPr>
        <w:pStyle w:val="10"/>
        <w:rPr>
          <w:rFonts w:hint="eastAsia" w:ascii="宋体" w:hAnsi="宋体" w:cs="宋体"/>
          <w:b/>
          <w:bCs/>
          <w:color w:val="auto"/>
          <w:sz w:val="24"/>
          <w:highlight w:val="none"/>
        </w:rPr>
      </w:pPr>
    </w:p>
    <w:p>
      <w:pPr>
        <w:pStyle w:val="10"/>
        <w:rPr>
          <w:rFonts w:hint="eastAsia" w:ascii="宋体" w:hAnsi="宋体" w:cs="宋体"/>
          <w:b/>
          <w:bCs/>
          <w:color w:val="auto"/>
          <w:sz w:val="24"/>
          <w:highlight w:val="none"/>
        </w:rPr>
      </w:pPr>
    </w:p>
    <w:p>
      <w:pPr>
        <w:pStyle w:val="10"/>
        <w:rPr>
          <w:rFonts w:hint="eastAsia" w:ascii="宋体" w:hAnsi="宋体" w:cs="宋体"/>
          <w:b/>
          <w:bCs/>
          <w:color w:val="auto"/>
          <w:sz w:val="24"/>
          <w:highlight w:val="none"/>
        </w:rPr>
      </w:pPr>
    </w:p>
    <w:p>
      <w:pPr>
        <w:pStyle w:val="10"/>
        <w:rPr>
          <w:rFonts w:hint="eastAsia" w:ascii="宋体" w:hAnsi="宋体" w:cs="宋体"/>
          <w:b/>
          <w:bCs/>
          <w:color w:val="auto"/>
          <w:sz w:val="24"/>
          <w:highlight w:val="none"/>
        </w:rPr>
      </w:pPr>
    </w:p>
    <w:p>
      <w:pPr>
        <w:pStyle w:val="10"/>
        <w:rPr>
          <w:rFonts w:hint="eastAsia" w:ascii="宋体" w:hAnsi="宋体" w:cs="宋体"/>
          <w:b/>
          <w:bCs/>
          <w:color w:val="auto"/>
          <w:sz w:val="24"/>
          <w:highlight w:val="none"/>
        </w:rPr>
      </w:pPr>
    </w:p>
    <w:p>
      <w:pPr>
        <w:pStyle w:val="10"/>
        <w:rPr>
          <w:rFonts w:hint="eastAsia" w:ascii="宋体" w:hAnsi="宋体" w:cs="宋体"/>
          <w:b/>
          <w:bCs/>
          <w:color w:val="auto"/>
          <w:sz w:val="24"/>
          <w:highlight w:val="none"/>
        </w:rPr>
      </w:pPr>
    </w:p>
    <w:p>
      <w:pPr>
        <w:pStyle w:val="10"/>
        <w:rPr>
          <w:rFonts w:hint="eastAsia" w:ascii="宋体" w:hAnsi="宋体" w:cs="宋体"/>
          <w:b/>
          <w:bCs/>
          <w:color w:val="auto"/>
          <w:sz w:val="24"/>
          <w:highlight w:val="none"/>
        </w:rPr>
      </w:pPr>
    </w:p>
    <w:p>
      <w:pPr>
        <w:pStyle w:val="10"/>
        <w:rPr>
          <w:rFonts w:hint="eastAsia" w:ascii="宋体" w:hAnsi="宋体" w:cs="宋体"/>
          <w:b/>
          <w:bCs/>
          <w:color w:val="auto"/>
          <w:sz w:val="24"/>
          <w:highlight w:val="none"/>
        </w:rPr>
      </w:pPr>
    </w:p>
    <w:p>
      <w:pPr>
        <w:pStyle w:val="10"/>
        <w:rPr>
          <w:rFonts w:hint="eastAsia" w:ascii="宋体" w:hAnsi="宋体" w:cs="宋体"/>
          <w:b/>
          <w:bCs/>
          <w:color w:val="auto"/>
          <w:sz w:val="24"/>
          <w:highlight w:val="none"/>
        </w:rPr>
      </w:pPr>
    </w:p>
    <w:p>
      <w:pPr>
        <w:pStyle w:val="10"/>
        <w:rPr>
          <w:rFonts w:hint="eastAsia" w:ascii="宋体" w:hAnsi="宋体" w:cs="宋体"/>
          <w:b/>
          <w:bCs/>
          <w:color w:val="auto"/>
          <w:sz w:val="24"/>
          <w:highlight w:val="none"/>
        </w:rPr>
      </w:pPr>
    </w:p>
    <w:p>
      <w:pPr>
        <w:pStyle w:val="10"/>
        <w:rPr>
          <w:rFonts w:hint="eastAsia" w:ascii="宋体" w:hAnsi="宋体" w:cs="宋体"/>
          <w:b/>
          <w:bCs/>
          <w:color w:val="auto"/>
          <w:sz w:val="24"/>
          <w:highlight w:val="none"/>
        </w:rPr>
      </w:pPr>
    </w:p>
    <w:p>
      <w:pPr>
        <w:pStyle w:val="10"/>
        <w:rPr>
          <w:rFonts w:hint="eastAsia" w:ascii="宋体" w:hAnsi="宋体" w:cs="宋体"/>
          <w:b/>
          <w:bCs/>
          <w:color w:val="auto"/>
          <w:sz w:val="24"/>
          <w:highlight w:val="none"/>
        </w:rPr>
      </w:pPr>
    </w:p>
    <w:p>
      <w:pPr>
        <w:pStyle w:val="10"/>
        <w:rPr>
          <w:rFonts w:hint="eastAsia" w:ascii="宋体" w:hAnsi="宋体" w:cs="宋体"/>
          <w:b/>
          <w:bCs/>
          <w:color w:val="auto"/>
          <w:sz w:val="24"/>
          <w:highlight w:val="none"/>
        </w:rPr>
      </w:pPr>
    </w:p>
    <w:p>
      <w:pPr>
        <w:pStyle w:val="10"/>
        <w:rPr>
          <w:rFonts w:hint="eastAsia" w:ascii="宋体" w:hAnsi="宋体" w:cs="宋体"/>
          <w:b/>
          <w:bCs/>
          <w:color w:val="auto"/>
          <w:sz w:val="24"/>
          <w:highlight w:val="none"/>
        </w:rPr>
      </w:pPr>
    </w:p>
    <w:p>
      <w:pPr>
        <w:pStyle w:val="10"/>
        <w:rPr>
          <w:rFonts w:hint="eastAsia" w:ascii="宋体" w:hAnsi="宋体" w:cs="宋体"/>
          <w:b/>
          <w:bCs/>
          <w:color w:val="auto"/>
          <w:sz w:val="24"/>
          <w:highlight w:val="none"/>
        </w:rPr>
      </w:pPr>
    </w:p>
    <w:p>
      <w:pPr>
        <w:adjustRightInd w:val="0"/>
        <w:snapToGrid w:val="0"/>
        <w:rPr>
          <w:rFonts w:hint="eastAsia" w:ascii="宋体" w:hAnsi="宋体"/>
          <w:color w:val="auto"/>
          <w:kern w:val="44"/>
          <w:sz w:val="28"/>
          <w:szCs w:val="28"/>
        </w:rPr>
      </w:pPr>
    </w:p>
    <w:p>
      <w:pPr>
        <w:pStyle w:val="49"/>
        <w:numPr>
          <w:ilvl w:val="0"/>
          <w:numId w:val="0"/>
        </w:numPr>
        <w:snapToGrid w:val="0"/>
        <w:spacing w:before="0" w:after="0"/>
        <w:jc w:val="center"/>
        <w:rPr>
          <w:color w:val="auto"/>
        </w:rPr>
      </w:pPr>
      <w:r>
        <w:rPr>
          <w:rFonts w:hint="eastAsia" w:ascii="宋体" w:hAnsi="宋体"/>
          <w:color w:val="auto"/>
          <w:lang w:val="en-US" w:eastAsia="zh-CN"/>
        </w:rPr>
        <w:t xml:space="preserve">第七部分 </w:t>
      </w:r>
      <w:r>
        <w:rPr>
          <w:rFonts w:hint="eastAsia" w:ascii="宋体" w:hAnsi="宋体"/>
          <w:color w:val="auto"/>
        </w:rPr>
        <w:t>投标文件格式</w:t>
      </w:r>
    </w:p>
    <w:p>
      <w:pPr>
        <w:spacing w:before="312" w:beforeLines="100" w:after="156" w:afterLines="50"/>
        <w:ind w:firstLine="482" w:firstLineChars="200"/>
        <w:outlineLvl w:val="1"/>
        <w:rPr>
          <w:rFonts w:hint="eastAsia" w:ascii="宋体" w:hAnsi="宋体"/>
          <w:b/>
          <w:color w:val="auto"/>
          <w:sz w:val="24"/>
          <w:szCs w:val="24"/>
        </w:rPr>
      </w:pPr>
      <w:r>
        <w:rPr>
          <w:rFonts w:hint="eastAsia" w:ascii="宋体" w:hAnsi="宋体"/>
          <w:b/>
          <w:color w:val="auto"/>
          <w:sz w:val="24"/>
          <w:szCs w:val="24"/>
        </w:rPr>
        <w:t>一、投标人提交文件须知</w:t>
      </w:r>
    </w:p>
    <w:p>
      <w:pPr>
        <w:numPr>
          <w:ilvl w:val="0"/>
          <w:numId w:val="28"/>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28"/>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28"/>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28"/>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28"/>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28"/>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28"/>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29"/>
        </w:numPr>
        <w:spacing w:before="312" w:beforeLines="100" w:after="156" w:afterLines="50"/>
        <w:ind w:firstLine="482" w:firstLineChars="200"/>
        <w:outlineLvl w:val="1"/>
        <w:rPr>
          <w:rFonts w:hint="eastAsia" w:ascii="宋体" w:hAnsi="宋体"/>
          <w:b/>
          <w:color w:val="auto"/>
          <w:sz w:val="24"/>
          <w:szCs w:val="24"/>
        </w:rPr>
      </w:pPr>
      <w:r>
        <w:rPr>
          <w:rFonts w:hint="eastAsia" w:ascii="宋体" w:hAnsi="宋体"/>
          <w:b/>
          <w:color w:val="auto"/>
          <w:sz w:val="24"/>
          <w:szCs w:val="24"/>
        </w:rPr>
        <w:t>投标文件格式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1509954560" behindDoc="0" locked="0" layoutInCell="1" hidden="1" allowOverlap="1">
                <wp:simplePos x="0" y="0"/>
                <wp:positionH relativeFrom="column">
                  <wp:posOffset>4285615</wp:posOffset>
                </wp:positionH>
                <wp:positionV relativeFrom="paragraph">
                  <wp:posOffset>334645</wp:posOffset>
                </wp:positionV>
                <wp:extent cx="519430" cy="262255"/>
                <wp:effectExtent l="0" t="0" r="0" b="0"/>
                <wp:wrapNone/>
                <wp:docPr id="12" name="文本框 12"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1509954560;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4qbaPIBAAD0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7eZYydgAAAAJAQAADwAAAAAAAAABACAAAAAiAAAAZHJzL2Rvd25yZXYueG1sUEsBAhQA&#10;FAAAAAgAh07iQGuKm2jyAQAA9AMAAA4AAAAAAAAAAQAgAAAAJwEAAGRycy9lMm9Eb2MueG1sUEsF&#10;BgAAAAAGAAYAWQEAAIsFA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pStyle w:val="2"/>
        <w:rPr>
          <w:rFonts w:hint="eastAsia"/>
          <w:color w:val="auto"/>
        </w:rPr>
      </w:pPr>
    </w:p>
    <w:p>
      <w:pPr>
        <w:pStyle w:val="6"/>
        <w:rPr>
          <w:color w:val="auto"/>
        </w:rPr>
      </w:pPr>
    </w:p>
    <w:p>
      <w:pPr>
        <w:jc w:val="center"/>
        <w:rPr>
          <w:rFonts w:hint="eastAsia"/>
          <w:b/>
          <w:color w:val="auto"/>
          <w:sz w:val="72"/>
          <w:szCs w:val="72"/>
        </w:rPr>
      </w:pPr>
      <w:r>
        <w:rPr>
          <w:rFonts w:hint="eastAsia"/>
          <w:b/>
          <w:color w:val="auto"/>
          <w:sz w:val="72"/>
          <w:szCs w:val="72"/>
        </w:rPr>
        <w:t>投标文件</w:t>
      </w:r>
    </w:p>
    <w:p>
      <w:pPr>
        <w:pStyle w:val="34"/>
      </w:pPr>
    </w:p>
    <w:p>
      <w:pPr>
        <w:pStyle w:val="34"/>
      </w:pPr>
    </w:p>
    <w:p>
      <w:pPr>
        <w:rPr>
          <w:b/>
          <w:color w:val="auto"/>
          <w:sz w:val="44"/>
          <w:szCs w:val="44"/>
        </w:rPr>
      </w:pPr>
    </w:p>
    <w:p>
      <w:pPr>
        <w:rPr>
          <w:rFonts w:hint="eastAsia" w:eastAsia="宋体"/>
          <w:b/>
          <w:color w:val="auto"/>
          <w:lang w:val="en-US" w:eastAsia="zh-CN"/>
        </w:rPr>
      </w:pPr>
      <w:r>
        <w:rPr>
          <w:rFonts w:hint="eastAsia"/>
          <w:b/>
          <w:color w:val="auto"/>
          <w:sz w:val="32"/>
          <w:szCs w:val="32"/>
          <w:lang w:val="en-US" w:eastAsia="zh-CN"/>
        </w:rPr>
        <w:t>项目</w:t>
      </w:r>
      <w:r>
        <w:rPr>
          <w:rFonts w:hint="eastAsia"/>
          <w:b/>
          <w:color w:val="auto"/>
          <w:sz w:val="32"/>
        </w:rPr>
        <w:t>编号</w:t>
      </w:r>
      <w:r>
        <w:rPr>
          <w:rFonts w:hint="eastAsia"/>
          <w:b/>
          <w:color w:val="auto"/>
          <w:sz w:val="32"/>
          <w:szCs w:val="32"/>
          <w:lang w:val="en-US" w:eastAsia="zh-CN"/>
        </w:rPr>
        <w:t xml:space="preserve">： </w:t>
      </w:r>
      <w:r>
        <w:rPr>
          <w:rFonts w:hint="eastAsia"/>
          <w:b/>
          <w:color w:val="auto"/>
          <w:lang w:val="en-US" w:eastAsia="zh-CN"/>
        </w:rPr>
        <w:t xml:space="preserve">                              </w:t>
      </w:r>
    </w:p>
    <w:p>
      <w:pPr>
        <w:jc w:val="left"/>
        <w:rPr>
          <w:b/>
          <w:color w:val="auto"/>
          <w:sz w:val="32"/>
        </w:rPr>
      </w:pPr>
      <w:r>
        <w:rPr>
          <w:rFonts w:hint="eastAsia"/>
          <w:b/>
          <w:color w:val="auto"/>
          <w:sz w:val="32"/>
          <w:lang w:eastAsia="zh-CN"/>
        </w:rPr>
        <w:t>项目</w:t>
      </w:r>
      <w:r>
        <w:rPr>
          <w:rFonts w:hint="eastAsia"/>
          <w:b/>
          <w:color w:val="auto"/>
          <w:sz w:val="32"/>
          <w:szCs w:val="32"/>
          <w:lang w:val="en-US" w:eastAsia="zh-CN"/>
        </w:rPr>
        <w:t>名称</w:t>
      </w:r>
      <w:r>
        <w:rPr>
          <w:b/>
          <w:color w:val="auto"/>
          <w:sz w:val="32"/>
        </w:rPr>
        <w:t>:</w:t>
      </w:r>
    </w:p>
    <w:p>
      <w:pPr>
        <w:pStyle w:val="5"/>
        <w:numPr>
          <w:ilvl w:val="1"/>
          <w:numId w:val="0"/>
        </w:numPr>
      </w:pPr>
    </w:p>
    <w:p>
      <w:pPr>
        <w:jc w:val="center"/>
        <w:rPr>
          <w:color w:val="auto"/>
        </w:rPr>
      </w:pPr>
    </w:p>
    <w:p>
      <w:pPr>
        <w:pStyle w:val="12"/>
        <w:jc w:val="both"/>
        <w:rPr>
          <w:color w:val="auto"/>
        </w:rPr>
      </w:pPr>
    </w:p>
    <w:p>
      <w:pPr>
        <w:pStyle w:val="12"/>
        <w:rPr>
          <w:color w:val="auto"/>
        </w:rPr>
      </w:pPr>
    </w:p>
    <w:p>
      <w:pPr>
        <w:ind w:firstLine="1928" w:firstLineChars="600"/>
        <w:rPr>
          <w:b/>
          <w:color w:val="auto"/>
          <w:sz w:val="32"/>
          <w:szCs w:val="32"/>
          <w:u w:val="single"/>
        </w:rPr>
      </w:pPr>
      <w:r>
        <w:rPr>
          <w:rFonts w:hint="eastAsia"/>
          <w:b/>
          <w:color w:val="auto"/>
          <w:sz w:val="32"/>
          <w:szCs w:val="32"/>
        </w:rPr>
        <w:t>投标单位（电子签章）：</w:t>
      </w:r>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p>
    <w:p>
      <w:pPr>
        <w:pStyle w:val="34"/>
        <w:rPr>
          <w:rFonts w:hint="eastAsia"/>
        </w:rPr>
      </w:pPr>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★营业执照</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2"/>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2"/>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2"/>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2"/>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34"/>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30"/>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30"/>
        </w:numPr>
        <w:spacing w:line="360" w:lineRule="auto"/>
        <w:ind w:left="1134"/>
        <w:rPr>
          <w:sz w:val="24"/>
          <w:szCs w:val="22"/>
        </w:rPr>
      </w:pPr>
      <w:r>
        <w:rPr>
          <w:sz w:val="24"/>
          <w:szCs w:val="22"/>
        </w:rPr>
        <w:t>具有良好的商业信誉和健全的财务会计制度；</w:t>
      </w:r>
    </w:p>
    <w:p>
      <w:pPr>
        <w:numPr>
          <w:ilvl w:val="0"/>
          <w:numId w:val="30"/>
        </w:numPr>
        <w:spacing w:line="360" w:lineRule="auto"/>
        <w:ind w:left="1134"/>
        <w:rPr>
          <w:sz w:val="24"/>
          <w:szCs w:val="22"/>
        </w:rPr>
      </w:pPr>
      <w:r>
        <w:rPr>
          <w:sz w:val="24"/>
          <w:szCs w:val="22"/>
        </w:rPr>
        <w:t>具有履行合同所必需的设备和专业技术能力；</w:t>
      </w:r>
    </w:p>
    <w:p>
      <w:pPr>
        <w:numPr>
          <w:ilvl w:val="0"/>
          <w:numId w:val="30"/>
        </w:numPr>
        <w:spacing w:line="360" w:lineRule="auto"/>
        <w:ind w:left="1134"/>
        <w:rPr>
          <w:sz w:val="24"/>
          <w:szCs w:val="22"/>
        </w:rPr>
      </w:pPr>
      <w:r>
        <w:rPr>
          <w:sz w:val="24"/>
          <w:szCs w:val="22"/>
        </w:rPr>
        <w:t>有依法缴纳税收和社会保障资金的良好记录；</w:t>
      </w:r>
    </w:p>
    <w:p>
      <w:pPr>
        <w:numPr>
          <w:ilvl w:val="0"/>
          <w:numId w:val="30"/>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30"/>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30"/>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30"/>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2"/>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31"/>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31"/>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31"/>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31"/>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31"/>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31"/>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31"/>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31"/>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31"/>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31"/>
        </w:numPr>
        <w:spacing w:line="360" w:lineRule="auto"/>
        <w:rPr>
          <w:rFonts w:ascii="宋体" w:hAnsi="宋体"/>
          <w:color w:val="auto"/>
          <w:sz w:val="24"/>
          <w:szCs w:val="24"/>
        </w:rPr>
      </w:pPr>
      <w:r>
        <w:rPr>
          <w:rFonts w:hint="eastAsia" w:ascii="宋体" w:hAnsi="宋体"/>
          <w:color w:val="auto"/>
          <w:sz w:val="24"/>
          <w:szCs w:val="24"/>
        </w:rPr>
        <w:t>本投标</w:t>
      </w:r>
      <w:r>
        <w:rPr>
          <w:rFonts w:hint="eastAsia" w:ascii="宋体" w:hAnsi="宋体"/>
          <w:color w:val="auto"/>
          <w:sz w:val="24"/>
          <w:szCs w:val="24"/>
          <w:lang w:eastAsia="zh-CN"/>
        </w:rPr>
        <w:t>书</w:t>
      </w:r>
      <w:r>
        <w:rPr>
          <w:rFonts w:hint="eastAsia" w:ascii="宋体" w:hAnsi="宋体"/>
          <w:color w:val="auto"/>
          <w:sz w:val="24"/>
          <w:szCs w:val="24"/>
        </w:rPr>
        <w:t>自本项目投标截止日起生效。</w:t>
      </w:r>
    </w:p>
    <w:p>
      <w:pPr>
        <w:pStyle w:val="14"/>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50"/>
        <w:numPr>
          <w:ilvl w:val="0"/>
          <w:numId w:val="0"/>
        </w:numPr>
        <w:tabs>
          <w:tab w:val="left" w:pos="660"/>
        </w:tabs>
        <w:snapToGrid w:val="0"/>
        <w:spacing w:before="0" w:line="400" w:lineRule="exact"/>
        <w:rPr>
          <w:color w:val="auto"/>
          <w:sz w:val="24"/>
          <w:szCs w:val="24"/>
        </w:rPr>
      </w:pPr>
    </w:p>
    <w:p>
      <w:pPr>
        <w:pStyle w:val="14"/>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2"/>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4"/>
              <w:tabs>
                <w:tab w:val="left" w:pos="5580"/>
              </w:tabs>
              <w:spacing w:line="300" w:lineRule="auto"/>
              <w:rPr>
                <w:rFonts w:hAnsi="宋体"/>
                <w:color w:val="auto"/>
                <w:sz w:val="24"/>
                <w:szCs w:val="24"/>
              </w:rPr>
            </w:pPr>
          </w:p>
        </w:tc>
      </w:tr>
    </w:tbl>
    <w:p>
      <w:pPr>
        <w:pStyle w:val="14"/>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w:t>
      </w:r>
      <w:r>
        <w:rPr>
          <w:rFonts w:hint="eastAsia" w:ascii="宋体" w:hAnsi="宋体"/>
          <w:color w:val="auto"/>
          <w:sz w:val="24"/>
          <w:szCs w:val="24"/>
          <w:lang w:val="en-US" w:eastAsia="zh-CN"/>
        </w:rPr>
        <w:t xml:space="preserve">   </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2"/>
        <w:tblW w:w="9534" w:type="dxa"/>
        <w:jc w:val="center"/>
        <w:tblInd w:w="0" w:type="dxa"/>
        <w:tblLayout w:type="fixed"/>
        <w:tblCellMar>
          <w:top w:w="0" w:type="dxa"/>
          <w:left w:w="108" w:type="dxa"/>
          <w:bottom w:w="0" w:type="dxa"/>
          <w:right w:w="108" w:type="dxa"/>
        </w:tblCellMar>
      </w:tblPr>
      <w:tblGrid>
        <w:gridCol w:w="4352"/>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4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服务</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43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2"/>
              <w:rPr>
                <w:rFonts w:hint="eastAsia"/>
                <w:color w:val="auto"/>
              </w:rPr>
            </w:pPr>
          </w:p>
          <w:p>
            <w:pPr>
              <w:pStyle w:val="2"/>
              <w:rPr>
                <w:rFonts w:hint="eastAsia"/>
                <w:color w:val="auto"/>
              </w:rPr>
            </w:pPr>
          </w:p>
          <w:p>
            <w:pPr>
              <w:pStyle w:val="2"/>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4"/>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hint="eastAsia" w:ascii="宋体" w:hAnsi="宋体" w:cs="Courier New"/>
          <w:color w:val="auto"/>
          <w:sz w:val="24"/>
          <w:szCs w:val="21"/>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6"/>
        <w:tabs>
          <w:tab w:val="left" w:pos="448"/>
          <w:tab w:val="clear" w:pos="1260"/>
        </w:tabs>
        <w:spacing w:before="120"/>
        <w:ind w:left="0" w:leftChars="0" w:firstLine="0" w:firstLineChars="0"/>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2"/>
        <w:tblW w:w="894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3"/>
        <w:gridCol w:w="3282"/>
        <w:gridCol w:w="1100"/>
        <w:gridCol w:w="1461"/>
        <w:gridCol w:w="2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jc w:val="center"/>
        </w:trPr>
        <w:tc>
          <w:tcPr>
            <w:tcW w:w="913"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282" w:type="dxa"/>
            <w:vAlign w:val="center"/>
          </w:tcPr>
          <w:p>
            <w:pPr>
              <w:tabs>
                <w:tab w:val="left" w:pos="970"/>
              </w:tabs>
              <w:spacing w:after="84"/>
              <w:ind w:firstLine="482"/>
              <w:jc w:val="center"/>
              <w:rPr>
                <w:rFonts w:hint="eastAsia" w:eastAsia="宋体"/>
                <w:b/>
                <w:sz w:val="24"/>
                <w:szCs w:val="24"/>
                <w:lang w:eastAsia="zh-CN"/>
              </w:rPr>
            </w:pPr>
            <w:r>
              <w:rPr>
                <w:rFonts w:hint="eastAsia" w:hAnsi="宋体"/>
                <w:b/>
                <w:sz w:val="24"/>
                <w:szCs w:val="24"/>
                <w:lang w:eastAsia="zh-CN"/>
              </w:rPr>
              <w:t>分项名称</w:t>
            </w:r>
          </w:p>
        </w:tc>
        <w:tc>
          <w:tcPr>
            <w:tcW w:w="1100" w:type="dxa"/>
            <w:vAlign w:val="center"/>
          </w:tcPr>
          <w:p>
            <w:pPr>
              <w:tabs>
                <w:tab w:val="left" w:pos="970"/>
              </w:tabs>
              <w:spacing w:after="84"/>
              <w:jc w:val="center"/>
              <w:rPr>
                <w:rFonts w:hint="eastAsia"/>
                <w:b/>
                <w:sz w:val="24"/>
                <w:szCs w:val="24"/>
              </w:rPr>
            </w:pPr>
            <w:r>
              <w:rPr>
                <w:rFonts w:hint="eastAsia"/>
                <w:b/>
                <w:sz w:val="24"/>
                <w:szCs w:val="24"/>
              </w:rPr>
              <w:t>数量</w:t>
            </w:r>
          </w:p>
        </w:tc>
        <w:tc>
          <w:tcPr>
            <w:tcW w:w="1461" w:type="dxa"/>
            <w:vAlign w:val="center"/>
          </w:tcPr>
          <w:p>
            <w:pPr>
              <w:tabs>
                <w:tab w:val="left" w:pos="970"/>
              </w:tabs>
              <w:spacing w:after="84"/>
              <w:jc w:val="center"/>
              <w:rPr>
                <w:b/>
                <w:sz w:val="24"/>
                <w:szCs w:val="24"/>
              </w:rPr>
            </w:pPr>
            <w:r>
              <w:rPr>
                <w:rFonts w:hint="eastAsia" w:hAnsi="宋体"/>
                <w:b/>
                <w:sz w:val="24"/>
                <w:szCs w:val="24"/>
              </w:rPr>
              <w:t>单价</w:t>
            </w:r>
          </w:p>
        </w:tc>
        <w:tc>
          <w:tcPr>
            <w:tcW w:w="2191"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913" w:type="dxa"/>
            <w:vAlign w:val="center"/>
          </w:tcPr>
          <w:p>
            <w:pPr>
              <w:tabs>
                <w:tab w:val="left" w:pos="970"/>
              </w:tabs>
              <w:spacing w:before="156" w:beforeLines="50" w:after="156" w:afterLines="50"/>
              <w:ind w:firstLine="480"/>
              <w:rPr>
                <w:sz w:val="24"/>
                <w:szCs w:val="24"/>
              </w:rPr>
            </w:pPr>
          </w:p>
        </w:tc>
        <w:tc>
          <w:tcPr>
            <w:tcW w:w="3282" w:type="dxa"/>
            <w:vAlign w:val="center"/>
          </w:tcPr>
          <w:p>
            <w:pPr>
              <w:tabs>
                <w:tab w:val="left" w:pos="970"/>
              </w:tabs>
              <w:ind w:firstLine="480"/>
              <w:rPr>
                <w:sz w:val="24"/>
                <w:szCs w:val="24"/>
              </w:rPr>
            </w:pPr>
          </w:p>
        </w:tc>
        <w:tc>
          <w:tcPr>
            <w:tcW w:w="1100" w:type="dxa"/>
            <w:vAlign w:val="center"/>
          </w:tcPr>
          <w:p>
            <w:pPr>
              <w:tabs>
                <w:tab w:val="left" w:pos="970"/>
              </w:tabs>
              <w:ind w:firstLine="482"/>
              <w:rPr>
                <w:b/>
                <w:sz w:val="24"/>
                <w:szCs w:val="24"/>
              </w:rPr>
            </w:pPr>
          </w:p>
        </w:tc>
        <w:tc>
          <w:tcPr>
            <w:tcW w:w="1461" w:type="dxa"/>
            <w:vAlign w:val="center"/>
          </w:tcPr>
          <w:p>
            <w:pPr>
              <w:tabs>
                <w:tab w:val="left" w:pos="970"/>
              </w:tabs>
              <w:ind w:firstLine="482"/>
              <w:rPr>
                <w:b/>
                <w:sz w:val="24"/>
                <w:szCs w:val="24"/>
              </w:rPr>
            </w:pPr>
          </w:p>
        </w:tc>
        <w:tc>
          <w:tcPr>
            <w:tcW w:w="2191"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913" w:type="dxa"/>
            <w:vAlign w:val="center"/>
          </w:tcPr>
          <w:p>
            <w:pPr>
              <w:tabs>
                <w:tab w:val="left" w:pos="970"/>
              </w:tabs>
              <w:spacing w:before="156" w:beforeLines="50" w:after="156" w:afterLines="50"/>
              <w:ind w:firstLine="480"/>
              <w:rPr>
                <w:sz w:val="24"/>
                <w:szCs w:val="24"/>
              </w:rPr>
            </w:pPr>
          </w:p>
        </w:tc>
        <w:tc>
          <w:tcPr>
            <w:tcW w:w="3282" w:type="dxa"/>
            <w:vAlign w:val="center"/>
          </w:tcPr>
          <w:p>
            <w:pPr>
              <w:tabs>
                <w:tab w:val="left" w:pos="970"/>
              </w:tabs>
              <w:ind w:firstLine="480"/>
              <w:rPr>
                <w:sz w:val="24"/>
                <w:szCs w:val="24"/>
              </w:rPr>
            </w:pPr>
          </w:p>
        </w:tc>
        <w:tc>
          <w:tcPr>
            <w:tcW w:w="1100" w:type="dxa"/>
            <w:vAlign w:val="center"/>
          </w:tcPr>
          <w:p>
            <w:pPr>
              <w:tabs>
                <w:tab w:val="left" w:pos="970"/>
              </w:tabs>
              <w:ind w:firstLine="482"/>
              <w:rPr>
                <w:b/>
                <w:sz w:val="24"/>
                <w:szCs w:val="24"/>
              </w:rPr>
            </w:pPr>
          </w:p>
        </w:tc>
        <w:tc>
          <w:tcPr>
            <w:tcW w:w="1461" w:type="dxa"/>
            <w:vAlign w:val="center"/>
          </w:tcPr>
          <w:p>
            <w:pPr>
              <w:tabs>
                <w:tab w:val="left" w:pos="970"/>
              </w:tabs>
              <w:ind w:firstLine="482"/>
              <w:rPr>
                <w:b/>
                <w:sz w:val="24"/>
                <w:szCs w:val="24"/>
              </w:rPr>
            </w:pPr>
          </w:p>
        </w:tc>
        <w:tc>
          <w:tcPr>
            <w:tcW w:w="2191"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913" w:type="dxa"/>
            <w:vAlign w:val="center"/>
          </w:tcPr>
          <w:p>
            <w:pPr>
              <w:tabs>
                <w:tab w:val="left" w:pos="970"/>
              </w:tabs>
              <w:spacing w:before="156" w:beforeLines="50" w:after="156" w:afterLines="50"/>
              <w:ind w:firstLine="480"/>
              <w:rPr>
                <w:sz w:val="24"/>
                <w:szCs w:val="24"/>
              </w:rPr>
            </w:pPr>
          </w:p>
        </w:tc>
        <w:tc>
          <w:tcPr>
            <w:tcW w:w="3282" w:type="dxa"/>
            <w:vAlign w:val="center"/>
          </w:tcPr>
          <w:p>
            <w:pPr>
              <w:tabs>
                <w:tab w:val="left" w:pos="970"/>
              </w:tabs>
              <w:ind w:firstLine="480"/>
              <w:rPr>
                <w:bCs/>
                <w:sz w:val="24"/>
                <w:szCs w:val="24"/>
              </w:rPr>
            </w:pPr>
          </w:p>
        </w:tc>
        <w:tc>
          <w:tcPr>
            <w:tcW w:w="1100" w:type="dxa"/>
            <w:vAlign w:val="center"/>
          </w:tcPr>
          <w:p>
            <w:pPr>
              <w:tabs>
                <w:tab w:val="left" w:pos="970"/>
              </w:tabs>
              <w:ind w:firstLine="482"/>
              <w:rPr>
                <w:b/>
                <w:sz w:val="24"/>
                <w:szCs w:val="24"/>
              </w:rPr>
            </w:pPr>
          </w:p>
        </w:tc>
        <w:tc>
          <w:tcPr>
            <w:tcW w:w="1461" w:type="dxa"/>
            <w:vAlign w:val="center"/>
          </w:tcPr>
          <w:p>
            <w:pPr>
              <w:tabs>
                <w:tab w:val="left" w:pos="970"/>
              </w:tabs>
              <w:ind w:firstLine="482"/>
              <w:rPr>
                <w:b/>
                <w:sz w:val="24"/>
                <w:szCs w:val="24"/>
              </w:rPr>
            </w:pPr>
          </w:p>
        </w:tc>
        <w:tc>
          <w:tcPr>
            <w:tcW w:w="2191"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913" w:type="dxa"/>
            <w:vAlign w:val="center"/>
          </w:tcPr>
          <w:p>
            <w:pPr>
              <w:tabs>
                <w:tab w:val="left" w:pos="970"/>
              </w:tabs>
              <w:spacing w:after="84"/>
              <w:ind w:firstLine="480"/>
              <w:rPr>
                <w:sz w:val="24"/>
                <w:szCs w:val="24"/>
              </w:rPr>
            </w:pPr>
          </w:p>
        </w:tc>
        <w:tc>
          <w:tcPr>
            <w:tcW w:w="3282" w:type="dxa"/>
            <w:vAlign w:val="center"/>
          </w:tcPr>
          <w:p>
            <w:pPr>
              <w:tabs>
                <w:tab w:val="left" w:pos="970"/>
              </w:tabs>
              <w:spacing w:after="84"/>
              <w:ind w:firstLine="480"/>
              <w:rPr>
                <w:bCs/>
                <w:sz w:val="24"/>
                <w:szCs w:val="24"/>
              </w:rPr>
            </w:pPr>
          </w:p>
        </w:tc>
        <w:tc>
          <w:tcPr>
            <w:tcW w:w="1100" w:type="dxa"/>
            <w:vAlign w:val="center"/>
          </w:tcPr>
          <w:p>
            <w:pPr>
              <w:tabs>
                <w:tab w:val="left" w:pos="970"/>
              </w:tabs>
              <w:spacing w:after="84"/>
              <w:ind w:firstLine="482"/>
              <w:rPr>
                <w:b/>
                <w:sz w:val="24"/>
                <w:szCs w:val="24"/>
              </w:rPr>
            </w:pPr>
          </w:p>
        </w:tc>
        <w:tc>
          <w:tcPr>
            <w:tcW w:w="1461" w:type="dxa"/>
            <w:vAlign w:val="center"/>
          </w:tcPr>
          <w:p>
            <w:pPr>
              <w:tabs>
                <w:tab w:val="left" w:pos="970"/>
              </w:tabs>
              <w:spacing w:after="84"/>
              <w:ind w:firstLine="482"/>
              <w:rPr>
                <w:b/>
                <w:sz w:val="24"/>
                <w:szCs w:val="24"/>
              </w:rPr>
            </w:pPr>
          </w:p>
        </w:tc>
        <w:tc>
          <w:tcPr>
            <w:tcW w:w="2191"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913" w:type="dxa"/>
            <w:vAlign w:val="center"/>
          </w:tcPr>
          <w:p>
            <w:pPr>
              <w:tabs>
                <w:tab w:val="left" w:pos="970"/>
              </w:tabs>
              <w:spacing w:after="84"/>
              <w:ind w:firstLine="480"/>
              <w:rPr>
                <w:sz w:val="24"/>
                <w:szCs w:val="24"/>
              </w:rPr>
            </w:pPr>
          </w:p>
        </w:tc>
        <w:tc>
          <w:tcPr>
            <w:tcW w:w="3282" w:type="dxa"/>
            <w:vAlign w:val="center"/>
          </w:tcPr>
          <w:p>
            <w:pPr>
              <w:tabs>
                <w:tab w:val="left" w:pos="970"/>
              </w:tabs>
              <w:spacing w:after="84"/>
              <w:ind w:firstLine="480"/>
              <w:rPr>
                <w:bCs/>
                <w:sz w:val="24"/>
                <w:szCs w:val="24"/>
              </w:rPr>
            </w:pPr>
          </w:p>
        </w:tc>
        <w:tc>
          <w:tcPr>
            <w:tcW w:w="1100" w:type="dxa"/>
            <w:vAlign w:val="center"/>
          </w:tcPr>
          <w:p>
            <w:pPr>
              <w:tabs>
                <w:tab w:val="left" w:pos="970"/>
              </w:tabs>
              <w:spacing w:after="84"/>
              <w:ind w:firstLine="482"/>
              <w:rPr>
                <w:b/>
                <w:sz w:val="24"/>
                <w:szCs w:val="24"/>
              </w:rPr>
            </w:pPr>
          </w:p>
        </w:tc>
        <w:tc>
          <w:tcPr>
            <w:tcW w:w="1461" w:type="dxa"/>
            <w:vAlign w:val="center"/>
          </w:tcPr>
          <w:p>
            <w:pPr>
              <w:tabs>
                <w:tab w:val="left" w:pos="970"/>
              </w:tabs>
              <w:spacing w:after="84"/>
              <w:ind w:firstLine="482"/>
              <w:rPr>
                <w:b/>
                <w:sz w:val="24"/>
                <w:szCs w:val="24"/>
              </w:rPr>
            </w:pPr>
          </w:p>
        </w:tc>
        <w:tc>
          <w:tcPr>
            <w:tcW w:w="2191"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6756" w:type="dxa"/>
            <w:gridSpan w:val="4"/>
            <w:vAlign w:val="center"/>
          </w:tcPr>
          <w:p>
            <w:pPr>
              <w:tabs>
                <w:tab w:val="left" w:pos="970"/>
              </w:tabs>
              <w:spacing w:after="84"/>
              <w:ind w:firstLine="482"/>
              <w:jc w:val="center"/>
              <w:rPr>
                <w:rFonts w:hint="eastAsia"/>
                <w:b/>
                <w:sz w:val="24"/>
                <w:szCs w:val="24"/>
              </w:rPr>
            </w:pPr>
            <w:r>
              <w:rPr>
                <w:rFonts w:hint="eastAsia"/>
                <w:b/>
                <w:sz w:val="24"/>
                <w:szCs w:val="24"/>
              </w:rPr>
              <w:t>投标报价</w:t>
            </w:r>
            <w:r>
              <w:rPr>
                <w:rFonts w:hint="eastAsia"/>
                <w:b/>
                <w:sz w:val="24"/>
                <w:szCs w:val="24"/>
                <w:lang w:eastAsia="zh-CN"/>
              </w:rPr>
              <w:t>汇总</w:t>
            </w:r>
          </w:p>
        </w:tc>
        <w:tc>
          <w:tcPr>
            <w:tcW w:w="2191" w:type="dxa"/>
            <w:vAlign w:val="center"/>
          </w:tcPr>
          <w:p>
            <w:pPr>
              <w:tabs>
                <w:tab w:val="left" w:pos="970"/>
              </w:tabs>
              <w:spacing w:after="84"/>
              <w:ind w:firstLine="482"/>
              <w:jc w:val="center"/>
              <w:rPr>
                <w:b/>
                <w:sz w:val="24"/>
                <w:szCs w:val="24"/>
              </w:rPr>
            </w:pPr>
          </w:p>
        </w:tc>
      </w:tr>
    </w:tbl>
    <w:p>
      <w:pPr>
        <w:pStyle w:val="50"/>
        <w:numPr>
          <w:ilvl w:val="0"/>
          <w:numId w:val="0"/>
        </w:numPr>
        <w:tabs>
          <w:tab w:val="left" w:pos="660"/>
        </w:tabs>
        <w:snapToGrid w:val="0"/>
        <w:spacing w:before="0" w:line="400" w:lineRule="exact"/>
        <w:ind w:left="254"/>
        <w:rPr>
          <w:rFonts w:hint="eastAsia" w:cs="微软雅黑"/>
          <w:color w:val="auto"/>
          <w:sz w:val="24"/>
          <w:szCs w:val="24"/>
        </w:rPr>
      </w:pPr>
    </w:p>
    <w:p>
      <w:pPr>
        <w:pStyle w:val="50"/>
        <w:numPr>
          <w:ilvl w:val="0"/>
          <w:numId w:val="0"/>
        </w:numPr>
        <w:tabs>
          <w:tab w:val="left" w:pos="660"/>
        </w:tabs>
        <w:snapToGrid w:val="0"/>
        <w:spacing w:before="0" w:line="400" w:lineRule="exact"/>
        <w:ind w:left="254"/>
        <w:rPr>
          <w:color w:val="auto"/>
          <w:sz w:val="24"/>
          <w:szCs w:val="24"/>
        </w:rPr>
      </w:pPr>
      <w:r>
        <w:rPr>
          <w:rFonts w:hint="eastAsia" w:cs="微软雅黑"/>
          <w:color w:val="auto"/>
          <w:sz w:val="24"/>
          <w:szCs w:val="24"/>
        </w:rPr>
        <w:t>说明：</w:t>
      </w:r>
      <w:r>
        <w:rPr>
          <w:rFonts w:hint="eastAsia"/>
          <w:color w:val="auto"/>
          <w:sz w:val="24"/>
          <w:szCs w:val="24"/>
        </w:rPr>
        <w:t>投标分项报价表汇总总价须与投标一览表的总价一致。</w:t>
      </w:r>
    </w:p>
    <w:p>
      <w:pPr>
        <w:pStyle w:val="14"/>
        <w:spacing w:line="360" w:lineRule="auto"/>
        <w:ind w:left="274" w:leftChars="114" w:firstLine="0" w:firstLineChars="0"/>
        <w:rPr>
          <w:rFonts w:hint="eastAsia" w:cs="微软雅黑"/>
          <w:color w:val="auto"/>
          <w:sz w:val="24"/>
          <w:szCs w:val="24"/>
        </w:rPr>
      </w:pPr>
    </w:p>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spacing w:before="117" w:line="220" w:lineRule="auto"/>
        <w:ind w:left="3400"/>
        <w:outlineLvl w:val="2"/>
        <w:rPr>
          <w:rFonts w:ascii="宋体" w:hAnsi="宋体" w:eastAsia="宋体" w:cs="宋体"/>
          <w:sz w:val="36"/>
          <w:szCs w:val="36"/>
        </w:rPr>
      </w:pPr>
      <w:r>
        <w:rPr>
          <w:rFonts w:ascii="宋体" w:hAnsi="宋体" w:eastAsia="宋体" w:cs="宋体"/>
          <w:spacing w:val="-1"/>
          <w:sz w:val="24"/>
          <w:szCs w:val="24"/>
          <w14:textOutline w14:w="6537" w14:cap="flat" w14:cmpd="sng">
            <w14:solidFill>
              <w14:srgbClr w14:val="000000"/>
            </w14:solidFill>
            <w14:prstDash w14:val="solid"/>
            <w14:miter w14:val="0"/>
          </w14:textOutline>
        </w:rPr>
        <w:t>合同条款偏离表</w:t>
      </w:r>
    </w:p>
    <w:p>
      <w:pPr>
        <w:spacing w:line="297" w:lineRule="auto"/>
        <w:rPr>
          <w:rFonts w:ascii="Arial"/>
          <w:sz w:val="21"/>
        </w:rPr>
      </w:pPr>
    </w:p>
    <w:p>
      <w:pPr>
        <w:spacing w:before="78" w:line="220" w:lineRule="auto"/>
        <w:ind w:left="486"/>
        <w:rPr>
          <w:rFonts w:ascii="宋体" w:hAnsi="宋体" w:eastAsia="宋体" w:cs="宋体"/>
          <w:spacing w:val="-13"/>
          <w:sz w:val="24"/>
          <w:szCs w:val="24"/>
        </w:rPr>
      </w:pPr>
      <w:r>
        <w:rPr>
          <w:rFonts w:ascii="宋体" w:hAnsi="宋体" w:eastAsia="宋体" w:cs="宋体"/>
          <w:spacing w:val="-13"/>
          <w:sz w:val="24"/>
          <w:szCs w:val="24"/>
        </w:rPr>
        <w:t>项目编号：</w:t>
      </w:r>
    </w:p>
    <w:p>
      <w:pPr>
        <w:spacing w:before="78" w:line="220" w:lineRule="auto"/>
        <w:ind w:left="486"/>
        <w:rPr>
          <w:rFonts w:ascii="宋体" w:hAnsi="宋体" w:eastAsia="宋体" w:cs="宋体"/>
          <w:sz w:val="24"/>
          <w:szCs w:val="24"/>
        </w:rPr>
      </w:pPr>
      <w:r>
        <w:rPr>
          <w:rFonts w:ascii="宋体" w:hAnsi="宋体" w:eastAsia="宋体" w:cs="宋体"/>
          <w:spacing w:val="-13"/>
          <w:sz w:val="24"/>
          <w:szCs w:val="24"/>
        </w:rPr>
        <w:t>项目名</w:t>
      </w:r>
      <w:r>
        <w:rPr>
          <w:rFonts w:ascii="宋体" w:hAnsi="宋体" w:eastAsia="宋体" w:cs="宋体"/>
          <w:spacing w:val="-14"/>
          <w:sz w:val="24"/>
          <w:szCs w:val="24"/>
        </w:rPr>
        <w:t xml:space="preserve">称： </w:t>
      </w:r>
    </w:p>
    <w:p>
      <w:pPr>
        <w:spacing w:line="143" w:lineRule="exact"/>
      </w:pPr>
    </w:p>
    <w:tbl>
      <w:tblPr>
        <w:tblStyle w:val="79"/>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8" w:type="dxa"/>
            <w:vAlign w:val="top"/>
          </w:tcPr>
          <w:p>
            <w:pPr>
              <w:pStyle w:val="80"/>
              <w:spacing w:line="270" w:lineRule="auto"/>
            </w:pPr>
          </w:p>
          <w:p>
            <w:pPr>
              <w:spacing w:before="78" w:line="222" w:lineRule="auto"/>
              <w:ind w:left="344"/>
              <w:rPr>
                <w:rFonts w:ascii="宋体" w:hAnsi="宋体" w:eastAsia="宋体" w:cs="宋体"/>
                <w:sz w:val="24"/>
                <w:szCs w:val="24"/>
              </w:rPr>
            </w:pPr>
            <w:r>
              <w:rPr>
                <w:rFonts w:ascii="宋体" w:hAnsi="宋体" w:eastAsia="宋体" w:cs="宋体"/>
                <w:spacing w:val="-3"/>
                <w:sz w:val="24"/>
                <w:szCs w:val="24"/>
              </w:rPr>
              <w:t>序号</w:t>
            </w:r>
          </w:p>
        </w:tc>
        <w:tc>
          <w:tcPr>
            <w:tcW w:w="1771" w:type="dxa"/>
            <w:vAlign w:val="top"/>
          </w:tcPr>
          <w:p>
            <w:pPr>
              <w:spacing w:before="194" w:line="220" w:lineRule="auto"/>
              <w:ind w:left="172"/>
              <w:rPr>
                <w:rFonts w:ascii="宋体" w:hAnsi="宋体" w:eastAsia="宋体" w:cs="宋体"/>
                <w:sz w:val="24"/>
                <w:szCs w:val="24"/>
              </w:rPr>
            </w:pPr>
            <w:r>
              <w:rPr>
                <w:rFonts w:ascii="宋体" w:hAnsi="宋体" w:eastAsia="宋体" w:cs="宋体"/>
                <w:spacing w:val="-2"/>
                <w:sz w:val="24"/>
                <w:szCs w:val="24"/>
              </w:rPr>
              <w:t>招标文件条目</w:t>
            </w:r>
          </w:p>
          <w:p>
            <w:pPr>
              <w:spacing w:before="25" w:line="222" w:lineRule="auto"/>
              <w:ind w:left="297"/>
              <w:rPr>
                <w:rFonts w:ascii="宋体" w:hAnsi="宋体" w:eastAsia="宋体" w:cs="宋体"/>
                <w:sz w:val="24"/>
                <w:szCs w:val="24"/>
              </w:rPr>
            </w:pPr>
            <w:r>
              <w:rPr>
                <w:rFonts w:ascii="宋体" w:hAnsi="宋体" w:eastAsia="宋体" w:cs="宋体"/>
                <w:spacing w:val="-5"/>
                <w:sz w:val="24"/>
                <w:szCs w:val="24"/>
              </w:rPr>
              <w:t>号（页码）</w:t>
            </w:r>
          </w:p>
        </w:tc>
        <w:tc>
          <w:tcPr>
            <w:tcW w:w="1675" w:type="dxa"/>
            <w:vAlign w:val="top"/>
          </w:tcPr>
          <w:p>
            <w:pPr>
              <w:pStyle w:val="80"/>
              <w:spacing w:line="270" w:lineRule="auto"/>
            </w:pPr>
          </w:p>
          <w:p>
            <w:pPr>
              <w:spacing w:before="78" w:line="220" w:lineRule="auto"/>
              <w:ind w:left="124"/>
              <w:rPr>
                <w:rFonts w:ascii="宋体" w:hAnsi="宋体" w:eastAsia="宋体" w:cs="宋体"/>
                <w:sz w:val="24"/>
                <w:szCs w:val="24"/>
              </w:rPr>
            </w:pPr>
            <w:r>
              <w:rPr>
                <w:rFonts w:ascii="宋体" w:hAnsi="宋体" w:eastAsia="宋体" w:cs="宋体"/>
                <w:spacing w:val="-2"/>
                <w:sz w:val="24"/>
                <w:szCs w:val="24"/>
              </w:rPr>
              <w:t>招标文件要求</w:t>
            </w:r>
          </w:p>
        </w:tc>
        <w:tc>
          <w:tcPr>
            <w:tcW w:w="1675" w:type="dxa"/>
            <w:vAlign w:val="top"/>
          </w:tcPr>
          <w:p>
            <w:pPr>
              <w:pStyle w:val="80"/>
              <w:spacing w:line="270" w:lineRule="auto"/>
            </w:pPr>
          </w:p>
          <w:p>
            <w:pPr>
              <w:spacing w:before="78" w:line="220" w:lineRule="auto"/>
              <w:ind w:left="127"/>
              <w:rPr>
                <w:rFonts w:ascii="宋体" w:hAnsi="宋体" w:eastAsia="宋体" w:cs="宋体"/>
                <w:sz w:val="24"/>
                <w:szCs w:val="24"/>
              </w:rPr>
            </w:pPr>
            <w:r>
              <w:rPr>
                <w:rFonts w:ascii="宋体" w:hAnsi="宋体" w:eastAsia="宋体" w:cs="宋体"/>
                <w:spacing w:val="-2"/>
                <w:sz w:val="24"/>
                <w:szCs w:val="24"/>
              </w:rPr>
              <w:t>投标文件内容</w:t>
            </w:r>
          </w:p>
        </w:tc>
        <w:tc>
          <w:tcPr>
            <w:tcW w:w="1876" w:type="dxa"/>
            <w:vAlign w:val="top"/>
          </w:tcPr>
          <w:p>
            <w:pPr>
              <w:pStyle w:val="80"/>
              <w:spacing w:line="270" w:lineRule="auto"/>
            </w:pPr>
          </w:p>
          <w:p>
            <w:pPr>
              <w:spacing w:before="78" w:line="220" w:lineRule="auto"/>
              <w:ind w:left="465"/>
              <w:rPr>
                <w:rFonts w:ascii="宋体" w:hAnsi="宋体" w:eastAsia="宋体" w:cs="宋体"/>
                <w:sz w:val="24"/>
                <w:szCs w:val="24"/>
              </w:rPr>
            </w:pPr>
            <w:r>
              <w:rPr>
                <w:rFonts w:ascii="宋体" w:hAnsi="宋体" w:eastAsia="宋体" w:cs="宋体"/>
                <w:spacing w:val="-2"/>
                <w:sz w:val="24"/>
                <w:szCs w:val="24"/>
              </w:rPr>
              <w:t>偏离情况</w:t>
            </w:r>
          </w:p>
        </w:tc>
        <w:tc>
          <w:tcPr>
            <w:tcW w:w="1138" w:type="dxa"/>
            <w:vAlign w:val="top"/>
          </w:tcPr>
          <w:p>
            <w:pPr>
              <w:pStyle w:val="80"/>
              <w:spacing w:line="270" w:lineRule="auto"/>
            </w:pPr>
          </w:p>
          <w:p>
            <w:pPr>
              <w:spacing w:before="78" w:line="220" w:lineRule="auto"/>
              <w:ind w:left="336"/>
              <w:rPr>
                <w:rFonts w:ascii="宋体" w:hAnsi="宋体" w:eastAsia="宋体" w:cs="宋体"/>
                <w:sz w:val="24"/>
                <w:szCs w:val="24"/>
              </w:rPr>
            </w:pPr>
            <w:r>
              <w:rPr>
                <w:rFonts w:ascii="宋体" w:hAnsi="宋体" w:eastAsia="宋体" w:cs="宋体"/>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560" w:hRule="atLeast"/>
        </w:trPr>
        <w:tc>
          <w:tcPr>
            <w:tcW w:w="9293" w:type="dxa"/>
            <w:gridSpan w:val="6"/>
            <w:vAlign w:val="top"/>
          </w:tcPr>
          <w:p>
            <w:pPr>
              <w:spacing w:before="38" w:line="219" w:lineRule="auto"/>
              <w:ind w:left="116"/>
              <w:rPr>
                <w:rFonts w:ascii="宋体" w:hAnsi="宋体" w:eastAsia="宋体" w:cs="宋体"/>
                <w:sz w:val="24"/>
                <w:szCs w:val="24"/>
              </w:rPr>
            </w:pPr>
            <w:r>
              <w:rPr>
                <w:rFonts w:ascii="宋体" w:hAnsi="宋体" w:eastAsia="宋体" w:cs="宋体"/>
                <w:sz w:val="24"/>
                <w:szCs w:val="24"/>
                <w14:textOutline w14:w="4359" w14:cap="flat" w14:cmpd="sng">
                  <w14:solidFill>
                    <w14:srgbClr w14:val="000000"/>
                  </w14:solidFill>
                  <w14:prstDash w14:val="solid"/>
                  <w14:miter w14:val="0"/>
                </w14:textOutline>
              </w:rPr>
              <w:t>对本项目合同条款的偏离情况</w:t>
            </w:r>
            <w:r>
              <w:rPr>
                <w:rFonts w:ascii="宋体" w:hAnsi="宋体" w:eastAsia="宋体" w:cs="宋体"/>
                <w:spacing w:val="-63"/>
                <w:w w:val="98"/>
                <w:sz w:val="24"/>
                <w:szCs w:val="24"/>
              </w:rPr>
              <w:t>：</w:t>
            </w:r>
          </w:p>
          <w:p>
            <w:pPr>
              <w:spacing w:before="27" w:line="197" w:lineRule="auto"/>
              <w:ind w:left="118" w:right="115" w:firstLine="11"/>
              <w:rPr>
                <w:rFonts w:ascii="宋体" w:hAnsi="宋体" w:eastAsia="宋体" w:cs="宋体"/>
                <w:sz w:val="24"/>
                <w:szCs w:val="24"/>
              </w:rPr>
            </w:pPr>
            <w:r>
              <w:rPr>
                <w:rFonts w:ascii="微软雅黑" w:hAnsi="微软雅黑" w:eastAsia="微软雅黑" w:cs="微软雅黑"/>
                <w:b/>
                <w:bCs/>
                <w:spacing w:val="-16"/>
                <w:sz w:val="24"/>
                <w:szCs w:val="24"/>
              </w:rPr>
              <w:t>口</w:t>
            </w:r>
            <w:r>
              <w:rPr>
                <w:rFonts w:ascii="宋体" w:hAnsi="宋体" w:eastAsia="宋体" w:cs="宋体"/>
                <w:spacing w:val="-16"/>
                <w:sz w:val="24"/>
                <w:szCs w:val="24"/>
                <w14:textOutline w14:w="4359" w14:cap="flat" w14:cmpd="sng">
                  <w14:solidFill>
                    <w14:srgbClr w14:val="000000"/>
                  </w14:solidFill>
                  <w14:prstDash w14:val="solid"/>
                  <w14:miter w14:val="0"/>
                </w14:textOutline>
              </w:rPr>
              <w:t>无偏离</w:t>
            </w:r>
            <w:r>
              <w:rPr>
                <w:rFonts w:ascii="宋体" w:hAnsi="宋体" w:eastAsia="宋体" w:cs="宋体"/>
                <w:spacing w:val="-16"/>
                <w:sz w:val="24"/>
                <w:szCs w:val="24"/>
              </w:rPr>
              <w:t>（如无偏离，仅选择无偏离即可；无偏离即为对合同条款中的所有要求，均视</w:t>
            </w:r>
            <w:r>
              <w:rPr>
                <w:rFonts w:ascii="宋体" w:hAnsi="宋体" w:eastAsia="宋体" w:cs="宋体"/>
                <w:spacing w:val="-11"/>
                <w:sz w:val="24"/>
                <w:szCs w:val="24"/>
              </w:rPr>
              <w:t>作供应商已对之理解和响应。）</w:t>
            </w:r>
          </w:p>
          <w:p>
            <w:pPr>
              <w:spacing w:before="26" w:line="192" w:lineRule="auto"/>
              <w:ind w:left="137" w:right="133" w:hanging="7"/>
              <w:rPr>
                <w:rFonts w:ascii="宋体" w:hAnsi="宋体" w:eastAsia="宋体" w:cs="宋体"/>
                <w:sz w:val="24"/>
                <w:szCs w:val="24"/>
              </w:rPr>
            </w:pPr>
            <w:r>
              <w:rPr>
                <w:rFonts w:ascii="微软雅黑" w:hAnsi="微软雅黑" w:eastAsia="微软雅黑" w:cs="微软雅黑"/>
                <w:b/>
                <w:bCs/>
                <w:spacing w:val="-10"/>
                <w:sz w:val="24"/>
                <w:szCs w:val="24"/>
              </w:rPr>
              <w:t>口</w:t>
            </w:r>
            <w:r>
              <w:rPr>
                <w:rFonts w:ascii="宋体" w:hAnsi="宋体" w:eastAsia="宋体" w:cs="宋体"/>
                <w:spacing w:val="-10"/>
                <w:sz w:val="24"/>
                <w:szCs w:val="24"/>
                <w14:textOutline w14:w="4359" w14:cap="flat" w14:cmpd="sng">
                  <w14:solidFill>
                    <w14:srgbClr w14:val="000000"/>
                  </w14:solidFill>
                  <w14:prstDash w14:val="solid"/>
                  <w14:miter w14:val="0"/>
                </w14:textOutline>
              </w:rPr>
              <w:t>有偏离</w:t>
            </w:r>
            <w:r>
              <w:rPr>
                <w:rFonts w:ascii="宋体" w:hAnsi="宋体" w:eastAsia="宋体" w:cs="宋体"/>
                <w:spacing w:val="-10"/>
                <w:sz w:val="24"/>
                <w:szCs w:val="24"/>
              </w:rPr>
              <w:t>（如有偏离，则应在本表中对偏离项逐一列明，否则</w:t>
            </w:r>
            <w:r>
              <w:rPr>
                <w:rFonts w:ascii="宋体" w:hAnsi="宋体" w:eastAsia="宋体" w:cs="宋体"/>
                <w:spacing w:val="-10"/>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0"/>
                <w:sz w:val="24"/>
                <w:szCs w:val="24"/>
              </w:rPr>
              <w:t>；对合同条款中</w:t>
            </w:r>
            <w:r>
              <w:rPr>
                <w:rFonts w:ascii="宋体" w:hAnsi="宋体" w:eastAsia="宋体" w:cs="宋体"/>
                <w:spacing w:val="-5"/>
                <w:sz w:val="24"/>
                <w:szCs w:val="24"/>
              </w:rPr>
              <w:t>的所有要求，除本表列明的偏离外，均视作供应商已对之理</w:t>
            </w:r>
            <w:r>
              <w:rPr>
                <w:rFonts w:ascii="宋体" w:hAnsi="宋体" w:eastAsia="宋体" w:cs="宋体"/>
                <w:spacing w:val="-6"/>
                <w:sz w:val="24"/>
                <w:szCs w:val="24"/>
              </w:rPr>
              <w:t>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bl>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Style w:val="75"/>
          <w:rFonts w:hint="eastAsia" w:ascii="宋体" w:hAnsi="宋体"/>
          <w:b/>
          <w:color w:val="0000FF"/>
        </w:rPr>
      </w:pPr>
      <w:r>
        <w:rPr>
          <w:rFonts w:hint="eastAsia"/>
          <w:b/>
          <w:color w:val="auto"/>
          <w:sz w:val="24"/>
          <w:szCs w:val="24"/>
        </w:rPr>
        <w:t xml:space="preserve">附件6 </w:t>
      </w:r>
      <w:r>
        <w:rPr>
          <w:rFonts w:hint="eastAsia"/>
          <w:b/>
          <w:color w:val="auto"/>
          <w:sz w:val="24"/>
          <w:szCs w:val="24"/>
          <w:highlight w:val="none"/>
        </w:rPr>
        <w:t xml:space="preserve">  </w:t>
      </w:r>
      <w:r>
        <w:rPr>
          <w:rFonts w:hint="eastAsia" w:ascii="宋体" w:hAnsi="宋体"/>
          <w:b/>
          <w:color w:val="auto"/>
          <w:sz w:val="24"/>
          <w:szCs w:val="24"/>
          <w:highlight w:val="none"/>
          <w:lang w:eastAsia="zh-CN"/>
        </w:rPr>
        <w:t>服务方案</w:t>
      </w:r>
      <w:r>
        <w:rPr>
          <w:rFonts w:hint="eastAsia"/>
          <w:b/>
          <w:color w:val="auto"/>
          <w:sz w:val="24"/>
          <w:szCs w:val="24"/>
          <w:highlight w:val="none"/>
        </w:rPr>
        <w:t>（应答本</w:t>
      </w:r>
      <w:r>
        <w:rPr>
          <w:rFonts w:hint="eastAsia"/>
          <w:b/>
          <w:color w:val="auto"/>
          <w:sz w:val="24"/>
          <w:szCs w:val="24"/>
          <w:highlight w:val="none"/>
          <w:lang w:eastAsia="zh-CN"/>
        </w:rPr>
        <w:t>招标文件</w:t>
      </w:r>
      <w:r>
        <w:rPr>
          <w:rFonts w:hint="eastAsia"/>
          <w:b/>
          <w:color w:val="auto"/>
          <w:sz w:val="24"/>
          <w:szCs w:val="24"/>
          <w:highlight w:val="none"/>
        </w:rPr>
        <w:fldChar w:fldCharType="begin"/>
      </w:r>
      <w:r>
        <w:rPr>
          <w:rFonts w:hint="eastAsia"/>
          <w:b/>
          <w:color w:val="auto"/>
          <w:sz w:val="24"/>
          <w:szCs w:val="24"/>
          <w:highlight w:val="none"/>
        </w:rPr>
        <w:instrText xml:space="preserve"> HYPERLINK \l "_2总体技术要求" </w:instrText>
      </w:r>
      <w:r>
        <w:rPr>
          <w:rFonts w:hint="eastAsia"/>
          <w:b/>
          <w:color w:val="auto"/>
          <w:sz w:val="24"/>
          <w:szCs w:val="24"/>
          <w:highlight w:val="none"/>
        </w:rPr>
        <w:fldChar w:fldCharType="separate"/>
      </w:r>
      <w:r>
        <w:rPr>
          <w:rFonts w:hint="eastAsia"/>
          <w:b/>
          <w:color w:val="auto"/>
          <w:sz w:val="24"/>
          <w:szCs w:val="24"/>
          <w:highlight w:val="none"/>
        </w:rPr>
        <w:t>第</w:t>
      </w:r>
      <w:r>
        <w:rPr>
          <w:rFonts w:hint="eastAsia"/>
          <w:b/>
          <w:color w:val="auto"/>
          <w:sz w:val="24"/>
          <w:szCs w:val="24"/>
          <w:highlight w:val="none"/>
          <w:lang w:eastAsia="zh-CN"/>
        </w:rPr>
        <w:t>四</w:t>
      </w:r>
      <w:r>
        <w:rPr>
          <w:rFonts w:hint="eastAsia"/>
          <w:b/>
          <w:color w:val="auto"/>
          <w:sz w:val="24"/>
          <w:szCs w:val="24"/>
          <w:highlight w:val="none"/>
        </w:rPr>
        <w:t>部分“</w:t>
      </w:r>
      <w:r>
        <w:rPr>
          <w:rFonts w:hint="eastAsia"/>
          <w:b/>
          <w:color w:val="auto"/>
          <w:sz w:val="24"/>
          <w:szCs w:val="24"/>
          <w:highlight w:val="none"/>
        </w:rPr>
        <w:fldChar w:fldCharType="end"/>
      </w:r>
      <w:r>
        <w:rPr>
          <w:rFonts w:hint="eastAsia"/>
          <w:b/>
          <w:color w:val="auto"/>
          <w:sz w:val="24"/>
          <w:szCs w:val="24"/>
          <w:highlight w:val="none"/>
          <w:lang w:eastAsia="zh-CN"/>
        </w:rPr>
        <w:t>采</w:t>
      </w:r>
      <w:r>
        <w:rPr>
          <w:rFonts w:hint="eastAsia"/>
          <w:b/>
          <w:color w:val="auto"/>
          <w:sz w:val="24"/>
          <w:szCs w:val="24"/>
          <w:lang w:eastAsia="zh-CN"/>
        </w:rPr>
        <w:t>购需求</w:t>
      </w:r>
      <w:r>
        <w:rPr>
          <w:rFonts w:hint="eastAsia"/>
          <w:b/>
          <w:color w:val="auto"/>
          <w:sz w:val="24"/>
          <w:szCs w:val="24"/>
        </w:rPr>
        <w:t>”中的具体要求</w:t>
      </w:r>
      <w:r>
        <w:rPr>
          <w:rStyle w:val="75"/>
          <w:rFonts w:hint="eastAsia" w:ascii="宋体" w:hAnsi="宋体"/>
          <w:b/>
          <w:color w:val="auto"/>
        </w:rPr>
        <w:t>，格式自拟）</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olor w:val="auto"/>
          <w:position w:val="-1"/>
          <w:sz w:val="24"/>
          <w:szCs w:val="24"/>
          <w:u w:val="none"/>
          <w:lang w:val="en-US" w:eastAsia="zh-CN"/>
        </w:rPr>
        <w:t xml:space="preserve">6.1  </w:t>
      </w:r>
      <w:r>
        <w:rPr>
          <w:rFonts w:hint="eastAsia" w:ascii="宋体" w:hAnsi="宋体"/>
          <w:color w:val="auto"/>
          <w:position w:val="-1"/>
          <w:sz w:val="24"/>
          <w:szCs w:val="24"/>
          <w:u w:val="none"/>
        </w:rPr>
        <w:t>项目服务特点、难点分析及相应措施</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s="宋体"/>
          <w:color w:val="auto"/>
          <w:sz w:val="24"/>
          <w:szCs w:val="24"/>
          <w:u w:val="none"/>
          <w:lang w:val="en-US" w:eastAsia="zh-CN"/>
        </w:rPr>
        <w:t xml:space="preserve">6.2  </w:t>
      </w:r>
      <w:r>
        <w:rPr>
          <w:rFonts w:hint="eastAsia" w:ascii="宋体" w:hAnsi="宋体" w:cs="宋体"/>
          <w:color w:val="auto"/>
          <w:sz w:val="24"/>
          <w:szCs w:val="24"/>
          <w:u w:val="none"/>
        </w:rPr>
        <w:t>针对本项目的重点工作方案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color w:val="auto"/>
          <w:position w:val="-1"/>
          <w:sz w:val="24"/>
          <w:szCs w:val="24"/>
          <w:u w:val="none"/>
          <w:lang w:val="en-US" w:eastAsia="zh-CN"/>
        </w:rPr>
        <w:t xml:space="preserve">6.3  </w:t>
      </w:r>
      <w:r>
        <w:rPr>
          <w:rFonts w:hint="eastAsia" w:ascii="宋体" w:hAnsi="宋体"/>
          <w:color w:val="auto"/>
          <w:position w:val="-1"/>
          <w:sz w:val="24"/>
          <w:szCs w:val="24"/>
          <w:u w:val="none"/>
        </w:rPr>
        <w:t>日常服务方案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color w:val="auto"/>
          <w:sz w:val="24"/>
          <w:szCs w:val="24"/>
          <w:u w:val="none"/>
          <w:lang w:val="en-US" w:eastAsia="zh-CN"/>
        </w:rPr>
        <w:t xml:space="preserve">6.4  </w:t>
      </w:r>
      <w:r>
        <w:rPr>
          <w:rFonts w:hint="eastAsia" w:ascii="宋体" w:hAnsi="宋体"/>
          <w:color w:val="auto"/>
          <w:sz w:val="24"/>
          <w:szCs w:val="24"/>
          <w:u w:val="none"/>
        </w:rPr>
        <w:t>日常管理制度</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Fonts w:hint="eastAsia"/>
          <w:color w:val="auto"/>
          <w:sz w:val="24"/>
          <w:szCs w:val="24"/>
          <w:lang w:eastAsia="zh-CN"/>
        </w:rPr>
      </w:pPr>
      <w:r>
        <w:rPr>
          <w:rFonts w:hint="eastAsia" w:ascii="宋体" w:hAnsi="宋体"/>
          <w:color w:val="auto"/>
          <w:sz w:val="24"/>
          <w:szCs w:val="24"/>
          <w:u w:val="none"/>
          <w:lang w:val="en-US" w:eastAsia="zh-CN"/>
        </w:rPr>
        <w:t xml:space="preserve">6.5  </w:t>
      </w:r>
      <w:r>
        <w:rPr>
          <w:rFonts w:hint="eastAsia" w:ascii="宋体" w:hAnsi="宋体" w:eastAsia="宋体" w:cs="宋体"/>
          <w:sz w:val="24"/>
          <w:szCs w:val="24"/>
        </w:rPr>
        <w:t>应急预案</w:t>
      </w:r>
      <w:r>
        <w:rPr>
          <w:rFonts w:hint="eastAsia" w:ascii="宋体" w:hAnsi="宋体" w:eastAsia="宋体" w:cs="宋体"/>
          <w:sz w:val="24"/>
          <w:szCs w:val="24"/>
          <w:lang w:eastAsia="zh-CN"/>
        </w:rPr>
        <w:t>。</w:t>
      </w:r>
    </w:p>
    <w:p>
      <w:pPr>
        <w:pStyle w:val="10"/>
        <w:rPr>
          <w:rFonts w:hint="eastAsia"/>
        </w:rPr>
      </w:pPr>
    </w:p>
    <w:p>
      <w:pPr>
        <w:pStyle w:val="2"/>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hint="eastAsia" w:ascii="宋体" w:hAnsi="宋体"/>
          <w:color w:val="auto"/>
          <w:sz w:val="24"/>
          <w:szCs w:val="24"/>
          <w:u w:val="single"/>
        </w:rPr>
      </w:pPr>
    </w:p>
    <w:p>
      <w:pPr>
        <w:widowControl/>
        <w:jc w:val="left"/>
        <w:rPr>
          <w:rStyle w:val="75"/>
          <w:rFonts w:hint="eastAsia" w:ascii="宋体" w:hAnsi="宋体"/>
          <w:b/>
          <w:color w:val="auto"/>
        </w:rPr>
      </w:pPr>
      <w:r>
        <w:rPr>
          <w:rFonts w:hint="eastAsia"/>
          <w:b/>
          <w:color w:val="auto"/>
          <w:sz w:val="24"/>
          <w:szCs w:val="24"/>
        </w:rPr>
        <w:t xml:space="preserve">附件7 </w:t>
      </w:r>
      <w:r>
        <w:rPr>
          <w:rFonts w:hint="eastAsia"/>
          <w:b/>
          <w:color w:val="000000"/>
          <w:sz w:val="24"/>
          <w:szCs w:val="24"/>
          <w:lang w:eastAsia="zh-CN"/>
        </w:rPr>
        <w:t>服务团队</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w:t>
      </w:r>
      <w:r>
        <w:rPr>
          <w:rStyle w:val="75"/>
          <w:rFonts w:hint="eastAsia" w:ascii="宋体" w:hAnsi="宋体"/>
          <w:b/>
          <w:color w:val="auto"/>
        </w:rPr>
        <w:t>，格式自拟）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7.1 </w:t>
      </w:r>
      <w:r>
        <w:rPr>
          <w:rFonts w:hint="eastAsia" w:ascii="宋体" w:hAnsi="宋体" w:eastAsia="宋体" w:cs="宋体"/>
          <w:b w:val="0"/>
          <w:bCs/>
          <w:color w:val="000000"/>
          <w:sz w:val="24"/>
          <w:szCs w:val="24"/>
          <w:lang w:eastAsia="zh-CN"/>
        </w:rPr>
        <w:t>组织机构及人员配置；</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7.2 </w:t>
      </w:r>
      <w:r>
        <w:rPr>
          <w:rFonts w:hint="eastAsia" w:ascii="宋体" w:hAnsi="宋体" w:eastAsia="宋体" w:cs="宋体"/>
          <w:sz w:val="24"/>
          <w:szCs w:val="24"/>
          <w:lang w:val="en-US" w:eastAsia="zh-CN"/>
        </w:rPr>
        <w:t>项目经理</w:t>
      </w:r>
      <w:r>
        <w:rPr>
          <w:rFonts w:hint="eastAsia" w:ascii="宋体" w:hAnsi="宋体" w:eastAsia="宋体" w:cs="宋体"/>
          <w:b w:val="0"/>
          <w:bCs/>
          <w:color w:val="000000"/>
          <w:sz w:val="24"/>
          <w:szCs w:val="24"/>
          <w:lang w:eastAsia="zh-CN"/>
        </w:rPr>
        <w:t>。</w:t>
      </w:r>
    </w:p>
    <w:p>
      <w:pPr>
        <w:pStyle w:val="11"/>
        <w:numPr>
          <w:ilvl w:val="-1"/>
          <w:numId w:val="0"/>
        </w:numPr>
        <w:rPr>
          <w:rFonts w:hint="eastAsia" w:ascii="宋体" w:hAnsi="宋体" w:cs="宋体"/>
          <w:color w:val="auto"/>
          <w:lang w:val="en-US" w:eastAsia="zh-CN" w:bidi="ar-SA"/>
        </w:rPr>
      </w:pPr>
    </w:p>
    <w:p>
      <w:pPr>
        <w:pStyle w:val="14"/>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ascii="宋体" w:hAnsi="宋体"/>
          <w:color w:val="auto"/>
          <w:sz w:val="24"/>
          <w:szCs w:val="24"/>
          <w:u w:val="single"/>
        </w:rPr>
      </w:pPr>
    </w:p>
    <w:p>
      <w:pPr>
        <w:pStyle w:val="11"/>
        <w:rPr>
          <w:rFonts w:hint="eastAsia" w:ascii="宋体" w:hAnsi="宋体"/>
          <w:b/>
          <w:color w:val="auto"/>
          <w:sz w:val="24"/>
          <w:szCs w:val="24"/>
          <w:lang w:eastAsia="zh-CN"/>
        </w:rPr>
      </w:pPr>
      <w:r>
        <w:rPr>
          <w:rFonts w:hint="eastAsia"/>
          <w:b/>
          <w:color w:val="auto"/>
          <w:sz w:val="24"/>
          <w:szCs w:val="24"/>
        </w:rPr>
        <w:t>附件</w:t>
      </w:r>
      <w:r>
        <w:rPr>
          <w:rFonts w:hint="eastAsia"/>
          <w:b/>
          <w:color w:val="auto"/>
          <w:sz w:val="24"/>
          <w:szCs w:val="24"/>
          <w:lang w:val="en-US" w:eastAsia="zh-CN"/>
        </w:rPr>
        <w:t>8</w:t>
      </w:r>
      <w:r>
        <w:rPr>
          <w:rFonts w:hint="eastAsia"/>
          <w:b/>
          <w:color w:val="auto"/>
          <w:sz w:val="24"/>
          <w:szCs w:val="24"/>
        </w:rPr>
        <w:t xml:space="preserve"> </w:t>
      </w:r>
      <w:r>
        <w:rPr>
          <w:rFonts w:hint="eastAsia"/>
          <w:b/>
          <w:color w:val="auto"/>
          <w:sz w:val="24"/>
          <w:szCs w:val="24"/>
          <w:lang w:eastAsia="zh-CN"/>
        </w:rPr>
        <w:t>投标人履约能力</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w:t>
      </w:r>
      <w:r>
        <w:rPr>
          <w:rStyle w:val="75"/>
          <w:rFonts w:hint="eastAsia" w:ascii="宋体" w:hAnsi="宋体"/>
          <w:b/>
          <w:color w:val="auto"/>
        </w:rPr>
        <w:t>，格式自拟）</w:t>
      </w:r>
    </w:p>
    <w:p>
      <w:pPr>
        <w:spacing w:line="360" w:lineRule="auto"/>
        <w:rPr>
          <w:rFonts w:hint="eastAsia" w:hAnsi="宋体"/>
          <w:color w:val="000000"/>
          <w:sz w:val="24"/>
          <w:szCs w:val="24"/>
        </w:rPr>
      </w:pPr>
      <w:r>
        <w:rPr>
          <w:rFonts w:hint="eastAsia" w:ascii="宋体" w:hAnsi="宋体"/>
          <w:b w:val="0"/>
          <w:bCs/>
          <w:color w:val="auto"/>
          <w:sz w:val="24"/>
          <w:szCs w:val="24"/>
          <w:lang w:val="en-US" w:eastAsia="zh-CN"/>
        </w:rPr>
        <w:t>8.1</w:t>
      </w:r>
      <w:r>
        <w:rPr>
          <w:rFonts w:hint="eastAsia"/>
          <w:b w:val="0"/>
          <w:bCs/>
          <w:sz w:val="24"/>
          <w:szCs w:val="24"/>
        </w:rPr>
        <w:t>投标人业绩</w:t>
      </w:r>
      <w:r>
        <w:rPr>
          <w:rFonts w:hint="eastAsia" w:ascii="宋体" w:hAnsi="宋体"/>
          <w:b w:val="0"/>
          <w:bCs/>
          <w:color w:val="000000"/>
          <w:sz w:val="24"/>
          <w:szCs w:val="24"/>
        </w:rPr>
        <w:t>（</w:t>
      </w:r>
      <w:r>
        <w:rPr>
          <w:rFonts w:hint="eastAsia" w:hAnsi="宋体"/>
          <w:b w:val="0"/>
          <w:bCs/>
          <w:color w:val="000000"/>
          <w:sz w:val="24"/>
          <w:szCs w:val="24"/>
        </w:rPr>
        <w:t>证明材料需提供合同首页、甲方名称、服务内容、服务金额、合同签署页等关键页）</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2"/>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pStyle w:val="14"/>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lang w:val="en-US" w:eastAsia="zh-CN"/>
        </w:rPr>
        <w:t>1</w:t>
      </w:r>
      <w:r>
        <w:rPr>
          <w:rFonts w:hint="eastAsia" w:ascii="宋体" w:hAnsi="宋体"/>
          <w:color w:val="auto"/>
          <w:sz w:val="24"/>
          <w:szCs w:val="24"/>
        </w:rPr>
        <w:t>.业绩按上述表格填写。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lang w:val="en-US" w:eastAsia="zh-CN"/>
        </w:rPr>
        <w:t>2</w:t>
      </w:r>
      <w:r>
        <w:rPr>
          <w:rFonts w:hint="eastAsia" w:ascii="宋体" w:hAnsi="宋体"/>
          <w:color w:val="auto"/>
          <w:sz w:val="24"/>
          <w:szCs w:val="24"/>
        </w:rPr>
        <w:t>.证明材料请附后。</w:t>
      </w:r>
    </w:p>
    <w:p>
      <w:pPr>
        <w:pStyle w:val="14"/>
        <w:tabs>
          <w:tab w:val="left" w:pos="5220"/>
        </w:tabs>
        <w:spacing w:line="360" w:lineRule="auto"/>
        <w:rPr>
          <w:rFonts w:hint="eastAsia" w:hAnsi="宋体"/>
          <w:b/>
          <w:color w:val="auto"/>
          <w:sz w:val="24"/>
          <w:szCs w:val="24"/>
        </w:rPr>
      </w:pPr>
      <w:r>
        <w:rPr>
          <w:rFonts w:hint="eastAsia" w:hAnsi="宋体"/>
          <w:b w:val="0"/>
          <w:bCs/>
          <w:color w:val="auto"/>
          <w:sz w:val="24"/>
          <w:szCs w:val="24"/>
          <w:lang w:val="en-US" w:eastAsia="zh-CN"/>
        </w:rPr>
        <w:t xml:space="preserve">8.2 </w:t>
      </w:r>
      <w:r>
        <w:rPr>
          <w:rFonts w:hint="eastAsia" w:ascii="宋体" w:hAnsi="宋体"/>
          <w:b w:val="0"/>
          <w:bCs/>
          <w:color w:val="auto"/>
          <w:sz w:val="24"/>
          <w:szCs w:val="24"/>
          <w:lang w:val="en-US" w:eastAsia="zh-CN"/>
        </w:rPr>
        <w:t>投标人证书（按要求提供证书复印件并加盖投标人公章）</w:t>
      </w:r>
      <w:r>
        <w:rPr>
          <w:rFonts w:hint="eastAsia" w:hAnsi="宋体"/>
          <w:b w:val="0"/>
          <w:bCs/>
          <w:color w:val="auto"/>
          <w:sz w:val="24"/>
          <w:szCs w:val="24"/>
          <w:lang w:val="en-US" w:eastAsia="zh-CN"/>
        </w:rPr>
        <w:t>。</w:t>
      </w:r>
    </w:p>
    <w:p>
      <w:pPr>
        <w:pStyle w:val="14"/>
        <w:tabs>
          <w:tab w:val="left" w:pos="5220"/>
        </w:tabs>
        <w:spacing w:line="360" w:lineRule="auto"/>
        <w:rPr>
          <w:rFonts w:hint="eastAsia" w:hAnsi="宋体"/>
          <w:b/>
          <w:color w:val="auto"/>
          <w:sz w:val="24"/>
          <w:szCs w:val="24"/>
        </w:rPr>
      </w:pPr>
    </w:p>
    <w:p>
      <w:pPr>
        <w:pStyle w:val="14"/>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9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-1</w:t>
      </w:r>
      <w:r>
        <w:rPr>
          <w:rFonts w:hint="eastAsia" w:ascii="宋体" w:hAnsi="宋体"/>
          <w:color w:val="auto"/>
          <w:sz w:val="24"/>
          <w:szCs w:val="24"/>
        </w:rPr>
        <w:t xml:space="preserve">                  </w:t>
      </w:r>
    </w:p>
    <w:p>
      <w:pPr>
        <w:jc w:val="center"/>
        <w:rPr>
          <w:rFonts w:hint="eastAsia" w:ascii="宋体" w:hAnsi="宋体"/>
          <w:b/>
          <w:color w:val="auto"/>
          <w:sz w:val="24"/>
          <w:szCs w:val="24"/>
        </w:rPr>
      </w:pP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11"/>
        <w:rPr>
          <w:rFonts w:hint="eastAsia" w:ascii="宋体" w:hAnsi="宋体" w:eastAsia="宋体" w:cs="宋体"/>
          <w:lang w:val="en-US" w:eastAsia="zh-CN"/>
        </w:rPr>
      </w:pPr>
      <w:r>
        <w:rPr>
          <w:rFonts w:hint="eastAsia" w:ascii="宋体" w:hAnsi="宋体" w:cs="宋体"/>
          <w:lang w:val="en-US" w:eastAsia="zh-CN"/>
        </w:rPr>
        <w:t>3</w:t>
      </w:r>
      <w:r>
        <w:rPr>
          <w:rFonts w:hint="eastAsia" w:ascii="宋体" w:hAnsi="宋体" w:eastAsia="宋体" w:cs="宋体"/>
          <w:lang w:val="en-US" w:eastAsia="zh-CN"/>
        </w:rPr>
        <w:t>.本声明函中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4</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.本声明函中企业名称（盖章）指加盖投标人公章（电子签章）。</w:t>
      </w:r>
    </w:p>
    <w:p>
      <w:pPr>
        <w:pStyle w:val="12"/>
        <w:ind w:left="0" w:leftChars="0" w:firstLine="0" w:firstLineChars="0"/>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4"/>
        </w:rPr>
      </w:pP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right="480" w:firstLine="4698" w:firstLineChars="1950"/>
        <w:rPr>
          <w:rFonts w:hint="eastAsia" w:hAnsi="宋体"/>
          <w:b/>
          <w:color w:val="auto"/>
          <w:sz w:val="24"/>
          <w:szCs w:val="24"/>
        </w:rPr>
      </w:pPr>
    </w:p>
    <w:p>
      <w:pPr>
        <w:spacing w:line="360" w:lineRule="auto"/>
        <w:rPr>
          <w:rFonts w:hint="eastAsia"/>
          <w:color w:val="auto"/>
          <w:sz w:val="24"/>
          <w:szCs w:val="24"/>
        </w:rPr>
      </w:pPr>
      <w:r>
        <w:rPr>
          <w:rFonts w:hint="eastAsia" w:hAnsi="宋体"/>
          <w:b/>
          <w:color w:val="auto"/>
          <w:sz w:val="24"/>
          <w:szCs w:val="24"/>
        </w:rPr>
        <w:t>附件1</w:t>
      </w:r>
      <w:r>
        <w:rPr>
          <w:rFonts w:hint="eastAsia" w:hAnsi="宋体"/>
          <w:b/>
          <w:color w:val="auto"/>
          <w:sz w:val="24"/>
          <w:szCs w:val="24"/>
          <w:lang w:val="en-US" w:eastAsia="zh-CN"/>
        </w:rPr>
        <w:t>0</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p>
      <w:pPr>
        <w:pStyle w:val="5"/>
        <w:numPr>
          <w:ilvl w:val="1"/>
          <w:numId w:val="0"/>
        </w:numPr>
        <w:ind w:left="254" w:leftChars="0"/>
      </w:pPr>
    </w:p>
    <w:p>
      <w:pPr>
        <w:pStyle w:val="49"/>
        <w:numPr>
          <w:ilvl w:val="0"/>
          <w:numId w:val="0"/>
        </w:numPr>
        <w:snapToGrid w:val="0"/>
        <w:spacing w:before="0" w:after="0"/>
        <w:jc w:val="center"/>
        <w:rPr>
          <w:rFonts w:hint="eastAsia" w:ascii="宋体" w:hAnsi="宋体"/>
          <w:color w:val="auto"/>
          <w:lang w:eastAsia="zh-CN"/>
        </w:rPr>
      </w:pPr>
      <w:bookmarkStart w:id="58" w:name="OLE_LINK1"/>
      <w:bookmarkStart w:id="59" w:name="_Toc174185201"/>
      <w:bookmarkStart w:id="60" w:name="_Toc186274124"/>
      <w:bookmarkStart w:id="61" w:name="_Toc15708"/>
      <w:bookmarkStart w:id="62" w:name="_Toc86202632"/>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center"/>
        <w:rPr>
          <w:rFonts w:hint="eastAsia" w:ascii="宋体" w:hAnsi="宋体"/>
          <w:color w:val="auto"/>
          <w:lang w:eastAsia="zh-CN"/>
        </w:rPr>
      </w:pPr>
    </w:p>
    <w:p>
      <w:pPr>
        <w:pStyle w:val="49"/>
        <w:numPr>
          <w:ilvl w:val="0"/>
          <w:numId w:val="0"/>
        </w:numPr>
        <w:snapToGrid w:val="0"/>
        <w:spacing w:before="0" w:after="0"/>
        <w:jc w:val="both"/>
        <w:rPr>
          <w:rFonts w:hint="eastAsia" w:ascii="宋体" w:hAnsi="宋体"/>
          <w:color w:val="auto"/>
          <w:lang w:eastAsia="zh-CN"/>
        </w:rPr>
      </w:pPr>
    </w:p>
    <w:bookmarkEnd w:id="58"/>
    <w:bookmarkEnd w:id="59"/>
    <w:bookmarkEnd w:id="60"/>
    <w:bookmarkEnd w:id="61"/>
    <w:bookmarkEnd w:id="62"/>
    <w:p>
      <w:pPr>
        <w:pStyle w:val="50"/>
        <w:numPr>
          <w:ilvl w:val="0"/>
          <w:numId w:val="0"/>
        </w:numPr>
        <w:tabs>
          <w:tab w:val="left" w:pos="660"/>
        </w:tabs>
        <w:snapToGrid w:val="0"/>
        <w:spacing w:before="0" w:line="440" w:lineRule="exact"/>
        <w:ind w:firstLine="420" w:firstLineChars="200"/>
        <w:rPr>
          <w:b w:val="0"/>
          <w:color w:val="auto"/>
          <w:szCs w:val="21"/>
        </w:rPr>
      </w:pPr>
    </w:p>
    <w:sectPr>
      <w:headerReference r:id="rId10" w:type="default"/>
      <w:footerReference r:id="rId11" w:type="default"/>
      <w:pgSz w:w="11907" w:h="16840"/>
      <w:pgMar w:top="1701" w:right="1588" w:bottom="1701" w:left="1588" w:header="851" w:footer="851"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等线">
    <w:altName w:val="宋体"/>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方正小标宋简体">
    <w:altName w:val="微软雅黑"/>
    <w:panose1 w:val="03000509000000000000"/>
    <w:charset w:val="86"/>
    <w:family w:val="script"/>
    <w:pitch w:val="default"/>
    <w:sig w:usb0="00000000" w:usb1="00000000" w:usb2="00000000" w:usb3="00000000" w:csb0="00040000" w:csb1="00000000"/>
  </w:font>
  <w:font w:name="华文隶书">
    <w:altName w:val="微软雅黑"/>
    <w:panose1 w:val="02010800040101010101"/>
    <w:charset w:val="86"/>
    <w:family w:val="auto"/>
    <w:pitch w:val="default"/>
    <w:sig w:usb0="00000000" w:usb1="00000000" w:usb2="00000010" w:usb3="00000000" w:csb0="00040000" w:csb1="00000000"/>
  </w:font>
  <w:font w:name="Wingdings">
    <w:panose1 w:val="05000000000000000000"/>
    <w:charset w:val="00"/>
    <w:family w:val="auto"/>
    <w:pitch w:val="default"/>
    <w:sig w:usb0="00000000" w:usb1="00000000" w:usb2="00000000" w:usb3="00000000" w:csb0="80000000" w:csb1="00000000"/>
  </w:font>
  <w:font w:name="Times">
    <w:altName w:val="Times New Roman"/>
    <w:panose1 w:val="02020603050405020304"/>
    <w:charset w:val="00"/>
    <w:family w:val="roman"/>
    <w:pitch w:val="default"/>
    <w:sig w:usb0="00000000" w:usb1="00000000" w:usb2="00000009" w:usb3="00000000" w:csb0="000001FF" w:csb1="00000000"/>
  </w:font>
  <w:font w:name="Arial Narrow">
    <w:altName w:val="Arial"/>
    <w:panose1 w:val="020B0506020202030204"/>
    <w:charset w:val="00"/>
    <w:family w:val="swiss"/>
    <w:pitch w:val="default"/>
    <w:sig w:usb0="00000000" w:usb1="00000000" w:usb2="00000000" w:usb3="00000000" w:csb0="0000009F" w:csb1="00000000"/>
  </w:font>
  <w:font w:name="五">
    <w:altName w:val="黑体"/>
    <w:panose1 w:val="00000000000000000000"/>
    <w:charset w:val="86"/>
    <w:family w:val="auto"/>
    <w:pitch w:val="default"/>
    <w:sig w:usb0="00000000" w:usb1="00000000" w:usb2="00000010" w:usb3="00000000" w:csb0="00040000" w:csb1="00000000"/>
  </w:font>
  <w:font w:name="汉仪细圆B5">
    <w:altName w:val="仿宋"/>
    <w:panose1 w:val="00000000000000000000"/>
    <w:charset w:val="00"/>
    <w:family w:val="auto"/>
    <w:pitch w:val="default"/>
    <w:sig w:usb0="00000000" w:usb1="00000000" w:usb2="00000000" w:usb3="00000000" w:csb0="00000000" w:csb1="00000000"/>
  </w:font>
  <w:font w:name="文泉驿正黑">
    <w:altName w:val="黑体"/>
    <w:panose1 w:val="02000603000000000000"/>
    <w:charset w:val="86"/>
    <w:family w:val="auto"/>
    <w:pitch w:val="default"/>
    <w:sig w:usb0="00000000" w:usb1="00000000" w:usb2="00000036" w:usb3="00000000" w:csb0="603E000D" w:csb1="D2D70000"/>
  </w:font>
  <w:font w:name="Calibri">
    <w:panose1 w:val="020F0502020204030204"/>
    <w:charset w:val="86"/>
    <w:family w:val="swiss"/>
    <w:pitch w:val="default"/>
    <w:sig w:usb0="E00002FF" w:usb1="4000ACFF" w:usb2="00000001" w:usb3="00000000" w:csb0="2000019F" w:csb1="00000000"/>
  </w:font>
  <w:font w:name="Arial Unicode MS">
    <w:altName w:val="Arial"/>
    <w:panose1 w:val="020B0604020202020204"/>
    <w:charset w:val="80"/>
    <w:family w:val="swiss"/>
    <w:pitch w:val="default"/>
    <w:sig w:usb0="00000000" w:usb1="00000000" w:usb2="0000003F" w:usb3="00000000" w:csb0="603F01FF" w:csb1="FFFF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Tw Cen MT">
    <w:altName w:val="Segoe Print"/>
    <w:panose1 w:val="00000000000000000000"/>
    <w:charset w:val="00"/>
    <w:family w:val="swiss"/>
    <w:pitch w:val="default"/>
    <w:sig w:usb0="00000000" w:usb1="00000000" w:usb2="00000000" w:usb3="00000000" w:csb0="00000003" w:csb1="00000000"/>
  </w:font>
  <w:font w:name="DengXian">
    <w:altName w:val="宋体"/>
    <w:panose1 w:val="02010600030101010101"/>
    <w:charset w:val="86"/>
    <w:family w:val="auto"/>
    <w:pitch w:val="default"/>
    <w:sig w:usb0="00000000" w:usb1="00000000" w:usb2="00000016" w:usb3="00000000" w:csb0="0004000F" w:csb1="00000000"/>
  </w:font>
  <w:font w:name="DengXian Light">
    <w:altName w:val="宋体"/>
    <w:panose1 w:val="00000000000000000000"/>
    <w:charset w:val="86"/>
    <w:family w:val="auto"/>
    <w:pitch w:val="default"/>
    <w:sig w:usb0="00000000" w:usb1="00000000" w:usb2="00000016" w:usb3="00000000" w:csb0="0004000F" w:csb1="00000000"/>
  </w:font>
  <w:font w:name="汉仪中等线KW">
    <w:altName w:val="宋体"/>
    <w:panose1 w:val="01010104010101010101"/>
    <w:charset w:val="86"/>
    <w:family w:val="auto"/>
    <w:pitch w:val="default"/>
    <w:sig w:usb0="00000000" w:usb1="00000000" w:usb2="00000000" w:usb3="00000000" w:csb0="00040001" w:csb1="00000000"/>
  </w:font>
  <w:font w:name="汉仪书宋二KW">
    <w:altName w:val="宋体"/>
    <w:panose1 w:val="00020600040101010101"/>
    <w:charset w:val="86"/>
    <w:family w:val="auto"/>
    <w:pitch w:val="default"/>
    <w:sig w:usb0="00000000" w:usb1="00000000" w:usb2="00000016" w:usb3="00000000" w:csb0="00040000" w:csb1="00000000"/>
  </w:font>
  <w:font w:name="Helvetica Neue">
    <w:altName w:val="Corbel"/>
    <w:panose1 w:val="02000503000000020004"/>
    <w:charset w:val="00"/>
    <w:family w:val="auto"/>
    <w:pitch w:val="default"/>
    <w:sig w:usb0="00000000" w:usb1="00000000" w:usb2="00000010" w:usb3="00000000" w:csb0="00000000" w:csb1="00000000"/>
  </w:font>
  <w:font w:name="汉仪中黑KW">
    <w:altName w:val="黑体"/>
    <w:panose1 w:val="00020600040101010101"/>
    <w:charset w:val="86"/>
    <w:family w:val="auto"/>
    <w:pitch w:val="default"/>
    <w:sig w:usb0="00000000" w:usb1="00000000" w:usb2="00000016" w:usb3="00000000" w:csb0="00040000" w:csb1="00000000"/>
  </w:font>
  <w:font w:name="Corbel">
    <w:panose1 w:val="020B0503020204020204"/>
    <w:charset w:val="00"/>
    <w:family w:val="auto"/>
    <w:pitch w:val="default"/>
    <w:sig w:usb0="A00002EF" w:usb1="4000A44B" w:usb2="00000000" w:usb3="00000000" w:csb0="2000019F" w:csb1="00000000"/>
  </w:font>
  <w:font w:name="serif">
    <w:altName w:val="Segoe Print"/>
    <w:panose1 w:val="00000000000000000000"/>
    <w:charset w:val="00"/>
    <w:family w:val="auto"/>
    <w:pitch w:val="default"/>
    <w:sig w:usb0="00000000" w:usb1="00000000" w:usb2="00000000" w:usb3="00000000" w:csb0="00040001" w:csb1="00000000"/>
  </w:font>
  <w:font w:name="Garamond">
    <w:altName w:val="PMingLiU"/>
    <w:panose1 w:val="02020404030301010803"/>
    <w:charset w:val="00"/>
    <w:family w:val="roman"/>
    <w:pitch w:val="default"/>
    <w:sig w:usb0="00000000" w:usb1="00000000" w:usb2="00000000" w:usb3="00000000" w:csb0="0000009F" w:csb1="00000000"/>
  </w:font>
  <w:font w:name="zjaf">
    <w:altName w:val="Times New Roman"/>
    <w:panose1 w:val="00000000000000000000"/>
    <w:charset w:val="00"/>
    <w:family w:val="roman"/>
    <w:pitch w:val="default"/>
    <w:sig w:usb0="00000000" w:usb1="00000000" w:usb2="00000000" w:usb3="00000000" w:csb0="00040001" w:csb1="00000000"/>
  </w:font>
  <w:font w:name="Kingsoft Sign">
    <w:altName w:val="Segoe Print"/>
    <w:panose1 w:val="05050102010706020507"/>
    <w:charset w:val="00"/>
    <w:family w:val="auto"/>
    <w:pitch w:val="default"/>
    <w:sig w:usb0="00000000" w:usb1="00000000" w:usb2="00000000" w:usb3="00000000" w:csb0="00000001" w:csb1="00000000"/>
  </w:font>
  <w:font w:name="NumberOnly">
    <w:panose1 w:val="020B0500000000000000"/>
    <w:charset w:val="00"/>
    <w:family w:val="auto"/>
    <w:pitch w:val="default"/>
    <w:sig w:usb0="8000002F" w:usb1="10000048" w:usb2="00000000" w:usb3="00000000" w:csb0="00000111" w:csb1="40000000"/>
  </w:font>
  <w:font w:name="方正粗黑宋简体">
    <w:panose1 w:val="02000000000000000000"/>
    <w:charset w:val="86"/>
    <w:family w:val="auto"/>
    <w:pitch w:val="default"/>
    <w:sig w:usb0="A00002BF" w:usb1="184F6CFA" w:usb2="00000012"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方正黑体简体">
    <w:altName w:val="微软雅黑"/>
    <w:panose1 w:val="03000509000000000000"/>
    <w:charset w:val="86"/>
    <w:family w:val="auto"/>
    <w:pitch w:val="default"/>
    <w:sig w:usb0="00000000" w:usb1="00000000" w:usb2="00000000" w:usb3="00000000" w:csb0="00040000" w:csb1="00000000"/>
  </w:font>
  <w:font w:name="方正楷体简体">
    <w:altName w:val="宋体"/>
    <w:panose1 w:val="03000509000000000000"/>
    <w:charset w:val="86"/>
    <w:family w:val="auto"/>
    <w:pitch w:val="default"/>
    <w:sig w:usb0="00000000" w:usb1="00000000" w:usb2="00000000" w:usb3="00000000" w:csb0="00040000" w:csb1="00000000"/>
  </w:font>
  <w:font w:name="Swis721 BT">
    <w:altName w:val="Arial"/>
    <w:panose1 w:val="00000000000000000000"/>
    <w:charset w:val="00"/>
    <w:family w:val="swiss"/>
    <w:pitch w:val="default"/>
    <w:sig w:usb0="00000000" w:usb1="00000000" w:usb2="00000000" w:usb3="00000000" w:csb0="0000001B" w:csb1="00000000"/>
  </w:font>
  <w:font w:name="Batang">
    <w:panose1 w:val="02030600000101010101"/>
    <w:charset w:val="81"/>
    <w:family w:val="auto"/>
    <w:pitch w:val="default"/>
    <w:sig w:usb0="B00002AF" w:usb1="69D77CFB" w:usb2="00000030" w:usb3="00000000" w:csb0="4008009F" w:csb1="DFD70000"/>
  </w:font>
  <w:font w:name="华文楷体">
    <w:altName w:val="宋体"/>
    <w:panose1 w:val="02010600040101010101"/>
    <w:charset w:val="86"/>
    <w:family w:val="auto"/>
    <w:pitch w:val="default"/>
    <w:sig w:usb0="00000000" w:usb1="00000000" w:usb2="00000000" w:usb3="00000000" w:csb0="0004009F" w:csb1="DFD70000"/>
  </w:font>
  <w:font w:name="华文琥珀">
    <w:altName w:val="宋体"/>
    <w:panose1 w:val="02010800040101010101"/>
    <w:charset w:val="86"/>
    <w:family w:val="auto"/>
    <w:pitch w:val="default"/>
    <w:sig w:usb0="00000000" w:usb1="00000000" w:usb2="00000000" w:usb3="00000000" w:csb0="00040000" w:csb1="00000000"/>
  </w:font>
  <w:font w:name="华文行楷">
    <w:altName w:val="微软雅黑"/>
    <w:panose1 w:val="02010800040101010101"/>
    <w:charset w:val="86"/>
    <w:family w:val="auto"/>
    <w:pitch w:val="default"/>
    <w:sig w:usb0="00000000" w:usb1="00000000" w:usb2="00000000" w:usb3="00000000" w:csb0="00040000" w:csb1="00000000"/>
  </w:font>
  <w:font w:name="幼圆">
    <w:altName w:val="宋体"/>
    <w:panose1 w:val="02010509060101010101"/>
    <w:charset w:val="86"/>
    <w:family w:val="auto"/>
    <w:pitch w:val="default"/>
    <w:sig w:usb0="00000000" w:usb1="00000000" w:usb2="00000000" w:usb3="00000000" w:csb0="00040000" w:csb1="00000000"/>
  </w:font>
  <w:font w:name="PingFang SC">
    <w:altName w:val="Segoe Print"/>
    <w:panose1 w:val="00000000000000000000"/>
    <w:charset w:val="00"/>
    <w:family w:val="auto"/>
    <w:pitch w:val="default"/>
    <w:sig w:usb0="00000000" w:usb1="00000000" w:usb2="00000000" w:usb3="00000000" w:csb0="00000000" w:csb1="00000000"/>
  </w:font>
  <w:font w:name="方正姚体">
    <w:altName w:val="宋体"/>
    <w:panose1 w:val="02010601030101010101"/>
    <w:charset w:val="86"/>
    <w:family w:val="auto"/>
    <w:pitch w:val="default"/>
    <w:sig w:usb0="00000000" w:usb1="00000000" w:usb2="00000000" w:usb3="00000000" w:csb0="00040000" w:csb1="00000000"/>
  </w:font>
  <w:font w:name="方正舒体">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auto"/>
    <w:pitch w:val="default"/>
    <w:sig w:usb0="00000000" w:usb1="00000000" w:usb2="00000000" w:usb3="00000000" w:csb0="00040000" w:csb1="00000000"/>
  </w:font>
  <w:font w:name="华文彩云">
    <w:altName w:val="微软雅黑"/>
    <w:panose1 w:val="02010800040101010101"/>
    <w:charset w:val="86"/>
    <w:family w:val="auto"/>
    <w:pitch w:val="default"/>
    <w:sig w:usb0="00000000" w:usb1="00000000" w:usb2="00000000" w:usb3="00000000" w:csb0="00040000" w:csb1="00000000"/>
  </w:font>
  <w:font w:name="Gulim">
    <w:panose1 w:val="020B0600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Dotum">
    <w:panose1 w:val="020B0600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BatangChe">
    <w:panose1 w:val="02030609000101010101"/>
    <w:charset w:val="81"/>
    <w:family w:val="auto"/>
    <w:pitch w:val="default"/>
    <w:sig w:usb0="B00002AF" w:usb1="69D77CFB" w:usb2="00000030" w:usb3="00000000" w:csb0="4008009F" w:csb1="DFD70000"/>
  </w:font>
  <w:font w:name="Algerian">
    <w:altName w:val="Gabriola"/>
    <w:panose1 w:val="04020705040A02060702"/>
    <w:charset w:val="00"/>
    <w:family w:val="auto"/>
    <w:pitch w:val="default"/>
    <w:sig w:usb0="00000000" w:usb1="00000000" w:usb2="00000000" w:usb3="00000000" w:csb0="20000001" w:csb1="00000000"/>
  </w:font>
  <w:font w:name="Andalus">
    <w:panose1 w:val="02020603050405020304"/>
    <w:charset w:val="00"/>
    <w:family w:val="auto"/>
    <w:pitch w:val="default"/>
    <w:sig w:usb0="00002003" w:usb1="80000000" w:usb2="00000008" w:usb3="00000000" w:csb0="00000041" w:csb1="20080000"/>
  </w:font>
  <w:font w:name="Angsana New">
    <w:panose1 w:val="02020603050405020304"/>
    <w:charset w:val="00"/>
    <w:family w:val="auto"/>
    <w:pitch w:val="default"/>
    <w:sig w:usb0="81000003" w:usb1="00000000" w:usb2="00000000" w:usb3="00000000" w:csb0="00010001" w:csb1="00000000"/>
  </w:font>
  <w:font w:name="AngsanaUPC">
    <w:panose1 w:val="02020603050405020304"/>
    <w:charset w:val="00"/>
    <w:family w:val="auto"/>
    <w:pitch w:val="default"/>
    <w:sig w:usb0="81000003" w:usb1="00000000" w:usb2="00000000" w:usb3="00000000" w:csb0="00010001" w:csb1="00000000"/>
  </w:font>
  <w:font w:name="Arabic Typesetting">
    <w:panose1 w:val="03020402040406030203"/>
    <w:charset w:val="00"/>
    <w:family w:val="auto"/>
    <w:pitch w:val="default"/>
    <w:sig w:usb0="A000206F" w:usb1="C0000000" w:usb2="00000008" w:usb3="00000000" w:csb0="200000D3" w:csb1="00000000"/>
  </w:font>
  <w:font w:name="SimSun-ExtB">
    <w:panose1 w:val="02010609060101010101"/>
    <w:charset w:val="86"/>
    <w:family w:val="auto"/>
    <w:pitch w:val="default"/>
    <w:sig w:usb0="00000001" w:usb1="02000000" w:usb2="00000000" w:usb3="00000000" w:csb0="00040001" w:csb1="00000000"/>
  </w:font>
  <w:font w:name="中國龍新草體">
    <w:altName w:val="Segoe Print"/>
    <w:panose1 w:val="02010609000101010101"/>
    <w:charset w:val="00"/>
    <w:family w:val="auto"/>
    <w:pitch w:val="default"/>
    <w:sig w:usb0="00000000" w:usb1="00000000" w:usb2="00000000" w:usb3="00000000" w:csb0="00000000" w:csb1="00000000"/>
  </w:font>
  <w:font w:name="system-ui">
    <w:altName w:val="Segoe Print"/>
    <w:panose1 w:val="00000000000000000000"/>
    <w:charset w:val="00"/>
    <w:family w:val="auto"/>
    <w:pitch w:val="default"/>
    <w:sig w:usb0="00000000" w:usb1="00000000" w:usb2="00000000" w:usb3="00000000" w:csb0="00000000" w:csb1="00000000"/>
  </w:font>
  <w:font w:name="方正启体简体">
    <w:altName w:val="Segoe Print"/>
    <w:panose1 w:val="00000000000000000000"/>
    <w:charset w:val="00"/>
    <w:family w:val="auto"/>
    <w:pitch w:val="default"/>
    <w:sig w:usb0="00000000" w:usb1="00000000" w:usb2="00000000" w:usb3="00000000" w:csb0="00000000" w:csb1="00000000"/>
  </w:font>
  <w:font w:name="-apple-system-font">
    <w:altName w:val="Segoe Print"/>
    <w:panose1 w:val="00000000000000000000"/>
    <w:charset w:val="00"/>
    <w:family w:val="auto"/>
    <w:pitch w:val="default"/>
    <w:sig w:usb0="00000000" w:usb1="00000000" w:usb2="00000000" w:usb3="00000000" w:csb0="00000000" w:csb1="00000000"/>
  </w:font>
  <w:font w:name="Bodoni MT Poster Compressed">
    <w:altName w:val="Segoe Print"/>
    <w:panose1 w:val="02070706080601050204"/>
    <w:charset w:val="00"/>
    <w:family w:val="auto"/>
    <w:pitch w:val="default"/>
    <w:sig w:usb0="00000000" w:usb1="00000000" w:usb2="00000000" w:usb3="00000000" w:csb0="20000011" w:csb1="00000000"/>
  </w:font>
  <w:font w:name="MS Mincho">
    <w:panose1 w:val="02020609040205080304"/>
    <w:charset w:val="80"/>
    <w:family w:val="auto"/>
    <w:pitch w:val="default"/>
    <w:sig w:usb0="E00002FF" w:usb1="6AC7FDFB" w:usb2="00000012" w:usb3="00000000" w:csb0="4002009F" w:csb1="DFD70000"/>
  </w:font>
  <w:font w:name="Elephant">
    <w:altName w:val="Segoe Print"/>
    <w:panose1 w:val="02020904090505020303"/>
    <w:charset w:val="00"/>
    <w:family w:val="auto"/>
    <w:pitch w:val="default"/>
    <w:sig w:usb0="00000000" w:usb1="00000000" w:usb2="00000000" w:usb3="00000000" w:csb0="20000001" w:csb1="00000000"/>
  </w:font>
  <w:font w:name="Microsoft YaHei UI">
    <w:altName w:val="宋体"/>
    <w:panose1 w:val="020B0503020204020204"/>
    <w:charset w:val="86"/>
    <w:family w:val="auto"/>
    <w:pitch w:val="default"/>
    <w:sig w:usb0="00000000" w:usb1="00000000" w:usb2="00000016" w:usb3="00000000" w:csb0="0004001F" w:csb1="00000000"/>
  </w:font>
  <w:font w:name="叶根友毛笔行书2.0版">
    <w:altName w:val="宋体"/>
    <w:panose1 w:val="02010601030101010101"/>
    <w:charset w:val="86"/>
    <w:family w:val="auto"/>
    <w:pitch w:val="default"/>
    <w:sig w:usb0="00000000" w:usb1="00000000" w:usb2="00000000" w:usb3="00000000" w:csb0="00040000" w:csb1="00000000"/>
  </w:font>
  <w:font w:name="Wingdings 2">
    <w:altName w:val="Wingdings"/>
    <w:panose1 w:val="05020102010507070707"/>
    <w:charset w:val="00"/>
    <w:family w:val="auto"/>
    <w:pitch w:val="default"/>
    <w:sig w:usb0="00000000" w:usb1="00000000" w:usb2="00000000" w:usb3="00000000" w:csb0="80000000" w:csb1="00000000"/>
  </w:font>
  <w:font w:name="Gabriola">
    <w:panose1 w:val="04040605051002020D02"/>
    <w:charset w:val="00"/>
    <w:family w:val="auto"/>
    <w:pitch w:val="default"/>
    <w:sig w:usb0="E00002EF" w:usb1="5000204B" w:usb2="00000000" w:usb3="00000000" w:csb0="2000009F" w:csb1="00000000"/>
  </w:font>
  <w:font w:name="仿宋_GB2312">
    <w:altName w:val="仿宋"/>
    <w:panose1 w:val="00000000000000000000"/>
    <w:charset w:val="00"/>
    <w:family w:val="auto"/>
    <w:pitch w:val="default"/>
    <w:sig w:usb0="00000000" w:usb1="00000000" w:usb2="00000000" w:usb3="00000000" w:csb0="00000000" w:csb1="00000000"/>
  </w:font>
  <w:font w:name="华文细黑">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rPr>
                              <w:rStyle w:val="28"/>
                              <w:rFonts w:hint="eastAsia" w:eastAsia="宋体"/>
                              <w:lang w:eastAsia="zh-CN"/>
                            </w:rPr>
                          </w:pPr>
                          <w:r>
                            <w:rPr>
                              <w:rStyle w:val="28"/>
                              <w:rFonts w:hint="eastAsia"/>
                              <w:lang w:eastAsia="zh-CN"/>
                            </w:rPr>
                            <w:t xml:space="preserve">第 </w:t>
                          </w:r>
                          <w:r>
                            <w:rPr>
                              <w:rStyle w:val="28"/>
                              <w:rFonts w:hint="eastAsia"/>
                              <w:lang w:eastAsia="zh-CN"/>
                            </w:rPr>
                            <w:fldChar w:fldCharType="begin"/>
                          </w:r>
                          <w:r>
                            <w:rPr>
                              <w:rStyle w:val="28"/>
                              <w:rFonts w:hint="eastAsia"/>
                              <w:lang w:eastAsia="zh-CN"/>
                            </w:rPr>
                            <w:instrText xml:space="preserve"> PAGE  \* MERGEFORMAT </w:instrText>
                          </w:r>
                          <w:r>
                            <w:rPr>
                              <w:rStyle w:val="28"/>
                              <w:rFonts w:hint="eastAsia"/>
                              <w:lang w:eastAsia="zh-CN"/>
                            </w:rPr>
                            <w:fldChar w:fldCharType="separate"/>
                          </w:r>
                          <w:r>
                            <w:rPr>
                              <w:rStyle w:val="28"/>
                              <w:rFonts w:hint="eastAsia"/>
                              <w:lang w:eastAsia="zh-CN"/>
                            </w:rPr>
                            <w:t>2</w:t>
                          </w:r>
                          <w:r>
                            <w:rPr>
                              <w:rStyle w:val="28"/>
                              <w:rFonts w:hint="eastAsia"/>
                              <w:lang w:eastAsia="zh-CN"/>
                            </w:rPr>
                            <w:fldChar w:fldCharType="end"/>
                          </w:r>
                          <w:r>
                            <w:rPr>
                              <w:rStyle w:val="28"/>
                              <w:rFonts w:hint="eastAsia"/>
                              <w:lang w:eastAsia="zh-CN"/>
                            </w:rPr>
                            <w:t xml:space="preserve"> 页 共 </w:t>
                          </w:r>
                          <w:r>
                            <w:rPr>
                              <w:rStyle w:val="28"/>
                              <w:rFonts w:hint="eastAsia"/>
                              <w:lang w:eastAsia="zh-CN"/>
                            </w:rPr>
                            <w:fldChar w:fldCharType="begin"/>
                          </w:r>
                          <w:r>
                            <w:rPr>
                              <w:rStyle w:val="28"/>
                              <w:rFonts w:hint="eastAsia"/>
                              <w:lang w:eastAsia="zh-CN"/>
                            </w:rPr>
                            <w:instrText xml:space="preserve"> NUMPAGES  \* MERGEFORMAT </w:instrText>
                          </w:r>
                          <w:r>
                            <w:rPr>
                              <w:rStyle w:val="28"/>
                              <w:rFonts w:hint="eastAsia"/>
                              <w:lang w:eastAsia="zh-CN"/>
                            </w:rPr>
                            <w:fldChar w:fldCharType="separate"/>
                          </w:r>
                          <w:r>
                            <w:rPr>
                              <w:rStyle w:val="28"/>
                              <w:rFonts w:hint="eastAsia"/>
                              <w:lang w:eastAsia="zh-CN"/>
                            </w:rPr>
                            <w:t>57</w:t>
                          </w:r>
                          <w:r>
                            <w:rPr>
                              <w:rStyle w:val="28"/>
                              <w:rFonts w:hint="eastAsia"/>
                              <w:lang w:eastAsia="zh-CN"/>
                            </w:rPr>
                            <w:fldChar w:fldCharType="end"/>
                          </w:r>
                          <w:r>
                            <w:rPr>
                              <w:rStyle w:val="28"/>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17"/>
                      <w:rPr>
                        <w:rStyle w:val="28"/>
                        <w:rFonts w:hint="eastAsia" w:eastAsia="宋体"/>
                        <w:lang w:eastAsia="zh-CN"/>
                      </w:rPr>
                    </w:pPr>
                    <w:r>
                      <w:rPr>
                        <w:rStyle w:val="28"/>
                        <w:rFonts w:hint="eastAsia"/>
                        <w:lang w:eastAsia="zh-CN"/>
                      </w:rPr>
                      <w:t xml:space="preserve">第 </w:t>
                    </w:r>
                    <w:r>
                      <w:rPr>
                        <w:rStyle w:val="28"/>
                        <w:rFonts w:hint="eastAsia"/>
                        <w:lang w:eastAsia="zh-CN"/>
                      </w:rPr>
                      <w:fldChar w:fldCharType="begin"/>
                    </w:r>
                    <w:r>
                      <w:rPr>
                        <w:rStyle w:val="28"/>
                        <w:rFonts w:hint="eastAsia"/>
                        <w:lang w:eastAsia="zh-CN"/>
                      </w:rPr>
                      <w:instrText xml:space="preserve"> PAGE  \* MERGEFORMAT </w:instrText>
                    </w:r>
                    <w:r>
                      <w:rPr>
                        <w:rStyle w:val="28"/>
                        <w:rFonts w:hint="eastAsia"/>
                        <w:lang w:eastAsia="zh-CN"/>
                      </w:rPr>
                      <w:fldChar w:fldCharType="separate"/>
                    </w:r>
                    <w:r>
                      <w:rPr>
                        <w:rStyle w:val="28"/>
                        <w:rFonts w:hint="eastAsia"/>
                        <w:lang w:eastAsia="zh-CN"/>
                      </w:rPr>
                      <w:t>2</w:t>
                    </w:r>
                    <w:r>
                      <w:rPr>
                        <w:rStyle w:val="28"/>
                        <w:rFonts w:hint="eastAsia"/>
                        <w:lang w:eastAsia="zh-CN"/>
                      </w:rPr>
                      <w:fldChar w:fldCharType="end"/>
                    </w:r>
                    <w:r>
                      <w:rPr>
                        <w:rStyle w:val="28"/>
                        <w:rFonts w:hint="eastAsia"/>
                        <w:lang w:eastAsia="zh-CN"/>
                      </w:rPr>
                      <w:t xml:space="preserve"> 页 共 </w:t>
                    </w:r>
                    <w:r>
                      <w:rPr>
                        <w:rStyle w:val="28"/>
                        <w:rFonts w:hint="eastAsia"/>
                        <w:lang w:eastAsia="zh-CN"/>
                      </w:rPr>
                      <w:fldChar w:fldCharType="begin"/>
                    </w:r>
                    <w:r>
                      <w:rPr>
                        <w:rStyle w:val="28"/>
                        <w:rFonts w:hint="eastAsia"/>
                        <w:lang w:eastAsia="zh-CN"/>
                      </w:rPr>
                      <w:instrText xml:space="preserve"> NUMPAGES  \* MERGEFORMAT </w:instrText>
                    </w:r>
                    <w:r>
                      <w:rPr>
                        <w:rStyle w:val="28"/>
                        <w:rFonts w:hint="eastAsia"/>
                        <w:lang w:eastAsia="zh-CN"/>
                      </w:rPr>
                      <w:fldChar w:fldCharType="separate"/>
                    </w:r>
                    <w:r>
                      <w:rPr>
                        <w:rStyle w:val="28"/>
                        <w:rFonts w:hint="eastAsia"/>
                        <w:lang w:eastAsia="zh-CN"/>
                      </w:rPr>
                      <w:t>57</w:t>
                    </w:r>
                    <w:r>
                      <w:rPr>
                        <w:rStyle w:val="28"/>
                        <w:rFonts w:hint="eastAsia"/>
                        <w:lang w:eastAsia="zh-CN"/>
                      </w:rPr>
                      <w:fldChar w:fldCharType="end"/>
                    </w:r>
                    <w:r>
                      <w:rPr>
                        <w:rStyle w:val="28"/>
                        <w:rFonts w:hint="eastAsia"/>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57</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57</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Align="top"/>
    </w:pPr>
  </w:p>
  <w:p>
    <w:pPr>
      <w:pStyle w:val="17"/>
      <w:ind w:right="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ind w:right="36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57</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17"/>
                      <w:ind w:right="36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57</w:t>
                    </w:r>
                    <w:r>
                      <w:rPr>
                        <w:rFonts w:hint="eastAsia"/>
                        <w:lang w:eastAsia="zh-CN"/>
                      </w:rPr>
                      <w:fldChar w:fldCharType="end"/>
                    </w:r>
                    <w:r>
                      <w:rPr>
                        <w:rFonts w:hint="eastAsia"/>
                        <w:lang w:eastAsia="zh-CN"/>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rPr>
                              <w:rStyle w:val="28"/>
                              <w:rFonts w:hint="eastAsia" w:eastAsia="宋体"/>
                              <w:lang w:eastAsia="zh-CN"/>
                            </w:rPr>
                          </w:pPr>
                          <w:r>
                            <w:rPr>
                              <w:rStyle w:val="28"/>
                              <w:rFonts w:hint="eastAsia"/>
                              <w:lang w:eastAsia="zh-CN"/>
                            </w:rPr>
                            <w:t xml:space="preserve">第 </w:t>
                          </w:r>
                          <w:r>
                            <w:rPr>
                              <w:rStyle w:val="28"/>
                              <w:rFonts w:hint="eastAsia"/>
                              <w:lang w:eastAsia="zh-CN"/>
                            </w:rPr>
                            <w:fldChar w:fldCharType="begin"/>
                          </w:r>
                          <w:r>
                            <w:rPr>
                              <w:rStyle w:val="28"/>
                              <w:rFonts w:hint="eastAsia"/>
                              <w:lang w:eastAsia="zh-CN"/>
                            </w:rPr>
                            <w:instrText xml:space="preserve"> PAGE  \* MERGEFORMAT </w:instrText>
                          </w:r>
                          <w:r>
                            <w:rPr>
                              <w:rStyle w:val="28"/>
                              <w:rFonts w:hint="eastAsia"/>
                              <w:lang w:eastAsia="zh-CN"/>
                            </w:rPr>
                            <w:fldChar w:fldCharType="separate"/>
                          </w:r>
                          <w:r>
                            <w:rPr>
                              <w:rStyle w:val="28"/>
                              <w:rFonts w:hint="eastAsia"/>
                              <w:lang w:eastAsia="zh-CN"/>
                            </w:rPr>
                            <w:t>9</w:t>
                          </w:r>
                          <w:r>
                            <w:rPr>
                              <w:rStyle w:val="28"/>
                              <w:rFonts w:hint="eastAsia"/>
                              <w:lang w:eastAsia="zh-CN"/>
                            </w:rPr>
                            <w:fldChar w:fldCharType="end"/>
                          </w:r>
                          <w:r>
                            <w:rPr>
                              <w:rStyle w:val="28"/>
                              <w:rFonts w:hint="eastAsia"/>
                              <w:lang w:eastAsia="zh-CN"/>
                            </w:rPr>
                            <w:t xml:space="preserve"> 页 共 </w:t>
                          </w:r>
                          <w:r>
                            <w:rPr>
                              <w:rStyle w:val="28"/>
                              <w:rFonts w:hint="eastAsia"/>
                              <w:lang w:eastAsia="zh-CN"/>
                            </w:rPr>
                            <w:fldChar w:fldCharType="begin"/>
                          </w:r>
                          <w:r>
                            <w:rPr>
                              <w:rStyle w:val="28"/>
                              <w:rFonts w:hint="eastAsia"/>
                              <w:lang w:eastAsia="zh-CN"/>
                            </w:rPr>
                            <w:instrText xml:space="preserve"> NUMPAGES  \* MERGEFORMAT </w:instrText>
                          </w:r>
                          <w:r>
                            <w:rPr>
                              <w:rStyle w:val="28"/>
                              <w:rFonts w:hint="eastAsia"/>
                              <w:lang w:eastAsia="zh-CN"/>
                            </w:rPr>
                            <w:fldChar w:fldCharType="separate"/>
                          </w:r>
                          <w:r>
                            <w:rPr>
                              <w:rStyle w:val="28"/>
                              <w:rFonts w:hint="eastAsia"/>
                              <w:lang w:eastAsia="zh-CN"/>
                            </w:rPr>
                            <w:t>57</w:t>
                          </w:r>
                          <w:r>
                            <w:rPr>
                              <w:rStyle w:val="28"/>
                              <w:rFonts w:hint="eastAsia"/>
                              <w:lang w:eastAsia="zh-CN"/>
                            </w:rPr>
                            <w:fldChar w:fldCharType="end"/>
                          </w:r>
                          <w:r>
                            <w:rPr>
                              <w:rStyle w:val="28"/>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17"/>
                      <w:rPr>
                        <w:rStyle w:val="28"/>
                        <w:rFonts w:hint="eastAsia" w:eastAsia="宋体"/>
                        <w:lang w:eastAsia="zh-CN"/>
                      </w:rPr>
                    </w:pPr>
                    <w:r>
                      <w:rPr>
                        <w:rStyle w:val="28"/>
                        <w:rFonts w:hint="eastAsia"/>
                        <w:lang w:eastAsia="zh-CN"/>
                      </w:rPr>
                      <w:t xml:space="preserve">第 </w:t>
                    </w:r>
                    <w:r>
                      <w:rPr>
                        <w:rStyle w:val="28"/>
                        <w:rFonts w:hint="eastAsia"/>
                        <w:lang w:eastAsia="zh-CN"/>
                      </w:rPr>
                      <w:fldChar w:fldCharType="begin"/>
                    </w:r>
                    <w:r>
                      <w:rPr>
                        <w:rStyle w:val="28"/>
                        <w:rFonts w:hint="eastAsia"/>
                        <w:lang w:eastAsia="zh-CN"/>
                      </w:rPr>
                      <w:instrText xml:space="preserve"> PAGE  \* MERGEFORMAT </w:instrText>
                    </w:r>
                    <w:r>
                      <w:rPr>
                        <w:rStyle w:val="28"/>
                        <w:rFonts w:hint="eastAsia"/>
                        <w:lang w:eastAsia="zh-CN"/>
                      </w:rPr>
                      <w:fldChar w:fldCharType="separate"/>
                    </w:r>
                    <w:r>
                      <w:rPr>
                        <w:rStyle w:val="28"/>
                        <w:rFonts w:hint="eastAsia"/>
                        <w:lang w:eastAsia="zh-CN"/>
                      </w:rPr>
                      <w:t>9</w:t>
                    </w:r>
                    <w:r>
                      <w:rPr>
                        <w:rStyle w:val="28"/>
                        <w:rFonts w:hint="eastAsia"/>
                        <w:lang w:eastAsia="zh-CN"/>
                      </w:rPr>
                      <w:fldChar w:fldCharType="end"/>
                    </w:r>
                    <w:r>
                      <w:rPr>
                        <w:rStyle w:val="28"/>
                        <w:rFonts w:hint="eastAsia"/>
                        <w:lang w:eastAsia="zh-CN"/>
                      </w:rPr>
                      <w:t xml:space="preserve"> 页 共 </w:t>
                    </w:r>
                    <w:r>
                      <w:rPr>
                        <w:rStyle w:val="28"/>
                        <w:rFonts w:hint="eastAsia"/>
                        <w:lang w:eastAsia="zh-CN"/>
                      </w:rPr>
                      <w:fldChar w:fldCharType="begin"/>
                    </w:r>
                    <w:r>
                      <w:rPr>
                        <w:rStyle w:val="28"/>
                        <w:rFonts w:hint="eastAsia"/>
                        <w:lang w:eastAsia="zh-CN"/>
                      </w:rPr>
                      <w:instrText xml:space="preserve"> NUMPAGES  \* MERGEFORMAT </w:instrText>
                    </w:r>
                    <w:r>
                      <w:rPr>
                        <w:rStyle w:val="28"/>
                        <w:rFonts w:hint="eastAsia"/>
                        <w:lang w:eastAsia="zh-CN"/>
                      </w:rPr>
                      <w:fldChar w:fldCharType="separate"/>
                    </w:r>
                    <w:r>
                      <w:rPr>
                        <w:rStyle w:val="28"/>
                        <w:rFonts w:hint="eastAsia"/>
                        <w:lang w:eastAsia="zh-CN"/>
                      </w:rPr>
                      <w:t>57</w:t>
                    </w:r>
                    <w:r>
                      <w:rPr>
                        <w:rStyle w:val="28"/>
                        <w:rFonts w:hint="eastAsia"/>
                        <w:lang w:eastAsia="zh-CN"/>
                      </w:rPr>
                      <w:fldChar w:fldCharType="end"/>
                    </w:r>
                    <w:r>
                      <w:rPr>
                        <w:rStyle w:val="28"/>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rPr>
        <w:rFonts w:hint="eastAsia"/>
      </w:rPr>
      <w:t>北京市</w:t>
    </w:r>
    <w:r>
      <w:rPr>
        <w:rFonts w:hint="eastAsia"/>
        <w:lang w:eastAsia="zh-CN"/>
      </w:rPr>
      <w:t>石景山区</w:t>
    </w:r>
    <w:r>
      <w:rPr>
        <w:rFonts w:hint="eastAsia"/>
      </w:rPr>
      <w:t>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6AA278"/>
    <w:multiLevelType w:val="singleLevel"/>
    <w:tmpl w:val="AC6AA278"/>
    <w:lvl w:ilvl="0" w:tentative="0">
      <w:start w:val="1"/>
      <w:numFmt w:val="decimal"/>
      <w:suff w:val="nothing"/>
      <w:lvlText w:val="%1．"/>
      <w:lvlJc w:val="left"/>
      <w:pPr>
        <w:ind w:left="0" w:firstLine="400"/>
      </w:pPr>
      <w:rPr>
        <w:rFonts w:hint="default"/>
      </w:rPr>
    </w:lvl>
  </w:abstractNum>
  <w:abstractNum w:abstractNumId="1">
    <w:nsid w:val="E3FE5EF5"/>
    <w:multiLevelType w:val="singleLevel"/>
    <w:tmpl w:val="E3FE5EF5"/>
    <w:lvl w:ilvl="0" w:tentative="0">
      <w:start w:val="1"/>
      <w:numFmt w:val="chineseCounting"/>
      <w:suff w:val="nothing"/>
      <w:lvlText w:val="%1、"/>
      <w:lvlJc w:val="left"/>
      <w:pPr>
        <w:ind w:left="0" w:firstLine="420"/>
      </w:pPr>
      <w:rPr>
        <w:rFonts w:hint="eastAsia"/>
      </w:rPr>
    </w:lvl>
  </w:abstractNum>
  <w:abstractNum w:abstractNumId="2">
    <w:nsid w:val="E6B49599"/>
    <w:multiLevelType w:val="singleLevel"/>
    <w:tmpl w:val="E6B49599"/>
    <w:lvl w:ilvl="0" w:tentative="0">
      <w:start w:val="1"/>
      <w:numFmt w:val="decimal"/>
      <w:lvlText w:val="%1."/>
      <w:lvlJc w:val="left"/>
      <w:pPr>
        <w:tabs>
          <w:tab w:val="left" w:pos="312"/>
        </w:tabs>
      </w:pPr>
    </w:lvl>
  </w:abstractNum>
  <w:abstractNum w:abstractNumId="3">
    <w:nsid w:val="F7F5FD63"/>
    <w:multiLevelType w:val="singleLevel"/>
    <w:tmpl w:val="F7F5FD63"/>
    <w:lvl w:ilvl="0" w:tentative="0">
      <w:start w:val="1"/>
      <w:numFmt w:val="chineseCounting"/>
      <w:suff w:val="nothing"/>
      <w:lvlText w:val="（%1）"/>
      <w:lvlJc w:val="left"/>
      <w:pPr>
        <w:ind w:left="0" w:firstLine="420"/>
      </w:pPr>
      <w:rPr>
        <w:rFonts w:hint="eastAsia"/>
      </w:rPr>
    </w:lvl>
  </w:abstractNum>
  <w:abstractNum w:abstractNumId="4">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5">
    <w:nsid w:val="00000006"/>
    <w:multiLevelType w:val="multilevel"/>
    <w:tmpl w:val="00000006"/>
    <w:lvl w:ilvl="0" w:tentative="0">
      <w:start w:val="1"/>
      <w:numFmt w:val="chineseCountingThousand"/>
      <w:pStyle w:val="49"/>
      <w:suff w:val="nothing"/>
      <w:lvlText w:val="第%1部分"/>
      <w:lvlJc w:val="center"/>
      <w:pPr>
        <w:ind w:left="5666" w:firstLine="288"/>
      </w:pPr>
      <w:rPr>
        <w:rFonts w:hint="eastAsia"/>
        <w:sz w:val="28"/>
        <w:szCs w:val="28"/>
      </w:rPr>
    </w:lvl>
    <w:lvl w:ilvl="1" w:tentative="0">
      <w:start w:val="1"/>
      <w:numFmt w:val="chineseCountingThousand"/>
      <w:pStyle w:val="5"/>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7"/>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6">
    <w:nsid w:val="0000000B"/>
    <w:multiLevelType w:val="multilevel"/>
    <w:tmpl w:val="0000000B"/>
    <w:lvl w:ilvl="0" w:tentative="0">
      <w:start w:val="1"/>
      <w:numFmt w:val="bullet"/>
      <w:pStyle w:val="7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70"/>
      <w:lvlText w:val=""/>
      <w:lvlJc w:val="left"/>
      <w:pPr>
        <w:tabs>
          <w:tab w:val="left" w:pos="3780"/>
        </w:tabs>
        <w:ind w:left="3780" w:hanging="420"/>
      </w:pPr>
      <w:rPr>
        <w:rFonts w:hint="default" w:ascii="Wingdings" w:hAnsi="Wingdings"/>
      </w:rPr>
    </w:lvl>
  </w:abstractNum>
  <w:abstractNum w:abstractNumId="7">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8">
    <w:nsid w:val="00000014"/>
    <w:multiLevelType w:val="multilevel"/>
    <w:tmpl w:val="00000014"/>
    <w:lvl w:ilvl="0" w:tentative="0">
      <w:start w:val="1"/>
      <w:numFmt w:val="decimal"/>
      <w:pStyle w:val="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10">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4"/>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1">
    <w:nsid w:val="0F2298E0"/>
    <w:multiLevelType w:val="singleLevel"/>
    <w:tmpl w:val="0F2298E0"/>
    <w:lvl w:ilvl="0" w:tentative="0">
      <w:start w:val="1"/>
      <w:numFmt w:val="decimal"/>
      <w:lvlText w:val="%1."/>
      <w:lvlJc w:val="left"/>
      <w:pPr>
        <w:tabs>
          <w:tab w:val="left" w:pos="312"/>
        </w:tabs>
      </w:pPr>
    </w:lvl>
  </w:abstractNum>
  <w:abstractNum w:abstractNumId="12">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A555FB1"/>
    <w:multiLevelType w:val="multilevel"/>
    <w:tmpl w:val="1A555FB1"/>
    <w:lvl w:ilvl="0" w:tentative="0">
      <w:start w:val="6"/>
      <w:numFmt w:val="japaneseCounting"/>
      <w:lvlText w:val="第%1章"/>
      <w:lvlJc w:val="left"/>
      <w:pPr>
        <w:tabs>
          <w:tab w:val="left" w:pos="1620"/>
        </w:tabs>
        <w:ind w:left="1620" w:hanging="120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4">
    <w:nsid w:val="20E23ABF"/>
    <w:multiLevelType w:val="multilevel"/>
    <w:tmpl w:val="20E23ABF"/>
    <w:lvl w:ilvl="0" w:tentative="0">
      <w:start w:val="1"/>
      <w:numFmt w:val="japaneseCounting"/>
      <w:lvlText w:val="第%1章"/>
      <w:lvlJc w:val="left"/>
      <w:pPr>
        <w:tabs>
          <w:tab w:val="left" w:pos="1200"/>
        </w:tabs>
        <w:ind w:left="1200" w:hanging="1200"/>
      </w:pPr>
      <w:rPr>
        <w:rFonts w:hint="default"/>
      </w:rPr>
    </w:lvl>
    <w:lvl w:ilvl="1" w:tentative="0">
      <w:start w:val="1"/>
      <w:numFmt w:val="decimal"/>
      <w:lvlText w:val="%2、"/>
      <w:lvlJc w:val="left"/>
      <w:pPr>
        <w:tabs>
          <w:tab w:val="left" w:pos="1140"/>
        </w:tabs>
        <w:ind w:left="1140" w:hanging="720"/>
      </w:pPr>
      <w:rPr>
        <w:rFonts w:hint="default"/>
      </w:rPr>
    </w:lvl>
    <w:lvl w:ilvl="2" w:tentative="0">
      <w:start w:val="8"/>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211B3BDC"/>
    <w:multiLevelType w:val="multilevel"/>
    <w:tmpl w:val="211B3BDC"/>
    <w:lvl w:ilvl="0" w:tentative="0">
      <w:start w:val="1"/>
      <w:numFmt w:val="japaneseCounting"/>
      <w:lvlText w:val="第%1条"/>
      <w:lvlJc w:val="left"/>
      <w:pPr>
        <w:tabs>
          <w:tab w:val="left" w:pos="1200"/>
        </w:tabs>
        <w:ind w:left="1200" w:hanging="1200"/>
      </w:pPr>
      <w:rPr>
        <w:rFonts w:hint="default"/>
      </w:rPr>
    </w:lvl>
    <w:lvl w:ilvl="1" w:tentative="0">
      <w:start w:val="1"/>
      <w:numFmt w:val="decimal"/>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218FE282"/>
    <w:multiLevelType w:val="singleLevel"/>
    <w:tmpl w:val="218FE282"/>
    <w:lvl w:ilvl="0" w:tentative="0">
      <w:start w:val="1"/>
      <w:numFmt w:val="decimal"/>
      <w:suff w:val="nothing"/>
      <w:lvlText w:val="%1、"/>
      <w:lvlJc w:val="left"/>
    </w:lvl>
  </w:abstractNum>
  <w:abstractNum w:abstractNumId="17">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8">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9">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0">
    <w:nsid w:val="382CC3A1"/>
    <w:multiLevelType w:val="singleLevel"/>
    <w:tmpl w:val="382CC3A1"/>
    <w:lvl w:ilvl="0" w:tentative="0">
      <w:start w:val="1"/>
      <w:numFmt w:val="decimal"/>
      <w:suff w:val="nothing"/>
      <w:lvlText w:val="%1．"/>
      <w:lvlJc w:val="left"/>
      <w:pPr>
        <w:ind w:left="0" w:firstLine="400"/>
      </w:pPr>
      <w:rPr>
        <w:rFonts w:hint="default"/>
      </w:rPr>
    </w:lvl>
  </w:abstractNum>
  <w:abstractNum w:abstractNumId="21">
    <w:nsid w:val="4A1189D9"/>
    <w:multiLevelType w:val="singleLevel"/>
    <w:tmpl w:val="4A1189D9"/>
    <w:lvl w:ilvl="0" w:tentative="0">
      <w:start w:val="1"/>
      <w:numFmt w:val="decimal"/>
      <w:lvlText w:val="%1."/>
      <w:lvlJc w:val="left"/>
      <w:pPr>
        <w:tabs>
          <w:tab w:val="left" w:pos="312"/>
        </w:tabs>
      </w:pPr>
    </w:lvl>
  </w:abstractNum>
  <w:abstractNum w:abstractNumId="22">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3">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5">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6">
    <w:nsid w:val="5FD1DD5E"/>
    <w:multiLevelType w:val="singleLevel"/>
    <w:tmpl w:val="5FD1DD5E"/>
    <w:lvl w:ilvl="0" w:tentative="0">
      <w:start w:val="2"/>
      <w:numFmt w:val="chineseCounting"/>
      <w:suff w:val="nothing"/>
      <w:lvlText w:val="%1、"/>
      <w:lvlJc w:val="left"/>
    </w:lvl>
  </w:abstractNum>
  <w:abstractNum w:abstractNumId="27">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8">
    <w:nsid w:val="64DB4281"/>
    <w:multiLevelType w:val="singleLevel"/>
    <w:tmpl w:val="64DB4281"/>
    <w:lvl w:ilvl="0" w:tentative="0">
      <w:start w:val="2"/>
      <w:numFmt w:val="chineseCounting"/>
      <w:suff w:val="nothing"/>
      <w:lvlText w:val="%1、"/>
      <w:lvlJc w:val="left"/>
    </w:lvl>
  </w:abstractNum>
  <w:abstractNum w:abstractNumId="29">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30">
    <w:nsid w:val="67565CE8"/>
    <w:multiLevelType w:val="singleLevel"/>
    <w:tmpl w:val="67565CE8"/>
    <w:lvl w:ilvl="0" w:tentative="0">
      <w:start w:val="12"/>
      <w:numFmt w:val="chineseCounting"/>
      <w:suff w:val="nothing"/>
      <w:lvlText w:val="%1、"/>
      <w:lvlJc w:val="left"/>
    </w:lvl>
  </w:abstractNum>
  <w:num w:numId="1">
    <w:abstractNumId w:val="5"/>
  </w:num>
  <w:num w:numId="2">
    <w:abstractNumId w:val="10"/>
  </w:num>
  <w:num w:numId="3">
    <w:abstractNumId w:val="8"/>
  </w:num>
  <w:num w:numId="4">
    <w:abstractNumId w:val="6"/>
  </w:num>
  <w:num w:numId="5">
    <w:abstractNumId w:val="30"/>
  </w:num>
  <w:num w:numId="6">
    <w:abstractNumId w:val="18"/>
  </w:num>
  <w:num w:numId="7">
    <w:abstractNumId w:val="12"/>
  </w:num>
  <w:num w:numId="8">
    <w:abstractNumId w:val="9"/>
  </w:num>
  <w:num w:numId="9">
    <w:abstractNumId w:val="4"/>
  </w:num>
  <w:num w:numId="10">
    <w:abstractNumId w:val="24"/>
  </w:num>
  <w:num w:numId="11">
    <w:abstractNumId w:val="17"/>
  </w:num>
  <w:num w:numId="12">
    <w:abstractNumId w:val="25"/>
  </w:num>
  <w:num w:numId="13">
    <w:abstractNumId w:val="29"/>
  </w:num>
  <w:num w:numId="14">
    <w:abstractNumId w:val="22"/>
  </w:num>
  <w:num w:numId="15">
    <w:abstractNumId w:val="27"/>
  </w:num>
  <w:num w:numId="16">
    <w:abstractNumId w:val="1"/>
  </w:num>
  <w:num w:numId="17">
    <w:abstractNumId w:val="3"/>
  </w:num>
  <w:num w:numId="18">
    <w:abstractNumId w:val="0"/>
  </w:num>
  <w:num w:numId="19">
    <w:abstractNumId w:val="11"/>
  </w:num>
  <w:num w:numId="20">
    <w:abstractNumId w:val="20"/>
  </w:num>
  <w:num w:numId="21">
    <w:abstractNumId w:val="2"/>
  </w:num>
  <w:num w:numId="22">
    <w:abstractNumId w:val="21"/>
  </w:num>
  <w:num w:numId="23">
    <w:abstractNumId w:val="28"/>
  </w:num>
  <w:num w:numId="24">
    <w:abstractNumId w:val="14"/>
  </w:num>
  <w:num w:numId="25">
    <w:abstractNumId w:val="15"/>
  </w:num>
  <w:num w:numId="26">
    <w:abstractNumId w:val="16"/>
  </w:num>
  <w:num w:numId="27">
    <w:abstractNumId w:val="13"/>
  </w:num>
  <w:num w:numId="28">
    <w:abstractNumId w:val="7"/>
  </w:num>
  <w:num w:numId="29">
    <w:abstractNumId w:val="26"/>
  </w:num>
  <w:num w:numId="30">
    <w:abstractNumId w:val="19"/>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3MDQyNzI5MmMxNjBmZDQyOGVkZTVkNmJmNzE3ZmU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A478A"/>
    <w:rsid w:val="0117427B"/>
    <w:rsid w:val="012B78BC"/>
    <w:rsid w:val="015703E2"/>
    <w:rsid w:val="01615FE6"/>
    <w:rsid w:val="016E2E7C"/>
    <w:rsid w:val="01815F64"/>
    <w:rsid w:val="0182731F"/>
    <w:rsid w:val="01911DD2"/>
    <w:rsid w:val="01B143EC"/>
    <w:rsid w:val="01C16309"/>
    <w:rsid w:val="01C34939"/>
    <w:rsid w:val="01CA5EE6"/>
    <w:rsid w:val="01E631E6"/>
    <w:rsid w:val="023F4C90"/>
    <w:rsid w:val="0241242E"/>
    <w:rsid w:val="024A763D"/>
    <w:rsid w:val="02634F58"/>
    <w:rsid w:val="02713CE9"/>
    <w:rsid w:val="027A0FAC"/>
    <w:rsid w:val="027B0645"/>
    <w:rsid w:val="02937392"/>
    <w:rsid w:val="02986BAE"/>
    <w:rsid w:val="02B822EE"/>
    <w:rsid w:val="02BA1A1C"/>
    <w:rsid w:val="02BC151D"/>
    <w:rsid w:val="02EB7951"/>
    <w:rsid w:val="03313C23"/>
    <w:rsid w:val="03517B13"/>
    <w:rsid w:val="037E4131"/>
    <w:rsid w:val="03C509B8"/>
    <w:rsid w:val="03FA653E"/>
    <w:rsid w:val="040855F0"/>
    <w:rsid w:val="043B1FBA"/>
    <w:rsid w:val="044364E6"/>
    <w:rsid w:val="04A079A1"/>
    <w:rsid w:val="04B8684A"/>
    <w:rsid w:val="04BD3082"/>
    <w:rsid w:val="04C95821"/>
    <w:rsid w:val="04D9313E"/>
    <w:rsid w:val="04E20BB2"/>
    <w:rsid w:val="052517AC"/>
    <w:rsid w:val="052A2F37"/>
    <w:rsid w:val="05577082"/>
    <w:rsid w:val="05675B6F"/>
    <w:rsid w:val="05784ADB"/>
    <w:rsid w:val="059B7190"/>
    <w:rsid w:val="05A932FF"/>
    <w:rsid w:val="05DB66F5"/>
    <w:rsid w:val="05E30809"/>
    <w:rsid w:val="06015038"/>
    <w:rsid w:val="0617564E"/>
    <w:rsid w:val="06586BA0"/>
    <w:rsid w:val="06775908"/>
    <w:rsid w:val="06984252"/>
    <w:rsid w:val="06AC5BCC"/>
    <w:rsid w:val="06B21116"/>
    <w:rsid w:val="06B33245"/>
    <w:rsid w:val="06BF72AC"/>
    <w:rsid w:val="06CD4011"/>
    <w:rsid w:val="06EE4233"/>
    <w:rsid w:val="06F37945"/>
    <w:rsid w:val="06F45CB8"/>
    <w:rsid w:val="06FC4D63"/>
    <w:rsid w:val="072247F2"/>
    <w:rsid w:val="07763533"/>
    <w:rsid w:val="07770811"/>
    <w:rsid w:val="077A51BB"/>
    <w:rsid w:val="07C75FF5"/>
    <w:rsid w:val="07C908D5"/>
    <w:rsid w:val="07DF365D"/>
    <w:rsid w:val="08077D08"/>
    <w:rsid w:val="08237E68"/>
    <w:rsid w:val="08430A88"/>
    <w:rsid w:val="08496751"/>
    <w:rsid w:val="087B3586"/>
    <w:rsid w:val="08AF5928"/>
    <w:rsid w:val="093551A2"/>
    <w:rsid w:val="094B72FF"/>
    <w:rsid w:val="094B7FFD"/>
    <w:rsid w:val="09767DD1"/>
    <w:rsid w:val="09792C3C"/>
    <w:rsid w:val="0981431C"/>
    <w:rsid w:val="09B42C55"/>
    <w:rsid w:val="09C20B11"/>
    <w:rsid w:val="09E162A4"/>
    <w:rsid w:val="0A0A0F37"/>
    <w:rsid w:val="0A5B6057"/>
    <w:rsid w:val="0AA66820"/>
    <w:rsid w:val="0AA94995"/>
    <w:rsid w:val="0AB013DD"/>
    <w:rsid w:val="0AD76E09"/>
    <w:rsid w:val="0ADB5D98"/>
    <w:rsid w:val="0AEB20CF"/>
    <w:rsid w:val="0B307A1F"/>
    <w:rsid w:val="0B3A40CE"/>
    <w:rsid w:val="0B3D750A"/>
    <w:rsid w:val="0B600003"/>
    <w:rsid w:val="0BDE5C2C"/>
    <w:rsid w:val="0BEF2A51"/>
    <w:rsid w:val="0BFE5057"/>
    <w:rsid w:val="0C0F7B53"/>
    <w:rsid w:val="0C177F3B"/>
    <w:rsid w:val="0C5431E9"/>
    <w:rsid w:val="0CA82A26"/>
    <w:rsid w:val="0CB51378"/>
    <w:rsid w:val="0CDC4917"/>
    <w:rsid w:val="0CEA36C2"/>
    <w:rsid w:val="0D156991"/>
    <w:rsid w:val="0D677F7A"/>
    <w:rsid w:val="0D7D1AB0"/>
    <w:rsid w:val="0DCA36B5"/>
    <w:rsid w:val="0DE41272"/>
    <w:rsid w:val="0DEB41F6"/>
    <w:rsid w:val="0E2249CA"/>
    <w:rsid w:val="0E2A5ED5"/>
    <w:rsid w:val="0E2B4ADB"/>
    <w:rsid w:val="0E2C1227"/>
    <w:rsid w:val="0E652AC5"/>
    <w:rsid w:val="0E680D42"/>
    <w:rsid w:val="0E6C0832"/>
    <w:rsid w:val="0E817AE0"/>
    <w:rsid w:val="0E870CBE"/>
    <w:rsid w:val="0EC70A2B"/>
    <w:rsid w:val="0F1E2B4E"/>
    <w:rsid w:val="0F3E1D0C"/>
    <w:rsid w:val="0F3F3AC3"/>
    <w:rsid w:val="0F563291"/>
    <w:rsid w:val="0F886821"/>
    <w:rsid w:val="0F95677E"/>
    <w:rsid w:val="0FDA6761"/>
    <w:rsid w:val="0FE04855"/>
    <w:rsid w:val="0FF94533"/>
    <w:rsid w:val="101747CE"/>
    <w:rsid w:val="10185130"/>
    <w:rsid w:val="10580897"/>
    <w:rsid w:val="10613C9B"/>
    <w:rsid w:val="10990D12"/>
    <w:rsid w:val="109D1738"/>
    <w:rsid w:val="10BA4CBF"/>
    <w:rsid w:val="10CB554B"/>
    <w:rsid w:val="10CC70B6"/>
    <w:rsid w:val="10EF74F9"/>
    <w:rsid w:val="11461138"/>
    <w:rsid w:val="115077BD"/>
    <w:rsid w:val="1151259A"/>
    <w:rsid w:val="116A7FC2"/>
    <w:rsid w:val="11765355"/>
    <w:rsid w:val="118A1148"/>
    <w:rsid w:val="118F5C26"/>
    <w:rsid w:val="119E12CC"/>
    <w:rsid w:val="11C049F1"/>
    <w:rsid w:val="11F0089D"/>
    <w:rsid w:val="11FB7A83"/>
    <w:rsid w:val="120378A4"/>
    <w:rsid w:val="12094873"/>
    <w:rsid w:val="125536E3"/>
    <w:rsid w:val="12617F82"/>
    <w:rsid w:val="127101E3"/>
    <w:rsid w:val="12B1409D"/>
    <w:rsid w:val="12C86656"/>
    <w:rsid w:val="12CD0BFB"/>
    <w:rsid w:val="12EF2557"/>
    <w:rsid w:val="12F41CDD"/>
    <w:rsid w:val="12FF1165"/>
    <w:rsid w:val="13006381"/>
    <w:rsid w:val="13097A34"/>
    <w:rsid w:val="13217807"/>
    <w:rsid w:val="13332CF5"/>
    <w:rsid w:val="13663A21"/>
    <w:rsid w:val="137D0D2E"/>
    <w:rsid w:val="13A1778B"/>
    <w:rsid w:val="13AA0B20"/>
    <w:rsid w:val="13B27EDA"/>
    <w:rsid w:val="13B71816"/>
    <w:rsid w:val="13BC5C96"/>
    <w:rsid w:val="13C61423"/>
    <w:rsid w:val="13FC4A12"/>
    <w:rsid w:val="14561C65"/>
    <w:rsid w:val="14C34F24"/>
    <w:rsid w:val="14C55CDC"/>
    <w:rsid w:val="15316BDD"/>
    <w:rsid w:val="15466E04"/>
    <w:rsid w:val="154D5D07"/>
    <w:rsid w:val="155F5693"/>
    <w:rsid w:val="155F756F"/>
    <w:rsid w:val="15A008CA"/>
    <w:rsid w:val="15A36D6C"/>
    <w:rsid w:val="15E41E5C"/>
    <w:rsid w:val="1626204C"/>
    <w:rsid w:val="162A3979"/>
    <w:rsid w:val="166C4E7A"/>
    <w:rsid w:val="167509E2"/>
    <w:rsid w:val="16944868"/>
    <w:rsid w:val="16983E7D"/>
    <w:rsid w:val="16D2320F"/>
    <w:rsid w:val="16D60F60"/>
    <w:rsid w:val="16DD1EB6"/>
    <w:rsid w:val="17356B9A"/>
    <w:rsid w:val="173A0609"/>
    <w:rsid w:val="18491501"/>
    <w:rsid w:val="18605D1D"/>
    <w:rsid w:val="18725542"/>
    <w:rsid w:val="1874317C"/>
    <w:rsid w:val="188F709B"/>
    <w:rsid w:val="18AA439B"/>
    <w:rsid w:val="18C95438"/>
    <w:rsid w:val="18FF07D3"/>
    <w:rsid w:val="19061443"/>
    <w:rsid w:val="191F4712"/>
    <w:rsid w:val="1929529A"/>
    <w:rsid w:val="192A0D10"/>
    <w:rsid w:val="193E101D"/>
    <w:rsid w:val="195F32C8"/>
    <w:rsid w:val="196828FD"/>
    <w:rsid w:val="196C76F2"/>
    <w:rsid w:val="198B4825"/>
    <w:rsid w:val="199A5AB5"/>
    <w:rsid w:val="19EB12C9"/>
    <w:rsid w:val="19FE255B"/>
    <w:rsid w:val="1A383CBF"/>
    <w:rsid w:val="1A4A2927"/>
    <w:rsid w:val="1AA72907"/>
    <w:rsid w:val="1AD357F0"/>
    <w:rsid w:val="1AFF1EB8"/>
    <w:rsid w:val="1B0336FC"/>
    <w:rsid w:val="1B4B6EDB"/>
    <w:rsid w:val="1B5B0B3A"/>
    <w:rsid w:val="1B821EB6"/>
    <w:rsid w:val="1B83304F"/>
    <w:rsid w:val="1B8F7888"/>
    <w:rsid w:val="1B975107"/>
    <w:rsid w:val="1BDA2A75"/>
    <w:rsid w:val="1BDC2E40"/>
    <w:rsid w:val="1BF7712A"/>
    <w:rsid w:val="1BFF54A2"/>
    <w:rsid w:val="1C3E53C4"/>
    <w:rsid w:val="1C58574D"/>
    <w:rsid w:val="1C797B34"/>
    <w:rsid w:val="1C860CEA"/>
    <w:rsid w:val="1C9D1FFD"/>
    <w:rsid w:val="1CC260CF"/>
    <w:rsid w:val="1CD0460B"/>
    <w:rsid w:val="1CF606CD"/>
    <w:rsid w:val="1D2771C0"/>
    <w:rsid w:val="1D456CB0"/>
    <w:rsid w:val="1D473AE2"/>
    <w:rsid w:val="1D4B3AF6"/>
    <w:rsid w:val="1D570900"/>
    <w:rsid w:val="1D85546D"/>
    <w:rsid w:val="1DEB2024"/>
    <w:rsid w:val="1E0656B6"/>
    <w:rsid w:val="1E206BFF"/>
    <w:rsid w:val="1E3E04E2"/>
    <w:rsid w:val="1E3E386E"/>
    <w:rsid w:val="1E5921FA"/>
    <w:rsid w:val="1E7E3C6A"/>
    <w:rsid w:val="1E853A13"/>
    <w:rsid w:val="1EC743DC"/>
    <w:rsid w:val="1EF328AA"/>
    <w:rsid w:val="1F315F33"/>
    <w:rsid w:val="1F4064D8"/>
    <w:rsid w:val="1F595EBC"/>
    <w:rsid w:val="1F650D3F"/>
    <w:rsid w:val="1F851B60"/>
    <w:rsid w:val="1F8C40AD"/>
    <w:rsid w:val="1F943744"/>
    <w:rsid w:val="1FA330D0"/>
    <w:rsid w:val="1FC72F39"/>
    <w:rsid w:val="1FCB0A77"/>
    <w:rsid w:val="1FDE0E64"/>
    <w:rsid w:val="201F5F97"/>
    <w:rsid w:val="20552676"/>
    <w:rsid w:val="2055710A"/>
    <w:rsid w:val="205E5B3F"/>
    <w:rsid w:val="20A73C6F"/>
    <w:rsid w:val="20FD44F0"/>
    <w:rsid w:val="21030101"/>
    <w:rsid w:val="21204D3F"/>
    <w:rsid w:val="213E4D7F"/>
    <w:rsid w:val="2145260E"/>
    <w:rsid w:val="214F4B8E"/>
    <w:rsid w:val="21602967"/>
    <w:rsid w:val="21C73079"/>
    <w:rsid w:val="21D5365F"/>
    <w:rsid w:val="21E4518E"/>
    <w:rsid w:val="21FD64A6"/>
    <w:rsid w:val="2203624D"/>
    <w:rsid w:val="220C3334"/>
    <w:rsid w:val="222D60EE"/>
    <w:rsid w:val="22301A93"/>
    <w:rsid w:val="231006CB"/>
    <w:rsid w:val="23273500"/>
    <w:rsid w:val="23274DB9"/>
    <w:rsid w:val="232E30DA"/>
    <w:rsid w:val="234B21CA"/>
    <w:rsid w:val="236B13B6"/>
    <w:rsid w:val="23894B60"/>
    <w:rsid w:val="23942388"/>
    <w:rsid w:val="23DF6A26"/>
    <w:rsid w:val="23E83FEC"/>
    <w:rsid w:val="23FE086B"/>
    <w:rsid w:val="243B11DC"/>
    <w:rsid w:val="246F6B0B"/>
    <w:rsid w:val="24862234"/>
    <w:rsid w:val="2489188E"/>
    <w:rsid w:val="249B304D"/>
    <w:rsid w:val="24A26522"/>
    <w:rsid w:val="24A47ECF"/>
    <w:rsid w:val="24E126D5"/>
    <w:rsid w:val="24E63ED3"/>
    <w:rsid w:val="25136CA8"/>
    <w:rsid w:val="2519615C"/>
    <w:rsid w:val="254379B8"/>
    <w:rsid w:val="254A22E7"/>
    <w:rsid w:val="256047D1"/>
    <w:rsid w:val="25847246"/>
    <w:rsid w:val="25871511"/>
    <w:rsid w:val="25CF3592"/>
    <w:rsid w:val="25DC5277"/>
    <w:rsid w:val="25E532A9"/>
    <w:rsid w:val="26130B48"/>
    <w:rsid w:val="26241156"/>
    <w:rsid w:val="26786155"/>
    <w:rsid w:val="26B17EFA"/>
    <w:rsid w:val="26BE6A18"/>
    <w:rsid w:val="26E32A4F"/>
    <w:rsid w:val="26F57C1E"/>
    <w:rsid w:val="27012B4B"/>
    <w:rsid w:val="27091BE1"/>
    <w:rsid w:val="273719DF"/>
    <w:rsid w:val="2741654A"/>
    <w:rsid w:val="27AE73F2"/>
    <w:rsid w:val="27CD4D3B"/>
    <w:rsid w:val="27E66B3F"/>
    <w:rsid w:val="280A089B"/>
    <w:rsid w:val="281140CC"/>
    <w:rsid w:val="282D2BAB"/>
    <w:rsid w:val="2889743D"/>
    <w:rsid w:val="28B952DF"/>
    <w:rsid w:val="28FD00AC"/>
    <w:rsid w:val="29111B82"/>
    <w:rsid w:val="292B6ADD"/>
    <w:rsid w:val="29361D56"/>
    <w:rsid w:val="29486F63"/>
    <w:rsid w:val="2998368C"/>
    <w:rsid w:val="29C9144C"/>
    <w:rsid w:val="29F17D42"/>
    <w:rsid w:val="29F5561A"/>
    <w:rsid w:val="29F6324E"/>
    <w:rsid w:val="29F83EBD"/>
    <w:rsid w:val="2A17701F"/>
    <w:rsid w:val="2A2E12EA"/>
    <w:rsid w:val="2A636507"/>
    <w:rsid w:val="2A7C5C13"/>
    <w:rsid w:val="2A913237"/>
    <w:rsid w:val="2AB43705"/>
    <w:rsid w:val="2B270C0B"/>
    <w:rsid w:val="2B355B0C"/>
    <w:rsid w:val="2B3B6428"/>
    <w:rsid w:val="2B423772"/>
    <w:rsid w:val="2B441109"/>
    <w:rsid w:val="2B6304FF"/>
    <w:rsid w:val="2B6921EB"/>
    <w:rsid w:val="2BC85B84"/>
    <w:rsid w:val="2BCE474A"/>
    <w:rsid w:val="2BFE4D84"/>
    <w:rsid w:val="2C0C457B"/>
    <w:rsid w:val="2C3E22B4"/>
    <w:rsid w:val="2C57234B"/>
    <w:rsid w:val="2C652F8C"/>
    <w:rsid w:val="2CC502D0"/>
    <w:rsid w:val="2CD01A89"/>
    <w:rsid w:val="2CD4301B"/>
    <w:rsid w:val="2CDE03EA"/>
    <w:rsid w:val="2D044258"/>
    <w:rsid w:val="2D3A5A79"/>
    <w:rsid w:val="2D807BE3"/>
    <w:rsid w:val="2D935498"/>
    <w:rsid w:val="2D960FD0"/>
    <w:rsid w:val="2DC7118A"/>
    <w:rsid w:val="2DC91A5F"/>
    <w:rsid w:val="2E0A163E"/>
    <w:rsid w:val="2E1A1DAE"/>
    <w:rsid w:val="2E4423BC"/>
    <w:rsid w:val="2E842A7E"/>
    <w:rsid w:val="2E934D7B"/>
    <w:rsid w:val="2EA9088F"/>
    <w:rsid w:val="2EB21E3A"/>
    <w:rsid w:val="2EB47722"/>
    <w:rsid w:val="2EB575F2"/>
    <w:rsid w:val="2F484182"/>
    <w:rsid w:val="2F9C209A"/>
    <w:rsid w:val="2FA76C88"/>
    <w:rsid w:val="2FB40DAA"/>
    <w:rsid w:val="2FB71626"/>
    <w:rsid w:val="2FBB7144"/>
    <w:rsid w:val="2FC00586"/>
    <w:rsid w:val="2FC35981"/>
    <w:rsid w:val="2FFD6655"/>
    <w:rsid w:val="300B7014"/>
    <w:rsid w:val="302B275E"/>
    <w:rsid w:val="3037489E"/>
    <w:rsid w:val="30554E29"/>
    <w:rsid w:val="3062616A"/>
    <w:rsid w:val="3063327C"/>
    <w:rsid w:val="30671DB9"/>
    <w:rsid w:val="30684B84"/>
    <w:rsid w:val="30A65EE6"/>
    <w:rsid w:val="30BD6874"/>
    <w:rsid w:val="30D468FA"/>
    <w:rsid w:val="30EB3AD8"/>
    <w:rsid w:val="310B4D1C"/>
    <w:rsid w:val="310E7433"/>
    <w:rsid w:val="31235BFC"/>
    <w:rsid w:val="31311196"/>
    <w:rsid w:val="313D0E42"/>
    <w:rsid w:val="31484C88"/>
    <w:rsid w:val="3149627D"/>
    <w:rsid w:val="315316A2"/>
    <w:rsid w:val="31777FE1"/>
    <w:rsid w:val="31927DDB"/>
    <w:rsid w:val="32246947"/>
    <w:rsid w:val="32276546"/>
    <w:rsid w:val="322F37A1"/>
    <w:rsid w:val="324C3ABF"/>
    <w:rsid w:val="3275552C"/>
    <w:rsid w:val="328F1F00"/>
    <w:rsid w:val="32904F00"/>
    <w:rsid w:val="32A418C0"/>
    <w:rsid w:val="32DF7714"/>
    <w:rsid w:val="32FA6C75"/>
    <w:rsid w:val="33095B0A"/>
    <w:rsid w:val="330E35C3"/>
    <w:rsid w:val="330E59C5"/>
    <w:rsid w:val="332B21BB"/>
    <w:rsid w:val="3343134C"/>
    <w:rsid w:val="334B181A"/>
    <w:rsid w:val="334F550D"/>
    <w:rsid w:val="33616C08"/>
    <w:rsid w:val="33E81489"/>
    <w:rsid w:val="34414D13"/>
    <w:rsid w:val="34430EF3"/>
    <w:rsid w:val="34545604"/>
    <w:rsid w:val="345C0152"/>
    <w:rsid w:val="348646EF"/>
    <w:rsid w:val="348D2DAA"/>
    <w:rsid w:val="34953C04"/>
    <w:rsid w:val="34AF4725"/>
    <w:rsid w:val="34BD007C"/>
    <w:rsid w:val="34DD4776"/>
    <w:rsid w:val="351712A5"/>
    <w:rsid w:val="35423F62"/>
    <w:rsid w:val="35451B97"/>
    <w:rsid w:val="354C558D"/>
    <w:rsid w:val="355C053A"/>
    <w:rsid w:val="356F360E"/>
    <w:rsid w:val="35841DE5"/>
    <w:rsid w:val="358A2FFA"/>
    <w:rsid w:val="359F5D0C"/>
    <w:rsid w:val="35A2365E"/>
    <w:rsid w:val="35BD4BE3"/>
    <w:rsid w:val="35C36A78"/>
    <w:rsid w:val="35C92BC0"/>
    <w:rsid w:val="35CE3E0E"/>
    <w:rsid w:val="35E97A18"/>
    <w:rsid w:val="35F07042"/>
    <w:rsid w:val="35F676A4"/>
    <w:rsid w:val="361909F0"/>
    <w:rsid w:val="36414B7D"/>
    <w:rsid w:val="36662A95"/>
    <w:rsid w:val="36774E08"/>
    <w:rsid w:val="3684230E"/>
    <w:rsid w:val="368F6A3C"/>
    <w:rsid w:val="36AC26D6"/>
    <w:rsid w:val="36DF4E94"/>
    <w:rsid w:val="36F131B8"/>
    <w:rsid w:val="36F646E2"/>
    <w:rsid w:val="370449D4"/>
    <w:rsid w:val="37140389"/>
    <w:rsid w:val="371B55C8"/>
    <w:rsid w:val="37326316"/>
    <w:rsid w:val="37456982"/>
    <w:rsid w:val="37494B97"/>
    <w:rsid w:val="374D596A"/>
    <w:rsid w:val="379428AD"/>
    <w:rsid w:val="380866F8"/>
    <w:rsid w:val="38384EC4"/>
    <w:rsid w:val="38410171"/>
    <w:rsid w:val="38741F0E"/>
    <w:rsid w:val="387939C8"/>
    <w:rsid w:val="389B08B1"/>
    <w:rsid w:val="38A04AB1"/>
    <w:rsid w:val="38AB7291"/>
    <w:rsid w:val="38AC120B"/>
    <w:rsid w:val="38C4304A"/>
    <w:rsid w:val="38CB5C07"/>
    <w:rsid w:val="38D93792"/>
    <w:rsid w:val="38E45351"/>
    <w:rsid w:val="39022F42"/>
    <w:rsid w:val="390E59CE"/>
    <w:rsid w:val="392A4BA7"/>
    <w:rsid w:val="392E07A0"/>
    <w:rsid w:val="396401D4"/>
    <w:rsid w:val="398110EB"/>
    <w:rsid w:val="398C3730"/>
    <w:rsid w:val="398D3D61"/>
    <w:rsid w:val="399C2C96"/>
    <w:rsid w:val="39CB6A59"/>
    <w:rsid w:val="39CD48C1"/>
    <w:rsid w:val="39E074AA"/>
    <w:rsid w:val="39F07CBA"/>
    <w:rsid w:val="39FC3D96"/>
    <w:rsid w:val="3A0E401B"/>
    <w:rsid w:val="3A5179F7"/>
    <w:rsid w:val="3A8024DE"/>
    <w:rsid w:val="3AAA00CF"/>
    <w:rsid w:val="3ABD59FD"/>
    <w:rsid w:val="3AFF0B02"/>
    <w:rsid w:val="3B021C51"/>
    <w:rsid w:val="3B172655"/>
    <w:rsid w:val="3B232C47"/>
    <w:rsid w:val="3B293484"/>
    <w:rsid w:val="3B2C2418"/>
    <w:rsid w:val="3B7E4B6B"/>
    <w:rsid w:val="3B9F326E"/>
    <w:rsid w:val="3BA11F32"/>
    <w:rsid w:val="3BCA219E"/>
    <w:rsid w:val="3BFE7E54"/>
    <w:rsid w:val="3C020661"/>
    <w:rsid w:val="3C0352EF"/>
    <w:rsid w:val="3C096364"/>
    <w:rsid w:val="3C1D503F"/>
    <w:rsid w:val="3C447E49"/>
    <w:rsid w:val="3C4D4764"/>
    <w:rsid w:val="3C850B8E"/>
    <w:rsid w:val="3CB6189E"/>
    <w:rsid w:val="3CC25D1C"/>
    <w:rsid w:val="3CDD2778"/>
    <w:rsid w:val="3CF67BCC"/>
    <w:rsid w:val="3D0E0543"/>
    <w:rsid w:val="3D51799F"/>
    <w:rsid w:val="3D610C15"/>
    <w:rsid w:val="3D7C58E6"/>
    <w:rsid w:val="3D9C48AB"/>
    <w:rsid w:val="3DA13081"/>
    <w:rsid w:val="3DC919C4"/>
    <w:rsid w:val="3E0C2BE9"/>
    <w:rsid w:val="3E1A5B21"/>
    <w:rsid w:val="3E3A570E"/>
    <w:rsid w:val="3E646581"/>
    <w:rsid w:val="3E785D63"/>
    <w:rsid w:val="3E8B58E8"/>
    <w:rsid w:val="3EB733D7"/>
    <w:rsid w:val="3ECA6635"/>
    <w:rsid w:val="3ECE4CD1"/>
    <w:rsid w:val="3EDF7B84"/>
    <w:rsid w:val="3EEE5831"/>
    <w:rsid w:val="3EF36EC9"/>
    <w:rsid w:val="3F214E40"/>
    <w:rsid w:val="3F2A29BD"/>
    <w:rsid w:val="3F3B001F"/>
    <w:rsid w:val="3F5B64FD"/>
    <w:rsid w:val="3F6C11FF"/>
    <w:rsid w:val="3F6E2691"/>
    <w:rsid w:val="3F7F4867"/>
    <w:rsid w:val="3F8F1D2B"/>
    <w:rsid w:val="3FA75447"/>
    <w:rsid w:val="3FAE3DA4"/>
    <w:rsid w:val="3FCD2881"/>
    <w:rsid w:val="3FDB6D34"/>
    <w:rsid w:val="3FE2480C"/>
    <w:rsid w:val="3FE377A4"/>
    <w:rsid w:val="3FFE0663"/>
    <w:rsid w:val="40267325"/>
    <w:rsid w:val="40283FF3"/>
    <w:rsid w:val="407529FD"/>
    <w:rsid w:val="40767E1F"/>
    <w:rsid w:val="407F67D3"/>
    <w:rsid w:val="408E54A4"/>
    <w:rsid w:val="409E49BC"/>
    <w:rsid w:val="40AF0000"/>
    <w:rsid w:val="40AF6C25"/>
    <w:rsid w:val="40B76E20"/>
    <w:rsid w:val="40B817E6"/>
    <w:rsid w:val="40C551CE"/>
    <w:rsid w:val="40CD6E37"/>
    <w:rsid w:val="40DC68A2"/>
    <w:rsid w:val="41065AEE"/>
    <w:rsid w:val="413805A8"/>
    <w:rsid w:val="413B5299"/>
    <w:rsid w:val="415F6BB3"/>
    <w:rsid w:val="417F72A0"/>
    <w:rsid w:val="419C0AFA"/>
    <w:rsid w:val="41C0302D"/>
    <w:rsid w:val="41C81F56"/>
    <w:rsid w:val="41EB78DF"/>
    <w:rsid w:val="42270E8D"/>
    <w:rsid w:val="423431D2"/>
    <w:rsid w:val="423C09AD"/>
    <w:rsid w:val="424B1F31"/>
    <w:rsid w:val="424D1E95"/>
    <w:rsid w:val="42623B80"/>
    <w:rsid w:val="42902103"/>
    <w:rsid w:val="42D11320"/>
    <w:rsid w:val="42D24813"/>
    <w:rsid w:val="431547EF"/>
    <w:rsid w:val="43426B5C"/>
    <w:rsid w:val="434B74D4"/>
    <w:rsid w:val="43604A2E"/>
    <w:rsid w:val="4376760C"/>
    <w:rsid w:val="43802418"/>
    <w:rsid w:val="43B6698F"/>
    <w:rsid w:val="43BC37E0"/>
    <w:rsid w:val="43C70ADF"/>
    <w:rsid w:val="443F7911"/>
    <w:rsid w:val="447076CD"/>
    <w:rsid w:val="44811BEB"/>
    <w:rsid w:val="449A2CFC"/>
    <w:rsid w:val="44B24EC8"/>
    <w:rsid w:val="44DD0E93"/>
    <w:rsid w:val="44F10822"/>
    <w:rsid w:val="44F30BFC"/>
    <w:rsid w:val="44F42B6B"/>
    <w:rsid w:val="45207CC0"/>
    <w:rsid w:val="45251A95"/>
    <w:rsid w:val="454B4C1A"/>
    <w:rsid w:val="45611062"/>
    <w:rsid w:val="456173AE"/>
    <w:rsid w:val="45924B79"/>
    <w:rsid w:val="45EA1272"/>
    <w:rsid w:val="45F37598"/>
    <w:rsid w:val="463C5E86"/>
    <w:rsid w:val="46436783"/>
    <w:rsid w:val="46564538"/>
    <w:rsid w:val="466277F0"/>
    <w:rsid w:val="469D73C6"/>
    <w:rsid w:val="46A7188F"/>
    <w:rsid w:val="46C13DE4"/>
    <w:rsid w:val="46F524C3"/>
    <w:rsid w:val="46F77ECB"/>
    <w:rsid w:val="473C7880"/>
    <w:rsid w:val="473E556C"/>
    <w:rsid w:val="474E7DCE"/>
    <w:rsid w:val="47537FBD"/>
    <w:rsid w:val="47664124"/>
    <w:rsid w:val="479E0D55"/>
    <w:rsid w:val="47AD21ED"/>
    <w:rsid w:val="47AF714D"/>
    <w:rsid w:val="47D0211E"/>
    <w:rsid w:val="47E0351C"/>
    <w:rsid w:val="47F738C9"/>
    <w:rsid w:val="4828103B"/>
    <w:rsid w:val="482B6B99"/>
    <w:rsid w:val="48592A3D"/>
    <w:rsid w:val="48726BB5"/>
    <w:rsid w:val="48D146CB"/>
    <w:rsid w:val="49035AF9"/>
    <w:rsid w:val="4926608E"/>
    <w:rsid w:val="493064D3"/>
    <w:rsid w:val="493E65E0"/>
    <w:rsid w:val="495565E9"/>
    <w:rsid w:val="4979120A"/>
    <w:rsid w:val="498D7A6A"/>
    <w:rsid w:val="499E0CB1"/>
    <w:rsid w:val="49AB7605"/>
    <w:rsid w:val="49B72190"/>
    <w:rsid w:val="49B95055"/>
    <w:rsid w:val="49C246BC"/>
    <w:rsid w:val="49DF0FCF"/>
    <w:rsid w:val="49E55D1C"/>
    <w:rsid w:val="4A653F55"/>
    <w:rsid w:val="4A7D3E3D"/>
    <w:rsid w:val="4A82670C"/>
    <w:rsid w:val="4A886A5A"/>
    <w:rsid w:val="4AA91EEB"/>
    <w:rsid w:val="4AAA7B9C"/>
    <w:rsid w:val="4AAF6DD6"/>
    <w:rsid w:val="4AB663E2"/>
    <w:rsid w:val="4AC650AB"/>
    <w:rsid w:val="4ADD266F"/>
    <w:rsid w:val="4ADF590D"/>
    <w:rsid w:val="4AEE3533"/>
    <w:rsid w:val="4B08214C"/>
    <w:rsid w:val="4B105006"/>
    <w:rsid w:val="4B1E7093"/>
    <w:rsid w:val="4B420D56"/>
    <w:rsid w:val="4B605F73"/>
    <w:rsid w:val="4B667DDC"/>
    <w:rsid w:val="4B781928"/>
    <w:rsid w:val="4B7A3386"/>
    <w:rsid w:val="4B99115F"/>
    <w:rsid w:val="4BB00ED0"/>
    <w:rsid w:val="4BE66EEF"/>
    <w:rsid w:val="4BF52B2A"/>
    <w:rsid w:val="4C203A05"/>
    <w:rsid w:val="4C261ED1"/>
    <w:rsid w:val="4C334DF4"/>
    <w:rsid w:val="4C3C4A99"/>
    <w:rsid w:val="4C420B26"/>
    <w:rsid w:val="4C4B1816"/>
    <w:rsid w:val="4C514FE0"/>
    <w:rsid w:val="4C5C23B6"/>
    <w:rsid w:val="4C891FD4"/>
    <w:rsid w:val="4C9270D5"/>
    <w:rsid w:val="4C9463A6"/>
    <w:rsid w:val="4CBB5D6E"/>
    <w:rsid w:val="4CC81199"/>
    <w:rsid w:val="4CE74185"/>
    <w:rsid w:val="4D114264"/>
    <w:rsid w:val="4D337EC4"/>
    <w:rsid w:val="4D4B180F"/>
    <w:rsid w:val="4D6950DC"/>
    <w:rsid w:val="4D695C2A"/>
    <w:rsid w:val="4D6B0078"/>
    <w:rsid w:val="4D7F4F8B"/>
    <w:rsid w:val="4D9856DE"/>
    <w:rsid w:val="4D986461"/>
    <w:rsid w:val="4DE8370E"/>
    <w:rsid w:val="4E1711FD"/>
    <w:rsid w:val="4E207C43"/>
    <w:rsid w:val="4E294FBA"/>
    <w:rsid w:val="4E7A5105"/>
    <w:rsid w:val="4E863E1D"/>
    <w:rsid w:val="4EBE3118"/>
    <w:rsid w:val="4EC16C24"/>
    <w:rsid w:val="4EE374B2"/>
    <w:rsid w:val="4EE40A96"/>
    <w:rsid w:val="4EE80B08"/>
    <w:rsid w:val="4EE96DA4"/>
    <w:rsid w:val="4F3C04B1"/>
    <w:rsid w:val="4F624D5E"/>
    <w:rsid w:val="4F936382"/>
    <w:rsid w:val="4F956DDB"/>
    <w:rsid w:val="4FAC0FFA"/>
    <w:rsid w:val="4FC20E0E"/>
    <w:rsid w:val="50157FE1"/>
    <w:rsid w:val="502704A1"/>
    <w:rsid w:val="504E3652"/>
    <w:rsid w:val="505375D6"/>
    <w:rsid w:val="50550928"/>
    <w:rsid w:val="5058507B"/>
    <w:rsid w:val="505A6720"/>
    <w:rsid w:val="507549F7"/>
    <w:rsid w:val="50D86394"/>
    <w:rsid w:val="50FA2116"/>
    <w:rsid w:val="511D4DBE"/>
    <w:rsid w:val="51210456"/>
    <w:rsid w:val="513018F1"/>
    <w:rsid w:val="516E79EA"/>
    <w:rsid w:val="517E5064"/>
    <w:rsid w:val="5184095B"/>
    <w:rsid w:val="51CE05B8"/>
    <w:rsid w:val="51DC37C9"/>
    <w:rsid w:val="5268236B"/>
    <w:rsid w:val="526A04AF"/>
    <w:rsid w:val="52852D73"/>
    <w:rsid w:val="52A46327"/>
    <w:rsid w:val="52B21B59"/>
    <w:rsid w:val="52C471DC"/>
    <w:rsid w:val="52D14873"/>
    <w:rsid w:val="52D42B8C"/>
    <w:rsid w:val="52EF6AB7"/>
    <w:rsid w:val="52F85837"/>
    <w:rsid w:val="53292404"/>
    <w:rsid w:val="534521C1"/>
    <w:rsid w:val="535548B8"/>
    <w:rsid w:val="53612D7D"/>
    <w:rsid w:val="5371574B"/>
    <w:rsid w:val="538B4884"/>
    <w:rsid w:val="538F459B"/>
    <w:rsid w:val="5399127C"/>
    <w:rsid w:val="53A05D2E"/>
    <w:rsid w:val="53B24BD6"/>
    <w:rsid w:val="53C133D7"/>
    <w:rsid w:val="53FE7A79"/>
    <w:rsid w:val="540A18BE"/>
    <w:rsid w:val="541666E0"/>
    <w:rsid w:val="54225499"/>
    <w:rsid w:val="543B2438"/>
    <w:rsid w:val="543C792C"/>
    <w:rsid w:val="54420CBA"/>
    <w:rsid w:val="547E7D82"/>
    <w:rsid w:val="54925294"/>
    <w:rsid w:val="54BF5C62"/>
    <w:rsid w:val="554F40AA"/>
    <w:rsid w:val="555F2FD8"/>
    <w:rsid w:val="555F5CDC"/>
    <w:rsid w:val="558A6630"/>
    <w:rsid w:val="55A56760"/>
    <w:rsid w:val="55C06E40"/>
    <w:rsid w:val="55C940D8"/>
    <w:rsid w:val="55D933B8"/>
    <w:rsid w:val="55DC7AB5"/>
    <w:rsid w:val="55DE4B1F"/>
    <w:rsid w:val="55E3217E"/>
    <w:rsid w:val="56125A25"/>
    <w:rsid w:val="56161787"/>
    <w:rsid w:val="562653EC"/>
    <w:rsid w:val="56441FB7"/>
    <w:rsid w:val="5657557D"/>
    <w:rsid w:val="56777341"/>
    <w:rsid w:val="56855625"/>
    <w:rsid w:val="569D5512"/>
    <w:rsid w:val="56B0432C"/>
    <w:rsid w:val="56C510F7"/>
    <w:rsid w:val="56CF5706"/>
    <w:rsid w:val="56D82212"/>
    <w:rsid w:val="56E00119"/>
    <w:rsid w:val="56F0341F"/>
    <w:rsid w:val="56F050EB"/>
    <w:rsid w:val="572B3ADE"/>
    <w:rsid w:val="574F7A44"/>
    <w:rsid w:val="575F2037"/>
    <w:rsid w:val="576323B4"/>
    <w:rsid w:val="57AC7C44"/>
    <w:rsid w:val="57B51814"/>
    <w:rsid w:val="57B7759E"/>
    <w:rsid w:val="57C43B5F"/>
    <w:rsid w:val="57C66FF7"/>
    <w:rsid w:val="57CC5DB9"/>
    <w:rsid w:val="57D12A65"/>
    <w:rsid w:val="57D20798"/>
    <w:rsid w:val="57FD7A56"/>
    <w:rsid w:val="582B3688"/>
    <w:rsid w:val="58346E3E"/>
    <w:rsid w:val="585671BF"/>
    <w:rsid w:val="589C6BEB"/>
    <w:rsid w:val="58A14500"/>
    <w:rsid w:val="58B207A1"/>
    <w:rsid w:val="58B35F19"/>
    <w:rsid w:val="58BF34C3"/>
    <w:rsid w:val="58C00016"/>
    <w:rsid w:val="58D63F05"/>
    <w:rsid w:val="58FD32B6"/>
    <w:rsid w:val="590305D1"/>
    <w:rsid w:val="59344176"/>
    <w:rsid w:val="5935624E"/>
    <w:rsid w:val="59401CC2"/>
    <w:rsid w:val="594B6C47"/>
    <w:rsid w:val="59605FE4"/>
    <w:rsid w:val="59700CFA"/>
    <w:rsid w:val="598D00E0"/>
    <w:rsid w:val="59A40EA5"/>
    <w:rsid w:val="59A92211"/>
    <w:rsid w:val="59D439E0"/>
    <w:rsid w:val="59DA7D20"/>
    <w:rsid w:val="59E7033A"/>
    <w:rsid w:val="59E85E60"/>
    <w:rsid w:val="59F815E4"/>
    <w:rsid w:val="5A144EA7"/>
    <w:rsid w:val="5A330053"/>
    <w:rsid w:val="5A481E8F"/>
    <w:rsid w:val="5A572069"/>
    <w:rsid w:val="5A5F25C6"/>
    <w:rsid w:val="5AB93F01"/>
    <w:rsid w:val="5AB9529C"/>
    <w:rsid w:val="5ADC3C17"/>
    <w:rsid w:val="5B1A2B32"/>
    <w:rsid w:val="5B2101A2"/>
    <w:rsid w:val="5B286F6F"/>
    <w:rsid w:val="5B461718"/>
    <w:rsid w:val="5B4C7CDF"/>
    <w:rsid w:val="5B534B96"/>
    <w:rsid w:val="5B796E68"/>
    <w:rsid w:val="5B7D3A5E"/>
    <w:rsid w:val="5BFC56D7"/>
    <w:rsid w:val="5C0D7342"/>
    <w:rsid w:val="5C0F6259"/>
    <w:rsid w:val="5C3D34EF"/>
    <w:rsid w:val="5C4D4C7B"/>
    <w:rsid w:val="5C585916"/>
    <w:rsid w:val="5C6253C3"/>
    <w:rsid w:val="5C625735"/>
    <w:rsid w:val="5C74581F"/>
    <w:rsid w:val="5C895A7A"/>
    <w:rsid w:val="5CA9400C"/>
    <w:rsid w:val="5CD672FC"/>
    <w:rsid w:val="5D3D7A1C"/>
    <w:rsid w:val="5D454EA7"/>
    <w:rsid w:val="5D4C4FBD"/>
    <w:rsid w:val="5D5E519F"/>
    <w:rsid w:val="5D5F4DAD"/>
    <w:rsid w:val="5D640505"/>
    <w:rsid w:val="5D7A50D8"/>
    <w:rsid w:val="5D7D3450"/>
    <w:rsid w:val="5D8B03FA"/>
    <w:rsid w:val="5D8E455A"/>
    <w:rsid w:val="5D9E1711"/>
    <w:rsid w:val="5DAC02F5"/>
    <w:rsid w:val="5DB35958"/>
    <w:rsid w:val="5DD201A0"/>
    <w:rsid w:val="5DDB6365"/>
    <w:rsid w:val="5DE6077D"/>
    <w:rsid w:val="5DE60909"/>
    <w:rsid w:val="5DFF0876"/>
    <w:rsid w:val="5E22645A"/>
    <w:rsid w:val="5E557F89"/>
    <w:rsid w:val="5E7A25EA"/>
    <w:rsid w:val="5E7B5886"/>
    <w:rsid w:val="5E7E4934"/>
    <w:rsid w:val="5E860AE0"/>
    <w:rsid w:val="5E9345EC"/>
    <w:rsid w:val="5E9B1B0D"/>
    <w:rsid w:val="5EC92704"/>
    <w:rsid w:val="5EF70414"/>
    <w:rsid w:val="5F062C90"/>
    <w:rsid w:val="5F1F45C5"/>
    <w:rsid w:val="5F2F04DF"/>
    <w:rsid w:val="5F5E44FF"/>
    <w:rsid w:val="5F6006F4"/>
    <w:rsid w:val="5F84452E"/>
    <w:rsid w:val="5F88259C"/>
    <w:rsid w:val="5F941B29"/>
    <w:rsid w:val="5F9E32FE"/>
    <w:rsid w:val="5FB26D36"/>
    <w:rsid w:val="603C4566"/>
    <w:rsid w:val="60437999"/>
    <w:rsid w:val="60440571"/>
    <w:rsid w:val="60651FD2"/>
    <w:rsid w:val="606F6CFA"/>
    <w:rsid w:val="60807E41"/>
    <w:rsid w:val="60815F18"/>
    <w:rsid w:val="60B106B5"/>
    <w:rsid w:val="60B44CEE"/>
    <w:rsid w:val="60F4434E"/>
    <w:rsid w:val="610220DC"/>
    <w:rsid w:val="612F672F"/>
    <w:rsid w:val="614167FD"/>
    <w:rsid w:val="61560FED"/>
    <w:rsid w:val="616F0686"/>
    <w:rsid w:val="617F6209"/>
    <w:rsid w:val="6183367F"/>
    <w:rsid w:val="61D5109C"/>
    <w:rsid w:val="61DE29DF"/>
    <w:rsid w:val="61E77C15"/>
    <w:rsid w:val="61EE716A"/>
    <w:rsid w:val="61F23447"/>
    <w:rsid w:val="621039FB"/>
    <w:rsid w:val="62193202"/>
    <w:rsid w:val="62202D17"/>
    <w:rsid w:val="622D6B2A"/>
    <w:rsid w:val="62481B92"/>
    <w:rsid w:val="624E15D7"/>
    <w:rsid w:val="62501E0F"/>
    <w:rsid w:val="62551BDE"/>
    <w:rsid w:val="62B86EE1"/>
    <w:rsid w:val="62CD6B0F"/>
    <w:rsid w:val="62D12FFF"/>
    <w:rsid w:val="62D9504F"/>
    <w:rsid w:val="62DC0CDB"/>
    <w:rsid w:val="62F301FF"/>
    <w:rsid w:val="62F34E5B"/>
    <w:rsid w:val="62F80320"/>
    <w:rsid w:val="63236E3E"/>
    <w:rsid w:val="632C670F"/>
    <w:rsid w:val="6349512F"/>
    <w:rsid w:val="63566DBA"/>
    <w:rsid w:val="637852A4"/>
    <w:rsid w:val="638A51F0"/>
    <w:rsid w:val="63940B27"/>
    <w:rsid w:val="63BB40B1"/>
    <w:rsid w:val="63C01882"/>
    <w:rsid w:val="63D40990"/>
    <w:rsid w:val="63D83E73"/>
    <w:rsid w:val="63DF3CDE"/>
    <w:rsid w:val="63FB76BD"/>
    <w:rsid w:val="63FD3805"/>
    <w:rsid w:val="640F1805"/>
    <w:rsid w:val="641A5C2E"/>
    <w:rsid w:val="641E629C"/>
    <w:rsid w:val="643D64BD"/>
    <w:rsid w:val="64485E45"/>
    <w:rsid w:val="647B5D32"/>
    <w:rsid w:val="647B774D"/>
    <w:rsid w:val="647C6908"/>
    <w:rsid w:val="64A66F17"/>
    <w:rsid w:val="64D60BC4"/>
    <w:rsid w:val="64DB73F4"/>
    <w:rsid w:val="64F62677"/>
    <w:rsid w:val="64FF247A"/>
    <w:rsid w:val="651D5FEE"/>
    <w:rsid w:val="65292F5B"/>
    <w:rsid w:val="653A3988"/>
    <w:rsid w:val="65485685"/>
    <w:rsid w:val="654D3BD4"/>
    <w:rsid w:val="6560642A"/>
    <w:rsid w:val="65831BBB"/>
    <w:rsid w:val="658C7A7F"/>
    <w:rsid w:val="65B05E2D"/>
    <w:rsid w:val="65C31A9E"/>
    <w:rsid w:val="65D34A5D"/>
    <w:rsid w:val="65E106DD"/>
    <w:rsid w:val="66200AE7"/>
    <w:rsid w:val="66260CF7"/>
    <w:rsid w:val="663F228B"/>
    <w:rsid w:val="6656373A"/>
    <w:rsid w:val="665F6454"/>
    <w:rsid w:val="668D7D87"/>
    <w:rsid w:val="66946174"/>
    <w:rsid w:val="66A606C5"/>
    <w:rsid w:val="66A74F2A"/>
    <w:rsid w:val="66AB7A0C"/>
    <w:rsid w:val="66C540FF"/>
    <w:rsid w:val="66D80108"/>
    <w:rsid w:val="66F56090"/>
    <w:rsid w:val="673E6A98"/>
    <w:rsid w:val="67707904"/>
    <w:rsid w:val="678D1C87"/>
    <w:rsid w:val="67A333A9"/>
    <w:rsid w:val="67CD227C"/>
    <w:rsid w:val="683065F6"/>
    <w:rsid w:val="68603BF5"/>
    <w:rsid w:val="68814BFC"/>
    <w:rsid w:val="68C11E20"/>
    <w:rsid w:val="68CE2DD5"/>
    <w:rsid w:val="693D0CC2"/>
    <w:rsid w:val="694E2501"/>
    <w:rsid w:val="695E486A"/>
    <w:rsid w:val="698C4A5A"/>
    <w:rsid w:val="69981A40"/>
    <w:rsid w:val="699D210A"/>
    <w:rsid w:val="69C0056F"/>
    <w:rsid w:val="69E343CF"/>
    <w:rsid w:val="69E976DE"/>
    <w:rsid w:val="6A051875"/>
    <w:rsid w:val="6A0E1F92"/>
    <w:rsid w:val="6A2B40D9"/>
    <w:rsid w:val="6A3716E6"/>
    <w:rsid w:val="6A5C4815"/>
    <w:rsid w:val="6A63128D"/>
    <w:rsid w:val="6A68020C"/>
    <w:rsid w:val="6A903094"/>
    <w:rsid w:val="6AF807A4"/>
    <w:rsid w:val="6B085CCB"/>
    <w:rsid w:val="6B315A3D"/>
    <w:rsid w:val="6B354B1B"/>
    <w:rsid w:val="6B384843"/>
    <w:rsid w:val="6B402768"/>
    <w:rsid w:val="6B6A0A80"/>
    <w:rsid w:val="6B774DF2"/>
    <w:rsid w:val="6B90040C"/>
    <w:rsid w:val="6B9561D7"/>
    <w:rsid w:val="6B9D2DD2"/>
    <w:rsid w:val="6BFD644C"/>
    <w:rsid w:val="6C055EB0"/>
    <w:rsid w:val="6C101C5E"/>
    <w:rsid w:val="6C337DD6"/>
    <w:rsid w:val="6C3A565F"/>
    <w:rsid w:val="6C45178D"/>
    <w:rsid w:val="6C860F9C"/>
    <w:rsid w:val="6C913029"/>
    <w:rsid w:val="6C9D77EE"/>
    <w:rsid w:val="6CA17688"/>
    <w:rsid w:val="6CAD79AB"/>
    <w:rsid w:val="6CB629EE"/>
    <w:rsid w:val="6CFD61EB"/>
    <w:rsid w:val="6D2147B0"/>
    <w:rsid w:val="6D4A7767"/>
    <w:rsid w:val="6D4D6EB3"/>
    <w:rsid w:val="6D56630E"/>
    <w:rsid w:val="6D81230A"/>
    <w:rsid w:val="6D9F2594"/>
    <w:rsid w:val="6DA53D56"/>
    <w:rsid w:val="6DAA4153"/>
    <w:rsid w:val="6DB649D1"/>
    <w:rsid w:val="6DC572F5"/>
    <w:rsid w:val="6DDE00A9"/>
    <w:rsid w:val="6DF37591"/>
    <w:rsid w:val="6DFA3DB4"/>
    <w:rsid w:val="6DFC6E63"/>
    <w:rsid w:val="6DFE0066"/>
    <w:rsid w:val="6E011A61"/>
    <w:rsid w:val="6E1C4318"/>
    <w:rsid w:val="6E20099F"/>
    <w:rsid w:val="6E5337E0"/>
    <w:rsid w:val="6E7674F5"/>
    <w:rsid w:val="6E865586"/>
    <w:rsid w:val="6EB72579"/>
    <w:rsid w:val="6F590C69"/>
    <w:rsid w:val="6F5D0E7F"/>
    <w:rsid w:val="6F792010"/>
    <w:rsid w:val="6F8B2A39"/>
    <w:rsid w:val="6F8F18C6"/>
    <w:rsid w:val="6FF460AD"/>
    <w:rsid w:val="6FF46EB5"/>
    <w:rsid w:val="70402100"/>
    <w:rsid w:val="7057451A"/>
    <w:rsid w:val="705C303D"/>
    <w:rsid w:val="70616804"/>
    <w:rsid w:val="70694180"/>
    <w:rsid w:val="70984EB2"/>
    <w:rsid w:val="710D0F27"/>
    <w:rsid w:val="712A2EA6"/>
    <w:rsid w:val="71514804"/>
    <w:rsid w:val="7179608C"/>
    <w:rsid w:val="718030F6"/>
    <w:rsid w:val="7196011C"/>
    <w:rsid w:val="71A544BB"/>
    <w:rsid w:val="71E23A55"/>
    <w:rsid w:val="71E81C15"/>
    <w:rsid w:val="72173C7E"/>
    <w:rsid w:val="721A0E69"/>
    <w:rsid w:val="721B6C05"/>
    <w:rsid w:val="721F4CE3"/>
    <w:rsid w:val="728173B8"/>
    <w:rsid w:val="729A2A61"/>
    <w:rsid w:val="729A74B7"/>
    <w:rsid w:val="72F35EED"/>
    <w:rsid w:val="732821AD"/>
    <w:rsid w:val="73363B4B"/>
    <w:rsid w:val="733817C1"/>
    <w:rsid w:val="736D1576"/>
    <w:rsid w:val="73937A59"/>
    <w:rsid w:val="73A72705"/>
    <w:rsid w:val="73BE04D1"/>
    <w:rsid w:val="73C44F3C"/>
    <w:rsid w:val="73DA135F"/>
    <w:rsid w:val="7408229C"/>
    <w:rsid w:val="741F1C9D"/>
    <w:rsid w:val="74545723"/>
    <w:rsid w:val="7456606E"/>
    <w:rsid w:val="74C04CBF"/>
    <w:rsid w:val="74C2573E"/>
    <w:rsid w:val="74DC560A"/>
    <w:rsid w:val="7508356B"/>
    <w:rsid w:val="75294D89"/>
    <w:rsid w:val="752D51CA"/>
    <w:rsid w:val="753A14D1"/>
    <w:rsid w:val="75617A50"/>
    <w:rsid w:val="75941C2C"/>
    <w:rsid w:val="75A07779"/>
    <w:rsid w:val="75A12280"/>
    <w:rsid w:val="75AA589C"/>
    <w:rsid w:val="75C60818"/>
    <w:rsid w:val="75CA6844"/>
    <w:rsid w:val="75CB7978"/>
    <w:rsid w:val="760433C6"/>
    <w:rsid w:val="76126694"/>
    <w:rsid w:val="762A7217"/>
    <w:rsid w:val="765F007A"/>
    <w:rsid w:val="765F4642"/>
    <w:rsid w:val="766E3524"/>
    <w:rsid w:val="7675462C"/>
    <w:rsid w:val="767D559C"/>
    <w:rsid w:val="767F44D7"/>
    <w:rsid w:val="77554D83"/>
    <w:rsid w:val="775D2F89"/>
    <w:rsid w:val="778F750F"/>
    <w:rsid w:val="77C41078"/>
    <w:rsid w:val="77CD0717"/>
    <w:rsid w:val="77E459CD"/>
    <w:rsid w:val="77E968C6"/>
    <w:rsid w:val="77F02658"/>
    <w:rsid w:val="78602963"/>
    <w:rsid w:val="78755D07"/>
    <w:rsid w:val="78B3424F"/>
    <w:rsid w:val="78C0051C"/>
    <w:rsid w:val="78CC26C0"/>
    <w:rsid w:val="78E7453C"/>
    <w:rsid w:val="78F76920"/>
    <w:rsid w:val="7901105A"/>
    <w:rsid w:val="79353AF8"/>
    <w:rsid w:val="79447453"/>
    <w:rsid w:val="79652436"/>
    <w:rsid w:val="797601E9"/>
    <w:rsid w:val="7990182B"/>
    <w:rsid w:val="79945C17"/>
    <w:rsid w:val="799D5973"/>
    <w:rsid w:val="79B6321E"/>
    <w:rsid w:val="79BD7416"/>
    <w:rsid w:val="7A042E10"/>
    <w:rsid w:val="7A05013D"/>
    <w:rsid w:val="7A0A402A"/>
    <w:rsid w:val="7A1F5C63"/>
    <w:rsid w:val="7A3003B2"/>
    <w:rsid w:val="7A396538"/>
    <w:rsid w:val="7A3B0340"/>
    <w:rsid w:val="7A3E6D5E"/>
    <w:rsid w:val="7A5C0DA7"/>
    <w:rsid w:val="7A7F3000"/>
    <w:rsid w:val="7A88399A"/>
    <w:rsid w:val="7A9F592F"/>
    <w:rsid w:val="7AB83F98"/>
    <w:rsid w:val="7AC02612"/>
    <w:rsid w:val="7AD2397E"/>
    <w:rsid w:val="7AE00143"/>
    <w:rsid w:val="7AEA6460"/>
    <w:rsid w:val="7AF67F85"/>
    <w:rsid w:val="7AF7076E"/>
    <w:rsid w:val="7B051D7F"/>
    <w:rsid w:val="7B170708"/>
    <w:rsid w:val="7B1B3593"/>
    <w:rsid w:val="7B2C1BF9"/>
    <w:rsid w:val="7B4A3665"/>
    <w:rsid w:val="7B502250"/>
    <w:rsid w:val="7B8A09CC"/>
    <w:rsid w:val="7B9625C7"/>
    <w:rsid w:val="7BBA79C5"/>
    <w:rsid w:val="7BDB1595"/>
    <w:rsid w:val="7BE67B49"/>
    <w:rsid w:val="7BED6056"/>
    <w:rsid w:val="7BF85632"/>
    <w:rsid w:val="7C07262F"/>
    <w:rsid w:val="7C072E13"/>
    <w:rsid w:val="7C5623B0"/>
    <w:rsid w:val="7C6953F6"/>
    <w:rsid w:val="7C77262C"/>
    <w:rsid w:val="7C8974D7"/>
    <w:rsid w:val="7C9B3CC1"/>
    <w:rsid w:val="7CA929A8"/>
    <w:rsid w:val="7CC557C8"/>
    <w:rsid w:val="7CCB6E79"/>
    <w:rsid w:val="7CF17DE7"/>
    <w:rsid w:val="7D1D3237"/>
    <w:rsid w:val="7D231C3E"/>
    <w:rsid w:val="7D270886"/>
    <w:rsid w:val="7D384DC0"/>
    <w:rsid w:val="7D641B1E"/>
    <w:rsid w:val="7D7B1365"/>
    <w:rsid w:val="7DA261A2"/>
    <w:rsid w:val="7DD722F0"/>
    <w:rsid w:val="7DD81DCF"/>
    <w:rsid w:val="7DF452E9"/>
    <w:rsid w:val="7DFC65B3"/>
    <w:rsid w:val="7E3332A1"/>
    <w:rsid w:val="7EA9551E"/>
    <w:rsid w:val="7EBF4E05"/>
    <w:rsid w:val="7EF55434"/>
    <w:rsid w:val="7F083AD9"/>
    <w:rsid w:val="7F0E6ADE"/>
    <w:rsid w:val="7F221E49"/>
    <w:rsid w:val="7F2257ED"/>
    <w:rsid w:val="7F2C4ACE"/>
    <w:rsid w:val="7F3A472C"/>
    <w:rsid w:val="7F426B36"/>
    <w:rsid w:val="7F445629"/>
    <w:rsid w:val="7F5F001A"/>
    <w:rsid w:val="7F68109F"/>
    <w:rsid w:val="7F844E8C"/>
    <w:rsid w:val="7F8932DC"/>
    <w:rsid w:val="7FAE52D2"/>
    <w:rsid w:val="7FE41772"/>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4">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5">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6">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7">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6">
    <w:name w:val="Default Paragraph Font"/>
    <w:unhideWhenUsed/>
    <w:qFormat/>
    <w:uiPriority w:val="1"/>
  </w:style>
  <w:style w:type="table" w:default="1" w:styleId="32">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link w:val="42"/>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3">
    <w:name w:val="Body Text Indent"/>
    <w:basedOn w:val="1"/>
    <w:link w:val="37"/>
    <w:qFormat/>
    <w:uiPriority w:val="0"/>
    <w:pPr>
      <w:spacing w:after="120"/>
      <w:ind w:left="420" w:leftChars="200"/>
    </w:pPr>
  </w:style>
  <w:style w:type="paragraph" w:styleId="8">
    <w:name w:val="annotation subject"/>
    <w:basedOn w:val="9"/>
    <w:next w:val="9"/>
    <w:link w:val="41"/>
    <w:qFormat/>
    <w:uiPriority w:val="0"/>
    <w:rPr>
      <w:b/>
      <w:bCs/>
    </w:rPr>
  </w:style>
  <w:style w:type="paragraph" w:styleId="9">
    <w:name w:val="annotation text"/>
    <w:basedOn w:val="1"/>
    <w:link w:val="35"/>
    <w:qFormat/>
    <w:uiPriority w:val="99"/>
  </w:style>
  <w:style w:type="paragraph" w:styleId="10">
    <w:name w:val="Body Text First Indent"/>
    <w:basedOn w:val="11"/>
    <w:qFormat/>
    <w:uiPriority w:val="0"/>
    <w:pPr>
      <w:ind w:firstLine="420" w:firstLineChars="100"/>
    </w:pPr>
  </w:style>
  <w:style w:type="paragraph" w:styleId="11">
    <w:name w:val="Body Text"/>
    <w:basedOn w:val="1"/>
    <w:link w:val="36"/>
    <w:qFormat/>
    <w:uiPriority w:val="0"/>
    <w:pPr>
      <w:spacing w:after="120"/>
    </w:pPr>
  </w:style>
  <w:style w:type="paragraph" w:styleId="12">
    <w:name w:val="Normal Indent"/>
    <w:basedOn w:val="1"/>
    <w:qFormat/>
    <w:uiPriority w:val="0"/>
    <w:pPr>
      <w:autoSpaceDE w:val="0"/>
      <w:autoSpaceDN w:val="0"/>
      <w:ind w:firstLine="420"/>
    </w:pPr>
    <w:rPr>
      <w:rFonts w:ascii="宋体"/>
    </w:rPr>
  </w:style>
  <w:style w:type="paragraph" w:styleId="13">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4">
    <w:name w:val="Plain Text"/>
    <w:basedOn w:val="1"/>
    <w:link w:val="38"/>
    <w:qFormat/>
    <w:uiPriority w:val="0"/>
    <w:pPr>
      <w:adjustRightInd/>
      <w:spacing w:line="240" w:lineRule="auto"/>
      <w:jc w:val="both"/>
      <w:textAlignment w:val="auto"/>
    </w:pPr>
    <w:rPr>
      <w:rFonts w:ascii="宋体" w:hAnsi="Courier New"/>
      <w:kern w:val="2"/>
      <w:sz w:val="21"/>
      <w:szCs w:val="21"/>
    </w:rPr>
  </w:style>
  <w:style w:type="paragraph" w:styleId="15">
    <w:name w:val="Body Text Indent 2"/>
    <w:basedOn w:val="1"/>
    <w:link w:val="39"/>
    <w:qFormat/>
    <w:uiPriority w:val="0"/>
    <w:pPr>
      <w:spacing w:after="120" w:line="480" w:lineRule="auto"/>
      <w:ind w:left="420" w:leftChars="200"/>
    </w:pPr>
  </w:style>
  <w:style w:type="paragraph" w:styleId="16">
    <w:name w:val="Balloon Text"/>
    <w:basedOn w:val="1"/>
    <w:semiHidden/>
    <w:qFormat/>
    <w:uiPriority w:val="0"/>
    <w:rPr>
      <w:sz w:val="18"/>
      <w:szCs w:val="18"/>
    </w:rPr>
  </w:style>
  <w:style w:type="paragraph" w:styleId="17">
    <w:name w:val="footer"/>
    <w:basedOn w:val="1"/>
    <w:qFormat/>
    <w:uiPriority w:val="0"/>
    <w:pPr>
      <w:tabs>
        <w:tab w:val="center" w:pos="4153"/>
        <w:tab w:val="right" w:pos="8306"/>
      </w:tabs>
      <w:spacing w:line="240" w:lineRule="atLeast"/>
    </w:pPr>
    <w:rPr>
      <w:sz w:val="18"/>
    </w:rPr>
  </w:style>
  <w:style w:type="paragraph" w:styleId="18">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19">
    <w:name w:val="toc 1"/>
    <w:basedOn w:val="1"/>
    <w:next w:val="1"/>
    <w:qFormat/>
    <w:uiPriority w:val="39"/>
  </w:style>
  <w:style w:type="paragraph" w:styleId="20">
    <w:name w:val="Body Text Indent 3"/>
    <w:basedOn w:val="1"/>
    <w:link w:val="40"/>
    <w:qFormat/>
    <w:uiPriority w:val="0"/>
    <w:pPr>
      <w:spacing w:after="120"/>
      <w:ind w:left="420" w:leftChars="200"/>
    </w:pPr>
    <w:rPr>
      <w:sz w:val="16"/>
      <w:szCs w:val="16"/>
    </w:rPr>
  </w:style>
  <w:style w:type="paragraph" w:styleId="21">
    <w:name w:val="Body Text 2"/>
    <w:basedOn w:val="1"/>
    <w:qFormat/>
    <w:uiPriority w:val="0"/>
    <w:pPr>
      <w:suppressAutoHyphens/>
      <w:jc w:val="left"/>
    </w:pPr>
    <w:rPr>
      <w:rFonts w:ascii="Calibri" w:hAnsi="Calibri" w:eastAsia="宋体" w:cs="Times New Roman"/>
      <w:color w:val="000000"/>
      <w:sz w:val="28"/>
      <w:szCs w:val="28"/>
    </w:rPr>
  </w:style>
  <w:style w:type="paragraph" w:styleId="22">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3">
    <w:name w:val="index 1"/>
    <w:basedOn w:val="1"/>
    <w:next w:val="1"/>
    <w:qFormat/>
    <w:uiPriority w:val="0"/>
    <w:rPr>
      <w:szCs w:val="20"/>
    </w:rPr>
  </w:style>
  <w:style w:type="paragraph" w:styleId="24">
    <w:name w:val="Title"/>
    <w:basedOn w:val="25"/>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5">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7">
    <w:name w:val="Strong"/>
    <w:qFormat/>
    <w:uiPriority w:val="22"/>
    <w:rPr>
      <w:b/>
      <w:bCs/>
    </w:rPr>
  </w:style>
  <w:style w:type="character" w:styleId="28">
    <w:name w:val="page number"/>
    <w:qFormat/>
    <w:uiPriority w:val="0"/>
  </w:style>
  <w:style w:type="character" w:styleId="29">
    <w:name w:val="FollowedHyperlink"/>
    <w:qFormat/>
    <w:uiPriority w:val="0"/>
    <w:rPr>
      <w:color w:val="800080"/>
      <w:u w:val="single"/>
    </w:rPr>
  </w:style>
  <w:style w:type="character" w:styleId="30">
    <w:name w:val="Hyperlink"/>
    <w:unhideWhenUsed/>
    <w:qFormat/>
    <w:uiPriority w:val="99"/>
    <w:rPr>
      <w:color w:val="0000FF"/>
      <w:u w:val="single"/>
    </w:rPr>
  </w:style>
  <w:style w:type="character" w:styleId="31">
    <w:name w:val="annotation reference"/>
    <w:qFormat/>
    <w:uiPriority w:val="99"/>
    <w:rPr>
      <w:sz w:val="21"/>
      <w:szCs w:val="21"/>
    </w:rPr>
  </w:style>
  <w:style w:type="table" w:styleId="33">
    <w:name w:val="Table Grid"/>
    <w:basedOn w:val="3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4">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35">
    <w:name w:val="批注文字 Char"/>
    <w:link w:val="9"/>
    <w:qFormat/>
    <w:uiPriority w:val="99"/>
    <w:rPr>
      <w:sz w:val="24"/>
      <w:szCs w:val="22"/>
    </w:rPr>
  </w:style>
  <w:style w:type="character" w:customStyle="1" w:styleId="36">
    <w:name w:val="正文文本 Char"/>
    <w:link w:val="11"/>
    <w:qFormat/>
    <w:uiPriority w:val="0"/>
    <w:rPr>
      <w:sz w:val="24"/>
      <w:szCs w:val="22"/>
    </w:rPr>
  </w:style>
  <w:style w:type="character" w:customStyle="1" w:styleId="37">
    <w:name w:val="正文文本缩进 Char"/>
    <w:link w:val="3"/>
    <w:qFormat/>
    <w:uiPriority w:val="0"/>
    <w:rPr>
      <w:sz w:val="24"/>
      <w:szCs w:val="22"/>
    </w:rPr>
  </w:style>
  <w:style w:type="character" w:customStyle="1" w:styleId="38">
    <w:name w:val="纯文本 Char"/>
    <w:link w:val="14"/>
    <w:qFormat/>
    <w:uiPriority w:val="0"/>
    <w:rPr>
      <w:rFonts w:ascii="宋体" w:hAnsi="Courier New" w:eastAsia="宋体"/>
      <w:kern w:val="2"/>
      <w:sz w:val="21"/>
      <w:szCs w:val="21"/>
      <w:lang w:val="en-US" w:eastAsia="zh-CN" w:bidi="ar-SA"/>
    </w:rPr>
  </w:style>
  <w:style w:type="character" w:customStyle="1" w:styleId="39">
    <w:name w:val="正文文本缩进 2 Char"/>
    <w:link w:val="15"/>
    <w:qFormat/>
    <w:uiPriority w:val="0"/>
    <w:rPr>
      <w:sz w:val="24"/>
      <w:szCs w:val="22"/>
    </w:rPr>
  </w:style>
  <w:style w:type="character" w:customStyle="1" w:styleId="40">
    <w:name w:val="正文文本缩进 3 Char"/>
    <w:link w:val="20"/>
    <w:qFormat/>
    <w:uiPriority w:val="0"/>
    <w:rPr>
      <w:sz w:val="16"/>
      <w:szCs w:val="16"/>
    </w:rPr>
  </w:style>
  <w:style w:type="character" w:customStyle="1" w:styleId="41">
    <w:name w:val="批注主题 Char"/>
    <w:link w:val="8"/>
    <w:qFormat/>
    <w:uiPriority w:val="0"/>
    <w:rPr>
      <w:b/>
      <w:bCs/>
      <w:sz w:val="24"/>
      <w:szCs w:val="22"/>
    </w:rPr>
  </w:style>
  <w:style w:type="character" w:customStyle="1" w:styleId="42">
    <w:name w:val="正文首行缩进 2 Char"/>
    <w:link w:val="2"/>
    <w:qFormat/>
    <w:uiPriority w:val="99"/>
    <w:rPr>
      <w:rFonts w:ascii="Times New Roman" w:hAnsi="Times New Roman"/>
      <w:kern w:val="2"/>
      <w:sz w:val="21"/>
      <w:szCs w:val="24"/>
    </w:rPr>
  </w:style>
  <w:style w:type="character" w:customStyle="1" w:styleId="43">
    <w:name w:val="px_10"/>
    <w:qFormat/>
    <w:uiPriority w:val="0"/>
  </w:style>
  <w:style w:type="paragraph" w:customStyle="1" w:styleId="44">
    <w:name w:val="样式 标题 2 + 宋体 五号 非加粗 黑色"/>
    <w:basedOn w:val="5"/>
    <w:qFormat/>
    <w:uiPriority w:val="0"/>
    <w:rPr>
      <w:rFonts w:ascii="宋体" w:hAnsi="宋体" w:eastAsia="宋体"/>
      <w:b w:val="0"/>
      <w:bCs w:val="0"/>
      <w:color w:val="000000"/>
      <w:sz w:val="21"/>
    </w:rPr>
  </w:style>
  <w:style w:type="paragraph" w:customStyle="1" w:styleId="45">
    <w:name w:val="样式 标题 3h3H3sect1.2.3 + 五号 段前: 6 磅 段后: 6 磅 行距: 单倍行距"/>
    <w:basedOn w:val="6"/>
    <w:qFormat/>
    <w:uiPriority w:val="0"/>
    <w:pPr>
      <w:spacing w:before="120" w:after="120" w:line="240" w:lineRule="auto"/>
    </w:pPr>
    <w:rPr>
      <w:sz w:val="21"/>
    </w:rPr>
  </w:style>
  <w:style w:type="paragraph" w:customStyle="1" w:styleId="46">
    <w:name w:val="列出段落1"/>
    <w:basedOn w:val="1"/>
    <w:qFormat/>
    <w:uiPriority w:val="0"/>
    <w:pPr>
      <w:ind w:firstLine="420" w:firstLineChars="200"/>
    </w:pPr>
  </w:style>
  <w:style w:type="paragraph" w:customStyle="1" w:styleId="47">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8">
    <w:name w:val="样式 标题 4 + 段前: 5 磅 段后: 5 磅 行距: 单倍行距"/>
    <w:basedOn w:val="7"/>
    <w:qFormat/>
    <w:uiPriority w:val="0"/>
    <w:pPr>
      <w:spacing w:before="100" w:after="100" w:line="240" w:lineRule="auto"/>
    </w:pPr>
    <w:rPr>
      <w:rFonts w:cs="宋体"/>
      <w:szCs w:val="20"/>
    </w:rPr>
  </w:style>
  <w:style w:type="paragraph" w:customStyle="1" w:styleId="49">
    <w:name w:val="样式 标题 1 + 四号 居中 段前: 12 磅 段后: 12 磅 行距: 单倍行距"/>
    <w:basedOn w:val="4"/>
    <w:qFormat/>
    <w:uiPriority w:val="0"/>
    <w:pPr>
      <w:numPr>
        <w:ilvl w:val="0"/>
        <w:numId w:val="1"/>
      </w:numPr>
      <w:spacing w:before="240" w:after="240" w:line="240" w:lineRule="auto"/>
      <w:jc w:val="center"/>
    </w:pPr>
    <w:rPr>
      <w:rFonts w:cs="宋体"/>
      <w:sz w:val="28"/>
      <w:szCs w:val="20"/>
    </w:rPr>
  </w:style>
  <w:style w:type="paragraph" w:customStyle="1" w:styleId="50">
    <w:name w:val="样式 样式 样式 样式 标题 2 + 宋体 五号 非加粗 黑色 + 段前: 6 磅 段后: 0 磅 行距: 单倍行距 + 段前:..."/>
    <w:basedOn w:val="51"/>
    <w:qFormat/>
    <w:uiPriority w:val="0"/>
    <w:rPr>
      <w:b/>
      <w:bCs/>
    </w:rPr>
  </w:style>
  <w:style w:type="paragraph" w:customStyle="1" w:styleId="51">
    <w:name w:val="样式 样式 样式 标题 2 + 宋体 五号 非加粗 黑色 + 段前: 6 磅 段后: 0 磅 行距: 单倍行距 + 段前: 12..."/>
    <w:basedOn w:val="52"/>
    <w:qFormat/>
    <w:uiPriority w:val="0"/>
    <w:pPr>
      <w:spacing w:before="240"/>
    </w:pPr>
  </w:style>
  <w:style w:type="paragraph" w:customStyle="1" w:styleId="52">
    <w:name w:val="样式 样式 标题 2 + 宋体 五号 非加粗 黑色 + 段前: 6 磅 段后: 0 磅 行距: 单倍行距"/>
    <w:basedOn w:val="44"/>
    <w:qFormat/>
    <w:uiPriority w:val="0"/>
    <w:pPr>
      <w:spacing w:before="120" w:after="0" w:line="240" w:lineRule="auto"/>
    </w:pPr>
    <w:rPr>
      <w:rFonts w:cs="宋体"/>
      <w:szCs w:val="20"/>
    </w:rPr>
  </w:style>
  <w:style w:type="paragraph" w:customStyle="1" w:styleId="53">
    <w:name w:val="p0"/>
    <w:basedOn w:val="1"/>
    <w:qFormat/>
    <w:uiPriority w:val="0"/>
    <w:pPr>
      <w:widowControl/>
      <w:spacing w:before="100" w:beforeAutospacing="1" w:after="100" w:afterAutospacing="1"/>
    </w:pPr>
    <w:rPr>
      <w:rFonts w:ascii="宋体" w:hAnsi="宋体" w:cs="宋体"/>
      <w:szCs w:val="24"/>
    </w:rPr>
  </w:style>
  <w:style w:type="paragraph" w:customStyle="1" w:styleId="54">
    <w:name w:val="样式1"/>
    <w:basedOn w:val="1"/>
    <w:link w:val="55"/>
    <w:qFormat/>
    <w:uiPriority w:val="0"/>
    <w:pPr>
      <w:numPr>
        <w:ilvl w:val="0"/>
        <w:numId w:val="3"/>
      </w:numPr>
      <w:spacing w:line="240" w:lineRule="auto"/>
      <w:jc w:val="both"/>
    </w:pPr>
    <w:rPr>
      <w:rFonts w:ascii="宋体" w:hAnsi="宋体"/>
      <w:sz w:val="21"/>
      <w:szCs w:val="21"/>
    </w:rPr>
  </w:style>
  <w:style w:type="character" w:customStyle="1" w:styleId="55">
    <w:name w:val="样式1 Char"/>
    <w:link w:val="54"/>
    <w:qFormat/>
    <w:uiPriority w:val="0"/>
    <w:rPr>
      <w:rFonts w:ascii="宋体" w:hAnsi="宋体"/>
      <w:sz w:val="21"/>
      <w:szCs w:val="21"/>
    </w:rPr>
  </w:style>
  <w:style w:type="character" w:customStyle="1" w:styleId="56">
    <w:name w:val="apple-converted-space"/>
    <w:qFormat/>
    <w:uiPriority w:val="0"/>
    <w:rPr>
      <w:rFonts w:cs="Times New Roman"/>
    </w:rPr>
  </w:style>
  <w:style w:type="character" w:customStyle="1" w:styleId="57">
    <w:name w:val="标题 1 Char Char Char Char"/>
    <w:qFormat/>
    <w:uiPriority w:val="0"/>
    <w:rPr>
      <w:rFonts w:eastAsia="宋体"/>
      <w:b/>
      <w:bCs/>
      <w:kern w:val="44"/>
      <w:sz w:val="44"/>
      <w:szCs w:val="44"/>
      <w:lang w:val="en-US" w:eastAsia="zh-CN" w:bidi="ar-SA"/>
    </w:rPr>
  </w:style>
  <w:style w:type="paragraph" w:customStyle="1" w:styleId="58">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9">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60">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1">
    <w:name w:val="标题 3 Char"/>
    <w:qFormat/>
    <w:uiPriority w:val="0"/>
    <w:rPr>
      <w:rFonts w:ascii="宋体" w:hAnsi="宋体"/>
    </w:rPr>
  </w:style>
  <w:style w:type="paragraph" w:customStyle="1" w:styleId="62">
    <w:name w:val="_Style 56"/>
    <w:semiHidden/>
    <w:qFormat/>
    <w:uiPriority w:val="99"/>
    <w:rPr>
      <w:rFonts w:ascii="Calibri" w:hAnsi="Calibri" w:eastAsia="宋体" w:cs="Times New Roman"/>
      <w:sz w:val="24"/>
      <w:szCs w:val="22"/>
      <w:lang w:val="en-US" w:eastAsia="zh-CN" w:bidi="ar-SA"/>
    </w:rPr>
  </w:style>
  <w:style w:type="paragraph" w:customStyle="1" w:styleId="63">
    <w:name w:val="List Paragraph"/>
    <w:basedOn w:val="1"/>
    <w:qFormat/>
    <w:uiPriority w:val="34"/>
    <w:pPr>
      <w:ind w:firstLine="420" w:firstLineChars="200"/>
    </w:pPr>
  </w:style>
  <w:style w:type="paragraph" w:customStyle="1" w:styleId="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6">
    <w:name w:val="List Paragraph1"/>
    <w:basedOn w:val="1"/>
    <w:next w:val="67"/>
    <w:qFormat/>
    <w:uiPriority w:val="34"/>
    <w:pPr>
      <w:adjustRightInd/>
      <w:spacing w:line="240" w:lineRule="auto"/>
      <w:ind w:firstLine="420" w:firstLineChars="200"/>
      <w:jc w:val="both"/>
      <w:textAlignment w:val="auto"/>
    </w:pPr>
    <w:rPr>
      <w:kern w:val="2"/>
      <w:sz w:val="21"/>
      <w:lang w:val="zh-CN"/>
    </w:rPr>
  </w:style>
  <w:style w:type="paragraph" w:customStyle="1" w:styleId="67">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8">
    <w:name w:val="15"/>
    <w:qFormat/>
    <w:uiPriority w:val="0"/>
    <w:rPr>
      <w:rFonts w:hint="eastAsia" w:ascii="宋体" w:hAnsi="宋体" w:eastAsia="宋体"/>
      <w:color w:val="000000"/>
      <w:sz w:val="20"/>
      <w:szCs w:val="20"/>
    </w:rPr>
  </w:style>
  <w:style w:type="character" w:customStyle="1" w:styleId="69">
    <w:name w:val="纯文本 字符1"/>
    <w:qFormat/>
    <w:uiPriority w:val="0"/>
    <w:rPr>
      <w:rFonts w:ascii="Times New Roman" w:hAnsi="Courier New"/>
      <w:kern w:val="2"/>
      <w:sz w:val="21"/>
      <w:szCs w:val="21"/>
    </w:rPr>
  </w:style>
  <w:style w:type="paragraph" w:customStyle="1" w:styleId="70">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1">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2">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3">
    <w:name w:val="未处理的提及"/>
    <w:unhideWhenUsed/>
    <w:qFormat/>
    <w:uiPriority w:val="99"/>
    <w:rPr>
      <w:color w:val="605E5C"/>
      <w:shd w:val="clear" w:color="auto" w:fill="E1DFDD"/>
    </w:rPr>
  </w:style>
  <w:style w:type="paragraph" w:customStyle="1" w:styleId="74">
    <w:name w:val="_Style 2"/>
    <w:basedOn w:val="1"/>
    <w:qFormat/>
    <w:uiPriority w:val="34"/>
    <w:pPr>
      <w:ind w:firstLine="420" w:firstLineChars="200"/>
    </w:pPr>
  </w:style>
  <w:style w:type="character" w:customStyle="1" w:styleId="75">
    <w:name w:val="正文首行缩进 2字符 Char"/>
    <w:link w:val="76"/>
    <w:qFormat/>
    <w:uiPriority w:val="0"/>
    <w:rPr>
      <w:kern w:val="0"/>
      <w:sz w:val="24"/>
      <w:szCs w:val="24"/>
    </w:rPr>
  </w:style>
  <w:style w:type="paragraph" w:customStyle="1" w:styleId="76">
    <w:name w:val="正文首行缩进 2字符"/>
    <w:basedOn w:val="1"/>
    <w:link w:val="75"/>
    <w:qFormat/>
    <w:uiPriority w:val="0"/>
    <w:pPr>
      <w:ind w:firstLine="200" w:firstLineChars="200"/>
    </w:pPr>
    <w:rPr>
      <w:kern w:val="0"/>
      <w:sz w:val="24"/>
      <w:szCs w:val="24"/>
    </w:rPr>
  </w:style>
  <w:style w:type="character" w:customStyle="1" w:styleId="77">
    <w:name w:val="font21"/>
    <w:basedOn w:val="26"/>
    <w:qFormat/>
    <w:uiPriority w:val="0"/>
    <w:rPr>
      <w:rFonts w:hint="eastAsia" w:ascii="宋体" w:hAnsi="宋体" w:eastAsia="宋体" w:cs="宋体"/>
      <w:color w:val="000000"/>
      <w:sz w:val="20"/>
      <w:szCs w:val="20"/>
      <w:u w:val="none"/>
    </w:rPr>
  </w:style>
  <w:style w:type="paragraph" w:customStyle="1" w:styleId="78">
    <w:name w:val="普通(网站)1"/>
    <w:basedOn w:val="1"/>
    <w:qFormat/>
    <w:uiPriority w:val="0"/>
    <w:pPr>
      <w:widowControl/>
      <w:spacing w:before="100" w:beforeAutospacing="1" w:after="100" w:afterAutospacing="1" w:line="240" w:lineRule="auto"/>
      <w:jc w:val="left"/>
    </w:pPr>
    <w:rPr>
      <w:rFonts w:ascii="宋体" w:hAnsi="宋体"/>
      <w:color w:val="000000"/>
      <w:kern w:val="0"/>
    </w:rPr>
  </w:style>
  <w:style w:type="table" w:customStyle="1" w:styleId="79">
    <w:name w:val="Table Normal"/>
    <w:unhideWhenUsed/>
    <w:qFormat/>
    <w:uiPriority w:val="0"/>
    <w:tblPr>
      <w:tblLayout w:type="fixed"/>
      <w:tblCellMar>
        <w:top w:w="0" w:type="dxa"/>
        <w:left w:w="0" w:type="dxa"/>
        <w:bottom w:w="0" w:type="dxa"/>
        <w:right w:w="0" w:type="dxa"/>
      </w:tblCellMar>
    </w:tblPr>
  </w:style>
  <w:style w:type="paragraph" w:customStyle="1" w:styleId="80">
    <w:name w:val="Table Text"/>
    <w:basedOn w:val="1"/>
    <w:semiHidden/>
    <w:qFormat/>
    <w:uiPriority w:val="0"/>
    <w:rPr>
      <w:rFonts w:ascii="Arial" w:hAnsi="Arial" w:eastAsia="Arial" w:cs="Arial"/>
      <w:sz w:val="21"/>
      <w:szCs w:val="21"/>
      <w:lang w:val="en-US" w:eastAsia="en-US" w:bidi="ar-SA"/>
    </w:rPr>
  </w:style>
  <w:style w:type="paragraph" w:customStyle="1" w:styleId="81">
    <w:name w:val="列出段落11"/>
    <w:basedOn w:val="1"/>
    <w:qFormat/>
    <w:uiPriority w:val="0"/>
    <w:pPr>
      <w:ind w:firstLine="420" w:firstLineChars="2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stone</cp:lastModifiedBy>
  <cp:lastPrinted>2023-11-17T01:26:00Z</cp:lastPrinted>
  <dcterms:modified xsi:type="dcterms:W3CDTF">2024-12-10T08:56:50Z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