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宋体" w:hAnsi="宋体" w:cs="宋体"/>
          <w:b/>
          <w:bCs/>
          <w:sz w:val="60"/>
          <w:szCs w:val="60"/>
          <w:highlight w:val="none"/>
        </w:rPr>
      </w:pPr>
      <w:bookmarkStart w:id="0" w:name="_Toc99301418"/>
      <w:bookmarkStart w:id="1" w:name="_Toc28109"/>
      <w:bookmarkStart w:id="2" w:name="_Toc3783"/>
      <w:bookmarkStart w:id="3" w:name="_Toc25013"/>
    </w:p>
    <w:p>
      <w:pPr>
        <w:tabs>
          <w:tab w:val="left" w:pos="3240"/>
          <w:tab w:val="left" w:pos="3420"/>
        </w:tabs>
        <w:spacing w:line="480" w:lineRule="auto"/>
        <w:jc w:val="center"/>
        <w:rPr>
          <w:rFonts w:ascii="宋体" w:hAnsi="宋体" w:cs="宋体"/>
          <w:bCs/>
          <w:sz w:val="36"/>
          <w:szCs w:val="36"/>
          <w:highlight w:val="none"/>
        </w:rPr>
        <w:sectPr>
          <w:headerReference r:id="rId4" w:type="first"/>
          <w:footerReference r:id="rId5" w:type="first"/>
          <w:headerReference r:id="rId3" w:type="default"/>
          <w:pgSz w:w="11907" w:h="16840"/>
          <w:pgMar w:top="1418" w:right="946" w:bottom="1418" w:left="1501" w:header="851" w:footer="851" w:gutter="0"/>
          <w:pgNumType w:start="1"/>
          <w:cols w:space="720" w:num="1"/>
          <w:titlePg/>
          <w:docGrid w:linePitch="462" w:charSpace="0"/>
        </w:sectPr>
      </w:pPr>
      <w:bookmarkStart w:id="4" w:name="_Toc29394"/>
      <w:r>
        <w:rPr>
          <w:highlight w:val="none"/>
        </w:rPr>
        <w:drawing>
          <wp:inline distT="0" distB="0" distL="114300" distR="114300">
            <wp:extent cx="5507355" cy="7389495"/>
            <wp:effectExtent l="0" t="0" r="1714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34"/>
                    <a:stretch>
                      <a:fillRect/>
                    </a:stretch>
                  </pic:blipFill>
                  <pic:spPr>
                    <a:xfrm>
                      <a:off x="0" y="0"/>
                      <a:ext cx="5507355" cy="7389495"/>
                    </a:xfrm>
                    <a:prstGeom prst="rect">
                      <a:avLst/>
                    </a:prstGeom>
                    <a:noFill/>
                    <a:ln>
                      <a:noFill/>
                    </a:ln>
                  </pic:spPr>
                </pic:pic>
              </a:graphicData>
            </a:graphic>
          </wp:inline>
        </w:drawing>
      </w:r>
    </w:p>
    <w:p>
      <w:pPr>
        <w:spacing w:line="360" w:lineRule="auto"/>
        <w:jc w:val="center"/>
        <w:outlineLvl w:val="0"/>
        <w:rPr>
          <w:rFonts w:ascii="宋体" w:hAnsi="宋体" w:cs="宋体"/>
          <w:b/>
          <w:sz w:val="44"/>
          <w:szCs w:val="44"/>
          <w:highlight w:val="none"/>
        </w:rPr>
        <w:sectPr>
          <w:footerReference r:id="rId7" w:type="first"/>
          <w:footerReference r:id="rId6" w:type="default"/>
          <w:pgSz w:w="11907" w:h="16840"/>
          <w:pgMar w:top="1418" w:right="946" w:bottom="1418" w:left="1501" w:header="851" w:footer="851" w:gutter="0"/>
          <w:pgNumType w:start="1"/>
          <w:cols w:space="720" w:num="1"/>
          <w:docGrid w:linePitch="462" w:charSpace="0"/>
        </w:sectPr>
      </w:pPr>
      <w:bookmarkStart w:id="5" w:name="_Toc11513"/>
      <w:bookmarkStart w:id="6" w:name="_Toc16608"/>
    </w:p>
    <w:p>
      <w:pPr>
        <w:spacing w:line="360" w:lineRule="auto"/>
        <w:jc w:val="center"/>
        <w:outlineLvl w:val="0"/>
        <w:rPr>
          <w:rFonts w:ascii="宋体" w:hAnsi="宋体" w:cs="宋体"/>
          <w:b/>
          <w:sz w:val="44"/>
          <w:szCs w:val="44"/>
          <w:highlight w:val="none"/>
        </w:rPr>
      </w:pPr>
    </w:p>
    <w:p>
      <w:pPr>
        <w:spacing w:line="360" w:lineRule="auto"/>
        <w:jc w:val="center"/>
        <w:outlineLvl w:val="0"/>
        <w:rPr>
          <w:rFonts w:ascii="宋体" w:hAnsi="宋体" w:cs="宋体"/>
          <w:b/>
          <w:sz w:val="44"/>
          <w:szCs w:val="44"/>
          <w:highlight w:val="none"/>
        </w:rPr>
      </w:pPr>
      <w:r>
        <w:rPr>
          <w:rFonts w:hint="eastAsia" w:ascii="宋体" w:hAnsi="宋体" w:cs="宋体"/>
          <w:b/>
          <w:sz w:val="44"/>
          <w:szCs w:val="44"/>
          <w:highlight w:val="none"/>
        </w:rPr>
        <w:t>目      录</w:t>
      </w:r>
      <w:bookmarkEnd w:id="0"/>
      <w:bookmarkEnd w:id="1"/>
      <w:bookmarkEnd w:id="2"/>
      <w:bookmarkEnd w:id="3"/>
      <w:bookmarkEnd w:id="4"/>
      <w:bookmarkEnd w:id="5"/>
      <w:bookmarkEnd w:id="6"/>
    </w:p>
    <w:p>
      <w:pPr>
        <w:pStyle w:val="33"/>
        <w:rPr>
          <w:rFonts w:ascii="宋体" w:hAnsi="宋体" w:cs="宋体"/>
          <w:highlight w:val="none"/>
        </w:rPr>
      </w:pPr>
    </w:p>
    <w:p>
      <w:pPr>
        <w:pStyle w:val="31"/>
        <w:tabs>
          <w:tab w:val="right" w:leader="middleDot" w:pos="9460"/>
          <w:tab w:val="clear" w:pos="1050"/>
          <w:tab w:val="clear" w:pos="8937"/>
        </w:tabs>
        <w:spacing w:line="480" w:lineRule="auto"/>
        <w:rPr>
          <w:rFonts w:cs="宋体"/>
          <w:sz w:val="32"/>
          <w:szCs w:val="32"/>
          <w:highlight w:val="none"/>
        </w:rPr>
      </w:pPr>
      <w:r>
        <w:rPr>
          <w:rFonts w:hint="eastAsia" w:cs="宋体"/>
          <w:b w:val="0"/>
          <w:sz w:val="40"/>
          <w:szCs w:val="40"/>
          <w:highlight w:val="none"/>
        </w:rPr>
        <w:fldChar w:fldCharType="begin"/>
      </w:r>
      <w:r>
        <w:rPr>
          <w:rFonts w:hint="eastAsia" w:cs="宋体"/>
          <w:b w:val="0"/>
          <w:sz w:val="40"/>
          <w:szCs w:val="40"/>
          <w:highlight w:val="none"/>
        </w:rPr>
        <w:instrText xml:space="preserve"> TOC \o "1-1" \h \z \u </w:instrText>
      </w:r>
      <w:r>
        <w:rPr>
          <w:rFonts w:hint="eastAsia" w:cs="宋体"/>
          <w:b w:val="0"/>
          <w:sz w:val="40"/>
          <w:szCs w:val="40"/>
          <w:highlight w:val="none"/>
        </w:rPr>
        <w:fldChar w:fldCharType="separate"/>
      </w:r>
      <w:r>
        <w:rPr>
          <w:highlight w:val="none"/>
        </w:rPr>
        <w:fldChar w:fldCharType="begin"/>
      </w:r>
      <w:r>
        <w:rPr>
          <w:highlight w:val="none"/>
        </w:rPr>
        <w:instrText xml:space="preserve"> HYPERLINK \l "_Toc21812" </w:instrText>
      </w:r>
      <w:r>
        <w:rPr>
          <w:highlight w:val="none"/>
        </w:rPr>
        <w:fldChar w:fldCharType="separate"/>
      </w:r>
      <w:r>
        <w:rPr>
          <w:rFonts w:hint="eastAsia" w:cs="宋体"/>
          <w:sz w:val="32"/>
          <w:szCs w:val="44"/>
          <w:highlight w:val="none"/>
        </w:rPr>
        <w:t>第一章   投标邀请</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_Toc21812 \h </w:instrText>
      </w:r>
      <w:r>
        <w:rPr>
          <w:rFonts w:hint="eastAsia" w:cs="宋体"/>
          <w:sz w:val="32"/>
          <w:szCs w:val="32"/>
          <w:highlight w:val="none"/>
        </w:rPr>
        <w:fldChar w:fldCharType="separate"/>
      </w:r>
      <w:r>
        <w:rPr>
          <w:rFonts w:hint="eastAsia" w:cs="宋体"/>
          <w:sz w:val="32"/>
          <w:szCs w:val="32"/>
          <w:highlight w:val="none"/>
        </w:rPr>
        <w:t>1</w:t>
      </w:r>
      <w:r>
        <w:rPr>
          <w:rFonts w:hint="eastAsia" w:cs="宋体"/>
          <w:sz w:val="32"/>
          <w:szCs w:val="32"/>
          <w:highlight w:val="none"/>
        </w:rPr>
        <w:fldChar w:fldCharType="end"/>
      </w:r>
      <w:r>
        <w:rPr>
          <w:rFonts w:hint="eastAsia" w:cs="宋体"/>
          <w:sz w:val="32"/>
          <w:szCs w:val="32"/>
          <w:highlight w:val="none"/>
        </w:rPr>
        <w:fldChar w:fldCharType="end"/>
      </w:r>
    </w:p>
    <w:p>
      <w:pPr>
        <w:pStyle w:val="31"/>
        <w:tabs>
          <w:tab w:val="right" w:leader="middleDot" w:pos="9460"/>
          <w:tab w:val="clear" w:pos="1050"/>
          <w:tab w:val="clear" w:pos="8937"/>
        </w:tabs>
        <w:spacing w:line="480" w:lineRule="auto"/>
        <w:rPr>
          <w:rFonts w:cs="宋体"/>
          <w:sz w:val="32"/>
          <w:szCs w:val="32"/>
          <w:highlight w:val="none"/>
        </w:rPr>
      </w:pPr>
      <w:r>
        <w:rPr>
          <w:highlight w:val="none"/>
        </w:rPr>
        <w:fldChar w:fldCharType="begin"/>
      </w:r>
      <w:r>
        <w:rPr>
          <w:highlight w:val="none"/>
        </w:rPr>
        <w:instrText xml:space="preserve"> HYPERLINK \l "_Toc9405" </w:instrText>
      </w:r>
      <w:r>
        <w:rPr>
          <w:highlight w:val="none"/>
        </w:rPr>
        <w:fldChar w:fldCharType="separate"/>
      </w:r>
      <w:r>
        <w:rPr>
          <w:rFonts w:hint="eastAsia" w:cs="宋体"/>
          <w:sz w:val="32"/>
          <w:szCs w:val="44"/>
          <w:highlight w:val="none"/>
        </w:rPr>
        <w:t>第二章   投标人须知</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_Toc9405 \h </w:instrText>
      </w:r>
      <w:r>
        <w:rPr>
          <w:rFonts w:hint="eastAsia" w:cs="宋体"/>
          <w:sz w:val="32"/>
          <w:szCs w:val="32"/>
          <w:highlight w:val="none"/>
        </w:rPr>
        <w:fldChar w:fldCharType="separate"/>
      </w:r>
      <w:r>
        <w:rPr>
          <w:rFonts w:hint="eastAsia" w:cs="宋体"/>
          <w:sz w:val="32"/>
          <w:szCs w:val="32"/>
          <w:highlight w:val="none"/>
        </w:rPr>
        <w:t>6</w:t>
      </w:r>
      <w:r>
        <w:rPr>
          <w:rFonts w:hint="eastAsia" w:cs="宋体"/>
          <w:sz w:val="32"/>
          <w:szCs w:val="32"/>
          <w:highlight w:val="none"/>
        </w:rPr>
        <w:fldChar w:fldCharType="end"/>
      </w:r>
      <w:r>
        <w:rPr>
          <w:rFonts w:hint="eastAsia" w:cs="宋体"/>
          <w:sz w:val="32"/>
          <w:szCs w:val="32"/>
          <w:highlight w:val="none"/>
        </w:rPr>
        <w:fldChar w:fldCharType="end"/>
      </w:r>
    </w:p>
    <w:p>
      <w:pPr>
        <w:pStyle w:val="31"/>
        <w:tabs>
          <w:tab w:val="right" w:leader="middleDot" w:pos="9460"/>
          <w:tab w:val="clear" w:pos="1050"/>
          <w:tab w:val="clear" w:pos="8937"/>
        </w:tabs>
        <w:spacing w:line="480" w:lineRule="auto"/>
        <w:rPr>
          <w:rFonts w:cs="宋体"/>
          <w:sz w:val="32"/>
          <w:szCs w:val="32"/>
          <w:highlight w:val="none"/>
        </w:rPr>
      </w:pPr>
      <w:r>
        <w:rPr>
          <w:highlight w:val="none"/>
        </w:rPr>
        <w:fldChar w:fldCharType="begin"/>
      </w:r>
      <w:r>
        <w:rPr>
          <w:highlight w:val="none"/>
        </w:rPr>
        <w:instrText xml:space="preserve"> HYPERLINK \l "_Toc8421" </w:instrText>
      </w:r>
      <w:r>
        <w:rPr>
          <w:highlight w:val="none"/>
        </w:rPr>
        <w:fldChar w:fldCharType="separate"/>
      </w:r>
      <w:r>
        <w:rPr>
          <w:rFonts w:hint="eastAsia" w:cs="宋体"/>
          <w:sz w:val="32"/>
          <w:szCs w:val="44"/>
          <w:highlight w:val="none"/>
        </w:rPr>
        <w:t>第三章   资格审查</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_Toc8421 \h </w:instrText>
      </w:r>
      <w:r>
        <w:rPr>
          <w:rFonts w:hint="eastAsia" w:cs="宋体"/>
          <w:sz w:val="32"/>
          <w:szCs w:val="32"/>
          <w:highlight w:val="none"/>
        </w:rPr>
        <w:fldChar w:fldCharType="separate"/>
      </w:r>
      <w:r>
        <w:rPr>
          <w:rFonts w:hint="eastAsia" w:cs="宋体"/>
          <w:sz w:val="32"/>
          <w:szCs w:val="32"/>
          <w:highlight w:val="none"/>
        </w:rPr>
        <w:t>22</w:t>
      </w:r>
      <w:r>
        <w:rPr>
          <w:rFonts w:hint="eastAsia" w:cs="宋体"/>
          <w:sz w:val="32"/>
          <w:szCs w:val="32"/>
          <w:highlight w:val="none"/>
        </w:rPr>
        <w:fldChar w:fldCharType="end"/>
      </w:r>
      <w:r>
        <w:rPr>
          <w:rFonts w:hint="eastAsia" w:cs="宋体"/>
          <w:sz w:val="32"/>
          <w:szCs w:val="32"/>
          <w:highlight w:val="none"/>
        </w:rPr>
        <w:fldChar w:fldCharType="end"/>
      </w:r>
    </w:p>
    <w:p>
      <w:pPr>
        <w:pStyle w:val="31"/>
        <w:tabs>
          <w:tab w:val="right" w:leader="middleDot" w:pos="9460"/>
          <w:tab w:val="clear" w:pos="1050"/>
          <w:tab w:val="clear" w:pos="8937"/>
        </w:tabs>
        <w:spacing w:line="480" w:lineRule="auto"/>
        <w:rPr>
          <w:rFonts w:cs="宋体"/>
          <w:sz w:val="32"/>
          <w:szCs w:val="32"/>
          <w:highlight w:val="none"/>
        </w:rPr>
      </w:pPr>
      <w:r>
        <w:rPr>
          <w:highlight w:val="none"/>
        </w:rPr>
        <w:fldChar w:fldCharType="begin"/>
      </w:r>
      <w:r>
        <w:rPr>
          <w:highlight w:val="none"/>
        </w:rPr>
        <w:instrText xml:space="preserve"> HYPERLINK \l "_Toc25048" </w:instrText>
      </w:r>
      <w:r>
        <w:rPr>
          <w:highlight w:val="none"/>
        </w:rPr>
        <w:fldChar w:fldCharType="separate"/>
      </w:r>
      <w:r>
        <w:rPr>
          <w:rFonts w:hint="eastAsia" w:cs="宋体"/>
          <w:sz w:val="32"/>
          <w:szCs w:val="44"/>
          <w:highlight w:val="none"/>
        </w:rPr>
        <w:t>第四章   评标程序、评标方法和评标标准</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_Toc25048 \h </w:instrText>
      </w:r>
      <w:r>
        <w:rPr>
          <w:rFonts w:hint="eastAsia" w:cs="宋体"/>
          <w:sz w:val="32"/>
          <w:szCs w:val="32"/>
          <w:highlight w:val="none"/>
        </w:rPr>
        <w:fldChar w:fldCharType="separate"/>
      </w:r>
      <w:r>
        <w:rPr>
          <w:rFonts w:hint="eastAsia" w:cs="宋体"/>
          <w:sz w:val="32"/>
          <w:szCs w:val="32"/>
          <w:highlight w:val="none"/>
        </w:rPr>
        <w:t>25</w:t>
      </w:r>
      <w:r>
        <w:rPr>
          <w:rFonts w:hint="eastAsia" w:cs="宋体"/>
          <w:sz w:val="32"/>
          <w:szCs w:val="32"/>
          <w:highlight w:val="none"/>
        </w:rPr>
        <w:fldChar w:fldCharType="end"/>
      </w:r>
      <w:r>
        <w:rPr>
          <w:rFonts w:hint="eastAsia" w:cs="宋体"/>
          <w:sz w:val="32"/>
          <w:szCs w:val="32"/>
          <w:highlight w:val="none"/>
        </w:rPr>
        <w:fldChar w:fldCharType="end"/>
      </w:r>
    </w:p>
    <w:p>
      <w:pPr>
        <w:pStyle w:val="31"/>
        <w:tabs>
          <w:tab w:val="right" w:leader="middleDot" w:pos="9460"/>
          <w:tab w:val="clear" w:pos="1050"/>
          <w:tab w:val="clear" w:pos="8937"/>
        </w:tabs>
        <w:spacing w:line="480" w:lineRule="auto"/>
        <w:rPr>
          <w:rFonts w:cs="宋体"/>
          <w:sz w:val="32"/>
          <w:szCs w:val="32"/>
          <w:highlight w:val="none"/>
        </w:rPr>
      </w:pPr>
      <w:r>
        <w:rPr>
          <w:highlight w:val="none"/>
        </w:rPr>
        <w:fldChar w:fldCharType="begin"/>
      </w:r>
      <w:r>
        <w:rPr>
          <w:highlight w:val="none"/>
        </w:rPr>
        <w:instrText xml:space="preserve"> HYPERLINK \l "_Toc23982" </w:instrText>
      </w:r>
      <w:r>
        <w:rPr>
          <w:highlight w:val="none"/>
        </w:rPr>
        <w:fldChar w:fldCharType="separate"/>
      </w:r>
      <w:r>
        <w:rPr>
          <w:rFonts w:hint="eastAsia" w:cs="宋体"/>
          <w:sz w:val="32"/>
          <w:szCs w:val="44"/>
          <w:highlight w:val="none"/>
        </w:rPr>
        <w:t>第五章   采购需求</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_Toc23982 \h </w:instrText>
      </w:r>
      <w:r>
        <w:rPr>
          <w:rFonts w:hint="eastAsia" w:cs="宋体"/>
          <w:sz w:val="32"/>
          <w:szCs w:val="32"/>
          <w:highlight w:val="none"/>
        </w:rPr>
        <w:fldChar w:fldCharType="separate"/>
      </w:r>
      <w:r>
        <w:rPr>
          <w:rFonts w:hint="eastAsia" w:cs="宋体"/>
          <w:sz w:val="32"/>
          <w:szCs w:val="32"/>
          <w:highlight w:val="none"/>
        </w:rPr>
        <w:t>34</w:t>
      </w:r>
      <w:r>
        <w:rPr>
          <w:rFonts w:hint="eastAsia" w:cs="宋体"/>
          <w:sz w:val="32"/>
          <w:szCs w:val="32"/>
          <w:highlight w:val="none"/>
        </w:rPr>
        <w:fldChar w:fldCharType="end"/>
      </w:r>
      <w:r>
        <w:rPr>
          <w:rFonts w:hint="eastAsia" w:cs="宋体"/>
          <w:sz w:val="32"/>
          <w:szCs w:val="32"/>
          <w:highlight w:val="none"/>
        </w:rPr>
        <w:fldChar w:fldCharType="end"/>
      </w:r>
    </w:p>
    <w:p>
      <w:pPr>
        <w:pStyle w:val="31"/>
        <w:tabs>
          <w:tab w:val="right" w:leader="middleDot" w:pos="9460"/>
          <w:tab w:val="clear" w:pos="1050"/>
          <w:tab w:val="clear" w:pos="8937"/>
        </w:tabs>
        <w:spacing w:line="480" w:lineRule="auto"/>
        <w:rPr>
          <w:rFonts w:cs="宋体"/>
          <w:sz w:val="32"/>
          <w:szCs w:val="32"/>
          <w:highlight w:val="none"/>
        </w:rPr>
      </w:pPr>
      <w:r>
        <w:rPr>
          <w:highlight w:val="none"/>
        </w:rPr>
        <w:fldChar w:fldCharType="begin"/>
      </w:r>
      <w:r>
        <w:rPr>
          <w:highlight w:val="none"/>
        </w:rPr>
        <w:instrText xml:space="preserve"> HYPERLINK \l "_Toc20814" </w:instrText>
      </w:r>
      <w:r>
        <w:rPr>
          <w:highlight w:val="none"/>
        </w:rPr>
        <w:fldChar w:fldCharType="separate"/>
      </w:r>
      <w:r>
        <w:rPr>
          <w:rFonts w:hint="eastAsia" w:cs="宋体"/>
          <w:sz w:val="32"/>
          <w:szCs w:val="44"/>
          <w:highlight w:val="none"/>
        </w:rPr>
        <w:t>第六章   拟签订的合同文本</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_Toc20814 \h </w:instrText>
      </w:r>
      <w:r>
        <w:rPr>
          <w:rFonts w:hint="eastAsia" w:cs="宋体"/>
          <w:sz w:val="32"/>
          <w:szCs w:val="32"/>
          <w:highlight w:val="none"/>
        </w:rPr>
        <w:fldChar w:fldCharType="separate"/>
      </w:r>
      <w:r>
        <w:rPr>
          <w:rFonts w:hint="eastAsia" w:cs="宋体"/>
          <w:sz w:val="32"/>
          <w:szCs w:val="32"/>
          <w:highlight w:val="none"/>
        </w:rPr>
        <w:t>55</w:t>
      </w:r>
      <w:r>
        <w:rPr>
          <w:rFonts w:hint="eastAsia" w:cs="宋体"/>
          <w:sz w:val="32"/>
          <w:szCs w:val="32"/>
          <w:highlight w:val="none"/>
        </w:rPr>
        <w:fldChar w:fldCharType="end"/>
      </w:r>
      <w:r>
        <w:rPr>
          <w:rFonts w:hint="eastAsia" w:cs="宋体"/>
          <w:sz w:val="32"/>
          <w:szCs w:val="32"/>
          <w:highlight w:val="none"/>
        </w:rPr>
        <w:fldChar w:fldCharType="end"/>
      </w:r>
    </w:p>
    <w:p>
      <w:pPr>
        <w:pStyle w:val="31"/>
        <w:tabs>
          <w:tab w:val="right" w:leader="middleDot" w:pos="9460"/>
          <w:tab w:val="clear" w:pos="1050"/>
          <w:tab w:val="clear" w:pos="8937"/>
        </w:tabs>
        <w:spacing w:line="480" w:lineRule="auto"/>
        <w:rPr>
          <w:rFonts w:cs="宋体"/>
          <w:sz w:val="32"/>
          <w:szCs w:val="32"/>
          <w:highlight w:val="none"/>
        </w:rPr>
      </w:pPr>
      <w:r>
        <w:rPr>
          <w:highlight w:val="none"/>
        </w:rPr>
        <w:fldChar w:fldCharType="begin"/>
      </w:r>
      <w:r>
        <w:rPr>
          <w:highlight w:val="none"/>
        </w:rPr>
        <w:instrText xml:space="preserve"> HYPERLINK \l "_Toc6006" </w:instrText>
      </w:r>
      <w:r>
        <w:rPr>
          <w:highlight w:val="none"/>
        </w:rPr>
        <w:fldChar w:fldCharType="separate"/>
      </w:r>
      <w:r>
        <w:rPr>
          <w:rFonts w:hint="eastAsia" w:cs="宋体"/>
          <w:sz w:val="32"/>
          <w:szCs w:val="32"/>
          <w:highlight w:val="none"/>
        </w:rPr>
        <w:t>第七章   投标文件格式</w:t>
      </w:r>
      <w:r>
        <w:rPr>
          <w:rFonts w:hint="eastAsia" w:cs="宋体"/>
          <w:sz w:val="32"/>
          <w:szCs w:val="32"/>
          <w:highlight w:val="none"/>
        </w:rPr>
        <w:tab/>
      </w:r>
      <w:r>
        <w:rPr>
          <w:rFonts w:hint="eastAsia" w:cs="宋体"/>
          <w:sz w:val="32"/>
          <w:szCs w:val="32"/>
          <w:highlight w:val="none"/>
        </w:rPr>
        <w:fldChar w:fldCharType="begin"/>
      </w:r>
      <w:r>
        <w:rPr>
          <w:rFonts w:hint="eastAsia" w:cs="宋体"/>
          <w:sz w:val="32"/>
          <w:szCs w:val="32"/>
          <w:highlight w:val="none"/>
        </w:rPr>
        <w:instrText xml:space="preserve"> PAGEREF _Toc6006 \h </w:instrText>
      </w:r>
      <w:r>
        <w:rPr>
          <w:rFonts w:hint="eastAsia" w:cs="宋体"/>
          <w:sz w:val="32"/>
          <w:szCs w:val="32"/>
          <w:highlight w:val="none"/>
        </w:rPr>
        <w:fldChar w:fldCharType="separate"/>
      </w:r>
      <w:r>
        <w:rPr>
          <w:rFonts w:hint="eastAsia" w:cs="宋体"/>
          <w:sz w:val="32"/>
          <w:szCs w:val="32"/>
          <w:highlight w:val="none"/>
        </w:rPr>
        <w:t>82</w:t>
      </w:r>
      <w:r>
        <w:rPr>
          <w:rFonts w:hint="eastAsia" w:cs="宋体"/>
          <w:sz w:val="32"/>
          <w:szCs w:val="32"/>
          <w:highlight w:val="none"/>
        </w:rPr>
        <w:fldChar w:fldCharType="end"/>
      </w:r>
      <w:r>
        <w:rPr>
          <w:rFonts w:hint="eastAsia" w:cs="宋体"/>
          <w:sz w:val="32"/>
          <w:szCs w:val="32"/>
          <w:highlight w:val="none"/>
        </w:rPr>
        <w:fldChar w:fldCharType="end"/>
      </w:r>
    </w:p>
    <w:p>
      <w:pPr>
        <w:pStyle w:val="31"/>
        <w:spacing w:line="480" w:lineRule="auto"/>
        <w:rPr>
          <w:rFonts w:cs="宋体"/>
          <w:b w:val="0"/>
          <w:highlight w:val="none"/>
        </w:rPr>
      </w:pPr>
      <w:r>
        <w:rPr>
          <w:rFonts w:hint="eastAsia" w:cs="宋体"/>
          <w:sz w:val="32"/>
          <w:szCs w:val="40"/>
          <w:highlight w:val="none"/>
        </w:rPr>
        <w:fldChar w:fldCharType="end"/>
      </w:r>
    </w:p>
    <w:p>
      <w:pPr>
        <w:spacing w:line="360" w:lineRule="auto"/>
        <w:jc w:val="center"/>
        <w:outlineLvl w:val="0"/>
        <w:rPr>
          <w:rFonts w:ascii="宋体" w:hAnsi="宋体" w:cs="宋体"/>
          <w:b/>
          <w:sz w:val="36"/>
          <w:szCs w:val="36"/>
          <w:highlight w:val="none"/>
        </w:rPr>
        <w:sectPr>
          <w:footerReference r:id="rId8" w:type="default"/>
          <w:pgSz w:w="11907" w:h="16840"/>
          <w:pgMar w:top="1418" w:right="946" w:bottom="1418" w:left="1501" w:header="851" w:footer="851" w:gutter="0"/>
          <w:pgNumType w:start="1"/>
          <w:cols w:space="720" w:num="1"/>
          <w:docGrid w:linePitch="462" w:charSpace="0"/>
        </w:sectPr>
      </w:pPr>
      <w:bookmarkStart w:id="7" w:name="_Toc21812"/>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t>第一章   投标邀请</w:t>
      </w:r>
      <w:bookmarkEnd w:id="7"/>
    </w:p>
    <w:p>
      <w:pPr>
        <w:spacing w:line="360" w:lineRule="auto"/>
        <w:ind w:firstLine="640" w:firstLineChars="200"/>
        <w:rPr>
          <w:rFonts w:ascii="宋体" w:hAnsi="宋体" w:cs="宋体"/>
          <w:sz w:val="32"/>
          <w:szCs w:val="32"/>
          <w:highlight w:val="none"/>
        </w:rPr>
      </w:pPr>
    </w:p>
    <w:p>
      <w:pPr>
        <w:pStyle w:val="3"/>
        <w:spacing w:before="0" w:line="360" w:lineRule="auto"/>
        <w:jc w:val="left"/>
        <w:rPr>
          <w:rFonts w:ascii="宋体" w:hAnsi="宋体" w:eastAsia="宋体" w:cs="宋体"/>
          <w:sz w:val="24"/>
          <w:szCs w:val="24"/>
          <w:highlight w:val="none"/>
        </w:rPr>
      </w:pPr>
      <w:bookmarkStart w:id="8" w:name="_Toc35393790"/>
      <w:bookmarkStart w:id="9" w:name="_Toc35393621"/>
      <w:bookmarkStart w:id="10" w:name="_Toc28359002"/>
      <w:bookmarkStart w:id="11" w:name="_Toc28359079"/>
      <w:bookmarkStart w:id="12" w:name="_Hlk24379207"/>
      <w:r>
        <w:rPr>
          <w:rFonts w:hint="eastAsia" w:ascii="宋体" w:hAnsi="宋体" w:eastAsia="宋体" w:cs="宋体"/>
          <w:sz w:val="24"/>
          <w:szCs w:val="24"/>
          <w:highlight w:val="none"/>
        </w:rPr>
        <w:t>一、项目基本情况</w:t>
      </w:r>
      <w:bookmarkEnd w:id="8"/>
      <w:bookmarkEnd w:id="9"/>
      <w:bookmarkEnd w:id="10"/>
      <w:bookmarkEnd w:id="11"/>
    </w:p>
    <w:p>
      <w:pPr>
        <w:spacing w:line="360" w:lineRule="auto"/>
        <w:ind w:firstLine="480" w:firstLineChars="200"/>
        <w:rPr>
          <w:rFonts w:ascii="宋体" w:hAnsi="宋体" w:cs="宋体"/>
          <w:sz w:val="24"/>
          <w:highlight w:val="none"/>
        </w:rPr>
      </w:pPr>
      <w:r>
        <w:rPr>
          <w:rFonts w:hint="eastAsia" w:ascii="宋体" w:hAnsi="宋体" w:cs="宋体"/>
          <w:sz w:val="24"/>
          <w:highlight w:val="none"/>
        </w:rPr>
        <w:t>1.项目编号：11011324210200013800-XM001</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2.项目名称：大剧院市场化运营项目</w:t>
      </w:r>
    </w:p>
    <w:bookmarkEnd w:id="12"/>
    <w:p>
      <w:pPr>
        <w:spacing w:line="360" w:lineRule="auto"/>
        <w:ind w:right="-168" w:rightChars="-80" w:firstLine="480" w:firstLineChars="200"/>
        <w:rPr>
          <w:rFonts w:ascii="宋体" w:hAnsi="宋体" w:cs="宋体"/>
          <w:sz w:val="24"/>
          <w:highlight w:val="none"/>
        </w:rPr>
      </w:pPr>
      <w:r>
        <w:rPr>
          <w:rFonts w:hint="eastAsia" w:ascii="宋体" w:hAnsi="宋体" w:cs="宋体"/>
          <w:sz w:val="24"/>
          <w:highlight w:val="none"/>
        </w:rPr>
        <w:t>3.项目预算金额：</w:t>
      </w:r>
      <w:r>
        <w:rPr>
          <w:rFonts w:hint="eastAsia" w:ascii="宋体" w:hAnsi="宋体" w:cs="宋体"/>
          <w:sz w:val="24"/>
          <w:highlight w:val="none"/>
          <w:u w:val="single"/>
        </w:rPr>
        <w:t xml:space="preserve"> 1436.8</w:t>
      </w:r>
      <w:r>
        <w:rPr>
          <w:rFonts w:hint="eastAsia" w:ascii="宋体" w:hAnsi="宋体" w:cs="宋体"/>
          <w:sz w:val="24"/>
          <w:highlight w:val="none"/>
        </w:rPr>
        <w:t>万元、项目最高限价（如有）：</w:t>
      </w:r>
      <w:r>
        <w:rPr>
          <w:rFonts w:hint="eastAsia" w:ascii="宋体" w:hAnsi="宋体" w:cs="宋体"/>
          <w:sz w:val="24"/>
          <w:highlight w:val="none"/>
          <w:u w:val="single"/>
        </w:rPr>
        <w:t>1436.8</w:t>
      </w:r>
      <w:r>
        <w:rPr>
          <w:rFonts w:hint="eastAsia" w:ascii="宋体" w:hAnsi="宋体" w:cs="宋体"/>
          <w:sz w:val="24"/>
          <w:highlight w:val="none"/>
        </w:rPr>
        <w:t>万元</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4.采购需求：</w:t>
      </w:r>
    </w:p>
    <w:tbl>
      <w:tblPr>
        <w:tblStyle w:val="46"/>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2"/>
        <w:gridCol w:w="2049"/>
        <w:gridCol w:w="839"/>
        <w:gridCol w:w="794"/>
        <w:gridCol w:w="3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792" w:type="dxa"/>
            <w:vAlign w:val="center"/>
          </w:tcPr>
          <w:p>
            <w:pPr>
              <w:jc w:val="center"/>
              <w:rPr>
                <w:rFonts w:ascii="宋体" w:hAnsi="宋体" w:cs="宋体"/>
                <w:sz w:val="24"/>
                <w:highlight w:val="none"/>
              </w:rPr>
            </w:pPr>
            <w:r>
              <w:rPr>
                <w:rFonts w:hint="eastAsia" w:ascii="宋体" w:hAnsi="宋体" w:cs="宋体"/>
                <w:bCs/>
                <w:sz w:val="24"/>
                <w:highlight w:val="none"/>
              </w:rPr>
              <w:t>项目名称</w:t>
            </w:r>
          </w:p>
        </w:tc>
        <w:tc>
          <w:tcPr>
            <w:tcW w:w="2049" w:type="dxa"/>
            <w:shd w:val="clear" w:color="auto" w:fill="auto"/>
            <w:vAlign w:val="center"/>
          </w:tcPr>
          <w:p>
            <w:pPr>
              <w:jc w:val="center"/>
              <w:rPr>
                <w:rFonts w:ascii="宋体" w:hAnsi="宋体" w:cs="宋体"/>
                <w:sz w:val="24"/>
                <w:highlight w:val="none"/>
              </w:rPr>
            </w:pPr>
            <w:r>
              <w:rPr>
                <w:rFonts w:hint="eastAsia" w:ascii="宋体" w:hAnsi="宋体" w:cs="宋体"/>
                <w:bCs/>
                <w:sz w:val="24"/>
                <w:highlight w:val="none"/>
              </w:rPr>
              <w:t>采购包预算金额及最高限价</w:t>
            </w:r>
          </w:p>
        </w:tc>
        <w:tc>
          <w:tcPr>
            <w:tcW w:w="839" w:type="dxa"/>
            <w:vAlign w:val="center"/>
          </w:tcPr>
          <w:p>
            <w:pPr>
              <w:jc w:val="center"/>
              <w:rPr>
                <w:rFonts w:ascii="宋体" w:hAnsi="宋体" w:cs="宋体"/>
                <w:sz w:val="24"/>
                <w:highlight w:val="none"/>
              </w:rPr>
            </w:pPr>
            <w:r>
              <w:rPr>
                <w:rFonts w:hint="eastAsia" w:ascii="宋体" w:hAnsi="宋体" w:cs="宋体"/>
                <w:bCs/>
                <w:sz w:val="24"/>
                <w:highlight w:val="none"/>
              </w:rPr>
              <w:t>数量</w:t>
            </w:r>
          </w:p>
        </w:tc>
        <w:tc>
          <w:tcPr>
            <w:tcW w:w="794" w:type="dxa"/>
            <w:vAlign w:val="center"/>
          </w:tcPr>
          <w:p>
            <w:pPr>
              <w:jc w:val="center"/>
              <w:rPr>
                <w:rFonts w:ascii="宋体" w:hAnsi="宋体" w:cs="宋体"/>
                <w:bCs/>
                <w:sz w:val="24"/>
                <w:highlight w:val="none"/>
              </w:rPr>
            </w:pPr>
            <w:r>
              <w:rPr>
                <w:rFonts w:hint="eastAsia" w:ascii="宋体" w:hAnsi="宋体" w:cs="宋体"/>
                <w:bCs/>
                <w:sz w:val="24"/>
                <w:highlight w:val="none"/>
              </w:rPr>
              <w:t>服务地点</w:t>
            </w:r>
          </w:p>
        </w:tc>
        <w:tc>
          <w:tcPr>
            <w:tcW w:w="3363" w:type="dxa"/>
            <w:shd w:val="clear" w:color="auto" w:fill="auto"/>
            <w:vAlign w:val="center"/>
          </w:tcPr>
          <w:p>
            <w:pPr>
              <w:jc w:val="center"/>
              <w:rPr>
                <w:rFonts w:ascii="宋体" w:hAnsi="宋体" w:cs="宋体"/>
                <w:sz w:val="24"/>
                <w:highlight w:val="none"/>
              </w:rPr>
            </w:pPr>
            <w:r>
              <w:rPr>
                <w:rFonts w:hint="eastAsia" w:ascii="宋体" w:hAnsi="宋体" w:cs="宋体"/>
                <w:sz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2" w:hRule="atLeast"/>
          <w:jc w:val="center"/>
        </w:trPr>
        <w:tc>
          <w:tcPr>
            <w:tcW w:w="1792" w:type="dxa"/>
            <w:vAlign w:val="center"/>
          </w:tcPr>
          <w:p>
            <w:pPr>
              <w:jc w:val="center"/>
              <w:rPr>
                <w:rFonts w:ascii="宋体" w:hAnsi="宋体" w:cs="宋体"/>
                <w:sz w:val="24"/>
                <w:highlight w:val="none"/>
              </w:rPr>
            </w:pPr>
            <w:r>
              <w:rPr>
                <w:rFonts w:hint="eastAsia" w:ascii="宋体" w:hAnsi="宋体" w:cs="宋体"/>
                <w:sz w:val="24"/>
                <w:highlight w:val="none"/>
              </w:rPr>
              <w:t>大剧院市场化运营项目</w:t>
            </w:r>
          </w:p>
        </w:tc>
        <w:tc>
          <w:tcPr>
            <w:tcW w:w="2049" w:type="dxa"/>
            <w:shd w:val="clear" w:color="auto" w:fill="auto"/>
            <w:vAlign w:val="center"/>
          </w:tcPr>
          <w:p>
            <w:pPr>
              <w:jc w:val="center"/>
              <w:rPr>
                <w:rFonts w:ascii="宋体" w:hAnsi="宋体" w:cs="宋体"/>
                <w:highlight w:val="none"/>
              </w:rPr>
            </w:pPr>
            <w:r>
              <w:rPr>
                <w:rFonts w:hint="eastAsia" w:ascii="宋体" w:hAnsi="宋体" w:cs="宋体"/>
                <w:sz w:val="24"/>
                <w:highlight w:val="none"/>
                <w:u w:val="single"/>
              </w:rPr>
              <w:t>1436.8</w:t>
            </w:r>
            <w:r>
              <w:rPr>
                <w:rFonts w:hint="eastAsia" w:ascii="宋体" w:hAnsi="宋体" w:cs="宋体"/>
                <w:sz w:val="24"/>
                <w:highlight w:val="none"/>
              </w:rPr>
              <w:t>万元</w:t>
            </w:r>
          </w:p>
        </w:tc>
        <w:tc>
          <w:tcPr>
            <w:tcW w:w="839" w:type="dxa"/>
            <w:vAlign w:val="center"/>
          </w:tcPr>
          <w:p>
            <w:pPr>
              <w:jc w:val="center"/>
              <w:rPr>
                <w:rFonts w:ascii="宋体" w:hAnsi="宋体" w:cs="宋体"/>
                <w:sz w:val="24"/>
                <w:highlight w:val="none"/>
              </w:rPr>
            </w:pPr>
            <w:r>
              <w:rPr>
                <w:rFonts w:hint="eastAsia" w:ascii="宋体" w:hAnsi="宋体" w:cs="宋体"/>
                <w:sz w:val="24"/>
                <w:highlight w:val="none"/>
              </w:rPr>
              <w:t>1项</w:t>
            </w:r>
          </w:p>
        </w:tc>
        <w:tc>
          <w:tcPr>
            <w:tcW w:w="794" w:type="dxa"/>
            <w:vAlign w:val="center"/>
          </w:tcPr>
          <w:p>
            <w:pPr>
              <w:jc w:val="center"/>
              <w:rPr>
                <w:rFonts w:ascii="宋体" w:hAnsi="宋体" w:cs="宋体"/>
                <w:sz w:val="24"/>
                <w:highlight w:val="none"/>
              </w:rPr>
            </w:pPr>
            <w:r>
              <w:rPr>
                <w:rFonts w:hint="eastAsia" w:ascii="宋体" w:hAnsi="宋体" w:cs="宋体"/>
                <w:sz w:val="24"/>
                <w:highlight w:val="none"/>
              </w:rPr>
              <w:t>顺义区大剧院</w:t>
            </w:r>
          </w:p>
        </w:tc>
        <w:tc>
          <w:tcPr>
            <w:tcW w:w="3363" w:type="dxa"/>
            <w:shd w:val="clear" w:color="auto" w:fill="auto"/>
            <w:vAlign w:val="center"/>
          </w:tcPr>
          <w:p>
            <w:pPr>
              <w:ind w:firstLine="480" w:firstLineChars="200"/>
              <w:rPr>
                <w:rFonts w:ascii="宋体" w:hAnsi="宋体" w:cs="宋体"/>
                <w:sz w:val="24"/>
                <w:highlight w:val="none"/>
              </w:rPr>
            </w:pPr>
            <w:r>
              <w:rPr>
                <w:rFonts w:hint="eastAsia" w:ascii="宋体" w:hAnsi="宋体" w:cs="宋体"/>
                <w:sz w:val="24"/>
                <w:highlight w:val="none"/>
              </w:rPr>
              <w:t>本项目服务内容包括但不限于运营管理期内的演出组织、策划、实施、票务经营(包括自营演出、公益</w:t>
            </w:r>
            <w:r>
              <w:rPr>
                <w:rFonts w:hint="eastAsia" w:ascii="宋体" w:hAnsi="宋体" w:cs="宋体"/>
                <w:sz w:val="24"/>
                <w:highlight w:val="none"/>
                <w:lang w:val="en-US" w:eastAsia="zh-CN"/>
              </w:rPr>
              <w:t>活动</w:t>
            </w:r>
            <w:r>
              <w:rPr>
                <w:rFonts w:hint="eastAsia" w:ascii="宋体" w:hAnsi="宋体" w:cs="宋体"/>
                <w:sz w:val="24"/>
                <w:highlight w:val="none"/>
              </w:rPr>
              <w:t>、租场演出等)，日常事务管理和参观来访、交流的接待和配合重大节假日活动、政府活动，知识产权保护，场地设备租借管理，设备设施及各类器材维护保养，资产管理，能源管理，物业管理，安全管理等。详见招标文件采购需求</w:t>
            </w:r>
          </w:p>
        </w:tc>
      </w:tr>
    </w:tbl>
    <w:p>
      <w:pPr>
        <w:spacing w:line="360" w:lineRule="auto"/>
        <w:ind w:firstLine="480" w:firstLineChars="200"/>
        <w:rPr>
          <w:rFonts w:ascii="宋体" w:hAnsi="宋体" w:cs="宋体"/>
          <w:sz w:val="24"/>
          <w:highlight w:val="none"/>
        </w:rPr>
      </w:pPr>
      <w:r>
        <w:rPr>
          <w:rFonts w:hint="eastAsia" w:ascii="宋体" w:hAnsi="宋体" w:cs="宋体"/>
          <w:sz w:val="24"/>
          <w:highlight w:val="none"/>
        </w:rPr>
        <w:t>5.合同履行期</w:t>
      </w:r>
      <w:r>
        <w:rPr>
          <w:rFonts w:hint="eastAsia" w:ascii="宋体" w:hAnsi="宋体" w:cs="宋体"/>
          <w:color w:val="auto"/>
          <w:sz w:val="24"/>
          <w:highlight w:val="none"/>
        </w:rPr>
        <w:t>限：2年（具体</w:t>
      </w:r>
      <w:r>
        <w:rPr>
          <w:rFonts w:hint="eastAsia" w:ascii="宋体" w:hAnsi="宋体" w:cs="宋体"/>
          <w:sz w:val="24"/>
          <w:highlight w:val="none"/>
        </w:rPr>
        <w:t>以合同签订日期为准）。</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6.本项目是否接受联合体投标：</w:t>
      </w:r>
      <w:r>
        <w:rPr>
          <w:rFonts w:hint="eastAsia" w:ascii="宋体" w:hAnsi="宋体" w:cs="宋体"/>
          <w:sz w:val="24"/>
          <w:highlight w:val="none"/>
        </w:rPr>
        <w:sym w:font="Wingdings 2" w:char="00A3"/>
      </w:r>
      <w:r>
        <w:rPr>
          <w:rFonts w:hint="eastAsia" w:ascii="宋体" w:hAnsi="宋体" w:cs="宋体"/>
          <w:sz w:val="24"/>
          <w:highlight w:val="none"/>
        </w:rPr>
        <w:t>是  ■否。</w:t>
      </w:r>
    </w:p>
    <w:p>
      <w:pPr>
        <w:pStyle w:val="3"/>
        <w:spacing w:before="0" w:line="360" w:lineRule="auto"/>
        <w:jc w:val="left"/>
        <w:rPr>
          <w:rFonts w:ascii="宋体" w:hAnsi="宋体" w:eastAsia="宋体" w:cs="宋体"/>
          <w:sz w:val="24"/>
          <w:szCs w:val="24"/>
          <w:highlight w:val="none"/>
        </w:rPr>
      </w:pPr>
      <w:bookmarkStart w:id="13" w:name="_Toc35393622"/>
      <w:bookmarkStart w:id="14" w:name="_Toc35393791"/>
      <w:bookmarkStart w:id="15" w:name="_Toc28359080"/>
      <w:bookmarkStart w:id="16" w:name="_Toc28359003"/>
      <w:r>
        <w:rPr>
          <w:rFonts w:hint="eastAsia" w:ascii="宋体" w:hAnsi="宋体" w:eastAsia="宋体" w:cs="宋体"/>
          <w:sz w:val="24"/>
          <w:szCs w:val="24"/>
          <w:highlight w:val="none"/>
        </w:rPr>
        <w:t>二、申请人的资格要求（须同时满足）</w:t>
      </w:r>
      <w:bookmarkEnd w:id="13"/>
      <w:bookmarkEnd w:id="14"/>
      <w:bookmarkEnd w:id="15"/>
      <w:bookmarkEnd w:id="16"/>
    </w:p>
    <w:p>
      <w:pPr>
        <w:spacing w:line="360" w:lineRule="auto"/>
        <w:rPr>
          <w:rFonts w:ascii="宋体" w:hAnsi="宋体" w:cs="宋体"/>
          <w:sz w:val="24"/>
          <w:szCs w:val="32"/>
          <w:highlight w:val="none"/>
        </w:rPr>
      </w:pPr>
      <w:r>
        <w:rPr>
          <w:rFonts w:hint="eastAsia" w:ascii="宋体" w:hAnsi="宋体" w:cs="宋体"/>
          <w:sz w:val="24"/>
          <w:szCs w:val="32"/>
          <w:highlight w:val="none"/>
        </w:rPr>
        <w:t>1.满足《中华人民共和国政府采购法》第二十二条规定；</w:t>
      </w:r>
    </w:p>
    <w:p>
      <w:pPr>
        <w:spacing w:line="360" w:lineRule="auto"/>
        <w:rPr>
          <w:rFonts w:ascii="宋体" w:hAnsi="宋体" w:cs="宋体"/>
          <w:sz w:val="24"/>
          <w:szCs w:val="32"/>
          <w:highlight w:val="none"/>
        </w:rPr>
      </w:pPr>
      <w:bookmarkStart w:id="17" w:name="_Toc28359004"/>
      <w:bookmarkStart w:id="18" w:name="_Toc28359081"/>
      <w:r>
        <w:rPr>
          <w:rFonts w:hint="eastAsia" w:ascii="宋体" w:hAnsi="宋体" w:cs="宋体"/>
          <w:sz w:val="24"/>
          <w:szCs w:val="32"/>
          <w:highlight w:val="none"/>
        </w:rPr>
        <w:t>2.落实政府采购政策需满足的资格要求：</w:t>
      </w:r>
    </w:p>
    <w:p>
      <w:pPr>
        <w:spacing w:line="360" w:lineRule="auto"/>
        <w:rPr>
          <w:rFonts w:ascii="宋体" w:hAnsi="宋体" w:cs="宋体"/>
          <w:sz w:val="24"/>
          <w:szCs w:val="32"/>
          <w:highlight w:val="none"/>
        </w:rPr>
      </w:pPr>
      <w:r>
        <w:rPr>
          <w:rFonts w:hint="eastAsia" w:ascii="宋体" w:hAnsi="宋体" w:cs="宋体"/>
          <w:sz w:val="24"/>
          <w:szCs w:val="32"/>
          <w:highlight w:val="none"/>
        </w:rPr>
        <w:t>2.1 中小企业政策</w:t>
      </w:r>
    </w:p>
    <w:p>
      <w:pPr>
        <w:spacing w:line="360" w:lineRule="auto"/>
        <w:rPr>
          <w:rFonts w:ascii="宋体" w:hAnsi="宋体" w:cs="宋体"/>
          <w:sz w:val="24"/>
          <w:szCs w:val="32"/>
          <w:highlight w:val="none"/>
        </w:rPr>
      </w:pPr>
      <w:r>
        <w:rPr>
          <w:rFonts w:hint="eastAsia" w:ascii="宋体" w:hAnsi="宋体" w:cs="宋体"/>
          <w:sz w:val="24"/>
          <w:szCs w:val="32"/>
          <w:highlight w:val="none"/>
        </w:rPr>
        <w:sym w:font="Wingdings 2" w:char="00A3"/>
      </w:r>
      <w:r>
        <w:rPr>
          <w:rFonts w:hint="eastAsia" w:ascii="宋体" w:hAnsi="宋体" w:cs="宋体"/>
          <w:sz w:val="24"/>
          <w:szCs w:val="32"/>
          <w:highlight w:val="none"/>
        </w:rPr>
        <w:t>本项目不专门面向中小企业预留采购份额。</w:t>
      </w:r>
    </w:p>
    <w:p>
      <w:pPr>
        <w:spacing w:line="360" w:lineRule="auto"/>
        <w:rPr>
          <w:rFonts w:ascii="宋体" w:hAnsi="宋体" w:cs="宋体"/>
          <w:sz w:val="24"/>
          <w:szCs w:val="32"/>
          <w:highlight w:val="none"/>
        </w:rPr>
      </w:pPr>
      <w:r>
        <w:rPr>
          <w:rFonts w:hint="eastAsia" w:ascii="宋体" w:hAnsi="宋体" w:cs="宋体"/>
          <w:sz w:val="24"/>
          <w:szCs w:val="32"/>
          <w:highlight w:val="none"/>
        </w:rPr>
        <w:t xml:space="preserve">■本项目专门面向  </w:t>
      </w:r>
      <w:r>
        <w:rPr>
          <w:rFonts w:hint="eastAsia" w:ascii="宋体" w:hAnsi="宋体" w:cs="宋体"/>
          <w:sz w:val="24"/>
          <w:szCs w:val="32"/>
          <w:highlight w:val="none"/>
        </w:rPr>
        <w:sym w:font="Wingdings 2" w:char="00A3"/>
      </w:r>
      <w:r>
        <w:rPr>
          <w:rFonts w:hint="eastAsia" w:ascii="宋体" w:hAnsi="宋体" w:cs="宋体"/>
          <w:sz w:val="24"/>
          <w:szCs w:val="32"/>
          <w:highlight w:val="none"/>
        </w:rPr>
        <w:t>中小 ■小微企业  采购。即：提供的货物全部由符合政策要求的中小/小微企业制造、服务全部由符合政策要求的中小/小微企业承接。</w:t>
      </w:r>
    </w:p>
    <w:p>
      <w:pPr>
        <w:spacing w:line="360" w:lineRule="auto"/>
        <w:rPr>
          <w:rFonts w:ascii="宋体" w:hAnsi="宋体" w:cs="宋体"/>
          <w:sz w:val="24"/>
          <w:szCs w:val="32"/>
          <w:highlight w:val="none"/>
        </w:rPr>
      </w:pPr>
      <w:r>
        <w:rPr>
          <w:rFonts w:hint="eastAsia" w:ascii="宋体" w:hAnsi="宋体" w:cs="宋体"/>
          <w:sz w:val="24"/>
          <w:szCs w:val="32"/>
          <w:highlight w:val="none"/>
        </w:rPr>
        <w:t>□本项目预留部分采购项目预算专门面向中小企业采购。对于预留份额，提供的货物由符合政策要求的中小企业制造、服务由符合政策要求的中小企业承接。预留份额通过以下措施进行：____/___。</w:t>
      </w:r>
    </w:p>
    <w:p>
      <w:pPr>
        <w:spacing w:line="360" w:lineRule="auto"/>
        <w:rPr>
          <w:rFonts w:ascii="宋体" w:hAnsi="宋体" w:cs="宋体"/>
          <w:sz w:val="24"/>
          <w:szCs w:val="32"/>
          <w:highlight w:val="none"/>
        </w:rPr>
      </w:pPr>
      <w:r>
        <w:rPr>
          <w:rFonts w:hint="eastAsia" w:ascii="宋体" w:hAnsi="宋体" w:cs="宋体"/>
          <w:sz w:val="24"/>
          <w:szCs w:val="32"/>
          <w:highlight w:val="none"/>
        </w:rPr>
        <w:t>2.2 其它落实政府采购政策的资格要求（如有）：/</w:t>
      </w:r>
    </w:p>
    <w:p>
      <w:pPr>
        <w:spacing w:line="360" w:lineRule="auto"/>
        <w:rPr>
          <w:rFonts w:ascii="宋体" w:hAnsi="宋体" w:cs="宋体"/>
          <w:sz w:val="24"/>
          <w:szCs w:val="32"/>
          <w:highlight w:val="none"/>
        </w:rPr>
      </w:pPr>
      <w:r>
        <w:rPr>
          <w:rFonts w:hint="eastAsia" w:ascii="宋体" w:hAnsi="宋体" w:cs="宋体"/>
          <w:sz w:val="24"/>
          <w:szCs w:val="32"/>
          <w:highlight w:val="none"/>
        </w:rPr>
        <w:t>3.本项目的特定资格要求：</w:t>
      </w:r>
    </w:p>
    <w:p>
      <w:pPr>
        <w:spacing w:line="360" w:lineRule="auto"/>
        <w:rPr>
          <w:rFonts w:ascii="宋体" w:hAnsi="宋体" w:cs="宋体"/>
          <w:sz w:val="24"/>
          <w:szCs w:val="32"/>
          <w:highlight w:val="none"/>
        </w:rPr>
      </w:pPr>
      <w:r>
        <w:rPr>
          <w:rFonts w:hint="eastAsia" w:ascii="宋体" w:hAnsi="宋体" w:cs="宋体"/>
          <w:sz w:val="24"/>
          <w:szCs w:val="32"/>
          <w:highlight w:val="none"/>
        </w:rPr>
        <w:t>3.1本项目是否属于政府购买服务：</w:t>
      </w:r>
    </w:p>
    <w:p>
      <w:pPr>
        <w:spacing w:line="360" w:lineRule="auto"/>
        <w:ind w:firstLine="480" w:firstLineChars="200"/>
        <w:rPr>
          <w:rFonts w:ascii="宋体" w:hAnsi="宋体" w:cs="宋体"/>
          <w:sz w:val="24"/>
          <w:szCs w:val="32"/>
          <w:highlight w:val="none"/>
        </w:rPr>
      </w:pPr>
      <w:r>
        <w:rPr>
          <w:rFonts w:hint="eastAsia" w:ascii="宋体" w:hAnsi="宋体" w:cs="宋体"/>
          <w:sz w:val="24"/>
          <w:szCs w:val="32"/>
          <w:highlight w:val="none"/>
        </w:rPr>
        <w:t>□否</w:t>
      </w:r>
    </w:p>
    <w:p>
      <w:pPr>
        <w:spacing w:line="360" w:lineRule="auto"/>
        <w:ind w:firstLine="480" w:firstLineChars="200"/>
        <w:rPr>
          <w:rFonts w:ascii="宋体" w:hAnsi="宋体" w:cs="宋体"/>
          <w:sz w:val="24"/>
          <w:szCs w:val="32"/>
          <w:highlight w:val="none"/>
        </w:rPr>
      </w:pPr>
      <w:r>
        <w:rPr>
          <w:rFonts w:hint="eastAsia" w:ascii="宋体" w:hAnsi="宋体" w:cs="宋体"/>
          <w:sz w:val="24"/>
          <w:szCs w:val="32"/>
          <w:highlight w:val="none"/>
        </w:rPr>
        <w:t>■是，公益一类事业单位、使用事业编制且由财政拨款保障的群团组织，不得作为承接主体；</w:t>
      </w:r>
    </w:p>
    <w:p>
      <w:pPr>
        <w:pStyle w:val="56"/>
        <w:spacing w:line="360" w:lineRule="auto"/>
        <w:ind w:left="410" w:hanging="410"/>
        <w:rPr>
          <w:rFonts w:ascii="宋体" w:cs="宋体"/>
          <w:sz w:val="24"/>
          <w:szCs w:val="32"/>
          <w:highlight w:val="none"/>
        </w:rPr>
      </w:pPr>
      <w:r>
        <w:rPr>
          <w:rFonts w:hint="eastAsia" w:ascii="宋体" w:cs="宋体"/>
          <w:sz w:val="24"/>
          <w:szCs w:val="32"/>
          <w:highlight w:val="none"/>
        </w:rPr>
        <w:t>3.2其他特定资格要求：</w:t>
      </w:r>
    </w:p>
    <w:p>
      <w:pPr>
        <w:pStyle w:val="56"/>
        <w:spacing w:line="360" w:lineRule="auto"/>
        <w:ind w:left="410" w:hanging="410"/>
        <w:rPr>
          <w:rFonts w:ascii="宋体" w:cs="宋体"/>
          <w:sz w:val="24"/>
          <w:szCs w:val="32"/>
          <w:highlight w:val="none"/>
        </w:rPr>
      </w:pPr>
      <w:r>
        <w:rPr>
          <w:rFonts w:hint="eastAsia" w:ascii="宋体" w:cs="宋体"/>
          <w:sz w:val="24"/>
          <w:szCs w:val="32"/>
          <w:highlight w:val="none"/>
        </w:rPr>
        <w:t>3.2.1投标人需具有文化行政主管部门颁发的有效《营业性演出许可证》</w:t>
      </w:r>
    </w:p>
    <w:p>
      <w:pPr>
        <w:pStyle w:val="56"/>
        <w:spacing w:line="360" w:lineRule="auto"/>
        <w:ind w:left="410" w:hanging="410"/>
        <w:rPr>
          <w:rFonts w:ascii="宋体" w:cs="宋体"/>
          <w:sz w:val="24"/>
          <w:szCs w:val="32"/>
          <w:highlight w:val="none"/>
        </w:rPr>
      </w:pPr>
      <w:r>
        <w:rPr>
          <w:rFonts w:hint="eastAsia" w:ascii="宋体" w:cs="宋体"/>
          <w:sz w:val="24"/>
          <w:szCs w:val="32"/>
          <w:highlight w:val="none"/>
        </w:rPr>
        <w:t>3.2.2本项目招标公告发布之日前三年内投标人及其法定代表人未被中国裁判文书网列入行贿犯罪行为。</w:t>
      </w:r>
    </w:p>
    <w:bookmarkEnd w:id="17"/>
    <w:bookmarkEnd w:id="18"/>
    <w:p>
      <w:pPr>
        <w:pStyle w:val="3"/>
        <w:widowControl/>
        <w:spacing w:before="0" w:line="360" w:lineRule="auto"/>
        <w:jc w:val="left"/>
        <w:rPr>
          <w:rFonts w:ascii="宋体" w:hAnsi="宋体" w:eastAsia="宋体" w:cs="宋体"/>
          <w:sz w:val="24"/>
          <w:szCs w:val="24"/>
          <w:highlight w:val="none"/>
        </w:rPr>
      </w:pPr>
      <w:bookmarkStart w:id="19" w:name="_Toc35393792"/>
      <w:bookmarkStart w:id="20" w:name="_Toc35393623"/>
      <w:r>
        <w:rPr>
          <w:rFonts w:hint="eastAsia" w:ascii="宋体" w:hAnsi="宋体" w:eastAsia="宋体" w:cs="宋体"/>
          <w:sz w:val="24"/>
          <w:szCs w:val="24"/>
          <w:highlight w:val="none"/>
        </w:rPr>
        <w:t>三、获取招标文件</w:t>
      </w:r>
      <w:bookmarkEnd w:id="19"/>
      <w:bookmarkEnd w:id="20"/>
    </w:p>
    <w:p>
      <w:pPr>
        <w:spacing w:line="360" w:lineRule="auto"/>
        <w:ind w:firstLine="480" w:firstLineChars="200"/>
        <w:rPr>
          <w:rFonts w:ascii="宋体" w:hAnsi="宋体" w:cs="宋体"/>
          <w:sz w:val="24"/>
          <w:szCs w:val="32"/>
          <w:highlight w:val="none"/>
        </w:rPr>
      </w:pPr>
      <w:r>
        <w:rPr>
          <w:rFonts w:hint="eastAsia" w:ascii="宋体" w:hAnsi="宋体" w:cs="宋体"/>
          <w:sz w:val="24"/>
          <w:szCs w:val="32"/>
          <w:highlight w:val="none"/>
        </w:rPr>
        <w:t>1.时间：2024年</w:t>
      </w:r>
      <w:r>
        <w:rPr>
          <w:rFonts w:hint="eastAsia" w:ascii="宋体" w:hAnsi="宋体" w:cs="宋体"/>
          <w:sz w:val="24"/>
          <w:szCs w:val="32"/>
          <w:highlight w:val="none"/>
          <w:lang w:val="en-US" w:eastAsia="zh-CN"/>
        </w:rPr>
        <w:t>4</w:t>
      </w:r>
      <w:r>
        <w:rPr>
          <w:rFonts w:hint="eastAsia" w:ascii="宋体" w:hAnsi="宋体" w:cs="宋体"/>
          <w:sz w:val="24"/>
          <w:szCs w:val="32"/>
          <w:highlight w:val="none"/>
        </w:rPr>
        <w:t>月</w:t>
      </w:r>
      <w:r>
        <w:rPr>
          <w:rFonts w:hint="eastAsia" w:ascii="宋体" w:hAnsi="宋体" w:cs="宋体"/>
          <w:sz w:val="24"/>
          <w:szCs w:val="32"/>
          <w:highlight w:val="none"/>
          <w:lang w:val="en-US" w:eastAsia="zh-CN"/>
        </w:rPr>
        <w:t>30</w:t>
      </w:r>
      <w:r>
        <w:rPr>
          <w:rFonts w:hint="eastAsia" w:ascii="宋体" w:hAnsi="宋体" w:cs="宋体"/>
          <w:sz w:val="24"/>
          <w:szCs w:val="32"/>
          <w:highlight w:val="none"/>
        </w:rPr>
        <w:t>日至2024年</w:t>
      </w:r>
      <w:r>
        <w:rPr>
          <w:rFonts w:hint="eastAsia" w:ascii="宋体" w:hAnsi="宋体" w:cs="宋体"/>
          <w:sz w:val="24"/>
          <w:szCs w:val="32"/>
          <w:highlight w:val="none"/>
          <w:lang w:val="en-US" w:eastAsia="zh-CN"/>
        </w:rPr>
        <w:t>5</w:t>
      </w:r>
      <w:r>
        <w:rPr>
          <w:rFonts w:hint="eastAsia" w:ascii="宋体" w:hAnsi="宋体" w:cs="宋体"/>
          <w:sz w:val="24"/>
          <w:szCs w:val="32"/>
          <w:highlight w:val="none"/>
        </w:rPr>
        <w:t>月</w:t>
      </w:r>
      <w:r>
        <w:rPr>
          <w:rFonts w:hint="eastAsia" w:ascii="宋体" w:hAnsi="宋体" w:cs="宋体"/>
          <w:sz w:val="24"/>
          <w:szCs w:val="32"/>
          <w:highlight w:val="none"/>
          <w:lang w:val="en-US" w:eastAsia="zh-CN"/>
        </w:rPr>
        <w:t>9</w:t>
      </w:r>
      <w:r>
        <w:rPr>
          <w:rFonts w:hint="eastAsia" w:ascii="宋体" w:hAnsi="宋体" w:cs="宋体"/>
          <w:sz w:val="24"/>
          <w:szCs w:val="32"/>
          <w:highlight w:val="none"/>
        </w:rPr>
        <w:t>日，每天上午8：00至12:00，下午12:00至17:00（北京时间，法定节假日除外）。</w:t>
      </w:r>
    </w:p>
    <w:p>
      <w:pPr>
        <w:wordWrap w:val="0"/>
        <w:spacing w:line="360" w:lineRule="auto"/>
        <w:ind w:firstLine="480" w:firstLineChars="200"/>
        <w:jc w:val="left"/>
        <w:rPr>
          <w:rFonts w:ascii="宋体" w:hAnsi="宋体" w:cs="宋体"/>
          <w:sz w:val="24"/>
          <w:szCs w:val="32"/>
          <w:highlight w:val="none"/>
        </w:rPr>
      </w:pPr>
      <w:r>
        <w:rPr>
          <w:rFonts w:hint="eastAsia" w:ascii="宋体" w:hAnsi="宋体" w:cs="宋体"/>
          <w:sz w:val="24"/>
          <w:szCs w:val="32"/>
          <w:highlight w:val="none"/>
        </w:rPr>
        <w:t>2.地点：北京市政府采购电子交易平台（http://zbcg-bjzc.zhongcy.com/bjczj-portal-site/#/home）。</w:t>
      </w:r>
    </w:p>
    <w:p>
      <w:pPr>
        <w:spacing w:line="360" w:lineRule="auto"/>
        <w:ind w:firstLine="480" w:firstLineChars="200"/>
        <w:rPr>
          <w:rFonts w:ascii="宋体" w:hAnsi="宋体" w:cs="宋体"/>
          <w:sz w:val="24"/>
          <w:szCs w:val="32"/>
          <w:highlight w:val="none"/>
        </w:rPr>
      </w:pPr>
      <w:bookmarkStart w:id="21" w:name="_Toc28359082"/>
      <w:bookmarkStart w:id="22" w:name="_Toc28359005"/>
      <w:bookmarkStart w:id="23" w:name="_Toc35393624"/>
      <w:bookmarkStart w:id="24" w:name="_Toc35393793"/>
      <w:r>
        <w:rPr>
          <w:rFonts w:hint="eastAsia" w:ascii="宋体" w:hAnsi="宋体" w:cs="宋体"/>
          <w:sz w:val="24"/>
          <w:szCs w:val="32"/>
          <w:highlight w:val="none"/>
        </w:rPr>
        <w:t>3.方式：供应商使用 CA 数字证书或电子营业执照登录北京市政府采购电子交易平台（http://zbcg-bjzc.zhongcy.com/bjczj-portal-site/index.html#/home）获取电子版招标文件。</w:t>
      </w:r>
    </w:p>
    <w:p>
      <w:pPr>
        <w:spacing w:line="360" w:lineRule="auto"/>
        <w:ind w:firstLine="480" w:firstLineChars="200"/>
        <w:rPr>
          <w:rFonts w:ascii="宋体" w:hAnsi="宋体" w:cs="宋体"/>
          <w:sz w:val="24"/>
          <w:szCs w:val="32"/>
          <w:highlight w:val="none"/>
        </w:rPr>
      </w:pPr>
      <w:r>
        <w:rPr>
          <w:rFonts w:hint="eastAsia" w:ascii="宋体" w:hAnsi="宋体" w:cs="宋体"/>
          <w:sz w:val="24"/>
          <w:szCs w:val="32"/>
          <w:highlight w:val="none"/>
        </w:rPr>
        <w:t>售价：0元。</w:t>
      </w:r>
    </w:p>
    <w:p>
      <w:pPr>
        <w:pStyle w:val="3"/>
        <w:widowControl/>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四、提交投标文件</w:t>
      </w:r>
      <w:bookmarkEnd w:id="21"/>
      <w:bookmarkEnd w:id="22"/>
      <w:r>
        <w:rPr>
          <w:rFonts w:hint="eastAsia" w:ascii="宋体" w:hAnsi="宋体" w:eastAsia="宋体" w:cs="宋体"/>
          <w:sz w:val="24"/>
          <w:szCs w:val="24"/>
          <w:highlight w:val="none"/>
        </w:rPr>
        <w:t>截止时间、开标时间和地点</w:t>
      </w:r>
      <w:bookmarkEnd w:id="23"/>
      <w:bookmarkEnd w:id="24"/>
    </w:p>
    <w:p>
      <w:pPr>
        <w:spacing w:line="360" w:lineRule="auto"/>
        <w:ind w:firstLine="480" w:firstLineChars="200"/>
        <w:rPr>
          <w:rFonts w:ascii="宋体" w:hAnsi="宋体" w:cs="宋体"/>
          <w:sz w:val="24"/>
          <w:szCs w:val="32"/>
          <w:highlight w:val="none"/>
        </w:rPr>
      </w:pPr>
      <w:r>
        <w:rPr>
          <w:rFonts w:hint="eastAsia" w:ascii="宋体" w:hAnsi="宋体" w:cs="宋体"/>
          <w:sz w:val="24"/>
          <w:szCs w:val="32"/>
          <w:highlight w:val="none"/>
        </w:rPr>
        <w:t>投标截止时间、开标时间：2024年</w:t>
      </w:r>
      <w:r>
        <w:rPr>
          <w:rFonts w:hint="eastAsia" w:ascii="宋体" w:hAnsi="宋体" w:cs="宋体"/>
          <w:sz w:val="24"/>
          <w:szCs w:val="32"/>
          <w:highlight w:val="none"/>
          <w:lang w:val="en-US" w:eastAsia="zh-CN"/>
        </w:rPr>
        <w:t>5</w:t>
      </w:r>
      <w:r>
        <w:rPr>
          <w:rFonts w:hint="eastAsia" w:ascii="宋体" w:hAnsi="宋体" w:cs="宋体"/>
          <w:sz w:val="24"/>
          <w:szCs w:val="32"/>
          <w:highlight w:val="none"/>
        </w:rPr>
        <w:t>月</w:t>
      </w:r>
      <w:r>
        <w:rPr>
          <w:rFonts w:hint="eastAsia" w:ascii="宋体" w:hAnsi="宋体" w:cs="宋体"/>
          <w:sz w:val="24"/>
          <w:szCs w:val="32"/>
          <w:highlight w:val="none"/>
          <w:lang w:val="en-US" w:eastAsia="zh-CN"/>
        </w:rPr>
        <w:t>20</w:t>
      </w:r>
      <w:r>
        <w:rPr>
          <w:rFonts w:hint="eastAsia" w:ascii="宋体" w:hAnsi="宋体" w:cs="宋体"/>
          <w:sz w:val="24"/>
          <w:szCs w:val="32"/>
          <w:highlight w:val="none"/>
        </w:rPr>
        <w:t>日9点30分（北京时间）。</w:t>
      </w:r>
    </w:p>
    <w:p>
      <w:pPr>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地点：北京市顺义区复兴东街3号院顺义区政务服务中心6号电梯厅二层开标区（具体开标室见当日大屏幕）</w:t>
      </w:r>
      <w:r>
        <w:rPr>
          <w:rFonts w:hint="eastAsia" w:ascii="宋体" w:hAnsi="宋体" w:cs="宋体"/>
          <w:sz w:val="24"/>
          <w:highlight w:val="none"/>
          <w:lang w:val="zh-TW" w:bidi="ar"/>
        </w:rPr>
        <w:t>。</w:t>
      </w:r>
    </w:p>
    <w:p>
      <w:pPr>
        <w:pStyle w:val="3"/>
        <w:spacing w:before="0" w:line="360" w:lineRule="auto"/>
        <w:jc w:val="left"/>
        <w:rPr>
          <w:rFonts w:ascii="宋体" w:hAnsi="宋体" w:eastAsia="宋体" w:cs="宋体"/>
          <w:sz w:val="24"/>
          <w:szCs w:val="24"/>
          <w:highlight w:val="none"/>
        </w:rPr>
      </w:pPr>
      <w:bookmarkStart w:id="25" w:name="_Toc35393794"/>
      <w:bookmarkStart w:id="26" w:name="_Toc28359007"/>
      <w:bookmarkStart w:id="27" w:name="_Toc28359084"/>
      <w:bookmarkStart w:id="28" w:name="_Toc35393625"/>
      <w:r>
        <w:rPr>
          <w:rFonts w:hint="eastAsia" w:ascii="宋体" w:hAnsi="宋体" w:eastAsia="宋体" w:cs="宋体"/>
          <w:sz w:val="24"/>
          <w:szCs w:val="24"/>
          <w:highlight w:val="none"/>
        </w:rPr>
        <w:t>五、公告期限</w:t>
      </w:r>
      <w:bookmarkEnd w:id="25"/>
      <w:bookmarkEnd w:id="26"/>
      <w:bookmarkEnd w:id="27"/>
      <w:bookmarkEnd w:id="28"/>
    </w:p>
    <w:p>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自本公告发布之日起5个工作日。</w:t>
      </w:r>
    </w:p>
    <w:p>
      <w:pPr>
        <w:pStyle w:val="3"/>
        <w:numPr>
          <w:ilvl w:val="0"/>
          <w:numId w:val="8"/>
        </w:numPr>
        <w:spacing w:before="0" w:line="360" w:lineRule="auto"/>
        <w:jc w:val="left"/>
        <w:rPr>
          <w:rFonts w:ascii="宋体" w:hAnsi="宋体" w:eastAsia="宋体" w:cs="宋体"/>
          <w:highlight w:val="none"/>
        </w:rPr>
      </w:pPr>
      <w:bookmarkStart w:id="29" w:name="_Toc35393795"/>
      <w:bookmarkStart w:id="30" w:name="_Toc35393626"/>
      <w:r>
        <w:rPr>
          <w:rFonts w:hint="eastAsia" w:ascii="宋体" w:hAnsi="宋体" w:eastAsia="宋体" w:cs="宋体"/>
          <w:sz w:val="24"/>
          <w:szCs w:val="24"/>
          <w:highlight w:val="none"/>
        </w:rPr>
        <w:t>其他补充事宜</w:t>
      </w:r>
      <w:bookmarkEnd w:id="29"/>
      <w:bookmarkEnd w:id="30"/>
    </w:p>
    <w:p>
      <w:pPr>
        <w:spacing w:line="360" w:lineRule="auto"/>
        <w:ind w:firstLine="482" w:firstLineChars="200"/>
        <w:rPr>
          <w:rFonts w:ascii="宋体" w:hAnsi="宋体" w:cs="宋体"/>
          <w:sz w:val="24"/>
          <w:highlight w:val="none"/>
          <w:lang w:bidi="ar"/>
        </w:rPr>
      </w:pPr>
      <w:bookmarkStart w:id="31" w:name="_Toc35393796"/>
      <w:bookmarkStart w:id="32" w:name="_Toc28359008"/>
      <w:bookmarkStart w:id="33" w:name="_Toc28359085"/>
      <w:bookmarkStart w:id="34" w:name="_Toc35393627"/>
      <w:r>
        <w:rPr>
          <w:rFonts w:hint="eastAsia" w:ascii="宋体" w:hAnsi="宋体" w:cs="宋体"/>
          <w:b/>
          <w:bCs/>
          <w:sz w:val="24"/>
          <w:highlight w:val="none"/>
        </w:rPr>
        <w:t>1、本项目需要落实的政府采购政策：</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1）执行《财政部发展改革委关于印发《节能产品政府采购品目清单》的通知》（财库[2019]19号）；</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2）执行《财政部生态环境部关于印发《环境标志产品政府采购品目清单》的通知（财库[2019]18号）；</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3）执行财政部、工业和信息化部关于印发《政府采购促进中小企业发展管理办法》的通知财库〔2020〕46号；</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4）执行《财政部关于开展政府采购信用担保试点工作方案》（财库[2011]124号）；</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5）执行《财政部、司法部关于政府采购支持监狱企业发展有关问题的通知》（财库[2014]68号）；</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6）执行《关于促进残疾人就业政府采购政策的通知》（财库〔2017〕141号）；</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7）执行《财政部关于在政府采购活动中查询及使用信用记录有关问题的通知》（财库[2016]125号）等相关政策。</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8）执行《北京市财政局关于落实好政府采购支持中小企业发展的通知》（京财〔2022〕1143号）。</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9）执行《关于进一步加大政府采购支持中小企业力度的通知》（财库〔2022〕19号）。</w:t>
      </w:r>
    </w:p>
    <w:p>
      <w:pPr>
        <w:pStyle w:val="39"/>
        <w:spacing w:before="0" w:beforeAutospacing="0" w:after="0" w:afterAutospacing="0" w:line="360" w:lineRule="auto"/>
        <w:rPr>
          <w:b/>
          <w:highlight w:val="none"/>
          <w:shd w:val="clear" w:color="auto" w:fill="FFFFFF"/>
        </w:rPr>
      </w:pPr>
      <w:r>
        <w:rPr>
          <w:rFonts w:hint="eastAsia"/>
          <w:b/>
          <w:highlight w:val="none"/>
          <w:shd w:val="clear" w:color="auto" w:fill="FFFFFF"/>
        </w:rPr>
        <w:t>2、供应商需递交电子投标文件1份。</w:t>
      </w:r>
    </w:p>
    <w:p>
      <w:pPr>
        <w:pStyle w:val="39"/>
        <w:spacing w:before="0" w:beforeAutospacing="0" w:after="0" w:afterAutospacing="0" w:line="360" w:lineRule="auto"/>
        <w:ind w:firstLine="240" w:firstLineChars="100"/>
        <w:rPr>
          <w:highlight w:val="none"/>
          <w:shd w:val="clear" w:color="auto" w:fill="FFFFFF"/>
        </w:rPr>
      </w:pPr>
      <w:r>
        <w:rPr>
          <w:rFonts w:hint="eastAsia"/>
          <w:highlight w:val="none"/>
          <w:shd w:val="clear" w:color="auto" w:fill="FFFFFF"/>
        </w:rPr>
        <w:t>（1）供应商的法定代表人或其委托代理人，应携带加密电子投标文件相对应的移动数字证书CA，准时到现场参加开标。</w:t>
      </w:r>
    </w:p>
    <w:p>
      <w:pPr>
        <w:pStyle w:val="39"/>
        <w:spacing w:before="0" w:beforeAutospacing="0" w:after="0" w:afterAutospacing="0" w:line="360" w:lineRule="auto"/>
        <w:ind w:firstLine="240" w:firstLineChars="100"/>
        <w:rPr>
          <w:highlight w:val="none"/>
          <w:shd w:val="clear" w:color="auto" w:fill="FFFFFF"/>
        </w:rPr>
      </w:pPr>
      <w:r>
        <w:rPr>
          <w:rFonts w:hint="eastAsia"/>
          <w:highlight w:val="none"/>
          <w:shd w:val="clear" w:color="auto" w:fill="FFFFFF"/>
        </w:rPr>
        <w:t xml:space="preserve">（2）不按照文件要求递交电子投标文件的，采购人及该授权采购代理均不予受理。 </w:t>
      </w:r>
    </w:p>
    <w:p>
      <w:pPr>
        <w:pStyle w:val="39"/>
        <w:spacing w:before="0" w:beforeAutospacing="0" w:after="0" w:afterAutospacing="0" w:line="360" w:lineRule="auto"/>
        <w:rPr>
          <w:b/>
          <w:bCs/>
          <w:highlight w:val="none"/>
          <w:shd w:val="clear" w:color="auto" w:fill="FFFFFF"/>
        </w:rPr>
      </w:pPr>
      <w:r>
        <w:rPr>
          <w:rFonts w:hint="eastAsia"/>
          <w:b/>
          <w:bCs/>
          <w:highlight w:val="none"/>
          <w:shd w:val="clear" w:color="auto" w:fill="FFFFFF"/>
        </w:rPr>
        <w:t>3、电子标相关说明及注意事项</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CA数字证书服务热线010-58511086</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电子营业执照服务热线400-699-7000</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技术支持服务热线010-86483801</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3.1 办理CA 数字证书或电子营业执照</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供应商登录北京市政府采购电子交易平台查阅用户指南—操作指南—市场主体CA办理操作流程指引/电子营业执照使用指南，按照程序要求办理。</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3.2 注册</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供应商登录北京市政府采购电子交易平台用户指南—操作指南—市场主体注册入库操作流程指引进行自助注册绑定。</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3.3 驱动、客户端下载</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供应商登录北京市政府采购电子交易平台用户指南—工具下载—招标采购系统文件驱动安装包下载相关驱动。</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供应商登录北京市政府采购电子交易平台用户指南—工具下载—投标文件编制工具下载相关客户端。</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3.4 获取电子招标文件</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供应商使用CA数字证书或电子营业执照登录北京市政府采购电子交易平台获取电子招标文件。</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供应商如计划参与多个采购包的投标，应在登录北京市政府采购电子交易平台后，</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在【我的项目】栏目依次选择对应采购包，进入项目工作台招标/采购文件环节分别按</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采购包下载招标文件电子版。未在规定期限内按上述操作获取文件的采购包，供应商无</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法提交相应包的电子投标文件。</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3.5 编制电子投标文件</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供应商应使用电子投标客户端编制电子投标文件并进行线上投标，供应商电子投标</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文件需要加密并加盖电子签章，如无法按照要求在电子投标文件中加盖电子签章和加密，</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请及时通过技术支持服务热线联系技术人员。</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3.6 提交电子投标文件</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供应商应于投标截止时间前在北京市政府采购电子交易平台提交电子投标文件，上传电子投标文件过程中请保持与互联网的连接畅通。</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 xml:space="preserve">3.7 电子开标 </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1）供应商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在指定开标地点进行开标。</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（2）在开标当天供应商签到完成且开标时间到达之后对已在系统中递交且完成签到的供应商的投标文件进行解密，解密需使用CA数字证书。</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（4）若供应商已申请多把数字证书，请注意使用差别，确保制作的投标文件和开标解密时使用的数字证书一致，造成解密失败的，由供应商负责。</w:t>
      </w:r>
    </w:p>
    <w:p>
      <w:pPr>
        <w:pStyle w:val="39"/>
        <w:spacing w:before="0" w:beforeAutospacing="0" w:after="0" w:afterAutospacing="0" w:line="360" w:lineRule="auto"/>
        <w:ind w:firstLine="480" w:firstLineChars="200"/>
        <w:rPr>
          <w:highlight w:val="none"/>
          <w:shd w:val="clear" w:color="auto" w:fill="FFFFFF"/>
        </w:rPr>
      </w:pPr>
      <w:r>
        <w:rPr>
          <w:rFonts w:hint="eastAsia"/>
          <w:highlight w:val="none"/>
          <w:shd w:val="clear" w:color="auto" w:fill="FFFFFF"/>
        </w:rPr>
        <w:t>（5）供应商应充分考虑到网络及系统平台可能存在的非正常情况，在投标文件递交截止时间之前完成上传。</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4、公告媒体：本公告在中国政府采购网、北京市政府采购网发布、“顺义旅游”官方微信公众号、顺义网城网站发布。</w:t>
      </w:r>
    </w:p>
    <w:p>
      <w:pPr>
        <w:pStyle w:val="39"/>
        <w:spacing w:before="0" w:beforeAutospacing="0" w:after="0" w:afterAutospacing="0" w:line="360" w:lineRule="auto"/>
        <w:rPr>
          <w:highlight w:val="none"/>
          <w:shd w:val="clear" w:color="auto" w:fill="FFFFFF"/>
        </w:rPr>
      </w:pPr>
      <w:r>
        <w:rPr>
          <w:rFonts w:hint="eastAsia"/>
          <w:highlight w:val="none"/>
          <w:shd w:val="clear" w:color="auto" w:fill="FFFFFF"/>
        </w:rPr>
        <w:t>5、</w:t>
      </w:r>
      <w:r>
        <w:rPr>
          <w:rFonts w:hint="eastAsia"/>
          <w:color w:val="333333"/>
          <w:highlight w:val="none"/>
          <w:shd w:val="clear" w:color="auto" w:fill="FFFFFF"/>
        </w:rPr>
        <w:t>中标人在领取中标通知书的当日，需提供加盖单位公章的纸质版投标文件一正一副(必须与上传电子交易平台的电子文件内容保持一致)。</w:t>
      </w:r>
    </w:p>
    <w:p>
      <w:pPr>
        <w:pStyle w:val="3"/>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七、对本次招标提出询问，请按以下方式联系。</w:t>
      </w:r>
      <w:bookmarkEnd w:id="31"/>
      <w:bookmarkEnd w:id="32"/>
      <w:bookmarkEnd w:id="33"/>
      <w:bookmarkEnd w:id="34"/>
    </w:p>
    <w:p>
      <w:pPr>
        <w:widowControl/>
        <w:spacing w:line="360" w:lineRule="auto"/>
        <w:jc w:val="left"/>
        <w:rPr>
          <w:rFonts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pPr>
        <w:spacing w:line="360" w:lineRule="auto"/>
        <w:ind w:left="1079" w:leftChars="371" w:hanging="300" w:hangingChars="125"/>
        <w:jc w:val="left"/>
        <w:rPr>
          <w:rFonts w:ascii="宋体" w:hAnsi="宋体" w:cs="宋体"/>
          <w:sz w:val="24"/>
          <w:highlight w:val="none"/>
        </w:rPr>
      </w:pPr>
      <w:bookmarkStart w:id="35" w:name="_Toc28359086"/>
      <w:bookmarkStart w:id="36" w:name="_Toc28359009"/>
      <w:r>
        <w:rPr>
          <w:rFonts w:hint="eastAsia" w:ascii="宋体" w:hAnsi="宋体" w:cs="宋体"/>
          <w:sz w:val="24"/>
          <w:highlight w:val="none"/>
        </w:rPr>
        <w:t>名 称：北京市顺义区文化和旅游局</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址：北京市顺义区石园南大街10号院　</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联系方式：杨悦/010</w:t>
      </w:r>
      <w:r>
        <w:rPr>
          <w:rFonts w:hint="eastAsia" w:ascii="宋体" w:hAnsi="宋体" w:cs="宋体"/>
          <w:sz w:val="24"/>
          <w:highlight w:val="none"/>
          <w:lang w:val="en-US" w:eastAsia="zh-CN"/>
        </w:rPr>
        <w:t>-</w:t>
      </w:r>
      <w:r>
        <w:rPr>
          <w:rFonts w:hint="eastAsia" w:ascii="宋体" w:hAnsi="宋体" w:cs="宋体"/>
          <w:sz w:val="24"/>
          <w:highlight w:val="none"/>
        </w:rPr>
        <w:t>69424654</w:t>
      </w:r>
    </w:p>
    <w:p>
      <w:pPr>
        <w:spacing w:line="360" w:lineRule="auto"/>
        <w:ind w:left="1080" w:leftChars="371" w:hanging="301" w:hangingChars="125"/>
        <w:jc w:val="left"/>
        <w:rPr>
          <w:rFonts w:ascii="宋体" w:hAnsi="宋体" w:cs="宋体"/>
          <w:b/>
          <w:sz w:val="24"/>
          <w:highlight w:val="none"/>
        </w:rPr>
      </w:pPr>
      <w:r>
        <w:rPr>
          <w:rFonts w:hint="eastAsia" w:ascii="宋体" w:hAnsi="宋体" w:cs="宋体"/>
          <w:b/>
          <w:sz w:val="24"/>
          <w:highlight w:val="none"/>
        </w:rPr>
        <w:t>2.采购代理机构信息</w:t>
      </w:r>
      <w:bookmarkEnd w:id="35"/>
      <w:bookmarkEnd w:id="36"/>
    </w:p>
    <w:p>
      <w:pPr>
        <w:spacing w:line="360" w:lineRule="auto"/>
        <w:ind w:firstLine="720" w:firstLineChars="300"/>
        <w:rPr>
          <w:rFonts w:ascii="宋体" w:hAnsi="宋体" w:cs="宋体"/>
          <w:sz w:val="24"/>
          <w:highlight w:val="none"/>
        </w:rPr>
      </w:pPr>
      <w:bookmarkStart w:id="37" w:name="_Toc28359087"/>
      <w:bookmarkStart w:id="38" w:name="_Toc28359010"/>
      <w:r>
        <w:rPr>
          <w:rFonts w:hint="eastAsia" w:ascii="宋体" w:hAnsi="宋体" w:cs="宋体"/>
          <w:sz w:val="24"/>
          <w:highlight w:val="none"/>
        </w:rPr>
        <w:t>名  称：北京中盛宇工程管理有限公司</w:t>
      </w:r>
    </w:p>
    <w:p>
      <w:pPr>
        <w:spacing w:line="360" w:lineRule="auto"/>
        <w:ind w:firstLine="720" w:firstLineChars="300"/>
        <w:rPr>
          <w:rFonts w:ascii="宋体" w:hAnsi="宋体" w:cs="宋体"/>
          <w:sz w:val="24"/>
          <w:highlight w:val="none"/>
        </w:rPr>
      </w:pPr>
      <w:r>
        <w:rPr>
          <w:rFonts w:hint="eastAsia" w:ascii="宋体" w:hAnsi="宋体" w:cs="宋体"/>
          <w:sz w:val="24"/>
          <w:highlight w:val="none"/>
        </w:rPr>
        <w:t>地　址：北京市顺义区双丰街道顺安南路12号一区26号楼北侧三层</w:t>
      </w:r>
    </w:p>
    <w:p>
      <w:pPr>
        <w:spacing w:line="360" w:lineRule="auto"/>
        <w:ind w:firstLine="720" w:firstLineChars="300"/>
        <w:rPr>
          <w:rFonts w:ascii="宋体" w:hAnsi="宋体" w:cs="宋体"/>
          <w:sz w:val="24"/>
          <w:highlight w:val="none"/>
        </w:rPr>
      </w:pPr>
      <w:r>
        <w:rPr>
          <w:rFonts w:hint="eastAsia" w:ascii="宋体" w:hAnsi="宋体" w:cs="宋体"/>
          <w:sz w:val="24"/>
          <w:highlight w:val="none"/>
        </w:rPr>
        <w:t>联系方式：王欣艳/010-69415773</w:t>
      </w:r>
    </w:p>
    <w:p>
      <w:pPr>
        <w:spacing w:line="360" w:lineRule="auto"/>
        <w:ind w:firstLine="723" w:firstLineChars="300"/>
        <w:rPr>
          <w:rFonts w:ascii="宋体" w:hAnsi="宋体" w:cs="宋体"/>
          <w:b/>
          <w:sz w:val="24"/>
          <w:highlight w:val="none"/>
          <w:u w:val="single"/>
        </w:rPr>
      </w:pPr>
      <w:r>
        <w:rPr>
          <w:rFonts w:hint="eastAsia" w:ascii="宋体" w:hAnsi="宋体" w:cs="宋体"/>
          <w:b/>
          <w:sz w:val="24"/>
          <w:highlight w:val="none"/>
        </w:rPr>
        <w:t>3.项目联系方式</w:t>
      </w:r>
      <w:bookmarkEnd w:id="37"/>
      <w:bookmarkEnd w:id="38"/>
    </w:p>
    <w:p>
      <w:pPr>
        <w:spacing w:line="360" w:lineRule="auto"/>
        <w:ind w:firstLine="720" w:firstLineChars="300"/>
        <w:rPr>
          <w:rFonts w:ascii="宋体" w:hAnsi="宋体" w:cs="宋体"/>
          <w:sz w:val="24"/>
          <w:highlight w:val="none"/>
        </w:rPr>
      </w:pPr>
      <w:r>
        <w:rPr>
          <w:rFonts w:hint="eastAsia" w:ascii="宋体" w:hAnsi="宋体" w:cs="宋体"/>
          <w:sz w:val="24"/>
          <w:highlight w:val="none"/>
        </w:rPr>
        <w:t>项目联系人：王欣艳</w:t>
      </w:r>
    </w:p>
    <w:p>
      <w:pPr>
        <w:spacing w:line="360" w:lineRule="auto"/>
        <w:ind w:firstLine="720" w:firstLineChars="300"/>
        <w:rPr>
          <w:rFonts w:ascii="宋体" w:hAnsi="宋体" w:cs="宋体"/>
          <w:sz w:val="24"/>
          <w:highlight w:val="none"/>
        </w:rPr>
      </w:pPr>
      <w:r>
        <w:rPr>
          <w:rFonts w:hint="eastAsia" w:ascii="宋体" w:hAnsi="宋体" w:cs="宋体"/>
          <w:sz w:val="24"/>
          <w:highlight w:val="none"/>
        </w:rPr>
        <w:t>电　话：010-69415773</w:t>
      </w:r>
    </w:p>
    <w:p>
      <w:pPr>
        <w:spacing w:line="360" w:lineRule="auto"/>
        <w:jc w:val="center"/>
        <w:outlineLvl w:val="0"/>
        <w:rPr>
          <w:rFonts w:ascii="宋体" w:hAnsi="宋体" w:cs="宋体"/>
          <w:b/>
          <w:sz w:val="32"/>
          <w:szCs w:val="32"/>
          <w:highlight w:val="none"/>
        </w:rPr>
      </w:pPr>
      <w:r>
        <w:rPr>
          <w:rFonts w:hint="eastAsia" w:ascii="宋体" w:hAnsi="宋体" w:cs="宋体"/>
          <w:sz w:val="24"/>
          <w:highlight w:val="none"/>
        </w:rPr>
        <w:br w:type="page"/>
      </w:r>
      <w:bookmarkStart w:id="39" w:name="_Toc512937850"/>
      <w:bookmarkStart w:id="40" w:name="_Toc9405"/>
      <w:bookmarkStart w:id="41" w:name="_Toc195842950"/>
      <w:bookmarkStart w:id="42" w:name="_Toc264969275"/>
      <w:bookmarkStart w:id="43" w:name="_Toc127161488"/>
      <w:bookmarkStart w:id="44" w:name="_Toc353873938"/>
      <w:bookmarkStart w:id="45" w:name="_Toc127151777"/>
      <w:bookmarkStart w:id="46" w:name="_Toc150774783"/>
      <w:bookmarkStart w:id="47" w:name="_Toc305158928"/>
      <w:bookmarkStart w:id="48" w:name="_Toc305158854"/>
      <w:bookmarkStart w:id="49" w:name="_Toc265228423"/>
      <w:bookmarkStart w:id="50" w:name="_Toc353825548"/>
      <w:bookmarkStart w:id="51" w:name="_Toc226965856"/>
      <w:r>
        <w:rPr>
          <w:rFonts w:hint="eastAsia" w:ascii="宋体" w:hAnsi="宋体" w:cs="宋体"/>
          <w:b/>
          <w:sz w:val="36"/>
          <w:szCs w:val="36"/>
          <w:highlight w:val="none"/>
        </w:rPr>
        <w:t>第二章   投标人须知</w:t>
      </w:r>
      <w:bookmarkEnd w:id="39"/>
      <w:bookmarkEnd w:id="40"/>
      <w:bookmarkEnd w:id="41"/>
      <w:bookmarkEnd w:id="42"/>
      <w:bookmarkEnd w:id="43"/>
      <w:bookmarkEnd w:id="44"/>
      <w:bookmarkEnd w:id="45"/>
      <w:bookmarkEnd w:id="46"/>
      <w:bookmarkEnd w:id="47"/>
      <w:bookmarkEnd w:id="48"/>
      <w:bookmarkEnd w:id="49"/>
      <w:bookmarkEnd w:id="50"/>
      <w:bookmarkEnd w:id="51"/>
    </w:p>
    <w:p>
      <w:pPr>
        <w:pStyle w:val="3"/>
        <w:tabs>
          <w:tab w:val="center" w:pos="4592"/>
          <w:tab w:val="left" w:pos="7860"/>
        </w:tabs>
        <w:spacing w:before="0" w:line="360" w:lineRule="auto"/>
        <w:rPr>
          <w:rFonts w:ascii="宋体" w:hAnsi="宋体" w:eastAsia="宋体" w:cs="宋体"/>
          <w:sz w:val="28"/>
          <w:highlight w:val="none"/>
        </w:rPr>
      </w:pPr>
      <w:bookmarkStart w:id="52" w:name="_Toc151193833"/>
      <w:bookmarkStart w:id="53" w:name="_Toc151193689"/>
      <w:bookmarkStart w:id="54" w:name="_Toc151193907"/>
      <w:bookmarkStart w:id="55" w:name="_Toc149720812"/>
      <w:bookmarkStart w:id="56" w:name="_Toc151190146"/>
      <w:bookmarkStart w:id="57" w:name="_Toc164229214"/>
      <w:bookmarkStart w:id="58" w:name="_Toc150774724"/>
      <w:bookmarkStart w:id="59" w:name="_Toc226965792"/>
      <w:bookmarkStart w:id="60" w:name="_Toc150509270"/>
      <w:bookmarkStart w:id="61" w:name="_Toc127161433"/>
      <w:bookmarkStart w:id="62" w:name="_Toc142311021"/>
      <w:bookmarkStart w:id="63" w:name="_Toc164229360"/>
      <w:bookmarkStart w:id="64" w:name="_Toc150480757"/>
      <w:bookmarkStart w:id="65" w:name="_Toc151193761"/>
      <w:bookmarkStart w:id="66" w:name="_Toc195842884"/>
      <w:bookmarkStart w:id="67" w:name="_Toc520356144"/>
      <w:bookmarkStart w:id="68" w:name="_Toc164608633"/>
      <w:bookmarkStart w:id="69" w:name="_Toc164351613"/>
      <w:bookmarkStart w:id="70" w:name="_Toc226965709"/>
      <w:bookmarkStart w:id="71" w:name="_Toc150774619"/>
      <w:bookmarkStart w:id="72" w:name="_Toc151193617"/>
      <w:bookmarkStart w:id="73" w:name="_Toc226337215"/>
      <w:bookmarkStart w:id="74" w:name="_Toc226309763"/>
      <w:bookmarkStart w:id="75" w:name="_Toc127151720"/>
      <w:bookmarkStart w:id="76" w:name="_Toc164608788"/>
      <w:bookmarkStart w:id="77" w:name="_Toc127151519"/>
      <w:r>
        <w:rPr>
          <w:rFonts w:hint="eastAsia" w:ascii="宋体" w:hAnsi="宋体" w:eastAsia="宋体" w:cs="宋体"/>
          <w:sz w:val="28"/>
          <w:highlight w:val="none"/>
        </w:rPr>
        <w:t>投标人须知资料表</w:t>
      </w:r>
    </w:p>
    <w:p>
      <w:pPr>
        <w:jc w:val="center"/>
        <w:rPr>
          <w:rFonts w:ascii="宋体" w:hAnsi="宋体" w:cs="宋体"/>
          <w:b/>
          <w:sz w:val="28"/>
          <w:szCs w:val="28"/>
          <w:highlight w:val="none"/>
        </w:rPr>
      </w:pPr>
    </w:p>
    <w:p>
      <w:pPr>
        <w:spacing w:line="360" w:lineRule="auto"/>
        <w:ind w:firstLine="480"/>
        <w:rPr>
          <w:rFonts w:ascii="宋体" w:hAnsi="宋体" w:cs="宋体"/>
          <w:sz w:val="24"/>
          <w:highlight w:val="none"/>
        </w:rPr>
      </w:pPr>
      <w:r>
        <w:rPr>
          <w:rFonts w:hint="eastAsia" w:ascii="宋体" w:hAnsi="宋体" w:cs="宋体"/>
          <w:sz w:val="24"/>
          <w:highlight w:val="none"/>
        </w:rPr>
        <w:t>本表是对投标人须知的具体补充和修改，如有矛盾，均以本资料表为准。标记</w:t>
      </w:r>
      <w:r>
        <w:rPr>
          <w:rFonts w:hint="eastAsia" w:ascii="宋体" w:hAnsi="宋体" w:cs="宋体"/>
          <w:color w:val="000000"/>
          <w:sz w:val="24"/>
          <w:highlight w:val="none"/>
        </w:rPr>
        <w:t>“</w:t>
      </w:r>
      <w:r>
        <w:rPr>
          <w:rFonts w:hint="eastAsia" w:ascii="宋体" w:hAnsi="宋体" w:cs="宋体"/>
          <w:b/>
          <w:color w:val="000000"/>
          <w:sz w:val="24"/>
          <w:highlight w:val="none"/>
        </w:rPr>
        <w:t>■</w:t>
      </w:r>
      <w:r>
        <w:rPr>
          <w:rFonts w:hint="eastAsia" w:ascii="宋体" w:hAnsi="宋体" w:cs="宋体"/>
          <w:color w:val="000000"/>
          <w:sz w:val="24"/>
          <w:highlight w:val="none"/>
        </w:rPr>
        <w:t>”</w:t>
      </w:r>
      <w:r>
        <w:rPr>
          <w:rFonts w:hint="eastAsia" w:ascii="宋体" w:hAnsi="宋体" w:cs="宋体"/>
          <w:sz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pPr>
              <w:jc w:val="center"/>
              <w:rPr>
                <w:rFonts w:ascii="宋体" w:hAnsi="宋体" w:cs="宋体"/>
                <w:b/>
                <w:bCs/>
                <w:sz w:val="24"/>
                <w:highlight w:val="none"/>
              </w:rPr>
            </w:pPr>
            <w:r>
              <w:rPr>
                <w:rFonts w:hint="eastAsia" w:ascii="宋体" w:hAnsi="宋体" w:cs="宋体"/>
                <w:b/>
                <w:bCs/>
                <w:sz w:val="24"/>
                <w:highlight w:val="none"/>
              </w:rPr>
              <w:t>条目</w:t>
            </w:r>
          </w:p>
        </w:tc>
        <w:tc>
          <w:tcPr>
            <w:tcW w:w="7540" w:type="dxa"/>
            <w:vAlign w:val="center"/>
          </w:tcPr>
          <w:p>
            <w:pPr>
              <w:jc w:val="center"/>
              <w:rPr>
                <w:rFonts w:ascii="宋体" w:hAnsi="宋体" w:cs="宋体"/>
                <w:b/>
                <w:bCs/>
                <w:sz w:val="24"/>
                <w:highlight w:val="none"/>
              </w:rPr>
            </w:pPr>
            <w:r>
              <w:rPr>
                <w:rFonts w:hint="eastAsia" w:ascii="宋体" w:hAnsi="宋体" w:cs="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项目属性</w:t>
            </w:r>
          </w:p>
        </w:tc>
        <w:tc>
          <w:tcPr>
            <w:tcW w:w="7540" w:type="dxa"/>
            <w:vAlign w:val="center"/>
          </w:tcPr>
          <w:p>
            <w:pPr>
              <w:jc w:val="left"/>
              <w:rPr>
                <w:rFonts w:ascii="宋体" w:hAnsi="宋体" w:cs="宋体"/>
                <w:sz w:val="24"/>
                <w:highlight w:val="none"/>
              </w:rPr>
            </w:pPr>
            <w:r>
              <w:rPr>
                <w:rFonts w:hint="eastAsia" w:ascii="宋体" w:hAnsi="宋体" w:cs="宋体"/>
                <w:sz w:val="24"/>
                <w:highlight w:val="none"/>
              </w:rPr>
              <w:t>项目属性：</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服务</w:t>
            </w:r>
          </w:p>
          <w:p>
            <w:pPr>
              <w:jc w:val="left"/>
              <w:rPr>
                <w:rFonts w:ascii="宋体" w:hAnsi="宋体" w:cs="宋体"/>
                <w:sz w:val="24"/>
                <w:highlight w:val="none"/>
                <w:u w:val="single"/>
              </w:rPr>
            </w:pPr>
            <w:r>
              <w:rPr>
                <w:rFonts w:hint="eastAsia" w:ascii="宋体" w:hAnsi="宋体" w:cs="宋体"/>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科研仪器设备</w:t>
            </w:r>
          </w:p>
        </w:tc>
        <w:tc>
          <w:tcPr>
            <w:tcW w:w="7540" w:type="dxa"/>
            <w:vAlign w:val="center"/>
          </w:tcPr>
          <w:p>
            <w:pPr>
              <w:jc w:val="left"/>
              <w:rPr>
                <w:rFonts w:ascii="宋体" w:hAnsi="宋体" w:cs="宋体"/>
                <w:sz w:val="24"/>
                <w:highlight w:val="none"/>
              </w:rPr>
            </w:pPr>
            <w:r>
              <w:rPr>
                <w:rFonts w:hint="eastAsia" w:ascii="宋体" w:hAnsi="宋体" w:cs="宋体"/>
                <w:sz w:val="24"/>
                <w:highlight w:val="none"/>
              </w:rPr>
              <w:t>是否属于科研仪器设备采购项目：</w:t>
            </w:r>
          </w:p>
          <w:p>
            <w:pPr>
              <w:jc w:val="left"/>
              <w:rPr>
                <w:rFonts w:ascii="宋体" w:hAnsi="宋体" w:cs="宋体"/>
                <w:sz w:val="24"/>
                <w:highlight w:val="none"/>
              </w:rPr>
            </w:pP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2.4</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核心产品</w:t>
            </w:r>
          </w:p>
        </w:tc>
        <w:tc>
          <w:tcPr>
            <w:tcW w:w="7540" w:type="dxa"/>
            <w:vAlign w:val="center"/>
          </w:tcPr>
          <w:p>
            <w:pPr>
              <w:pStyle w:val="24"/>
              <w:adjustRightInd w:val="0"/>
              <w:snapToGrid w:val="0"/>
              <w:rPr>
                <w:rFonts w:hint="default" w:hAnsi="宋体" w:cs="宋体"/>
                <w:sz w:val="24"/>
                <w:szCs w:val="24"/>
                <w:highlight w:val="none"/>
              </w:rPr>
            </w:pPr>
            <w:r>
              <w:rPr>
                <w:rFonts w:hAnsi="宋体" w:cs="宋体"/>
                <w:sz w:val="24"/>
                <w:szCs w:val="24"/>
                <w:highlight w:val="none"/>
              </w:rPr>
              <w:t>■关于核心产品本项目_/_包不适用。</w:t>
            </w:r>
          </w:p>
          <w:p>
            <w:pPr>
              <w:pStyle w:val="24"/>
              <w:adjustRightInd w:val="0"/>
              <w:snapToGrid w:val="0"/>
              <w:rPr>
                <w:rFonts w:hint="default" w:hAnsi="宋体" w:cs="宋体"/>
                <w:sz w:val="24"/>
                <w:szCs w:val="24"/>
                <w:highlight w:val="none"/>
              </w:rPr>
            </w:pPr>
            <w:r>
              <w:rPr>
                <w:rFonts w:hAnsi="宋体" w:cs="宋体"/>
                <w:sz w:val="24"/>
                <w:szCs w:val="24"/>
                <w:highlight w:val="none"/>
              </w:rPr>
              <w:t>□本项目_/_包为单一产品采购项目。</w:t>
            </w:r>
          </w:p>
          <w:p>
            <w:pPr>
              <w:jc w:val="left"/>
              <w:rPr>
                <w:rFonts w:ascii="宋体" w:hAnsi="宋体" w:cs="宋体"/>
                <w:sz w:val="24"/>
                <w:highlight w:val="none"/>
              </w:rPr>
            </w:pPr>
            <w:r>
              <w:rPr>
                <w:rFonts w:hint="eastAsia" w:ascii="宋体" w:hAnsi="宋体" w:cs="宋体"/>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现场考察</w:t>
            </w:r>
          </w:p>
        </w:tc>
        <w:tc>
          <w:tcPr>
            <w:tcW w:w="7540" w:type="dxa"/>
            <w:vAlign w:val="center"/>
          </w:tcPr>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不组织</w:t>
            </w:r>
          </w:p>
          <w:p>
            <w:pPr>
              <w:jc w:val="left"/>
              <w:rPr>
                <w:rFonts w:ascii="宋体" w:hAnsi="宋体" w:cs="宋体"/>
                <w:bCs/>
                <w:sz w:val="24"/>
                <w:highlight w:val="none"/>
              </w:rPr>
            </w:pPr>
            <w:r>
              <w:rPr>
                <w:rFonts w:hint="eastAsia" w:ascii="宋体" w:hAnsi="宋体" w:cs="宋体"/>
                <w:sz w:val="24"/>
                <w:highlight w:val="none"/>
              </w:rPr>
              <w:t>□组织，考察时间：__年_月_日_</w:t>
            </w:r>
            <w:r>
              <w:rPr>
                <w:rFonts w:hint="eastAsia" w:ascii="宋体" w:hAnsi="宋体" w:cs="宋体"/>
                <w:bCs/>
                <w:sz w:val="24"/>
                <w:highlight w:val="none"/>
              </w:rPr>
              <w:t>点</w:t>
            </w:r>
            <w:r>
              <w:rPr>
                <w:rFonts w:hint="eastAsia" w:ascii="宋体" w:hAnsi="宋体" w:cs="宋体"/>
                <w:sz w:val="24"/>
                <w:highlight w:val="none"/>
              </w:rPr>
              <w:t>_</w:t>
            </w:r>
            <w:r>
              <w:rPr>
                <w:rFonts w:hint="eastAsia" w:ascii="宋体" w:hAnsi="宋体" w:cs="宋体"/>
                <w:bCs/>
                <w:sz w:val="24"/>
                <w:highlight w:val="none"/>
              </w:rPr>
              <w:t>分</w:t>
            </w:r>
          </w:p>
          <w:p>
            <w:pPr>
              <w:pStyle w:val="24"/>
              <w:adjustRightInd w:val="0"/>
              <w:snapToGrid w:val="0"/>
              <w:rPr>
                <w:rFonts w:hint="default" w:hAnsi="宋体" w:cs="宋体"/>
                <w:sz w:val="24"/>
                <w:szCs w:val="24"/>
                <w:highlight w:val="none"/>
              </w:rPr>
            </w:pPr>
            <w:r>
              <w:rPr>
                <w:rFonts w:hAnsi="宋体" w:cs="宋体"/>
                <w:sz w:val="24"/>
                <w:szCs w:val="24"/>
                <w:highlight w:val="none"/>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hAnsi="宋体" w:cs="宋体"/>
                <w:sz w:val="24"/>
                <w:szCs w:val="24"/>
                <w:highlight w:val="none"/>
              </w:rPr>
            </w:pP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开标前答疑会</w:t>
            </w:r>
          </w:p>
        </w:tc>
        <w:tc>
          <w:tcPr>
            <w:tcW w:w="7540" w:type="dxa"/>
            <w:vAlign w:val="center"/>
          </w:tcPr>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不召开</w:t>
            </w:r>
          </w:p>
          <w:p>
            <w:pPr>
              <w:jc w:val="left"/>
              <w:rPr>
                <w:rFonts w:ascii="宋体" w:hAnsi="宋体" w:cs="宋体"/>
                <w:sz w:val="24"/>
                <w:highlight w:val="none"/>
              </w:rPr>
            </w:pPr>
            <w:r>
              <w:rPr>
                <w:rFonts w:hint="eastAsia" w:ascii="宋体" w:hAnsi="宋体" w:cs="宋体"/>
                <w:sz w:val="24"/>
                <w:highlight w:val="none"/>
              </w:rPr>
              <w:t>□召开，召开时间：__年_月_日_</w:t>
            </w:r>
            <w:r>
              <w:rPr>
                <w:rFonts w:hint="eastAsia" w:ascii="宋体" w:hAnsi="宋体" w:cs="宋体"/>
                <w:bCs/>
                <w:sz w:val="24"/>
                <w:highlight w:val="none"/>
              </w:rPr>
              <w:t>点</w:t>
            </w:r>
            <w:r>
              <w:rPr>
                <w:rFonts w:hint="eastAsia" w:ascii="宋体" w:hAnsi="宋体" w:cs="宋体"/>
                <w:sz w:val="24"/>
                <w:highlight w:val="none"/>
              </w:rPr>
              <w:t>_</w:t>
            </w:r>
            <w:r>
              <w:rPr>
                <w:rFonts w:hint="eastAsia" w:ascii="宋体" w:hAnsi="宋体" w:cs="宋体"/>
                <w:bCs/>
                <w:sz w:val="24"/>
                <w:highlight w:val="none"/>
              </w:rPr>
              <w:t>分</w:t>
            </w:r>
          </w:p>
          <w:p>
            <w:pPr>
              <w:jc w:val="left"/>
              <w:rPr>
                <w:rFonts w:ascii="宋体" w:hAnsi="宋体" w:cs="宋体"/>
                <w:sz w:val="24"/>
                <w:highlight w:val="none"/>
              </w:rPr>
            </w:pPr>
            <w:r>
              <w:rPr>
                <w:rFonts w:hint="eastAsia" w:ascii="宋体" w:hAnsi="宋体" w:cs="宋体"/>
                <w:sz w:val="24"/>
                <w:highlight w:val="none"/>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4.1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样品</w:t>
            </w:r>
          </w:p>
        </w:tc>
        <w:tc>
          <w:tcPr>
            <w:tcW w:w="7540" w:type="dxa"/>
            <w:vAlign w:val="center"/>
          </w:tcPr>
          <w:p>
            <w:pPr>
              <w:jc w:val="left"/>
              <w:rPr>
                <w:rFonts w:ascii="宋体" w:hAnsi="宋体" w:cs="宋体"/>
                <w:sz w:val="24"/>
                <w:highlight w:val="none"/>
              </w:rPr>
            </w:pPr>
            <w:r>
              <w:rPr>
                <w:rFonts w:hint="eastAsia" w:ascii="宋体" w:hAnsi="宋体" w:cs="宋体"/>
                <w:sz w:val="24"/>
                <w:highlight w:val="none"/>
              </w:rPr>
              <w:t>投标样品递交：</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不需要</w:t>
            </w:r>
          </w:p>
          <w:p>
            <w:pPr>
              <w:jc w:val="left"/>
              <w:rPr>
                <w:rFonts w:ascii="宋体" w:hAnsi="宋体" w:cs="宋体"/>
                <w:sz w:val="24"/>
                <w:highlight w:val="none"/>
              </w:rPr>
            </w:pPr>
            <w:r>
              <w:rPr>
                <w:rFonts w:hint="eastAsia" w:ascii="宋体" w:hAnsi="宋体" w:cs="宋体"/>
                <w:sz w:val="24"/>
                <w:highlight w:val="none"/>
              </w:rPr>
              <w:t>□需要，具体要求如下：</w:t>
            </w:r>
          </w:p>
          <w:p>
            <w:pPr>
              <w:jc w:val="left"/>
              <w:rPr>
                <w:rFonts w:ascii="宋体" w:hAnsi="宋体" w:cs="宋体"/>
                <w:sz w:val="24"/>
                <w:highlight w:val="none"/>
                <w:u w:val="single"/>
              </w:rPr>
            </w:pPr>
            <w:r>
              <w:rPr>
                <w:rFonts w:hint="eastAsia" w:ascii="宋体" w:hAnsi="宋体" w:cs="宋体"/>
                <w:sz w:val="24"/>
                <w:highlight w:val="none"/>
              </w:rPr>
              <w:t>（1）样品制作的标准和要求：___/___；</w:t>
            </w:r>
          </w:p>
          <w:p>
            <w:pPr>
              <w:jc w:val="left"/>
              <w:rPr>
                <w:rFonts w:ascii="宋体" w:hAnsi="宋体" w:cs="宋体"/>
                <w:sz w:val="24"/>
                <w:highlight w:val="none"/>
              </w:rPr>
            </w:pPr>
            <w:r>
              <w:rPr>
                <w:rFonts w:hint="eastAsia" w:ascii="宋体" w:hAnsi="宋体" w:cs="宋体"/>
                <w:sz w:val="24"/>
                <w:highlight w:val="none"/>
              </w:rPr>
              <w:t>（2）是否需要随样品提交相关检测报告：</w:t>
            </w:r>
          </w:p>
          <w:p>
            <w:pPr>
              <w:ind w:firstLine="600" w:firstLineChars="250"/>
              <w:jc w:val="left"/>
              <w:rPr>
                <w:rFonts w:ascii="宋体" w:hAnsi="宋体" w:cs="宋体"/>
                <w:sz w:val="24"/>
                <w:highlight w:val="none"/>
              </w:rPr>
            </w:pPr>
            <w:r>
              <w:rPr>
                <w:rFonts w:hint="eastAsia" w:ascii="宋体" w:hAnsi="宋体" w:cs="宋体"/>
                <w:sz w:val="24"/>
                <w:highlight w:val="none"/>
              </w:rPr>
              <w:t>□不需要</w:t>
            </w:r>
          </w:p>
          <w:p>
            <w:pPr>
              <w:ind w:firstLine="600" w:firstLineChars="250"/>
              <w:jc w:val="left"/>
              <w:rPr>
                <w:rFonts w:ascii="宋体" w:hAnsi="宋体" w:cs="宋体"/>
                <w:sz w:val="24"/>
                <w:highlight w:val="none"/>
              </w:rPr>
            </w:pPr>
            <w:r>
              <w:rPr>
                <w:rFonts w:hint="eastAsia" w:ascii="宋体" w:hAnsi="宋体" w:cs="宋体"/>
                <w:sz w:val="24"/>
                <w:highlight w:val="none"/>
              </w:rPr>
              <w:t>□需要</w:t>
            </w:r>
          </w:p>
          <w:p>
            <w:pPr>
              <w:jc w:val="left"/>
              <w:rPr>
                <w:rFonts w:ascii="宋体" w:hAnsi="宋体" w:cs="宋体"/>
                <w:sz w:val="24"/>
                <w:highlight w:val="none"/>
              </w:rPr>
            </w:pPr>
            <w:r>
              <w:rPr>
                <w:rFonts w:hint="eastAsia" w:ascii="宋体" w:hAnsi="宋体" w:cs="宋体"/>
                <w:sz w:val="24"/>
                <w:highlight w:val="none"/>
              </w:rPr>
              <w:t>（3）样品递交要求：__/___；</w:t>
            </w:r>
          </w:p>
          <w:p>
            <w:pPr>
              <w:jc w:val="left"/>
              <w:rPr>
                <w:rFonts w:ascii="宋体" w:hAnsi="宋体" w:cs="宋体"/>
                <w:sz w:val="24"/>
                <w:highlight w:val="none"/>
              </w:rPr>
            </w:pPr>
            <w:r>
              <w:rPr>
                <w:rFonts w:hint="eastAsia" w:ascii="宋体" w:hAnsi="宋体" w:cs="宋体"/>
                <w:sz w:val="24"/>
                <w:highlight w:val="none"/>
              </w:rPr>
              <w:t>（4）未中标人样品退还：___/___；</w:t>
            </w:r>
          </w:p>
          <w:p>
            <w:pPr>
              <w:jc w:val="left"/>
              <w:rPr>
                <w:rFonts w:ascii="宋体" w:hAnsi="宋体" w:cs="宋体"/>
                <w:sz w:val="24"/>
                <w:highlight w:val="none"/>
                <w:u w:val="single"/>
              </w:rPr>
            </w:pPr>
            <w:r>
              <w:rPr>
                <w:rFonts w:hint="eastAsia" w:ascii="宋体" w:hAnsi="宋体" w:cs="宋体"/>
                <w:sz w:val="24"/>
                <w:highlight w:val="none"/>
              </w:rPr>
              <w:t>（5）中标人样品保管、封存及退还：__/___；</w:t>
            </w:r>
          </w:p>
          <w:p>
            <w:pPr>
              <w:jc w:val="left"/>
              <w:rPr>
                <w:rFonts w:ascii="宋体" w:hAnsi="宋体" w:cs="宋体"/>
                <w:sz w:val="24"/>
                <w:highlight w:val="none"/>
              </w:rPr>
            </w:pPr>
            <w:r>
              <w:rPr>
                <w:rFonts w:hint="eastAsia" w:ascii="宋体" w:hAnsi="宋体" w:cs="宋体"/>
                <w:sz w:val="24"/>
                <w:highlight w:val="none"/>
              </w:rPr>
              <w:t>（6）其他要求（如有）：___/____。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5.2.5</w:t>
            </w:r>
          </w:p>
        </w:tc>
        <w:tc>
          <w:tcPr>
            <w:tcW w:w="1701" w:type="dxa"/>
            <w:shd w:val="clear" w:color="auto" w:fill="auto"/>
            <w:vAlign w:val="center"/>
          </w:tcPr>
          <w:p>
            <w:pPr>
              <w:jc w:val="center"/>
              <w:rPr>
                <w:rFonts w:ascii="宋体" w:hAnsi="宋体" w:cs="宋体"/>
                <w:sz w:val="24"/>
                <w:highlight w:val="none"/>
              </w:rPr>
            </w:pPr>
            <w:r>
              <w:rPr>
                <w:rFonts w:hint="eastAsia" w:ascii="宋体" w:hAnsi="宋体" w:cs="宋体"/>
                <w:sz w:val="24"/>
                <w:highlight w:val="none"/>
              </w:rPr>
              <w:t>标的所属行业</w:t>
            </w:r>
          </w:p>
        </w:tc>
        <w:tc>
          <w:tcPr>
            <w:tcW w:w="7540" w:type="dxa"/>
            <w:shd w:val="clear" w:color="auto" w:fill="auto"/>
            <w:vAlign w:val="center"/>
          </w:tcPr>
          <w:p>
            <w:pPr>
              <w:jc w:val="left"/>
              <w:rPr>
                <w:rFonts w:ascii="宋体" w:hAnsi="宋体" w:cs="宋体"/>
                <w:sz w:val="24"/>
                <w:highlight w:val="none"/>
              </w:rPr>
            </w:pPr>
            <w:r>
              <w:rPr>
                <w:rFonts w:hint="eastAsia" w:ascii="宋体" w:hAnsi="宋体" w:cs="宋体"/>
                <w:sz w:val="24"/>
                <w:highlight w:val="none"/>
              </w:rPr>
              <w:t>本项目采购标的对应的中小企业划分标准所属行业：</w:t>
            </w:r>
          </w:p>
          <w:tbl>
            <w:tblPr>
              <w:tblStyle w:val="45"/>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rPr>
                    <w:t>标的名称</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highlight w:val="none"/>
                    </w:rPr>
                  </w:pPr>
                  <w:r>
                    <w:rPr>
                      <w:rFonts w:hint="eastAsia" w:ascii="宋体" w:hAnsi="宋体" w:cs="宋体"/>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sz w:val="24"/>
                      <w:highlight w:val="none"/>
                    </w:rPr>
                    <w:t>大剧院市场化运营项目</w:t>
                  </w:r>
                </w:p>
              </w:tc>
              <w:tc>
                <w:tcPr>
                  <w:tcW w:w="366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kern w:val="0"/>
                      <w:sz w:val="24"/>
                      <w:highlight w:val="none"/>
                    </w:rPr>
                  </w:pPr>
                  <w:r>
                    <w:rPr>
                      <w:rFonts w:hint="eastAsia" w:ascii="宋体" w:hAnsi="宋体" w:cs="宋体"/>
                      <w:sz w:val="24"/>
                      <w:highlight w:val="none"/>
                    </w:rPr>
                    <w:t>其他未列明行业</w:t>
                  </w:r>
                </w:p>
              </w:tc>
            </w:tr>
          </w:tbl>
          <w:p>
            <w:pPr>
              <w:jc w:val="left"/>
              <w:rPr>
                <w:rFonts w:ascii="宋体" w:hAnsi="宋体" w:cs="宋体"/>
                <w:sz w:val="24"/>
                <w:highlight w:val="none"/>
              </w:rPr>
            </w:pPr>
          </w:p>
        </w:tc>
      </w:tr>
    </w:tbl>
    <w:p>
      <w:pPr>
        <w:rPr>
          <w:rFonts w:ascii="宋体" w:hAnsi="宋体" w:cs="宋体"/>
          <w:highlight w:val="none"/>
        </w:rPr>
      </w:pPr>
      <w:r>
        <w:rPr>
          <w:rFonts w:hint="eastAsia" w:ascii="宋体" w:hAnsi="宋体" w:cs="宋体"/>
          <w:highlight w:val="none"/>
        </w:rPr>
        <w:br w:type="page"/>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36"/>
        <w:gridCol w:w="7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11.2</w:t>
            </w:r>
          </w:p>
        </w:tc>
        <w:tc>
          <w:tcPr>
            <w:tcW w:w="1836" w:type="dxa"/>
            <w:shd w:val="clear" w:color="auto" w:fill="auto"/>
            <w:vAlign w:val="center"/>
          </w:tcPr>
          <w:p>
            <w:pPr>
              <w:jc w:val="center"/>
              <w:rPr>
                <w:rFonts w:ascii="宋体" w:hAnsi="宋体" w:cs="宋体"/>
                <w:sz w:val="24"/>
                <w:highlight w:val="none"/>
              </w:rPr>
            </w:pPr>
            <w:r>
              <w:rPr>
                <w:rFonts w:hint="eastAsia" w:ascii="宋体" w:hAnsi="宋体" w:cs="宋体"/>
                <w:sz w:val="24"/>
                <w:highlight w:val="none"/>
              </w:rPr>
              <w:t>投标报价</w:t>
            </w:r>
          </w:p>
        </w:tc>
        <w:tc>
          <w:tcPr>
            <w:tcW w:w="7405" w:type="dxa"/>
            <w:shd w:val="clear" w:color="auto" w:fill="auto"/>
            <w:vAlign w:val="center"/>
          </w:tcPr>
          <w:p>
            <w:pPr>
              <w:jc w:val="left"/>
              <w:rPr>
                <w:rFonts w:ascii="宋体" w:hAnsi="宋体" w:cs="宋体"/>
                <w:sz w:val="24"/>
                <w:highlight w:val="none"/>
              </w:rPr>
            </w:pPr>
            <w:r>
              <w:rPr>
                <w:rFonts w:hint="eastAsia" w:ascii="宋体" w:hAnsi="宋体" w:cs="宋体"/>
                <w:sz w:val="24"/>
                <w:highlight w:val="none"/>
              </w:rPr>
              <w:t>投标报价的特殊规定：</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w:t>
            </w:r>
          </w:p>
          <w:p>
            <w:pPr>
              <w:jc w:val="left"/>
              <w:rPr>
                <w:rFonts w:ascii="宋体" w:hAnsi="宋体" w:cs="宋体"/>
                <w:sz w:val="24"/>
                <w:highlight w:val="none"/>
              </w:rPr>
            </w:pPr>
            <w:r>
              <w:rPr>
                <w:rFonts w:hint="eastAsia" w:ascii="宋体" w:hAnsi="宋体" w:cs="宋体"/>
                <w:sz w:val="24"/>
                <w:highlight w:val="none"/>
              </w:rPr>
              <w:t>□有，具体情形：</w:t>
            </w:r>
            <w:r>
              <w:rPr>
                <w:rFonts w:hint="eastAsia" w:ascii="宋体" w:hAnsi="宋体" w:cs="宋体"/>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12.1</w:t>
            </w:r>
          </w:p>
        </w:tc>
        <w:tc>
          <w:tcPr>
            <w:tcW w:w="1836" w:type="dxa"/>
            <w:vMerge w:val="restart"/>
            <w:shd w:val="clear" w:color="auto" w:fill="auto"/>
            <w:vAlign w:val="center"/>
          </w:tcPr>
          <w:p>
            <w:pPr>
              <w:jc w:val="center"/>
              <w:rPr>
                <w:rFonts w:ascii="宋体" w:hAnsi="宋体" w:cs="宋体"/>
                <w:sz w:val="24"/>
                <w:highlight w:val="none"/>
              </w:rPr>
            </w:pPr>
            <w:r>
              <w:rPr>
                <w:rFonts w:hint="eastAsia" w:ascii="宋体" w:hAnsi="宋体" w:cs="宋体"/>
                <w:sz w:val="24"/>
                <w:highlight w:val="none"/>
              </w:rPr>
              <w:t>投标保证金</w:t>
            </w:r>
          </w:p>
        </w:tc>
        <w:tc>
          <w:tcPr>
            <w:tcW w:w="7405" w:type="dxa"/>
            <w:shd w:val="clear" w:color="auto" w:fill="auto"/>
            <w:vAlign w:val="center"/>
          </w:tcPr>
          <w:p>
            <w:pPr>
              <w:pStyle w:val="43"/>
              <w:ind w:firstLine="0" w:firstLineChars="0"/>
              <w:rPr>
                <w:rFonts w:ascii="宋体" w:hAnsi="宋体" w:cs="宋体"/>
                <w:sz w:val="24"/>
                <w:highlight w:val="none"/>
              </w:rPr>
            </w:pPr>
            <w:r>
              <w:rPr>
                <w:rFonts w:hint="eastAsia" w:ascii="宋体" w:hAnsi="宋体" w:cs="宋体"/>
                <w:sz w:val="24"/>
                <w:highlight w:val="none"/>
              </w:rPr>
              <w:t xml:space="preserve">本项目 </w:t>
            </w:r>
            <w:r>
              <w:rPr>
                <w:rFonts w:hint="eastAsia" w:ascii="宋体" w:hAnsi="宋体" w:cs="宋体"/>
                <w:sz w:val="24"/>
                <w:highlight w:val="none"/>
              </w:rPr>
              <w:sym w:font="Wingdings 2" w:char="00A3"/>
            </w:r>
            <w:r>
              <w:rPr>
                <w:rFonts w:hint="eastAsia" w:ascii="宋体" w:hAnsi="宋体" w:cs="宋体"/>
                <w:sz w:val="24"/>
                <w:highlight w:val="none"/>
              </w:rPr>
              <w:t>收取 ■不收取投标保证金</w:t>
            </w:r>
          </w:p>
          <w:p>
            <w:pPr>
              <w:pStyle w:val="43"/>
              <w:ind w:firstLine="0" w:firstLineChars="0"/>
              <w:rPr>
                <w:rFonts w:ascii="宋体" w:hAnsi="宋体" w:cs="宋体"/>
                <w:sz w:val="24"/>
                <w:highlight w:val="none"/>
              </w:rPr>
            </w:pPr>
            <w:r>
              <w:rPr>
                <w:rFonts w:hint="eastAsia" w:ascii="宋体" w:hAnsi="宋体" w:cs="宋体"/>
                <w:sz w:val="24"/>
                <w:highlight w:val="none"/>
              </w:rPr>
              <w:t>投标保证金金额：/元（大写：/）；</w:t>
            </w:r>
          </w:p>
          <w:p>
            <w:pPr>
              <w:pStyle w:val="43"/>
              <w:ind w:firstLine="0" w:firstLineChars="0"/>
              <w:rPr>
                <w:rFonts w:ascii="宋体" w:hAnsi="宋体" w:cs="宋体"/>
                <w:sz w:val="24"/>
                <w:highlight w:val="none"/>
              </w:rPr>
            </w:pPr>
            <w:r>
              <w:rPr>
                <w:rFonts w:hint="eastAsia" w:ascii="宋体" w:hAnsi="宋体" w:cs="宋体"/>
                <w:sz w:val="24"/>
                <w:highlight w:val="none"/>
              </w:rPr>
              <w:t>投标保证金形式：/；</w:t>
            </w:r>
          </w:p>
          <w:p>
            <w:pPr>
              <w:pStyle w:val="43"/>
              <w:ind w:firstLine="0" w:firstLineChars="0"/>
              <w:rPr>
                <w:rFonts w:ascii="宋体" w:hAnsi="宋体" w:cs="宋体"/>
                <w:sz w:val="24"/>
                <w:highlight w:val="none"/>
              </w:rPr>
            </w:pPr>
            <w:r>
              <w:rPr>
                <w:rFonts w:hint="eastAsia" w:ascii="宋体" w:hAnsi="宋体" w:cs="宋体"/>
                <w:sz w:val="24"/>
                <w:highlight w:val="none"/>
              </w:rPr>
              <w:t>账户名称：/；</w:t>
            </w:r>
          </w:p>
          <w:p>
            <w:pPr>
              <w:pStyle w:val="43"/>
              <w:ind w:firstLine="0" w:firstLineChars="0"/>
              <w:rPr>
                <w:rFonts w:ascii="宋体" w:hAnsi="宋体" w:cs="宋体"/>
                <w:sz w:val="24"/>
                <w:highlight w:val="none"/>
              </w:rPr>
            </w:pPr>
            <w:r>
              <w:rPr>
                <w:rFonts w:hint="eastAsia" w:ascii="宋体" w:hAnsi="宋体" w:cs="宋体"/>
                <w:sz w:val="24"/>
                <w:highlight w:val="none"/>
              </w:rPr>
              <w:t>银行账号：/；</w:t>
            </w:r>
          </w:p>
          <w:p>
            <w:pPr>
              <w:pStyle w:val="43"/>
              <w:ind w:firstLine="0" w:firstLineChars="0"/>
              <w:rPr>
                <w:rFonts w:ascii="宋体" w:hAnsi="宋体" w:cs="宋体"/>
                <w:sz w:val="24"/>
                <w:highlight w:val="none"/>
              </w:rPr>
            </w:pPr>
            <w:r>
              <w:rPr>
                <w:rFonts w:hint="eastAsia" w:ascii="宋体" w:hAnsi="宋体" w:cs="宋体"/>
                <w:sz w:val="24"/>
                <w:highlight w:val="none"/>
              </w:rPr>
              <w:t>开户行：/；</w:t>
            </w:r>
          </w:p>
          <w:p>
            <w:pPr>
              <w:pStyle w:val="43"/>
              <w:ind w:firstLine="0" w:firstLineChars="0"/>
              <w:rPr>
                <w:rFonts w:ascii="宋体" w:hAnsi="宋体" w:cs="宋体"/>
                <w:sz w:val="24"/>
                <w:highlight w:val="none"/>
              </w:rPr>
            </w:pPr>
            <w:r>
              <w:rPr>
                <w:rFonts w:hint="eastAsia" w:ascii="宋体" w:hAnsi="宋体" w:cs="宋体"/>
                <w:sz w:val="24"/>
                <w:highlight w:val="none"/>
              </w:rPr>
              <w:t>投标保证金递交截止日期：/年/月/日/时/分（以到账时间为准）；</w:t>
            </w:r>
          </w:p>
          <w:p>
            <w:pPr>
              <w:pStyle w:val="43"/>
              <w:ind w:firstLine="0" w:firstLineChars="0"/>
              <w:rPr>
                <w:rFonts w:ascii="宋体" w:hAnsi="宋体" w:cs="宋体"/>
                <w:sz w:val="24"/>
                <w:highlight w:val="none"/>
              </w:rPr>
            </w:pPr>
            <w:r>
              <w:rPr>
                <w:rFonts w:hint="eastAsia" w:ascii="宋体" w:hAnsi="宋体" w:cs="宋体"/>
                <w:sz w:val="24"/>
                <w:highlight w:val="none"/>
              </w:rPr>
              <w:t>保证金必须为供应商基本账户转出，递交保证金需备注项目名称（如有字数限制可备注项目简称）。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12.7.2</w:t>
            </w:r>
          </w:p>
        </w:tc>
        <w:tc>
          <w:tcPr>
            <w:tcW w:w="1836" w:type="dxa"/>
            <w:vMerge w:val="continue"/>
            <w:shd w:val="clear" w:color="auto" w:fill="auto"/>
            <w:vAlign w:val="center"/>
          </w:tcPr>
          <w:p>
            <w:pPr>
              <w:jc w:val="center"/>
              <w:rPr>
                <w:rFonts w:ascii="宋体" w:hAnsi="宋体" w:cs="宋体"/>
                <w:sz w:val="24"/>
                <w:highlight w:val="none"/>
              </w:rPr>
            </w:pPr>
          </w:p>
        </w:tc>
        <w:tc>
          <w:tcPr>
            <w:tcW w:w="7405" w:type="dxa"/>
            <w:shd w:val="clear" w:color="auto" w:fill="auto"/>
            <w:vAlign w:val="center"/>
          </w:tcPr>
          <w:p>
            <w:pPr>
              <w:jc w:val="left"/>
              <w:rPr>
                <w:rFonts w:ascii="宋体" w:hAnsi="宋体" w:cs="宋体"/>
                <w:sz w:val="24"/>
                <w:highlight w:val="none"/>
              </w:rPr>
            </w:pPr>
            <w:r>
              <w:rPr>
                <w:rFonts w:hint="eastAsia" w:ascii="宋体" w:hAnsi="宋体" w:cs="宋体"/>
                <w:sz w:val="24"/>
                <w:highlight w:val="none"/>
              </w:rPr>
              <w:t>投标保证金可以不予退还的其他情形：</w:t>
            </w:r>
          </w:p>
          <w:p>
            <w:pPr>
              <w:jc w:val="left"/>
              <w:rPr>
                <w:rFonts w:ascii="宋体" w:hAnsi="宋体" w:cs="宋体"/>
                <w:sz w:val="24"/>
                <w:highlight w:val="none"/>
              </w:rPr>
            </w:pPr>
            <w:r>
              <w:rPr>
                <w:rFonts w:hint="eastAsia" w:ascii="宋体" w:hAnsi="宋体" w:cs="宋体"/>
                <w:sz w:val="24"/>
                <w:highlight w:val="none"/>
              </w:rPr>
              <w:t>□无</w:t>
            </w:r>
          </w:p>
          <w:p>
            <w:pPr>
              <w:pStyle w:val="24"/>
              <w:adjustRightInd w:val="0"/>
              <w:snapToGrid w:val="0"/>
              <w:rPr>
                <w:rFonts w:hint="default" w:hAnsi="宋体" w:cs="宋体"/>
                <w:sz w:val="24"/>
                <w:highlight w:val="none"/>
              </w:rPr>
            </w:pPr>
            <w:r>
              <w:rPr>
                <w:rFonts w:hAnsi="宋体" w:cs="宋体"/>
                <w:sz w:val="24"/>
                <w:highlight w:val="none"/>
              </w:rPr>
              <w:t>■有，具体情形：</w:t>
            </w:r>
          </w:p>
          <w:p>
            <w:pPr>
              <w:pStyle w:val="24"/>
              <w:adjustRightInd w:val="0"/>
              <w:snapToGrid w:val="0"/>
              <w:rPr>
                <w:rFonts w:hint="default" w:hAnsi="宋体" w:cs="宋体"/>
                <w:sz w:val="24"/>
                <w:highlight w:val="none"/>
              </w:rPr>
            </w:pPr>
            <w:r>
              <w:rPr>
                <w:rFonts w:hAnsi="宋体" w:cs="宋体"/>
                <w:sz w:val="24"/>
                <w:highlight w:val="none"/>
              </w:rPr>
              <w:t>（1）除因不可抗力或招标文件认可的情形以外，中标人放弃中标或者不按本须知的规定与采购人签订合同的；</w:t>
            </w:r>
          </w:p>
          <w:p>
            <w:pPr>
              <w:pStyle w:val="24"/>
              <w:adjustRightInd w:val="0"/>
              <w:snapToGrid w:val="0"/>
              <w:rPr>
                <w:rFonts w:hint="default" w:hAnsi="宋体" w:cs="宋体"/>
                <w:sz w:val="24"/>
                <w:highlight w:val="none"/>
              </w:rPr>
            </w:pPr>
            <w:r>
              <w:rPr>
                <w:rFonts w:hAnsi="宋体" w:cs="宋体"/>
                <w:sz w:val="24"/>
                <w:highlight w:val="none"/>
              </w:rPr>
              <w:t>（2）提供虚假材料的；</w:t>
            </w:r>
          </w:p>
          <w:p>
            <w:pPr>
              <w:pStyle w:val="24"/>
              <w:adjustRightInd w:val="0"/>
              <w:snapToGrid w:val="0"/>
              <w:rPr>
                <w:rFonts w:hint="default" w:hAnsi="宋体" w:cs="宋体"/>
                <w:sz w:val="24"/>
                <w:highlight w:val="none"/>
              </w:rPr>
            </w:pPr>
            <w:r>
              <w:rPr>
                <w:rFonts w:hAnsi="宋体" w:cs="宋体"/>
                <w:sz w:val="24"/>
                <w:highlight w:val="none"/>
              </w:rPr>
              <w:t>（3）投标人与其他投标人恶意串通的；</w:t>
            </w:r>
          </w:p>
          <w:p>
            <w:pPr>
              <w:pStyle w:val="24"/>
              <w:adjustRightInd w:val="0"/>
              <w:snapToGrid w:val="0"/>
              <w:rPr>
                <w:rFonts w:hint="default" w:hAnsi="宋体" w:cs="宋体"/>
                <w:color w:val="FF0000"/>
                <w:sz w:val="24"/>
                <w:highlight w:val="none"/>
                <w:u w:val="single"/>
              </w:rPr>
            </w:pPr>
            <w:r>
              <w:rPr>
                <w:rFonts w:hAnsi="宋体" w:cs="宋体"/>
                <w:sz w:val="24"/>
                <w:highlight w:val="none"/>
              </w:rPr>
              <w:t>（4）招标文件规定的其他情形。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13.1</w:t>
            </w:r>
          </w:p>
        </w:tc>
        <w:tc>
          <w:tcPr>
            <w:tcW w:w="1836" w:type="dxa"/>
            <w:vAlign w:val="center"/>
          </w:tcPr>
          <w:p>
            <w:pPr>
              <w:jc w:val="center"/>
              <w:rPr>
                <w:rFonts w:ascii="宋体" w:hAnsi="宋体" w:cs="宋体"/>
                <w:sz w:val="24"/>
                <w:highlight w:val="none"/>
              </w:rPr>
            </w:pPr>
            <w:r>
              <w:rPr>
                <w:rFonts w:hint="eastAsia" w:ascii="宋体" w:hAnsi="宋体" w:cs="宋体"/>
                <w:sz w:val="24"/>
                <w:highlight w:val="none"/>
              </w:rPr>
              <w:t>投标有效期</w:t>
            </w:r>
          </w:p>
        </w:tc>
        <w:tc>
          <w:tcPr>
            <w:tcW w:w="7405" w:type="dxa"/>
            <w:vAlign w:val="center"/>
          </w:tcPr>
          <w:p>
            <w:pPr>
              <w:jc w:val="left"/>
              <w:rPr>
                <w:rFonts w:ascii="宋体" w:hAnsi="宋体" w:cs="宋体"/>
                <w:sz w:val="24"/>
                <w:highlight w:val="none"/>
              </w:rPr>
            </w:pPr>
            <w:r>
              <w:rPr>
                <w:rFonts w:hint="eastAsia" w:ascii="宋体" w:hAnsi="宋体" w:cs="宋体"/>
                <w:sz w:val="24"/>
                <w:highlight w:val="none"/>
              </w:rPr>
              <w:t>自提交投标文件的截止之日起算</w:t>
            </w:r>
            <w:r>
              <w:rPr>
                <w:rFonts w:hint="eastAsia" w:ascii="宋体" w:hAnsi="宋体" w:cs="宋体"/>
                <w:sz w:val="24"/>
                <w:highlight w:val="none"/>
                <w:u w:val="single"/>
              </w:rPr>
              <w:t>90</w:t>
            </w:r>
            <w:r>
              <w:rPr>
                <w:rFonts w:hint="eastAsia" w:ascii="宋体" w:hAnsi="宋体" w:cs="宋体"/>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18.2</w:t>
            </w:r>
          </w:p>
        </w:tc>
        <w:tc>
          <w:tcPr>
            <w:tcW w:w="1836" w:type="dxa"/>
            <w:vAlign w:val="center"/>
          </w:tcPr>
          <w:p>
            <w:pPr>
              <w:jc w:val="center"/>
              <w:rPr>
                <w:rFonts w:ascii="宋体" w:hAnsi="宋体" w:cs="宋体"/>
                <w:sz w:val="24"/>
                <w:highlight w:val="none"/>
              </w:rPr>
            </w:pPr>
            <w:r>
              <w:rPr>
                <w:rFonts w:hint="eastAsia" w:ascii="宋体" w:hAnsi="宋体" w:cs="宋体"/>
                <w:sz w:val="24"/>
                <w:highlight w:val="none"/>
              </w:rPr>
              <w:t>开标会携带资料</w:t>
            </w:r>
          </w:p>
        </w:tc>
        <w:tc>
          <w:tcPr>
            <w:tcW w:w="7405" w:type="dxa"/>
            <w:vAlign w:val="center"/>
          </w:tcPr>
          <w:p>
            <w:pPr>
              <w:jc w:val="left"/>
              <w:rPr>
                <w:rFonts w:ascii="宋体" w:hAnsi="宋体" w:cs="宋体"/>
                <w:sz w:val="24"/>
                <w:highlight w:val="none"/>
              </w:rPr>
            </w:pPr>
            <w:r>
              <w:rPr>
                <w:rFonts w:hint="eastAsia" w:ascii="宋体" w:hAnsi="宋体" w:cs="宋体"/>
                <w:sz w:val="24"/>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22.1</w:t>
            </w:r>
          </w:p>
        </w:tc>
        <w:tc>
          <w:tcPr>
            <w:tcW w:w="1836" w:type="dxa"/>
            <w:vAlign w:val="center"/>
          </w:tcPr>
          <w:p>
            <w:pPr>
              <w:jc w:val="center"/>
              <w:rPr>
                <w:rFonts w:ascii="宋体" w:hAnsi="宋体" w:cs="宋体"/>
                <w:sz w:val="24"/>
                <w:highlight w:val="none"/>
              </w:rPr>
            </w:pPr>
            <w:r>
              <w:rPr>
                <w:rFonts w:hint="eastAsia" w:ascii="宋体" w:hAnsi="宋体" w:cs="宋体"/>
                <w:sz w:val="24"/>
                <w:highlight w:val="none"/>
              </w:rPr>
              <w:t>确定中标人</w:t>
            </w:r>
          </w:p>
        </w:tc>
        <w:tc>
          <w:tcPr>
            <w:tcW w:w="7405" w:type="dxa"/>
            <w:vAlign w:val="center"/>
          </w:tcPr>
          <w:p>
            <w:pPr>
              <w:pStyle w:val="24"/>
              <w:adjustRightInd w:val="0"/>
              <w:snapToGrid w:val="0"/>
              <w:rPr>
                <w:rFonts w:hint="default" w:hAnsi="宋体" w:cs="宋体"/>
                <w:sz w:val="24"/>
                <w:highlight w:val="none"/>
              </w:rPr>
            </w:pPr>
            <w:r>
              <w:rPr>
                <w:rFonts w:hAnsi="宋体" w:cs="宋体"/>
                <w:sz w:val="24"/>
                <w:highlight w:val="none"/>
              </w:rPr>
              <w:t>中标候选人并列的，采购人是否委托评标委员会确定中标人：</w:t>
            </w:r>
          </w:p>
          <w:p>
            <w:pPr>
              <w:pStyle w:val="24"/>
              <w:adjustRightInd w:val="0"/>
              <w:snapToGrid w:val="0"/>
              <w:rPr>
                <w:rFonts w:hint="default" w:hAnsi="宋体" w:cs="宋体"/>
                <w:sz w:val="24"/>
                <w:highlight w:val="none"/>
              </w:rPr>
            </w:pPr>
            <w:r>
              <w:rPr>
                <w:rFonts w:hAnsi="宋体" w:cs="宋体"/>
                <w:sz w:val="24"/>
                <w:highlight w:val="none"/>
              </w:rPr>
              <w:t>■否</w:t>
            </w:r>
          </w:p>
          <w:p>
            <w:pPr>
              <w:pStyle w:val="24"/>
              <w:adjustRightInd w:val="0"/>
              <w:snapToGrid w:val="0"/>
              <w:rPr>
                <w:rFonts w:hint="default" w:hAnsi="宋体" w:cs="宋体"/>
                <w:sz w:val="24"/>
                <w:highlight w:val="none"/>
              </w:rPr>
            </w:pPr>
            <w:r>
              <w:rPr>
                <w:rFonts w:hAnsi="宋体" w:cs="宋体"/>
                <w:sz w:val="24"/>
                <w:highlight w:val="none"/>
              </w:rPr>
              <w:t>□是</w:t>
            </w:r>
          </w:p>
          <w:p>
            <w:pPr>
              <w:pStyle w:val="24"/>
              <w:adjustRightInd w:val="0"/>
              <w:snapToGrid w:val="0"/>
              <w:rPr>
                <w:rFonts w:hint="default" w:hAnsi="宋体" w:cs="宋体"/>
                <w:highlight w:val="none"/>
              </w:rPr>
            </w:pPr>
            <w:r>
              <w:rPr>
                <w:rFonts w:hAnsi="宋体" w:cs="宋体"/>
                <w:sz w:val="24"/>
                <w:highlight w:val="none"/>
              </w:rPr>
              <w:t>中标候选人并列的，按照以下方式确定中标人：</w:t>
            </w:r>
            <w:r>
              <w:rPr>
                <w:rFonts w:hAnsi="宋体" w:cs="宋体"/>
                <w:highlight w:val="none"/>
              </w:rPr>
              <w:t xml:space="preserve"> </w:t>
            </w:r>
          </w:p>
          <w:p>
            <w:pPr>
              <w:pStyle w:val="24"/>
              <w:adjustRightInd w:val="0"/>
              <w:snapToGrid w:val="0"/>
              <w:rPr>
                <w:rFonts w:hint="default" w:hAnsi="宋体" w:cs="宋体"/>
                <w:sz w:val="24"/>
                <w:highlight w:val="none"/>
              </w:rPr>
            </w:pPr>
            <w:r>
              <w:rPr>
                <w:rFonts w:hAnsi="宋体" w:cs="宋体"/>
                <w:sz w:val="24"/>
                <w:highlight w:val="none"/>
              </w:rPr>
              <w:t>■得分且投标报价均相同的，以</w:t>
            </w:r>
            <w:r>
              <w:rPr>
                <w:rFonts w:hAnsi="宋体" w:cs="宋体"/>
                <w:sz w:val="24"/>
                <w:highlight w:val="none"/>
                <w:u w:val="single"/>
              </w:rPr>
              <w:t>技术评审</w:t>
            </w:r>
            <w:r>
              <w:rPr>
                <w:rFonts w:hAnsi="宋体" w:cs="宋体"/>
                <w:sz w:val="24"/>
                <w:highlight w:val="none"/>
              </w:rPr>
              <w:t>得分高者为中标人</w:t>
            </w:r>
          </w:p>
          <w:p>
            <w:pPr>
              <w:jc w:val="left"/>
              <w:rPr>
                <w:rFonts w:ascii="宋体" w:hAnsi="宋体" w:cs="宋体"/>
                <w:sz w:val="24"/>
                <w:highlight w:val="none"/>
                <w:u w:val="single"/>
              </w:rPr>
            </w:pPr>
            <w:r>
              <w:rPr>
                <w:rFonts w:hint="eastAsia" w:ascii="宋体" w:hAnsi="宋体" w:cs="宋体"/>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25.5</w:t>
            </w:r>
          </w:p>
        </w:tc>
        <w:tc>
          <w:tcPr>
            <w:tcW w:w="1836" w:type="dxa"/>
            <w:vAlign w:val="center"/>
          </w:tcPr>
          <w:p>
            <w:pPr>
              <w:jc w:val="center"/>
              <w:rPr>
                <w:rFonts w:ascii="宋体" w:hAnsi="宋体" w:cs="宋体"/>
                <w:sz w:val="24"/>
                <w:highlight w:val="none"/>
              </w:rPr>
            </w:pPr>
            <w:r>
              <w:rPr>
                <w:rFonts w:hint="eastAsia" w:ascii="宋体" w:hAnsi="宋体" w:cs="宋体"/>
                <w:sz w:val="24"/>
                <w:highlight w:val="none"/>
              </w:rPr>
              <w:t>分包</w:t>
            </w:r>
          </w:p>
        </w:tc>
        <w:tc>
          <w:tcPr>
            <w:tcW w:w="7405" w:type="dxa"/>
            <w:vAlign w:val="center"/>
          </w:tcPr>
          <w:p>
            <w:pPr>
              <w:jc w:val="left"/>
              <w:rPr>
                <w:rFonts w:ascii="宋体" w:hAnsi="宋体" w:cs="宋体"/>
                <w:sz w:val="24"/>
                <w:highlight w:val="none"/>
              </w:rPr>
            </w:pPr>
            <w:r>
              <w:rPr>
                <w:rFonts w:hint="eastAsia" w:ascii="宋体" w:hAnsi="宋体" w:cs="宋体"/>
                <w:sz w:val="24"/>
                <w:highlight w:val="none"/>
              </w:rPr>
              <w:t xml:space="preserve">本项目的非主体、非关键性工作是否允许分包： </w:t>
            </w:r>
          </w:p>
          <w:p>
            <w:pPr>
              <w:jc w:val="left"/>
              <w:rPr>
                <w:rFonts w:ascii="宋体" w:hAnsi="宋体" w:cs="宋体"/>
                <w:sz w:val="24"/>
                <w:highlight w:val="none"/>
              </w:rPr>
            </w:pPr>
            <w:r>
              <w:rPr>
                <w:rFonts w:hint="eastAsia" w:ascii="宋体" w:hAnsi="宋体" w:cs="宋体"/>
                <w:sz w:val="24"/>
                <w:highlight w:val="none"/>
              </w:rPr>
              <w:t>■不允许</w:t>
            </w:r>
          </w:p>
          <w:p>
            <w:pPr>
              <w:jc w:val="left"/>
              <w:rPr>
                <w:rFonts w:ascii="宋体" w:hAnsi="宋体" w:cs="宋体"/>
                <w:sz w:val="24"/>
                <w:highlight w:val="none"/>
              </w:rPr>
            </w:pPr>
            <w:r>
              <w:rPr>
                <w:rFonts w:hint="eastAsia" w:ascii="宋体" w:hAnsi="宋体" w:cs="宋体"/>
                <w:sz w:val="24"/>
                <w:highlight w:val="none"/>
              </w:rPr>
              <w:t>□允许，具体要求：</w:t>
            </w:r>
          </w:p>
          <w:p>
            <w:pPr>
              <w:jc w:val="left"/>
              <w:rPr>
                <w:rFonts w:ascii="宋体" w:hAnsi="宋体" w:cs="宋体"/>
                <w:sz w:val="24"/>
                <w:highlight w:val="none"/>
              </w:rPr>
            </w:pPr>
            <w:r>
              <w:rPr>
                <w:rFonts w:hint="eastAsia" w:ascii="宋体" w:hAnsi="宋体" w:cs="宋体"/>
                <w:sz w:val="24"/>
                <w:highlight w:val="none"/>
              </w:rPr>
              <w:t>（1）可以分包履行的具体内容：___/__；</w:t>
            </w:r>
          </w:p>
          <w:p>
            <w:pPr>
              <w:jc w:val="left"/>
              <w:rPr>
                <w:rFonts w:ascii="宋体" w:hAnsi="宋体" w:cs="宋体"/>
                <w:sz w:val="24"/>
                <w:highlight w:val="none"/>
              </w:rPr>
            </w:pPr>
            <w:r>
              <w:rPr>
                <w:rFonts w:hint="eastAsia" w:ascii="宋体" w:hAnsi="宋体" w:cs="宋体"/>
                <w:sz w:val="24"/>
                <w:highlight w:val="none"/>
              </w:rPr>
              <w:t>（2）允许分包的金额或者比例：___/__；</w:t>
            </w:r>
          </w:p>
          <w:p>
            <w:pPr>
              <w:jc w:val="left"/>
              <w:rPr>
                <w:rFonts w:ascii="宋体" w:hAnsi="宋体" w:cs="宋体"/>
                <w:sz w:val="24"/>
                <w:highlight w:val="none"/>
                <w:u w:val="single"/>
              </w:rPr>
            </w:pPr>
            <w:r>
              <w:rPr>
                <w:rFonts w:hint="eastAsia" w:ascii="宋体" w:hAnsi="宋体" w:cs="宋体"/>
                <w:sz w:val="24"/>
                <w:highlight w:val="none"/>
              </w:rPr>
              <w:t>（3）其他要求：__/__。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26.1.1</w:t>
            </w:r>
          </w:p>
        </w:tc>
        <w:tc>
          <w:tcPr>
            <w:tcW w:w="1836" w:type="dxa"/>
            <w:vAlign w:val="center"/>
          </w:tcPr>
          <w:p>
            <w:pPr>
              <w:jc w:val="center"/>
              <w:rPr>
                <w:rFonts w:ascii="宋体" w:hAnsi="宋体" w:cs="宋体"/>
                <w:sz w:val="24"/>
                <w:highlight w:val="none"/>
              </w:rPr>
            </w:pPr>
            <w:r>
              <w:rPr>
                <w:rFonts w:hint="eastAsia" w:ascii="宋体" w:hAnsi="宋体" w:cs="宋体"/>
                <w:sz w:val="24"/>
                <w:highlight w:val="none"/>
              </w:rPr>
              <w:t>询问</w:t>
            </w:r>
          </w:p>
        </w:tc>
        <w:tc>
          <w:tcPr>
            <w:tcW w:w="7405" w:type="dxa"/>
            <w:vAlign w:val="center"/>
          </w:tcPr>
          <w:p>
            <w:pPr>
              <w:jc w:val="left"/>
              <w:rPr>
                <w:rFonts w:ascii="宋体" w:hAnsi="宋体" w:cs="宋体"/>
                <w:sz w:val="24"/>
                <w:highlight w:val="none"/>
              </w:rPr>
            </w:pPr>
            <w:r>
              <w:rPr>
                <w:rFonts w:hint="eastAsia" w:ascii="宋体" w:hAnsi="宋体" w:cs="宋体"/>
                <w:sz w:val="24"/>
                <w:highlight w:val="none"/>
              </w:rPr>
              <w:t>询问送达形式：纸质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26.3</w:t>
            </w:r>
          </w:p>
        </w:tc>
        <w:tc>
          <w:tcPr>
            <w:tcW w:w="1836" w:type="dxa"/>
            <w:vAlign w:val="center"/>
          </w:tcPr>
          <w:p>
            <w:pPr>
              <w:jc w:val="center"/>
              <w:rPr>
                <w:rFonts w:ascii="宋体" w:hAnsi="宋体" w:cs="宋体"/>
                <w:sz w:val="24"/>
                <w:highlight w:val="none"/>
              </w:rPr>
            </w:pPr>
            <w:r>
              <w:rPr>
                <w:rFonts w:hint="eastAsia" w:ascii="宋体" w:hAnsi="宋体" w:cs="宋体"/>
                <w:sz w:val="24"/>
                <w:highlight w:val="none"/>
              </w:rPr>
              <w:t>联系方式</w:t>
            </w:r>
          </w:p>
        </w:tc>
        <w:tc>
          <w:tcPr>
            <w:tcW w:w="7405" w:type="dxa"/>
            <w:vAlign w:val="center"/>
          </w:tcPr>
          <w:p>
            <w:pPr>
              <w:jc w:val="left"/>
              <w:rPr>
                <w:rFonts w:ascii="宋体" w:hAnsi="宋体" w:cs="宋体"/>
                <w:sz w:val="24"/>
                <w:highlight w:val="none"/>
              </w:rPr>
            </w:pPr>
            <w:r>
              <w:rPr>
                <w:rFonts w:hint="eastAsia" w:ascii="宋体" w:hAnsi="宋体" w:cs="宋体"/>
                <w:sz w:val="24"/>
                <w:highlight w:val="none"/>
              </w:rPr>
              <w:t>接收询问和质疑的联系方式</w:t>
            </w:r>
          </w:p>
          <w:p>
            <w:pPr>
              <w:jc w:val="left"/>
              <w:rPr>
                <w:rFonts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北京中盛宇工程管理有限公司-招标部</w:t>
            </w:r>
            <w:r>
              <w:rPr>
                <w:rFonts w:hint="eastAsia" w:ascii="宋体" w:hAnsi="宋体" w:cs="宋体"/>
                <w:sz w:val="24"/>
                <w:highlight w:val="none"/>
              </w:rPr>
              <w:t>；</w:t>
            </w:r>
          </w:p>
          <w:p>
            <w:pPr>
              <w:jc w:val="left"/>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010-69415773</w:t>
            </w:r>
            <w:r>
              <w:rPr>
                <w:rFonts w:hint="eastAsia" w:ascii="宋体" w:hAnsi="宋体" w:cs="宋体"/>
                <w:sz w:val="24"/>
                <w:highlight w:val="none"/>
              </w:rPr>
              <w:t>；</w:t>
            </w:r>
          </w:p>
          <w:p>
            <w:pPr>
              <w:jc w:val="left"/>
              <w:rPr>
                <w:rFonts w:ascii="宋体" w:hAnsi="宋体" w:cs="宋体"/>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北京市顺义区双丰街道顺安南路12号一区26号楼北侧三层</w:t>
            </w:r>
            <w:r>
              <w:rPr>
                <w:rFonts w:hint="eastAsia" w:ascii="宋体" w:hAnsi="宋体" w:cs="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sz w:val="24"/>
                <w:szCs w:val="24"/>
                <w:highlight w:val="none"/>
              </w:rPr>
            </w:pPr>
            <w:r>
              <w:rPr>
                <w:rFonts w:hAnsi="宋体" w:cs="宋体"/>
                <w:sz w:val="24"/>
                <w:szCs w:val="24"/>
                <w:highlight w:val="none"/>
              </w:rPr>
              <w:t>27</w:t>
            </w:r>
          </w:p>
        </w:tc>
        <w:tc>
          <w:tcPr>
            <w:tcW w:w="1836" w:type="dxa"/>
            <w:vAlign w:val="center"/>
          </w:tcPr>
          <w:p>
            <w:pPr>
              <w:jc w:val="center"/>
              <w:rPr>
                <w:rFonts w:ascii="宋体" w:hAnsi="宋体" w:cs="宋体"/>
                <w:sz w:val="24"/>
                <w:highlight w:val="none"/>
              </w:rPr>
            </w:pPr>
            <w:r>
              <w:rPr>
                <w:rFonts w:hint="eastAsia" w:ascii="宋体" w:hAnsi="宋体" w:cs="宋体"/>
                <w:sz w:val="24"/>
                <w:highlight w:val="none"/>
              </w:rPr>
              <w:t>代理费支付</w:t>
            </w:r>
          </w:p>
        </w:tc>
        <w:tc>
          <w:tcPr>
            <w:tcW w:w="7405" w:type="dxa"/>
            <w:vAlign w:val="center"/>
          </w:tcPr>
          <w:p>
            <w:pPr>
              <w:jc w:val="left"/>
              <w:rPr>
                <w:rFonts w:ascii="宋体" w:hAnsi="宋体" w:cs="宋体"/>
                <w:highlight w:val="none"/>
              </w:rPr>
            </w:pPr>
            <w:r>
              <w:rPr>
                <w:rFonts w:hint="eastAsia" w:ascii="宋体" w:hAnsi="宋体" w:cs="宋体"/>
                <w:highlight w:val="none"/>
              </w:rPr>
              <w:t>收费对象：</w:t>
            </w:r>
          </w:p>
          <w:p>
            <w:pPr>
              <w:jc w:val="left"/>
              <w:rPr>
                <w:rFonts w:ascii="宋体" w:hAnsi="宋体" w:cs="宋体"/>
                <w:highlight w:val="none"/>
              </w:rPr>
            </w:pPr>
            <w:r>
              <w:rPr>
                <w:rFonts w:hint="eastAsia" w:ascii="宋体" w:hAnsi="宋体" w:cs="宋体"/>
                <w:highlight w:val="none"/>
              </w:rPr>
              <w:t>□采购人</w:t>
            </w:r>
          </w:p>
          <w:p>
            <w:pPr>
              <w:jc w:val="left"/>
              <w:rPr>
                <w:rFonts w:ascii="宋体" w:hAnsi="宋体" w:cs="宋体"/>
                <w:highlight w:val="none"/>
              </w:rPr>
            </w:pPr>
            <w:r>
              <w:rPr>
                <w:rFonts w:hint="eastAsia" w:ascii="宋体" w:hAnsi="宋体" w:cs="宋体"/>
                <w:highlight w:val="none"/>
              </w:rPr>
              <w:t>■成交供应商</w:t>
            </w:r>
          </w:p>
          <w:p>
            <w:pPr>
              <w:jc w:val="left"/>
              <w:rPr>
                <w:rFonts w:hint="eastAsia" w:ascii="宋体" w:hAnsi="宋体" w:cs="宋体"/>
                <w:sz w:val="24"/>
                <w:highlight w:val="none"/>
                <w:u w:val="single"/>
              </w:rPr>
            </w:pPr>
            <w:r>
              <w:rPr>
                <w:rFonts w:hint="eastAsia" w:ascii="宋体" w:hAnsi="宋体" w:cs="宋体"/>
                <w:highlight w:val="none"/>
              </w:rPr>
              <w:t>收费标准：</w:t>
            </w:r>
            <w:bookmarkStart w:id="977" w:name="_GoBack"/>
            <w:r>
              <w:rPr>
                <w:rFonts w:hint="eastAsia" w:ascii="宋体" w:hAnsi="宋体" w:cs="宋体"/>
                <w:highlight w:val="none"/>
                <w:u w:val="single"/>
              </w:rPr>
              <w:t>最终招标代理费根据《国家发展改革委关于进一步放开建设项目专业服务价格的通知》“发改价格【2015】299号”文件及（附件1）的收费标准，以中标价为基数按差额定率累进法计算打7.5折计取。</w:t>
            </w:r>
          </w:p>
          <w:bookmarkEnd w:id="977"/>
          <w:p>
            <w:pPr>
              <w:jc w:val="left"/>
              <w:rPr>
                <w:rFonts w:hint="eastAsia" w:ascii="宋体" w:hAnsi="宋体" w:eastAsia="宋体" w:cs="宋体"/>
                <w:sz w:val="24"/>
                <w:highlight w:val="none"/>
                <w:u w:val="single"/>
              </w:rPr>
            </w:pPr>
            <w:r>
              <w:rPr>
                <w:rFonts w:hint="eastAsia" w:ascii="宋体" w:hAnsi="宋体" w:eastAsia="宋体" w:cs="宋体"/>
                <w:sz w:val="24"/>
                <w:highlight w:val="none"/>
                <w:u w:val="single"/>
              </w:rPr>
              <w:t>缴纳时间：由中标人支付代理报酬的，在中标人领取中标通知书的当日，将本协议约定的全部代理报酬一次性支付给乙方。</w:t>
            </w:r>
          </w:p>
          <w:p>
            <w:pPr>
              <w:jc w:val="center"/>
              <w:rPr>
                <w:rFonts w:ascii="宋体" w:hAnsi="宋体" w:cs="宋体"/>
                <w:sz w:val="22"/>
                <w:szCs w:val="28"/>
                <w:highlight w:val="none"/>
              </w:rPr>
            </w:pPr>
            <w:r>
              <w:rPr>
                <w:rFonts w:hint="eastAsia" w:ascii="宋体" w:hAnsi="宋体" w:cs="宋体"/>
                <w:sz w:val="22"/>
                <w:szCs w:val="28"/>
                <w:highlight w:val="none"/>
              </w:rPr>
              <w:t>附件1</w:t>
            </w:r>
          </w:p>
          <w:tbl>
            <w:tblPr>
              <w:tblStyle w:val="45"/>
              <w:tblW w:w="4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4"/>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2664" w:type="dxa"/>
                  <w:tcBorders>
                    <w:top w:val="single" w:color="auto" w:sz="4" w:space="0"/>
                    <w:left w:val="single" w:color="auto" w:sz="4" w:space="0"/>
                    <w:bottom w:val="single" w:color="auto" w:sz="4" w:space="0"/>
                    <w:right w:val="single" w:color="auto" w:sz="4" w:space="0"/>
                  </w:tcBorders>
                </w:tcPr>
                <w:p>
                  <w:pPr>
                    <w:jc w:val="center"/>
                    <w:rPr>
                      <w:rFonts w:ascii="宋体" w:hAnsi="宋体" w:cs="宋体"/>
                      <w:highlight w:val="none"/>
                    </w:rPr>
                  </w:pPr>
                  <w:r>
                    <w:rPr>
                      <w:rFonts w:hint="eastAsia" w:ascii="宋体" w:hAnsi="宋体" w:cs="宋体"/>
                      <w:highlight w:val="none"/>
                    </w:rPr>
                    <mc:AlternateContent>
                      <mc:Choice Requires="wps">
                        <w:drawing>
                          <wp:anchor distT="0" distB="0" distL="114300" distR="114300" simplePos="0" relativeHeight="251663360" behindDoc="0" locked="0" layoutInCell="1" allowOverlap="1">
                            <wp:simplePos x="0" y="0"/>
                            <wp:positionH relativeFrom="column">
                              <wp:posOffset>-60325</wp:posOffset>
                            </wp:positionH>
                            <wp:positionV relativeFrom="paragraph">
                              <wp:posOffset>14605</wp:posOffset>
                            </wp:positionV>
                            <wp:extent cx="1660525" cy="675005"/>
                            <wp:effectExtent l="4445" t="3175" r="11430" b="7620"/>
                            <wp:wrapNone/>
                            <wp:docPr id="9" name="任意多边形 9"/>
                            <wp:cNvGraphicFramePr/>
                            <a:graphic xmlns:a="http://schemas.openxmlformats.org/drawingml/2006/main">
                              <a:graphicData uri="http://schemas.microsoft.com/office/word/2010/wordprocessingShape">
                                <wps:wsp>
                                  <wps:cNvSpPr/>
                                  <wps:spPr>
                                    <a:xfrm>
                                      <a:off x="0" y="0"/>
                                      <a:ext cx="1660525" cy="675005"/>
                                    </a:xfrm>
                                    <a:custGeom>
                                      <a:avLst/>
                                      <a:gdLst/>
                                      <a:ahLst/>
                                      <a:cxnLst/>
                                      <a:rect l="0" t="0" r="0" b="0"/>
                                      <a:pathLst>
                                        <a:path w="2482" h="907">
                                          <a:moveTo>
                                            <a:pt x="12" y="0"/>
                                          </a:moveTo>
                                          <a:lnTo>
                                            <a:pt x="0" y="13"/>
                                          </a:lnTo>
                                          <a:lnTo>
                                            <a:pt x="2482" y="907"/>
                                          </a:lnTo>
                                        </a:path>
                                      </a:pathLst>
                                    </a:custGeom>
                                    <a:noFill/>
                                    <a:ln w="6350"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75pt;margin-top:1.15pt;height:53.15pt;width:130.75pt;z-index:251663360;mso-width-relative:page;mso-height-relative:page;" filled="f" stroked="t" coordsize="2482,907" o:gfxdata="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lA5jL2AAAAAgBAAAP&#10;AAAAAAAAAAEAIAAAACIAAABkcnMvZG93bnJldi54bWxQSwECFAAUAAAACACHTuJAKZrvr1ECAADY&#10;BAAADgAAAAAAAAABACAAAAAnAQAAZHJzL2Uyb0RvYy54bWxQSwUGAAAAAAYABgBZAQAA6gUAAAAA&#10;" path="m12,0l0,13,2482,907e">
                            <v:fill on="f" focussize="0,0"/>
                            <v:stroke weight="0.5pt" color="#000000" joinstyle="round"/>
                            <v:imagedata o:title=""/>
                            <o:lock v:ext="edit" aspectratio="f"/>
                          </v:shape>
                        </w:pict>
                      </mc:Fallback>
                    </mc:AlternateContent>
                  </w:r>
                  <w:r>
                    <w:rPr>
                      <w:rFonts w:hint="eastAsia" w:ascii="宋体" w:hAnsi="宋体" w:cs="宋体"/>
                      <w:highlight w:val="none"/>
                    </w:rPr>
                    <mc:AlternateContent>
                      <mc:Choice Requires="wps">
                        <w:drawing>
                          <wp:anchor distT="0" distB="0" distL="114300" distR="114300" simplePos="0" relativeHeight="251664384" behindDoc="0" locked="0" layoutInCell="1" allowOverlap="1">
                            <wp:simplePos x="0" y="0"/>
                            <wp:positionH relativeFrom="column">
                              <wp:posOffset>1209040</wp:posOffset>
                            </wp:positionH>
                            <wp:positionV relativeFrom="paragraph">
                              <wp:posOffset>69215</wp:posOffset>
                            </wp:positionV>
                            <wp:extent cx="273685" cy="351155"/>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273685" cy="351155"/>
                                    </a:xfrm>
                                    <a:prstGeom prst="rect">
                                      <a:avLst/>
                                    </a:prstGeom>
                                    <a:noFill/>
                                    <a:ln>
                                      <a:noFill/>
                                    </a:ln>
                                  </wps:spPr>
                                  <wps:txbx>
                                    <w:txbxContent>
                                      <w:p>
                                        <w:pPr>
                                          <w:snapToGrid w:val="0"/>
                                          <w:rPr>
                                            <w:szCs w:val="21"/>
                                          </w:rPr>
                                        </w:pPr>
                                        <w:r>
                                          <w:rPr>
                                            <w:rFonts w:hint="eastAsia"/>
                                            <w:szCs w:val="21"/>
                                          </w:rPr>
                                          <w:t>服务</w:t>
                                        </w:r>
                                      </w:p>
                                      <w:p>
                                        <w:pPr>
                                          <w:snapToGrid w:val="0"/>
                                          <w:rPr>
                                            <w:szCs w:val="21"/>
                                          </w:rPr>
                                        </w:pPr>
                                        <w:r>
                                          <w:rPr>
                                            <w:rFonts w:hint="eastAsia"/>
                                            <w:szCs w:val="21"/>
                                          </w:rPr>
                                          <w:t>类型</w:t>
                                        </w:r>
                                      </w:p>
                                    </w:txbxContent>
                                  </wps:txbx>
                                  <wps:bodyPr lIns="0" tIns="0" rIns="0" bIns="0" upright="1"/>
                                </wps:wsp>
                              </a:graphicData>
                            </a:graphic>
                          </wp:anchor>
                        </w:drawing>
                      </mc:Choice>
                      <mc:Fallback>
                        <w:pict>
                          <v:shape id="_x0000_s1026" o:spid="_x0000_s1026" o:spt="202" type="#_x0000_t202" style="position:absolute;left:0pt;margin-left:95.2pt;margin-top:5.45pt;height:27.65pt;width:21.55pt;z-index:251664384;mso-width-relative:page;mso-height-relative:page;" filled="f" stroked="f" coordsize="21600,21600" o:gfxdata="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XL4RjXAAAACQEAAA8AAAAAAAAAAQAgAAAAIgAAAGRycy9kb3ducmV2LnhtbFBLAQIU&#10;ABQAAAAIAIdO4kD7eRX9uwEAAHMDAAAOAAAAAAAAAAEAIAAAACYBAABkcnMvZTJvRG9jLnhtbFBL&#10;BQYAAAAABgAGAFkBAABTBQAAAAA=&#10;">
                            <v:fill on="f" focussize="0,0"/>
                            <v:stroke on="f"/>
                            <v:imagedata o:title=""/>
                            <o:lock v:ext="edit" aspectratio="f"/>
                            <v:textbox inset="0mm,0mm,0mm,0mm">
                              <w:txbxContent>
                                <w:p>
                                  <w:pPr>
                                    <w:snapToGrid w:val="0"/>
                                    <w:rPr>
                                      <w:szCs w:val="21"/>
                                    </w:rPr>
                                  </w:pPr>
                                  <w:r>
                                    <w:rPr>
                                      <w:rFonts w:hint="eastAsia"/>
                                      <w:szCs w:val="21"/>
                                    </w:rPr>
                                    <w:t>服务</w:t>
                                  </w:r>
                                </w:p>
                                <w:p>
                                  <w:pPr>
                                    <w:snapToGrid w:val="0"/>
                                    <w:rPr>
                                      <w:szCs w:val="21"/>
                                    </w:rPr>
                                  </w:pPr>
                                  <w:r>
                                    <w:rPr>
                                      <w:rFonts w:hint="eastAsia"/>
                                      <w:szCs w:val="21"/>
                                    </w:rPr>
                                    <w:t>类型</w:t>
                                  </w:r>
                                </w:p>
                              </w:txbxContent>
                            </v:textbox>
                          </v:shape>
                        </w:pict>
                      </mc:Fallback>
                    </mc:AlternateContent>
                  </w:r>
                  <w:r>
                    <w:rPr>
                      <w:rFonts w:hint="eastAsia" w:ascii="宋体" w:hAnsi="宋体" w:cs="宋体"/>
                      <w:highlight w:val="none"/>
                    </w:rPr>
                    <mc:AlternateContent>
                      <mc:Choice Requires="wps">
                        <w:drawing>
                          <wp:anchor distT="0" distB="0" distL="114300" distR="114300" simplePos="0" relativeHeight="251666432" behindDoc="0" locked="0" layoutInCell="1" allowOverlap="1">
                            <wp:simplePos x="0" y="0"/>
                            <wp:positionH relativeFrom="column">
                              <wp:posOffset>582295</wp:posOffset>
                            </wp:positionH>
                            <wp:positionV relativeFrom="paragraph">
                              <wp:posOffset>152400</wp:posOffset>
                            </wp:positionV>
                            <wp:extent cx="299720" cy="17526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99720" cy="175260"/>
                                    </a:xfrm>
                                    <a:prstGeom prst="rect">
                                      <a:avLst/>
                                    </a:prstGeom>
                                    <a:noFill/>
                                    <a:ln>
                                      <a:noFill/>
                                    </a:ln>
                                  </wps:spPr>
                                  <wps:txbx>
                                    <w:txbxContent>
                                      <w:p>
                                        <w:pPr>
                                          <w:snapToGrid w:val="0"/>
                                          <w:rPr>
                                            <w:szCs w:val="21"/>
                                          </w:rPr>
                                        </w:pPr>
                                        <w:r>
                                          <w:rPr>
                                            <w:rFonts w:hint="eastAsia"/>
                                            <w:szCs w:val="21"/>
                                          </w:rPr>
                                          <w:t>费率</w:t>
                                        </w:r>
                                      </w:p>
                                    </w:txbxContent>
                                  </wps:txbx>
                                  <wps:bodyPr lIns="0" tIns="0" rIns="0" bIns="0" upright="1"/>
                                </wps:wsp>
                              </a:graphicData>
                            </a:graphic>
                          </wp:anchor>
                        </w:drawing>
                      </mc:Choice>
                      <mc:Fallback>
                        <w:pict>
                          <v:shape id="_x0000_s1026" o:spid="_x0000_s1026" o:spt="202" type="#_x0000_t202" style="position:absolute;left:0pt;margin-left:45.85pt;margin-top:12pt;height:13.8pt;width:23.6pt;z-index:251666432;mso-width-relative:page;mso-height-relative:page;" filled="f" stroked="f" coordsize="21600,21600" o:gfxdata="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LkHFb9cAAAAIAQAADwAAAAAAAAABACAAAAAiAAAAZHJzL2Rvd25yZXYueG1sUEsBAhQA&#10;FAAAAAgAh07iQNCwnvq6AQAAcQMAAA4AAAAAAAAAAQAgAAAAJgEAAGRycy9lMm9Eb2MueG1sUEsF&#10;BgAAAAAGAAYAWQEAAFIFAAAAAA==&#10;">
                            <v:fill on="f" focussize="0,0"/>
                            <v:stroke on="f"/>
                            <v:imagedata o:title=""/>
                            <o:lock v:ext="edit" aspectratio="f"/>
                            <v:textbox inset="0mm,0mm,0mm,0mm">
                              <w:txbxContent>
                                <w:p>
                                  <w:pPr>
                                    <w:snapToGrid w:val="0"/>
                                    <w:rPr>
                                      <w:szCs w:val="21"/>
                                    </w:rPr>
                                  </w:pPr>
                                  <w:r>
                                    <w:rPr>
                                      <w:rFonts w:hint="eastAsia"/>
                                      <w:szCs w:val="21"/>
                                    </w:rPr>
                                    <w:t>费率</w:t>
                                  </w:r>
                                </w:p>
                              </w:txbxContent>
                            </v:textbox>
                          </v:shape>
                        </w:pict>
                      </mc:Fallback>
                    </mc:AlternateContent>
                  </w:r>
                  <w:r>
                    <w:rPr>
                      <w:rFonts w:hint="eastAsia" w:ascii="宋体" w:hAnsi="宋体" w:cs="宋体"/>
                      <w:highlight w:val="none"/>
                    </w:rPr>
                    <mc:AlternateContent>
                      <mc:Choice Requires="wps">
                        <w:drawing>
                          <wp:anchor distT="0" distB="0" distL="114300" distR="114300" simplePos="0" relativeHeight="251667456" behindDoc="0" locked="0" layoutInCell="1" allowOverlap="1">
                            <wp:simplePos x="0" y="0"/>
                            <wp:positionH relativeFrom="column">
                              <wp:posOffset>6985</wp:posOffset>
                            </wp:positionH>
                            <wp:positionV relativeFrom="paragraph">
                              <wp:posOffset>376555</wp:posOffset>
                            </wp:positionV>
                            <wp:extent cx="575310" cy="33147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575310" cy="331470"/>
                                    </a:xfrm>
                                    <a:prstGeom prst="rect">
                                      <a:avLst/>
                                    </a:prstGeom>
                                    <a:noFill/>
                                    <a:ln>
                                      <a:noFill/>
                                    </a:ln>
                                  </wps:spPr>
                                  <wps:txbx>
                                    <w:txbxContent>
                                      <w:p>
                                        <w:pPr>
                                          <w:snapToGrid w:val="0"/>
                                          <w:rPr>
                                            <w:szCs w:val="21"/>
                                          </w:rPr>
                                        </w:pPr>
                                        <w:r>
                                          <w:rPr>
                                            <w:rFonts w:hint="eastAsia"/>
                                            <w:szCs w:val="21"/>
                                          </w:rPr>
                                          <w:t>中标金额</w:t>
                                        </w:r>
                                      </w:p>
                                      <w:p>
                                        <w:pPr>
                                          <w:snapToGrid w:val="0"/>
                                          <w:rPr>
                                            <w:szCs w:val="21"/>
                                          </w:rPr>
                                        </w:pPr>
                                        <w:r>
                                          <w:rPr>
                                            <w:rFonts w:hint="eastAsia"/>
                                            <w:szCs w:val="21"/>
                                          </w:rPr>
                                          <w:t>（万元）</w:t>
                                        </w:r>
                                      </w:p>
                                    </w:txbxContent>
                                  </wps:txbx>
                                  <wps:bodyPr lIns="0" tIns="0" rIns="0" bIns="0" upright="1"/>
                                </wps:wsp>
                              </a:graphicData>
                            </a:graphic>
                          </wp:anchor>
                        </w:drawing>
                      </mc:Choice>
                      <mc:Fallback>
                        <w:pict>
                          <v:shape id="_x0000_s1026" o:spid="_x0000_s1026" o:spt="202" type="#_x0000_t202" style="position:absolute;left:0pt;margin-left:0.55pt;margin-top:29.65pt;height:26.1pt;width:45.3pt;z-index:251667456;mso-width-relative:page;mso-height-relative:page;" filled="f" stroked="f" coordsize="21600,21600" o:gfxdata="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TyLpz1AAAAAcBAAAPAAAAAAAAAAEAIAAAACIAAABkcnMvZG93bnJldi54bWxQSwECFAAU&#10;AAAACACHTuJAMO+AbbwBAABzAwAADgAAAAAAAAABACAAAAAjAQAAZHJzL2Uyb0RvYy54bWxQSwUG&#10;AAAAAAYABgBZAQAAUQUAAAAA&#10;">
                            <v:fill on="f" focussize="0,0"/>
                            <v:stroke on="f"/>
                            <v:imagedata o:title=""/>
                            <o:lock v:ext="edit" aspectratio="f"/>
                            <v:textbox inset="0mm,0mm,0mm,0mm">
                              <w:txbxContent>
                                <w:p>
                                  <w:pPr>
                                    <w:snapToGrid w:val="0"/>
                                    <w:rPr>
                                      <w:szCs w:val="21"/>
                                    </w:rPr>
                                  </w:pPr>
                                  <w:r>
                                    <w:rPr>
                                      <w:rFonts w:hint="eastAsia"/>
                                      <w:szCs w:val="21"/>
                                    </w:rPr>
                                    <w:t>中标金额</w:t>
                                  </w:r>
                                </w:p>
                                <w:p>
                                  <w:pPr>
                                    <w:snapToGrid w:val="0"/>
                                    <w:rPr>
                                      <w:szCs w:val="21"/>
                                    </w:rPr>
                                  </w:pPr>
                                  <w:r>
                                    <w:rPr>
                                      <w:rFonts w:hint="eastAsia"/>
                                      <w:szCs w:val="21"/>
                                    </w:rPr>
                                    <w:t>（万元）</w:t>
                                  </w:r>
                                </w:p>
                              </w:txbxContent>
                            </v:textbox>
                          </v:shape>
                        </w:pict>
                      </mc:Fallback>
                    </mc:AlternateContent>
                  </w:r>
                  <w:r>
                    <w:rPr>
                      <w:rFonts w:hint="eastAsia" w:ascii="宋体" w:hAnsi="宋体" w:cs="宋体"/>
                      <w:highlight w:val="none"/>
                    </w:rPr>
                    <mc:AlternateContent>
                      <mc:Choice Requires="wps">
                        <w:drawing>
                          <wp:anchor distT="0" distB="0" distL="114300" distR="114300" simplePos="0" relativeHeight="251662336" behindDoc="0" locked="0" layoutInCell="1" allowOverlap="1">
                            <wp:simplePos x="0" y="0"/>
                            <wp:positionH relativeFrom="column">
                              <wp:posOffset>708660</wp:posOffset>
                            </wp:positionH>
                            <wp:positionV relativeFrom="paragraph">
                              <wp:posOffset>0</wp:posOffset>
                            </wp:positionV>
                            <wp:extent cx="904240" cy="695325"/>
                            <wp:effectExtent l="3175" t="3810" r="6985" b="5715"/>
                            <wp:wrapNone/>
                            <wp:docPr id="10" name="直接连接符 10"/>
                            <wp:cNvGraphicFramePr/>
                            <a:graphic xmlns:a="http://schemas.openxmlformats.org/drawingml/2006/main">
                              <a:graphicData uri="http://schemas.microsoft.com/office/word/2010/wordprocessingShape">
                                <wps:wsp>
                                  <wps:cNvCnPr/>
                                  <wps:spPr>
                                    <a:xfrm>
                                      <a:off x="0" y="0"/>
                                      <a:ext cx="904240" cy="695325"/>
                                    </a:xfrm>
                                    <a:prstGeom prst="line">
                                      <a:avLst/>
                                    </a:prstGeom>
                                    <a:ln w="63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55.8pt;margin-top:0pt;height:54.75pt;width:71.2pt;z-index:251662336;mso-width-relative:page;mso-height-relative:page;" filled="f" stroked="t" coordsize="21600,21600" o:gfxdata="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or7L&#10;d9MAAAAIAQAADwAAAAAAAAABACAAAAAiAAAAZHJzL2Rvd25yZXYueG1sUEsBAhQAFAAAAAgAh07i&#10;QHUy2CnuAQAA3gMAAA4AAAAAAAAAAQAgAAAAIgEAAGRycy9lMm9Eb2MueG1sUEsFBgAAAAAGAAYA&#10;WQEAAIIFAAAAAA==&#10;">
                            <v:fill on="f" focussize="0,0"/>
                            <v:stroke weight="0.5pt" color="#000000" joinstyle="round"/>
                            <v:imagedata o:title=""/>
                            <o:lock v:ext="edit" aspectratio="f"/>
                          </v:line>
                        </w:pict>
                      </mc:Fallback>
                    </mc:AlternateContent>
                  </w:r>
                </w:p>
              </w:tc>
              <w:tc>
                <w:tcPr>
                  <w:tcW w:w="21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8"/>
                      <w:szCs w:val="28"/>
                      <w:highlight w:val="none"/>
                    </w:rPr>
                  </w:pPr>
                  <w:r>
                    <w:rPr>
                      <w:rFonts w:hint="eastAsia" w:ascii="宋体" w:hAnsi="宋体" w:cs="宋体"/>
                      <w:sz w:val="28"/>
                      <w:szCs w:val="28"/>
                      <w:highlight w:val="none"/>
                    </w:rPr>
                    <w:t>服务招标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66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 w:val="24"/>
                      <w:highlight w:val="none"/>
                    </w:rPr>
                  </w:pPr>
                  <w:r>
                    <w:rPr>
                      <w:rFonts w:hint="eastAsia" w:ascii="宋体" w:hAnsi="宋体" w:cs="宋体"/>
                      <w:sz w:val="24"/>
                      <w:highlight w:val="none"/>
                    </w:rPr>
                    <w:t>100以下</w:t>
                  </w:r>
                </w:p>
              </w:tc>
              <w:tc>
                <w:tcPr>
                  <w:tcW w:w="2155"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 w:val="24"/>
                      <w:highlight w:val="none"/>
                    </w:rPr>
                  </w:pPr>
                  <w:r>
                    <w:rPr>
                      <w:rFonts w:hint="eastAsia" w:ascii="宋体" w:hAnsi="宋体" w:cs="宋体"/>
                      <w:sz w:val="24"/>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66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 w:val="24"/>
                      <w:highlight w:val="none"/>
                    </w:rPr>
                  </w:pPr>
                  <w:r>
                    <w:rPr>
                      <w:rFonts w:hint="eastAsia" w:ascii="宋体" w:hAnsi="宋体" w:cs="宋体"/>
                      <w:sz w:val="24"/>
                      <w:highlight w:val="none"/>
                    </w:rPr>
                    <w:t>100-500</w:t>
                  </w:r>
                </w:p>
              </w:tc>
              <w:tc>
                <w:tcPr>
                  <w:tcW w:w="2155"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 w:val="24"/>
                      <w:highlight w:val="none"/>
                    </w:rPr>
                  </w:pPr>
                  <w:r>
                    <w:rPr>
                      <w:rFonts w:hint="eastAsia" w:ascii="宋体" w:hAnsi="宋体" w:cs="宋体"/>
                      <w:sz w:val="24"/>
                      <w:highlight w:val="none"/>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66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 w:val="24"/>
                      <w:highlight w:val="none"/>
                    </w:rPr>
                  </w:pPr>
                  <w:r>
                    <w:rPr>
                      <w:rFonts w:hint="eastAsia" w:ascii="宋体" w:hAnsi="宋体" w:cs="宋体"/>
                      <w:sz w:val="24"/>
                      <w:highlight w:val="none"/>
                    </w:rPr>
                    <w:t>500-1000</w:t>
                  </w:r>
                </w:p>
              </w:tc>
              <w:tc>
                <w:tcPr>
                  <w:tcW w:w="2155"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 w:val="24"/>
                      <w:highlight w:val="none"/>
                    </w:rPr>
                  </w:pPr>
                  <w:r>
                    <w:rPr>
                      <w:rFonts w:hint="eastAsia" w:ascii="宋体" w:hAnsi="宋体" w:cs="宋体"/>
                      <w:sz w:val="24"/>
                      <w:highlight w:val="none"/>
                    </w:rPr>
                    <w:t>0.45%</w:t>
                  </w:r>
                </w:p>
              </w:tc>
            </w:tr>
          </w:tbl>
          <w:p>
            <w:pPr>
              <w:jc w:val="left"/>
              <w:rPr>
                <w:rFonts w:ascii="宋体" w:hAnsi="宋体" w:cs="宋体"/>
                <w:sz w:val="24"/>
                <w:highlight w:val="none"/>
              </w:rPr>
            </w:pPr>
          </w:p>
        </w:tc>
      </w:tr>
    </w:tbl>
    <w:p>
      <w:pPr>
        <w:tabs>
          <w:tab w:val="left" w:pos="5580"/>
        </w:tabs>
        <w:adjustRightInd w:val="0"/>
        <w:spacing w:line="360" w:lineRule="auto"/>
        <w:jc w:val="distribute"/>
        <w:rPr>
          <w:rFonts w:ascii="宋体" w:hAnsi="宋体" w:cs="宋体"/>
          <w:sz w:val="24"/>
          <w:highlight w:val="none"/>
        </w:rPr>
        <w:sectPr>
          <w:footerReference r:id="rId9" w:type="default"/>
          <w:pgSz w:w="11907" w:h="16840"/>
          <w:pgMar w:top="1418" w:right="946" w:bottom="1418" w:left="1501" w:header="851" w:footer="851" w:gutter="0"/>
          <w:pgNumType w:start="1"/>
          <w:cols w:space="720" w:num="1"/>
          <w:docGrid w:linePitch="462" w:charSpace="0"/>
        </w:sectPr>
      </w:pPr>
    </w:p>
    <w:p>
      <w:pPr>
        <w:spacing w:before="240" w:beforeLines="100" w:after="240" w:afterLines="100"/>
        <w:jc w:val="center"/>
        <w:rPr>
          <w:rFonts w:ascii="宋体" w:hAnsi="宋体" w:cs="宋体"/>
          <w:b/>
          <w:sz w:val="28"/>
          <w:szCs w:val="28"/>
          <w:highlight w:val="none"/>
        </w:rPr>
      </w:pPr>
      <w:bookmarkStart w:id="78" w:name="_Toc150774722"/>
      <w:bookmarkStart w:id="79" w:name="_Toc127151517"/>
      <w:bookmarkStart w:id="80" w:name="_Toc264969207"/>
      <w:bookmarkStart w:id="81" w:name="_Toc265228355"/>
      <w:bookmarkStart w:id="82" w:name="_Toc353873932"/>
      <w:bookmarkStart w:id="83" w:name="_Toc353825542"/>
      <w:bookmarkStart w:id="84" w:name="_Toc226337213"/>
      <w:bookmarkStart w:id="85" w:name="_Toc195842882"/>
      <w:bookmarkStart w:id="86" w:name="_Toc150480755"/>
      <w:bookmarkStart w:id="87" w:name="_Toc305158859"/>
      <w:bookmarkStart w:id="88" w:name="_Toc305158785"/>
      <w:bookmarkStart w:id="89" w:name="_Toc353873662"/>
      <w:bookmarkStart w:id="90" w:name="_Toc142311019"/>
      <w:bookmarkStart w:id="91" w:name="_Toc226965790"/>
      <w:r>
        <w:rPr>
          <w:rFonts w:hint="eastAsia" w:ascii="宋体" w:hAnsi="宋体" w:cs="宋体"/>
          <w:b/>
          <w:sz w:val="28"/>
          <w:szCs w:val="28"/>
          <w:highlight w:val="none"/>
        </w:rPr>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pPr>
        <w:pStyle w:val="3"/>
        <w:tabs>
          <w:tab w:val="center" w:pos="4592"/>
          <w:tab w:val="left" w:pos="7860"/>
        </w:tabs>
        <w:spacing w:before="0" w:line="360" w:lineRule="auto"/>
        <w:jc w:val="left"/>
        <w:rPr>
          <w:rFonts w:ascii="宋体" w:hAnsi="宋体" w:eastAsia="宋体" w:cs="宋体"/>
          <w:sz w:val="28"/>
          <w:highlight w:val="none"/>
        </w:rPr>
      </w:pPr>
      <w:bookmarkStart w:id="92" w:name="_Toc520356143"/>
      <w:bookmarkStart w:id="93" w:name="_Toc127151518"/>
      <w:r>
        <w:rPr>
          <w:rFonts w:hint="eastAsia" w:ascii="宋体" w:hAnsi="宋体" w:eastAsia="宋体" w:cs="宋体"/>
          <w:sz w:val="28"/>
          <w:highlight w:val="none"/>
        </w:rPr>
        <w:tab/>
      </w:r>
      <w:bookmarkEnd w:id="92"/>
      <w:bookmarkEnd w:id="93"/>
      <w:bookmarkStart w:id="94" w:name="_Toc226965791"/>
      <w:bookmarkStart w:id="95" w:name="_Toc226309762"/>
      <w:bookmarkStart w:id="96" w:name="_Toc195842883"/>
      <w:bookmarkStart w:id="97" w:name="_Toc151190145"/>
      <w:bookmarkStart w:id="98" w:name="_Toc151193616"/>
      <w:bookmarkStart w:id="99" w:name="_Toc305158786"/>
      <w:bookmarkStart w:id="100" w:name="_Toc150480756"/>
      <w:bookmarkStart w:id="101" w:name="_Toc150774723"/>
      <w:bookmarkStart w:id="102" w:name="_Toc265228356"/>
      <w:bookmarkStart w:id="103" w:name="_Toc151193760"/>
      <w:bookmarkStart w:id="104" w:name="_Toc142311020"/>
      <w:bookmarkStart w:id="105" w:name="_Toc150509269"/>
      <w:bookmarkStart w:id="106" w:name="_Toc226965708"/>
      <w:bookmarkStart w:id="107" w:name="_Toc151193906"/>
      <w:bookmarkStart w:id="108" w:name="_Toc151193688"/>
      <w:bookmarkStart w:id="109" w:name="_Toc151193832"/>
      <w:bookmarkStart w:id="110" w:name="_Toc264969208"/>
      <w:bookmarkStart w:id="111" w:name="_Toc305158860"/>
      <w:bookmarkStart w:id="112" w:name="_Toc226337214"/>
      <w:bookmarkStart w:id="113" w:name="_Toc150774618"/>
      <w:r>
        <w:rPr>
          <w:rFonts w:hint="eastAsia" w:ascii="宋体" w:hAnsi="宋体" w:eastAsia="宋体" w:cs="宋体"/>
          <w:sz w:val="28"/>
          <w:highlight w:val="none"/>
        </w:rPr>
        <w:t>一   说  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Fonts w:hint="eastAsia" w:ascii="宋体" w:hAnsi="宋体" w:eastAsia="宋体" w:cs="宋体"/>
          <w:sz w:val="28"/>
          <w:highlight w:val="none"/>
        </w:rPr>
        <w:tab/>
      </w:r>
    </w:p>
    <w:p>
      <w:pPr>
        <w:numPr>
          <w:ilvl w:val="0"/>
          <w:numId w:val="9"/>
        </w:numPr>
        <w:tabs>
          <w:tab w:val="left" w:pos="360"/>
          <w:tab w:val="clear" w:pos="900"/>
        </w:tabs>
        <w:snapToGrid w:val="0"/>
        <w:spacing w:line="360" w:lineRule="auto"/>
        <w:ind w:left="357" w:hanging="357"/>
        <w:outlineLvl w:val="1"/>
        <w:rPr>
          <w:rFonts w:ascii="宋体" w:hAnsi="宋体" w:cs="宋体"/>
          <w:sz w:val="24"/>
          <w:highlight w:val="none"/>
        </w:rPr>
      </w:pPr>
      <w:bookmarkStart w:id="114" w:name="_Toc305158861"/>
      <w:bookmarkStart w:id="115" w:name="_Toc265228357"/>
      <w:bookmarkStart w:id="116" w:name="_Toc264969209"/>
      <w:bookmarkStart w:id="117" w:name="_Toc305158787"/>
      <w:r>
        <w:rPr>
          <w:rFonts w:hint="eastAsia" w:ascii="宋体" w:hAnsi="宋体" w:cs="宋体"/>
          <w:sz w:val="24"/>
          <w:highlight w:val="none"/>
        </w:rPr>
        <w:t>采购人、采购代理机构、投标人</w:t>
      </w:r>
      <w:bookmarkEnd w:id="114"/>
      <w:bookmarkEnd w:id="115"/>
      <w:bookmarkEnd w:id="116"/>
      <w:bookmarkEnd w:id="117"/>
      <w:r>
        <w:rPr>
          <w:rFonts w:hint="eastAsia" w:ascii="宋体" w:hAnsi="宋体" w:cs="宋体"/>
          <w:sz w:val="24"/>
          <w:highlight w:val="none"/>
        </w:rPr>
        <w:t>、联合体</w:t>
      </w:r>
    </w:p>
    <w:p>
      <w:pPr>
        <w:numPr>
          <w:ilvl w:val="1"/>
          <w:numId w:val="9"/>
        </w:numPr>
        <w:tabs>
          <w:tab w:val="left" w:pos="1080"/>
          <w:tab w:val="left" w:pos="2014"/>
          <w:tab w:val="left" w:pos="5521"/>
        </w:tabs>
        <w:snapToGrid w:val="0"/>
        <w:spacing w:line="360" w:lineRule="auto"/>
        <w:ind w:left="1353" w:hanging="720"/>
        <w:rPr>
          <w:rFonts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line="360" w:lineRule="auto"/>
        <w:ind w:left="1353" w:hanging="720"/>
        <w:rPr>
          <w:rFonts w:ascii="宋体" w:hAnsi="宋体" w:cs="宋体"/>
          <w:sz w:val="24"/>
          <w:highlight w:val="none"/>
        </w:rPr>
      </w:pPr>
      <w:r>
        <w:rPr>
          <w:rFonts w:hint="eastAsia" w:ascii="宋体" w:hAnsi="宋体" w:cs="宋体"/>
          <w:sz w:val="24"/>
          <w:highlight w:val="none"/>
        </w:rPr>
        <w:t>投标人（也称“供应商”、“申请人”）：指向采购人提供货物、工程或者服务的法人、其他组织或者自然人。</w:t>
      </w:r>
    </w:p>
    <w:p>
      <w:pPr>
        <w:numPr>
          <w:ilvl w:val="1"/>
          <w:numId w:val="9"/>
        </w:numPr>
        <w:tabs>
          <w:tab w:val="left" w:pos="1080"/>
          <w:tab w:val="left" w:pos="2014"/>
          <w:tab w:val="left" w:pos="5521"/>
        </w:tabs>
        <w:snapToGrid w:val="0"/>
        <w:spacing w:line="360" w:lineRule="auto"/>
        <w:ind w:left="1353" w:hanging="720"/>
        <w:rPr>
          <w:rFonts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rFonts w:ascii="宋体" w:hAnsi="宋体" w:cs="宋体"/>
          <w:sz w:val="24"/>
          <w:highlight w:val="none"/>
        </w:rPr>
      </w:pPr>
      <w:bookmarkStart w:id="118" w:name="_Toc164351614"/>
      <w:bookmarkStart w:id="119" w:name="_Toc265228358"/>
      <w:bookmarkStart w:id="120" w:name="_Toc151193834"/>
      <w:bookmarkStart w:id="121" w:name="_Toc150509271"/>
      <w:bookmarkStart w:id="122" w:name="_Toc151193618"/>
      <w:bookmarkStart w:id="123" w:name="_Toc127151520"/>
      <w:bookmarkStart w:id="124" w:name="_Toc150774620"/>
      <w:bookmarkStart w:id="125" w:name="_Toc150774725"/>
      <w:bookmarkStart w:id="126" w:name="_Toc127161434"/>
      <w:bookmarkStart w:id="127" w:name="_Toc195842885"/>
      <w:bookmarkStart w:id="128" w:name="_Toc149720813"/>
      <w:bookmarkStart w:id="129" w:name="_Toc151193690"/>
      <w:bookmarkStart w:id="130" w:name="_Toc226965793"/>
      <w:bookmarkStart w:id="131" w:name="_Toc164608634"/>
      <w:bookmarkStart w:id="132" w:name="_Toc264969210"/>
      <w:bookmarkStart w:id="133" w:name="_Toc151190147"/>
      <w:bookmarkStart w:id="134" w:name="_Toc226965710"/>
      <w:bookmarkStart w:id="135" w:name="_Toc151193908"/>
      <w:bookmarkStart w:id="136" w:name="_Toc150480758"/>
      <w:bookmarkStart w:id="137" w:name="_Toc305158788"/>
      <w:bookmarkStart w:id="138" w:name="_Toc164229361"/>
      <w:bookmarkStart w:id="139" w:name="_Toc127151721"/>
      <w:bookmarkStart w:id="140" w:name="_Toc226337216"/>
      <w:bookmarkStart w:id="141" w:name="_Toc226309764"/>
      <w:bookmarkStart w:id="142" w:name="_Toc164229215"/>
      <w:bookmarkStart w:id="143" w:name="_Toc164608789"/>
      <w:bookmarkStart w:id="144" w:name="_Toc151193762"/>
      <w:bookmarkStart w:id="145" w:name="_Toc142311022"/>
      <w:bookmarkStart w:id="146" w:name="_Toc305158862"/>
      <w:r>
        <w:rPr>
          <w:rFonts w:hint="eastAsia" w:ascii="宋体" w:hAnsi="宋体" w:cs="宋体"/>
          <w:sz w:val="24"/>
          <w:highlight w:val="none"/>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宋体" w:hAnsi="宋体" w:cs="宋体"/>
          <w:sz w:val="24"/>
          <w:highlight w:val="none"/>
        </w:rPr>
        <w:t>、项目属性、科研仪器设备采购、核心产品</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项目属性见《投标人须知资料表》。</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是否属于科研仪器设备采购见《投标人须知资料表》。</w:t>
      </w:r>
    </w:p>
    <w:p>
      <w:pPr>
        <w:numPr>
          <w:ilvl w:val="1"/>
          <w:numId w:val="9"/>
        </w:numPr>
        <w:tabs>
          <w:tab w:val="left" w:pos="1080"/>
          <w:tab w:val="left" w:pos="2014"/>
          <w:tab w:val="left" w:pos="5521"/>
        </w:tabs>
        <w:snapToGrid w:val="0"/>
        <w:spacing w:line="360" w:lineRule="auto"/>
        <w:ind w:left="1353" w:hanging="720"/>
        <w:rPr>
          <w:rFonts w:ascii="宋体" w:hAnsi="宋体" w:cs="宋体"/>
          <w:sz w:val="24"/>
          <w:highlight w:val="none"/>
        </w:rPr>
      </w:pPr>
      <w:r>
        <w:rPr>
          <w:rFonts w:hint="eastAsia" w:ascii="宋体" w:hAnsi="宋体" w:cs="宋体"/>
          <w:sz w:val="24"/>
          <w:highlight w:val="none"/>
        </w:rPr>
        <w:t>核心产品见《投标人须知资料表》。</w:t>
      </w:r>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现场考察、开标前答疑会</w:t>
      </w:r>
    </w:p>
    <w:p>
      <w:pPr>
        <w:numPr>
          <w:ilvl w:val="1"/>
          <w:numId w:val="9"/>
        </w:numPr>
        <w:tabs>
          <w:tab w:val="left" w:pos="1080"/>
          <w:tab w:val="left" w:pos="2014"/>
        </w:tabs>
        <w:snapToGrid w:val="0"/>
        <w:spacing w:line="360" w:lineRule="auto"/>
        <w:ind w:left="1353" w:hanging="720"/>
        <w:rPr>
          <w:rFonts w:ascii="宋体" w:hAnsi="宋体" w:cs="宋体"/>
          <w:sz w:val="28"/>
          <w:highlight w:val="none"/>
        </w:rPr>
      </w:pPr>
      <w:r>
        <w:rPr>
          <w:rFonts w:hint="eastAsia" w:ascii="宋体" w:hAnsi="宋体" w:cs="宋体"/>
          <w:sz w:val="24"/>
          <w:highlight w:val="none"/>
        </w:rPr>
        <w:t>若《投标人须知资料表》中规定了组织现场考察、召开开标前答疑会，则投标人应按要求在规定的时间和地点参加。</w:t>
      </w:r>
      <w:bookmarkStart w:id="147" w:name="_Toc265228360"/>
      <w:bookmarkStart w:id="148" w:name="_Toc151190149"/>
      <w:bookmarkStart w:id="149" w:name="_Toc151193836"/>
      <w:bookmarkStart w:id="150" w:name="_Toc127151522"/>
      <w:bookmarkStart w:id="151" w:name="_Toc305158790"/>
      <w:bookmarkStart w:id="152" w:name="_Toc151193692"/>
      <w:bookmarkStart w:id="153" w:name="_Toc150774727"/>
      <w:bookmarkStart w:id="154" w:name="_Toc150480760"/>
      <w:bookmarkStart w:id="155" w:name="_Toc151193910"/>
      <w:bookmarkStart w:id="156" w:name="_Toc226965795"/>
      <w:bookmarkStart w:id="157" w:name="_Toc226965712"/>
      <w:bookmarkStart w:id="158" w:name="_Toc226309766"/>
      <w:bookmarkStart w:id="159" w:name="_Toc520356146"/>
      <w:bookmarkStart w:id="160" w:name="_Toc226337218"/>
      <w:bookmarkStart w:id="161" w:name="_Toc151193620"/>
      <w:bookmarkStart w:id="162" w:name="_Toc150774622"/>
      <w:bookmarkStart w:id="163" w:name="_Toc195842887"/>
      <w:bookmarkStart w:id="164" w:name="_Toc305158864"/>
      <w:bookmarkStart w:id="165" w:name="_Toc264969212"/>
      <w:bookmarkStart w:id="166" w:name="_Toc142311024"/>
      <w:bookmarkStart w:id="167" w:name="_Toc151193764"/>
      <w:bookmarkStart w:id="168" w:name="_Toc150509273"/>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样品</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本项目是否要求投标人提供样品，以及样品制作的标准和要求、是否需要随样品提交相关检测报告、样品的递交与退还等要求见《投标人须知资料表》。</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样品的评审方法以及评审标准等内容见第四章《评标方法和评标标准》。</w:t>
      </w:r>
    </w:p>
    <w:p>
      <w:pPr>
        <w:numPr>
          <w:ilvl w:val="0"/>
          <w:numId w:val="9"/>
        </w:numPr>
        <w:tabs>
          <w:tab w:val="left" w:pos="360"/>
          <w:tab w:val="clear" w:pos="90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政府采购政策（包括但不限于下列具体政策要求）</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pacing w:val="1"/>
          <w:sz w:val="24"/>
          <w:highlight w:val="none"/>
        </w:rPr>
        <w:t>采购本国货物、工程和服务</w:t>
      </w:r>
    </w:p>
    <w:p>
      <w:pPr>
        <w:numPr>
          <w:ilvl w:val="2"/>
          <w:numId w:val="9"/>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政府采购应当采购本国货物、工程和服务。但有《中华人民共和国政府采购法》第十条规定情形的除外。</w:t>
      </w:r>
    </w:p>
    <w:p>
      <w:pPr>
        <w:numPr>
          <w:ilvl w:val="2"/>
          <w:numId w:val="9"/>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本项目如接受非本国货物、工程、服务参与投标， 则具体要求见第四章《采购需求》。</w:t>
      </w:r>
    </w:p>
    <w:p>
      <w:pPr>
        <w:numPr>
          <w:ilvl w:val="2"/>
          <w:numId w:val="9"/>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中小企业、监狱企业及残疾人福利性单位</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中小企业定义：</w:t>
      </w:r>
    </w:p>
    <w:p>
      <w:pPr>
        <w:tabs>
          <w:tab w:val="left" w:pos="1980"/>
          <w:tab w:val="left" w:pos="2035"/>
          <w:tab w:val="left" w:pos="2885"/>
          <w:tab w:val="left" w:pos="2977"/>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pPr>
        <w:tabs>
          <w:tab w:val="left" w:pos="1980"/>
          <w:tab w:val="left" w:pos="2035"/>
          <w:tab w:val="left" w:pos="2885"/>
          <w:tab w:val="left" w:pos="2977"/>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5.2.1.2供应商提供的货物、工程或者服务符合下列情形的，享受中小企业扶持政策：</w:t>
      </w:r>
    </w:p>
    <w:p>
      <w:pPr>
        <w:tabs>
          <w:tab w:val="left" w:pos="1980"/>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（1）在货物采购项目中，货物由中小企业制造，即货物由中小企业生产且使用该中小企业商号或者注册商标；</w:t>
      </w:r>
    </w:p>
    <w:p>
      <w:pPr>
        <w:tabs>
          <w:tab w:val="left" w:pos="1980"/>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（2）在工程采购项目中，工程由中小企业承建，即工程施工单位为中小企业；</w:t>
      </w:r>
    </w:p>
    <w:p>
      <w:pPr>
        <w:tabs>
          <w:tab w:val="left" w:pos="1980"/>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（3）在服务采购项目中，服务由中小企业承接，即提供服务的人员为中小企业依照《中华人民共和国劳动合同法》订立劳动合同的从业人员。</w:t>
      </w:r>
    </w:p>
    <w:p>
      <w:pPr>
        <w:tabs>
          <w:tab w:val="left" w:pos="1980"/>
          <w:tab w:val="left" w:pos="2035"/>
          <w:tab w:val="left" w:pos="2885"/>
          <w:tab w:val="left" w:pos="2977"/>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5.2.1.3在货物采购项目中，供应商提供的货物既有中小企业制造货物，也有大型企业制造货物的，不享受中小企业扶持政策。</w:t>
      </w:r>
    </w:p>
    <w:p>
      <w:pPr>
        <w:tabs>
          <w:tab w:val="left" w:pos="1980"/>
          <w:tab w:val="left" w:pos="2035"/>
          <w:tab w:val="left" w:pos="2885"/>
          <w:tab w:val="left" w:pos="2977"/>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5.2.1.4以联合体形式参加政府采购活动，联合体各方均为中小企业的，联合体视同中小企业。其中，联合体各方均为小微企业的，联合体视同小微企业。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5.2.3.1 安置的残疾人占本单位在职职工人数的比例不低于25%（含25%），并且安置的残疾人人数不少于10人（含10人）；</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5.2.3.2 依法与安置的每位残疾人签订了一年以上（含一年）的劳动合同或服务协议；</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5.2.3.3 为安置的每位残疾人按月足额缴纳了基本养老保险、基本医疗保险、失业保险、工伤保险和生育保险等社会保险费；</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5.2.3.4 通过银行等金融机构向安置的每位残疾人，按月支付了不低于单位所在区县适用的经省级人民政府批准的月最低工资标准的工资；</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5.2.3.5 提供本单位制造的货物、承担的工程或者服务（以下简称产品），或者提供其他残疾人福利性单位制造的货物（不包括使用非残疾人福利性单位注册商标的货物）；</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5.2.4 本项目是否专门面向中小企业预留采购份额见第一章《投标邀请》。</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5.2.5 采购标的对应的中小企业划分标准所属行业见《投标人须知资料表》。</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5.2.6 小微企业价格评审优惠的政策调整：见第四章《评标程序、评标方法</w:t>
      </w:r>
    </w:p>
    <w:p>
      <w:pPr>
        <w:tabs>
          <w:tab w:val="left" w:pos="840"/>
          <w:tab w:val="left" w:pos="2035"/>
        </w:tabs>
        <w:snapToGrid w:val="0"/>
        <w:spacing w:line="360" w:lineRule="auto"/>
        <w:ind w:left="1080"/>
        <w:jc w:val="left"/>
        <w:rPr>
          <w:rFonts w:ascii="宋体" w:hAnsi="宋体" w:cs="宋体"/>
          <w:sz w:val="24"/>
          <w:highlight w:val="none"/>
        </w:rPr>
      </w:pPr>
      <w:r>
        <w:rPr>
          <w:rFonts w:hint="eastAsia" w:ascii="宋体" w:hAnsi="宋体" w:cs="宋体"/>
          <w:sz w:val="24"/>
          <w:highlight w:val="none"/>
        </w:rPr>
        <w:t>和评标标准》。</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政府采购节能产品、环境标志产品</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投标无效</w:t>
      </w:r>
      <w:r>
        <w:rPr>
          <w:rFonts w:hint="eastAsia" w:ascii="宋体" w:hAnsi="宋体" w:cs="宋体"/>
          <w:sz w:val="24"/>
          <w:highlight w:val="none"/>
        </w:rPr>
        <w:t>；</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非政府强制采购的节能产品或环境标志产品，依据品目清单和认证证书实施政府优先采购。优先采购的具体规定见第四章《评标方法和评标标准》（如涉及）。</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正版软件</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rFonts w:hint="eastAsia" w:ascii="宋体" w:hAnsi="宋体" w:cs="宋体"/>
          <w:kern w:val="0"/>
          <w:sz w:val="24"/>
          <w:highlight w:val="none"/>
        </w:rPr>
        <w:t>否则</w:t>
      </w:r>
      <w:r>
        <w:rPr>
          <w:rFonts w:hint="eastAsia" w:ascii="宋体" w:hAnsi="宋体" w:cs="宋体"/>
          <w:b/>
          <w:kern w:val="0"/>
          <w:sz w:val="24"/>
          <w:highlight w:val="none"/>
        </w:rPr>
        <w:t>投标无效</w:t>
      </w:r>
      <w:r>
        <w:rPr>
          <w:rFonts w:hint="eastAsia" w:ascii="宋体" w:hAnsi="宋体" w:cs="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信息安全产品</w:t>
      </w:r>
    </w:p>
    <w:p>
      <w:pPr>
        <w:tabs>
          <w:tab w:val="left" w:pos="1080"/>
          <w:tab w:val="left" w:pos="2014"/>
        </w:tabs>
        <w:snapToGrid w:val="0"/>
        <w:spacing w:line="360" w:lineRule="auto"/>
        <w:ind w:left="1831" w:leftChars="529" w:hanging="720" w:hangingChars="300"/>
        <w:rPr>
          <w:rFonts w:ascii="宋体" w:hAnsi="宋体" w:cs="宋体"/>
          <w:sz w:val="24"/>
          <w:highlight w:val="none"/>
        </w:rPr>
      </w:pPr>
      <w:r>
        <w:rPr>
          <w:rFonts w:hint="eastAsia" w:ascii="宋体" w:hAnsi="宋体" w:cs="宋体"/>
          <w:sz w:val="24"/>
          <w:highlight w:val="none"/>
        </w:rPr>
        <w:t>5.5.1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推广使用低挥发性有机化合物（VOCs）</w:t>
      </w:r>
    </w:p>
    <w:p>
      <w:pPr>
        <w:numPr>
          <w:ilvl w:val="2"/>
          <w:numId w:val="9"/>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rFonts w:hint="eastAsia" w:ascii="宋体" w:hAnsi="宋体" w:cs="宋体"/>
          <w:kern w:val="0"/>
          <w:sz w:val="24"/>
          <w:highlight w:val="none"/>
        </w:rPr>
        <w:t>否则</w:t>
      </w:r>
      <w:r>
        <w:rPr>
          <w:rFonts w:hint="eastAsia" w:ascii="宋体" w:hAnsi="宋体" w:cs="宋体"/>
          <w:b/>
          <w:kern w:val="0"/>
          <w:sz w:val="24"/>
          <w:highlight w:val="none"/>
        </w:rPr>
        <w:t>投标无效</w:t>
      </w:r>
      <w:r>
        <w:rPr>
          <w:rFonts w:hint="eastAsia" w:ascii="宋体" w:hAnsi="宋体" w:cs="宋体"/>
          <w:sz w:val="24"/>
          <w:highlight w:val="none"/>
        </w:rPr>
        <w:t>；属于推荐性标准的，优先采购，具体见第四章《评标方法和评标标准》。</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采购需求标准</w:t>
      </w:r>
    </w:p>
    <w:p>
      <w:pPr>
        <w:tabs>
          <w:tab w:val="left" w:pos="1080"/>
          <w:tab w:val="left" w:pos="2014"/>
        </w:tabs>
        <w:snapToGrid w:val="0"/>
        <w:spacing w:line="360" w:lineRule="auto"/>
        <w:ind w:left="633" w:firstLine="480" w:firstLineChars="200"/>
        <w:rPr>
          <w:rFonts w:ascii="宋体" w:hAnsi="宋体" w:cs="宋体"/>
          <w:sz w:val="24"/>
          <w:highlight w:val="none"/>
        </w:rPr>
      </w:pPr>
      <w:r>
        <w:rPr>
          <w:rFonts w:hint="eastAsia" w:ascii="宋体" w:hAnsi="宋体" w:cs="宋体"/>
          <w:sz w:val="24"/>
          <w:highlight w:val="none"/>
        </w:rPr>
        <w:t>5.7.1 商品包装、快递包装政府采购需求标准（试行）</w:t>
      </w:r>
    </w:p>
    <w:p>
      <w:pPr>
        <w:tabs>
          <w:tab w:val="left" w:pos="1080"/>
          <w:tab w:val="left" w:pos="2014"/>
        </w:tabs>
        <w:snapToGrid w:val="0"/>
        <w:spacing w:line="360" w:lineRule="auto"/>
        <w:ind w:left="1829" w:leftChars="871"/>
        <w:rPr>
          <w:rFonts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tabs>
          <w:tab w:val="left" w:pos="1080"/>
          <w:tab w:val="left" w:pos="2014"/>
        </w:tabs>
        <w:snapToGrid w:val="0"/>
        <w:spacing w:line="360" w:lineRule="auto"/>
        <w:ind w:left="633" w:firstLine="480" w:firstLineChars="200"/>
        <w:rPr>
          <w:rFonts w:ascii="宋体" w:hAnsi="宋体" w:cs="宋体"/>
          <w:sz w:val="24"/>
          <w:highlight w:val="none"/>
        </w:rPr>
      </w:pPr>
      <w:r>
        <w:rPr>
          <w:rFonts w:hint="eastAsia" w:ascii="宋体" w:hAnsi="宋体" w:cs="宋体"/>
          <w:sz w:val="24"/>
          <w:highlight w:val="none"/>
        </w:rPr>
        <w:t>5.7.2绿色数据中心政府采购需求标准（试行）</w:t>
      </w:r>
    </w:p>
    <w:p>
      <w:pPr>
        <w:tabs>
          <w:tab w:val="left" w:pos="1080"/>
          <w:tab w:val="left" w:pos="2014"/>
        </w:tabs>
        <w:snapToGrid w:val="0"/>
        <w:spacing w:line="360" w:lineRule="auto"/>
        <w:ind w:left="1829" w:leftChars="871"/>
        <w:rPr>
          <w:rFonts w:ascii="宋体" w:hAnsi="宋体" w:cs="宋体"/>
          <w:sz w:val="24"/>
          <w:highlight w:val="none"/>
        </w:rPr>
      </w:pPr>
      <w:r>
        <w:rPr>
          <w:rFonts w:hint="eastAsia" w:ascii="宋体" w:hAnsi="宋体" w:cs="宋体"/>
          <w:sz w:val="24"/>
          <w:highlight w:val="none"/>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投标费用</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ascii="宋体" w:hAnsi="宋体" w:cs="宋体"/>
          <w:sz w:val="28"/>
          <w:highlight w:val="none"/>
        </w:rPr>
      </w:pPr>
      <w:bookmarkStart w:id="169" w:name="_1.8_计量单位"/>
      <w:bookmarkEnd w:id="169"/>
    </w:p>
    <w:p>
      <w:pPr>
        <w:pStyle w:val="3"/>
        <w:spacing w:before="0" w:line="360" w:lineRule="auto"/>
        <w:rPr>
          <w:rFonts w:ascii="宋体" w:hAnsi="宋体" w:eastAsia="宋体" w:cs="宋体"/>
          <w:sz w:val="28"/>
          <w:highlight w:val="none"/>
        </w:rPr>
      </w:pPr>
      <w:r>
        <w:rPr>
          <w:rFonts w:hint="eastAsia" w:ascii="宋体" w:hAnsi="宋体" w:eastAsia="宋体" w:cs="宋体"/>
          <w:sz w:val="28"/>
          <w:highlight w:val="none"/>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170" w:name="_Toc164608637"/>
      <w:bookmarkStart w:id="171" w:name="_Toc305158791"/>
      <w:bookmarkStart w:id="172" w:name="_Toc151193765"/>
      <w:bookmarkStart w:id="173" w:name="_Toc151190150"/>
      <w:bookmarkStart w:id="174" w:name="_Toc142311025"/>
      <w:bookmarkStart w:id="175" w:name="_Toc520356147"/>
      <w:bookmarkStart w:id="176" w:name="_Toc149720816"/>
      <w:bookmarkStart w:id="177" w:name="_Toc226965796"/>
      <w:bookmarkStart w:id="178" w:name="_Toc150509274"/>
      <w:bookmarkStart w:id="179" w:name="_Toc305158865"/>
      <w:bookmarkStart w:id="180" w:name="_Toc264969213"/>
      <w:bookmarkStart w:id="181" w:name="_Toc164608792"/>
      <w:bookmarkStart w:id="182" w:name="_Toc150480761"/>
      <w:bookmarkStart w:id="183" w:name="_Toc151193693"/>
      <w:bookmarkStart w:id="184" w:name="_Toc150774728"/>
      <w:bookmarkStart w:id="185" w:name="_Toc226965713"/>
      <w:bookmarkStart w:id="186" w:name="_Toc164229218"/>
      <w:bookmarkStart w:id="187" w:name="_Toc127161437"/>
      <w:bookmarkStart w:id="188" w:name="_Toc164351617"/>
      <w:bookmarkStart w:id="189" w:name="_Toc127151724"/>
      <w:bookmarkStart w:id="190" w:name="_Toc265228361"/>
      <w:bookmarkStart w:id="191" w:name="_Toc195842888"/>
      <w:bookmarkStart w:id="192" w:name="_Toc151193911"/>
      <w:bookmarkStart w:id="193" w:name="_Toc127151523"/>
      <w:bookmarkStart w:id="194" w:name="_Toc226337219"/>
      <w:bookmarkStart w:id="195" w:name="_Toc226309767"/>
      <w:bookmarkStart w:id="196" w:name="_Toc150774623"/>
      <w:bookmarkStart w:id="197" w:name="_Toc164229364"/>
      <w:bookmarkStart w:id="198" w:name="_Toc151193837"/>
      <w:bookmarkStart w:id="199" w:name="_Toc151193621"/>
      <w:r>
        <w:rPr>
          <w:rFonts w:hint="eastAsia" w:ascii="宋体" w:hAnsi="宋体" w:cs="宋体"/>
          <w:sz w:val="24"/>
          <w:highlight w:val="none"/>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hint="eastAsia" w:ascii="宋体" w:hAnsi="宋体" w:cs="宋体"/>
          <w:sz w:val="24"/>
          <w:highlight w:val="none"/>
        </w:rPr>
        <w:t>成</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招标文件包括以下部分：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投标邀请</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投标人须知</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资格审查</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评标程序、评标方法和评标标准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拟签订的合同文本</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投标文件格式</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投标无效</w:t>
      </w:r>
      <w:r>
        <w:rPr>
          <w:rFonts w:hint="eastAsia" w:ascii="宋体" w:hAnsi="宋体" w:cs="宋体"/>
          <w:sz w:val="24"/>
          <w:highlight w:val="none"/>
        </w:rPr>
        <w:t>。</w:t>
      </w:r>
    </w:p>
    <w:p>
      <w:pPr>
        <w:numPr>
          <w:ilvl w:val="0"/>
          <w:numId w:val="9"/>
        </w:numPr>
        <w:tabs>
          <w:tab w:val="left" w:pos="1080"/>
          <w:tab w:val="left" w:pos="2014"/>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对招标文件的澄清或修改</w:t>
      </w:r>
    </w:p>
    <w:p>
      <w:pPr>
        <w:numPr>
          <w:ilvl w:val="1"/>
          <w:numId w:val="9"/>
        </w:numPr>
        <w:tabs>
          <w:tab w:val="left" w:pos="1080"/>
          <w:tab w:val="left" w:pos="1561"/>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3"/>
        <w:spacing w:before="0" w:line="360" w:lineRule="auto"/>
        <w:rPr>
          <w:rFonts w:ascii="宋体" w:hAnsi="宋体" w:eastAsia="宋体" w:cs="宋体"/>
          <w:sz w:val="28"/>
          <w:highlight w:val="none"/>
        </w:rPr>
      </w:pPr>
      <w:bookmarkStart w:id="200" w:name="_Toc516367020"/>
      <w:bookmarkStart w:id="201" w:name="_Toc226965716"/>
      <w:bookmarkStart w:id="202" w:name="_Toc151190153"/>
      <w:bookmarkStart w:id="203" w:name="_Toc142311028"/>
      <w:bookmarkStart w:id="204" w:name="_Toc151193696"/>
      <w:bookmarkStart w:id="205" w:name="_Toc151193840"/>
      <w:bookmarkStart w:id="206" w:name="_Toc150774626"/>
      <w:bookmarkStart w:id="207" w:name="_Toc226337222"/>
      <w:bookmarkStart w:id="208" w:name="_Toc264969216"/>
      <w:bookmarkStart w:id="209" w:name="_Toc305158794"/>
      <w:bookmarkStart w:id="210" w:name="_Toc150509277"/>
      <w:bookmarkStart w:id="211" w:name="_Toc305158868"/>
      <w:bookmarkStart w:id="212" w:name="_Toc151193624"/>
      <w:bookmarkStart w:id="213" w:name="_Toc151193914"/>
      <w:bookmarkStart w:id="214" w:name="_Toc195842891"/>
      <w:bookmarkStart w:id="215" w:name="_Toc151193768"/>
      <w:bookmarkStart w:id="216" w:name="_Toc226309770"/>
      <w:bookmarkStart w:id="217" w:name="_Toc127151526"/>
      <w:bookmarkStart w:id="218" w:name="_Toc265228364"/>
      <w:bookmarkStart w:id="219" w:name="_Toc150480764"/>
      <w:bookmarkStart w:id="220" w:name="_Toc520356150"/>
      <w:bookmarkStart w:id="221" w:name="_Toc150774731"/>
      <w:bookmarkStart w:id="222" w:name="_Toc226965799"/>
      <w:r>
        <w:rPr>
          <w:rFonts w:hint="eastAsia" w:ascii="宋体" w:hAnsi="宋体" w:eastAsia="宋体" w:cs="宋体"/>
          <w:sz w:val="28"/>
          <w:highlight w:val="none"/>
        </w:rPr>
        <w:t>三   投标文件</w:t>
      </w:r>
      <w:bookmarkEnd w:id="200"/>
      <w:r>
        <w:rPr>
          <w:rFonts w:hint="eastAsia" w:ascii="宋体" w:hAnsi="宋体" w:eastAsia="宋体" w:cs="宋体"/>
          <w:sz w:val="28"/>
          <w:highlight w:val="none"/>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223" w:name="_Toc265228365"/>
      <w:bookmarkStart w:id="224" w:name="_Toc150509278"/>
      <w:bookmarkStart w:id="225" w:name="_Toc151193697"/>
      <w:bookmarkStart w:id="226" w:name="_Toc151190154"/>
      <w:bookmarkStart w:id="227" w:name="_Toc226965717"/>
      <w:bookmarkStart w:id="228" w:name="_Toc151193769"/>
      <w:bookmarkStart w:id="229" w:name="_Toc164608641"/>
      <w:bookmarkStart w:id="230" w:name="_Toc164608796"/>
      <w:bookmarkStart w:id="231" w:name="_Toc127151527"/>
      <w:bookmarkStart w:id="232" w:name="_Toc142311029"/>
      <w:bookmarkStart w:id="233" w:name="_Toc226309771"/>
      <w:bookmarkStart w:id="234" w:name="_Toc164229368"/>
      <w:bookmarkStart w:id="235" w:name="_Toc127151728"/>
      <w:bookmarkStart w:id="236" w:name="_Toc195842892"/>
      <w:bookmarkStart w:id="237" w:name="_Toc305158869"/>
      <w:bookmarkStart w:id="238" w:name="_Toc164229222"/>
      <w:bookmarkStart w:id="239" w:name="_Toc151193625"/>
      <w:bookmarkStart w:id="240" w:name="_Toc151193915"/>
      <w:bookmarkStart w:id="241" w:name="_Toc151193841"/>
      <w:bookmarkStart w:id="242" w:name="_Toc150480765"/>
      <w:bookmarkStart w:id="243" w:name="_Toc127161441"/>
      <w:bookmarkStart w:id="244" w:name="_Toc149720820"/>
      <w:bookmarkStart w:id="245" w:name="_Toc150774732"/>
      <w:bookmarkStart w:id="246" w:name="_Toc150774627"/>
      <w:bookmarkStart w:id="247" w:name="_Toc226965800"/>
      <w:bookmarkStart w:id="248" w:name="_Toc305158795"/>
      <w:bookmarkStart w:id="249" w:name="_Toc164351621"/>
      <w:bookmarkStart w:id="250" w:name="_Toc264969217"/>
      <w:bookmarkStart w:id="251" w:name="_Toc516367021"/>
      <w:bookmarkStart w:id="252" w:name="_Toc226337223"/>
      <w:bookmarkStart w:id="253" w:name="_Toc520356151"/>
      <w:r>
        <w:rPr>
          <w:rFonts w:hint="eastAsia" w:ascii="宋体" w:hAnsi="宋体" w:cs="宋体"/>
          <w:sz w:val="24"/>
          <w:highlight w:val="none"/>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Fonts w:hint="eastAsia" w:ascii="宋体" w:hAnsi="宋体" w:cs="宋体"/>
          <w:sz w:val="24"/>
          <w:highlight w:val="none"/>
        </w:rPr>
        <w:t>及投标语言</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highlight w:val="none"/>
        </w:rPr>
        <w:t>无效投标</w:t>
      </w:r>
      <w:r>
        <w:rPr>
          <w:rFonts w:hint="eastAsia" w:ascii="宋体" w:hAnsi="宋体" w:cs="宋体"/>
          <w:sz w:val="24"/>
          <w:highlight w:val="none"/>
        </w:rPr>
        <w:t>。</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除招标文件有特殊要求外，本项目投标所使用的计量单位，应采用中华人民共和国法定计量单位。</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254" w:name="_Ref467306676"/>
      <w:bookmarkStart w:id="255" w:name="_Toc516367022"/>
      <w:bookmarkStart w:id="256" w:name="_Ref467306195"/>
      <w:bookmarkStart w:id="257" w:name="_Toc151193698"/>
      <w:bookmarkStart w:id="258" w:name="_Toc151193916"/>
      <w:bookmarkStart w:id="259" w:name="_Toc164608642"/>
      <w:bookmarkStart w:id="260" w:name="_Toc305158796"/>
      <w:bookmarkStart w:id="261" w:name="_Toc164229223"/>
      <w:bookmarkStart w:id="262" w:name="_Toc305158870"/>
      <w:bookmarkStart w:id="263" w:name="_Toc226965718"/>
      <w:bookmarkStart w:id="264" w:name="_Toc127161442"/>
      <w:bookmarkStart w:id="265" w:name="_Toc151190155"/>
      <w:bookmarkStart w:id="266" w:name="_Toc151193626"/>
      <w:bookmarkStart w:id="267" w:name="_Toc164351622"/>
      <w:bookmarkStart w:id="268" w:name="_Toc127151528"/>
      <w:bookmarkStart w:id="269" w:name="_Toc150480766"/>
      <w:bookmarkStart w:id="270" w:name="_Toc149720821"/>
      <w:bookmarkStart w:id="271" w:name="_Toc151193770"/>
      <w:bookmarkStart w:id="272" w:name="_Toc151193842"/>
      <w:bookmarkStart w:id="273" w:name="_Toc265228366"/>
      <w:bookmarkStart w:id="274" w:name="_Toc520356152"/>
      <w:bookmarkStart w:id="275" w:name="_Toc226965801"/>
      <w:bookmarkStart w:id="276" w:name="_Toc150509279"/>
      <w:bookmarkStart w:id="277" w:name="_Toc264969218"/>
      <w:bookmarkStart w:id="278" w:name="_Toc226309772"/>
      <w:bookmarkStart w:id="279" w:name="_Toc195842893"/>
      <w:bookmarkStart w:id="280" w:name="_Toc164608797"/>
      <w:bookmarkStart w:id="281" w:name="_Toc127151729"/>
      <w:bookmarkStart w:id="282" w:name="_Toc150774733"/>
      <w:bookmarkStart w:id="283" w:name="_Toc226337224"/>
      <w:bookmarkStart w:id="284" w:name="_Toc142311030"/>
      <w:bookmarkStart w:id="285" w:name="_Toc164229369"/>
      <w:bookmarkStart w:id="286" w:name="_Toc150774628"/>
      <w:r>
        <w:rPr>
          <w:rFonts w:hint="eastAsia" w:ascii="宋体" w:hAnsi="宋体" w:cs="宋体"/>
          <w:sz w:val="24"/>
          <w:highlight w:val="none"/>
        </w:rPr>
        <w:t>投标文件</w:t>
      </w:r>
      <w:bookmarkEnd w:id="254"/>
      <w:bookmarkEnd w:id="255"/>
      <w:bookmarkEnd w:id="256"/>
      <w:r>
        <w:rPr>
          <w:rFonts w:hint="eastAsia" w:ascii="宋体" w:hAnsi="宋体" w:cs="宋体"/>
          <w:sz w:val="24"/>
          <w:highlight w:val="none"/>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pPr>
        <w:numPr>
          <w:ilvl w:val="1"/>
          <w:numId w:val="9"/>
        </w:numPr>
        <w:tabs>
          <w:tab w:val="left" w:pos="1080"/>
          <w:tab w:val="left" w:pos="2014"/>
        </w:tabs>
        <w:snapToGrid w:val="0"/>
        <w:spacing w:line="360" w:lineRule="auto"/>
        <w:ind w:left="1350" w:hanging="720"/>
        <w:rPr>
          <w:rFonts w:ascii="宋体" w:hAnsi="宋体" w:cs="宋体"/>
          <w:sz w:val="24"/>
          <w:highlight w:val="none"/>
        </w:rPr>
      </w:pPr>
      <w:bookmarkStart w:id="287" w:name="_Ref467052588"/>
      <w:r>
        <w:rPr>
          <w:rFonts w:hint="eastAsia" w:ascii="宋体" w:hAnsi="宋体" w:cs="宋体"/>
          <w:sz w:val="24"/>
          <w:highlight w:val="none"/>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kern w:val="0"/>
          <w:sz w:val="24"/>
          <w:highlight w:val="none"/>
        </w:rPr>
        <w:t>对于招标文件中标记了“实质性格式”文件的，</w:t>
      </w:r>
      <w:r>
        <w:rPr>
          <w:rFonts w:hint="eastAsia" w:ascii="宋体" w:hAnsi="宋体" w:cs="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highlight w:val="none"/>
        </w:rPr>
        <w:t>否则</w:t>
      </w:r>
      <w:r>
        <w:rPr>
          <w:rFonts w:hint="eastAsia" w:ascii="宋体" w:hAnsi="宋体" w:cs="宋体"/>
          <w:b/>
          <w:kern w:val="0"/>
          <w:sz w:val="24"/>
          <w:highlight w:val="none"/>
        </w:rPr>
        <w:t>投标无效</w:t>
      </w:r>
      <w:r>
        <w:rPr>
          <w:rFonts w:hint="eastAsia" w:ascii="宋体" w:hAnsi="宋体" w:cs="宋体"/>
          <w:kern w:val="0"/>
          <w:sz w:val="24"/>
          <w:highlight w:val="none"/>
        </w:rPr>
        <w:t>。未标记“实质性格式”的文件和招标文件未提供格式的内容，可由投标人自行编写。</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第四章《评标程序、评标方法和评标标准》中涉及的证明文件。</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投标人认为应附的其他材料。</w:t>
      </w:r>
      <w:bookmarkEnd w:id="287"/>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288" w:name="_Toc151193918"/>
      <w:bookmarkStart w:id="289" w:name="_Toc127161444"/>
      <w:bookmarkStart w:id="290" w:name="_Toc150480768"/>
      <w:bookmarkStart w:id="291" w:name="_Toc164351624"/>
      <w:bookmarkStart w:id="292" w:name="_Toc164608799"/>
      <w:bookmarkStart w:id="293" w:name="_Toc164229225"/>
      <w:bookmarkStart w:id="294" w:name="_Toc127151731"/>
      <w:bookmarkStart w:id="295" w:name="_Toc150509281"/>
      <w:bookmarkStart w:id="296" w:name="_Toc151193628"/>
      <w:bookmarkStart w:id="297" w:name="_Toc142311032"/>
      <w:bookmarkStart w:id="298" w:name="_Toc151193700"/>
      <w:bookmarkStart w:id="299" w:name="_Toc150774630"/>
      <w:bookmarkStart w:id="300" w:name="_Toc127151530"/>
      <w:bookmarkStart w:id="301" w:name="_Toc151193772"/>
      <w:bookmarkStart w:id="302" w:name="_Toc520356155"/>
      <w:bookmarkStart w:id="303" w:name="_Toc151193844"/>
      <w:bookmarkStart w:id="304" w:name="_Toc164229371"/>
      <w:bookmarkStart w:id="305" w:name="_Toc164608644"/>
      <w:bookmarkStart w:id="306" w:name="_Toc151190157"/>
      <w:bookmarkStart w:id="307" w:name="_Toc149720823"/>
      <w:bookmarkStart w:id="308" w:name="_Toc195842895"/>
      <w:bookmarkStart w:id="309" w:name="_Toc150774735"/>
      <w:r>
        <w:rPr>
          <w:rFonts w:hint="eastAsia" w:ascii="宋体" w:hAnsi="宋体" w:cs="宋体"/>
          <w:sz w:val="24"/>
          <w:highlight w:val="none"/>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所有投标均以人民币报价。</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按照招标文件要求完成本项目的全部相关服务费用。</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353" w:hanging="720"/>
        <w:rPr>
          <w:rFonts w:ascii="宋体" w:hAnsi="宋体" w:cs="宋体"/>
          <w:sz w:val="24"/>
          <w:highlight w:val="none"/>
        </w:rPr>
      </w:pPr>
      <w:r>
        <w:rPr>
          <w:rFonts w:hint="eastAsia" w:ascii="宋体" w:hAnsi="宋体" w:cs="宋体"/>
          <w:sz w:val="24"/>
          <w:highlight w:val="none"/>
        </w:rPr>
        <w:t>投标人不能提供任何有选择性或可调整的报价，否则其</w:t>
      </w:r>
      <w:r>
        <w:rPr>
          <w:rFonts w:hint="eastAsia" w:ascii="宋体" w:hAnsi="宋体" w:cs="宋体"/>
          <w:b/>
          <w:sz w:val="24"/>
          <w:highlight w:val="none"/>
        </w:rPr>
        <w:t>投标无效</w:t>
      </w:r>
      <w:r>
        <w:rPr>
          <w:rFonts w:hint="eastAsia" w:ascii="宋体" w:hAnsi="宋体" w:cs="宋体"/>
          <w:sz w:val="24"/>
          <w:highlight w:val="none"/>
        </w:rPr>
        <w:t>。</w:t>
      </w:r>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310" w:name="_Toc164351625"/>
      <w:bookmarkStart w:id="311" w:name="_Toc226309775"/>
      <w:bookmarkStart w:id="312" w:name="_Toc127151732"/>
      <w:bookmarkStart w:id="313" w:name="_Toc151193701"/>
      <w:bookmarkStart w:id="314" w:name="_Toc151193919"/>
      <w:bookmarkStart w:id="315" w:name="_Toc150480769"/>
      <w:bookmarkStart w:id="316" w:name="_Ref467306513"/>
      <w:bookmarkStart w:id="317" w:name="_Toc520356156"/>
      <w:bookmarkStart w:id="318" w:name="_Toc226965721"/>
      <w:bookmarkStart w:id="319" w:name="_Toc142311033"/>
      <w:bookmarkStart w:id="320" w:name="_Toc149720824"/>
      <w:bookmarkStart w:id="321" w:name="_Toc164229226"/>
      <w:bookmarkStart w:id="322" w:name="_Toc151193773"/>
      <w:bookmarkStart w:id="323" w:name="_Toc265228369"/>
      <w:bookmarkStart w:id="324" w:name="_Toc164608800"/>
      <w:bookmarkStart w:id="325" w:name="_Toc127151531"/>
      <w:bookmarkStart w:id="326" w:name="_Toc150774736"/>
      <w:bookmarkStart w:id="327" w:name="_Toc150509282"/>
      <w:bookmarkStart w:id="328" w:name="_Toc226337227"/>
      <w:bookmarkStart w:id="329" w:name="_Toc164608645"/>
      <w:bookmarkStart w:id="330" w:name="_Toc195842896"/>
      <w:bookmarkStart w:id="331" w:name="_Toc305158799"/>
      <w:bookmarkStart w:id="332" w:name="_Toc151193629"/>
      <w:bookmarkStart w:id="333" w:name="_Toc127161445"/>
      <w:bookmarkStart w:id="334" w:name="_Toc305158873"/>
      <w:bookmarkStart w:id="335" w:name="_Toc264969221"/>
      <w:bookmarkStart w:id="336" w:name="_Toc151193845"/>
      <w:bookmarkStart w:id="337" w:name="_Toc150774631"/>
      <w:bookmarkStart w:id="338" w:name="_Toc151190158"/>
      <w:bookmarkStart w:id="339" w:name="_Toc226965804"/>
      <w:bookmarkStart w:id="340" w:name="_Toc164229372"/>
      <w:r>
        <w:rPr>
          <w:rFonts w:hint="eastAsia" w:ascii="宋体" w:hAnsi="宋体" w:cs="宋体"/>
          <w:sz w:val="24"/>
          <w:highlight w:val="none"/>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numPr>
          <w:ilvl w:val="1"/>
          <w:numId w:val="9"/>
        </w:numPr>
        <w:tabs>
          <w:tab w:val="left" w:pos="1080"/>
          <w:tab w:val="left" w:pos="2014"/>
        </w:tabs>
        <w:snapToGrid w:val="0"/>
        <w:spacing w:line="360" w:lineRule="auto"/>
        <w:ind w:left="1350" w:hanging="720"/>
        <w:rPr>
          <w:rFonts w:ascii="宋体" w:hAnsi="宋体" w:cs="宋体"/>
          <w:sz w:val="24"/>
          <w:highlight w:val="none"/>
        </w:rPr>
      </w:pPr>
      <w:bookmarkStart w:id="341" w:name="_Ref467306302"/>
      <w:r>
        <w:rPr>
          <w:rFonts w:hint="eastAsia" w:ascii="宋体" w:hAnsi="宋体" w:cs="宋体"/>
          <w:sz w:val="24"/>
          <w:highlight w:val="none"/>
        </w:rPr>
        <w:t>投标人应按《投标人须知资料表》中规定的金额及要求交纳投标保证金</w:t>
      </w:r>
      <w:bookmarkEnd w:id="341"/>
      <w:r>
        <w:rPr>
          <w:rFonts w:hint="eastAsia" w:ascii="宋体" w:hAnsi="宋体" w:cs="宋体"/>
          <w:sz w:val="24"/>
          <w:highlight w:val="none"/>
        </w:rPr>
        <w:t>，并作为其投标的一部分。</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交纳投标保证金可采用的形式：政府采购法律法规接受的网上银行支付或者金融机构、担保机构出具的保函等非现金形式。</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投标保证金到账（保函提交）截止时间同投标截止时间。以网上银行支付等形式提交投标保证金的，应在投标截止时间前到账；以金融机构、担保机构出具的保函等形式提交投标保证金的，应在投标截止时间前递交至系统规定指定地点。由于到账时间晚于投标截止时间的，或者票据错误、印鉴不清等原因导致不能到账的，其</w:t>
      </w:r>
      <w:r>
        <w:rPr>
          <w:rFonts w:hint="eastAsia" w:ascii="宋体" w:hAnsi="宋体" w:cs="宋体"/>
          <w:b/>
          <w:sz w:val="24"/>
          <w:highlight w:val="none"/>
        </w:rPr>
        <w:t>投标无效</w:t>
      </w:r>
      <w:r>
        <w:rPr>
          <w:rFonts w:hint="eastAsia" w:ascii="宋体" w:hAnsi="宋体" w:cs="宋体"/>
          <w:sz w:val="24"/>
          <w:highlight w:val="none"/>
        </w:rPr>
        <w:t>。</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投标保证金（保函）有效期同投标有效期。</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联合体投标的，可以由联合体中的一方或者共同提交投标保证金，以一方名义提交投标保证金的，对联合体各方均具有约束力。</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投标人在投标截止时间前撤回已提交的投标文件的，自收到投标人书面撤回通知之日起5个工作日内退还已收取的投标保证金；</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中标人的投标保证金，自采购合同签订之日起5个工作日内退还中标人；</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未中标投标人的投标保证金，自中标通知书发出之日起5个工作日内退还未中标人；</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有下列情形之一的，采购人或采购代理机构可以不予退还投标保证金：</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投标有效期内投标人撤销投标文件的；</w:t>
      </w:r>
    </w:p>
    <w:p>
      <w:pPr>
        <w:numPr>
          <w:ilvl w:val="2"/>
          <w:numId w:val="9"/>
        </w:numPr>
        <w:tabs>
          <w:tab w:val="left" w:pos="900"/>
          <w:tab w:val="left" w:pos="1080"/>
          <w:tab w:val="left" w:pos="2014"/>
        </w:tabs>
        <w:snapToGrid w:val="0"/>
        <w:spacing w:line="360" w:lineRule="auto"/>
        <w:rPr>
          <w:rFonts w:ascii="宋体" w:hAnsi="宋体" w:cs="宋体"/>
          <w:sz w:val="24"/>
          <w:highlight w:val="none"/>
        </w:rPr>
      </w:pPr>
      <w:r>
        <w:rPr>
          <w:rFonts w:hint="eastAsia" w:ascii="宋体" w:hAnsi="宋体" w:cs="宋体"/>
          <w:sz w:val="24"/>
          <w:highlight w:val="none"/>
        </w:rPr>
        <w:t>《投标人须知资料表》中规定的其他情形。</w:t>
      </w:r>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342" w:name="_Toc520356157"/>
      <w:bookmarkStart w:id="343" w:name="_Toc164229227"/>
      <w:bookmarkStart w:id="344" w:name="_Toc127151532"/>
      <w:bookmarkStart w:id="345" w:name="_Toc151193920"/>
      <w:bookmarkStart w:id="346" w:name="_Toc127151733"/>
      <w:bookmarkStart w:id="347" w:name="_Toc150774632"/>
      <w:bookmarkStart w:id="348" w:name="_Toc149720825"/>
      <w:bookmarkStart w:id="349" w:name="_Toc151190159"/>
      <w:bookmarkStart w:id="350" w:name="_Toc164351626"/>
      <w:bookmarkStart w:id="351" w:name="_Toc142311034"/>
      <w:bookmarkStart w:id="352" w:name="_Toc226309776"/>
      <w:bookmarkStart w:id="353" w:name="_Toc150774737"/>
      <w:bookmarkStart w:id="354" w:name="_Toc127161446"/>
      <w:bookmarkStart w:id="355" w:name="_Toc226965722"/>
      <w:bookmarkStart w:id="356" w:name="_Toc150480770"/>
      <w:bookmarkStart w:id="357" w:name="_Toc151193846"/>
      <w:bookmarkStart w:id="358" w:name="_Toc151193702"/>
      <w:bookmarkStart w:id="359" w:name="_Toc226337228"/>
      <w:bookmarkStart w:id="360" w:name="_Toc164608801"/>
      <w:bookmarkStart w:id="361" w:name="_Toc265228370"/>
      <w:bookmarkStart w:id="362" w:name="_Toc164608646"/>
      <w:bookmarkStart w:id="363" w:name="_Toc305158874"/>
      <w:bookmarkStart w:id="364" w:name="_Toc164229373"/>
      <w:bookmarkStart w:id="365" w:name="_Toc195842897"/>
      <w:bookmarkStart w:id="366" w:name="_Toc305158800"/>
      <w:bookmarkStart w:id="367" w:name="_Toc226965805"/>
      <w:bookmarkStart w:id="368" w:name="_Toc264969222"/>
      <w:bookmarkStart w:id="369" w:name="_Toc150509283"/>
      <w:bookmarkStart w:id="370" w:name="_Toc151193774"/>
      <w:bookmarkStart w:id="371" w:name="_Toc151193630"/>
      <w:r>
        <w:rPr>
          <w:rFonts w:hint="eastAsia" w:ascii="宋体" w:hAnsi="宋体" w:cs="宋体"/>
          <w:sz w:val="24"/>
          <w:highlight w:val="none"/>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投标文件应在本招标文件《投标人须知资料表》中规定的投标有效期内保持有效，投标有效期少于招标文件规定期限的，其</w:t>
      </w:r>
      <w:r>
        <w:rPr>
          <w:rFonts w:hint="eastAsia" w:ascii="宋体" w:hAnsi="宋体" w:cs="宋体"/>
          <w:b/>
          <w:sz w:val="24"/>
          <w:highlight w:val="none"/>
        </w:rPr>
        <w:t>投标无效</w:t>
      </w:r>
      <w:r>
        <w:rPr>
          <w:rFonts w:hint="eastAsia" w:ascii="宋体" w:hAnsi="宋体" w:cs="宋体"/>
          <w:sz w:val="24"/>
          <w:highlight w:val="none"/>
        </w:rPr>
        <w:t>。</w:t>
      </w:r>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372" w:name="_Toc142311035"/>
      <w:bookmarkStart w:id="373" w:name="_Toc226965723"/>
      <w:bookmarkStart w:id="374" w:name="_Toc226965806"/>
      <w:bookmarkStart w:id="375" w:name="_Toc151193775"/>
      <w:bookmarkStart w:id="376" w:name="_Toc164351627"/>
      <w:bookmarkStart w:id="377" w:name="_Toc127161447"/>
      <w:bookmarkStart w:id="378" w:name="_Toc164608647"/>
      <w:bookmarkStart w:id="379" w:name="_Toc151193631"/>
      <w:bookmarkStart w:id="380" w:name="_Toc150774738"/>
      <w:bookmarkStart w:id="381" w:name="_Toc164229374"/>
      <w:bookmarkStart w:id="382" w:name="_Toc127151533"/>
      <w:bookmarkStart w:id="383" w:name="_Toc149720826"/>
      <w:bookmarkStart w:id="384" w:name="_Toc305158801"/>
      <w:bookmarkStart w:id="385" w:name="_Toc151193847"/>
      <w:bookmarkStart w:id="386" w:name="_Toc195842898"/>
      <w:bookmarkStart w:id="387" w:name="_Toc150774633"/>
      <w:bookmarkStart w:id="388" w:name="_Toc226309777"/>
      <w:bookmarkStart w:id="389" w:name="_Toc151190160"/>
      <w:bookmarkStart w:id="390" w:name="_Toc164608802"/>
      <w:bookmarkStart w:id="391" w:name="_Toc150509284"/>
      <w:bookmarkStart w:id="392" w:name="_Toc150480771"/>
      <w:bookmarkStart w:id="393" w:name="_Toc151193703"/>
      <w:bookmarkStart w:id="394" w:name="_Toc151193921"/>
      <w:bookmarkStart w:id="395" w:name="_Toc264969223"/>
      <w:bookmarkStart w:id="396" w:name="_Toc127151734"/>
      <w:bookmarkStart w:id="397" w:name="_Toc520356158"/>
      <w:bookmarkStart w:id="398" w:name="_Toc164229228"/>
      <w:bookmarkStart w:id="399" w:name="_Toc226337229"/>
      <w:bookmarkStart w:id="400" w:name="_Toc305158875"/>
      <w:bookmarkStart w:id="401" w:name="_Toc265228371"/>
      <w:r>
        <w:rPr>
          <w:rFonts w:hint="eastAsia" w:ascii="宋体" w:hAnsi="宋体" w:cs="宋体"/>
          <w:sz w:val="24"/>
          <w:highlight w:val="none"/>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宋体" w:hAnsi="宋体" w:cs="宋体"/>
          <w:sz w:val="24"/>
          <w:highlight w:val="none"/>
        </w:rPr>
        <w:t>、盖章</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bookmarkStart w:id="402" w:name="_Toc150774634"/>
      <w:bookmarkStart w:id="403" w:name="_Toc151193776"/>
      <w:bookmarkStart w:id="404" w:name="_Toc151193704"/>
      <w:bookmarkStart w:id="405" w:name="_Toc305158876"/>
      <w:bookmarkStart w:id="406" w:name="_Toc226965807"/>
      <w:bookmarkStart w:id="407" w:name="_Toc151190161"/>
      <w:bookmarkStart w:id="408" w:name="_Toc520356159"/>
      <w:bookmarkStart w:id="409" w:name="_Toc226337230"/>
      <w:bookmarkStart w:id="410" w:name="_Toc151193848"/>
      <w:bookmarkStart w:id="411" w:name="_Toc142311036"/>
      <w:bookmarkStart w:id="412" w:name="_Toc264969224"/>
      <w:bookmarkStart w:id="413" w:name="_Toc150509285"/>
      <w:bookmarkStart w:id="414" w:name="_Toc226309778"/>
      <w:bookmarkStart w:id="415" w:name="_Toc127151534"/>
      <w:bookmarkStart w:id="416" w:name="_Toc226965724"/>
      <w:bookmarkStart w:id="417" w:name="_Toc150480772"/>
      <w:bookmarkStart w:id="418" w:name="_Toc151193922"/>
      <w:bookmarkStart w:id="419" w:name="_Toc265228372"/>
      <w:bookmarkStart w:id="420" w:name="_Toc195842899"/>
      <w:bookmarkStart w:id="421" w:name="_Toc151193632"/>
      <w:bookmarkStart w:id="422" w:name="_Toc150774739"/>
      <w:bookmarkStart w:id="423" w:name="_Toc305158802"/>
      <w:r>
        <w:rPr>
          <w:rFonts w:hint="eastAsia" w:ascii="宋体" w:hAnsi="宋体" w:cs="宋体"/>
          <w:sz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招标文件要求盖章的内容，一般通过投标文件编制工具加盖电子签章。</w:t>
      </w:r>
    </w:p>
    <w:p>
      <w:pPr>
        <w:tabs>
          <w:tab w:val="left" w:pos="900"/>
          <w:tab w:val="left" w:pos="1080"/>
        </w:tabs>
        <w:snapToGrid w:val="0"/>
        <w:spacing w:line="360" w:lineRule="auto"/>
        <w:ind w:left="357"/>
        <w:rPr>
          <w:rFonts w:ascii="宋体" w:hAnsi="宋体" w:cs="宋体"/>
          <w:highlight w:val="none"/>
        </w:rPr>
      </w:pPr>
    </w:p>
    <w:p>
      <w:pPr>
        <w:pStyle w:val="3"/>
        <w:spacing w:before="0" w:line="360" w:lineRule="auto"/>
        <w:rPr>
          <w:rFonts w:ascii="宋体" w:hAnsi="宋体" w:eastAsia="宋体" w:cs="宋体"/>
          <w:sz w:val="28"/>
          <w:highlight w:val="none"/>
        </w:rPr>
      </w:pPr>
      <w:r>
        <w:rPr>
          <w:rFonts w:hint="eastAsia" w:ascii="宋体" w:hAnsi="宋体" w:eastAsia="宋体" w:cs="宋体"/>
          <w:sz w:val="28"/>
          <w:highlight w:val="none"/>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424" w:name="_Toc151193777"/>
      <w:bookmarkStart w:id="425" w:name="_Toc151190162"/>
      <w:bookmarkStart w:id="426" w:name="_Toc127161449"/>
      <w:bookmarkStart w:id="427" w:name="_Toc127151535"/>
      <w:bookmarkStart w:id="428" w:name="_Toc150774635"/>
      <w:bookmarkStart w:id="429" w:name="_Toc264969225"/>
      <w:bookmarkStart w:id="430" w:name="_Toc520356160"/>
      <w:bookmarkStart w:id="431" w:name="_Toc127151736"/>
      <w:bookmarkStart w:id="432" w:name="_Toc150774740"/>
      <w:bookmarkStart w:id="433" w:name="_Toc164229376"/>
      <w:bookmarkStart w:id="434" w:name="_Toc149720828"/>
      <w:bookmarkStart w:id="435" w:name="_Toc164608804"/>
      <w:bookmarkStart w:id="436" w:name="_Toc305158877"/>
      <w:bookmarkStart w:id="437" w:name="_Toc164229230"/>
      <w:bookmarkStart w:id="438" w:name="_Toc305158803"/>
      <w:bookmarkStart w:id="439" w:name="_Toc265228373"/>
      <w:bookmarkStart w:id="440" w:name="_Toc151193849"/>
      <w:bookmarkStart w:id="441" w:name="_Toc164608649"/>
      <w:bookmarkStart w:id="442" w:name="_Toc195842900"/>
      <w:bookmarkStart w:id="443" w:name="_Toc151193923"/>
      <w:bookmarkStart w:id="444" w:name="_Toc164351629"/>
      <w:bookmarkStart w:id="445" w:name="_Toc226965725"/>
      <w:bookmarkStart w:id="446" w:name="_Toc150480773"/>
      <w:bookmarkStart w:id="447" w:name="_Toc226337231"/>
      <w:bookmarkStart w:id="448" w:name="_Toc142311037"/>
      <w:bookmarkStart w:id="449" w:name="_Toc151193705"/>
      <w:bookmarkStart w:id="450" w:name="_Toc150509286"/>
      <w:bookmarkStart w:id="451" w:name="_Toc226965808"/>
      <w:bookmarkStart w:id="452" w:name="_Toc226309779"/>
      <w:bookmarkStart w:id="453" w:name="_Toc151193633"/>
      <w:r>
        <w:rPr>
          <w:rFonts w:hint="eastAsia" w:ascii="宋体" w:hAnsi="宋体" w:cs="宋体"/>
          <w:sz w:val="24"/>
          <w:highlight w:val="none"/>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宋体" w:hAnsi="宋体" w:cs="宋体"/>
          <w:sz w:val="24"/>
          <w:highlight w:val="none"/>
        </w:rPr>
        <w:t>提交</w:t>
      </w:r>
    </w:p>
    <w:p>
      <w:pPr>
        <w:wordWrap w:val="0"/>
        <w:spacing w:line="360" w:lineRule="auto"/>
        <w:ind w:left="638" w:leftChars="304"/>
        <w:rPr>
          <w:rFonts w:ascii="宋体" w:hAnsi="宋体" w:cs="宋体"/>
          <w:sz w:val="24"/>
          <w:highlight w:val="none"/>
        </w:rPr>
      </w:pPr>
      <w:bookmarkStart w:id="454" w:name="_Toc226309781"/>
      <w:bookmarkStart w:id="455" w:name="_Toc265228375"/>
      <w:bookmarkStart w:id="456" w:name="_Toc127151738"/>
      <w:bookmarkStart w:id="457" w:name="_Toc150480775"/>
      <w:bookmarkStart w:id="458" w:name="_Toc520356162"/>
      <w:bookmarkStart w:id="459" w:name="_Toc151193851"/>
      <w:bookmarkStart w:id="460" w:name="_Toc305158805"/>
      <w:bookmarkStart w:id="461" w:name="_Toc150509288"/>
      <w:bookmarkStart w:id="462" w:name="_Toc195842902"/>
      <w:bookmarkStart w:id="463" w:name="_Toc164229378"/>
      <w:bookmarkStart w:id="464" w:name="_Toc264969227"/>
      <w:bookmarkStart w:id="465" w:name="_Toc150774637"/>
      <w:bookmarkStart w:id="466" w:name="_Toc149720830"/>
      <w:bookmarkStart w:id="467" w:name="_Toc226965727"/>
      <w:bookmarkStart w:id="468" w:name="_Toc127151537"/>
      <w:bookmarkStart w:id="469" w:name="_Toc151190164"/>
      <w:bookmarkStart w:id="470" w:name="_Toc305158879"/>
      <w:bookmarkStart w:id="471" w:name="_Toc151193779"/>
      <w:bookmarkStart w:id="472" w:name="_Toc151193635"/>
      <w:bookmarkStart w:id="473" w:name="_Toc164351631"/>
      <w:bookmarkStart w:id="474" w:name="_Toc151193925"/>
      <w:bookmarkStart w:id="475" w:name="_Toc164229232"/>
      <w:bookmarkStart w:id="476" w:name="_Toc142311039"/>
      <w:bookmarkStart w:id="477" w:name="_Toc226965810"/>
      <w:bookmarkStart w:id="478" w:name="_Toc164608806"/>
      <w:bookmarkStart w:id="479" w:name="_Toc226337233"/>
      <w:bookmarkStart w:id="480" w:name="_Toc150774742"/>
      <w:bookmarkStart w:id="481" w:name="_Toc164608651"/>
      <w:bookmarkStart w:id="482" w:name="_Toc127161451"/>
      <w:bookmarkStart w:id="483" w:name="_Toc151193707"/>
      <w:r>
        <w:rPr>
          <w:rFonts w:hint="eastAsia" w:ascii="宋体" w:hAnsi="宋体" w:cs="宋体"/>
          <w:sz w:val="24"/>
          <w:highlight w:val="none"/>
        </w:rPr>
        <w:t>15.1本项目使用北京市政府采购电子交易平台。投标人根据招标文件及电子交易平台供应商操作手册要求编制、生成并提交电子投标文件。</w:t>
      </w:r>
    </w:p>
    <w:p>
      <w:pPr>
        <w:wordWrap w:val="0"/>
        <w:spacing w:line="360" w:lineRule="auto"/>
        <w:ind w:left="638" w:leftChars="304"/>
        <w:rPr>
          <w:rFonts w:ascii="宋体" w:hAnsi="宋体" w:cs="宋体"/>
          <w:sz w:val="24"/>
          <w:highlight w:val="none"/>
        </w:rPr>
      </w:pPr>
      <w:r>
        <w:rPr>
          <w:rFonts w:hint="eastAsia" w:ascii="宋体" w:hAnsi="宋体" w:cs="宋体"/>
          <w:sz w:val="24"/>
          <w:highlight w:val="none"/>
        </w:rPr>
        <w:t>15.2 采购人及采购代理机构拒绝接受通过电子交易平台以外任何形式提交的投标文件，投标保证金除外。</w:t>
      </w:r>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484" w:name="_Toc164608650"/>
      <w:bookmarkStart w:id="485" w:name="_Toc226965809"/>
      <w:bookmarkStart w:id="486" w:name="_Toc149720829"/>
      <w:bookmarkStart w:id="487" w:name="_Toc127161450"/>
      <w:bookmarkStart w:id="488" w:name="_Toc151193634"/>
      <w:bookmarkStart w:id="489" w:name="_Toc127151536"/>
      <w:bookmarkStart w:id="490" w:name="_Toc226965726"/>
      <w:bookmarkStart w:id="491" w:name="_Toc151193924"/>
      <w:bookmarkStart w:id="492" w:name="_Toc164608805"/>
      <w:bookmarkStart w:id="493" w:name="_Toc195842901"/>
      <w:bookmarkStart w:id="494" w:name="_Toc164229377"/>
      <w:bookmarkStart w:id="495" w:name="_Toc150509287"/>
      <w:bookmarkStart w:id="496" w:name="_Toc226309780"/>
      <w:bookmarkStart w:id="497" w:name="_Toc151190163"/>
      <w:bookmarkStart w:id="498" w:name="_Toc151193778"/>
      <w:bookmarkStart w:id="499" w:name="_Toc150774741"/>
      <w:bookmarkStart w:id="500" w:name="_Toc305158804"/>
      <w:bookmarkStart w:id="501" w:name="_Toc150480774"/>
      <w:bookmarkStart w:id="502" w:name="_Toc164351630"/>
      <w:bookmarkStart w:id="503" w:name="_Toc151193706"/>
      <w:bookmarkStart w:id="504" w:name="_Toc142311038"/>
      <w:bookmarkStart w:id="505" w:name="_Toc164229231"/>
      <w:bookmarkStart w:id="506" w:name="_Toc151193850"/>
      <w:bookmarkStart w:id="507" w:name="_Toc127151737"/>
      <w:bookmarkStart w:id="508" w:name="_Toc305158878"/>
      <w:bookmarkStart w:id="509" w:name="_Toc265228374"/>
      <w:bookmarkStart w:id="510" w:name="_Toc226337232"/>
      <w:bookmarkStart w:id="511" w:name="_Toc264969226"/>
      <w:bookmarkStart w:id="512" w:name="_Toc150774636"/>
      <w:r>
        <w:rPr>
          <w:rFonts w:hint="eastAsia" w:ascii="宋体" w:hAnsi="宋体" w:cs="宋体"/>
          <w:sz w:val="24"/>
          <w:highlight w:val="none"/>
        </w:rPr>
        <w:t>投标截止</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Pr>
          <w:rFonts w:hint="eastAsia" w:ascii="宋体" w:hAnsi="宋体" w:cs="宋体"/>
          <w:sz w:val="24"/>
          <w:highlight w:val="none"/>
        </w:rPr>
        <w:t>时间</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Pr>
        <w:spacing w:line="360" w:lineRule="auto"/>
        <w:ind w:firstLine="480" w:firstLineChars="200"/>
        <w:rPr>
          <w:rFonts w:ascii="宋体" w:hAnsi="宋体" w:cs="宋体"/>
          <w:sz w:val="24"/>
          <w:highlight w:val="none"/>
        </w:rPr>
      </w:pPr>
      <w:r>
        <w:rPr>
          <w:rFonts w:hint="eastAsia" w:ascii="宋体" w:hAnsi="宋体" w:cs="宋体"/>
          <w:sz w:val="24"/>
          <w:highlight w:val="none"/>
        </w:rPr>
        <w:t>16.1投标人应在招标文件要求提交投标文件截止时间前，将电子投标文件提交至电子交易平台。</w:t>
      </w:r>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投标文件的修改与撤回</w:t>
      </w:r>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投标人对投标文件的补充、修改的内容应当按照招标文件要求签署、盖章，作为投标文件的组成部分。</w:t>
      </w:r>
    </w:p>
    <w:p>
      <w:pPr>
        <w:pStyle w:val="3"/>
        <w:spacing w:before="0" w:line="360" w:lineRule="auto"/>
        <w:rPr>
          <w:rFonts w:ascii="宋体" w:hAnsi="宋体" w:eastAsia="宋体" w:cs="宋体"/>
          <w:sz w:val="28"/>
          <w:highlight w:val="none"/>
        </w:rPr>
      </w:pPr>
      <w:bookmarkStart w:id="513" w:name="_Toc151193852"/>
      <w:bookmarkStart w:id="514" w:name="_Toc142311040"/>
      <w:bookmarkStart w:id="515" w:name="_Toc151193926"/>
      <w:bookmarkStart w:id="516" w:name="_Toc226337234"/>
      <w:bookmarkStart w:id="517" w:name="_Toc151193708"/>
      <w:bookmarkStart w:id="518" w:name="_Toc264969228"/>
      <w:bookmarkStart w:id="519" w:name="_Toc151193780"/>
      <w:bookmarkStart w:id="520" w:name="_Toc226309782"/>
      <w:bookmarkStart w:id="521" w:name="_Toc265228376"/>
      <w:bookmarkStart w:id="522" w:name="_Toc127151538"/>
      <w:bookmarkStart w:id="523" w:name="_Toc305158880"/>
      <w:bookmarkStart w:id="524" w:name="_Toc195842903"/>
      <w:bookmarkStart w:id="525" w:name="_Toc305158806"/>
      <w:bookmarkStart w:id="526" w:name="_Toc151190165"/>
      <w:bookmarkStart w:id="527" w:name="_Toc151193636"/>
      <w:bookmarkStart w:id="528" w:name="_Toc226965811"/>
      <w:bookmarkStart w:id="529" w:name="_Toc150774743"/>
      <w:bookmarkStart w:id="530" w:name="_Toc150774638"/>
      <w:bookmarkStart w:id="531" w:name="_Toc520356163"/>
      <w:bookmarkStart w:id="532" w:name="_Toc150509289"/>
      <w:bookmarkStart w:id="533" w:name="_Toc150480776"/>
      <w:bookmarkStart w:id="534" w:name="_Toc226965728"/>
      <w:r>
        <w:rPr>
          <w:rFonts w:hint="eastAsia" w:ascii="宋体" w:hAnsi="宋体" w:eastAsia="宋体" w:cs="宋体"/>
          <w:sz w:val="28"/>
          <w:highlight w:val="none"/>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535" w:name="_Toc151193853"/>
      <w:bookmarkStart w:id="536" w:name="_Toc150509290"/>
      <w:bookmarkStart w:id="537" w:name="_Toc195842904"/>
      <w:bookmarkStart w:id="538" w:name="_Toc127161453"/>
      <w:bookmarkStart w:id="539" w:name="_Toc305158807"/>
      <w:bookmarkStart w:id="540" w:name="_Toc226309783"/>
      <w:bookmarkStart w:id="541" w:name="_Toc226337235"/>
      <w:bookmarkStart w:id="542" w:name="_Toc127151740"/>
      <w:bookmarkStart w:id="543" w:name="_Toc150774744"/>
      <w:bookmarkStart w:id="544" w:name="_Toc520356164"/>
      <w:bookmarkStart w:id="545" w:name="_Toc305158881"/>
      <w:bookmarkStart w:id="546" w:name="_Toc226965812"/>
      <w:bookmarkStart w:id="547" w:name="_Toc151193781"/>
      <w:bookmarkStart w:id="548" w:name="_Toc151193927"/>
      <w:bookmarkStart w:id="549" w:name="_Toc150480777"/>
      <w:bookmarkStart w:id="550" w:name="_Toc151190166"/>
      <w:bookmarkStart w:id="551" w:name="_Toc226965729"/>
      <w:bookmarkStart w:id="552" w:name="_Toc164608808"/>
      <w:bookmarkStart w:id="553" w:name="_Toc164229234"/>
      <w:bookmarkStart w:id="554" w:name="_Toc264969229"/>
      <w:bookmarkStart w:id="555" w:name="_Toc164229380"/>
      <w:bookmarkStart w:id="556" w:name="_Toc265228377"/>
      <w:bookmarkStart w:id="557" w:name="_Toc142311041"/>
      <w:bookmarkStart w:id="558" w:name="_Toc127151539"/>
      <w:bookmarkStart w:id="559" w:name="_Toc151193709"/>
      <w:bookmarkStart w:id="560" w:name="_Toc149720832"/>
      <w:bookmarkStart w:id="561" w:name="_Toc150774639"/>
      <w:bookmarkStart w:id="562" w:name="_Toc164608653"/>
      <w:bookmarkStart w:id="563" w:name="_Toc151193637"/>
      <w:bookmarkStart w:id="564" w:name="_Toc164351633"/>
      <w:r>
        <w:rPr>
          <w:rFonts w:hint="eastAsia" w:ascii="宋体" w:hAnsi="宋体" w:cs="宋体"/>
          <w:sz w:val="24"/>
          <w:highlight w:val="none"/>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Start w:id="565" w:name="_Toc520356169"/>
    </w:p>
    <w:p>
      <w:pPr>
        <w:numPr>
          <w:ilvl w:val="1"/>
          <w:numId w:val="9"/>
        </w:numPr>
        <w:tabs>
          <w:tab w:val="left" w:pos="360"/>
          <w:tab w:val="clear" w:pos="1589"/>
        </w:tabs>
        <w:snapToGrid w:val="0"/>
        <w:spacing w:line="360" w:lineRule="auto"/>
        <w:outlineLvl w:val="1"/>
        <w:rPr>
          <w:rFonts w:ascii="宋体" w:hAnsi="宋体" w:cs="宋体"/>
          <w:sz w:val="24"/>
          <w:highlight w:val="none"/>
        </w:rPr>
      </w:pPr>
      <w:r>
        <w:rPr>
          <w:rFonts w:hint="eastAsia" w:ascii="宋体" w:hAnsi="宋体" w:cs="宋体"/>
          <w:sz w:val="24"/>
          <w:highlight w:val="none"/>
        </w:rPr>
        <w:t>采购人或采购代理机构将按招标文件的规定，在投标截止时间的同一时间和招标文件预先确定的地点组织开标。</w:t>
      </w:r>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参加开标的投标人代表应确保携带加密电子投标文件相对应的移动数字CA证书，投标人应在规定的时间内对投标文件进行解密，因非系统原因导致的解密失败，视为</w:t>
      </w:r>
      <w:r>
        <w:rPr>
          <w:rFonts w:hint="eastAsia" w:ascii="宋体" w:hAnsi="宋体" w:cs="宋体"/>
          <w:b/>
          <w:sz w:val="24"/>
          <w:highlight w:val="none"/>
        </w:rPr>
        <w:t>投标无效</w:t>
      </w:r>
      <w:r>
        <w:rPr>
          <w:rFonts w:hint="eastAsia" w:ascii="宋体" w:hAnsi="宋体" w:cs="宋体"/>
          <w:sz w:val="24"/>
          <w:highlight w:val="none"/>
        </w:rPr>
        <w:t>。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开标过程将使用电子系统宣布投标人名称、投标价格和招标文件规定的需要宣布的其他内容并进行记录，并由参加开标的各投标人代表确认</w:t>
      </w:r>
      <w:bookmarkStart w:id="566" w:name="_Toc520356165"/>
      <w:r>
        <w:rPr>
          <w:rFonts w:hint="eastAsia" w:ascii="宋体" w:hAnsi="宋体" w:cs="宋体"/>
          <w:sz w:val="24"/>
          <w:highlight w:val="none"/>
        </w:rPr>
        <w:t>。</w:t>
      </w:r>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投标人不足3家的，不予开标。</w:t>
      </w:r>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资格审查</w:t>
      </w:r>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见第三章《资格审查》。</w:t>
      </w:r>
    </w:p>
    <w:bookmarkEnd w:id="566"/>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567" w:name="_Toc127161454"/>
      <w:bookmarkStart w:id="568" w:name="_Toc151193854"/>
      <w:bookmarkStart w:id="569" w:name="_Toc164608654"/>
      <w:bookmarkStart w:id="570" w:name="_Toc226337236"/>
      <w:bookmarkStart w:id="571" w:name="_Toc226309784"/>
      <w:bookmarkStart w:id="572" w:name="_Toc164229235"/>
      <w:bookmarkStart w:id="573" w:name="_Toc149720833"/>
      <w:bookmarkStart w:id="574" w:name="_Toc150774640"/>
      <w:bookmarkStart w:id="575" w:name="_Toc305158808"/>
      <w:bookmarkStart w:id="576" w:name="_Toc264969230"/>
      <w:bookmarkStart w:id="577" w:name="_Toc226965813"/>
      <w:bookmarkStart w:id="578" w:name="_Toc305158882"/>
      <w:bookmarkStart w:id="579" w:name="_Toc164229381"/>
      <w:bookmarkStart w:id="580" w:name="_Toc226965730"/>
      <w:bookmarkStart w:id="581" w:name="_Toc127151741"/>
      <w:bookmarkStart w:id="582" w:name="_Toc150774745"/>
      <w:bookmarkStart w:id="583" w:name="_Toc265228378"/>
      <w:bookmarkStart w:id="584" w:name="_Toc164608809"/>
      <w:bookmarkStart w:id="585" w:name="_Toc151193928"/>
      <w:bookmarkStart w:id="586" w:name="_Toc127151540"/>
      <w:bookmarkStart w:id="587" w:name="_Toc150480778"/>
      <w:bookmarkStart w:id="588" w:name="_Toc164351634"/>
      <w:bookmarkStart w:id="589" w:name="_Toc195842905"/>
      <w:bookmarkStart w:id="590" w:name="_Toc151193710"/>
      <w:bookmarkStart w:id="591" w:name="_Toc151190167"/>
      <w:bookmarkStart w:id="592" w:name="_Toc150509291"/>
      <w:bookmarkStart w:id="593" w:name="_Toc151193782"/>
      <w:bookmarkStart w:id="594" w:name="_Toc142311042"/>
      <w:bookmarkStart w:id="595" w:name="_Toc151193638"/>
      <w:r>
        <w:rPr>
          <w:rFonts w:hint="eastAsia" w:ascii="宋体" w:hAnsi="宋体" w:cs="宋体"/>
          <w:sz w:val="24"/>
          <w:highlight w:val="none"/>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评标委员会根据政府采购有关规定和本次招标采购项目的特点进行组建，并负责具体评标事务，独立履行职责。</w:t>
      </w:r>
      <w:bookmarkStart w:id="596" w:name="_Toc520356166"/>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评标程序、评标方法和评标标准</w:t>
      </w:r>
    </w:p>
    <w:p>
      <w:pPr>
        <w:numPr>
          <w:ilvl w:val="1"/>
          <w:numId w:val="9"/>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见第四章《评标程序、评标方法和评标标准》。</w:t>
      </w:r>
    </w:p>
    <w:p>
      <w:pPr>
        <w:tabs>
          <w:tab w:val="left" w:pos="360"/>
          <w:tab w:val="left" w:pos="1080"/>
        </w:tabs>
        <w:snapToGrid w:val="0"/>
        <w:spacing w:line="360" w:lineRule="auto"/>
        <w:ind w:left="1080"/>
        <w:rPr>
          <w:rFonts w:ascii="宋体" w:hAnsi="宋体" w:cs="宋体"/>
          <w:sz w:val="24"/>
          <w:highlight w:val="none"/>
        </w:rPr>
      </w:pPr>
    </w:p>
    <w:p>
      <w:pPr>
        <w:pStyle w:val="3"/>
        <w:spacing w:before="0" w:line="360" w:lineRule="auto"/>
        <w:rPr>
          <w:rFonts w:ascii="宋体" w:hAnsi="宋体" w:eastAsia="宋体" w:cs="宋体"/>
          <w:sz w:val="28"/>
          <w:highlight w:val="none"/>
        </w:rPr>
      </w:pPr>
      <w:bookmarkStart w:id="597" w:name="_Toc226965818"/>
      <w:bookmarkStart w:id="598" w:name="_Toc305158813"/>
      <w:bookmarkStart w:id="599" w:name="_Toc226965735"/>
      <w:bookmarkStart w:id="600" w:name="_Toc142311047"/>
      <w:bookmarkStart w:id="601" w:name="_Toc127151545"/>
      <w:bookmarkStart w:id="602" w:name="_Toc150774750"/>
      <w:bookmarkStart w:id="603" w:name="_Toc195842910"/>
      <w:bookmarkStart w:id="604" w:name="_Toc151193933"/>
      <w:bookmarkStart w:id="605" w:name="_Toc151193859"/>
      <w:bookmarkStart w:id="606" w:name="_Toc150774645"/>
      <w:bookmarkStart w:id="607" w:name="_Toc226337241"/>
      <w:bookmarkStart w:id="608" w:name="_Toc151190172"/>
      <w:bookmarkStart w:id="609" w:name="_Toc305158887"/>
      <w:bookmarkStart w:id="610" w:name="_Toc264969235"/>
      <w:bookmarkStart w:id="611" w:name="_Toc226309789"/>
      <w:bookmarkStart w:id="612" w:name="_Toc150509296"/>
      <w:bookmarkStart w:id="613" w:name="_Toc151193643"/>
      <w:bookmarkStart w:id="614" w:name="_Toc265228383"/>
      <w:bookmarkStart w:id="615" w:name="_Toc150480783"/>
      <w:bookmarkStart w:id="616" w:name="_Toc151193715"/>
      <w:bookmarkStart w:id="617" w:name="_Toc151193787"/>
      <w:r>
        <w:rPr>
          <w:rFonts w:hint="eastAsia" w:ascii="宋体" w:hAnsi="宋体" w:eastAsia="宋体" w:cs="宋体"/>
          <w:sz w:val="28"/>
          <w:highlight w:val="none"/>
        </w:rPr>
        <w:t xml:space="preserve">六   </w:t>
      </w:r>
      <w:bookmarkEnd w:id="565"/>
      <w:r>
        <w:rPr>
          <w:rFonts w:hint="eastAsia" w:ascii="宋体" w:hAnsi="宋体" w:eastAsia="宋体" w:cs="宋体"/>
          <w:sz w:val="28"/>
          <w:highlight w:val="none"/>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64608661"/>
      <w:bookmarkStart w:id="619" w:name="_Toc151193645"/>
      <w:bookmarkStart w:id="620" w:name="_Toc151193935"/>
      <w:bookmarkStart w:id="621" w:name="_Toc226337243"/>
      <w:bookmarkStart w:id="622" w:name="_Toc164351641"/>
      <w:bookmarkStart w:id="623" w:name="_Toc305158815"/>
      <w:bookmarkStart w:id="624" w:name="_Toc164229242"/>
      <w:bookmarkStart w:id="625" w:name="_Toc151193789"/>
      <w:bookmarkStart w:id="626" w:name="_Toc195842912"/>
      <w:bookmarkStart w:id="627" w:name="_Toc142311049"/>
      <w:bookmarkStart w:id="628" w:name="_Toc226965820"/>
      <w:bookmarkStart w:id="629" w:name="_Toc226965737"/>
      <w:bookmarkStart w:id="630" w:name="_Toc150774752"/>
      <w:bookmarkStart w:id="631" w:name="_Toc164608816"/>
      <w:bookmarkStart w:id="632" w:name="_Toc151190174"/>
      <w:bookmarkStart w:id="633" w:name="_Toc164229388"/>
      <w:bookmarkStart w:id="634" w:name="_Toc150480785"/>
      <w:bookmarkStart w:id="635" w:name="_Toc127151748"/>
      <w:bookmarkStart w:id="636" w:name="_Toc151193861"/>
      <w:bookmarkStart w:id="637" w:name="_Toc127161461"/>
      <w:bookmarkStart w:id="638" w:name="_Toc226309791"/>
      <w:bookmarkStart w:id="639" w:name="_Toc151193717"/>
      <w:bookmarkStart w:id="640" w:name="_Toc150774647"/>
      <w:bookmarkStart w:id="641" w:name="_Toc305158889"/>
      <w:bookmarkStart w:id="642" w:name="_Toc265228385"/>
      <w:bookmarkStart w:id="643" w:name="_Toc150509298"/>
      <w:bookmarkStart w:id="644" w:name="_Toc127151547"/>
      <w:bookmarkStart w:id="645" w:name="_Toc149720840"/>
      <w:bookmarkStart w:id="646" w:name="_Toc264969237"/>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647" w:name="_Toc305158891"/>
      <w:bookmarkStart w:id="648" w:name="_Toc305158817"/>
      <w:bookmarkStart w:id="649" w:name="_Toc264969239"/>
      <w:bookmarkStart w:id="650" w:name="_Toc164351643"/>
      <w:bookmarkStart w:id="651" w:name="_Toc142311051"/>
      <w:bookmarkStart w:id="652" w:name="_Toc150774754"/>
      <w:bookmarkStart w:id="653" w:name="_Toc149720842"/>
      <w:bookmarkStart w:id="654" w:name="_Toc151190176"/>
      <w:bookmarkStart w:id="655" w:name="_Toc127151750"/>
      <w:bookmarkStart w:id="656" w:name="_Toc265228387"/>
      <w:bookmarkStart w:id="657" w:name="_Toc164608818"/>
      <w:bookmarkStart w:id="658" w:name="_Toc151193791"/>
      <w:bookmarkStart w:id="659" w:name="_Toc226337245"/>
      <w:bookmarkStart w:id="660" w:name="_Toc150480787"/>
      <w:bookmarkStart w:id="661" w:name="_Toc226965822"/>
      <w:bookmarkStart w:id="662" w:name="_Toc151193719"/>
      <w:bookmarkStart w:id="663" w:name="_Toc164608663"/>
      <w:bookmarkStart w:id="664" w:name="_Toc195842914"/>
      <w:bookmarkStart w:id="665" w:name="_Toc151193647"/>
      <w:bookmarkStart w:id="666" w:name="_Toc151193863"/>
      <w:bookmarkStart w:id="667" w:name="_Toc226309793"/>
      <w:bookmarkStart w:id="668" w:name="_Toc150774649"/>
      <w:bookmarkStart w:id="669" w:name="_Toc226965739"/>
      <w:bookmarkStart w:id="670" w:name="_Toc151193937"/>
      <w:bookmarkStart w:id="671" w:name="_Toc127161463"/>
      <w:bookmarkStart w:id="672" w:name="_Toc164229244"/>
      <w:bookmarkStart w:id="673" w:name="_Toc127151549"/>
      <w:bookmarkStart w:id="674" w:name="_Toc164229390"/>
      <w:bookmarkStart w:id="675" w:name="_Toc150509300"/>
      <w:bookmarkStart w:id="676" w:name="_Ref467307090"/>
      <w:bookmarkStart w:id="677" w:name="_Toc520356176"/>
      <w:bookmarkStart w:id="678" w:name="_Ref467306425"/>
      <w:r>
        <w:rPr>
          <w:rFonts w:hint="eastAsia" w:ascii="宋体" w:hAnsi="宋体" w:cs="宋体"/>
          <w:sz w:val="24"/>
          <w:highlight w:val="none"/>
        </w:rPr>
        <w:t>中标公告与中标通知书</w:t>
      </w:r>
      <w:bookmarkEnd w:id="647"/>
      <w:bookmarkEnd w:id="648"/>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采购人或采购代理机构自中标人确定之日起2个工作日内，</w:t>
      </w:r>
      <w:r>
        <w:rPr>
          <w:rFonts w:hint="eastAsia" w:ascii="宋体" w:hAnsi="宋体" w:cs="宋体"/>
          <w:kern w:val="0"/>
          <w:sz w:val="24"/>
          <w:highlight w:val="none"/>
        </w:rPr>
        <w:t>在北京市政府采购网、中国政府采购网公告中标结果</w:t>
      </w:r>
      <w:r>
        <w:rPr>
          <w:rFonts w:hint="eastAsia" w:ascii="宋体" w:hAnsi="宋体" w:cs="宋体"/>
          <w:sz w:val="24"/>
          <w:highlight w:val="none"/>
        </w:rPr>
        <w:t>，同时向中标人发出中标通知书，中标公告期限为1个工作日。</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废标</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在招标采购中，出现下列情形之一的，应予废标：</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符合专业条件的供应商或者对招标文件作实质响应的供应商不足三家的；</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出现影响采购公正的违法、违规行为的；</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投标人的报价均超过了采购预算，采购人不能支付的；</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因重大变故，采购任务取消的。</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废标后，采购人将废标理由通知所有投标人。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Pr>
        <w:numPr>
          <w:ilvl w:val="0"/>
          <w:numId w:val="9"/>
        </w:numPr>
        <w:tabs>
          <w:tab w:val="left" w:pos="360"/>
        </w:tabs>
        <w:snapToGrid w:val="0"/>
        <w:spacing w:line="360" w:lineRule="auto"/>
        <w:ind w:left="357" w:hanging="357"/>
        <w:outlineLvl w:val="1"/>
        <w:rPr>
          <w:rFonts w:ascii="宋体" w:hAnsi="宋体" w:cs="宋体"/>
          <w:sz w:val="24"/>
          <w:highlight w:val="none"/>
        </w:rPr>
      </w:pPr>
      <w:bookmarkStart w:id="679" w:name="_Toc151193648"/>
      <w:bookmarkStart w:id="680" w:name="_Toc151193720"/>
      <w:bookmarkStart w:id="681" w:name="_Toc142311052"/>
      <w:bookmarkStart w:id="682" w:name="_Toc164608819"/>
      <w:bookmarkStart w:id="683" w:name="_Toc127151751"/>
      <w:bookmarkStart w:id="684" w:name="_Toc520356175"/>
      <w:bookmarkStart w:id="685" w:name="_Toc226965740"/>
      <w:bookmarkStart w:id="686" w:name="_Toc226337246"/>
      <w:bookmarkStart w:id="687" w:name="_Toc226965823"/>
      <w:bookmarkStart w:id="688" w:name="_Toc265228388"/>
      <w:bookmarkStart w:id="689" w:name="_Toc264969240"/>
      <w:bookmarkStart w:id="690" w:name="_Toc151193864"/>
      <w:bookmarkStart w:id="691" w:name="_Toc149720843"/>
      <w:bookmarkStart w:id="692" w:name="_Toc305158892"/>
      <w:bookmarkStart w:id="693" w:name="_Toc151190177"/>
      <w:bookmarkStart w:id="694" w:name="_Toc164608664"/>
      <w:bookmarkStart w:id="695" w:name="_Toc164229391"/>
      <w:bookmarkStart w:id="696" w:name="_Toc226309794"/>
      <w:bookmarkStart w:id="697" w:name="_Toc150509301"/>
      <w:bookmarkStart w:id="698" w:name="_Toc305158818"/>
      <w:bookmarkStart w:id="699" w:name="_Ref467307204"/>
      <w:bookmarkStart w:id="700" w:name="_Toc150774755"/>
      <w:bookmarkStart w:id="701" w:name="_Toc127151550"/>
      <w:bookmarkStart w:id="702" w:name="_Ref467306978"/>
      <w:bookmarkStart w:id="703" w:name="_Toc164351644"/>
      <w:bookmarkStart w:id="704" w:name="_Toc127161464"/>
      <w:bookmarkStart w:id="705" w:name="_Toc164229245"/>
      <w:bookmarkStart w:id="706" w:name="_Toc150774650"/>
      <w:bookmarkStart w:id="707" w:name="_Ref467307062"/>
      <w:bookmarkStart w:id="708" w:name="_Toc151193938"/>
      <w:bookmarkStart w:id="709" w:name="_Toc150480788"/>
      <w:bookmarkStart w:id="710" w:name="_Toc151193792"/>
      <w:bookmarkStart w:id="711" w:name="_Toc195842915"/>
      <w:bookmarkStart w:id="712" w:name="_Ref467306377"/>
      <w:r>
        <w:rPr>
          <w:rFonts w:hint="eastAsia" w:ascii="宋体" w:hAnsi="宋体" w:cs="宋体"/>
          <w:sz w:val="24"/>
          <w:highlight w:val="none"/>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中标人拒绝与采购人签订合同的，采购人可以按照评标报告推荐的中标候选人名单排序，确定下一候选人为中标人，也可以重新开展政府采购活动。</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联合体中标的，联合体各方应当共同与采购人签订合同，就中标项目向采购人承担连带责任。</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政府采购合同不能转包。</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w:t>
      </w:r>
      <w:r>
        <w:rPr>
          <w:rFonts w:hint="eastAsia" w:ascii="宋体" w:hAnsi="宋体" w:cs="宋体"/>
          <w:sz w:val="24"/>
          <w:highlight w:val="none"/>
        </w:rPr>
        <w:t>否则</w:t>
      </w:r>
      <w:r>
        <w:rPr>
          <w:rFonts w:hint="eastAsia" w:ascii="宋体" w:hAnsi="宋体" w:cs="宋体"/>
          <w:b/>
          <w:sz w:val="24"/>
          <w:highlight w:val="none"/>
        </w:rPr>
        <w:t>投标无效</w:t>
      </w:r>
      <w:r>
        <w:rPr>
          <w:rFonts w:hint="eastAsia" w:ascii="宋体" w:hAnsi="宋体" w:cs="宋体"/>
          <w:sz w:val="24"/>
          <w:highlight w:val="none"/>
        </w:rPr>
        <w:t>。中标人就采购项目和分包项目向采购人负责，分包供应商就分包项目承担责任。</w:t>
      </w:r>
    </w:p>
    <w:bookmarkEnd w:id="676"/>
    <w:bookmarkEnd w:id="677"/>
    <w:bookmarkEnd w:id="678"/>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询问与质疑</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询问</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投标人对政府采购活动事项有疑问的，可依法提出询问，并按《投标人须知资料表》载明的形式送达采购人或采购代理机构。</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质疑</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质疑函须使用财政部制定的范本文件。</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投标人为自然人的，应当由本人签字；投标人为法人或者其他组织的，应当由法定代表人、主要负责人，或者其授权代表签字或者盖章，并加盖公章。</w:t>
      </w:r>
    </w:p>
    <w:p>
      <w:pPr>
        <w:numPr>
          <w:ilvl w:val="2"/>
          <w:numId w:val="9"/>
        </w:numPr>
        <w:snapToGrid w:val="0"/>
        <w:spacing w:line="360" w:lineRule="auto"/>
        <w:rPr>
          <w:rFonts w:ascii="宋体" w:hAnsi="宋体" w:cs="宋体"/>
          <w:sz w:val="24"/>
          <w:highlight w:val="none"/>
        </w:rPr>
      </w:pPr>
      <w:r>
        <w:rPr>
          <w:rFonts w:hint="eastAsia" w:ascii="宋体" w:hAnsi="宋体" w:cs="宋体"/>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接收询问和质疑的联系部门、联系电话和通讯地址见《投标人须知资料表》。</w:t>
      </w:r>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代理费</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收费对象、收费标准及缴纳时间见《投标人须知资料表》。由中标人支付的，中标人须一次性向采购代理机构缴纳代理费，投标报价应包含代理费用。</w:t>
      </w:r>
    </w:p>
    <w:p>
      <w:pPr>
        <w:numPr>
          <w:ilvl w:val="0"/>
          <w:numId w:val="9"/>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其他</w:t>
      </w:r>
    </w:p>
    <w:p>
      <w:pPr>
        <w:numPr>
          <w:ilvl w:val="1"/>
          <w:numId w:val="9"/>
        </w:numPr>
        <w:tabs>
          <w:tab w:val="left" w:pos="1080"/>
          <w:tab w:val="left" w:pos="2014"/>
        </w:tabs>
        <w:snapToGrid w:val="0"/>
        <w:spacing w:line="360" w:lineRule="auto"/>
        <w:ind w:left="1350" w:hanging="720"/>
        <w:rPr>
          <w:rFonts w:ascii="宋体" w:hAnsi="宋体" w:cs="宋体"/>
          <w:sz w:val="24"/>
          <w:highlight w:val="none"/>
        </w:rPr>
      </w:pPr>
      <w:r>
        <w:rPr>
          <w:rFonts w:hint="eastAsia" w:ascii="宋体" w:hAnsi="宋体" w:cs="宋体"/>
          <w:sz w:val="24"/>
          <w:highlight w:val="none"/>
        </w:rPr>
        <w:t>中标人在领取中标通知书的当日，需提供加盖单位公章的纸质版投标文件一正一副(必须与上传电子交易平台的电子文件内容保持一致)。</w:t>
      </w:r>
    </w:p>
    <w:p>
      <w:pPr>
        <w:tabs>
          <w:tab w:val="left" w:pos="1080"/>
          <w:tab w:val="left" w:pos="2014"/>
        </w:tabs>
        <w:snapToGrid w:val="0"/>
        <w:spacing w:line="360" w:lineRule="auto"/>
        <w:ind w:left="630"/>
        <w:rPr>
          <w:rFonts w:ascii="宋体" w:hAnsi="宋体" w:cs="宋体"/>
          <w:sz w:val="24"/>
          <w:highlight w:val="none"/>
        </w:rPr>
      </w:pPr>
    </w:p>
    <w:p>
      <w:pPr>
        <w:tabs>
          <w:tab w:val="left" w:pos="900"/>
          <w:tab w:val="left" w:pos="1080"/>
          <w:tab w:val="left" w:pos="1589"/>
        </w:tabs>
        <w:snapToGrid w:val="0"/>
        <w:spacing w:line="360" w:lineRule="auto"/>
        <w:rPr>
          <w:rFonts w:ascii="宋体" w:hAnsi="宋体" w:cs="宋体"/>
          <w:sz w:val="24"/>
          <w:highlight w:val="none"/>
        </w:rPr>
      </w:pPr>
    </w:p>
    <w:p>
      <w:pPr>
        <w:tabs>
          <w:tab w:val="left" w:pos="360"/>
          <w:tab w:val="left" w:pos="1080"/>
        </w:tabs>
        <w:snapToGrid w:val="0"/>
        <w:spacing w:line="360" w:lineRule="auto"/>
        <w:ind w:left="360"/>
        <w:rPr>
          <w:rFonts w:ascii="宋体" w:hAnsi="宋体" w:cs="宋体"/>
          <w:sz w:val="24"/>
          <w:highlight w:val="none"/>
        </w:rPr>
      </w:pPr>
    </w:p>
    <w:p>
      <w:pPr>
        <w:spacing w:line="360" w:lineRule="auto"/>
        <w:jc w:val="center"/>
        <w:outlineLvl w:val="0"/>
        <w:rPr>
          <w:rFonts w:ascii="宋体" w:hAnsi="宋体" w:cs="宋体"/>
          <w:b/>
          <w:sz w:val="36"/>
          <w:szCs w:val="36"/>
          <w:highlight w:val="none"/>
        </w:rPr>
      </w:pPr>
      <w:bookmarkStart w:id="713" w:name="_Toc265228392"/>
      <w:bookmarkStart w:id="714" w:name="_Toc127151554"/>
      <w:bookmarkStart w:id="715" w:name="_Toc150774759"/>
      <w:bookmarkStart w:id="716" w:name="_Toc226965827"/>
      <w:bookmarkStart w:id="717" w:name="_Toc353873664"/>
      <w:bookmarkStart w:id="718" w:name="_Toc142311056"/>
      <w:bookmarkStart w:id="719" w:name="_Toc264969244"/>
      <w:bookmarkStart w:id="720" w:name="_Toc150480792"/>
      <w:bookmarkStart w:id="721" w:name="_Toc353825544"/>
      <w:bookmarkStart w:id="722" w:name="_Toc305158896"/>
      <w:bookmarkStart w:id="723" w:name="_Toc353873934"/>
      <w:bookmarkStart w:id="724" w:name="_Toc305158822"/>
      <w:bookmarkStart w:id="725" w:name="_Toc226337250"/>
      <w:r>
        <w:rPr>
          <w:rFonts w:hint="eastAsia" w:ascii="宋体" w:hAnsi="宋体" w:cs="宋体"/>
          <w:sz w:val="24"/>
          <w:highlight w:val="none"/>
        </w:rPr>
        <w:br w:type="page"/>
      </w:r>
      <w:bookmarkStart w:id="726" w:name="_Toc8421"/>
      <w:r>
        <w:rPr>
          <w:rFonts w:hint="eastAsia" w:ascii="宋体" w:hAnsi="宋体" w:cs="宋体"/>
          <w:b/>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rFonts w:hint="eastAsia" w:ascii="宋体" w:hAnsi="宋体" w:cs="宋体"/>
          <w:b/>
          <w:sz w:val="36"/>
          <w:szCs w:val="36"/>
          <w:highlight w:val="none"/>
        </w:rPr>
        <w:t>资格审查</w:t>
      </w:r>
      <w:bookmarkEnd w:id="726"/>
      <w:bookmarkStart w:id="727" w:name="_Toc487900382"/>
    </w:p>
    <w:p>
      <w:pPr>
        <w:tabs>
          <w:tab w:val="left" w:pos="360"/>
          <w:tab w:val="left" w:pos="900"/>
        </w:tabs>
        <w:snapToGrid w:val="0"/>
        <w:spacing w:line="360" w:lineRule="auto"/>
        <w:jc w:val="center"/>
        <w:outlineLvl w:val="1"/>
        <w:rPr>
          <w:rFonts w:ascii="宋体" w:hAnsi="宋体" w:cs="宋体"/>
          <w:b/>
          <w:sz w:val="24"/>
          <w:highlight w:val="none"/>
        </w:rPr>
      </w:pPr>
      <w:bookmarkStart w:id="728" w:name="_Toc99301422"/>
      <w:r>
        <w:rPr>
          <w:rFonts w:hint="eastAsia" w:ascii="宋体" w:hAnsi="宋体" w:cs="宋体"/>
          <w:b/>
          <w:sz w:val="24"/>
          <w:highlight w:val="none"/>
        </w:rPr>
        <w:t>一、资格审查程序</w:t>
      </w:r>
      <w:bookmarkEnd w:id="728"/>
    </w:p>
    <w:p>
      <w:pPr>
        <w:numPr>
          <w:ilvl w:val="0"/>
          <w:numId w:val="11"/>
        </w:numPr>
        <w:tabs>
          <w:tab w:val="left" w:pos="426"/>
          <w:tab w:val="left" w:pos="851"/>
          <w:tab w:val="clear" w:pos="900"/>
        </w:tabs>
        <w:snapToGrid w:val="0"/>
        <w:spacing w:line="360" w:lineRule="auto"/>
        <w:ind w:left="426" w:hanging="426"/>
        <w:outlineLvl w:val="1"/>
        <w:rPr>
          <w:rFonts w:ascii="宋体" w:hAnsi="宋体" w:cs="宋体"/>
          <w:sz w:val="24"/>
          <w:highlight w:val="none"/>
        </w:rPr>
      </w:pPr>
      <w:r>
        <w:rPr>
          <w:rFonts w:hint="eastAsia" w:ascii="宋体" w:hAnsi="宋体" w:cs="宋体"/>
          <w:sz w:val="24"/>
          <w:highlight w:val="none"/>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rFonts w:ascii="宋体" w:hAnsi="宋体" w:cs="宋体"/>
          <w:sz w:val="24"/>
          <w:highlight w:val="none"/>
        </w:rPr>
      </w:pPr>
      <w:r>
        <w:rPr>
          <w:rFonts w:hint="eastAsia" w:ascii="宋体" w:hAnsi="宋体" w:cs="宋体"/>
          <w:sz w:val="24"/>
          <w:highlight w:val="none"/>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rFonts w:ascii="宋体" w:hAnsi="宋体" w:cs="宋体"/>
          <w:sz w:val="24"/>
          <w:highlight w:val="none"/>
        </w:rPr>
      </w:pPr>
      <w:r>
        <w:rPr>
          <w:rFonts w:hint="eastAsia" w:ascii="宋体" w:hAnsi="宋体" w:cs="宋体"/>
          <w:sz w:val="24"/>
          <w:highlight w:val="none"/>
        </w:rPr>
        <w:t>投标人《资格证明文件》有任何一项不符合《资格审查要求》的，资格审查不合格，其</w:t>
      </w:r>
      <w:r>
        <w:rPr>
          <w:rFonts w:hint="eastAsia" w:ascii="宋体" w:hAnsi="宋体" w:cs="宋体"/>
          <w:b/>
          <w:sz w:val="24"/>
          <w:highlight w:val="none"/>
        </w:rPr>
        <w:t>投标无效</w:t>
      </w:r>
      <w:r>
        <w:rPr>
          <w:rFonts w:hint="eastAsia" w:ascii="宋体" w:hAnsi="宋体" w:cs="宋体"/>
          <w:sz w:val="24"/>
          <w:highlight w:val="none"/>
        </w:rPr>
        <w:t>。</w:t>
      </w:r>
    </w:p>
    <w:p>
      <w:pPr>
        <w:numPr>
          <w:ilvl w:val="0"/>
          <w:numId w:val="11"/>
        </w:numPr>
        <w:tabs>
          <w:tab w:val="left" w:pos="426"/>
          <w:tab w:val="left" w:pos="851"/>
          <w:tab w:val="clear" w:pos="900"/>
        </w:tabs>
        <w:snapToGrid w:val="0"/>
        <w:spacing w:line="360" w:lineRule="auto"/>
        <w:ind w:left="426" w:hanging="426"/>
        <w:outlineLvl w:val="1"/>
        <w:rPr>
          <w:rFonts w:ascii="宋体" w:hAnsi="宋体" w:cs="宋体"/>
          <w:sz w:val="24"/>
          <w:highlight w:val="none"/>
        </w:rPr>
      </w:pPr>
      <w:r>
        <w:rPr>
          <w:rFonts w:hint="eastAsia" w:ascii="宋体" w:hAnsi="宋体" w:cs="宋体"/>
          <w:sz w:val="24"/>
          <w:highlight w:val="none"/>
        </w:rPr>
        <w:t>资格审查合格的投标人不足3家的，不进行评标。</w:t>
      </w:r>
    </w:p>
    <w:p>
      <w:pPr>
        <w:widowControl/>
        <w:jc w:val="left"/>
        <w:rPr>
          <w:rFonts w:ascii="宋体" w:hAnsi="宋体" w:cs="宋体"/>
          <w:sz w:val="24"/>
          <w:highlight w:val="none"/>
        </w:rPr>
      </w:pPr>
    </w:p>
    <w:p>
      <w:pPr>
        <w:tabs>
          <w:tab w:val="left" w:pos="360"/>
          <w:tab w:val="left" w:pos="900"/>
        </w:tabs>
        <w:snapToGrid w:val="0"/>
        <w:spacing w:line="360" w:lineRule="auto"/>
        <w:jc w:val="center"/>
        <w:outlineLvl w:val="1"/>
        <w:rPr>
          <w:rFonts w:ascii="宋体" w:hAnsi="宋体" w:cs="宋体"/>
          <w:b/>
          <w:sz w:val="24"/>
          <w:highlight w:val="none"/>
        </w:rPr>
      </w:pPr>
      <w:r>
        <w:rPr>
          <w:rFonts w:hint="eastAsia" w:ascii="宋体" w:hAnsi="宋体" w:cs="宋体"/>
          <w:b/>
          <w:sz w:val="24"/>
          <w:highlight w:val="none"/>
        </w:rPr>
        <w:t>二、资格审查要求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7"/>
        <w:gridCol w:w="2230"/>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597" w:type="dxa"/>
            <w:vAlign w:val="center"/>
          </w:tcPr>
          <w:p>
            <w:pPr>
              <w:tabs>
                <w:tab w:val="left" w:pos="1080"/>
              </w:tabs>
              <w:snapToGrid w:val="0"/>
              <w:jc w:val="center"/>
              <w:rPr>
                <w:rFonts w:ascii="宋体" w:hAnsi="宋体" w:cs="宋体"/>
                <w:b/>
                <w:sz w:val="24"/>
                <w:highlight w:val="none"/>
              </w:rPr>
            </w:pPr>
            <w:bookmarkStart w:id="729" w:name="_Hlt487972895"/>
            <w:bookmarkEnd w:id="729"/>
            <w:r>
              <w:rPr>
                <w:rFonts w:hint="eastAsia" w:ascii="宋体" w:hAnsi="宋体" w:cs="宋体"/>
                <w:b/>
                <w:sz w:val="24"/>
                <w:highlight w:val="none"/>
              </w:rPr>
              <w:t>序号</w:t>
            </w:r>
          </w:p>
        </w:tc>
        <w:tc>
          <w:tcPr>
            <w:tcW w:w="2230" w:type="dxa"/>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审查因素</w:t>
            </w:r>
          </w:p>
        </w:tc>
        <w:tc>
          <w:tcPr>
            <w:tcW w:w="4822" w:type="dxa"/>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审查内容</w:t>
            </w:r>
          </w:p>
        </w:tc>
        <w:tc>
          <w:tcPr>
            <w:tcW w:w="1639" w:type="dxa"/>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w:t>
            </w:r>
          </w:p>
        </w:tc>
        <w:tc>
          <w:tcPr>
            <w:tcW w:w="2230"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满足《中华人民共和国政府采购法》第二十二条规定及法律法规的其他规定</w:t>
            </w:r>
          </w:p>
        </w:tc>
        <w:tc>
          <w:tcPr>
            <w:tcW w:w="4822"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具体规定见第一章《投标邀请》</w:t>
            </w:r>
          </w:p>
        </w:tc>
        <w:tc>
          <w:tcPr>
            <w:tcW w:w="1639" w:type="dxa"/>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1-1</w:t>
            </w:r>
          </w:p>
        </w:tc>
        <w:tc>
          <w:tcPr>
            <w:tcW w:w="2230"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营业执照等证明文件</w:t>
            </w:r>
          </w:p>
        </w:tc>
        <w:tc>
          <w:tcPr>
            <w:tcW w:w="4822"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投标人为企业（包括合伙企业）的，应提供有效的“营业执照”；</w:t>
            </w:r>
          </w:p>
          <w:p>
            <w:pPr>
              <w:tabs>
                <w:tab w:val="left" w:pos="1080"/>
              </w:tabs>
              <w:snapToGrid w:val="0"/>
              <w:rPr>
                <w:rFonts w:ascii="宋体" w:hAnsi="宋体" w:cs="宋体"/>
                <w:sz w:val="24"/>
                <w:highlight w:val="none"/>
              </w:rPr>
            </w:pPr>
            <w:r>
              <w:rPr>
                <w:rFonts w:hint="eastAsia" w:ascii="宋体" w:hAnsi="宋体" w:cs="宋体"/>
                <w:sz w:val="24"/>
                <w:highlight w:val="none"/>
              </w:rPr>
              <w:t>投标人为事业单位的，应提供有效的“事业单位法人证书”；</w:t>
            </w:r>
          </w:p>
          <w:p>
            <w:pPr>
              <w:tabs>
                <w:tab w:val="left" w:pos="1080"/>
              </w:tabs>
              <w:snapToGrid w:val="0"/>
              <w:rPr>
                <w:rFonts w:ascii="宋体" w:hAnsi="宋体" w:cs="宋体"/>
                <w:sz w:val="24"/>
                <w:highlight w:val="none"/>
              </w:rPr>
            </w:pPr>
            <w:r>
              <w:rPr>
                <w:rFonts w:hint="eastAsia" w:ascii="宋体" w:hAnsi="宋体" w:cs="宋体"/>
                <w:sz w:val="24"/>
                <w:highlight w:val="none"/>
              </w:rPr>
              <w:t>投标人是非企业机构的，应提供有效的“执业许可证”、“登记证书”等证明文件；</w:t>
            </w:r>
          </w:p>
          <w:p>
            <w:pPr>
              <w:tabs>
                <w:tab w:val="left" w:pos="1080"/>
              </w:tabs>
              <w:snapToGrid w:val="0"/>
              <w:rPr>
                <w:rFonts w:ascii="宋体" w:hAnsi="宋体" w:cs="宋体"/>
                <w:sz w:val="24"/>
                <w:highlight w:val="none"/>
              </w:rPr>
            </w:pPr>
            <w:r>
              <w:rPr>
                <w:rFonts w:hint="eastAsia" w:ascii="宋体" w:hAnsi="宋体" w:cs="宋体"/>
                <w:sz w:val="24"/>
                <w:highlight w:val="none"/>
              </w:rPr>
              <w:t>投标人是个体工商户的，应提供有效的“个体工商户营业执照”；</w:t>
            </w:r>
          </w:p>
          <w:p>
            <w:pPr>
              <w:tabs>
                <w:tab w:val="left" w:pos="1080"/>
              </w:tabs>
              <w:snapToGrid w:val="0"/>
              <w:rPr>
                <w:rFonts w:ascii="宋体" w:hAnsi="宋体" w:cs="宋体"/>
                <w:sz w:val="24"/>
                <w:highlight w:val="none"/>
              </w:rPr>
            </w:pPr>
            <w:r>
              <w:rPr>
                <w:rFonts w:hint="eastAsia" w:ascii="宋体" w:hAnsi="宋体" w:cs="宋体"/>
                <w:sz w:val="24"/>
                <w:highlight w:val="none"/>
              </w:rPr>
              <w:t>投标人是自然人的，应提供有效的自然人身份证明。</w:t>
            </w:r>
          </w:p>
          <w:p>
            <w:pPr>
              <w:tabs>
                <w:tab w:val="left" w:pos="1080"/>
              </w:tabs>
              <w:snapToGrid w:val="0"/>
              <w:rPr>
                <w:rFonts w:ascii="宋体" w:hAnsi="宋体" w:cs="宋体"/>
                <w:color w:val="000000"/>
                <w:sz w:val="24"/>
                <w:highlight w:val="none"/>
              </w:rPr>
            </w:pPr>
            <w:r>
              <w:rPr>
                <w:rFonts w:hint="eastAsia" w:ascii="宋体" w:hAnsi="宋体" w:cs="宋体"/>
                <w:color w:val="000000"/>
                <w:sz w:val="24"/>
                <w:highlight w:val="none"/>
              </w:rPr>
              <w:t>分支机构参加响应的，应</w:t>
            </w:r>
            <w:r>
              <w:rPr>
                <w:rFonts w:hint="eastAsia" w:ascii="宋体" w:hAnsi="宋体" w:cs="宋体"/>
                <w:color w:val="000000"/>
                <w:sz w:val="24"/>
                <w:highlight w:val="none"/>
                <w:lang w:val="en-US" w:eastAsia="zh-CN"/>
              </w:rPr>
              <w:t>提</w:t>
            </w:r>
            <w:r>
              <w:rPr>
                <w:rFonts w:hint="eastAsia" w:ascii="宋体" w:hAnsi="宋体" w:cs="宋体"/>
                <w:color w:val="000000"/>
                <w:sz w:val="24"/>
                <w:highlight w:val="none"/>
              </w:rPr>
              <w:t>供该分支机构或其所属法人/其他组织的相应证明文件；同时还应</w:t>
            </w:r>
            <w:r>
              <w:rPr>
                <w:rFonts w:hint="eastAsia" w:ascii="宋体" w:hAnsi="宋体" w:cs="宋体"/>
                <w:color w:val="000000"/>
                <w:sz w:val="24"/>
                <w:highlight w:val="none"/>
                <w:lang w:val="en-US" w:eastAsia="zh-CN"/>
              </w:rPr>
              <w:t>提</w:t>
            </w:r>
            <w:r>
              <w:rPr>
                <w:rFonts w:hint="eastAsia" w:ascii="宋体" w:hAnsi="宋体" w:cs="宋体"/>
                <w:color w:val="000000"/>
                <w:sz w:val="24"/>
                <w:highlight w:val="none"/>
              </w:rPr>
              <w:t>供其所属法人/其他组织出具的授权其参与本项目的授权书（格式自拟，须加盖其所属法人/其他组织的公章）；对于银行、保险、石油石化、电力、电信等行业的分支机构，可以</w:t>
            </w:r>
            <w:r>
              <w:rPr>
                <w:rFonts w:hint="eastAsia" w:ascii="宋体" w:hAnsi="宋体" w:cs="宋体"/>
                <w:color w:val="000000"/>
                <w:sz w:val="24"/>
                <w:highlight w:val="none"/>
                <w:lang w:val="en-US" w:eastAsia="zh-CN"/>
              </w:rPr>
              <w:t>提</w:t>
            </w:r>
            <w:r>
              <w:rPr>
                <w:rFonts w:hint="eastAsia" w:ascii="宋体" w:hAnsi="宋体" w:cs="宋体"/>
                <w:color w:val="000000"/>
                <w:sz w:val="24"/>
                <w:highlight w:val="none"/>
              </w:rPr>
              <w:t>供上述授权，也可以</w:t>
            </w:r>
            <w:r>
              <w:rPr>
                <w:rFonts w:hint="eastAsia" w:ascii="宋体" w:hAnsi="宋体" w:cs="宋体"/>
                <w:color w:val="000000"/>
                <w:sz w:val="24"/>
                <w:highlight w:val="none"/>
                <w:lang w:val="en-US" w:eastAsia="zh-CN"/>
              </w:rPr>
              <w:t>提</w:t>
            </w:r>
            <w:r>
              <w:rPr>
                <w:rFonts w:hint="eastAsia" w:ascii="宋体" w:hAnsi="宋体" w:cs="宋体"/>
                <w:color w:val="000000"/>
                <w:sz w:val="24"/>
                <w:highlight w:val="none"/>
              </w:rPr>
              <w:t>供其所属法人/其他组织的有关文件或制度等能够证明授权其独立开展业务的证明材料。</w:t>
            </w:r>
          </w:p>
        </w:tc>
        <w:tc>
          <w:tcPr>
            <w:tcW w:w="1639"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提供证明文件的电子件或电子证照并加盖公章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1-2</w:t>
            </w:r>
          </w:p>
        </w:tc>
        <w:tc>
          <w:tcPr>
            <w:tcW w:w="2230"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投标人资格声明书</w:t>
            </w:r>
          </w:p>
        </w:tc>
        <w:tc>
          <w:tcPr>
            <w:tcW w:w="4822"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提供了符合招标文件要求的《投标人资格声明书》。</w:t>
            </w:r>
          </w:p>
        </w:tc>
        <w:tc>
          <w:tcPr>
            <w:tcW w:w="1639"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1-3</w:t>
            </w:r>
          </w:p>
        </w:tc>
        <w:tc>
          <w:tcPr>
            <w:tcW w:w="2230"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投标人信用记录</w:t>
            </w:r>
          </w:p>
        </w:tc>
        <w:tc>
          <w:tcPr>
            <w:tcW w:w="4822" w:type="dxa"/>
            <w:vAlign w:val="center"/>
          </w:tcPr>
          <w:p>
            <w:pPr>
              <w:tabs>
                <w:tab w:val="left" w:pos="1080"/>
              </w:tabs>
              <w:wordWrap w:val="0"/>
              <w:snapToGrid w:val="0"/>
              <w:rPr>
                <w:rFonts w:ascii="宋体" w:hAnsi="宋体" w:cs="宋体"/>
                <w:sz w:val="24"/>
                <w:highlight w:val="none"/>
              </w:rPr>
            </w:pPr>
            <w:r>
              <w:rPr>
                <w:rFonts w:hint="eastAsia" w:ascii="宋体" w:hAnsi="宋体" w:cs="宋体"/>
                <w:sz w:val="24"/>
                <w:highlight w:val="none"/>
              </w:rPr>
              <w:t>查询渠道：信用中国网站和中国政府采购网（www.creditchina.gov.cn、www.ccgp.gov.cn）；</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截止时点：投标截止时间以后、资格审查阶段采购人或采购代理机构的实际查询时间；</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信用信息查询记录和证据留存具体方式：查询结果网页打印页作为查询记录和证据，与其他采购文件一并保存；</w:t>
            </w:r>
          </w:p>
          <w:p>
            <w:pPr>
              <w:tabs>
                <w:tab w:val="left" w:pos="1080"/>
              </w:tabs>
              <w:snapToGrid w:val="0"/>
              <w:rPr>
                <w:rFonts w:ascii="宋体" w:hAnsi="宋体" w:cs="宋体"/>
                <w:sz w:val="24"/>
                <w:highlight w:val="none"/>
              </w:rPr>
            </w:pPr>
            <w:r>
              <w:rPr>
                <w:rFonts w:hint="eastAsia" w:ascii="宋体" w:hAnsi="宋体" w:cs="宋体"/>
                <w:sz w:val="24"/>
                <w:highlight w:val="none"/>
              </w:rPr>
              <w:t>信用信息的使用原则：经认定的被列入失信被执行人、重大税收违法失信主体、政府采购严重违法失信行为记录名单的投标人，其</w:t>
            </w:r>
            <w:r>
              <w:rPr>
                <w:rFonts w:hint="eastAsia" w:ascii="宋体" w:hAnsi="宋体" w:cs="宋体"/>
                <w:b/>
                <w:sz w:val="24"/>
                <w:highlight w:val="none"/>
              </w:rPr>
              <w:t>投标无效</w:t>
            </w:r>
            <w:r>
              <w:rPr>
                <w:rFonts w:hint="eastAsia" w:ascii="宋体" w:hAnsi="宋体" w:cs="宋体"/>
                <w:sz w:val="24"/>
                <w:highlight w:val="none"/>
              </w:rPr>
              <w:t>。联合体形式投标的，联合体成员存在不良信用记录，视同联合体存在不良信用记录。</w:t>
            </w:r>
          </w:p>
        </w:tc>
        <w:tc>
          <w:tcPr>
            <w:tcW w:w="1639"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投标人可不提供，由采购代理机构查询。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1-4</w:t>
            </w:r>
          </w:p>
        </w:tc>
        <w:tc>
          <w:tcPr>
            <w:tcW w:w="2230" w:type="dxa"/>
            <w:vAlign w:val="center"/>
          </w:tcPr>
          <w:p>
            <w:pPr>
              <w:widowControl/>
              <w:jc w:val="center"/>
              <w:rPr>
                <w:rFonts w:ascii="宋体" w:hAnsi="宋体" w:cs="宋体"/>
                <w:sz w:val="24"/>
                <w:highlight w:val="none"/>
              </w:rPr>
            </w:pPr>
            <w:r>
              <w:rPr>
                <w:rFonts w:hint="eastAsia" w:ascii="宋体" w:hAnsi="宋体" w:cs="宋体"/>
                <w:color w:val="000000"/>
                <w:kern w:val="0"/>
                <w:sz w:val="24"/>
                <w:highlight w:val="none"/>
                <w:lang w:bidi="ar"/>
              </w:rPr>
              <w:t>法律、行政法规</w:t>
            </w:r>
          </w:p>
          <w:p>
            <w:pPr>
              <w:widowControl/>
              <w:jc w:val="center"/>
              <w:rPr>
                <w:rFonts w:ascii="宋体" w:hAnsi="宋体" w:cs="宋体"/>
                <w:sz w:val="24"/>
                <w:highlight w:val="none"/>
              </w:rPr>
            </w:pPr>
            <w:r>
              <w:rPr>
                <w:rFonts w:hint="eastAsia" w:ascii="宋体" w:hAnsi="宋体" w:cs="宋体"/>
                <w:color w:val="000000"/>
                <w:kern w:val="0"/>
                <w:sz w:val="24"/>
                <w:highlight w:val="none"/>
                <w:lang w:bidi="ar"/>
              </w:rPr>
              <w:t>规定的其他条件</w:t>
            </w:r>
          </w:p>
        </w:tc>
        <w:tc>
          <w:tcPr>
            <w:tcW w:w="4822"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法律、行政法规规定的其他条件</w:t>
            </w:r>
          </w:p>
        </w:tc>
        <w:tc>
          <w:tcPr>
            <w:tcW w:w="1639" w:type="dxa"/>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w:t>
            </w:r>
          </w:p>
        </w:tc>
        <w:tc>
          <w:tcPr>
            <w:tcW w:w="2230"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落实政府采购政策需满足的资格要求</w:t>
            </w:r>
          </w:p>
        </w:tc>
        <w:tc>
          <w:tcPr>
            <w:tcW w:w="4822"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具体要求见第一章《投标邀请》</w:t>
            </w:r>
          </w:p>
        </w:tc>
        <w:tc>
          <w:tcPr>
            <w:tcW w:w="1639" w:type="dxa"/>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shd w:val="clear" w:color="auto" w:fill="auto"/>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w:t>
            </w:r>
          </w:p>
        </w:tc>
        <w:tc>
          <w:tcPr>
            <w:tcW w:w="2230" w:type="dxa"/>
            <w:shd w:val="clear" w:color="auto" w:fill="auto"/>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中小企业声明函</w:t>
            </w:r>
          </w:p>
        </w:tc>
        <w:tc>
          <w:tcPr>
            <w:tcW w:w="4822" w:type="dxa"/>
            <w:shd w:val="clear" w:color="auto" w:fill="auto"/>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当本项目（包）涉及预留份额专门面向中小企业采购，此时建议在《资格证明文件》中提供。</w:t>
            </w:r>
          </w:p>
          <w:p>
            <w:pPr>
              <w:tabs>
                <w:tab w:val="left" w:pos="1080"/>
              </w:tabs>
              <w:snapToGrid w:val="0"/>
              <w:rPr>
                <w:rFonts w:ascii="宋体" w:hAnsi="宋体" w:cs="宋体"/>
                <w:sz w:val="24"/>
                <w:highlight w:val="none"/>
              </w:rPr>
            </w:pPr>
            <w:r>
              <w:rPr>
                <w:rFonts w:hint="eastAsia" w:ascii="宋体" w:hAnsi="宋体" w:cs="宋体"/>
                <w:sz w:val="24"/>
                <w:highlight w:val="none"/>
              </w:rPr>
              <w:t>1、投标人单独投标的，应提供中小企业声明函；如为监狱企业或残疾人福利性单位，不必提供中小企业声明函，但须按注1或注2要求提供证明材料。</w:t>
            </w:r>
          </w:p>
          <w:p>
            <w:pPr>
              <w:tabs>
                <w:tab w:val="left" w:pos="1080"/>
              </w:tabs>
              <w:snapToGrid w:val="0"/>
              <w:rPr>
                <w:rFonts w:ascii="宋体" w:hAnsi="宋体" w:cs="宋体"/>
                <w:sz w:val="24"/>
                <w:highlight w:val="none"/>
              </w:rPr>
            </w:pPr>
            <w:r>
              <w:rPr>
                <w:rFonts w:hint="eastAsia" w:ascii="宋体" w:hAnsi="宋体" w:cs="宋体"/>
                <w:sz w:val="24"/>
                <w:highlight w:val="none"/>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rPr>
                <w:rFonts w:ascii="宋体" w:hAnsi="宋体" w:cs="宋体"/>
                <w:sz w:val="24"/>
                <w:highlight w:val="none"/>
              </w:rPr>
            </w:pPr>
            <w:r>
              <w:rPr>
                <w:rFonts w:hint="eastAsia" w:ascii="宋体" w:hAnsi="宋体" w:cs="宋体"/>
                <w:sz w:val="24"/>
                <w:highlight w:val="none"/>
              </w:rPr>
              <w:t>注1：监狱企业须提供由省级以上监狱管理局（北京市含教育矫治局）、戒毒管理局（含新疆生产建设兵团）出具的属于监狱企业的证明文件。</w:t>
            </w:r>
          </w:p>
          <w:p>
            <w:pPr>
              <w:tabs>
                <w:tab w:val="left" w:pos="1080"/>
              </w:tabs>
              <w:snapToGrid w:val="0"/>
              <w:rPr>
                <w:rFonts w:ascii="宋体" w:hAnsi="宋体" w:cs="宋体"/>
                <w:sz w:val="24"/>
                <w:highlight w:val="none"/>
              </w:rPr>
            </w:pPr>
            <w:r>
              <w:rPr>
                <w:rFonts w:hint="eastAsia" w:ascii="宋体" w:hAnsi="宋体" w:cs="宋体"/>
                <w:sz w:val="24"/>
                <w:highlight w:val="none"/>
              </w:rPr>
              <w:t>注2：残疾人福利性单位须按招标文件要求提供 《残疾人福利性单位声明函》。</w:t>
            </w:r>
          </w:p>
        </w:tc>
        <w:tc>
          <w:tcPr>
            <w:tcW w:w="1639" w:type="dxa"/>
            <w:shd w:val="clear" w:color="auto" w:fill="auto"/>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w:t>
            </w:r>
          </w:p>
        </w:tc>
        <w:tc>
          <w:tcPr>
            <w:tcW w:w="2230"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本项目的特定资格要求</w:t>
            </w:r>
          </w:p>
        </w:tc>
        <w:tc>
          <w:tcPr>
            <w:tcW w:w="4822"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如有，见第一章《投标邀请》</w:t>
            </w:r>
          </w:p>
        </w:tc>
        <w:tc>
          <w:tcPr>
            <w:tcW w:w="1639" w:type="dxa"/>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3-1</w:t>
            </w:r>
          </w:p>
        </w:tc>
        <w:tc>
          <w:tcPr>
            <w:tcW w:w="2230" w:type="dxa"/>
            <w:vAlign w:val="center"/>
          </w:tcPr>
          <w:p>
            <w:pPr>
              <w:widowControl/>
              <w:jc w:val="center"/>
              <w:rPr>
                <w:rFonts w:ascii="宋体" w:hAnsi="宋体" w:cs="宋体"/>
                <w:sz w:val="24"/>
                <w:highlight w:val="none"/>
              </w:rPr>
            </w:pPr>
            <w:r>
              <w:rPr>
                <w:rFonts w:hint="eastAsia" w:ascii="宋体" w:hAnsi="宋体" w:cs="宋体"/>
                <w:color w:val="000000"/>
                <w:kern w:val="0"/>
                <w:sz w:val="24"/>
                <w:highlight w:val="none"/>
                <w:lang w:bidi="ar"/>
              </w:rPr>
              <w:t>政府购买服务承接主体的要求</w:t>
            </w:r>
          </w:p>
        </w:tc>
        <w:tc>
          <w:tcPr>
            <w:tcW w:w="4822" w:type="dxa"/>
            <w:vAlign w:val="center"/>
          </w:tcPr>
          <w:p>
            <w:pPr>
              <w:widowControl/>
              <w:jc w:val="left"/>
              <w:rPr>
                <w:rFonts w:ascii="宋体" w:hAnsi="宋体" w:cs="宋体"/>
                <w:sz w:val="24"/>
                <w:highlight w:val="none"/>
              </w:rPr>
            </w:pPr>
            <w:r>
              <w:rPr>
                <w:rFonts w:hint="eastAsia" w:ascii="宋体" w:hAnsi="宋体" w:cs="宋体"/>
                <w:color w:val="000000"/>
                <w:kern w:val="0"/>
                <w:sz w:val="24"/>
                <w:highlight w:val="none"/>
                <w:lang w:bidi="ar"/>
              </w:rPr>
              <w:t>如本项目属于政府购买服务，投标人不属于公益一类事业单位、使用事业编制且由财政拨款保障的群团组织。</w:t>
            </w:r>
          </w:p>
        </w:tc>
        <w:tc>
          <w:tcPr>
            <w:tcW w:w="1639" w:type="dxa"/>
            <w:vAlign w:val="center"/>
          </w:tcPr>
          <w:p>
            <w:pPr>
              <w:widowControl/>
              <w:jc w:val="left"/>
              <w:rPr>
                <w:rFonts w:ascii="宋体" w:hAnsi="宋体" w:cs="宋体"/>
                <w:sz w:val="24"/>
                <w:highlight w:val="none"/>
              </w:rPr>
            </w:pPr>
            <w:r>
              <w:rPr>
                <w:rFonts w:hint="eastAsia" w:ascii="宋体" w:hAnsi="宋体" w:cs="宋体"/>
                <w:color w:val="000000"/>
                <w:kern w:val="0"/>
                <w:sz w:val="24"/>
                <w:highlight w:val="none"/>
                <w:lang w:bidi="ar"/>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Merge w:val="restart"/>
            <w:vAlign w:val="center"/>
          </w:tcPr>
          <w:p>
            <w:pPr>
              <w:tabs>
                <w:tab w:val="left" w:pos="1080"/>
              </w:tabs>
              <w:snapToGrid w:val="0"/>
              <w:jc w:val="center"/>
              <w:rPr>
                <w:rFonts w:ascii="宋体" w:hAnsi="宋体" w:cs="宋体"/>
                <w:sz w:val="24"/>
                <w:highlight w:val="none"/>
              </w:rPr>
            </w:pPr>
            <w:bookmarkStart w:id="730" w:name="_Toc127161490"/>
            <w:bookmarkStart w:id="731" w:name="_Toc127151779"/>
            <w:bookmarkStart w:id="732" w:name="_Toc353825550"/>
            <w:bookmarkStart w:id="733" w:name="_Toc353873940"/>
            <w:bookmarkStart w:id="734" w:name="_Toc226965858"/>
            <w:r>
              <w:rPr>
                <w:rFonts w:hint="eastAsia" w:ascii="宋体" w:hAnsi="宋体" w:cs="宋体"/>
                <w:sz w:val="24"/>
                <w:highlight w:val="none"/>
              </w:rPr>
              <w:t>3-2</w:t>
            </w:r>
          </w:p>
        </w:tc>
        <w:tc>
          <w:tcPr>
            <w:tcW w:w="2230" w:type="dxa"/>
            <w:vMerge w:val="restar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其他特定资格要求</w:t>
            </w:r>
          </w:p>
        </w:tc>
        <w:tc>
          <w:tcPr>
            <w:tcW w:w="4822"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3.2.1</w:t>
            </w:r>
            <w:r>
              <w:rPr>
                <w:rFonts w:hint="eastAsia" w:ascii="宋体" w:hAnsi="宋体" w:cs="宋体"/>
                <w:sz w:val="24"/>
                <w:szCs w:val="32"/>
                <w:highlight w:val="none"/>
              </w:rPr>
              <w:t>投标人需具有文化行政主管部门颁发的有效《营业性演出许可证》</w:t>
            </w:r>
          </w:p>
          <w:p>
            <w:pPr>
              <w:tabs>
                <w:tab w:val="left" w:pos="1080"/>
              </w:tabs>
              <w:snapToGrid w:val="0"/>
              <w:rPr>
                <w:rFonts w:ascii="宋体" w:hAnsi="宋体" w:cs="宋体"/>
                <w:sz w:val="24"/>
                <w:highlight w:val="none"/>
              </w:rPr>
            </w:pPr>
          </w:p>
        </w:tc>
        <w:tc>
          <w:tcPr>
            <w:tcW w:w="1639"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提供证明文件的电子件或电子证照并加盖公章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97" w:type="dxa"/>
            <w:vMerge w:val="continue"/>
            <w:vAlign w:val="center"/>
          </w:tcPr>
          <w:p>
            <w:pPr>
              <w:tabs>
                <w:tab w:val="left" w:pos="1080"/>
              </w:tabs>
              <w:snapToGrid w:val="0"/>
              <w:jc w:val="center"/>
              <w:rPr>
                <w:rFonts w:ascii="宋体" w:hAnsi="宋体" w:cs="宋体"/>
                <w:sz w:val="24"/>
                <w:highlight w:val="none"/>
              </w:rPr>
            </w:pPr>
          </w:p>
        </w:tc>
        <w:tc>
          <w:tcPr>
            <w:tcW w:w="2230" w:type="dxa"/>
            <w:vMerge w:val="continue"/>
            <w:vAlign w:val="center"/>
          </w:tcPr>
          <w:p>
            <w:pPr>
              <w:tabs>
                <w:tab w:val="left" w:pos="1080"/>
              </w:tabs>
              <w:snapToGrid w:val="0"/>
              <w:jc w:val="center"/>
              <w:rPr>
                <w:rFonts w:ascii="宋体" w:hAnsi="宋体" w:cs="宋体"/>
                <w:sz w:val="24"/>
                <w:highlight w:val="none"/>
              </w:rPr>
            </w:pPr>
          </w:p>
        </w:tc>
        <w:tc>
          <w:tcPr>
            <w:tcW w:w="4822"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3.2.2本项目招标公告发布之日前三年内投标人及其法定代表人未被中国裁判文书网列入行贿犯罪行为。</w:t>
            </w:r>
          </w:p>
        </w:tc>
        <w:tc>
          <w:tcPr>
            <w:tcW w:w="1639" w:type="dxa"/>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投标人可不提供，由采购代理机构查询。</w:t>
            </w:r>
          </w:p>
        </w:tc>
      </w:t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27"/>
    </w:tbl>
    <w:p>
      <w:pPr>
        <w:widowControl/>
        <w:jc w:val="left"/>
        <w:rPr>
          <w:rFonts w:ascii="宋体" w:hAnsi="宋体" w:cs="宋体"/>
          <w:sz w:val="24"/>
          <w:highlight w:val="none"/>
        </w:rPr>
      </w:pPr>
      <w:r>
        <w:rPr>
          <w:rFonts w:hint="eastAsia" w:ascii="宋体" w:hAnsi="宋体" w:cs="宋体"/>
          <w:sz w:val="24"/>
          <w:highlight w:val="none"/>
        </w:rPr>
        <w:br w:type="page"/>
      </w:r>
    </w:p>
    <w:p>
      <w:pPr>
        <w:spacing w:line="360" w:lineRule="auto"/>
        <w:jc w:val="center"/>
        <w:outlineLvl w:val="0"/>
        <w:rPr>
          <w:rFonts w:ascii="宋体" w:hAnsi="宋体" w:cs="宋体"/>
          <w:b/>
          <w:sz w:val="36"/>
          <w:szCs w:val="36"/>
          <w:highlight w:val="none"/>
        </w:rPr>
      </w:pPr>
      <w:bookmarkStart w:id="735" w:name="_Toc25048"/>
      <w:r>
        <w:rPr>
          <w:rFonts w:hint="eastAsia" w:ascii="宋体" w:hAnsi="宋体" w:cs="宋体"/>
          <w:b/>
          <w:sz w:val="36"/>
          <w:szCs w:val="36"/>
          <w:highlight w:val="none"/>
        </w:rPr>
        <w:t xml:space="preserve">第四章   </w:t>
      </w:r>
      <w:bookmarkEnd w:id="730"/>
      <w:bookmarkEnd w:id="731"/>
      <w:bookmarkEnd w:id="732"/>
      <w:bookmarkEnd w:id="733"/>
      <w:bookmarkEnd w:id="734"/>
      <w:bookmarkStart w:id="736" w:name="_Hlt164229061"/>
      <w:bookmarkEnd w:id="736"/>
      <w:r>
        <w:rPr>
          <w:rFonts w:hint="eastAsia" w:ascii="宋体" w:hAnsi="宋体" w:cs="宋体"/>
          <w:b/>
          <w:sz w:val="36"/>
          <w:szCs w:val="36"/>
          <w:highlight w:val="none"/>
        </w:rPr>
        <w:t>评标程序、评标方法和评标标准</w:t>
      </w:r>
      <w:bookmarkEnd w:id="735"/>
    </w:p>
    <w:p>
      <w:pPr>
        <w:tabs>
          <w:tab w:val="left" w:pos="360"/>
          <w:tab w:val="left" w:pos="900"/>
        </w:tabs>
        <w:snapToGrid w:val="0"/>
        <w:spacing w:line="360" w:lineRule="auto"/>
        <w:jc w:val="center"/>
        <w:outlineLvl w:val="1"/>
        <w:rPr>
          <w:rFonts w:ascii="宋体" w:hAnsi="宋体" w:cs="宋体"/>
          <w:b/>
          <w:highlight w:val="none"/>
        </w:rPr>
      </w:pPr>
      <w:r>
        <w:rPr>
          <w:rFonts w:hint="eastAsia" w:ascii="宋体" w:hAnsi="宋体" w:cs="宋体"/>
          <w:b/>
          <w:sz w:val="24"/>
          <w:highlight w:val="none"/>
        </w:rPr>
        <w:t>一、评标方法</w:t>
      </w:r>
    </w:p>
    <w:p>
      <w:pPr>
        <w:numPr>
          <w:ilvl w:val="0"/>
          <w:numId w:val="12"/>
        </w:numPr>
        <w:tabs>
          <w:tab w:val="left" w:pos="360"/>
        </w:tabs>
        <w:snapToGrid w:val="0"/>
        <w:spacing w:line="360" w:lineRule="auto"/>
        <w:outlineLvl w:val="1"/>
        <w:rPr>
          <w:rFonts w:ascii="宋体" w:hAnsi="宋体" w:cs="宋体"/>
          <w:sz w:val="24"/>
          <w:highlight w:val="none"/>
        </w:rPr>
      </w:pPr>
      <w:bookmarkStart w:id="737" w:name="_Toc150509292"/>
      <w:bookmarkStart w:id="738" w:name="_Toc149720834"/>
      <w:bookmarkStart w:id="739" w:name="_Toc164229382"/>
      <w:bookmarkStart w:id="740" w:name="_Toc305158809"/>
      <w:bookmarkStart w:id="741" w:name="_Toc127151541"/>
      <w:bookmarkStart w:id="742" w:name="_Toc151193855"/>
      <w:bookmarkStart w:id="743" w:name="_Toc305158883"/>
      <w:bookmarkStart w:id="744" w:name="_Toc150774641"/>
      <w:bookmarkStart w:id="745" w:name="_Toc226309785"/>
      <w:bookmarkStart w:id="746" w:name="_Toc150774746"/>
      <w:bookmarkStart w:id="747" w:name="_Toc151193711"/>
      <w:bookmarkStart w:id="748" w:name="_Toc164608810"/>
      <w:bookmarkStart w:id="749" w:name="_Toc150480779"/>
      <w:bookmarkStart w:id="750" w:name="_Toc226965731"/>
      <w:bookmarkStart w:id="751" w:name="_Toc226965814"/>
      <w:bookmarkStart w:id="752" w:name="_Toc195842906"/>
      <w:bookmarkStart w:id="753" w:name="_Toc142311043"/>
      <w:bookmarkStart w:id="754" w:name="_Toc164351635"/>
      <w:bookmarkStart w:id="755" w:name="_Toc264969231"/>
      <w:bookmarkStart w:id="756" w:name="_Toc151190168"/>
      <w:bookmarkStart w:id="757" w:name="_Toc151193929"/>
      <w:bookmarkStart w:id="758" w:name="_Toc226337237"/>
      <w:bookmarkStart w:id="759" w:name="_Toc265228379"/>
      <w:bookmarkStart w:id="760" w:name="_Toc164229236"/>
      <w:bookmarkStart w:id="761" w:name="_Toc151193639"/>
      <w:bookmarkStart w:id="762" w:name="_Toc164608655"/>
      <w:bookmarkStart w:id="763" w:name="_Toc151193783"/>
      <w:bookmarkStart w:id="764" w:name="_Toc127151742"/>
      <w:bookmarkStart w:id="765" w:name="_Toc127161455"/>
      <w:bookmarkStart w:id="766" w:name="_Toc353873941"/>
      <w:bookmarkStart w:id="767" w:name="_Toc353825551"/>
      <w:bookmarkStart w:id="768" w:name="_Toc305158897"/>
      <w:bookmarkStart w:id="769" w:name="_Toc150774760"/>
      <w:bookmarkStart w:id="770" w:name="_Toc127151555"/>
      <w:bookmarkStart w:id="771" w:name="_Toc353825545"/>
      <w:bookmarkStart w:id="772" w:name="_Toc264969245"/>
      <w:bookmarkStart w:id="773" w:name="_Toc353873665"/>
      <w:bookmarkStart w:id="774" w:name="_Toc226337251"/>
      <w:bookmarkStart w:id="775" w:name="_Toc265228393"/>
      <w:bookmarkStart w:id="776" w:name="_Toc226965828"/>
      <w:bookmarkStart w:id="777" w:name="_Toc142311057"/>
      <w:bookmarkStart w:id="778" w:name="_Toc305158823"/>
      <w:bookmarkStart w:id="779" w:name="_Toc150480793"/>
      <w:bookmarkStart w:id="780" w:name="_Toc353873935"/>
      <w:bookmarkStart w:id="781" w:name="_Toc195842920"/>
      <w:r>
        <w:rPr>
          <w:rFonts w:hint="eastAsia" w:ascii="宋体" w:hAnsi="宋体" w:cs="宋体"/>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评标委员会对资格审查合格的投标人的投标文件进行符合性审查，以确定其是否满足招标文件的实质性要求。</w:t>
      </w:r>
      <w:bookmarkStart w:id="782" w:name="_Toc520356167"/>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highlight w:val="none"/>
        </w:rPr>
        <w:t>要求的，</w:t>
      </w:r>
      <w:r>
        <w:rPr>
          <w:rFonts w:hint="eastAsia" w:ascii="宋体" w:hAnsi="宋体" w:cs="宋体"/>
          <w:b/>
          <w:sz w:val="24"/>
          <w:highlight w:val="none"/>
        </w:rPr>
        <w:t>投标无效</w:t>
      </w:r>
      <w:r>
        <w:rPr>
          <w:rFonts w:hint="eastAsia" w:ascii="宋体" w:hAnsi="宋体" w:cs="宋体"/>
          <w:sz w:val="24"/>
          <w:highlight w:val="none"/>
        </w:rPr>
        <w:t>。</w:t>
      </w:r>
    </w:p>
    <w:p>
      <w:pPr>
        <w:tabs>
          <w:tab w:val="left" w:pos="900"/>
          <w:tab w:val="left" w:pos="1080"/>
          <w:tab w:val="left" w:pos="1589"/>
        </w:tabs>
        <w:snapToGrid w:val="0"/>
        <w:spacing w:line="360" w:lineRule="auto"/>
        <w:ind w:leftChars="-170" w:hanging="357" w:hangingChars="148"/>
        <w:jc w:val="center"/>
        <w:rPr>
          <w:rFonts w:ascii="宋体" w:hAnsi="宋体" w:cs="宋体"/>
          <w:b/>
          <w:color w:val="000000"/>
          <w:sz w:val="24"/>
          <w:highlight w:val="none"/>
        </w:rPr>
      </w:pPr>
      <w:r>
        <w:rPr>
          <w:rFonts w:hint="eastAsia" w:ascii="宋体" w:hAnsi="宋体" w:cs="宋体"/>
          <w:b/>
          <w:sz w:val="24"/>
          <w:highlight w:val="none"/>
        </w:rPr>
        <w:t>符合性审查要求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14"/>
        <w:gridCol w:w="6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7" w:type="dxa"/>
            <w:vAlign w:val="center"/>
          </w:tcPr>
          <w:p>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2014" w:type="dxa"/>
            <w:vAlign w:val="center"/>
          </w:tcPr>
          <w:p>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审查因素</w:t>
            </w:r>
          </w:p>
        </w:tc>
        <w:tc>
          <w:tcPr>
            <w:tcW w:w="6527" w:type="dxa"/>
            <w:vAlign w:val="center"/>
          </w:tcPr>
          <w:p>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授权委托书</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投标完整性</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sz w:val="24"/>
                <w:highlight w:val="none"/>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3</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投标报价</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投标报价未</w:t>
            </w:r>
            <w:r>
              <w:rPr>
                <w:rFonts w:hint="eastAsia" w:ascii="宋体" w:hAnsi="宋体" w:cs="宋体"/>
                <w:sz w:val="24"/>
                <w:highlight w:val="none"/>
              </w:rPr>
              <w:t>超过招标文件中规定的项目/采购包预算金额或者项目/采购包最高限价</w:t>
            </w:r>
            <w:r>
              <w:rPr>
                <w:rFonts w:hint="eastAsia" w:ascii="宋体" w:hAnsi="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4</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报价唯一性</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投标文件未</w:t>
            </w:r>
            <w:r>
              <w:rPr>
                <w:rFonts w:hint="eastAsia" w:ascii="宋体" w:hAnsi="宋体" w:cs="宋体"/>
                <w:sz w:val="24"/>
                <w:highlight w:val="none"/>
              </w:rPr>
              <w:t>出现可选择性或可调整的报价（招标文件另有规定的除外）</w:t>
            </w:r>
            <w:r>
              <w:rPr>
                <w:rFonts w:hint="eastAsia" w:ascii="宋体" w:hAnsi="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5</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投标有效期</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6</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实质性格式</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7</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★号条款响应</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投标文件满足招标文件</w:t>
            </w:r>
            <w:r>
              <w:rPr>
                <w:rFonts w:hint="eastAsia" w:ascii="宋体" w:hAnsi="宋体" w:cs="宋体"/>
                <w:sz w:val="24"/>
                <w:highlight w:val="none"/>
              </w:rPr>
              <w:t>第五章《采购需求》</w:t>
            </w:r>
            <w:r>
              <w:rPr>
                <w:rFonts w:hint="eastAsia" w:ascii="宋体" w:hAnsi="宋体" w:cs="宋体"/>
                <w:kern w:val="0"/>
                <w:sz w:val="24"/>
                <w:highlight w:val="none"/>
              </w:rPr>
              <w:t>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8</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拟分包情况说明（如有）</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9</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分包其他要求（如有）</w:t>
            </w:r>
          </w:p>
        </w:tc>
        <w:tc>
          <w:tcPr>
            <w:tcW w:w="6527" w:type="dxa"/>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分包履行的内容、金额或者比例未超出《投标人须知资料表》</w:t>
            </w:r>
          </w:p>
          <w:p>
            <w:pPr>
              <w:widowControl/>
              <w:jc w:val="left"/>
              <w:rPr>
                <w:rFonts w:ascii="宋体" w:hAnsi="宋体" w:cs="宋体"/>
                <w:kern w:val="0"/>
                <w:sz w:val="24"/>
                <w:highlight w:val="none"/>
              </w:rPr>
            </w:pPr>
            <w:r>
              <w:rPr>
                <w:rFonts w:hint="eastAsia" w:ascii="宋体" w:hAnsi="宋体" w:cs="宋体"/>
                <w:kern w:val="0"/>
                <w:sz w:val="24"/>
                <w:highlight w:val="none"/>
              </w:rPr>
              <w:t>中的规定；</w:t>
            </w:r>
          </w:p>
          <w:p>
            <w:pPr>
              <w:widowControl/>
              <w:jc w:val="left"/>
              <w:rPr>
                <w:rFonts w:ascii="宋体" w:hAnsi="宋体" w:cs="宋体"/>
                <w:color w:val="000000"/>
                <w:kern w:val="0"/>
                <w:sz w:val="24"/>
                <w:highlight w:val="none"/>
              </w:rPr>
            </w:pPr>
            <w:r>
              <w:rPr>
                <w:rFonts w:hint="eastAsia" w:ascii="宋体" w:hAnsi="宋体" w:cs="宋体"/>
                <w:kern w:val="0"/>
                <w:sz w:val="24"/>
                <w:highlight w:val="none"/>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10</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报价的修正（如有）</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11</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报价合理性</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报价合理，或</w:t>
            </w:r>
            <w:r>
              <w:rPr>
                <w:rFonts w:hint="eastAsia" w:ascii="宋体" w:hAnsi="宋体" w:cs="宋体"/>
                <w:sz w:val="24"/>
                <w:highlight w:val="none"/>
              </w:rPr>
              <w:t>投标人的报价明显低于其他通过符合性审查投标人的报价，有可能影响产品质量或者不能诚信履约的，能够应评标委员会要求在规定时间内证明其报价合理性的</w:t>
            </w:r>
            <w:r>
              <w:rPr>
                <w:rFonts w:hint="eastAsia" w:ascii="宋体" w:hAnsi="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12</w:t>
            </w:r>
          </w:p>
        </w:tc>
        <w:tc>
          <w:tcPr>
            <w:tcW w:w="2014" w:type="dxa"/>
            <w:vAlign w:val="center"/>
          </w:tcPr>
          <w:p>
            <w:pPr>
              <w:widowControl/>
              <w:jc w:val="left"/>
              <w:rPr>
                <w:rFonts w:ascii="宋体" w:hAnsi="宋体" w:cs="宋体"/>
                <w:kern w:val="0"/>
                <w:sz w:val="24"/>
                <w:highlight w:val="none"/>
              </w:rPr>
            </w:pPr>
            <w:r>
              <w:rPr>
                <w:rFonts w:hint="eastAsia" w:ascii="宋体" w:hAnsi="宋体" w:cs="宋体"/>
                <w:kern w:val="0"/>
                <w:sz w:val="24"/>
                <w:highlight w:val="none"/>
              </w:rPr>
              <w:t>进口产品</w:t>
            </w:r>
          </w:p>
          <w:p>
            <w:pPr>
              <w:widowControl/>
              <w:jc w:val="left"/>
              <w:rPr>
                <w:rFonts w:ascii="宋体" w:hAnsi="宋体" w:cs="宋体"/>
                <w:color w:val="000000"/>
                <w:kern w:val="0"/>
                <w:sz w:val="24"/>
                <w:highlight w:val="none"/>
              </w:rPr>
            </w:pPr>
            <w:r>
              <w:rPr>
                <w:rFonts w:hint="eastAsia" w:ascii="宋体" w:hAnsi="宋体" w:cs="宋体"/>
                <w:kern w:val="0"/>
                <w:sz w:val="24"/>
                <w:highlight w:val="none"/>
              </w:rPr>
              <w:t>（如有）</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sz w:val="24"/>
                <w:highlight w:val="none"/>
              </w:rPr>
              <w:t>招标文件不接受进口产品投标的内容时，投标人所投产品非进口产品的。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13</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国家有关部门对投标人的投标产品有强制性规定或要求的</w:t>
            </w:r>
          </w:p>
        </w:tc>
        <w:tc>
          <w:tcPr>
            <w:tcW w:w="6527" w:type="dxa"/>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国家有关部门对投标人的投标产品有强制性规定或要求的（如相应技术、安全、节能和环保等），投标人的投标产品应符合相应规定或要求，并提供证明文件电子件：</w:t>
            </w:r>
          </w:p>
          <w:p>
            <w:pPr>
              <w:widowControl/>
              <w:jc w:val="left"/>
              <w:rPr>
                <w:rFonts w:ascii="宋体" w:hAnsi="宋体" w:cs="宋体"/>
                <w:kern w:val="0"/>
                <w:sz w:val="24"/>
                <w:highlight w:val="none"/>
              </w:rPr>
            </w:pPr>
            <w:r>
              <w:rPr>
                <w:rFonts w:hint="eastAsia" w:ascii="宋体" w:hAnsi="宋体" w:cs="宋体"/>
                <w:kern w:val="0"/>
                <w:sz w:val="24"/>
                <w:highlight w:val="none"/>
              </w:rPr>
              <w:t>1）采购的产品若属于《节能产品政府采购品目清单》范围中政府强制采购产品，则投标人所报产品必须获得国家确定的认证机构出具的、处于有效期之内的节能产品认证证书；</w:t>
            </w:r>
          </w:p>
          <w:p>
            <w:pPr>
              <w:widowControl/>
              <w:jc w:val="left"/>
              <w:rPr>
                <w:rFonts w:ascii="宋体" w:hAnsi="宋体" w:cs="宋体"/>
                <w:kern w:val="0"/>
                <w:sz w:val="24"/>
                <w:highlight w:val="none"/>
              </w:rPr>
            </w:pPr>
            <w:r>
              <w:rPr>
                <w:rFonts w:hint="eastAsia" w:ascii="宋体" w:hAnsi="宋体" w:cs="宋体"/>
                <w:kern w:val="0"/>
                <w:sz w:val="24"/>
                <w:highlight w:val="none"/>
              </w:rPr>
              <w:t>2）投标产品如涉及计算机信息系统安全专用产品的，须提供公安部颁发的计算机信息系统安全专用产品销售许可证；</w:t>
            </w:r>
          </w:p>
          <w:p>
            <w:pPr>
              <w:widowControl/>
              <w:jc w:val="left"/>
              <w:rPr>
                <w:rFonts w:ascii="宋体" w:hAnsi="宋体" w:cs="宋体"/>
                <w:kern w:val="0"/>
                <w:sz w:val="24"/>
                <w:highlight w:val="none"/>
              </w:rPr>
            </w:pPr>
            <w:r>
              <w:rPr>
                <w:rFonts w:hint="eastAsia" w:ascii="宋体" w:hAnsi="宋体" w:cs="宋体"/>
                <w:kern w:val="0"/>
                <w:sz w:val="24"/>
                <w:highlight w:val="none"/>
              </w:rPr>
              <w:t>3）投标产品如有属于开展国家信息安全产品认证产品范围的，须提供由中国网络安全审查技术与认证中心（原中国信息安全认证中心）按国家标准认证颁发的有效认证证书等）；</w:t>
            </w:r>
          </w:p>
          <w:p>
            <w:pPr>
              <w:widowControl/>
              <w:jc w:val="left"/>
              <w:rPr>
                <w:rFonts w:ascii="宋体" w:hAnsi="宋体" w:cs="宋体"/>
                <w:color w:val="000000"/>
                <w:kern w:val="0"/>
                <w:sz w:val="24"/>
                <w:highlight w:val="none"/>
              </w:rPr>
            </w:pPr>
            <w:r>
              <w:rPr>
                <w:rFonts w:hint="eastAsia" w:ascii="宋体" w:hAnsi="宋体" w:cs="宋体"/>
                <w:sz w:val="24"/>
                <w:highlight w:val="none"/>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14</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公平竞争</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sz w:val="24"/>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15</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串通投标</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16</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附加条件</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17</w:t>
            </w:r>
          </w:p>
        </w:tc>
        <w:tc>
          <w:tcPr>
            <w:tcW w:w="2014" w:type="dxa"/>
            <w:vAlign w:val="center"/>
          </w:tcPr>
          <w:p>
            <w:pPr>
              <w:widowControl/>
              <w:jc w:val="left"/>
              <w:rPr>
                <w:rFonts w:ascii="宋体" w:hAnsi="宋体" w:cs="宋体"/>
                <w:color w:val="000000"/>
                <w:kern w:val="0"/>
                <w:sz w:val="24"/>
                <w:highlight w:val="none"/>
              </w:rPr>
            </w:pPr>
            <w:r>
              <w:rPr>
                <w:rFonts w:hint="eastAsia" w:ascii="宋体" w:hAnsi="宋体" w:cs="宋体"/>
                <w:kern w:val="0"/>
                <w:sz w:val="24"/>
                <w:highlight w:val="none"/>
              </w:rPr>
              <w:t>其他无效情形</w:t>
            </w:r>
          </w:p>
        </w:tc>
        <w:tc>
          <w:tcPr>
            <w:tcW w:w="6527" w:type="dxa"/>
            <w:vAlign w:val="center"/>
          </w:tcPr>
          <w:p>
            <w:pPr>
              <w:widowControl/>
              <w:jc w:val="left"/>
              <w:rPr>
                <w:rFonts w:ascii="宋体" w:hAnsi="宋体" w:cs="宋体"/>
                <w:color w:val="000000"/>
                <w:kern w:val="0"/>
                <w:sz w:val="24"/>
                <w:highlight w:val="none"/>
              </w:rPr>
            </w:pPr>
            <w:r>
              <w:rPr>
                <w:rFonts w:hint="eastAsia" w:ascii="宋体" w:hAnsi="宋体" w:cs="宋体"/>
                <w:sz w:val="24"/>
                <w:highlight w:val="none"/>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rFonts w:ascii="宋体" w:hAnsi="宋体" w:cs="宋体"/>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投标文件有关事项的澄清或者说明</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highlight w:val="none"/>
        </w:rPr>
        <w:t>无效投标处理</w:t>
      </w:r>
      <w:r>
        <w:rPr>
          <w:rFonts w:hint="eastAsia" w:ascii="宋体" w:hAnsi="宋体" w:cs="宋体"/>
          <w:sz w:val="24"/>
          <w:highlight w:val="none"/>
        </w:rPr>
        <w:t>。</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highlight w:val="none"/>
        </w:rPr>
        <w:t>投标无效</w:t>
      </w:r>
      <w:r>
        <w:rPr>
          <w:rFonts w:hint="eastAsia" w:ascii="宋体" w:hAnsi="宋体" w:cs="宋体"/>
          <w:sz w:val="24"/>
          <w:highlight w:val="none"/>
        </w:rPr>
        <w:t>。</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招标文件对于报价修正是否另有规定：</w:t>
      </w:r>
    </w:p>
    <w:p>
      <w:pPr>
        <w:tabs>
          <w:tab w:val="left" w:pos="1080"/>
          <w:tab w:val="left" w:pos="1589"/>
          <w:tab w:val="left" w:pos="2035"/>
          <w:tab w:val="left" w:pos="2114"/>
        </w:tabs>
        <w:snapToGrid w:val="0"/>
        <w:spacing w:line="360" w:lineRule="auto"/>
        <w:ind w:left="2035"/>
        <w:rPr>
          <w:rFonts w:ascii="宋体" w:hAnsi="宋体" w:cs="宋体"/>
          <w:sz w:val="24"/>
          <w:highlight w:val="none"/>
          <w:u w:val="single"/>
        </w:rPr>
      </w:pPr>
      <w:r>
        <w:rPr>
          <w:rFonts w:hint="eastAsia" w:ascii="宋体" w:hAnsi="宋体" w:cs="宋体"/>
          <w:sz w:val="24"/>
          <w:highlight w:val="none"/>
        </w:rPr>
        <w:t>□有，具体规定为：____/___</w:t>
      </w:r>
    </w:p>
    <w:p>
      <w:p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无，按下述2.4.2-2.4.7项规定修正。</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开标时，系统自动生成的开标一览表（报价表）与投标文件中开标一览表（报价表）内容不一致的，以开标时，系统自动生成的开标一览表（报价表）为准；</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同时出现两种以上不一致的，按照前款规定的顺序修正。修正后的报价经投标人书面确认后产生约束力，投标人不确认的，其</w:t>
      </w:r>
      <w:r>
        <w:rPr>
          <w:rFonts w:hint="eastAsia" w:ascii="宋体" w:hAnsi="宋体" w:cs="宋体"/>
          <w:b/>
          <w:sz w:val="24"/>
          <w:highlight w:val="none"/>
        </w:rPr>
        <w:t>投标无效</w:t>
      </w:r>
      <w:r>
        <w:rPr>
          <w:rFonts w:hint="eastAsia" w:ascii="宋体" w:hAnsi="宋体" w:cs="宋体"/>
          <w:sz w:val="24"/>
          <w:highlight w:val="none"/>
        </w:rPr>
        <w:t>。</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lang w:val="en-US" w:eastAsia="zh-CN"/>
        </w:rPr>
        <w:t xml:space="preserve"> / </w:t>
      </w:r>
      <w:r>
        <w:rPr>
          <w:rFonts w:hint="eastAsia" w:ascii="宋体" w:hAnsi="宋体" w:cs="宋体"/>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highlight w:val="none"/>
          <w:u w:val="single"/>
        </w:rPr>
        <w:t>/</w:t>
      </w:r>
      <w:r>
        <w:rPr>
          <w:rFonts w:hint="eastAsia" w:ascii="宋体" w:hAnsi="宋体" w:cs="宋体"/>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color w:val="000000"/>
          <w:sz w:val="24"/>
          <w:highlight w:val="none"/>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监狱企业提供了由省级以上监狱管理局（北京市含教育矫治局）、戒毒管理局（含新疆生产建设兵团）出具的属于监狱企业的证明文件的，视同小微企业。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残疾人福利性单位按招标文件要求提供了《残疾人福利性单位声明函》（见附件）的，视同小微企业。</w:t>
      </w:r>
    </w:p>
    <w:p>
      <w:pPr>
        <w:numPr>
          <w:ilvl w:val="2"/>
          <w:numId w:val="12"/>
        </w:numPr>
        <w:tabs>
          <w:tab w:val="left" w:pos="1080"/>
          <w:tab w:val="left" w:pos="1589"/>
          <w:tab w:val="left" w:pos="2014"/>
          <w:tab w:val="clear" w:pos="1980"/>
        </w:tabs>
        <w:snapToGrid w:val="0"/>
        <w:spacing w:line="360" w:lineRule="auto"/>
        <w:ind w:left="2035"/>
        <w:rPr>
          <w:rFonts w:ascii="宋体" w:hAnsi="宋体" w:cs="宋体"/>
          <w:sz w:val="24"/>
          <w:highlight w:val="none"/>
        </w:rPr>
      </w:pPr>
      <w:r>
        <w:rPr>
          <w:rFonts w:hint="eastAsia" w:ascii="宋体" w:hAnsi="宋体" w:cs="宋体"/>
          <w:sz w:val="24"/>
          <w:highlight w:val="none"/>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投标文件的比较和评价</w:t>
      </w:r>
      <w:bookmarkEnd w:id="766"/>
      <w:bookmarkEnd w:id="767"/>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评标方法和评标标准</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本项目采用的评标方法为：</w:t>
      </w:r>
    </w:p>
    <w:p>
      <w:pPr>
        <w:tabs>
          <w:tab w:val="left" w:pos="900"/>
          <w:tab w:val="left" w:pos="1589"/>
          <w:tab w:val="left" w:pos="1701"/>
        </w:tabs>
        <w:snapToGrid w:val="0"/>
        <w:spacing w:line="360" w:lineRule="auto"/>
        <w:ind w:left="1985"/>
        <w:jc w:val="left"/>
        <w:rPr>
          <w:rFonts w:ascii="宋体" w:hAnsi="宋体" w:cs="宋体"/>
          <w:sz w:val="24"/>
          <w:highlight w:val="none"/>
        </w:rPr>
      </w:pPr>
      <w:r>
        <w:rPr>
          <w:rFonts w:hint="eastAsia" w:ascii="宋体" w:hAnsi="宋体" w:cs="宋体"/>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ascii="宋体" w:hAnsi="宋体" w:cs="宋体"/>
          <w:sz w:val="24"/>
          <w:highlight w:val="none"/>
        </w:rPr>
      </w:pPr>
      <w:r>
        <w:rPr>
          <w:rFonts w:hint="eastAsia" w:ascii="宋体" w:hAnsi="宋体" w:cs="宋体"/>
          <w:sz w:val="24"/>
          <w:highlight w:val="none"/>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投标无效</w:t>
      </w:r>
      <w:r>
        <w:rPr>
          <w:rFonts w:hint="eastAsia" w:ascii="宋体" w:hAnsi="宋体" w:cs="宋体"/>
          <w:sz w:val="24"/>
          <w:highlight w:val="none"/>
        </w:rPr>
        <w:t>。</w:t>
      </w:r>
    </w:p>
    <w:p>
      <w:p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□随机抽取</w:t>
      </w:r>
    </w:p>
    <w:p>
      <w:pPr>
        <w:tabs>
          <w:tab w:val="left" w:pos="1080"/>
          <w:tab w:val="left" w:pos="1589"/>
          <w:tab w:val="left" w:pos="2035"/>
        </w:tabs>
        <w:snapToGrid w:val="0"/>
        <w:spacing w:line="360" w:lineRule="auto"/>
        <w:ind w:left="2035"/>
        <w:rPr>
          <w:rFonts w:ascii="宋体" w:hAnsi="宋体" w:cs="宋体"/>
          <w:sz w:val="24"/>
          <w:highlight w:val="none"/>
          <w:u w:val="single"/>
        </w:rPr>
      </w:pPr>
      <w:r>
        <w:rPr>
          <w:rFonts w:hint="eastAsia" w:ascii="宋体" w:hAnsi="宋体" w:cs="宋体"/>
          <w:sz w:val="24"/>
          <w:highlight w:val="none"/>
        </w:rPr>
        <w:t>□其他方式，具体要求：__/___</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非政府强制采购的节能产品或环境标志产品，依据品目清单和认证证书实施政府优先采购。优先采购的具体规定（如涉及）</w:t>
      </w:r>
      <w:r>
        <w:rPr>
          <w:rFonts w:hint="eastAsia" w:ascii="宋体" w:hAnsi="宋体" w:cs="宋体"/>
          <w:sz w:val="24"/>
          <w:highlight w:val="none"/>
          <w:u w:val="single"/>
        </w:rPr>
        <w:t xml:space="preserve">  /  </w:t>
      </w:r>
      <w:r>
        <w:rPr>
          <w:rFonts w:hint="eastAsia" w:ascii="宋体" w:hAnsi="宋体" w:cs="宋体"/>
          <w:sz w:val="24"/>
          <w:highlight w:val="none"/>
        </w:rPr>
        <w:t>。</w:t>
      </w:r>
    </w:p>
    <w:p>
      <w:pPr>
        <w:numPr>
          <w:ilvl w:val="2"/>
          <w:numId w:val="12"/>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关于无线局域网认证产品政府采购清单中的产品，优先采购的具体规定（如涉及）</w:t>
      </w:r>
      <w:r>
        <w:rPr>
          <w:rFonts w:hint="eastAsia" w:ascii="宋体" w:hAnsi="宋体" w:cs="宋体"/>
          <w:sz w:val="24"/>
          <w:highlight w:val="none"/>
          <w:u w:val="single"/>
        </w:rPr>
        <w:t xml:space="preserve">  /  </w:t>
      </w:r>
      <w:r>
        <w:rPr>
          <w:rFonts w:hint="eastAsia" w:ascii="宋体" w:hAnsi="宋体" w:cs="宋体"/>
          <w:sz w:val="24"/>
          <w:highlight w:val="none"/>
        </w:rPr>
        <w:t>。</w:t>
      </w:r>
    </w:p>
    <w:p>
      <w:pPr>
        <w:numPr>
          <w:ilvl w:val="0"/>
          <w:numId w:val="12"/>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确定</w:t>
      </w:r>
      <w:bookmarkStart w:id="783" w:name="_Toc520356170"/>
      <w:bookmarkStart w:id="784" w:name="_Toc164608660"/>
      <w:bookmarkStart w:id="785" w:name="_Toc226309790"/>
      <w:bookmarkStart w:id="786" w:name="_Toc151193644"/>
      <w:bookmarkStart w:id="787" w:name="_Toc264969236"/>
      <w:bookmarkStart w:id="788" w:name="_Toc150774646"/>
      <w:bookmarkStart w:id="789" w:name="_Toc150480784"/>
      <w:bookmarkStart w:id="790" w:name="_Toc305158888"/>
      <w:bookmarkStart w:id="791" w:name="_Toc195842911"/>
      <w:bookmarkStart w:id="792" w:name="_Toc226965819"/>
      <w:bookmarkStart w:id="793" w:name="_Toc151193934"/>
      <w:bookmarkStart w:id="794" w:name="_Toc151190173"/>
      <w:bookmarkStart w:id="795" w:name="_Toc164229387"/>
      <w:bookmarkStart w:id="796" w:name="_Toc164608815"/>
      <w:bookmarkStart w:id="797" w:name="_Toc151193716"/>
      <w:bookmarkStart w:id="798" w:name="_Toc226965736"/>
      <w:bookmarkStart w:id="799" w:name="_Toc164351640"/>
      <w:bookmarkStart w:id="800" w:name="_Toc127151546"/>
      <w:bookmarkStart w:id="801" w:name="_Toc151193860"/>
      <w:bookmarkStart w:id="802" w:name="_Toc151193788"/>
      <w:bookmarkStart w:id="803" w:name="_Toc305158814"/>
      <w:bookmarkStart w:id="804" w:name="_Toc150509297"/>
      <w:bookmarkStart w:id="805" w:name="_Toc149720839"/>
      <w:bookmarkStart w:id="806" w:name="_Ref467307010"/>
      <w:bookmarkStart w:id="807" w:name="_Toc265228384"/>
      <w:bookmarkStart w:id="808" w:name="_Toc164229241"/>
      <w:bookmarkStart w:id="809" w:name="_Toc226337242"/>
      <w:bookmarkStart w:id="810" w:name="_Toc127151747"/>
      <w:bookmarkStart w:id="811" w:name="_Toc142311048"/>
      <w:bookmarkStart w:id="812" w:name="_Toc127161460"/>
      <w:bookmarkStart w:id="813" w:name="_Toc150774751"/>
      <w:r>
        <w:rPr>
          <w:rFonts w:hint="eastAsia" w:ascii="宋体" w:hAnsi="宋体" w:cs="宋体"/>
          <w:sz w:val="24"/>
          <w:highlight w:val="none"/>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line="360" w:lineRule="auto"/>
        <w:ind w:left="993" w:firstLine="136" w:firstLineChars="57"/>
        <w:rPr>
          <w:rFonts w:hint="default" w:hAnsi="宋体" w:cs="宋体"/>
          <w:sz w:val="24"/>
          <w:szCs w:val="24"/>
          <w:highlight w:val="none"/>
        </w:rPr>
      </w:pPr>
      <w:r>
        <w:rPr>
          <w:rFonts w:hAnsi="宋体" w:cs="宋体"/>
          <w:sz w:val="24"/>
          <w:szCs w:val="24"/>
          <w:highlight w:val="none"/>
        </w:rPr>
        <w:t>□随机抽取</w:t>
      </w:r>
    </w:p>
    <w:p>
      <w:pPr>
        <w:pStyle w:val="24"/>
        <w:tabs>
          <w:tab w:val="left" w:pos="900"/>
          <w:tab w:val="left" w:pos="2127"/>
        </w:tabs>
        <w:adjustRightInd w:val="0"/>
        <w:snapToGrid w:val="0"/>
        <w:spacing w:line="360" w:lineRule="auto"/>
        <w:ind w:left="993" w:firstLine="136" w:firstLineChars="57"/>
        <w:rPr>
          <w:rFonts w:hint="default" w:hAnsi="宋体" w:cs="宋体"/>
          <w:sz w:val="24"/>
          <w:szCs w:val="24"/>
          <w:highlight w:val="none"/>
        </w:rPr>
      </w:pPr>
      <w:r>
        <w:rPr>
          <w:rFonts w:hAnsi="宋体" w:cs="宋体"/>
          <w:sz w:val="24"/>
          <w:szCs w:val="24"/>
          <w:highlight w:val="none"/>
        </w:rPr>
        <w:t>□其他方式，具体要求：___/__</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评标委员会要对评分汇总情况进行复核，特别是对排名第一的、报价最低的、投标或投标文件被认定为无效的情形进行重点复核。</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评标委员会将根据各投标人的评标排序，依次推荐本项目（各采购包）的中标候选人，起草并签署评标报告。本项目（各采购包）评标委员会共（各）推荐</w:t>
      </w:r>
      <w:r>
        <w:rPr>
          <w:rFonts w:hint="eastAsia" w:ascii="宋体" w:hAnsi="宋体" w:cs="宋体"/>
          <w:sz w:val="24"/>
          <w:highlight w:val="none"/>
          <w:u w:val="single"/>
        </w:rPr>
        <w:t>3</w:t>
      </w:r>
      <w:r>
        <w:rPr>
          <w:rFonts w:hint="eastAsia" w:ascii="宋体" w:hAnsi="宋体" w:cs="宋体"/>
          <w:sz w:val="24"/>
          <w:highlight w:val="none"/>
        </w:rPr>
        <w:t>名中标候选人。</w:t>
      </w:r>
    </w:p>
    <w:p>
      <w:pPr>
        <w:numPr>
          <w:ilvl w:val="0"/>
          <w:numId w:val="12"/>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报告违法行为</w:t>
      </w:r>
    </w:p>
    <w:p>
      <w:pPr>
        <w:numPr>
          <w:ilvl w:val="1"/>
          <w:numId w:val="12"/>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评标委员会在评标过程中发现投标人有行贿、提供虚假材料或者串通等违法行为时，有向采购人、采购代理机构或者有关部门报告的职责。</w:t>
      </w:r>
    </w:p>
    <w:p>
      <w:pPr>
        <w:widowControl/>
        <w:jc w:val="left"/>
        <w:rPr>
          <w:rFonts w:ascii="宋体" w:hAnsi="宋体" w:cs="宋体"/>
          <w:b/>
          <w:sz w:val="24"/>
          <w:highlight w:val="none"/>
        </w:rPr>
      </w:pPr>
      <w:r>
        <w:rPr>
          <w:rFonts w:hint="eastAsia" w:ascii="宋体" w:hAnsi="宋体" w:cs="宋体"/>
          <w:b/>
          <w:sz w:val="24"/>
          <w:highlight w:val="none"/>
        </w:rPr>
        <w:br w:type="page"/>
      </w:r>
    </w:p>
    <w:p>
      <w:pPr>
        <w:numPr>
          <w:ilvl w:val="0"/>
          <w:numId w:val="14"/>
        </w:numPr>
        <w:tabs>
          <w:tab w:val="left" w:pos="360"/>
          <w:tab w:val="left" w:pos="900"/>
        </w:tabs>
        <w:snapToGrid w:val="0"/>
        <w:spacing w:line="360" w:lineRule="auto"/>
        <w:jc w:val="center"/>
        <w:outlineLvl w:val="1"/>
        <w:rPr>
          <w:rFonts w:ascii="宋体" w:hAnsi="宋体" w:cs="宋体"/>
          <w:highlight w:val="none"/>
        </w:rPr>
      </w:pPr>
      <w:r>
        <w:rPr>
          <w:rFonts w:hint="eastAsia" w:ascii="宋体" w:hAnsi="宋体" w:cs="宋体"/>
          <w:b/>
          <w:sz w:val="24"/>
          <w:highlight w:val="none"/>
        </w:rPr>
        <w:t>评标标准</w:t>
      </w:r>
    </w:p>
    <w:tbl>
      <w:tblPr>
        <w:tblStyle w:val="45"/>
        <w:tblpPr w:leftFromText="180" w:rightFromText="180" w:vertAnchor="text" w:horzAnchor="page" w:tblpX="1261" w:tblpY="851"/>
        <w:tblOverlap w:val="never"/>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056"/>
        <w:gridCol w:w="1170"/>
        <w:gridCol w:w="810"/>
        <w:gridCol w:w="5030"/>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vAlign w:val="center"/>
          </w:tcPr>
          <w:p>
            <w:pPr>
              <w:ind w:firstLine="28"/>
              <w:rPr>
                <w:rFonts w:ascii="宋体" w:hAnsi="宋体" w:cs="宋体"/>
                <w:b/>
                <w:sz w:val="20"/>
                <w:szCs w:val="20"/>
                <w:highlight w:val="none"/>
              </w:rPr>
            </w:pPr>
            <w:r>
              <w:rPr>
                <w:rFonts w:hint="eastAsia" w:ascii="宋体" w:hAnsi="宋体" w:cs="宋体"/>
                <w:b/>
                <w:sz w:val="20"/>
                <w:szCs w:val="20"/>
                <w:highlight w:val="none"/>
              </w:rPr>
              <w:t>序号</w:t>
            </w:r>
          </w:p>
        </w:tc>
        <w:tc>
          <w:tcPr>
            <w:tcW w:w="1056" w:type="dxa"/>
            <w:vAlign w:val="center"/>
          </w:tcPr>
          <w:p>
            <w:pPr>
              <w:ind w:firstLine="28"/>
              <w:jc w:val="center"/>
              <w:rPr>
                <w:rFonts w:ascii="宋体" w:hAnsi="宋体" w:cs="宋体"/>
                <w:b/>
                <w:sz w:val="20"/>
                <w:szCs w:val="20"/>
                <w:highlight w:val="none"/>
              </w:rPr>
            </w:pPr>
            <w:r>
              <w:rPr>
                <w:rFonts w:hint="eastAsia" w:ascii="宋体" w:hAnsi="宋体" w:cs="宋体"/>
                <w:b/>
                <w:sz w:val="20"/>
                <w:szCs w:val="20"/>
                <w:highlight w:val="none"/>
              </w:rPr>
              <w:t>评审部分</w:t>
            </w:r>
          </w:p>
        </w:tc>
        <w:tc>
          <w:tcPr>
            <w:tcW w:w="1170" w:type="dxa"/>
            <w:vAlign w:val="center"/>
          </w:tcPr>
          <w:p>
            <w:pPr>
              <w:ind w:firstLine="28"/>
              <w:jc w:val="center"/>
              <w:rPr>
                <w:rFonts w:ascii="宋体" w:hAnsi="宋体" w:cs="宋体"/>
                <w:b/>
                <w:sz w:val="20"/>
                <w:szCs w:val="20"/>
                <w:highlight w:val="none"/>
              </w:rPr>
            </w:pPr>
            <w:r>
              <w:rPr>
                <w:rFonts w:hint="eastAsia" w:ascii="宋体" w:hAnsi="宋体" w:cs="宋体"/>
                <w:b/>
                <w:sz w:val="20"/>
                <w:szCs w:val="20"/>
                <w:highlight w:val="none"/>
              </w:rPr>
              <w:t>评分因素</w:t>
            </w:r>
          </w:p>
        </w:tc>
        <w:tc>
          <w:tcPr>
            <w:tcW w:w="810" w:type="dxa"/>
            <w:vAlign w:val="center"/>
          </w:tcPr>
          <w:p>
            <w:pPr>
              <w:ind w:firstLine="28"/>
              <w:jc w:val="center"/>
              <w:rPr>
                <w:rFonts w:ascii="宋体" w:hAnsi="宋体" w:cs="宋体"/>
                <w:b/>
                <w:sz w:val="20"/>
                <w:szCs w:val="20"/>
                <w:highlight w:val="none"/>
              </w:rPr>
            </w:pPr>
            <w:r>
              <w:rPr>
                <w:rFonts w:hint="eastAsia" w:ascii="宋体" w:hAnsi="宋体" w:cs="宋体"/>
                <w:b/>
                <w:sz w:val="20"/>
                <w:szCs w:val="20"/>
                <w:highlight w:val="none"/>
              </w:rPr>
              <w:t>分值</w:t>
            </w:r>
          </w:p>
        </w:tc>
        <w:tc>
          <w:tcPr>
            <w:tcW w:w="5030" w:type="dxa"/>
            <w:vAlign w:val="center"/>
          </w:tcPr>
          <w:p>
            <w:pPr>
              <w:ind w:firstLine="28"/>
              <w:jc w:val="center"/>
              <w:rPr>
                <w:rFonts w:ascii="宋体" w:hAnsi="宋体" w:cs="宋体"/>
                <w:b/>
                <w:sz w:val="20"/>
                <w:szCs w:val="20"/>
                <w:highlight w:val="none"/>
              </w:rPr>
            </w:pPr>
            <w:r>
              <w:rPr>
                <w:rFonts w:hint="eastAsia" w:ascii="宋体" w:hAnsi="宋体" w:cs="宋体"/>
                <w:b/>
                <w:sz w:val="20"/>
                <w:szCs w:val="20"/>
                <w:highlight w:val="none"/>
              </w:rPr>
              <w:t>评分标准</w:t>
            </w:r>
          </w:p>
        </w:tc>
        <w:tc>
          <w:tcPr>
            <w:tcW w:w="1215" w:type="dxa"/>
            <w:vAlign w:val="center"/>
          </w:tcPr>
          <w:p>
            <w:pPr>
              <w:jc w:val="center"/>
              <w:rPr>
                <w:rFonts w:ascii="宋体" w:hAnsi="宋体" w:cs="宋体"/>
                <w:b/>
                <w:sz w:val="20"/>
                <w:szCs w:val="20"/>
                <w:highlight w:val="none"/>
              </w:rPr>
            </w:pPr>
            <w:r>
              <w:rPr>
                <w:rFonts w:hint="eastAsia" w:ascii="宋体" w:hAnsi="宋体" w:cs="宋体"/>
                <w:b/>
                <w:sz w:val="20"/>
                <w:szCs w:val="20"/>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7" w:type="dxa"/>
            <w:vMerge w:val="restart"/>
            <w:vAlign w:val="center"/>
          </w:tcPr>
          <w:p>
            <w:pPr>
              <w:ind w:firstLine="28"/>
              <w:jc w:val="center"/>
              <w:rPr>
                <w:rFonts w:ascii="宋体" w:hAnsi="宋体" w:cs="宋体"/>
                <w:b/>
                <w:sz w:val="20"/>
                <w:szCs w:val="20"/>
                <w:highlight w:val="none"/>
              </w:rPr>
            </w:pPr>
            <w:r>
              <w:rPr>
                <w:rFonts w:hint="eastAsia" w:ascii="宋体" w:hAnsi="宋体" w:cs="宋体"/>
                <w:b/>
                <w:sz w:val="20"/>
                <w:szCs w:val="20"/>
                <w:highlight w:val="none"/>
              </w:rPr>
              <w:t>1</w:t>
            </w:r>
          </w:p>
        </w:tc>
        <w:tc>
          <w:tcPr>
            <w:tcW w:w="1056" w:type="dxa"/>
            <w:vMerge w:val="restart"/>
            <w:vAlign w:val="center"/>
          </w:tcPr>
          <w:p>
            <w:pPr>
              <w:jc w:val="center"/>
              <w:rPr>
                <w:rFonts w:ascii="宋体" w:hAnsi="宋体" w:cs="宋体"/>
                <w:sz w:val="20"/>
                <w:szCs w:val="20"/>
                <w:highlight w:val="none"/>
              </w:rPr>
            </w:pPr>
            <w:r>
              <w:rPr>
                <w:rFonts w:hint="eastAsia" w:ascii="宋体" w:hAnsi="宋体" w:cs="宋体"/>
                <w:sz w:val="20"/>
                <w:szCs w:val="20"/>
                <w:highlight w:val="none"/>
              </w:rPr>
              <w:t>技术部分65分</w:t>
            </w:r>
          </w:p>
        </w:tc>
        <w:tc>
          <w:tcPr>
            <w:tcW w:w="1170" w:type="dxa"/>
            <w:vAlign w:val="center"/>
          </w:tcPr>
          <w:p>
            <w:pPr>
              <w:jc w:val="left"/>
              <w:rPr>
                <w:rFonts w:ascii="宋体" w:hAnsi="宋体" w:cs="宋体"/>
                <w:sz w:val="20"/>
                <w:szCs w:val="20"/>
                <w:highlight w:val="none"/>
              </w:rPr>
            </w:pPr>
            <w:r>
              <w:rPr>
                <w:rFonts w:hint="eastAsia" w:ascii="宋体" w:hAnsi="宋体" w:cs="宋体"/>
                <w:sz w:val="20"/>
                <w:szCs w:val="20"/>
                <w:highlight w:val="none"/>
              </w:rPr>
              <w:t>运营策划方案（11分）</w:t>
            </w:r>
          </w:p>
        </w:tc>
        <w:tc>
          <w:tcPr>
            <w:tcW w:w="810" w:type="dxa"/>
            <w:vAlign w:val="center"/>
          </w:tcPr>
          <w:p>
            <w:pPr>
              <w:spacing w:line="400" w:lineRule="exact"/>
              <w:jc w:val="center"/>
              <w:rPr>
                <w:rFonts w:ascii="宋体" w:hAnsi="宋体" w:cs="宋体"/>
                <w:sz w:val="20"/>
                <w:szCs w:val="20"/>
                <w:highlight w:val="none"/>
              </w:rPr>
            </w:pPr>
            <w:r>
              <w:rPr>
                <w:rFonts w:hint="eastAsia" w:ascii="宋体" w:hAnsi="宋体" w:cs="宋体"/>
                <w:sz w:val="20"/>
                <w:szCs w:val="20"/>
                <w:highlight w:val="none"/>
              </w:rPr>
              <w:t>0-11</w:t>
            </w:r>
          </w:p>
        </w:tc>
        <w:tc>
          <w:tcPr>
            <w:tcW w:w="5030" w:type="dxa"/>
          </w:tcPr>
          <w:p>
            <w:pPr>
              <w:rPr>
                <w:rFonts w:ascii="宋体" w:hAnsi="宋体" w:cs="宋体"/>
                <w:sz w:val="20"/>
                <w:szCs w:val="20"/>
                <w:highlight w:val="none"/>
              </w:rPr>
            </w:pPr>
            <w:r>
              <w:rPr>
                <w:rFonts w:hint="eastAsia" w:ascii="宋体" w:hAnsi="宋体" w:cs="宋体"/>
                <w:sz w:val="20"/>
                <w:szCs w:val="20"/>
                <w:highlight w:val="none"/>
              </w:rPr>
              <w:t>根据投标人对剧院运营策划，提出大剧院或艺术中心的运营战略、经营定位、开业筹备期计划、运营目标营销策略、演出计划、公益服务活动策划、实施措施、运营团队、本地化建设、宣传推广、日常管理、开办建议及预算等进行评价；</w:t>
            </w:r>
          </w:p>
          <w:p>
            <w:pPr>
              <w:rPr>
                <w:rFonts w:ascii="宋体" w:hAnsi="宋体" w:cs="宋体"/>
                <w:sz w:val="20"/>
                <w:szCs w:val="20"/>
                <w:highlight w:val="none"/>
              </w:rPr>
            </w:pPr>
            <w:r>
              <w:rPr>
                <w:rFonts w:hint="eastAsia" w:ascii="宋体" w:hAnsi="宋体" w:cs="宋体"/>
                <w:sz w:val="20"/>
                <w:szCs w:val="20"/>
                <w:highlight w:val="none"/>
              </w:rPr>
              <w:t>1.方案全面详尽、合理、可行的，得11分；</w:t>
            </w:r>
          </w:p>
          <w:p>
            <w:pPr>
              <w:rPr>
                <w:rFonts w:ascii="宋体" w:hAnsi="宋体" w:cs="宋体"/>
                <w:sz w:val="20"/>
                <w:szCs w:val="20"/>
                <w:highlight w:val="none"/>
              </w:rPr>
            </w:pPr>
            <w:r>
              <w:rPr>
                <w:rFonts w:hint="eastAsia" w:ascii="宋体" w:hAnsi="宋体" w:cs="宋体"/>
                <w:sz w:val="20"/>
                <w:szCs w:val="20"/>
                <w:highlight w:val="none"/>
              </w:rPr>
              <w:t>2.方案全面合理的，得7分；</w:t>
            </w:r>
          </w:p>
          <w:p>
            <w:pPr>
              <w:rPr>
                <w:rFonts w:ascii="宋体" w:hAnsi="宋体" w:cs="宋体"/>
                <w:sz w:val="20"/>
                <w:szCs w:val="20"/>
                <w:highlight w:val="none"/>
              </w:rPr>
            </w:pPr>
            <w:r>
              <w:rPr>
                <w:rFonts w:hint="eastAsia" w:ascii="宋体" w:hAnsi="宋体" w:cs="宋体"/>
                <w:sz w:val="20"/>
                <w:szCs w:val="20"/>
                <w:highlight w:val="none"/>
              </w:rPr>
              <w:t>3.方案全面但存在较少瑕疵的，得4分；</w:t>
            </w:r>
          </w:p>
          <w:p>
            <w:pPr>
              <w:rPr>
                <w:rFonts w:ascii="宋体" w:hAnsi="宋体" w:cs="宋体"/>
                <w:sz w:val="20"/>
                <w:szCs w:val="20"/>
                <w:highlight w:val="none"/>
              </w:rPr>
            </w:pPr>
            <w:r>
              <w:rPr>
                <w:rFonts w:hint="eastAsia" w:ascii="宋体" w:hAnsi="宋体" w:cs="宋体"/>
                <w:sz w:val="20"/>
                <w:szCs w:val="20"/>
                <w:highlight w:val="none"/>
              </w:rPr>
              <w:t>4.方案不全面或较粗糙的，得0分。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7" w:type="dxa"/>
            <w:vMerge w:val="continue"/>
            <w:vAlign w:val="center"/>
          </w:tcPr>
          <w:p>
            <w:pPr>
              <w:ind w:firstLine="28"/>
              <w:jc w:val="center"/>
              <w:rPr>
                <w:rFonts w:ascii="宋体" w:hAnsi="宋体" w:cs="宋体"/>
                <w:b/>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jc w:val="left"/>
              <w:rPr>
                <w:rFonts w:ascii="宋体" w:hAnsi="宋体" w:cs="宋体"/>
                <w:sz w:val="20"/>
                <w:szCs w:val="20"/>
                <w:highlight w:val="none"/>
              </w:rPr>
            </w:pPr>
            <w:r>
              <w:rPr>
                <w:rFonts w:hint="eastAsia" w:ascii="宋体" w:hAnsi="宋体" w:cs="宋体"/>
                <w:sz w:val="20"/>
                <w:szCs w:val="20"/>
                <w:highlight w:val="none"/>
                <w:lang w:val="zh-CN"/>
              </w:rPr>
              <w:t>运营管理规章制度</w:t>
            </w:r>
            <w:r>
              <w:rPr>
                <w:rFonts w:hint="eastAsia" w:ascii="宋体" w:hAnsi="宋体" w:cs="宋体"/>
                <w:sz w:val="20"/>
                <w:szCs w:val="20"/>
                <w:highlight w:val="none"/>
              </w:rPr>
              <w:t>（9分）</w:t>
            </w:r>
          </w:p>
        </w:tc>
        <w:tc>
          <w:tcPr>
            <w:tcW w:w="810" w:type="dxa"/>
            <w:vAlign w:val="center"/>
          </w:tcPr>
          <w:p>
            <w:pPr>
              <w:jc w:val="center"/>
              <w:rPr>
                <w:rFonts w:ascii="宋体" w:hAnsi="宋体" w:cs="宋体"/>
                <w:bCs/>
                <w:sz w:val="20"/>
                <w:szCs w:val="20"/>
                <w:highlight w:val="none"/>
              </w:rPr>
            </w:pPr>
            <w:r>
              <w:rPr>
                <w:rFonts w:hint="eastAsia" w:ascii="宋体" w:hAnsi="宋体" w:cs="宋体"/>
                <w:bCs/>
                <w:sz w:val="20"/>
                <w:szCs w:val="20"/>
                <w:highlight w:val="none"/>
              </w:rPr>
              <w:t>0-9</w:t>
            </w:r>
          </w:p>
        </w:tc>
        <w:tc>
          <w:tcPr>
            <w:tcW w:w="5030" w:type="dxa"/>
          </w:tcPr>
          <w:p>
            <w:pPr>
              <w:jc w:val="left"/>
              <w:rPr>
                <w:rFonts w:ascii="宋体" w:hAnsi="宋体" w:cs="宋体"/>
                <w:sz w:val="20"/>
                <w:szCs w:val="20"/>
                <w:highlight w:val="none"/>
              </w:rPr>
            </w:pPr>
            <w:r>
              <w:rPr>
                <w:rFonts w:hint="eastAsia" w:ascii="宋体" w:hAnsi="宋体" w:cs="宋体"/>
                <w:sz w:val="20"/>
                <w:szCs w:val="20"/>
                <w:highlight w:val="none"/>
              </w:rPr>
              <w:t>根据投标人提供的业务运作规范、管理等制度的全面性、合理性及科学性进行横向比较：</w:t>
            </w:r>
          </w:p>
          <w:p>
            <w:pPr>
              <w:jc w:val="left"/>
              <w:rPr>
                <w:rFonts w:ascii="宋体" w:hAnsi="宋体" w:cs="宋体"/>
                <w:sz w:val="20"/>
                <w:szCs w:val="20"/>
                <w:highlight w:val="none"/>
              </w:rPr>
            </w:pPr>
            <w:r>
              <w:rPr>
                <w:rFonts w:hint="eastAsia" w:ascii="宋体" w:hAnsi="宋体" w:cs="宋体"/>
                <w:sz w:val="20"/>
                <w:szCs w:val="20"/>
                <w:highlight w:val="none"/>
              </w:rPr>
              <w:t>1.</w:t>
            </w:r>
            <w:r>
              <w:rPr>
                <w:rFonts w:hint="eastAsia" w:ascii="宋体" w:hAnsi="宋体" w:cs="宋体"/>
                <w:sz w:val="20"/>
                <w:szCs w:val="20"/>
                <w:highlight w:val="none"/>
                <w:lang w:val="zh-CN"/>
              </w:rPr>
              <w:t>制度</w:t>
            </w:r>
            <w:r>
              <w:rPr>
                <w:rFonts w:hint="eastAsia" w:ascii="宋体" w:hAnsi="宋体" w:cs="宋体"/>
                <w:sz w:val="20"/>
                <w:szCs w:val="20"/>
                <w:highlight w:val="none"/>
              </w:rPr>
              <w:t>全面详尽、合理、可行的，得9分；</w:t>
            </w:r>
          </w:p>
          <w:p>
            <w:pPr>
              <w:jc w:val="left"/>
              <w:rPr>
                <w:rFonts w:ascii="宋体" w:hAnsi="宋体" w:cs="宋体"/>
                <w:sz w:val="20"/>
                <w:szCs w:val="20"/>
                <w:highlight w:val="none"/>
              </w:rPr>
            </w:pPr>
            <w:r>
              <w:rPr>
                <w:rFonts w:hint="eastAsia" w:ascii="宋体" w:hAnsi="宋体" w:cs="宋体"/>
                <w:sz w:val="20"/>
                <w:szCs w:val="20"/>
                <w:highlight w:val="none"/>
              </w:rPr>
              <w:t>2.</w:t>
            </w:r>
            <w:r>
              <w:rPr>
                <w:rFonts w:hint="eastAsia" w:ascii="宋体" w:hAnsi="宋体" w:cs="宋体"/>
                <w:sz w:val="20"/>
                <w:szCs w:val="20"/>
                <w:highlight w:val="none"/>
                <w:lang w:val="zh-CN"/>
              </w:rPr>
              <w:t>制度</w:t>
            </w:r>
            <w:r>
              <w:rPr>
                <w:rFonts w:hint="eastAsia" w:ascii="宋体" w:hAnsi="宋体" w:cs="宋体"/>
                <w:sz w:val="20"/>
                <w:szCs w:val="20"/>
                <w:highlight w:val="none"/>
              </w:rPr>
              <w:t>全面合理的，得6分；</w:t>
            </w:r>
          </w:p>
          <w:p>
            <w:pPr>
              <w:jc w:val="left"/>
              <w:rPr>
                <w:rFonts w:ascii="宋体" w:hAnsi="宋体" w:cs="宋体"/>
                <w:sz w:val="20"/>
                <w:szCs w:val="20"/>
                <w:highlight w:val="none"/>
              </w:rPr>
            </w:pPr>
            <w:r>
              <w:rPr>
                <w:rFonts w:hint="eastAsia" w:ascii="宋体" w:hAnsi="宋体" w:cs="宋体"/>
                <w:sz w:val="20"/>
                <w:szCs w:val="20"/>
                <w:highlight w:val="none"/>
              </w:rPr>
              <w:t>3.</w:t>
            </w:r>
            <w:r>
              <w:rPr>
                <w:rFonts w:hint="eastAsia" w:ascii="宋体" w:hAnsi="宋体" w:cs="宋体"/>
                <w:sz w:val="20"/>
                <w:szCs w:val="20"/>
                <w:highlight w:val="none"/>
                <w:lang w:val="zh-CN"/>
              </w:rPr>
              <w:t>制度</w:t>
            </w:r>
            <w:r>
              <w:rPr>
                <w:rFonts w:hint="eastAsia" w:ascii="宋体" w:hAnsi="宋体" w:cs="宋体"/>
                <w:sz w:val="20"/>
                <w:szCs w:val="20"/>
                <w:highlight w:val="none"/>
              </w:rPr>
              <w:t>全面但存在较少瑕疵的，得3分；</w:t>
            </w:r>
          </w:p>
          <w:p>
            <w:pPr>
              <w:jc w:val="left"/>
              <w:rPr>
                <w:rFonts w:ascii="宋体" w:hAnsi="宋体" w:cs="宋体"/>
                <w:bCs/>
                <w:sz w:val="20"/>
                <w:szCs w:val="20"/>
                <w:highlight w:val="none"/>
              </w:rPr>
            </w:pPr>
            <w:r>
              <w:rPr>
                <w:rFonts w:hint="eastAsia" w:ascii="宋体" w:hAnsi="宋体" w:cs="宋体"/>
                <w:sz w:val="20"/>
                <w:szCs w:val="20"/>
                <w:highlight w:val="none"/>
              </w:rPr>
              <w:t>4.</w:t>
            </w:r>
            <w:r>
              <w:rPr>
                <w:rFonts w:hint="eastAsia" w:ascii="宋体" w:hAnsi="宋体" w:cs="宋体"/>
                <w:sz w:val="20"/>
                <w:szCs w:val="20"/>
                <w:highlight w:val="none"/>
                <w:lang w:val="zh-CN"/>
              </w:rPr>
              <w:t>制度</w:t>
            </w:r>
            <w:r>
              <w:rPr>
                <w:rFonts w:hint="eastAsia" w:ascii="宋体" w:hAnsi="宋体" w:cs="宋体"/>
                <w:sz w:val="20"/>
                <w:szCs w:val="20"/>
                <w:highlight w:val="none"/>
              </w:rPr>
              <w:t>不全面或较粗糙的，得0分。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jc w:val="left"/>
              <w:rPr>
                <w:rFonts w:ascii="宋体" w:hAnsi="宋体" w:cs="宋体"/>
                <w:sz w:val="20"/>
                <w:szCs w:val="20"/>
                <w:highlight w:val="none"/>
              </w:rPr>
            </w:pPr>
            <w:r>
              <w:rPr>
                <w:rFonts w:hint="eastAsia" w:ascii="宋体" w:hAnsi="宋体" w:cs="宋体"/>
                <w:sz w:val="20"/>
                <w:szCs w:val="20"/>
                <w:highlight w:val="none"/>
                <w:lang w:val="zh-CN"/>
              </w:rPr>
              <w:t>资产维护保养方案</w:t>
            </w:r>
            <w:r>
              <w:rPr>
                <w:rFonts w:hint="eastAsia" w:ascii="宋体" w:hAnsi="宋体" w:cs="宋体"/>
                <w:sz w:val="20"/>
                <w:szCs w:val="20"/>
                <w:highlight w:val="none"/>
              </w:rPr>
              <w:t>（9分）</w:t>
            </w:r>
          </w:p>
        </w:tc>
        <w:tc>
          <w:tcPr>
            <w:tcW w:w="810" w:type="dxa"/>
            <w:vAlign w:val="center"/>
          </w:tcPr>
          <w:p>
            <w:pPr>
              <w:jc w:val="center"/>
              <w:rPr>
                <w:rFonts w:ascii="宋体" w:hAnsi="宋体" w:cs="宋体"/>
                <w:sz w:val="20"/>
                <w:szCs w:val="20"/>
                <w:highlight w:val="none"/>
              </w:rPr>
            </w:pPr>
            <w:r>
              <w:rPr>
                <w:rFonts w:hint="eastAsia" w:ascii="宋体" w:hAnsi="宋体" w:cs="宋体"/>
                <w:sz w:val="20"/>
                <w:szCs w:val="20"/>
                <w:highlight w:val="none"/>
              </w:rPr>
              <w:t>0-9</w:t>
            </w:r>
          </w:p>
        </w:tc>
        <w:tc>
          <w:tcPr>
            <w:tcW w:w="5030" w:type="dxa"/>
          </w:tcPr>
          <w:p>
            <w:pPr>
              <w:jc w:val="left"/>
              <w:rPr>
                <w:rFonts w:ascii="宋体" w:hAnsi="宋体" w:cs="宋体"/>
                <w:sz w:val="20"/>
                <w:szCs w:val="20"/>
                <w:highlight w:val="none"/>
                <w:lang w:val="zh-CN"/>
              </w:rPr>
            </w:pPr>
            <w:r>
              <w:rPr>
                <w:rFonts w:hint="eastAsia" w:ascii="宋体" w:hAnsi="宋体" w:cs="宋体"/>
                <w:sz w:val="20"/>
                <w:szCs w:val="20"/>
                <w:highlight w:val="none"/>
                <w:lang w:val="zh-CN"/>
              </w:rPr>
              <w:t>根据投标人提供的剧院</w:t>
            </w:r>
            <w:r>
              <w:rPr>
                <w:rFonts w:hint="eastAsia" w:ascii="宋体" w:hAnsi="宋体" w:cs="宋体"/>
                <w:sz w:val="20"/>
                <w:szCs w:val="20"/>
                <w:highlight w:val="none"/>
              </w:rPr>
              <w:t>或文化馆（文化中心）等项目</w:t>
            </w:r>
            <w:r>
              <w:rPr>
                <w:rFonts w:hint="eastAsia" w:ascii="宋体" w:hAnsi="宋体" w:cs="宋体"/>
                <w:sz w:val="20"/>
                <w:szCs w:val="20"/>
                <w:highlight w:val="none"/>
                <w:lang w:val="zh-CN"/>
              </w:rPr>
              <w:t>建（构）筑物、舞台机械系统、灯光音响系统、演出乐器等设备设施的日常维护、年度检修、综合保养及大中修方案的合理性、实用性及可行性进行比较：</w:t>
            </w:r>
          </w:p>
          <w:p>
            <w:pPr>
              <w:jc w:val="left"/>
              <w:rPr>
                <w:rFonts w:ascii="宋体" w:hAnsi="宋体" w:cs="宋体"/>
                <w:sz w:val="20"/>
                <w:szCs w:val="20"/>
                <w:highlight w:val="none"/>
                <w:lang w:val="zh-CN"/>
              </w:rPr>
            </w:pPr>
            <w:r>
              <w:rPr>
                <w:rFonts w:hint="eastAsia" w:ascii="宋体" w:hAnsi="宋体" w:cs="宋体"/>
                <w:sz w:val="20"/>
                <w:szCs w:val="20"/>
                <w:highlight w:val="none"/>
              </w:rPr>
              <w:t>1.</w:t>
            </w:r>
            <w:r>
              <w:rPr>
                <w:rFonts w:hint="eastAsia" w:ascii="宋体" w:hAnsi="宋体" w:cs="宋体"/>
                <w:sz w:val="20"/>
                <w:szCs w:val="20"/>
                <w:highlight w:val="none"/>
                <w:lang w:val="zh-CN"/>
              </w:rPr>
              <w:t>方案全面详尽、合理、可行得</w:t>
            </w:r>
            <w:r>
              <w:rPr>
                <w:rFonts w:hint="eastAsia" w:ascii="宋体" w:hAnsi="宋体" w:cs="宋体"/>
                <w:sz w:val="20"/>
                <w:szCs w:val="20"/>
                <w:highlight w:val="none"/>
              </w:rPr>
              <w:t>9</w:t>
            </w:r>
            <w:r>
              <w:rPr>
                <w:rFonts w:hint="eastAsia" w:ascii="宋体" w:hAnsi="宋体" w:cs="宋体"/>
                <w:sz w:val="20"/>
                <w:szCs w:val="20"/>
                <w:highlight w:val="none"/>
                <w:lang w:val="zh-CN"/>
              </w:rPr>
              <w:t>分；</w:t>
            </w:r>
          </w:p>
          <w:p>
            <w:pPr>
              <w:jc w:val="left"/>
              <w:rPr>
                <w:rFonts w:ascii="宋体" w:hAnsi="宋体" w:cs="宋体"/>
                <w:sz w:val="20"/>
                <w:szCs w:val="20"/>
                <w:highlight w:val="none"/>
                <w:lang w:val="zh-CN"/>
              </w:rPr>
            </w:pPr>
            <w:r>
              <w:rPr>
                <w:rFonts w:hint="eastAsia" w:ascii="宋体" w:hAnsi="宋体" w:cs="宋体"/>
                <w:sz w:val="20"/>
                <w:szCs w:val="20"/>
                <w:highlight w:val="none"/>
              </w:rPr>
              <w:t>2.</w:t>
            </w:r>
            <w:r>
              <w:rPr>
                <w:rFonts w:hint="eastAsia" w:ascii="宋体" w:hAnsi="宋体" w:cs="宋体"/>
                <w:sz w:val="20"/>
                <w:szCs w:val="20"/>
                <w:highlight w:val="none"/>
                <w:lang w:val="zh-CN"/>
              </w:rPr>
              <w:t>方案全面合理得</w:t>
            </w:r>
            <w:r>
              <w:rPr>
                <w:rFonts w:hint="eastAsia" w:ascii="宋体" w:hAnsi="宋体" w:cs="宋体"/>
                <w:sz w:val="20"/>
                <w:szCs w:val="20"/>
                <w:highlight w:val="none"/>
              </w:rPr>
              <w:t>6</w:t>
            </w:r>
            <w:r>
              <w:rPr>
                <w:rFonts w:hint="eastAsia" w:ascii="宋体" w:hAnsi="宋体" w:cs="宋体"/>
                <w:sz w:val="20"/>
                <w:szCs w:val="20"/>
                <w:highlight w:val="none"/>
                <w:lang w:val="zh-CN"/>
              </w:rPr>
              <w:t>分；</w:t>
            </w:r>
          </w:p>
          <w:p>
            <w:pPr>
              <w:jc w:val="left"/>
              <w:rPr>
                <w:rFonts w:ascii="宋体" w:hAnsi="宋体" w:cs="宋体"/>
                <w:sz w:val="20"/>
                <w:szCs w:val="20"/>
                <w:highlight w:val="none"/>
                <w:lang w:val="zh-CN"/>
              </w:rPr>
            </w:pPr>
            <w:r>
              <w:rPr>
                <w:rFonts w:hint="eastAsia" w:ascii="宋体" w:hAnsi="宋体" w:cs="宋体"/>
                <w:sz w:val="20"/>
                <w:szCs w:val="20"/>
                <w:highlight w:val="none"/>
              </w:rPr>
              <w:t>3.</w:t>
            </w:r>
            <w:r>
              <w:rPr>
                <w:rFonts w:hint="eastAsia" w:ascii="宋体" w:hAnsi="宋体" w:cs="宋体"/>
                <w:sz w:val="20"/>
                <w:szCs w:val="20"/>
                <w:highlight w:val="none"/>
                <w:lang w:val="zh-CN"/>
              </w:rPr>
              <w:t>方案全面但存在较少瑕疵得</w:t>
            </w:r>
            <w:r>
              <w:rPr>
                <w:rFonts w:hint="eastAsia" w:ascii="宋体" w:hAnsi="宋体" w:cs="宋体"/>
                <w:sz w:val="20"/>
                <w:szCs w:val="20"/>
                <w:highlight w:val="none"/>
              </w:rPr>
              <w:t>3</w:t>
            </w:r>
            <w:r>
              <w:rPr>
                <w:rFonts w:hint="eastAsia" w:ascii="宋体" w:hAnsi="宋体" w:cs="宋体"/>
                <w:sz w:val="20"/>
                <w:szCs w:val="20"/>
                <w:highlight w:val="none"/>
                <w:lang w:val="zh-CN"/>
              </w:rPr>
              <w:t>分；</w:t>
            </w:r>
          </w:p>
          <w:p>
            <w:pPr>
              <w:jc w:val="left"/>
              <w:rPr>
                <w:rFonts w:ascii="宋体" w:hAnsi="宋体" w:cs="宋体"/>
                <w:sz w:val="20"/>
                <w:szCs w:val="20"/>
                <w:highlight w:val="none"/>
              </w:rPr>
            </w:pPr>
            <w:r>
              <w:rPr>
                <w:rFonts w:hint="eastAsia" w:ascii="宋体" w:hAnsi="宋体" w:cs="宋体"/>
                <w:sz w:val="20"/>
                <w:szCs w:val="20"/>
                <w:highlight w:val="none"/>
              </w:rPr>
              <w:t>4.</w:t>
            </w:r>
            <w:r>
              <w:rPr>
                <w:rFonts w:hint="eastAsia" w:ascii="宋体" w:hAnsi="宋体" w:cs="宋体"/>
                <w:sz w:val="20"/>
                <w:szCs w:val="20"/>
                <w:highlight w:val="none"/>
                <w:lang w:val="zh-CN"/>
              </w:rPr>
              <w:t>方案不全面或较粗糙得</w:t>
            </w:r>
            <w:r>
              <w:rPr>
                <w:rFonts w:hint="eastAsia" w:ascii="宋体" w:hAnsi="宋体" w:cs="宋体"/>
                <w:sz w:val="20"/>
                <w:szCs w:val="20"/>
                <w:highlight w:val="none"/>
              </w:rPr>
              <w:t>0</w:t>
            </w:r>
            <w:r>
              <w:rPr>
                <w:rFonts w:hint="eastAsia" w:ascii="宋体" w:hAnsi="宋体" w:cs="宋体"/>
                <w:sz w:val="20"/>
                <w:szCs w:val="20"/>
                <w:highlight w:val="none"/>
                <w:lang w:val="zh-CN"/>
              </w:rPr>
              <w:t>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3"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jc w:val="left"/>
              <w:rPr>
                <w:rFonts w:ascii="宋体" w:hAnsi="宋体" w:cs="宋体"/>
                <w:sz w:val="20"/>
                <w:szCs w:val="20"/>
                <w:highlight w:val="none"/>
              </w:rPr>
            </w:pPr>
            <w:r>
              <w:rPr>
                <w:rFonts w:hint="eastAsia" w:ascii="宋体" w:hAnsi="宋体" w:cs="宋体"/>
                <w:sz w:val="20"/>
                <w:szCs w:val="20"/>
                <w:highlight w:val="none"/>
              </w:rPr>
              <w:t>安保及物业管理方案（9分）</w:t>
            </w:r>
          </w:p>
        </w:tc>
        <w:tc>
          <w:tcPr>
            <w:tcW w:w="810" w:type="dxa"/>
            <w:vAlign w:val="center"/>
          </w:tcPr>
          <w:p>
            <w:pPr>
              <w:wordWrap w:val="0"/>
              <w:jc w:val="center"/>
              <w:rPr>
                <w:rFonts w:ascii="宋体" w:hAnsi="宋体" w:cs="宋体"/>
                <w:bCs/>
                <w:sz w:val="20"/>
                <w:szCs w:val="20"/>
                <w:highlight w:val="none"/>
              </w:rPr>
            </w:pPr>
            <w:r>
              <w:rPr>
                <w:rFonts w:hint="eastAsia" w:ascii="宋体" w:hAnsi="宋体" w:cs="宋体"/>
                <w:sz w:val="20"/>
                <w:szCs w:val="20"/>
                <w:highlight w:val="none"/>
              </w:rPr>
              <w:t>0-9</w:t>
            </w:r>
          </w:p>
        </w:tc>
        <w:tc>
          <w:tcPr>
            <w:tcW w:w="5030" w:type="dxa"/>
          </w:tcPr>
          <w:p>
            <w:pPr>
              <w:jc w:val="left"/>
              <w:rPr>
                <w:rFonts w:ascii="宋体" w:hAnsi="宋体" w:cs="宋体"/>
                <w:bCs/>
                <w:sz w:val="20"/>
                <w:szCs w:val="20"/>
                <w:highlight w:val="none"/>
              </w:rPr>
            </w:pPr>
            <w:r>
              <w:rPr>
                <w:rFonts w:hint="eastAsia" w:ascii="宋体" w:hAnsi="宋体" w:cs="宋体"/>
                <w:bCs/>
                <w:sz w:val="20"/>
                <w:szCs w:val="20"/>
                <w:highlight w:val="none"/>
              </w:rPr>
              <w:t>根据投标人提供的安保及物业管理方案的合理性、实用性及可行性进行比较：</w:t>
            </w:r>
          </w:p>
          <w:p>
            <w:pPr>
              <w:jc w:val="left"/>
              <w:rPr>
                <w:rFonts w:ascii="宋体" w:hAnsi="宋体" w:cs="宋体"/>
                <w:bCs/>
                <w:sz w:val="20"/>
                <w:szCs w:val="20"/>
                <w:highlight w:val="none"/>
              </w:rPr>
            </w:pPr>
            <w:r>
              <w:rPr>
                <w:rFonts w:hint="eastAsia" w:ascii="宋体" w:hAnsi="宋体" w:cs="宋体"/>
                <w:bCs/>
                <w:sz w:val="20"/>
                <w:szCs w:val="20"/>
                <w:highlight w:val="none"/>
              </w:rPr>
              <w:t>1.方案全面详尽、合理、可行的，得9分；</w:t>
            </w:r>
          </w:p>
          <w:p>
            <w:pPr>
              <w:jc w:val="left"/>
              <w:rPr>
                <w:rFonts w:ascii="宋体" w:hAnsi="宋体" w:cs="宋体"/>
                <w:bCs/>
                <w:sz w:val="20"/>
                <w:szCs w:val="20"/>
                <w:highlight w:val="none"/>
              </w:rPr>
            </w:pPr>
            <w:r>
              <w:rPr>
                <w:rFonts w:hint="eastAsia" w:ascii="宋体" w:hAnsi="宋体" w:cs="宋体"/>
                <w:bCs/>
                <w:sz w:val="20"/>
                <w:szCs w:val="20"/>
                <w:highlight w:val="none"/>
              </w:rPr>
              <w:t>2.方案全面合理的，得6分；</w:t>
            </w:r>
          </w:p>
          <w:p>
            <w:pPr>
              <w:jc w:val="left"/>
              <w:rPr>
                <w:rFonts w:ascii="宋体" w:hAnsi="宋体" w:cs="宋体"/>
                <w:bCs/>
                <w:sz w:val="20"/>
                <w:szCs w:val="20"/>
                <w:highlight w:val="none"/>
              </w:rPr>
            </w:pPr>
            <w:r>
              <w:rPr>
                <w:rFonts w:hint="eastAsia" w:ascii="宋体" w:hAnsi="宋体" w:cs="宋体"/>
                <w:bCs/>
                <w:sz w:val="20"/>
                <w:szCs w:val="20"/>
                <w:highlight w:val="none"/>
              </w:rPr>
              <w:t>3.方案全面但存在较少瑕疵的，得3分；</w:t>
            </w:r>
          </w:p>
          <w:p>
            <w:pPr>
              <w:jc w:val="left"/>
              <w:rPr>
                <w:rFonts w:ascii="宋体" w:hAnsi="宋体" w:cs="宋体"/>
                <w:bCs/>
                <w:sz w:val="20"/>
                <w:szCs w:val="20"/>
                <w:highlight w:val="none"/>
              </w:rPr>
            </w:pPr>
            <w:r>
              <w:rPr>
                <w:rFonts w:hint="eastAsia" w:ascii="宋体" w:hAnsi="宋体" w:cs="宋体"/>
                <w:bCs/>
                <w:sz w:val="20"/>
                <w:szCs w:val="20"/>
                <w:highlight w:val="none"/>
              </w:rPr>
              <w:t>4.方案不全面或较粗糙的，得0分。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jc w:val="left"/>
              <w:rPr>
                <w:rFonts w:ascii="宋体" w:hAnsi="宋体" w:cs="宋体"/>
                <w:sz w:val="20"/>
                <w:szCs w:val="20"/>
                <w:highlight w:val="none"/>
              </w:rPr>
            </w:pPr>
            <w:r>
              <w:rPr>
                <w:rFonts w:hint="eastAsia" w:ascii="宋体" w:hAnsi="宋体" w:cs="宋体"/>
                <w:sz w:val="20"/>
                <w:szCs w:val="20"/>
                <w:highlight w:val="none"/>
              </w:rPr>
              <w:t>项目运营难点及对应解决方案（9分）</w:t>
            </w:r>
          </w:p>
        </w:tc>
        <w:tc>
          <w:tcPr>
            <w:tcW w:w="810" w:type="dxa"/>
            <w:vAlign w:val="center"/>
          </w:tcPr>
          <w:p>
            <w:pPr>
              <w:autoSpaceDE w:val="0"/>
              <w:autoSpaceDN w:val="0"/>
              <w:adjustRightInd w:val="0"/>
              <w:jc w:val="center"/>
              <w:rPr>
                <w:rFonts w:ascii="宋体" w:hAnsi="宋体" w:cs="宋体"/>
                <w:sz w:val="20"/>
                <w:szCs w:val="20"/>
                <w:highlight w:val="none"/>
              </w:rPr>
            </w:pPr>
            <w:r>
              <w:rPr>
                <w:rFonts w:hint="eastAsia" w:ascii="宋体" w:hAnsi="宋体" w:cs="宋体"/>
                <w:sz w:val="20"/>
                <w:szCs w:val="20"/>
                <w:highlight w:val="none"/>
              </w:rPr>
              <w:t>0-9</w:t>
            </w:r>
          </w:p>
        </w:tc>
        <w:tc>
          <w:tcPr>
            <w:tcW w:w="5030" w:type="dxa"/>
            <w:vAlign w:val="center"/>
          </w:tcPr>
          <w:p>
            <w:pPr>
              <w:jc w:val="left"/>
              <w:rPr>
                <w:rFonts w:ascii="宋体" w:hAnsi="宋体" w:cs="宋体"/>
                <w:bCs/>
                <w:sz w:val="20"/>
                <w:szCs w:val="20"/>
                <w:highlight w:val="none"/>
              </w:rPr>
            </w:pPr>
            <w:r>
              <w:rPr>
                <w:rFonts w:hint="eastAsia" w:ascii="宋体" w:hAnsi="宋体" w:cs="宋体"/>
                <w:bCs/>
                <w:sz w:val="20"/>
                <w:szCs w:val="20"/>
                <w:highlight w:val="none"/>
              </w:rPr>
              <w:t>根据投标人针对项目运营管理过程中可能出现的工作困难做出科学合理的预测，并制定切实可行的解决方案进行评审：</w:t>
            </w:r>
          </w:p>
          <w:p>
            <w:pPr>
              <w:jc w:val="left"/>
              <w:rPr>
                <w:rFonts w:ascii="宋体" w:hAnsi="宋体" w:cs="宋体"/>
                <w:bCs/>
                <w:sz w:val="20"/>
                <w:szCs w:val="20"/>
                <w:highlight w:val="none"/>
              </w:rPr>
            </w:pPr>
            <w:r>
              <w:rPr>
                <w:rFonts w:hint="eastAsia" w:ascii="宋体" w:hAnsi="宋体" w:cs="宋体"/>
                <w:bCs/>
                <w:sz w:val="20"/>
                <w:szCs w:val="20"/>
                <w:highlight w:val="none"/>
              </w:rPr>
              <w:t>1.方案全面详尽、合理、可行的，得9分；</w:t>
            </w:r>
          </w:p>
          <w:p>
            <w:pPr>
              <w:jc w:val="left"/>
              <w:rPr>
                <w:rFonts w:ascii="宋体" w:hAnsi="宋体" w:cs="宋体"/>
                <w:bCs/>
                <w:sz w:val="20"/>
                <w:szCs w:val="20"/>
                <w:highlight w:val="none"/>
              </w:rPr>
            </w:pPr>
            <w:r>
              <w:rPr>
                <w:rFonts w:hint="eastAsia" w:ascii="宋体" w:hAnsi="宋体" w:cs="宋体"/>
                <w:bCs/>
                <w:sz w:val="20"/>
                <w:szCs w:val="20"/>
                <w:highlight w:val="none"/>
              </w:rPr>
              <w:t>2.方案全面合理的，得6分；</w:t>
            </w:r>
          </w:p>
          <w:p>
            <w:pPr>
              <w:jc w:val="left"/>
              <w:rPr>
                <w:rFonts w:ascii="宋体" w:hAnsi="宋体" w:cs="宋体"/>
                <w:bCs/>
                <w:sz w:val="20"/>
                <w:szCs w:val="20"/>
                <w:highlight w:val="none"/>
              </w:rPr>
            </w:pPr>
            <w:r>
              <w:rPr>
                <w:rFonts w:hint="eastAsia" w:ascii="宋体" w:hAnsi="宋体" w:cs="宋体"/>
                <w:bCs/>
                <w:sz w:val="20"/>
                <w:szCs w:val="20"/>
                <w:highlight w:val="none"/>
              </w:rPr>
              <w:t>3.方案全面但存在较少瑕疵的，得3分；</w:t>
            </w:r>
          </w:p>
          <w:p>
            <w:pPr>
              <w:jc w:val="left"/>
              <w:rPr>
                <w:rFonts w:ascii="宋体" w:hAnsi="宋体" w:cs="宋体"/>
                <w:sz w:val="20"/>
                <w:szCs w:val="20"/>
                <w:highlight w:val="none"/>
              </w:rPr>
            </w:pPr>
            <w:r>
              <w:rPr>
                <w:rFonts w:hint="eastAsia" w:ascii="宋体" w:hAnsi="宋体" w:cs="宋体"/>
                <w:bCs/>
                <w:sz w:val="20"/>
                <w:szCs w:val="20"/>
                <w:highlight w:val="none"/>
              </w:rPr>
              <w:t>4.方案不全面或较粗糙的，得0分。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jc w:val="left"/>
              <w:rPr>
                <w:rFonts w:ascii="宋体" w:hAnsi="宋体" w:cs="宋体"/>
                <w:sz w:val="20"/>
                <w:szCs w:val="20"/>
                <w:highlight w:val="none"/>
              </w:rPr>
            </w:pPr>
            <w:r>
              <w:rPr>
                <w:rFonts w:hint="eastAsia" w:ascii="宋体" w:hAnsi="宋体" w:cs="宋体"/>
                <w:sz w:val="20"/>
                <w:szCs w:val="20"/>
                <w:highlight w:val="none"/>
              </w:rPr>
              <w:t>应急预案（9分）</w:t>
            </w:r>
          </w:p>
        </w:tc>
        <w:tc>
          <w:tcPr>
            <w:tcW w:w="810" w:type="dxa"/>
            <w:vAlign w:val="center"/>
          </w:tcPr>
          <w:p>
            <w:pPr>
              <w:autoSpaceDE w:val="0"/>
              <w:autoSpaceDN w:val="0"/>
              <w:adjustRightInd w:val="0"/>
              <w:jc w:val="center"/>
              <w:rPr>
                <w:rFonts w:ascii="宋体" w:hAnsi="宋体" w:cs="宋体"/>
                <w:sz w:val="20"/>
                <w:szCs w:val="20"/>
                <w:highlight w:val="none"/>
              </w:rPr>
            </w:pPr>
            <w:r>
              <w:rPr>
                <w:rFonts w:hint="eastAsia" w:ascii="宋体" w:hAnsi="宋体" w:cs="宋体"/>
                <w:sz w:val="20"/>
                <w:szCs w:val="20"/>
                <w:highlight w:val="none"/>
              </w:rPr>
              <w:t>0-9</w:t>
            </w:r>
          </w:p>
        </w:tc>
        <w:tc>
          <w:tcPr>
            <w:tcW w:w="5030" w:type="dxa"/>
            <w:vAlign w:val="center"/>
          </w:tcPr>
          <w:p>
            <w:pPr>
              <w:jc w:val="left"/>
              <w:rPr>
                <w:rFonts w:ascii="宋体" w:hAnsi="宋体" w:cs="宋体"/>
                <w:bCs/>
                <w:sz w:val="20"/>
                <w:szCs w:val="20"/>
                <w:highlight w:val="none"/>
              </w:rPr>
            </w:pPr>
            <w:r>
              <w:rPr>
                <w:rFonts w:hint="eastAsia" w:ascii="宋体" w:hAnsi="宋体" w:cs="宋体"/>
                <w:bCs/>
                <w:sz w:val="20"/>
                <w:szCs w:val="20"/>
                <w:highlight w:val="none"/>
              </w:rPr>
              <w:t>预案考虑全面、完整，能协调相关职能部门及时参与，有助于及时处理事故、保障公共安全；并分三个档次进行评审：</w:t>
            </w:r>
          </w:p>
          <w:p>
            <w:pPr>
              <w:jc w:val="left"/>
              <w:rPr>
                <w:rFonts w:ascii="宋体" w:hAnsi="宋体" w:cs="宋体"/>
                <w:bCs/>
                <w:sz w:val="20"/>
                <w:szCs w:val="20"/>
                <w:highlight w:val="none"/>
              </w:rPr>
            </w:pPr>
            <w:r>
              <w:rPr>
                <w:rFonts w:hint="eastAsia" w:ascii="宋体" w:hAnsi="宋体" w:cs="宋体"/>
                <w:bCs/>
                <w:sz w:val="20"/>
                <w:szCs w:val="20"/>
                <w:highlight w:val="none"/>
              </w:rPr>
              <w:t>1.方案全面详尽、合理、可行的，得9分；</w:t>
            </w:r>
          </w:p>
          <w:p>
            <w:pPr>
              <w:jc w:val="left"/>
              <w:rPr>
                <w:rFonts w:ascii="宋体" w:hAnsi="宋体" w:cs="宋体"/>
                <w:bCs/>
                <w:sz w:val="20"/>
                <w:szCs w:val="20"/>
                <w:highlight w:val="none"/>
              </w:rPr>
            </w:pPr>
            <w:r>
              <w:rPr>
                <w:rFonts w:hint="eastAsia" w:ascii="宋体" w:hAnsi="宋体" w:cs="宋体"/>
                <w:bCs/>
                <w:sz w:val="20"/>
                <w:szCs w:val="20"/>
                <w:highlight w:val="none"/>
              </w:rPr>
              <w:t>2.方案全面合理的，得6分；</w:t>
            </w:r>
          </w:p>
          <w:p>
            <w:pPr>
              <w:jc w:val="left"/>
              <w:rPr>
                <w:rFonts w:ascii="宋体" w:hAnsi="宋体" w:cs="宋体"/>
                <w:bCs/>
                <w:sz w:val="20"/>
                <w:szCs w:val="20"/>
                <w:highlight w:val="none"/>
              </w:rPr>
            </w:pPr>
            <w:r>
              <w:rPr>
                <w:rFonts w:hint="eastAsia" w:ascii="宋体" w:hAnsi="宋体" w:cs="宋体"/>
                <w:bCs/>
                <w:sz w:val="20"/>
                <w:szCs w:val="20"/>
                <w:highlight w:val="none"/>
              </w:rPr>
              <w:t>3.方案全面但存在较少瑕疵的，得3分；</w:t>
            </w:r>
          </w:p>
          <w:p>
            <w:pPr>
              <w:jc w:val="left"/>
              <w:rPr>
                <w:rFonts w:ascii="宋体" w:hAnsi="宋体" w:cs="宋体"/>
                <w:bCs/>
                <w:sz w:val="20"/>
                <w:szCs w:val="20"/>
                <w:highlight w:val="none"/>
              </w:rPr>
            </w:pPr>
            <w:r>
              <w:rPr>
                <w:rFonts w:hint="eastAsia" w:ascii="宋体" w:hAnsi="宋体" w:cs="宋体"/>
                <w:bCs/>
                <w:sz w:val="20"/>
                <w:szCs w:val="20"/>
                <w:highlight w:val="none"/>
              </w:rPr>
              <w:t>4.方案不全面或较粗糙的，得0分。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jc w:val="left"/>
              <w:rPr>
                <w:rFonts w:hint="eastAsia" w:ascii="宋体" w:hAnsi="宋体" w:cs="宋体"/>
                <w:sz w:val="20"/>
                <w:szCs w:val="20"/>
                <w:highlight w:val="none"/>
              </w:rPr>
            </w:pPr>
            <w:r>
              <w:rPr>
                <w:rFonts w:hint="eastAsia" w:ascii="宋体" w:hAnsi="宋体" w:cs="宋体"/>
                <w:sz w:val="20"/>
                <w:szCs w:val="20"/>
                <w:highlight w:val="none"/>
              </w:rPr>
              <w:t>演出考核指标评审（5分）</w:t>
            </w:r>
          </w:p>
        </w:tc>
        <w:tc>
          <w:tcPr>
            <w:tcW w:w="810" w:type="dxa"/>
            <w:vAlign w:val="center"/>
          </w:tcPr>
          <w:p>
            <w:pPr>
              <w:autoSpaceDE w:val="0"/>
              <w:autoSpaceDN w:val="0"/>
              <w:adjustRightInd w:val="0"/>
              <w:jc w:val="center"/>
              <w:rPr>
                <w:rFonts w:hint="eastAsia" w:ascii="宋体" w:hAnsi="宋体" w:cs="宋体"/>
                <w:sz w:val="20"/>
                <w:szCs w:val="20"/>
                <w:highlight w:val="none"/>
              </w:rPr>
            </w:pPr>
            <w:r>
              <w:rPr>
                <w:rFonts w:hint="eastAsia" w:ascii="宋体" w:hAnsi="宋体" w:cs="宋体"/>
                <w:sz w:val="20"/>
                <w:szCs w:val="20"/>
                <w:highlight w:val="none"/>
              </w:rPr>
              <w:t>0-5</w:t>
            </w:r>
          </w:p>
        </w:tc>
        <w:tc>
          <w:tcPr>
            <w:tcW w:w="5030" w:type="dxa"/>
          </w:tcPr>
          <w:p>
            <w:pPr>
              <w:rPr>
                <w:rFonts w:ascii="宋体" w:hAnsi="宋体" w:cs="宋体"/>
                <w:sz w:val="20"/>
                <w:szCs w:val="20"/>
                <w:highlight w:val="none"/>
              </w:rPr>
            </w:pPr>
            <w:r>
              <w:rPr>
                <w:rFonts w:hint="eastAsia" w:ascii="宋体" w:hAnsi="宋体" w:cs="宋体"/>
                <w:sz w:val="20"/>
                <w:szCs w:val="20"/>
                <w:highlight w:val="none"/>
              </w:rPr>
              <w:t>根据投标人响应的经营管理指标考核方案进行评审：</w:t>
            </w:r>
          </w:p>
          <w:p>
            <w:pPr>
              <w:rPr>
                <w:rFonts w:ascii="宋体" w:hAnsi="宋体" w:cs="宋体"/>
                <w:sz w:val="20"/>
                <w:szCs w:val="20"/>
                <w:highlight w:val="none"/>
              </w:rPr>
            </w:pPr>
            <w:r>
              <w:rPr>
                <w:rFonts w:hint="eastAsia" w:ascii="宋体" w:hAnsi="宋体" w:cs="宋体"/>
                <w:sz w:val="20"/>
                <w:szCs w:val="20"/>
                <w:highlight w:val="none"/>
              </w:rPr>
              <w:t>完全响应招标文件要求的基准指标的，得5分；</w:t>
            </w:r>
          </w:p>
          <w:p>
            <w:pPr>
              <w:rPr>
                <w:rFonts w:ascii="宋体" w:hAnsi="宋体" w:cs="宋体"/>
                <w:sz w:val="20"/>
                <w:szCs w:val="20"/>
                <w:highlight w:val="none"/>
              </w:rPr>
            </w:pPr>
            <w:r>
              <w:rPr>
                <w:rFonts w:hint="eastAsia" w:ascii="宋体" w:hAnsi="宋体" w:cs="宋体"/>
                <w:sz w:val="20"/>
                <w:szCs w:val="20"/>
                <w:highlight w:val="none"/>
              </w:rPr>
              <w:t>（1）上座率；</w:t>
            </w:r>
          </w:p>
          <w:p>
            <w:pPr>
              <w:rPr>
                <w:rFonts w:ascii="宋体" w:hAnsi="宋体" w:cs="宋体"/>
                <w:sz w:val="20"/>
                <w:szCs w:val="20"/>
                <w:highlight w:val="none"/>
              </w:rPr>
            </w:pPr>
            <w:r>
              <w:rPr>
                <w:rFonts w:hint="eastAsia" w:ascii="宋体" w:hAnsi="宋体" w:cs="宋体"/>
                <w:sz w:val="20"/>
                <w:szCs w:val="20"/>
                <w:highlight w:val="none"/>
              </w:rPr>
              <w:t>（2）自营演出场次；ABC类演出场次</w:t>
            </w:r>
          </w:p>
          <w:p>
            <w:pPr>
              <w:rPr>
                <w:rFonts w:ascii="宋体" w:hAnsi="宋体" w:cs="宋体"/>
                <w:sz w:val="20"/>
                <w:szCs w:val="20"/>
                <w:highlight w:val="none"/>
              </w:rPr>
            </w:pPr>
            <w:r>
              <w:rPr>
                <w:rFonts w:hint="eastAsia" w:ascii="宋体" w:hAnsi="宋体" w:cs="宋体"/>
                <w:sz w:val="20"/>
                <w:szCs w:val="20"/>
                <w:highlight w:val="none"/>
              </w:rPr>
              <w:t>（3）每年免费为业主单位或政府提供场地（含设施设备、各类器材及能源物业等）使用天数。</w:t>
            </w:r>
          </w:p>
          <w:p>
            <w:pPr>
              <w:rPr>
                <w:rFonts w:ascii="宋体" w:hAnsi="宋体" w:cs="宋体"/>
                <w:sz w:val="20"/>
                <w:szCs w:val="20"/>
                <w:highlight w:val="none"/>
              </w:rPr>
            </w:pPr>
            <w:r>
              <w:rPr>
                <w:rFonts w:hint="eastAsia" w:ascii="宋体" w:hAnsi="宋体" w:cs="宋体"/>
                <w:sz w:val="20"/>
                <w:szCs w:val="20"/>
                <w:highlight w:val="none"/>
              </w:rPr>
              <w:t>（4）每年举办市民免费开放日活动和普及性艺术讲座类活动；</w:t>
            </w:r>
          </w:p>
          <w:p>
            <w:pPr>
              <w:jc w:val="left"/>
              <w:rPr>
                <w:rFonts w:hint="eastAsia" w:ascii="宋体" w:hAnsi="宋体" w:cs="宋体"/>
                <w:bCs/>
                <w:sz w:val="20"/>
                <w:szCs w:val="20"/>
                <w:highlight w:val="none"/>
              </w:rPr>
            </w:pPr>
            <w:r>
              <w:rPr>
                <w:rFonts w:hint="eastAsia" w:ascii="宋体" w:hAnsi="宋体" w:cs="宋体"/>
                <w:sz w:val="20"/>
                <w:szCs w:val="20"/>
                <w:highlight w:val="none"/>
              </w:rPr>
              <w:t>注：</w:t>
            </w:r>
            <w:r>
              <w:rPr>
                <w:rFonts w:hint="eastAsia" w:ascii="宋体" w:hAnsi="宋体" w:cs="宋体"/>
                <w:sz w:val="20"/>
                <w:szCs w:val="20"/>
                <w:highlight w:val="none"/>
                <w:lang w:val="zh-CN"/>
              </w:rPr>
              <w:t>投标人</w:t>
            </w:r>
            <w:r>
              <w:rPr>
                <w:rFonts w:hint="eastAsia" w:ascii="宋体" w:hAnsi="宋体" w:cs="宋体"/>
                <w:sz w:val="20"/>
                <w:szCs w:val="20"/>
                <w:highlight w:val="none"/>
              </w:rPr>
              <w:t>提供承诺函，格式自拟。投标人投标</w:t>
            </w:r>
            <w:r>
              <w:rPr>
                <w:rFonts w:hint="eastAsia" w:ascii="宋体" w:hAnsi="宋体" w:cs="宋体"/>
                <w:sz w:val="20"/>
                <w:szCs w:val="20"/>
                <w:highlight w:val="none"/>
                <w:lang w:val="zh-CN"/>
              </w:rPr>
              <w:t>文件</w:t>
            </w:r>
            <w:r>
              <w:rPr>
                <w:rFonts w:hint="eastAsia" w:ascii="宋体" w:hAnsi="宋体" w:cs="宋体"/>
                <w:sz w:val="20"/>
                <w:szCs w:val="20"/>
                <w:highlight w:val="none"/>
              </w:rPr>
              <w:t>未承诺全部满足招标文件基准指标</w:t>
            </w:r>
            <w:r>
              <w:rPr>
                <w:rFonts w:hint="eastAsia" w:ascii="宋体" w:hAnsi="宋体" w:cs="宋体"/>
                <w:sz w:val="20"/>
                <w:szCs w:val="20"/>
                <w:highlight w:val="none"/>
                <w:lang w:val="zh-CN"/>
              </w:rPr>
              <w:t>的，得</w:t>
            </w:r>
            <w:r>
              <w:rPr>
                <w:rFonts w:hint="eastAsia" w:ascii="宋体" w:hAnsi="宋体" w:cs="宋体"/>
                <w:sz w:val="20"/>
                <w:szCs w:val="20"/>
                <w:highlight w:val="none"/>
              </w:rPr>
              <w:t>0</w:t>
            </w:r>
            <w:r>
              <w:rPr>
                <w:rFonts w:hint="eastAsia" w:ascii="宋体" w:hAnsi="宋体" w:cs="宋体"/>
                <w:sz w:val="20"/>
                <w:szCs w:val="20"/>
                <w:highlight w:val="none"/>
                <w:lang w:val="zh-CN"/>
              </w:rPr>
              <w:t>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snapToGrid w:val="0"/>
              <w:jc w:val="center"/>
              <w:rPr>
                <w:rFonts w:ascii="宋体" w:hAnsi="宋体" w:cs="宋体"/>
                <w:sz w:val="20"/>
                <w:szCs w:val="20"/>
                <w:highlight w:val="none"/>
              </w:rPr>
            </w:pPr>
            <w:r>
              <w:rPr>
                <w:rFonts w:hint="eastAsia" w:ascii="宋体" w:hAnsi="宋体" w:cs="宋体"/>
                <w:sz w:val="20"/>
                <w:szCs w:val="20"/>
                <w:highlight w:val="none"/>
              </w:rPr>
              <w:t>拟投入项目人</w:t>
            </w:r>
          </w:p>
          <w:p>
            <w:pPr>
              <w:snapToGrid w:val="0"/>
              <w:jc w:val="center"/>
              <w:rPr>
                <w:rFonts w:ascii="宋体" w:hAnsi="宋体" w:cs="宋体"/>
                <w:sz w:val="20"/>
                <w:szCs w:val="20"/>
                <w:highlight w:val="none"/>
              </w:rPr>
            </w:pPr>
            <w:r>
              <w:rPr>
                <w:rFonts w:hint="eastAsia" w:ascii="宋体" w:hAnsi="宋体" w:cs="宋体"/>
                <w:sz w:val="20"/>
                <w:szCs w:val="20"/>
                <w:highlight w:val="none"/>
              </w:rPr>
              <w:t>员(4分)</w:t>
            </w:r>
          </w:p>
        </w:tc>
        <w:tc>
          <w:tcPr>
            <w:tcW w:w="810" w:type="dxa"/>
            <w:vAlign w:val="center"/>
          </w:tcPr>
          <w:p>
            <w:pPr>
              <w:jc w:val="center"/>
              <w:rPr>
                <w:rFonts w:ascii="宋体" w:hAnsi="宋体" w:cs="宋体"/>
                <w:sz w:val="20"/>
                <w:szCs w:val="20"/>
                <w:highlight w:val="none"/>
              </w:rPr>
            </w:pPr>
            <w:r>
              <w:rPr>
                <w:rFonts w:hint="eastAsia" w:ascii="宋体" w:hAnsi="宋体" w:cs="宋体"/>
                <w:sz w:val="20"/>
                <w:szCs w:val="20"/>
                <w:highlight w:val="none"/>
              </w:rPr>
              <w:t>0-4</w:t>
            </w:r>
          </w:p>
        </w:tc>
        <w:tc>
          <w:tcPr>
            <w:tcW w:w="5030" w:type="dxa"/>
            <w:vAlign w:val="center"/>
          </w:tcPr>
          <w:p>
            <w:pPr>
              <w:widowControl/>
              <w:jc w:val="left"/>
              <w:rPr>
                <w:rFonts w:ascii="宋体" w:hAnsi="宋体" w:cs="宋体"/>
                <w:sz w:val="16"/>
                <w:szCs w:val="20"/>
                <w:highlight w:val="none"/>
              </w:rPr>
            </w:pPr>
            <w:r>
              <w:rPr>
                <w:rFonts w:hint="eastAsia" w:ascii="宋体" w:hAnsi="宋体" w:cs="宋体"/>
                <w:sz w:val="20"/>
                <w:szCs w:val="20"/>
                <w:highlight w:val="none"/>
              </w:rPr>
              <w:t>1.</w:t>
            </w:r>
            <w:r>
              <w:rPr>
                <w:rFonts w:hint="eastAsia" w:ascii="宋体" w:hAnsi="宋体" w:cs="宋体"/>
                <w:color w:val="000000"/>
                <w:kern w:val="0"/>
                <w:sz w:val="20"/>
                <w:szCs w:val="20"/>
                <w:highlight w:val="none"/>
                <w:lang w:bidi="ar"/>
              </w:rPr>
              <w:t>人员整体经验丰富、能力强，年龄结构合理得4分；</w:t>
            </w:r>
          </w:p>
          <w:p>
            <w:pPr>
              <w:widowControl/>
              <w:jc w:val="left"/>
              <w:rPr>
                <w:rFonts w:ascii="宋体" w:hAnsi="宋体" w:cs="宋体"/>
                <w:sz w:val="16"/>
                <w:szCs w:val="20"/>
                <w:highlight w:val="none"/>
              </w:rPr>
            </w:pPr>
            <w:r>
              <w:rPr>
                <w:rFonts w:hint="eastAsia" w:ascii="宋体" w:hAnsi="宋体" w:cs="宋体"/>
                <w:color w:val="000000"/>
                <w:kern w:val="0"/>
                <w:sz w:val="20"/>
                <w:szCs w:val="20"/>
                <w:highlight w:val="none"/>
                <w:lang w:bidi="ar"/>
              </w:rPr>
              <w:t xml:space="preserve">2.人员整体学历、经验或能力较强，年龄结构较合理得2分； </w:t>
            </w:r>
          </w:p>
          <w:p>
            <w:pPr>
              <w:widowControl/>
              <w:jc w:val="left"/>
              <w:rPr>
                <w:rFonts w:ascii="宋体" w:hAnsi="宋体" w:cs="宋体"/>
                <w:color w:val="000000"/>
                <w:kern w:val="0"/>
                <w:sz w:val="20"/>
                <w:szCs w:val="20"/>
                <w:highlight w:val="none"/>
                <w:lang w:bidi="ar"/>
              </w:rPr>
            </w:pPr>
            <w:r>
              <w:rPr>
                <w:rFonts w:hint="eastAsia" w:ascii="宋体" w:hAnsi="宋体" w:cs="宋体"/>
                <w:color w:val="000000"/>
                <w:kern w:val="0"/>
                <w:sz w:val="20"/>
                <w:szCs w:val="20"/>
                <w:highlight w:val="none"/>
                <w:lang w:bidi="ar"/>
              </w:rPr>
              <w:t>3.人员整体经验或能力较低，年龄结构较单一得1分；</w:t>
            </w:r>
          </w:p>
          <w:p>
            <w:pPr>
              <w:pStyle w:val="29"/>
              <w:rPr>
                <w:rFonts w:hAnsi="宋体" w:cs="宋体"/>
                <w:color w:val="000000"/>
                <w:sz w:val="20"/>
                <w:highlight w:val="none"/>
                <w:lang w:bidi="ar"/>
              </w:rPr>
            </w:pPr>
            <w:r>
              <w:rPr>
                <w:rFonts w:hint="eastAsia" w:hAnsi="宋体" w:cs="宋体"/>
                <w:color w:val="000000"/>
                <w:sz w:val="20"/>
                <w:highlight w:val="none"/>
                <w:lang w:bidi="ar"/>
              </w:rPr>
              <w:t>4.人员整体经验及能力差或未提供得0分。</w:t>
            </w:r>
          </w:p>
          <w:p>
            <w:pPr>
              <w:rPr>
                <w:highlight w:val="none"/>
              </w:rPr>
            </w:pPr>
            <w:r>
              <w:rPr>
                <w:rFonts w:hint="eastAsia" w:ascii="宋体" w:hAnsi="宋体" w:cs="宋体"/>
                <w:bCs/>
                <w:sz w:val="20"/>
                <w:szCs w:val="20"/>
                <w:highlight w:val="none"/>
              </w:rPr>
              <w:t>注：投标文件中须提供主要管理团队的组织构架以及人员学历、资质、工作履历、社保证明（投标单位开标前三个月任意一个月由投标单位缴纳的社保）等证明文件</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37" w:type="dxa"/>
            <w:vMerge w:val="restart"/>
            <w:vAlign w:val="center"/>
          </w:tcPr>
          <w:p>
            <w:pPr>
              <w:ind w:firstLine="28"/>
              <w:jc w:val="center"/>
              <w:rPr>
                <w:rFonts w:ascii="宋体" w:hAnsi="宋体" w:cs="宋体"/>
                <w:sz w:val="20"/>
                <w:szCs w:val="20"/>
                <w:highlight w:val="none"/>
              </w:rPr>
            </w:pPr>
            <w:r>
              <w:rPr>
                <w:rFonts w:hint="eastAsia" w:ascii="宋体" w:hAnsi="宋体" w:cs="宋体"/>
                <w:sz w:val="20"/>
                <w:szCs w:val="20"/>
                <w:highlight w:val="none"/>
              </w:rPr>
              <w:t>2</w:t>
            </w:r>
          </w:p>
        </w:tc>
        <w:tc>
          <w:tcPr>
            <w:tcW w:w="1056" w:type="dxa"/>
            <w:vMerge w:val="restart"/>
            <w:vAlign w:val="center"/>
          </w:tcPr>
          <w:p>
            <w:pPr>
              <w:snapToGrid w:val="0"/>
              <w:jc w:val="left"/>
              <w:rPr>
                <w:rFonts w:ascii="宋体" w:hAnsi="宋体" w:cs="宋体"/>
                <w:sz w:val="20"/>
                <w:szCs w:val="20"/>
                <w:highlight w:val="none"/>
              </w:rPr>
            </w:pPr>
            <w:r>
              <w:rPr>
                <w:rFonts w:hint="eastAsia" w:ascii="宋体" w:hAnsi="宋体" w:cs="宋体"/>
                <w:sz w:val="20"/>
                <w:szCs w:val="20"/>
                <w:highlight w:val="none"/>
              </w:rPr>
              <w:t>商务部分（25分）</w:t>
            </w:r>
          </w:p>
        </w:tc>
        <w:tc>
          <w:tcPr>
            <w:tcW w:w="1170" w:type="dxa"/>
            <w:vAlign w:val="center"/>
          </w:tcPr>
          <w:p>
            <w:pPr>
              <w:jc w:val="left"/>
              <w:rPr>
                <w:rFonts w:ascii="宋体" w:hAnsi="宋体" w:cs="宋体"/>
                <w:sz w:val="20"/>
                <w:szCs w:val="20"/>
                <w:highlight w:val="none"/>
              </w:rPr>
            </w:pPr>
            <w:r>
              <w:rPr>
                <w:rFonts w:hint="eastAsia" w:ascii="宋体" w:hAnsi="宋体" w:cs="宋体"/>
                <w:sz w:val="20"/>
                <w:szCs w:val="20"/>
                <w:highlight w:val="none"/>
              </w:rPr>
              <w:t>人员资历（4分）</w:t>
            </w:r>
          </w:p>
        </w:tc>
        <w:tc>
          <w:tcPr>
            <w:tcW w:w="810" w:type="dxa"/>
            <w:vAlign w:val="center"/>
          </w:tcPr>
          <w:p>
            <w:pPr>
              <w:autoSpaceDE w:val="0"/>
              <w:autoSpaceDN w:val="0"/>
              <w:adjustRightInd w:val="0"/>
              <w:jc w:val="center"/>
              <w:rPr>
                <w:rFonts w:ascii="宋体" w:hAnsi="宋体" w:cs="宋体"/>
                <w:sz w:val="20"/>
                <w:szCs w:val="20"/>
                <w:highlight w:val="none"/>
              </w:rPr>
            </w:pPr>
            <w:r>
              <w:rPr>
                <w:rFonts w:hint="eastAsia" w:ascii="宋体" w:hAnsi="宋体" w:cs="宋体"/>
                <w:sz w:val="20"/>
                <w:szCs w:val="20"/>
                <w:highlight w:val="none"/>
              </w:rPr>
              <w:t>0-4</w:t>
            </w:r>
          </w:p>
        </w:tc>
        <w:tc>
          <w:tcPr>
            <w:tcW w:w="5030" w:type="dxa"/>
            <w:vAlign w:val="center"/>
          </w:tcPr>
          <w:p>
            <w:pPr>
              <w:jc w:val="left"/>
              <w:rPr>
                <w:rFonts w:ascii="宋体" w:hAnsi="宋体" w:cs="宋体"/>
                <w:bCs/>
                <w:sz w:val="20"/>
                <w:szCs w:val="20"/>
                <w:highlight w:val="none"/>
              </w:rPr>
            </w:pPr>
            <w:r>
              <w:rPr>
                <w:rFonts w:hint="eastAsia" w:ascii="宋体" w:hAnsi="宋体" w:cs="宋体"/>
                <w:bCs/>
                <w:sz w:val="20"/>
                <w:szCs w:val="20"/>
                <w:highlight w:val="none"/>
              </w:rPr>
              <w:t>人员团队中持有文化相关部门颁发的职称证书，每提供1人得4分，最高得4分</w:t>
            </w:r>
          </w:p>
          <w:p>
            <w:pPr>
              <w:jc w:val="left"/>
              <w:rPr>
                <w:rFonts w:ascii="宋体" w:hAnsi="宋体" w:cs="宋体"/>
                <w:bCs/>
                <w:sz w:val="20"/>
                <w:szCs w:val="20"/>
                <w:highlight w:val="none"/>
              </w:rPr>
            </w:pPr>
            <w:r>
              <w:rPr>
                <w:rFonts w:hint="eastAsia" w:ascii="宋体" w:hAnsi="宋体" w:cs="宋体"/>
                <w:bCs/>
                <w:sz w:val="20"/>
                <w:szCs w:val="20"/>
                <w:highlight w:val="none"/>
              </w:rPr>
              <w:t>注：提供社保证明、劳动合同及职称证书扫描件。</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vAlign w:val="center"/>
          </w:tcPr>
          <w:p>
            <w:pPr>
              <w:snapToGrid w:val="0"/>
              <w:jc w:val="left"/>
              <w:rPr>
                <w:rFonts w:ascii="宋体" w:hAnsi="宋体" w:cs="宋体"/>
                <w:sz w:val="20"/>
                <w:szCs w:val="20"/>
                <w:highlight w:val="none"/>
              </w:rPr>
            </w:pPr>
          </w:p>
        </w:tc>
        <w:tc>
          <w:tcPr>
            <w:tcW w:w="1170" w:type="dxa"/>
            <w:vAlign w:val="center"/>
          </w:tcPr>
          <w:p>
            <w:pPr>
              <w:snapToGrid w:val="0"/>
              <w:jc w:val="center"/>
              <w:rPr>
                <w:rFonts w:ascii="宋体" w:hAnsi="宋体" w:cs="宋体"/>
                <w:sz w:val="20"/>
                <w:szCs w:val="20"/>
                <w:highlight w:val="none"/>
              </w:rPr>
            </w:pPr>
            <w:r>
              <w:rPr>
                <w:rFonts w:hint="eastAsia" w:ascii="宋体" w:hAnsi="宋体" w:cs="宋体"/>
                <w:sz w:val="20"/>
                <w:szCs w:val="20"/>
                <w:highlight w:val="none"/>
              </w:rPr>
              <w:t>运营管理业绩（10分）</w:t>
            </w:r>
          </w:p>
        </w:tc>
        <w:tc>
          <w:tcPr>
            <w:tcW w:w="810" w:type="dxa"/>
            <w:vAlign w:val="center"/>
          </w:tcPr>
          <w:p>
            <w:pPr>
              <w:jc w:val="center"/>
              <w:rPr>
                <w:rFonts w:ascii="宋体" w:hAnsi="宋体" w:cs="宋体"/>
                <w:sz w:val="20"/>
                <w:szCs w:val="20"/>
                <w:highlight w:val="none"/>
              </w:rPr>
            </w:pPr>
            <w:r>
              <w:rPr>
                <w:rFonts w:hint="eastAsia" w:ascii="宋体" w:hAnsi="宋体" w:cs="宋体"/>
                <w:sz w:val="20"/>
                <w:szCs w:val="20"/>
                <w:highlight w:val="none"/>
              </w:rPr>
              <w:t>0-10</w:t>
            </w:r>
          </w:p>
        </w:tc>
        <w:tc>
          <w:tcPr>
            <w:tcW w:w="5030" w:type="dxa"/>
            <w:vAlign w:val="center"/>
          </w:tcPr>
          <w:p>
            <w:pPr>
              <w:pStyle w:val="29"/>
              <w:rPr>
                <w:rFonts w:hAnsi="宋体" w:cs="宋体"/>
                <w:color w:val="auto"/>
                <w:sz w:val="20"/>
                <w:highlight w:val="none"/>
                <w:lang w:bidi="ar"/>
              </w:rPr>
            </w:pPr>
            <w:r>
              <w:rPr>
                <w:rFonts w:hint="eastAsia" w:hAnsi="宋体" w:cs="宋体"/>
                <w:color w:val="auto"/>
                <w:sz w:val="20"/>
                <w:highlight w:val="none"/>
                <w:lang w:bidi="ar"/>
              </w:rPr>
              <w:t>投标人近</w:t>
            </w:r>
            <w:r>
              <w:rPr>
                <w:rFonts w:hint="eastAsia" w:hAnsi="宋体" w:cs="宋体"/>
                <w:color w:val="auto"/>
                <w:sz w:val="20"/>
                <w:highlight w:val="none"/>
                <w:lang w:val="en-US" w:eastAsia="zh-CN" w:bidi="ar"/>
              </w:rPr>
              <w:t>五</w:t>
            </w:r>
            <w:r>
              <w:rPr>
                <w:rFonts w:hint="eastAsia" w:hAnsi="宋体" w:cs="宋体"/>
                <w:color w:val="auto"/>
                <w:sz w:val="20"/>
                <w:highlight w:val="none"/>
                <w:lang w:bidi="ar"/>
              </w:rPr>
              <w:t>年</w:t>
            </w:r>
            <w:r>
              <w:rPr>
                <w:rFonts w:hint="eastAsia" w:hAnsi="宋体" w:cs="宋体"/>
                <w:color w:val="auto"/>
                <w:sz w:val="20"/>
                <w:highlight w:val="none"/>
              </w:rPr>
              <w:t>（</w:t>
            </w:r>
            <w:r>
              <w:rPr>
                <w:rFonts w:hint="eastAsia" w:hAnsi="宋体" w:cs="宋体"/>
                <w:color w:val="auto"/>
                <w:sz w:val="20"/>
                <w:highlight w:val="none"/>
                <w:lang w:val="en-US" w:eastAsia="zh-CN"/>
              </w:rPr>
              <w:t>2019年1月1日</w:t>
            </w:r>
            <w:r>
              <w:rPr>
                <w:rFonts w:hint="eastAsia" w:hAnsi="宋体" w:cs="宋体"/>
                <w:color w:val="auto"/>
                <w:sz w:val="20"/>
                <w:highlight w:val="none"/>
              </w:rPr>
              <w:t>至今）</w:t>
            </w:r>
            <w:r>
              <w:rPr>
                <w:rFonts w:hint="eastAsia" w:hAnsi="宋体" w:cs="宋体"/>
                <w:color w:val="auto"/>
                <w:sz w:val="20"/>
                <w:highlight w:val="none"/>
                <w:lang w:bidi="ar"/>
              </w:rPr>
              <w:t>具备与本项目剧院规模类似的运营管理业绩每提供一个得2分，最高得10分。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vAlign w:val="center"/>
          </w:tcPr>
          <w:p>
            <w:pPr>
              <w:snapToGrid w:val="0"/>
              <w:jc w:val="left"/>
              <w:rPr>
                <w:rFonts w:ascii="宋体" w:hAnsi="宋体" w:cs="宋体"/>
                <w:sz w:val="20"/>
                <w:szCs w:val="20"/>
                <w:highlight w:val="none"/>
              </w:rPr>
            </w:pPr>
          </w:p>
        </w:tc>
        <w:tc>
          <w:tcPr>
            <w:tcW w:w="1170" w:type="dxa"/>
            <w:vAlign w:val="center"/>
          </w:tcPr>
          <w:p>
            <w:pPr>
              <w:snapToGrid w:val="0"/>
              <w:jc w:val="center"/>
              <w:rPr>
                <w:rFonts w:ascii="宋体" w:hAnsi="宋体" w:cs="宋体"/>
                <w:sz w:val="20"/>
                <w:szCs w:val="20"/>
                <w:highlight w:val="none"/>
              </w:rPr>
            </w:pPr>
            <w:r>
              <w:rPr>
                <w:rFonts w:hint="eastAsia" w:ascii="宋体" w:hAnsi="宋体" w:cs="宋体"/>
                <w:sz w:val="20"/>
                <w:szCs w:val="20"/>
                <w:highlight w:val="none"/>
              </w:rPr>
              <w:t>建设咨询业绩（4分）</w:t>
            </w:r>
          </w:p>
        </w:tc>
        <w:tc>
          <w:tcPr>
            <w:tcW w:w="810" w:type="dxa"/>
            <w:vAlign w:val="center"/>
          </w:tcPr>
          <w:p>
            <w:pPr>
              <w:jc w:val="center"/>
              <w:rPr>
                <w:rFonts w:ascii="宋体" w:hAnsi="宋体" w:cs="宋体"/>
                <w:sz w:val="20"/>
                <w:szCs w:val="20"/>
                <w:highlight w:val="none"/>
              </w:rPr>
            </w:pPr>
            <w:r>
              <w:rPr>
                <w:rFonts w:hint="eastAsia" w:ascii="宋体" w:hAnsi="宋体" w:cs="宋体"/>
                <w:sz w:val="20"/>
                <w:szCs w:val="20"/>
                <w:highlight w:val="none"/>
              </w:rPr>
              <w:t>0-4</w:t>
            </w:r>
          </w:p>
        </w:tc>
        <w:tc>
          <w:tcPr>
            <w:tcW w:w="5030" w:type="dxa"/>
            <w:vAlign w:val="center"/>
          </w:tcPr>
          <w:p>
            <w:pPr>
              <w:pStyle w:val="29"/>
              <w:rPr>
                <w:rFonts w:hAnsi="宋体" w:cs="宋体"/>
                <w:color w:val="auto"/>
                <w:sz w:val="20"/>
                <w:highlight w:val="none"/>
              </w:rPr>
            </w:pPr>
            <w:r>
              <w:rPr>
                <w:rFonts w:hint="eastAsia" w:hAnsi="宋体" w:cs="宋体"/>
                <w:color w:val="auto"/>
                <w:sz w:val="20"/>
                <w:highlight w:val="none"/>
                <w:lang w:bidi="ar"/>
              </w:rPr>
              <w:t>投标人近</w:t>
            </w:r>
            <w:r>
              <w:rPr>
                <w:rFonts w:hint="eastAsia" w:hAnsi="宋体" w:cs="宋体"/>
                <w:color w:val="auto"/>
                <w:sz w:val="20"/>
                <w:highlight w:val="none"/>
                <w:lang w:val="en-US" w:eastAsia="zh-CN" w:bidi="ar"/>
              </w:rPr>
              <w:t>五</w:t>
            </w:r>
            <w:r>
              <w:rPr>
                <w:rFonts w:hint="eastAsia" w:hAnsi="宋体" w:cs="宋体"/>
                <w:color w:val="auto"/>
                <w:sz w:val="20"/>
                <w:highlight w:val="none"/>
                <w:lang w:bidi="ar"/>
              </w:rPr>
              <w:t>年</w:t>
            </w:r>
            <w:r>
              <w:rPr>
                <w:rFonts w:hint="eastAsia" w:hAnsi="宋体" w:cs="宋体"/>
                <w:color w:val="auto"/>
                <w:sz w:val="20"/>
                <w:highlight w:val="none"/>
              </w:rPr>
              <w:t>（</w:t>
            </w:r>
            <w:r>
              <w:rPr>
                <w:rFonts w:hint="eastAsia" w:hAnsi="宋体" w:cs="宋体"/>
                <w:color w:val="auto"/>
                <w:sz w:val="20"/>
                <w:highlight w:val="none"/>
                <w:lang w:val="en-US" w:eastAsia="zh-CN"/>
              </w:rPr>
              <w:t>2019年1月1日</w:t>
            </w:r>
            <w:r>
              <w:rPr>
                <w:rFonts w:hint="eastAsia" w:hAnsi="宋体" w:cs="宋体"/>
                <w:color w:val="auto"/>
                <w:sz w:val="20"/>
                <w:highlight w:val="none"/>
              </w:rPr>
              <w:t>至今）承担过与本项目剧院规模类似的项目建设或运营咨询业绩，每提供一个得2分，最高得4分。</w:t>
            </w:r>
          </w:p>
          <w:p>
            <w:pPr>
              <w:rPr>
                <w:rFonts w:ascii="宋体" w:hAnsi="宋体" w:cs="宋体"/>
                <w:color w:val="auto"/>
                <w:highlight w:val="none"/>
              </w:rPr>
            </w:pPr>
            <w:r>
              <w:rPr>
                <w:rFonts w:hint="eastAsia" w:ascii="宋体" w:hAnsi="宋体" w:cs="宋体"/>
                <w:color w:val="auto"/>
                <w:sz w:val="20"/>
                <w:szCs w:val="20"/>
                <w:highlight w:val="none"/>
              </w:rPr>
              <w:t>注：投标人所提供业绩需体现项目特征，如无法体现需另行补充相关证明资料。</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jc w:val="center"/>
              <w:rPr>
                <w:rFonts w:ascii="宋体" w:hAnsi="宋体" w:cs="宋体"/>
                <w:sz w:val="20"/>
                <w:szCs w:val="20"/>
                <w:highlight w:val="none"/>
              </w:rPr>
            </w:pPr>
            <w:r>
              <w:rPr>
                <w:rFonts w:hint="eastAsia" w:ascii="宋体" w:hAnsi="宋体" w:cs="宋体"/>
                <w:sz w:val="20"/>
                <w:szCs w:val="20"/>
                <w:highlight w:val="none"/>
              </w:rPr>
              <w:t>原创业绩(4分)</w:t>
            </w:r>
          </w:p>
        </w:tc>
        <w:tc>
          <w:tcPr>
            <w:tcW w:w="810" w:type="dxa"/>
            <w:vAlign w:val="center"/>
          </w:tcPr>
          <w:p>
            <w:pPr>
              <w:jc w:val="center"/>
              <w:rPr>
                <w:rFonts w:ascii="宋体" w:hAnsi="宋体" w:cs="宋体"/>
                <w:sz w:val="20"/>
                <w:szCs w:val="20"/>
                <w:highlight w:val="none"/>
              </w:rPr>
            </w:pPr>
            <w:r>
              <w:rPr>
                <w:rFonts w:hint="eastAsia" w:ascii="宋体" w:hAnsi="宋体" w:cs="宋体"/>
                <w:sz w:val="20"/>
                <w:szCs w:val="20"/>
                <w:highlight w:val="none"/>
              </w:rPr>
              <w:t>0-4</w:t>
            </w:r>
          </w:p>
        </w:tc>
        <w:tc>
          <w:tcPr>
            <w:tcW w:w="5030" w:type="dxa"/>
            <w:shd w:val="clear" w:color="auto" w:fill="auto"/>
            <w:vAlign w:val="center"/>
          </w:tcPr>
          <w:p>
            <w:pPr>
              <w:pStyle w:val="29"/>
              <w:rPr>
                <w:rFonts w:hAnsi="宋体" w:cs="宋体"/>
                <w:color w:val="auto"/>
                <w:sz w:val="20"/>
                <w:highlight w:val="none"/>
              </w:rPr>
            </w:pPr>
            <w:r>
              <w:rPr>
                <w:rFonts w:hint="eastAsia" w:hAnsi="宋体" w:cs="宋体"/>
                <w:color w:val="auto"/>
                <w:sz w:val="20"/>
                <w:highlight w:val="none"/>
              </w:rPr>
              <w:t>根据投标人近</w:t>
            </w:r>
            <w:r>
              <w:rPr>
                <w:rFonts w:hint="eastAsia" w:hAnsi="宋体" w:cs="宋体"/>
                <w:color w:val="auto"/>
                <w:sz w:val="20"/>
                <w:highlight w:val="none"/>
                <w:lang w:val="en-US" w:eastAsia="zh-CN"/>
              </w:rPr>
              <w:t>五</w:t>
            </w:r>
            <w:r>
              <w:rPr>
                <w:rFonts w:hint="eastAsia" w:hAnsi="宋体" w:cs="宋体"/>
                <w:color w:val="auto"/>
                <w:sz w:val="20"/>
                <w:highlight w:val="none"/>
              </w:rPr>
              <w:t>年（</w:t>
            </w:r>
            <w:r>
              <w:rPr>
                <w:rFonts w:hint="eastAsia" w:hAnsi="宋体" w:cs="宋体"/>
                <w:color w:val="auto"/>
                <w:sz w:val="20"/>
                <w:highlight w:val="none"/>
                <w:lang w:val="en-US" w:eastAsia="zh-CN"/>
              </w:rPr>
              <w:t>2019年1月1日</w:t>
            </w:r>
            <w:r>
              <w:rPr>
                <w:rFonts w:hint="eastAsia" w:hAnsi="宋体" w:cs="宋体"/>
                <w:color w:val="auto"/>
                <w:sz w:val="20"/>
                <w:highlight w:val="none"/>
              </w:rPr>
              <w:t>至今）总制作原创剧目数量进行评分，每个项目2分，满分4分。</w:t>
            </w:r>
          </w:p>
          <w:p>
            <w:pPr>
              <w:pStyle w:val="29"/>
              <w:rPr>
                <w:rFonts w:hAnsi="宋体" w:cs="宋体"/>
                <w:color w:val="auto"/>
                <w:sz w:val="20"/>
                <w:highlight w:val="none"/>
              </w:rPr>
            </w:pPr>
            <w:r>
              <w:rPr>
                <w:rFonts w:hint="eastAsia" w:hAnsi="宋体" w:cs="宋体"/>
                <w:color w:val="auto"/>
                <w:sz w:val="20"/>
                <w:highlight w:val="none"/>
              </w:rPr>
              <w:t>注:投标人应提供有效证明文件(如有关原创剧目合同或立项文件或获奖证书说明业绩的证明材料)电子件，并加盖投标人公章。</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7" w:type="dxa"/>
            <w:vMerge w:val="continue"/>
            <w:vAlign w:val="center"/>
          </w:tcPr>
          <w:p>
            <w:pPr>
              <w:ind w:firstLine="28"/>
              <w:jc w:val="center"/>
              <w:rPr>
                <w:rFonts w:ascii="宋体" w:hAnsi="宋体" w:cs="宋体"/>
                <w:sz w:val="20"/>
                <w:szCs w:val="20"/>
                <w:highlight w:val="none"/>
              </w:rPr>
            </w:pPr>
          </w:p>
        </w:tc>
        <w:tc>
          <w:tcPr>
            <w:tcW w:w="1056" w:type="dxa"/>
            <w:vMerge w:val="continue"/>
          </w:tcPr>
          <w:p>
            <w:pPr>
              <w:jc w:val="center"/>
              <w:rPr>
                <w:rFonts w:ascii="宋体" w:hAnsi="宋体" w:cs="宋体"/>
                <w:sz w:val="20"/>
                <w:szCs w:val="20"/>
                <w:highlight w:val="none"/>
              </w:rPr>
            </w:pPr>
          </w:p>
        </w:tc>
        <w:tc>
          <w:tcPr>
            <w:tcW w:w="1170" w:type="dxa"/>
            <w:vAlign w:val="center"/>
          </w:tcPr>
          <w:p>
            <w:pPr>
              <w:jc w:val="center"/>
              <w:rPr>
                <w:rFonts w:ascii="宋体" w:hAnsi="宋体" w:cs="宋体"/>
                <w:sz w:val="20"/>
                <w:szCs w:val="20"/>
                <w:highlight w:val="none"/>
              </w:rPr>
            </w:pPr>
            <w:r>
              <w:rPr>
                <w:rFonts w:hint="eastAsia" w:ascii="宋体" w:hAnsi="宋体" w:cs="宋体"/>
                <w:sz w:val="20"/>
                <w:szCs w:val="20"/>
                <w:highlight w:val="none"/>
              </w:rPr>
              <w:t>公益活动</w:t>
            </w:r>
            <w:r>
              <w:rPr>
                <w:rFonts w:hint="eastAsia" w:ascii="宋体" w:hAnsi="宋体" w:cs="宋体"/>
                <w:sz w:val="20"/>
                <w:szCs w:val="20"/>
                <w:highlight w:val="none"/>
                <w:lang w:val="en-US" w:eastAsia="zh-CN"/>
              </w:rPr>
              <w:t>承诺</w:t>
            </w:r>
            <w:r>
              <w:rPr>
                <w:rFonts w:hint="eastAsia" w:ascii="宋体" w:hAnsi="宋体" w:cs="宋体"/>
                <w:sz w:val="20"/>
                <w:szCs w:val="20"/>
                <w:highlight w:val="none"/>
              </w:rPr>
              <w:t>（3分）</w:t>
            </w:r>
          </w:p>
        </w:tc>
        <w:tc>
          <w:tcPr>
            <w:tcW w:w="810" w:type="dxa"/>
            <w:vAlign w:val="center"/>
          </w:tcPr>
          <w:p>
            <w:pPr>
              <w:jc w:val="center"/>
              <w:rPr>
                <w:rFonts w:ascii="宋体" w:hAnsi="宋体" w:cs="宋体"/>
                <w:sz w:val="20"/>
                <w:szCs w:val="20"/>
                <w:highlight w:val="none"/>
              </w:rPr>
            </w:pPr>
            <w:r>
              <w:rPr>
                <w:rFonts w:hint="eastAsia" w:ascii="宋体" w:hAnsi="宋体" w:cs="宋体"/>
                <w:sz w:val="20"/>
                <w:szCs w:val="20"/>
                <w:highlight w:val="none"/>
              </w:rPr>
              <w:t>0-3</w:t>
            </w:r>
          </w:p>
        </w:tc>
        <w:tc>
          <w:tcPr>
            <w:tcW w:w="5030" w:type="dxa"/>
            <w:vAlign w:val="center"/>
          </w:tcPr>
          <w:p>
            <w:pPr>
              <w:jc w:val="left"/>
              <w:rPr>
                <w:rFonts w:hint="eastAsia" w:ascii="宋体" w:hAnsi="宋体" w:cs="宋体"/>
                <w:b/>
                <w:bCs/>
                <w:color w:val="FF0000"/>
                <w:sz w:val="20"/>
                <w:szCs w:val="20"/>
                <w:highlight w:val="none"/>
              </w:rPr>
            </w:pPr>
            <w:r>
              <w:rPr>
                <w:rFonts w:hint="eastAsia" w:ascii="宋体" w:hAnsi="宋体" w:cs="宋体"/>
                <w:b/>
                <w:bCs/>
                <w:sz w:val="20"/>
                <w:szCs w:val="20"/>
                <w:highlight w:val="none"/>
              </w:rPr>
              <w:t>投标人提供在服务期内每年举办公益活动达到30场的承诺得3分（承诺格式自拟），未提供承诺得0分。</w:t>
            </w:r>
          </w:p>
        </w:tc>
        <w:tc>
          <w:tcPr>
            <w:tcW w:w="1215" w:type="dxa"/>
            <w:vAlign w:val="center"/>
          </w:tcPr>
          <w:p>
            <w:pPr>
              <w:jc w:val="center"/>
              <w:rPr>
                <w:rFonts w:ascii="宋体" w:hAnsi="宋体" w:cs="宋体"/>
                <w:b/>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trPr>
        <w:tc>
          <w:tcPr>
            <w:tcW w:w="637" w:type="dxa"/>
            <w:vAlign w:val="center"/>
          </w:tcPr>
          <w:p>
            <w:pPr>
              <w:ind w:firstLine="28"/>
              <w:jc w:val="center"/>
              <w:rPr>
                <w:rFonts w:ascii="宋体" w:hAnsi="宋体" w:cs="宋体"/>
                <w:sz w:val="20"/>
                <w:szCs w:val="20"/>
                <w:highlight w:val="none"/>
              </w:rPr>
            </w:pPr>
            <w:r>
              <w:rPr>
                <w:rFonts w:hint="eastAsia" w:ascii="宋体" w:hAnsi="宋体" w:cs="宋体"/>
                <w:sz w:val="20"/>
                <w:szCs w:val="20"/>
                <w:highlight w:val="none"/>
              </w:rPr>
              <w:t>3</w:t>
            </w:r>
          </w:p>
        </w:tc>
        <w:tc>
          <w:tcPr>
            <w:tcW w:w="2226" w:type="dxa"/>
            <w:gridSpan w:val="2"/>
            <w:vAlign w:val="center"/>
          </w:tcPr>
          <w:p>
            <w:pPr>
              <w:ind w:firstLine="28"/>
              <w:jc w:val="center"/>
              <w:rPr>
                <w:rFonts w:ascii="宋体" w:hAnsi="宋体" w:cs="宋体"/>
                <w:sz w:val="20"/>
                <w:szCs w:val="20"/>
                <w:highlight w:val="none"/>
              </w:rPr>
            </w:pPr>
            <w:r>
              <w:rPr>
                <w:rFonts w:hint="eastAsia" w:ascii="宋体" w:hAnsi="宋体" w:cs="宋体"/>
                <w:sz w:val="20"/>
                <w:szCs w:val="20"/>
                <w:highlight w:val="none"/>
              </w:rPr>
              <w:t>投标报价（10分）</w:t>
            </w:r>
          </w:p>
        </w:tc>
        <w:tc>
          <w:tcPr>
            <w:tcW w:w="810" w:type="dxa"/>
            <w:vAlign w:val="center"/>
          </w:tcPr>
          <w:p>
            <w:pPr>
              <w:ind w:firstLine="28"/>
              <w:jc w:val="center"/>
              <w:rPr>
                <w:rFonts w:ascii="宋体" w:hAnsi="宋体" w:cs="宋体"/>
                <w:sz w:val="20"/>
                <w:szCs w:val="20"/>
                <w:highlight w:val="none"/>
              </w:rPr>
            </w:pPr>
            <w:r>
              <w:rPr>
                <w:rFonts w:hint="eastAsia" w:ascii="宋体" w:hAnsi="宋体" w:cs="宋体"/>
                <w:sz w:val="20"/>
                <w:szCs w:val="20"/>
                <w:highlight w:val="none"/>
              </w:rPr>
              <w:t>10</w:t>
            </w:r>
          </w:p>
        </w:tc>
        <w:tc>
          <w:tcPr>
            <w:tcW w:w="5030" w:type="dxa"/>
            <w:vAlign w:val="center"/>
          </w:tcPr>
          <w:p>
            <w:pPr>
              <w:rPr>
                <w:rFonts w:ascii="宋体" w:hAnsi="宋体" w:cs="宋体"/>
                <w:sz w:val="20"/>
                <w:szCs w:val="20"/>
                <w:highlight w:val="none"/>
              </w:rPr>
            </w:pPr>
            <w:r>
              <w:rPr>
                <w:rFonts w:hint="eastAsia" w:ascii="宋体" w:hAnsi="宋体" w:cs="宋体"/>
                <w:sz w:val="20"/>
                <w:szCs w:val="20"/>
                <w:highlight w:val="none"/>
              </w:rPr>
              <w:t>满足招标文件要求且投标价格最低的投标报价为评标基准价，其价格分为满分。其他投标人的价格分统一按照下列公式计算：</w:t>
            </w:r>
          </w:p>
          <w:p>
            <w:pPr>
              <w:rPr>
                <w:rFonts w:ascii="宋体" w:hAnsi="宋体" w:cs="宋体"/>
                <w:sz w:val="20"/>
                <w:szCs w:val="20"/>
                <w:highlight w:val="none"/>
              </w:rPr>
            </w:pPr>
            <w:r>
              <w:rPr>
                <w:rFonts w:hint="eastAsia" w:ascii="宋体" w:hAnsi="宋体" w:cs="宋体"/>
                <w:sz w:val="20"/>
                <w:szCs w:val="20"/>
                <w:highlight w:val="none"/>
              </w:rPr>
              <w:t>投标报价得分＝（评标基准价/投标报价）×分值。</w:t>
            </w:r>
          </w:p>
          <w:p>
            <w:pPr>
              <w:pStyle w:val="44"/>
              <w:spacing w:line="240" w:lineRule="auto"/>
              <w:ind w:left="0" w:leftChars="0" w:firstLine="0" w:firstLineChars="0"/>
              <w:rPr>
                <w:rFonts w:ascii="宋体" w:hAnsi="宋体" w:cs="宋体"/>
                <w:highlight w:val="none"/>
              </w:rPr>
            </w:pPr>
            <w:r>
              <w:rPr>
                <w:rFonts w:hint="eastAsia" w:ascii="宋体" w:hAnsi="宋体" w:cs="宋体"/>
                <w:sz w:val="20"/>
                <w:highlight w:val="none"/>
              </w:rPr>
              <w:t>注：此处投标报价指经过报价修正，及因落实政府采购政策进行价格调整后的报价，详见第四章《评标方法和评标标准》2.4及2.5。</w:t>
            </w:r>
          </w:p>
        </w:tc>
        <w:tc>
          <w:tcPr>
            <w:tcW w:w="1215" w:type="dxa"/>
            <w:vAlign w:val="center"/>
          </w:tcPr>
          <w:p>
            <w:pPr>
              <w:ind w:left="-38"/>
              <w:rPr>
                <w:rFonts w:ascii="宋体" w:hAnsi="宋体" w:cs="宋体"/>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637" w:type="dxa"/>
            <w:vAlign w:val="center"/>
          </w:tcPr>
          <w:p>
            <w:pPr>
              <w:ind w:firstLine="28"/>
              <w:jc w:val="center"/>
              <w:rPr>
                <w:rFonts w:ascii="宋体" w:hAnsi="宋体" w:cs="宋体"/>
                <w:sz w:val="20"/>
                <w:szCs w:val="20"/>
                <w:highlight w:val="none"/>
              </w:rPr>
            </w:pPr>
            <w:r>
              <w:rPr>
                <w:rFonts w:hint="eastAsia" w:ascii="宋体" w:hAnsi="宋体" w:cs="宋体"/>
                <w:sz w:val="20"/>
                <w:szCs w:val="20"/>
                <w:highlight w:val="none"/>
              </w:rPr>
              <w:t>4</w:t>
            </w:r>
          </w:p>
        </w:tc>
        <w:tc>
          <w:tcPr>
            <w:tcW w:w="2226" w:type="dxa"/>
            <w:gridSpan w:val="2"/>
            <w:vAlign w:val="center"/>
          </w:tcPr>
          <w:p>
            <w:pPr>
              <w:ind w:firstLine="28"/>
              <w:jc w:val="center"/>
              <w:rPr>
                <w:rFonts w:ascii="宋体" w:hAnsi="宋体" w:cs="宋体"/>
                <w:sz w:val="20"/>
                <w:szCs w:val="20"/>
                <w:highlight w:val="none"/>
              </w:rPr>
            </w:pPr>
            <w:r>
              <w:rPr>
                <w:rFonts w:hint="eastAsia" w:ascii="宋体" w:hAnsi="宋体" w:cs="宋体"/>
                <w:sz w:val="20"/>
                <w:szCs w:val="20"/>
                <w:highlight w:val="none"/>
              </w:rPr>
              <w:t>合计</w:t>
            </w:r>
          </w:p>
        </w:tc>
        <w:tc>
          <w:tcPr>
            <w:tcW w:w="810" w:type="dxa"/>
            <w:vAlign w:val="center"/>
          </w:tcPr>
          <w:p>
            <w:pPr>
              <w:ind w:firstLine="28"/>
              <w:jc w:val="center"/>
              <w:rPr>
                <w:rFonts w:ascii="宋体" w:hAnsi="宋体" w:cs="宋体"/>
                <w:sz w:val="20"/>
                <w:szCs w:val="20"/>
                <w:highlight w:val="none"/>
              </w:rPr>
            </w:pPr>
            <w:r>
              <w:rPr>
                <w:rFonts w:hint="eastAsia" w:ascii="宋体" w:hAnsi="宋体" w:cs="宋体"/>
                <w:sz w:val="20"/>
                <w:szCs w:val="20"/>
                <w:highlight w:val="none"/>
              </w:rPr>
              <w:t>100</w:t>
            </w:r>
          </w:p>
        </w:tc>
        <w:tc>
          <w:tcPr>
            <w:tcW w:w="6245" w:type="dxa"/>
            <w:gridSpan w:val="2"/>
            <w:vAlign w:val="center"/>
          </w:tcPr>
          <w:p>
            <w:pPr>
              <w:rPr>
                <w:rFonts w:ascii="宋体" w:hAnsi="宋体" w:cs="宋体"/>
                <w:sz w:val="20"/>
                <w:szCs w:val="20"/>
                <w:highlight w:val="none"/>
              </w:rPr>
            </w:pPr>
          </w:p>
        </w:tc>
      </w:tr>
    </w:tbl>
    <w:p>
      <w:pPr>
        <w:tabs>
          <w:tab w:val="left" w:pos="360"/>
          <w:tab w:val="left" w:pos="900"/>
          <w:tab w:val="left" w:pos="1080"/>
          <w:tab w:val="left" w:pos="2014"/>
        </w:tabs>
        <w:snapToGrid w:val="0"/>
        <w:spacing w:line="360" w:lineRule="auto"/>
        <w:rPr>
          <w:rFonts w:ascii="宋体" w:hAnsi="宋体" w:cs="宋体"/>
          <w:sz w:val="24"/>
          <w:highlight w:val="none"/>
        </w:rPr>
      </w:pPr>
    </w:p>
    <w:p>
      <w:pPr>
        <w:pStyle w:val="43"/>
        <w:ind w:firstLine="210"/>
        <w:rPr>
          <w:rFonts w:ascii="宋体" w:hAnsi="宋体" w:cs="宋体"/>
          <w:highlight w:val="none"/>
        </w:rPr>
      </w:pPr>
    </w:p>
    <w:p>
      <w:pPr>
        <w:rPr>
          <w:rFonts w:ascii="宋体" w:hAnsi="宋体" w:cs="宋体"/>
          <w:b/>
          <w:sz w:val="36"/>
          <w:szCs w:val="36"/>
          <w:highlight w:val="none"/>
        </w:rPr>
      </w:pPr>
    </w:p>
    <w:p>
      <w:pPr>
        <w:rPr>
          <w:rFonts w:ascii="宋体" w:hAnsi="宋体" w:cs="宋体"/>
          <w:b/>
          <w:sz w:val="36"/>
          <w:szCs w:val="36"/>
          <w:highlight w:val="none"/>
        </w:rPr>
      </w:pPr>
      <w:r>
        <w:rPr>
          <w:rFonts w:hint="eastAsia" w:ascii="宋体" w:hAnsi="宋体" w:cs="宋体"/>
          <w:b/>
          <w:sz w:val="36"/>
          <w:szCs w:val="36"/>
          <w:highlight w:val="none"/>
        </w:rPr>
        <w:br w:type="page"/>
      </w:r>
    </w:p>
    <w:p>
      <w:pPr>
        <w:spacing w:line="360" w:lineRule="auto"/>
        <w:jc w:val="center"/>
        <w:outlineLvl w:val="0"/>
        <w:rPr>
          <w:rFonts w:ascii="宋体" w:hAnsi="宋体" w:cs="宋体"/>
          <w:b/>
          <w:sz w:val="36"/>
          <w:szCs w:val="36"/>
          <w:highlight w:val="none"/>
        </w:rPr>
      </w:pPr>
      <w:bookmarkStart w:id="814" w:name="_Toc23982"/>
      <w:r>
        <w:rPr>
          <w:rFonts w:hint="eastAsia" w:ascii="宋体" w:hAnsi="宋体" w:cs="宋体"/>
          <w:b/>
          <w:sz w:val="36"/>
          <w:szCs w:val="36"/>
          <w:highlight w:val="none"/>
        </w:rPr>
        <w:t>第五章   采购需求</w:t>
      </w:r>
      <w:bookmarkEnd w:id="814"/>
    </w:p>
    <w:p>
      <w:pPr>
        <w:spacing w:line="460" w:lineRule="exact"/>
        <w:ind w:firstLine="480" w:firstLineChars="200"/>
        <w:rPr>
          <w:rFonts w:ascii="宋体" w:hAnsi="宋体" w:cs="宋体"/>
          <w:sz w:val="24"/>
          <w:highlight w:val="none"/>
        </w:rPr>
      </w:pPr>
      <w:r>
        <w:rPr>
          <w:rFonts w:hint="eastAsia" w:ascii="宋体" w:hAnsi="宋体" w:cs="宋体"/>
          <w:b/>
          <w:sz w:val="24"/>
          <w:highlight w:val="none"/>
        </w:rPr>
        <w:t>一、项目背景</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目前北京正处于由城市发展转向首都发展的关键时期，面临从集聚资源求增长到疏解功能谋发展的转型，文化产业符合北京市转型发展与经济结构升级的历史趋势。发展文化产业，不仅是疏解整治促提升中的关键一环，也是全国文化中心建设的重要方面，更是增强人民文化获得感和幸福感的重要途径，对首都经济高质量发展的支撑和引领作用更加凸显。顺义是首都国际机场所在地，北京东部城市发展的关键节点，文化产业的发展也成为其未来经济社会发展的引领性产业，并将对顺义城市空间产生较大影响。</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顺义大剧院位于顺义区文化中心，所在建筑总面积20500m²，大剧院坐席</w:t>
      </w:r>
      <w:r>
        <w:rPr>
          <w:rFonts w:hint="eastAsia" w:ascii="宋体" w:hAnsi="宋体" w:cs="宋体"/>
          <w:sz w:val="24"/>
          <w:highlight w:val="none"/>
          <w:lang w:val="en-US" w:eastAsia="zh-CN"/>
        </w:rPr>
        <w:t>993</w:t>
      </w:r>
      <w:r>
        <w:rPr>
          <w:rFonts w:hint="eastAsia" w:ascii="宋体" w:hAnsi="宋体" w:cs="宋体"/>
          <w:sz w:val="24"/>
          <w:highlight w:val="none"/>
        </w:rPr>
        <w:t>座，舞台总面积约1100㎡，主舞台表演区约400㎡，台口宽18米，高10米，纵深22米，主舞台加上侧台和后舞台，总宽度为 50米。台上吊杆38道，灯杆5道，台下有三块乐池（配有约80张流动座椅），三块主升降台。舞台灯光音响的数量，种类等配置较全，剧院音控室配置一台高端数字投影机，舞台配有专用投影幕。办公区后区三层，可使用办公房间10间。化妆间共8间，化妆间为空置房间。贵宾厅有两间，为空置房间。排练厅两间，已装修完毕。</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剧院功能定位：顺义重要文化艺术展示中心，对外文化艺术交流重要窗口，高品质文化艺术演出重要平台。</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交付委托运营方标准：具备基本的使用条件，可满足常规演出经营需求。</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二、运营期限与费用</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1.顺义大剧院委托运营管理合同期限为2年，自</w:t>
      </w:r>
      <w:r>
        <w:rPr>
          <w:rFonts w:hint="eastAsia" w:ascii="宋体" w:hAnsi="宋体" w:cs="宋体"/>
          <w:sz w:val="24"/>
          <w:highlight w:val="none"/>
          <w:lang w:val="en-US" w:eastAsia="zh-CN"/>
        </w:rPr>
        <w:t>合同签订之日</w:t>
      </w:r>
      <w:r>
        <w:rPr>
          <w:rFonts w:hint="eastAsia" w:ascii="宋体" w:hAnsi="宋体" w:cs="宋体"/>
          <w:sz w:val="24"/>
          <w:highlight w:val="none"/>
        </w:rPr>
        <w:t>起至2026年5月28日；。</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b/>
          <w:sz w:val="24"/>
          <w:highlight w:val="none"/>
        </w:rPr>
        <w:t>顺义大剧院运营补贴最高招标限价为</w:t>
      </w:r>
      <w:r>
        <w:rPr>
          <w:rFonts w:hint="eastAsia" w:ascii="宋体" w:hAnsi="宋体" w:cs="宋体"/>
          <w:b/>
          <w:sz w:val="24"/>
          <w:highlight w:val="none"/>
          <w:lang w:val="en-US" w:eastAsia="zh-CN"/>
        </w:rPr>
        <w:t>人民币1436.8万元（</w:t>
      </w:r>
      <w:r>
        <w:rPr>
          <w:rFonts w:hint="eastAsia" w:ascii="宋体" w:hAnsi="宋体" w:cs="宋体"/>
          <w:b/>
          <w:sz w:val="24"/>
          <w:highlight w:val="none"/>
          <w:u w:val="single"/>
        </w:rPr>
        <w:t xml:space="preserve">718.4 </w:t>
      </w:r>
      <w:r>
        <w:rPr>
          <w:rFonts w:hint="eastAsia" w:ascii="宋体" w:hAnsi="宋体" w:cs="宋体"/>
          <w:b/>
          <w:sz w:val="24"/>
          <w:highlight w:val="none"/>
        </w:rPr>
        <w:t>万元/年</w:t>
      </w:r>
      <w:r>
        <w:rPr>
          <w:rFonts w:hint="eastAsia" w:ascii="宋体" w:hAnsi="宋体" w:cs="宋体"/>
          <w:b/>
          <w:sz w:val="24"/>
          <w:highlight w:val="none"/>
          <w:lang w:val="en-US" w:eastAsia="zh-CN"/>
        </w:rPr>
        <w:t>）</w:t>
      </w:r>
      <w:r>
        <w:rPr>
          <w:rFonts w:hint="eastAsia" w:ascii="宋体" w:hAnsi="宋体" w:cs="宋体"/>
          <w:b/>
          <w:sz w:val="24"/>
          <w:highlight w:val="none"/>
        </w:rPr>
        <w:t>。</w:t>
      </w:r>
      <w:r>
        <w:rPr>
          <w:rFonts w:hint="eastAsia" w:ascii="宋体" w:hAnsi="宋体" w:cs="宋体"/>
          <w:sz w:val="24"/>
          <w:highlight w:val="none"/>
        </w:rPr>
        <w:t>（具体年度运营补贴费用根据中标价和每年运营考核情况、区财政局审定结果核算拨付）</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三、委托经营管理范围</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顺义大剧院一方面要为戏曲、歌剧、舞剧、话剧、音乐剧、音乐会、专业艺术讲座等多种舞台表演艺术提供平台，另一方面要兼顾中小型会议、新闻发布、公益</w:t>
      </w:r>
      <w:r>
        <w:rPr>
          <w:rFonts w:hint="eastAsia" w:ascii="宋体" w:hAnsi="宋体" w:cs="宋体"/>
          <w:sz w:val="24"/>
          <w:highlight w:val="none"/>
          <w:lang w:val="en-US" w:eastAsia="zh-CN"/>
        </w:rPr>
        <w:t>活动</w:t>
      </w:r>
      <w:r>
        <w:rPr>
          <w:rFonts w:hint="eastAsia" w:ascii="宋体" w:hAnsi="宋体" w:cs="宋体"/>
          <w:sz w:val="24"/>
          <w:highlight w:val="none"/>
        </w:rPr>
        <w:t>以及艺术展演等活动。</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委托经营管理范围包括但不限于以下内容：</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color w:val="000000" w:themeColor="text1"/>
          <w:sz w:val="24"/>
          <w:highlight w:val="none"/>
          <w14:textFill>
            <w14:solidFill>
              <w14:schemeClr w14:val="tx1"/>
            </w14:solidFill>
          </w14:textFill>
        </w:rPr>
        <w:t>在运营前期阶段（自中标通知书发出之日起），组织舞台技术人员和物业人员进场，协助甲方对包括但不限于舞台机械系统、现有灯光设备、音视频调音设备、乐器、座椅等设施设备进行移交。</w:t>
      </w:r>
    </w:p>
    <w:p>
      <w:pPr>
        <w:spacing w:line="460" w:lineRule="exact"/>
        <w:ind w:firstLine="480" w:firstLineChars="200"/>
        <w:rPr>
          <w:rFonts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sz w:val="24"/>
          <w:highlight w:val="none"/>
        </w:rPr>
        <w:t>委托经营管理期内的经营管理包括：演出策划、剧团品牌的宣传推广、演出计划安排及组织实施（包括自营演出和租场演出等）、票务营销、顺义地区以及北京东北地区的演艺市场调研与开发；剧院运营公司的日常事务管理、知识产权保护、场地及相关设备租借管理（设备设施未经主管部门允许不得外带）、设备设施及各类器材维护保养、能源合理使用及管理、剧院内部的物业管理；接待政府及企事业单位的参观访问活动等。</w:t>
      </w:r>
    </w:p>
    <w:p>
      <w:pPr>
        <w:shd w:val="clear" w:color="auto" w:fill="FFFFFF"/>
        <w:rPr>
          <w:rFonts w:ascii="宋体" w:hAnsi="宋体" w:cs="宋体"/>
          <w:b/>
          <w:sz w:val="24"/>
          <w:highlight w:val="none"/>
        </w:rPr>
      </w:pPr>
      <w:r>
        <w:rPr>
          <w:rFonts w:hint="eastAsia" w:ascii="宋体" w:hAnsi="宋体" w:cs="宋体"/>
          <w:b/>
          <w:sz w:val="24"/>
          <w:highlight w:val="none"/>
        </w:rPr>
        <w:t>四、投标人的资格要求</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满足《中华人民共和国政府采购法》第二十二条规定；①具有独立承担民事责任的能力；②具有良好的商业信誉和健全的财务会计制度；③具有履行合同所必需的设备和专业技术能力，具有文化行政主管部门颁发的有效《营业性演出许可证》；④有依法缴纳税收和社会保障资金的良好记录；⑤参加政府采购活动前三年内，在经营活动中没有重大违法记录；⑥法律、行政法规规定的其他条件；</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2、落实政府采购政策需满足的资格要求：/</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3、本项目的特定资格要求：未被中国政府采购网(www.ccgp.gov.cn)及“信用中国”网站(www.creditchina.gov.cn)分别列入政府采购严重违法失信行为记录名单、失信被执行人（查询时间为发布公告之日后有效）；</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z w:val="24"/>
          <w:szCs w:val="32"/>
          <w:highlight w:val="none"/>
        </w:rPr>
        <w:t>本项目招标公告发布之日前三年内投标人及其法定代表人未被中国裁判文书网列入行贿犯罪行为。</w:t>
      </w:r>
    </w:p>
    <w:p>
      <w:pPr>
        <w:spacing w:line="460" w:lineRule="exact"/>
        <w:rPr>
          <w:rFonts w:ascii="宋体" w:hAnsi="宋体" w:cs="宋体"/>
          <w:b/>
          <w:sz w:val="24"/>
          <w:highlight w:val="none"/>
        </w:rPr>
      </w:pPr>
      <w:r>
        <w:rPr>
          <w:rFonts w:hint="eastAsia" w:ascii="宋体" w:hAnsi="宋体" w:cs="宋体"/>
          <w:b/>
          <w:sz w:val="24"/>
          <w:highlight w:val="none"/>
        </w:rPr>
        <w:t>五、剧院经营管理目标要求</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总则：所有演出活动必须遵守国家法律法规，符合《营业性演出管理条例》的有关规定。</w:t>
      </w:r>
    </w:p>
    <w:p>
      <w:pPr>
        <w:spacing w:line="460" w:lineRule="exact"/>
        <w:ind w:firstLine="480" w:firstLineChars="200"/>
        <w:rPr>
          <w:rFonts w:ascii="宋体" w:hAnsi="宋体" w:cs="宋体"/>
          <w:b/>
          <w:bCs/>
          <w:sz w:val="24"/>
          <w:highlight w:val="none"/>
        </w:rPr>
      </w:pPr>
      <w:r>
        <w:rPr>
          <w:rFonts w:hint="eastAsia" w:ascii="宋体" w:hAnsi="宋体" w:cs="宋体"/>
          <w:b/>
          <w:bCs/>
          <w:sz w:val="24"/>
          <w:highlight w:val="none"/>
        </w:rPr>
        <w:t>1.经营管理指标要求</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投标人应在投标文件对大剧院的经营管理考核指标进行响应。经营管理考核指标包含但不限于以下内容：</w:t>
      </w:r>
    </w:p>
    <w:p>
      <w:pPr>
        <w:spacing w:line="460" w:lineRule="exact"/>
        <w:ind w:firstLine="480" w:firstLineChars="200"/>
        <w:rPr>
          <w:rFonts w:ascii="宋体" w:hAnsi="宋体" w:cs="宋体"/>
          <w:sz w:val="24"/>
          <w:highlight w:val="none"/>
        </w:rPr>
      </w:pPr>
      <w:r>
        <w:rPr>
          <w:rFonts w:hint="eastAsia" w:ascii="宋体" w:hAnsi="宋体" w:cs="宋体"/>
          <w:b/>
          <w:bCs/>
          <w:sz w:val="24"/>
          <w:highlight w:val="none"/>
        </w:rPr>
        <w:t>演出指标</w:t>
      </w:r>
    </w:p>
    <w:p>
      <w:pPr>
        <w:tabs>
          <w:tab w:val="left" w:pos="1403"/>
        </w:tabs>
        <w:ind w:firstLine="480" w:firstLineChars="200"/>
        <w:rPr>
          <w:rFonts w:ascii="宋体" w:hAnsi="宋体" w:cs="宋体"/>
          <w:sz w:val="24"/>
          <w:highlight w:val="none"/>
        </w:rPr>
      </w:pPr>
      <w:r>
        <w:rPr>
          <w:rFonts w:hint="eastAsia" w:ascii="宋体" w:hAnsi="宋体" w:cs="宋体"/>
          <w:bCs/>
          <w:sz w:val="24"/>
          <w:szCs w:val="21"/>
          <w:highlight w:val="none"/>
        </w:rPr>
        <w:t>1、乙方</w:t>
      </w:r>
      <w:r>
        <w:rPr>
          <w:rFonts w:hint="eastAsia" w:ascii="宋体" w:hAnsi="宋体" w:cs="宋体"/>
          <w:color w:val="000000"/>
          <w:sz w:val="24"/>
          <w:highlight w:val="none"/>
        </w:rPr>
        <w:t>承诺自顺义大剧院运营周期</w:t>
      </w:r>
      <w:r>
        <w:rPr>
          <w:rFonts w:hint="eastAsia" w:ascii="宋体" w:hAnsi="宋体" w:cs="宋体"/>
          <w:sz w:val="24"/>
          <w:highlight w:val="none"/>
        </w:rPr>
        <w:t>内，</w:t>
      </w:r>
      <w:r>
        <w:rPr>
          <w:rFonts w:hint="eastAsia" w:ascii="宋体" w:hAnsi="宋体" w:cs="宋体"/>
          <w:color w:val="000000"/>
          <w:sz w:val="24"/>
          <w:highlight w:val="none"/>
        </w:rPr>
        <w:t>每年</w:t>
      </w:r>
      <w:r>
        <w:rPr>
          <w:rFonts w:hint="eastAsia" w:ascii="宋体" w:hAnsi="宋体" w:cs="宋体"/>
          <w:color w:val="000000"/>
          <w:sz w:val="24"/>
          <w:highlight w:val="none"/>
          <w:lang w:eastAsia="zh-CN"/>
        </w:rPr>
        <w:t>演出</w:t>
      </w:r>
      <w:r>
        <w:rPr>
          <w:rFonts w:hint="eastAsia" w:ascii="宋体" w:hAnsi="宋体" w:cs="宋体"/>
          <w:color w:val="000000"/>
          <w:sz w:val="24"/>
          <w:highlight w:val="none"/>
        </w:rPr>
        <w:t>活动场次不少于100场，其中每年自营演出不少于70场，</w:t>
      </w:r>
      <w:r>
        <w:rPr>
          <w:rFonts w:hint="eastAsia" w:ascii="宋体" w:hAnsi="宋体" w:cs="宋体"/>
          <w:color w:val="000000"/>
          <w:sz w:val="24"/>
          <w:highlight w:val="none"/>
          <w:lang w:eastAsia="zh-CN"/>
        </w:rPr>
        <w:t>公益演出和</w:t>
      </w:r>
      <w:r>
        <w:rPr>
          <w:rFonts w:hint="eastAsia" w:ascii="宋体" w:hAnsi="宋体" w:cs="宋体"/>
          <w:color w:val="000000"/>
          <w:sz w:val="24"/>
          <w:highlight w:val="none"/>
        </w:rPr>
        <w:t>公益活动（包括但不限于市民免费开放日活动和各类普及性艺术讲座、活动等）不少于30场</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10场公益演出和20场公益活动</w:t>
      </w:r>
      <w:r>
        <w:rPr>
          <w:rFonts w:hint="eastAsia" w:ascii="宋体" w:hAnsi="宋体" w:cs="宋体"/>
          <w:color w:val="000000"/>
          <w:sz w:val="24"/>
          <w:highlight w:val="none"/>
          <w:lang w:eastAsia="zh-CN"/>
        </w:rPr>
        <w:t>）</w:t>
      </w:r>
      <w:r>
        <w:rPr>
          <w:rFonts w:hint="eastAsia" w:ascii="宋体" w:hAnsi="宋体" w:cs="宋体"/>
          <w:color w:val="000000"/>
          <w:sz w:val="24"/>
          <w:highlight w:val="none"/>
        </w:rPr>
        <w:t>。自营演出中， A类演出</w:t>
      </w:r>
      <w:r>
        <w:rPr>
          <w:rFonts w:hint="eastAsia" w:ascii="宋体" w:hAnsi="宋体" w:cs="宋体"/>
          <w:color w:val="000000"/>
          <w:sz w:val="24"/>
          <w:highlight w:val="none"/>
          <w:lang w:eastAsia="zh-CN"/>
        </w:rPr>
        <w:t>不低于自营演出</w:t>
      </w:r>
      <w:r>
        <w:rPr>
          <w:rFonts w:hint="eastAsia" w:ascii="宋体" w:hAnsi="宋体" w:cs="宋体"/>
          <w:color w:val="000000"/>
          <w:sz w:val="24"/>
          <w:highlight w:val="none"/>
        </w:rPr>
        <w:t>总场次40%，B类</w:t>
      </w:r>
      <w:r>
        <w:rPr>
          <w:rFonts w:hint="eastAsia" w:ascii="宋体" w:hAnsi="宋体" w:cs="宋体"/>
          <w:color w:val="000000"/>
          <w:sz w:val="24"/>
          <w:highlight w:val="none"/>
          <w:lang w:eastAsia="zh-CN"/>
        </w:rPr>
        <w:t>演出不低于自营演出</w:t>
      </w:r>
      <w:r>
        <w:rPr>
          <w:rFonts w:hint="eastAsia" w:ascii="宋体" w:hAnsi="宋体" w:cs="宋体"/>
          <w:color w:val="000000"/>
          <w:sz w:val="24"/>
          <w:highlight w:val="none"/>
        </w:rPr>
        <w:t>总场次30%。</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2、年平均上座率不低于55%;观众满意度不低于90%（包括剧目质量、观演环境、剧院服务等内容）（上座率=该场演出出票数/该场演出总座位数的比值）；</w:t>
      </w:r>
      <w:r>
        <w:rPr>
          <w:rFonts w:hint="eastAsia" w:ascii="宋体" w:hAnsi="宋体" w:cs="宋体"/>
          <w:sz w:val="24"/>
          <w:szCs w:val="21"/>
          <w:highlight w:val="none"/>
        </w:rPr>
        <w:t>低于100元的惠民票总体占比率不低于15%</w:t>
      </w:r>
      <w:r>
        <w:rPr>
          <w:rFonts w:hint="eastAsia" w:ascii="宋体" w:hAnsi="宋体" w:cs="宋体"/>
          <w:bCs/>
          <w:sz w:val="24"/>
          <w:szCs w:val="21"/>
          <w:highlight w:val="none"/>
        </w:rPr>
        <w:t>。</w:t>
      </w:r>
    </w:p>
    <w:p>
      <w:pPr>
        <w:spacing w:line="460" w:lineRule="exact"/>
        <w:ind w:firstLine="480" w:firstLineChars="200"/>
        <w:rPr>
          <w:rFonts w:ascii="宋体" w:hAnsi="宋体" w:cs="宋体"/>
          <w:b/>
          <w:bCs/>
          <w:sz w:val="24"/>
          <w:highlight w:val="none"/>
        </w:rPr>
      </w:pPr>
      <w:r>
        <w:rPr>
          <w:rFonts w:hint="eastAsia" w:ascii="宋体" w:hAnsi="宋体" w:cs="宋体"/>
          <w:b/>
          <w:bCs/>
          <w:sz w:val="24"/>
          <w:highlight w:val="none"/>
        </w:rPr>
        <w:t>资产管理指标</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（1）顺义大剧院场馆和建筑配套设施设备、舞台演出设 施设备等资产管理符合本合同相关约定及《顺义大剧院管理规范》；</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（2）做好顺义大剧院资产管理工作，建立清点清单和入库管理、检查、维护、保养、维修等相关台账资料；</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（3）演出设施设备检查、维护和保养情况符合本合同的相关约定及《顺义大剧院管理规范》；</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（4）顺义大剧院资产保值增值和功能作用发挥。</w:t>
      </w:r>
    </w:p>
    <w:p>
      <w:pPr>
        <w:spacing w:line="460" w:lineRule="exact"/>
        <w:ind w:firstLine="480" w:firstLineChars="200"/>
        <w:rPr>
          <w:rFonts w:ascii="宋体" w:hAnsi="宋体" w:cs="宋体"/>
          <w:b/>
          <w:bCs/>
          <w:sz w:val="24"/>
          <w:highlight w:val="none"/>
        </w:rPr>
      </w:pPr>
      <w:r>
        <w:rPr>
          <w:rFonts w:hint="eastAsia" w:ascii="宋体" w:hAnsi="宋体" w:cs="宋体"/>
          <w:b/>
          <w:bCs/>
          <w:sz w:val="24"/>
          <w:highlight w:val="none"/>
        </w:rPr>
        <w:t>安全生产管理指标</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（1）建立健全安全生产领导小组和安全组织机构，责任明确，资料齐全，配有专职的安全员；</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（2）建立健全各部门安全生产责任制，职责明确，各项安全生产规章制度、安全操作规程齐全，并严格执行；</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（3）演出设施设备操作人员做到持证上岗、定岗到位特殊工种作业人员必须经安全培训，持证上岗；</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（4）安全标志、标语醒目，安全操作规程标示牌齐全；</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（5）全年不发生任何有人员伤亡的安全生产事故；</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（6）安全生产事故无漏报、隐瞒不报现象。</w:t>
      </w:r>
    </w:p>
    <w:p>
      <w:pPr>
        <w:spacing w:line="460" w:lineRule="exact"/>
        <w:ind w:firstLine="480" w:firstLineChars="200"/>
        <w:rPr>
          <w:rFonts w:ascii="宋体" w:hAnsi="宋体" w:cs="宋体"/>
          <w:sz w:val="24"/>
          <w:highlight w:val="none"/>
        </w:rPr>
      </w:pPr>
      <w:r>
        <w:rPr>
          <w:rFonts w:hint="eastAsia" w:ascii="宋体" w:hAnsi="宋体" w:cs="宋体"/>
          <w:b/>
          <w:bCs/>
          <w:sz w:val="24"/>
          <w:highlight w:val="none"/>
        </w:rPr>
        <w:t>依法经营指标</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（1）全年无国家行政机关的处罚事件；</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（2）全年无被处罚漏报、隐瞒不报的现象；</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（3）全年未发生严重违约情形。</w:t>
      </w:r>
    </w:p>
    <w:p>
      <w:pPr>
        <w:spacing w:line="460" w:lineRule="exact"/>
        <w:ind w:firstLine="480" w:firstLineChars="200"/>
        <w:rPr>
          <w:rFonts w:ascii="宋体" w:hAnsi="宋体" w:cs="宋体"/>
          <w:sz w:val="24"/>
          <w:highlight w:val="none"/>
        </w:rPr>
      </w:pPr>
      <w:r>
        <w:rPr>
          <w:rFonts w:hint="eastAsia" w:ascii="宋体" w:hAnsi="宋体" w:cs="宋体"/>
          <w:b/>
          <w:bCs/>
          <w:sz w:val="24"/>
          <w:highlight w:val="none"/>
        </w:rPr>
        <w:t>其他管理指标</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（1）在不影响剧院正常剧目安排的情况下，应支持甲方或区政府安排的顺义本地专业院团的排练、演出，租金不得超过市场价的70%，特殊情况另行商定；</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（2）每年免费为甲方或政府提供剧场场地免费使用服务，天数为</w:t>
      </w:r>
      <w:r>
        <w:rPr>
          <w:rFonts w:hint="eastAsia" w:ascii="宋体" w:hAnsi="宋体" w:cs="宋体"/>
          <w:sz w:val="24"/>
          <w:highlight w:val="none"/>
          <w:lang w:val="en-US" w:eastAsia="zh-CN"/>
        </w:rPr>
        <w:t>4</w:t>
      </w:r>
      <w:r>
        <w:rPr>
          <w:rFonts w:hint="eastAsia" w:ascii="宋体" w:hAnsi="宋体" w:cs="宋体"/>
          <w:sz w:val="24"/>
          <w:highlight w:val="none"/>
        </w:rPr>
        <w:t>0天（含设施设备、各类器材及能源物业等）。如因甲方没有使用需求，提供服务天数未满</w:t>
      </w:r>
      <w:r>
        <w:rPr>
          <w:rFonts w:hint="eastAsia" w:ascii="宋体" w:hAnsi="宋体" w:cs="宋体"/>
          <w:sz w:val="24"/>
          <w:highlight w:val="none"/>
          <w:lang w:val="en-US" w:eastAsia="zh-CN"/>
        </w:rPr>
        <w:t>40</w:t>
      </w:r>
      <w:r>
        <w:rPr>
          <w:rFonts w:hint="eastAsia" w:ascii="宋体" w:hAnsi="宋体" w:cs="宋体"/>
          <w:sz w:val="24"/>
          <w:highlight w:val="none"/>
        </w:rPr>
        <w:t>天，则甲方不予追</w:t>
      </w:r>
      <w:r>
        <w:rPr>
          <w:rFonts w:hint="eastAsia" w:ascii="宋体" w:hAnsi="宋体" w:cs="宋体"/>
          <w:sz w:val="24"/>
          <w:highlight w:val="none"/>
          <w:lang w:val="en-US" w:eastAsia="zh-CN"/>
        </w:rPr>
        <w:t>究</w:t>
      </w:r>
      <w:r>
        <w:rPr>
          <w:rFonts w:hint="eastAsia" w:ascii="宋体" w:hAnsi="宋体" w:cs="宋体"/>
          <w:sz w:val="24"/>
          <w:highlight w:val="none"/>
        </w:rPr>
        <w:t>；</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（3）在不影响剧院正常演出安排的情况下，承诺免费接待招标人或政府安排的文化交流等事务性或特定参观访问；</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（4）乙方每年组织市民免费开放日活动，制定市民开放日活动内容，吸引市民参与，扩大剧院影响力。</w:t>
      </w:r>
    </w:p>
    <w:p>
      <w:pPr>
        <w:spacing w:line="460" w:lineRule="exact"/>
        <w:ind w:firstLine="480" w:firstLineChars="200"/>
        <w:rPr>
          <w:rFonts w:ascii="宋体" w:hAnsi="宋体" w:cs="宋体"/>
          <w:b/>
          <w:bCs/>
          <w:sz w:val="24"/>
          <w:highlight w:val="none"/>
        </w:rPr>
      </w:pPr>
      <w:r>
        <w:rPr>
          <w:rFonts w:hint="eastAsia" w:ascii="宋体" w:hAnsi="宋体" w:cs="宋体"/>
          <w:b/>
          <w:bCs/>
          <w:sz w:val="24"/>
          <w:highlight w:val="none"/>
        </w:rPr>
        <w:t>2.演出档次分类及界定</w:t>
      </w:r>
    </w:p>
    <w:p>
      <w:pPr>
        <w:spacing w:line="460" w:lineRule="exact"/>
        <w:rPr>
          <w:rFonts w:ascii="宋体" w:hAnsi="宋体" w:cs="宋体"/>
          <w:sz w:val="24"/>
          <w:highlight w:val="none"/>
        </w:rPr>
      </w:pPr>
      <w:r>
        <w:rPr>
          <w:rFonts w:hint="eastAsia" w:ascii="宋体" w:hAnsi="宋体" w:cs="宋体"/>
          <w:sz w:val="24"/>
          <w:highlight w:val="none"/>
        </w:rPr>
        <w:t>A 类演出</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（1）欧洲和北美地区演出团体中名称带有国家、皇家或者首都城市名称、广播字样的演出团体的演出；</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（2）在国际上享有良好广泛的声誉、举办历史悠久或知名的国际艺术比赛中获得奖项的国内外演出团体的演出；</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（3）国内演出团体中直属国家文旅部、广播电视总局及带有中国、中央字样的国家级文化艺术团体的演出；</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（4）入选国家舞台艺术精品工程、获文旅部“文华奖”、获中宣部“五个一工程奖”的优秀舞台艺术佳作的演出；</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（5）获国际专业艺术比赛大奖或国家授予荣誉称号的艺术家为主演的剧(节)目；</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（6）中央军委政治工作部歌剧团直属艺术团体的演出；</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（7）国内省级艺术院团获得中宣部、国家文化和旅游部、中国文联主办的各单项舞台艺术最高奖项的演出项目；</w:t>
      </w:r>
    </w:p>
    <w:p>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（8）演出单场票房超过25万元的演出项目。</w:t>
      </w:r>
    </w:p>
    <w:p>
      <w:pPr>
        <w:spacing w:line="460" w:lineRule="exact"/>
        <w:rPr>
          <w:rFonts w:ascii="宋体" w:hAnsi="宋体" w:cs="宋体"/>
          <w:sz w:val="24"/>
          <w:highlight w:val="none"/>
        </w:rPr>
      </w:pPr>
      <w:r>
        <w:rPr>
          <w:rFonts w:hint="eastAsia" w:ascii="宋体" w:hAnsi="宋体" w:cs="宋体"/>
          <w:sz w:val="24"/>
          <w:highlight w:val="none"/>
        </w:rPr>
        <w:t>B 类演出</w:t>
      </w:r>
    </w:p>
    <w:p>
      <w:pPr>
        <w:spacing w:line="460" w:lineRule="exact"/>
        <w:rPr>
          <w:rFonts w:hint="eastAsia" w:ascii="宋体" w:hAnsi="宋体" w:cs="宋体"/>
          <w:sz w:val="24"/>
          <w:highlight w:val="none"/>
        </w:rPr>
      </w:pPr>
      <w:r>
        <w:rPr>
          <w:rFonts w:hint="eastAsia" w:ascii="宋体" w:hAnsi="宋体" w:cs="宋体"/>
          <w:sz w:val="24"/>
          <w:highlight w:val="none"/>
        </w:rPr>
        <w:t>（1）北京、上海所属的市级以上艺术团体的演出；</w:t>
      </w:r>
    </w:p>
    <w:p>
      <w:pPr>
        <w:spacing w:line="460" w:lineRule="exact"/>
        <w:rPr>
          <w:rFonts w:hint="eastAsia" w:ascii="宋体" w:hAnsi="宋体" w:cs="宋体"/>
          <w:sz w:val="24"/>
          <w:highlight w:val="none"/>
        </w:rPr>
      </w:pPr>
      <w:r>
        <w:rPr>
          <w:rFonts w:hint="eastAsia" w:ascii="宋体" w:hAnsi="宋体" w:cs="宋体"/>
          <w:sz w:val="24"/>
          <w:highlight w:val="none"/>
        </w:rPr>
        <w:t>（2）以著名古典艺术家命名的国外艺术团体演出的剧目；</w:t>
      </w:r>
    </w:p>
    <w:p>
      <w:pPr>
        <w:spacing w:line="460" w:lineRule="exact"/>
        <w:rPr>
          <w:rFonts w:hint="eastAsia" w:ascii="宋体" w:hAnsi="宋体" w:cs="宋体"/>
          <w:sz w:val="24"/>
          <w:highlight w:val="none"/>
        </w:rPr>
      </w:pPr>
      <w:r>
        <w:rPr>
          <w:rFonts w:hint="eastAsia" w:ascii="宋体" w:hAnsi="宋体" w:cs="宋体"/>
          <w:sz w:val="24"/>
          <w:highlight w:val="none"/>
        </w:rPr>
        <w:t>（3）国外艺术团体名称中带有青年字样或冠以洲际名称的艺术团体的演出；</w:t>
      </w:r>
    </w:p>
    <w:p>
      <w:pPr>
        <w:spacing w:line="460" w:lineRule="exact"/>
        <w:rPr>
          <w:rFonts w:hint="eastAsia" w:ascii="宋体" w:hAnsi="宋体" w:cs="宋体"/>
          <w:sz w:val="24"/>
          <w:highlight w:val="none"/>
        </w:rPr>
      </w:pPr>
      <w:r>
        <w:rPr>
          <w:rFonts w:hint="eastAsia" w:ascii="宋体" w:hAnsi="宋体" w:cs="宋体"/>
          <w:sz w:val="24"/>
          <w:highlight w:val="none"/>
        </w:rPr>
        <w:t>（4）其它城市艺术院团中有地方特色的并获得省委宣传奖、省文化厅或省文联主办的省级以上舞台艺术专业评奖最高奖项的优秀剧(节)目的演出;</w:t>
      </w:r>
    </w:p>
    <w:p>
      <w:pPr>
        <w:spacing w:line="460" w:lineRule="exact"/>
        <w:rPr>
          <w:rFonts w:hint="eastAsia" w:ascii="宋体" w:hAnsi="宋体" w:cs="宋体"/>
          <w:sz w:val="24"/>
          <w:highlight w:val="none"/>
        </w:rPr>
      </w:pPr>
      <w:r>
        <w:rPr>
          <w:rFonts w:hint="eastAsia" w:ascii="宋体" w:hAnsi="宋体" w:cs="宋体"/>
          <w:sz w:val="24"/>
          <w:highlight w:val="none"/>
        </w:rPr>
        <w:t>（5）演出单场票房超过15万元的演出项目。</w:t>
      </w:r>
    </w:p>
    <w:p>
      <w:pPr>
        <w:spacing w:line="460" w:lineRule="exact"/>
        <w:rPr>
          <w:rFonts w:ascii="宋体" w:hAnsi="宋体" w:cs="宋体"/>
          <w:sz w:val="24"/>
          <w:highlight w:val="none"/>
        </w:rPr>
      </w:pPr>
      <w:r>
        <w:rPr>
          <w:rFonts w:hint="eastAsia" w:ascii="宋体" w:hAnsi="宋体" w:cs="宋体"/>
          <w:sz w:val="24"/>
          <w:highlight w:val="none"/>
        </w:rPr>
        <w:t>C 类演出</w:t>
      </w:r>
    </w:p>
    <w:p>
      <w:pPr>
        <w:spacing w:line="460" w:lineRule="exact"/>
        <w:ind w:firstLine="480" w:firstLineChars="200"/>
        <w:rPr>
          <w:rFonts w:ascii="宋体" w:hAnsi="宋体" w:cs="宋体"/>
          <w:b/>
          <w:bCs/>
          <w:sz w:val="24"/>
          <w:highlight w:val="none"/>
        </w:rPr>
      </w:pPr>
      <w:r>
        <w:rPr>
          <w:rFonts w:hint="eastAsia" w:ascii="宋体" w:hAnsi="宋体" w:cs="宋体"/>
          <w:sz w:val="24"/>
          <w:highlight w:val="none"/>
        </w:rPr>
        <w:t>A类、B类演出以外的演出、实验话剧及小型艺术表演。</w:t>
      </w:r>
    </w:p>
    <w:p>
      <w:pPr>
        <w:spacing w:line="460" w:lineRule="exact"/>
        <w:ind w:firstLine="480" w:firstLineChars="200"/>
        <w:rPr>
          <w:rFonts w:ascii="宋体" w:hAnsi="宋体" w:cs="宋体"/>
          <w:b/>
          <w:bCs/>
          <w:sz w:val="24"/>
          <w:highlight w:val="none"/>
        </w:rPr>
      </w:pPr>
      <w:r>
        <w:rPr>
          <w:rFonts w:hint="eastAsia" w:ascii="宋体" w:hAnsi="宋体" w:cs="宋体"/>
          <w:b/>
          <w:bCs/>
          <w:sz w:val="24"/>
          <w:highlight w:val="none"/>
        </w:rPr>
        <w:t>3.名词定义</w:t>
      </w:r>
    </w:p>
    <w:p>
      <w:pPr>
        <w:spacing w:line="460" w:lineRule="exact"/>
        <w:ind w:firstLine="480" w:firstLineChars="200"/>
        <w:rPr>
          <w:rFonts w:hint="eastAsia" w:ascii="宋体" w:hAnsi="宋体" w:cs="宋体"/>
          <w:sz w:val="24"/>
          <w:highlight w:val="none"/>
        </w:rPr>
      </w:pPr>
      <w:r>
        <w:rPr>
          <w:rFonts w:hint="eastAsia" w:ascii="宋体" w:hAnsi="宋体" w:cs="宋体"/>
          <w:b/>
          <w:bCs/>
          <w:sz w:val="24"/>
          <w:highlight w:val="none"/>
        </w:rPr>
        <w:t>自营演出：</w:t>
      </w:r>
      <w:r>
        <w:rPr>
          <w:rFonts w:hint="eastAsia" w:ascii="宋体" w:hAnsi="宋体" w:cs="宋体"/>
          <w:sz w:val="24"/>
          <w:highlight w:val="none"/>
        </w:rPr>
        <w:t>是指由乙方采购或共同承担演出团体 或个人的演出费及相关接待费用，且收益归乙方或双方分账的演出。(此处双方分账不含甲方)不包含甲方的免费用场。</w:t>
      </w:r>
    </w:p>
    <w:p>
      <w:pPr>
        <w:spacing w:line="460" w:lineRule="exact"/>
        <w:ind w:firstLine="480" w:firstLineChars="200"/>
        <w:rPr>
          <w:rFonts w:hint="eastAsia" w:ascii="宋体" w:hAnsi="宋体" w:cs="宋体"/>
          <w:sz w:val="24"/>
          <w:highlight w:val="none"/>
        </w:rPr>
      </w:pPr>
      <w:r>
        <w:rPr>
          <w:rFonts w:hint="eastAsia" w:ascii="宋体" w:hAnsi="宋体" w:cs="宋体"/>
          <w:b/>
          <w:bCs/>
          <w:sz w:val="24"/>
          <w:highlight w:val="none"/>
        </w:rPr>
        <w:t>租场演出：</w:t>
      </w:r>
      <w:r>
        <w:rPr>
          <w:rFonts w:hint="eastAsia" w:ascii="宋体" w:hAnsi="宋体" w:cs="宋体"/>
          <w:sz w:val="24"/>
          <w:highlight w:val="none"/>
        </w:rPr>
        <w:t>是指由第三方自行组织，乙方仅提供场地及活动服务并收取场租费的活动。</w:t>
      </w:r>
    </w:p>
    <w:p>
      <w:pPr>
        <w:spacing w:line="460" w:lineRule="exact"/>
        <w:ind w:firstLine="480" w:firstLineChars="200"/>
        <w:rPr>
          <w:rFonts w:ascii="宋体" w:hAnsi="宋体" w:cs="宋体"/>
          <w:sz w:val="24"/>
          <w:highlight w:val="none"/>
        </w:rPr>
      </w:pPr>
      <w:r>
        <w:rPr>
          <w:rFonts w:hint="eastAsia" w:ascii="宋体" w:hAnsi="宋体" w:cs="宋体"/>
          <w:b/>
          <w:bCs/>
          <w:sz w:val="24"/>
          <w:highlight w:val="none"/>
        </w:rPr>
        <w:t>公益活动：</w:t>
      </w:r>
      <w:r>
        <w:rPr>
          <w:rFonts w:hint="eastAsia" w:ascii="宋体" w:hAnsi="宋体" w:cs="宋体"/>
          <w:sz w:val="24"/>
          <w:highlight w:val="none"/>
        </w:rPr>
        <w:t>是指不以盈利为目的组织的活动。</w:t>
      </w:r>
    </w:p>
    <w:p>
      <w:pPr>
        <w:spacing w:line="460" w:lineRule="exact"/>
        <w:ind w:firstLine="480" w:firstLineChars="200"/>
        <w:rPr>
          <w:rFonts w:ascii="宋体" w:hAnsi="宋体" w:cs="宋体"/>
          <w:sz w:val="24"/>
          <w:highlight w:val="none"/>
        </w:rPr>
      </w:pPr>
      <w:r>
        <w:rPr>
          <w:rFonts w:hint="eastAsia" w:ascii="宋体" w:hAnsi="宋体" w:cs="宋体"/>
          <w:b/>
          <w:bCs/>
          <w:sz w:val="24"/>
          <w:highlight w:val="none"/>
        </w:rPr>
        <w:t>上座率：</w:t>
      </w:r>
      <w:r>
        <w:rPr>
          <w:rFonts w:hint="eastAsia" w:ascii="宋体" w:hAnsi="宋体" w:cs="宋体"/>
          <w:sz w:val="24"/>
          <w:highlight w:val="none"/>
        </w:rPr>
        <w:t>年平均上座率不低于55%,有效出票数除以剧场座位可售票数；公益活动不计算上座率；低于100元的惠民票总体占比率不低于15%。</w:t>
      </w:r>
    </w:p>
    <w:p>
      <w:pPr>
        <w:spacing w:line="460" w:lineRule="exact"/>
        <w:ind w:firstLine="480" w:firstLineChars="200"/>
        <w:rPr>
          <w:rFonts w:ascii="宋体" w:hAnsi="宋体" w:cs="宋体"/>
          <w:sz w:val="24"/>
          <w:highlight w:val="none"/>
        </w:rPr>
      </w:pPr>
      <w:r>
        <w:rPr>
          <w:rFonts w:hint="eastAsia" w:ascii="宋体" w:hAnsi="宋体" w:cs="宋体"/>
          <w:b/>
          <w:bCs/>
          <w:sz w:val="24"/>
          <w:highlight w:val="none"/>
        </w:rPr>
        <w:t>有效出票数：</w:t>
      </w:r>
      <w:r>
        <w:rPr>
          <w:rFonts w:hint="eastAsia" w:ascii="宋体" w:hAnsi="宋体" w:cs="宋体"/>
          <w:sz w:val="24"/>
          <w:highlight w:val="none"/>
        </w:rPr>
        <w:t>从乙方所属票务系统打印的演出票数(包括政府及招标人工作票、与演出活动相关单位的置换票、包场 冠名票、部队、学生、伤残人士等弱势群体的赠票及其他招标人认可的票数)。</w:t>
      </w:r>
    </w:p>
    <w:p>
      <w:pPr>
        <w:spacing w:line="460" w:lineRule="exact"/>
        <w:rPr>
          <w:rFonts w:ascii="宋体" w:hAnsi="宋体" w:cs="宋体"/>
          <w:b/>
          <w:sz w:val="24"/>
          <w:highlight w:val="none"/>
        </w:rPr>
      </w:pPr>
      <w:r>
        <w:rPr>
          <w:rFonts w:hint="eastAsia" w:ascii="宋体" w:hAnsi="宋体" w:cs="宋体"/>
          <w:b/>
          <w:sz w:val="24"/>
          <w:highlight w:val="none"/>
        </w:rPr>
        <w:t>六、剧院管理相关要求</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1.知识产权使用管理</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（1）因经营需要，原则上有偿使用“顺义大剧院”冠名或标识，并须经主管部门同意后方可使用。</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（2）在大剧院范围内进行广告宣传须报主管部门核准。</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2.场地设备租借管理</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（1）场地设备指剧院、音乐厅、贵宾厅、化妆间等经营演出场所，钢琴等各类演出乐器，灯光、音响等舞台设施，多功能显示屏等广告宣传设施及其它演出设备设施。</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（2）经营演出场地设备租借收入由委托运营方受益。</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3.设备维护保养管理要求</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（1）责任范围</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委托运营方负责顺义大剧院所有设备设施的安全、正常运行和维护保养、物业管理，招标人及其上级业务主管部门负责监督管理。</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（2）具体要求</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1）按照设备设施的价值、结构复杂程度、使用维护难度以及对顺义大剧院演出的影响程度，分为关键设备、主要设备和一般设备三类级别，实行分类分级管理。</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2）设备设施的维护保养以预防为主，状态监测故障诊断为基础，做好预防维护检修，及时消除故障隐患，确保设备安全、正常运行。</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3）实行维护维修岗位责任制，专人负责，岗位到人。</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4）特种设备须具有专业资质的单位进行维护保养和修理。</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5）设备设施的使用必须包括以下内容：</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①设备设施技术性能和允许的极限参数；</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②设备设施交接使用规定；</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③设备设施的操作步骤；</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④紧急情况处理规定；</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⑤设备设施使用安全注意事项；</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⑥设备设施运行的故障排除。</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6）设备实施维护规程应包括的内容：</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①设备运行示意图和电气原理图；</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②设备润滑“五定”图标和要求；</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③日常和定期清洁保养规定；</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④设备使用过程中的各项检查要求，包括路线、部位、内容、标准状况参数、周期（时间）、检查人等；</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⑤运行中常见故障的排除方法。</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7）对需外协修理的设备或价值超过2万元的设备维修，应事前向招标人申请并经上级业务主管部门审核同意后到指定厂家维修。</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8）委托运营方管辖范围设备设施的日常维护维修与保养由委托运营方负责。</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9）对各类演出专用乐器、演出专业设备及公共设备等要编制季度保养计划，进行重点监督、分级管理。</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10）各类重点设备设施，如设备间（室）、控制室（间）、剧院（含音乐厅）、排练厅、贵宾厅、VIP化妆间等，根据使用情况每季度至少组织一次专项检查。</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11）对演出设备事故造成设备设施损坏的，责任方要承担修复或赔偿责任。</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12）因使用不合格或劣质备品备件以及消耗用品造成设备设施功能下降或发生故障的，根据造成的损失给予责任方1～2万元罚款处罚，责任方同时承担修复或赔偿责任。</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13）因违反使用（操作）规定，造成设备设施损坏或功能显著下降的，责任方要承担修复或赔偿责任。</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14）因设备设施维护保养不到位，在演出期间凡发生影响演出质量或影响正常演出的设备故障，根据故障的大小、对演出影响的程度处责任单位2～5万元的罚金，造成设备实施损坏的，责任方要承担修复或赔偿责任。</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4.维护维修与保养费用管理</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委托运营方管辖范围设备设施的日常维护维修保养、物业管理费用由委托运营方负责。</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5.资产台帐及维保计划要求</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各类设施设备须建立资产台帐、维保计划，保障其资产安全及功能正常发挥。</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6.能源管理要求</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（1）委托运营方负责包括但不限于舞台、观众厅、化妆区、排练厅、贵宾厅、钢琴房、衣帽间、所属办公区、淋浴间、工服房、设备器材存放间（控制室）等关联区域的用水、用电管理；</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（2）通风系统、空调、热水锅炉等用较大用电设备，在无需使用时应及时关闭，委托运营方应制定具体管理制度。</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7.物业管理要求</w:t>
      </w:r>
    </w:p>
    <w:p>
      <w:pPr>
        <w:spacing w:line="460" w:lineRule="exact"/>
        <w:ind w:firstLine="480" w:firstLineChars="200"/>
        <w:rPr>
          <w:rFonts w:ascii="宋体" w:hAnsi="宋体" w:cs="宋体"/>
          <w:b/>
          <w:sz w:val="24"/>
          <w:highlight w:val="none"/>
        </w:rPr>
      </w:pPr>
      <w:r>
        <w:rPr>
          <w:rFonts w:hint="eastAsia" w:ascii="宋体" w:hAnsi="宋体" w:cs="宋体"/>
          <w:sz w:val="24"/>
          <w:highlight w:val="none"/>
        </w:rPr>
        <w:t>委托运营方负责顺义大剧院建筑滴水线以内区域的物业管理，包括但不限于设施设备维护管理，保安、保洁管理，保障顺义大剧院正常经营。</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8.剧院安全管理要求</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（1）委托运营方必须制定《剧院火灾、火险以及突发事件应急预案》，编制疏散路线图，每年组织一次演练，全体员工必须积极参与剧院应急疏散演练。</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2）委托运营方必须制定包括但不限于《剧院消防安全管理制度》《剧院安全生产责任制度》《剧院安全生产管理机构职责》《剧院安全生产教育培训考核制度》《剧院生产安全事故报告和调查处理制度》等制度。</w:t>
      </w:r>
    </w:p>
    <w:p>
      <w:pPr>
        <w:spacing w:line="460" w:lineRule="exact"/>
        <w:ind w:firstLine="360" w:firstLineChars="150"/>
        <w:rPr>
          <w:rFonts w:ascii="宋体" w:hAnsi="宋体" w:cs="宋体"/>
          <w:sz w:val="24"/>
          <w:highlight w:val="none"/>
        </w:rPr>
      </w:pPr>
      <w:r>
        <w:rPr>
          <w:rFonts w:hint="eastAsia" w:ascii="宋体" w:hAnsi="宋体" w:cs="宋体"/>
          <w:sz w:val="24"/>
          <w:highlight w:val="none"/>
        </w:rPr>
        <w:t>（3）为确保演出的顺利进行，保证剧院的设备、设施及人员的安全，委托运营方必须制定详细的《顺义大剧院舞台使用管理规定》。包括但不限于“入场前准备”“人员管理”“安全管理（消防安全、设备使用安全）”“舞台设施管理”以及“演出管理”等内容。</w:t>
      </w:r>
    </w:p>
    <w:p>
      <w:pPr>
        <w:spacing w:line="460" w:lineRule="exact"/>
        <w:ind w:firstLine="480" w:firstLineChars="200"/>
        <w:rPr>
          <w:rFonts w:ascii="宋体" w:hAnsi="宋体" w:cs="宋体"/>
          <w:b/>
          <w:sz w:val="24"/>
          <w:highlight w:val="none"/>
        </w:rPr>
      </w:pPr>
    </w:p>
    <w:p>
      <w:pPr>
        <w:spacing w:line="460" w:lineRule="exact"/>
        <w:rPr>
          <w:rFonts w:ascii="宋体" w:hAnsi="宋体" w:cs="宋体"/>
          <w:b/>
          <w:sz w:val="24"/>
          <w:highlight w:val="none"/>
        </w:rPr>
      </w:pPr>
      <w:r>
        <w:rPr>
          <w:rFonts w:hint="eastAsia" w:ascii="宋体" w:hAnsi="宋体" w:cs="宋体"/>
          <w:b/>
          <w:sz w:val="24"/>
          <w:highlight w:val="none"/>
        </w:rPr>
        <w:t>七、年度考核</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1.考核时间：依据《顺义大剧院委托经营管理合同》，顺义区文化和旅游局负责管理顺义大剧院的经营管理期限为2024年5月29日至2026年5月28日。分别于2025年6至7月和2026年6月至7月进行全年考核工作。</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2.考核内容及标准：根据《顺义大剧院运营管理公司委托经营管理考核办法》（详见附件1）的内容及标准进行。</w:t>
      </w:r>
    </w:p>
    <w:p>
      <w:pPr>
        <w:spacing w:line="460" w:lineRule="exact"/>
        <w:rPr>
          <w:rFonts w:ascii="宋体" w:hAnsi="宋体" w:cs="宋体"/>
          <w:b/>
          <w:sz w:val="24"/>
          <w:highlight w:val="none"/>
        </w:rPr>
      </w:pPr>
      <w:r>
        <w:rPr>
          <w:rFonts w:hint="eastAsia" w:ascii="宋体" w:hAnsi="宋体" w:cs="宋体"/>
          <w:b/>
          <w:sz w:val="24"/>
          <w:highlight w:val="none"/>
        </w:rPr>
        <w:t>八、报价要求</w:t>
      </w:r>
    </w:p>
    <w:p>
      <w:pPr>
        <w:spacing w:line="460" w:lineRule="exact"/>
        <w:ind w:firstLine="480" w:firstLineChars="200"/>
        <w:rPr>
          <w:rFonts w:ascii="宋体" w:hAnsi="宋体" w:cs="宋体"/>
          <w:sz w:val="24"/>
          <w:highlight w:val="none"/>
        </w:rPr>
      </w:pPr>
      <w:r>
        <w:rPr>
          <w:rFonts w:hint="eastAsia" w:ascii="宋体" w:hAnsi="宋体" w:cs="宋体"/>
          <w:bCs/>
          <w:sz w:val="24"/>
          <w:highlight w:val="none"/>
        </w:rPr>
        <w:t>1.本次投标请投标人用人民币报价。</w:t>
      </w:r>
      <w:r>
        <w:rPr>
          <w:rFonts w:hint="eastAsia" w:ascii="宋体" w:hAnsi="宋体" w:cs="宋体"/>
          <w:sz w:val="24"/>
          <w:highlight w:val="none"/>
        </w:rPr>
        <w:t>投标人须充分了解项目全部风险，并将各项费用综合考虑进报价</w:t>
      </w:r>
      <w:r>
        <w:rPr>
          <w:rFonts w:hint="eastAsia" w:ascii="宋体" w:hAnsi="宋体" w:cs="宋体"/>
          <w:bCs/>
          <w:sz w:val="24"/>
          <w:highlight w:val="none"/>
        </w:rPr>
        <w:t>（年运营补贴）</w:t>
      </w:r>
      <w:r>
        <w:rPr>
          <w:rFonts w:hint="eastAsia" w:ascii="宋体" w:hAnsi="宋体" w:cs="宋体"/>
          <w:sz w:val="24"/>
          <w:highlight w:val="none"/>
        </w:rPr>
        <w:t>中。</w:t>
      </w:r>
      <w:r>
        <w:rPr>
          <w:rFonts w:hint="eastAsia" w:ascii="宋体" w:hAnsi="宋体" w:cs="宋体"/>
          <w:b/>
          <w:bCs/>
          <w:sz w:val="24"/>
          <w:highlight w:val="none"/>
        </w:rPr>
        <w:t>年运营补贴</w:t>
      </w:r>
      <w:r>
        <w:rPr>
          <w:rFonts w:hint="eastAsia" w:ascii="宋体" w:hAnsi="宋体" w:cs="宋体"/>
          <w:b/>
          <w:sz w:val="24"/>
          <w:highlight w:val="none"/>
        </w:rPr>
        <w:t>包含但不限于以下费用：剧院</w:t>
      </w:r>
      <w:r>
        <w:rPr>
          <w:rFonts w:hint="eastAsia" w:ascii="宋体" w:hAnsi="宋体" w:cs="宋体"/>
          <w:b/>
          <w:bCs/>
          <w:sz w:val="24"/>
          <w:highlight w:val="none"/>
        </w:rPr>
        <w:t>经营管理费、日常运营费、营销费，设备设施日常维护维修保养费、物业管理费、水电能源费、国家法律法规规定的规费、税费、保险、培训费等一切费用，</w:t>
      </w:r>
      <w:r>
        <w:rPr>
          <w:rFonts w:hint="eastAsia" w:ascii="宋体" w:hAnsi="宋体" w:cs="宋体"/>
          <w:b/>
          <w:bCs/>
          <w:color w:val="000000" w:themeColor="text1"/>
          <w:sz w:val="24"/>
          <w:highlight w:val="none"/>
          <w14:textFill>
            <w14:solidFill>
              <w14:schemeClr w14:val="tx1"/>
            </w14:solidFill>
          </w14:textFill>
        </w:rPr>
        <w:t>以及剧院运营筹备期，大剧院咨询服务费、人员经费、培训费用、宣传费用、工服费用、开荒保洁、行政开支等经费。</w:t>
      </w:r>
      <w:r>
        <w:rPr>
          <w:rFonts w:hint="eastAsia" w:ascii="宋体" w:hAnsi="宋体" w:cs="宋体"/>
          <w:b/>
          <w:bCs/>
          <w:color w:val="000000" w:themeColor="text1"/>
          <w:sz w:val="24"/>
          <w:highlight w:val="none"/>
          <w:lang w:val="en-US" w:eastAsia="zh-CN"/>
          <w14:textFill>
            <w14:solidFill>
              <w14:schemeClr w14:val="tx1"/>
            </w14:solidFill>
          </w14:textFill>
        </w:rPr>
        <w:t>顺义区文化和旅游局</w:t>
      </w:r>
      <w:r>
        <w:rPr>
          <w:rFonts w:hint="eastAsia" w:ascii="宋体" w:hAnsi="宋体" w:cs="宋体"/>
          <w:b/>
          <w:bCs/>
          <w:color w:val="000000" w:themeColor="text1"/>
          <w:sz w:val="24"/>
          <w:highlight w:val="none"/>
          <w14:textFill>
            <w14:solidFill>
              <w14:schemeClr w14:val="tx1"/>
            </w14:solidFill>
          </w14:textFill>
        </w:rPr>
        <w:t>以顺义大剧院现有情况交付运营方，大剧院开办物资需要运营方自行购买承担，</w:t>
      </w:r>
      <w:r>
        <w:rPr>
          <w:rFonts w:hint="eastAsia" w:ascii="宋体" w:hAnsi="宋体" w:cs="宋体"/>
          <w:b/>
          <w:bCs/>
          <w:color w:val="000000" w:themeColor="text1"/>
          <w:sz w:val="24"/>
          <w:highlight w:val="none"/>
          <w:lang w:val="en-US" w:eastAsia="zh-CN"/>
          <w14:textFill>
            <w14:solidFill>
              <w14:schemeClr w14:val="tx1"/>
            </w14:solidFill>
          </w14:textFill>
        </w:rPr>
        <w:t>顺义区文化和旅游局</w:t>
      </w:r>
      <w:r>
        <w:rPr>
          <w:rFonts w:hint="eastAsia" w:ascii="宋体" w:hAnsi="宋体" w:cs="宋体"/>
          <w:b/>
          <w:bCs/>
          <w:color w:val="000000" w:themeColor="text1"/>
          <w:sz w:val="24"/>
          <w:highlight w:val="none"/>
          <w14:textFill>
            <w14:solidFill>
              <w14:schemeClr w14:val="tx1"/>
            </w14:solidFill>
          </w14:textFill>
        </w:rPr>
        <w:t>不再承担其他任何费用。</w:t>
      </w:r>
      <w:r>
        <w:rPr>
          <w:rFonts w:hint="eastAsia" w:ascii="宋体" w:hAnsi="宋体" w:cs="宋体"/>
          <w:bCs/>
          <w:sz w:val="24"/>
          <w:highlight w:val="none"/>
        </w:rPr>
        <w:t>投标人</w:t>
      </w:r>
      <w:r>
        <w:rPr>
          <w:rFonts w:hint="eastAsia" w:ascii="宋体" w:hAnsi="宋体" w:cs="宋体"/>
          <w:sz w:val="24"/>
          <w:highlight w:val="none"/>
        </w:rPr>
        <w:t>须充分考虑本项目可能存在的风险，包括天气、不可抗力、市场行情变化、相关法律规定的变化调整、招标人所在行业的限制及禁止性规定等，项目费用包干。</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2.本项目</w:t>
      </w:r>
      <w:r>
        <w:rPr>
          <w:rFonts w:hint="eastAsia" w:ascii="宋体" w:hAnsi="宋体" w:cs="宋体"/>
          <w:b/>
          <w:bCs/>
          <w:sz w:val="24"/>
          <w:highlight w:val="none"/>
        </w:rPr>
        <w:t>年运营补贴</w:t>
      </w:r>
      <w:r>
        <w:rPr>
          <w:rFonts w:hint="eastAsia" w:ascii="宋体" w:hAnsi="宋体" w:cs="宋体"/>
          <w:b/>
          <w:sz w:val="24"/>
          <w:highlight w:val="none"/>
        </w:rPr>
        <w:t>最高控制价如下：</w:t>
      </w:r>
    </w:p>
    <w:tbl>
      <w:tblPr>
        <w:tblStyle w:val="4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3118"/>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60" w:type="dxa"/>
            <w:vAlign w:val="center"/>
          </w:tcPr>
          <w:p>
            <w:pPr>
              <w:spacing w:line="460" w:lineRule="exact"/>
              <w:jc w:val="center"/>
              <w:rPr>
                <w:rFonts w:ascii="宋体" w:hAnsi="宋体" w:cs="宋体"/>
                <w:b/>
                <w:sz w:val="24"/>
                <w:highlight w:val="none"/>
              </w:rPr>
            </w:pPr>
            <w:r>
              <w:rPr>
                <w:rFonts w:hint="eastAsia" w:ascii="宋体" w:hAnsi="宋体" w:cs="宋体"/>
                <w:b/>
                <w:sz w:val="24"/>
                <w:highlight w:val="none"/>
              </w:rPr>
              <w:t>序号</w:t>
            </w:r>
          </w:p>
        </w:tc>
        <w:tc>
          <w:tcPr>
            <w:tcW w:w="3118" w:type="dxa"/>
            <w:vAlign w:val="center"/>
          </w:tcPr>
          <w:p>
            <w:pPr>
              <w:spacing w:line="460" w:lineRule="exact"/>
              <w:jc w:val="center"/>
              <w:rPr>
                <w:rFonts w:ascii="宋体" w:hAnsi="宋体" w:cs="宋体"/>
                <w:b/>
                <w:sz w:val="24"/>
                <w:highlight w:val="none"/>
              </w:rPr>
            </w:pPr>
            <w:r>
              <w:rPr>
                <w:rFonts w:hint="eastAsia" w:ascii="宋体" w:hAnsi="宋体" w:cs="宋体"/>
                <w:b/>
                <w:sz w:val="24"/>
                <w:highlight w:val="none"/>
              </w:rPr>
              <w:t>内容</w:t>
            </w:r>
          </w:p>
        </w:tc>
        <w:tc>
          <w:tcPr>
            <w:tcW w:w="4111" w:type="dxa"/>
            <w:vAlign w:val="center"/>
          </w:tcPr>
          <w:p>
            <w:pPr>
              <w:spacing w:line="460" w:lineRule="exact"/>
              <w:jc w:val="center"/>
              <w:rPr>
                <w:rFonts w:ascii="宋体" w:hAnsi="宋体" w:cs="宋体"/>
                <w:b/>
                <w:sz w:val="24"/>
                <w:highlight w:val="none"/>
              </w:rPr>
            </w:pPr>
            <w:r>
              <w:rPr>
                <w:rFonts w:hint="eastAsia" w:ascii="宋体" w:hAnsi="宋体" w:cs="宋体"/>
                <w:b/>
                <w:bCs/>
                <w:sz w:val="24"/>
                <w:highlight w:val="none"/>
              </w:rPr>
              <w:t>年运营补贴</w:t>
            </w:r>
            <w:r>
              <w:rPr>
                <w:rFonts w:hint="eastAsia" w:ascii="宋体" w:hAnsi="宋体" w:cs="宋体"/>
                <w:b/>
                <w:sz w:val="24"/>
                <w:highlight w:val="none"/>
              </w:rPr>
              <w:t>最高控制价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460" w:lineRule="exact"/>
              <w:jc w:val="center"/>
              <w:rPr>
                <w:rFonts w:ascii="宋体" w:hAnsi="宋体" w:cs="宋体"/>
                <w:b/>
                <w:sz w:val="24"/>
                <w:highlight w:val="none"/>
              </w:rPr>
            </w:pPr>
            <w:r>
              <w:rPr>
                <w:rFonts w:hint="eastAsia" w:ascii="宋体" w:hAnsi="宋体" w:cs="宋体"/>
                <w:b/>
                <w:sz w:val="24"/>
                <w:highlight w:val="none"/>
              </w:rPr>
              <w:t>1</w:t>
            </w:r>
          </w:p>
        </w:tc>
        <w:tc>
          <w:tcPr>
            <w:tcW w:w="3118" w:type="dxa"/>
          </w:tcPr>
          <w:p>
            <w:pPr>
              <w:spacing w:line="460" w:lineRule="exact"/>
              <w:jc w:val="center"/>
              <w:rPr>
                <w:rFonts w:ascii="宋体" w:hAnsi="宋体" w:cs="宋体"/>
                <w:b/>
                <w:sz w:val="24"/>
                <w:highlight w:val="none"/>
              </w:rPr>
            </w:pPr>
            <w:r>
              <w:rPr>
                <w:rFonts w:hint="eastAsia" w:ascii="宋体" w:hAnsi="宋体" w:cs="宋体"/>
                <w:b/>
                <w:bCs/>
                <w:sz w:val="24"/>
                <w:highlight w:val="none"/>
              </w:rPr>
              <w:t>年运营补贴</w:t>
            </w:r>
          </w:p>
        </w:tc>
        <w:tc>
          <w:tcPr>
            <w:tcW w:w="4111" w:type="dxa"/>
          </w:tcPr>
          <w:p>
            <w:pPr>
              <w:spacing w:line="460" w:lineRule="exact"/>
              <w:jc w:val="center"/>
              <w:rPr>
                <w:rFonts w:ascii="宋体" w:hAnsi="宋体" w:cs="宋体"/>
                <w:b/>
                <w:sz w:val="24"/>
                <w:highlight w:val="none"/>
              </w:rPr>
            </w:pPr>
            <w:r>
              <w:rPr>
                <w:rFonts w:hint="eastAsia" w:ascii="宋体" w:hAnsi="宋体" w:cs="宋体"/>
                <w:b/>
                <w:sz w:val="24"/>
                <w:highlight w:val="none"/>
              </w:rPr>
              <w:t>人民币</w:t>
            </w:r>
            <w:r>
              <w:rPr>
                <w:rFonts w:hint="eastAsia" w:ascii="宋体" w:hAnsi="宋体" w:cs="宋体"/>
                <w:b/>
                <w:sz w:val="24"/>
                <w:highlight w:val="none"/>
                <w:u w:val="single"/>
              </w:rPr>
              <w:t xml:space="preserve"> 718.4 万</w:t>
            </w:r>
            <w:r>
              <w:rPr>
                <w:rFonts w:hint="eastAsia" w:ascii="宋体" w:hAnsi="宋体" w:cs="宋体"/>
                <w:b/>
                <w:sz w:val="24"/>
                <w:highlight w:val="none"/>
              </w:rPr>
              <w:t>元/年</w:t>
            </w:r>
          </w:p>
        </w:tc>
      </w:tr>
    </w:tbl>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注：投标报价超过对应最高控制价的，其报价将被拒绝。</w:t>
      </w:r>
    </w:p>
    <w:p>
      <w:pPr>
        <w:spacing w:line="460" w:lineRule="exact"/>
        <w:ind w:firstLine="472" w:firstLineChars="200"/>
        <w:rPr>
          <w:rFonts w:ascii="宋体" w:hAnsi="宋体" w:cs="宋体"/>
          <w:spacing w:val="-2"/>
          <w:sz w:val="24"/>
          <w:highlight w:val="none"/>
        </w:rPr>
      </w:pPr>
      <w:r>
        <w:rPr>
          <w:rFonts w:hint="eastAsia" w:ascii="宋体" w:hAnsi="宋体" w:cs="宋体"/>
          <w:spacing w:val="-2"/>
          <w:sz w:val="24"/>
          <w:highlight w:val="none"/>
        </w:rPr>
        <w:t>3.若</w:t>
      </w:r>
      <w:r>
        <w:rPr>
          <w:rFonts w:hint="eastAsia" w:ascii="宋体" w:hAnsi="宋体" w:cs="宋体"/>
          <w:bCs/>
          <w:spacing w:val="-2"/>
          <w:sz w:val="24"/>
          <w:highlight w:val="none"/>
        </w:rPr>
        <w:t>投标人</w:t>
      </w:r>
      <w:r>
        <w:rPr>
          <w:rFonts w:hint="eastAsia" w:ascii="宋体" w:hAnsi="宋体" w:cs="宋体"/>
          <w:spacing w:val="-2"/>
          <w:sz w:val="24"/>
          <w:highlight w:val="none"/>
        </w:rPr>
        <w:t>违反国家、地方法律法规遭受处罚或导致项目损失由</w:t>
      </w:r>
      <w:r>
        <w:rPr>
          <w:rFonts w:hint="eastAsia" w:ascii="宋体" w:hAnsi="宋体" w:cs="宋体"/>
          <w:bCs/>
          <w:spacing w:val="-2"/>
          <w:sz w:val="24"/>
          <w:highlight w:val="none"/>
        </w:rPr>
        <w:t>投标人</w:t>
      </w:r>
      <w:r>
        <w:rPr>
          <w:rFonts w:hint="eastAsia" w:ascii="宋体" w:hAnsi="宋体" w:cs="宋体"/>
          <w:spacing w:val="-2"/>
          <w:sz w:val="24"/>
          <w:highlight w:val="none"/>
        </w:rPr>
        <w:t>自行承担。</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 xml:space="preserve">八、 </w:t>
      </w:r>
      <w:r>
        <w:rPr>
          <w:rFonts w:hint="eastAsia" w:ascii="宋体" w:hAnsi="宋体" w:cs="宋体"/>
          <w:b/>
          <w:bCs/>
          <w:sz w:val="24"/>
          <w:highlight w:val="none"/>
        </w:rPr>
        <w:t>结算及</w:t>
      </w:r>
      <w:r>
        <w:rPr>
          <w:rFonts w:hint="eastAsia" w:ascii="宋体" w:hAnsi="宋体" w:cs="宋体"/>
          <w:b/>
          <w:sz w:val="24"/>
          <w:highlight w:val="none"/>
        </w:rPr>
        <w:t>付款方式</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由主管部门按下列程序付款：</w:t>
      </w:r>
    </w:p>
    <w:p>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原则上甲方每年分三次向乙方支付补贴费用。（1）合同生效且财政资金下达后，甲方在收到发票后15个工作日内通过银行转账的方式支付合同金额的50%；（2）乙方提交半年经营报告经甲方认可且财政资金下达后，甲方在收到发票后15个工作日内通过银行转账的方式支付合同金额的30%；（3）完成全年经营指标和结算评审且财政资金到位后，甲方在收到发票后15个工作日内通过银行转账的方式向乙方支付合同金额的20%，最终金额以财政评审为准。</w:t>
      </w:r>
    </w:p>
    <w:p>
      <w:pPr>
        <w:spacing w:line="460" w:lineRule="exact"/>
        <w:ind w:firstLine="480" w:firstLineChars="200"/>
        <w:rPr>
          <w:rFonts w:ascii="宋体" w:hAnsi="宋体" w:cs="宋体"/>
          <w:color w:val="C00000"/>
          <w:sz w:val="24"/>
          <w:highlight w:val="none"/>
        </w:rPr>
      </w:pPr>
      <w:r>
        <w:rPr>
          <w:rFonts w:hint="eastAsia" w:ascii="宋体" w:hAnsi="宋体" w:cs="宋体"/>
          <w:color w:val="000000" w:themeColor="text1"/>
          <w:sz w:val="24"/>
          <w:highlight w:val="none"/>
          <w14:textFill>
            <w14:solidFill>
              <w14:schemeClr w14:val="tx1"/>
            </w14:solidFill>
          </w14:textFill>
        </w:rPr>
        <w:t>鉴于项目资金由区财政授权拨付，具体支付时间待甲方申请区财政资金到位后予以支付，支付步骤按照区财政局程序要求执行。</w:t>
      </w:r>
    </w:p>
    <w:p>
      <w:pPr>
        <w:numPr>
          <w:ilvl w:val="0"/>
          <w:numId w:val="0"/>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lang w:val="en-US" w:eastAsia="zh-CN"/>
        </w:rPr>
        <w:t>2.</w:t>
      </w:r>
      <w:r>
        <w:rPr>
          <w:rFonts w:hint="eastAsia" w:ascii="宋体" w:hAnsi="宋体" w:cs="宋体"/>
          <w:bCs/>
          <w:sz w:val="24"/>
          <w:szCs w:val="21"/>
          <w:highlight w:val="none"/>
        </w:rPr>
        <w:t>每期运营补贴由乙方向甲方提出申请，甲方报请有权部门审核拨付，拨款流程按照政府相关部门规定执行。</w:t>
      </w:r>
    </w:p>
    <w:p>
      <w:pPr>
        <w:numPr>
          <w:ilvl w:val="0"/>
          <w:numId w:val="0"/>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lang w:val="en-US" w:eastAsia="zh-CN"/>
        </w:rPr>
        <w:t>3.</w:t>
      </w:r>
      <w:r>
        <w:rPr>
          <w:rFonts w:hint="eastAsia" w:ascii="宋体" w:hAnsi="宋体" w:cs="宋体"/>
          <w:bCs/>
          <w:sz w:val="24"/>
          <w:szCs w:val="21"/>
          <w:highlight w:val="none"/>
        </w:rPr>
        <w:t>乙方凭以下有效文件向主管部门申请补贴金额：</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①合同；</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②乙方开具的正式发票；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③年度考核评估（加盖甲方公章）；</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④经营报告。</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备注：运营</w:t>
      </w:r>
      <w:r>
        <w:rPr>
          <w:rFonts w:hint="eastAsia" w:ascii="宋体" w:hAnsi="宋体" w:cs="宋体"/>
          <w:bCs/>
          <w:sz w:val="24"/>
          <w:szCs w:val="21"/>
          <w:highlight w:val="none"/>
          <w:lang w:val="en-US" w:eastAsia="zh-CN"/>
        </w:rPr>
        <w:t>期内每</w:t>
      </w:r>
      <w:r>
        <w:rPr>
          <w:rFonts w:hint="eastAsia" w:ascii="宋体" w:hAnsi="宋体" w:cs="宋体"/>
          <w:bCs/>
          <w:sz w:val="24"/>
          <w:szCs w:val="21"/>
          <w:highlight w:val="none"/>
        </w:rPr>
        <w:t>第一笔补贴仅须提供①和②两项材料</w:t>
      </w:r>
      <w:r>
        <w:rPr>
          <w:rFonts w:hint="eastAsia" w:ascii="宋体" w:hAnsi="宋体" w:cs="宋体"/>
          <w:bCs/>
          <w:sz w:val="24"/>
          <w:szCs w:val="21"/>
          <w:highlight w:val="none"/>
          <w:lang w:eastAsia="zh-CN"/>
        </w:rPr>
        <w:t>，</w:t>
      </w:r>
      <w:r>
        <w:rPr>
          <w:rFonts w:hint="eastAsia" w:ascii="宋体" w:hAnsi="宋体" w:cs="宋体"/>
          <w:bCs/>
          <w:sz w:val="24"/>
          <w:szCs w:val="21"/>
          <w:highlight w:val="none"/>
          <w:lang w:val="en-US" w:eastAsia="zh-CN"/>
        </w:rPr>
        <w:t>第二笔补贴仅须提供①、②和④三项材料</w:t>
      </w:r>
      <w:r>
        <w:rPr>
          <w:rFonts w:hint="eastAsia" w:ascii="宋体" w:hAnsi="宋体" w:cs="宋体"/>
          <w:bCs/>
          <w:sz w:val="24"/>
          <w:szCs w:val="21"/>
          <w:highlight w:val="none"/>
        </w:rPr>
        <w:t>。</w:t>
      </w:r>
    </w:p>
    <w:p>
      <w:pPr>
        <w:spacing w:line="460" w:lineRule="exact"/>
        <w:ind w:firstLine="480" w:firstLineChars="200"/>
        <w:rPr>
          <w:rFonts w:ascii="宋体" w:hAnsi="宋体" w:cs="宋体"/>
          <w:b/>
          <w:sz w:val="24"/>
          <w:highlight w:val="none"/>
        </w:rPr>
      </w:pPr>
      <w:r>
        <w:rPr>
          <w:rFonts w:hint="eastAsia" w:ascii="宋体" w:hAnsi="宋体" w:cs="宋体"/>
          <w:b/>
          <w:sz w:val="24"/>
          <w:highlight w:val="none"/>
        </w:rPr>
        <w:t>九、 其它要求</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1.中标人应在整个合同有效期内向保险公司投保，为在其经营管理范围内所发生的任何第三者人身（包括对演职人员、观众的人身伤害险）伤亡责任等购买第三者责任险或公众责任险。</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2.中标人须定期向招标人递交电子版及纸质版的经营报告（半年、年度），报告中须详细统计各项经营管理的情况，包含但不限于所有费用的收支明细、演出场次及界定一览表、票价及上座率统计等，报告中内容要求真实、准确、有效，招标人有权随时抽查其经营状况。</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3.中标人应于中标之日起30日内，委派专业技术人员或管理人员，协助主管部门就固定资产进行盘点，设备物资采购置办等工作，提供技术咨询与工作指导服务。</w:t>
      </w:r>
    </w:p>
    <w:p>
      <w:pPr>
        <w:spacing w:line="460" w:lineRule="exact"/>
        <w:ind w:firstLine="480" w:firstLineChars="200"/>
        <w:rPr>
          <w:rStyle w:val="225"/>
          <w:rFonts w:hAnsi="宋体" w:cs="宋体"/>
          <w:szCs w:val="20"/>
          <w:highlight w:val="none"/>
        </w:rPr>
      </w:pPr>
      <w:bookmarkStart w:id="815" w:name="_Toc142799726"/>
      <w:bookmarkStart w:id="816" w:name="_Toc123717589"/>
      <w:bookmarkStart w:id="817" w:name="_Toc128454406"/>
      <w:bookmarkStart w:id="818" w:name="_Toc525760226"/>
      <w:bookmarkStart w:id="819" w:name="_Toc128454506"/>
      <w:bookmarkStart w:id="820" w:name="_Toc22987867"/>
      <w:bookmarkStart w:id="821" w:name="_Toc493183189"/>
      <w:bookmarkStart w:id="822" w:name="_Toc523729908"/>
      <w:bookmarkStart w:id="823" w:name="_Toc128455075"/>
      <w:bookmarkStart w:id="824" w:name="_Toc10867"/>
      <w:bookmarkStart w:id="825" w:name="_Toc28623"/>
      <w:bookmarkStart w:id="826" w:name="_Toc13966"/>
      <w:bookmarkStart w:id="827" w:name="_Toc16425"/>
      <w:bookmarkStart w:id="828" w:name="_Toc6142"/>
      <w:r>
        <w:rPr>
          <w:rStyle w:val="225"/>
          <w:rFonts w:hint="eastAsia" w:hAnsi="宋体" w:cs="宋体"/>
          <w:szCs w:val="20"/>
          <w:highlight w:val="none"/>
        </w:rPr>
        <w:t>十、合同签订</w:t>
      </w:r>
      <w:bookmarkEnd w:id="815"/>
      <w:bookmarkEnd w:id="816"/>
      <w:bookmarkEnd w:id="817"/>
      <w:bookmarkEnd w:id="818"/>
      <w:bookmarkEnd w:id="819"/>
      <w:bookmarkEnd w:id="820"/>
      <w:bookmarkEnd w:id="821"/>
      <w:bookmarkEnd w:id="822"/>
      <w:bookmarkEnd w:id="823"/>
    </w:p>
    <w:bookmarkEnd w:id="824"/>
    <w:bookmarkEnd w:id="825"/>
    <w:bookmarkEnd w:id="826"/>
    <w:bookmarkEnd w:id="827"/>
    <w:bookmarkEnd w:id="828"/>
    <w:p>
      <w:pPr>
        <w:spacing w:line="460" w:lineRule="exact"/>
        <w:ind w:firstLine="480" w:firstLineChars="200"/>
        <w:rPr>
          <w:rFonts w:ascii="宋体" w:hAnsi="宋体" w:cs="宋体"/>
          <w:sz w:val="24"/>
          <w:highlight w:val="none"/>
        </w:rPr>
      </w:pPr>
      <w:r>
        <w:rPr>
          <w:rFonts w:hint="eastAsia" w:ascii="宋体" w:hAnsi="宋体" w:cs="宋体"/>
          <w:sz w:val="24"/>
          <w:highlight w:val="none"/>
        </w:rPr>
        <w:t>1.中标人必须于中标通知书发出之日起30日内，与</w:t>
      </w:r>
      <w:r>
        <w:rPr>
          <w:rFonts w:hint="eastAsia" w:ascii="宋体" w:hAnsi="宋体" w:cs="宋体"/>
          <w:sz w:val="24"/>
          <w:highlight w:val="none"/>
          <w:u w:val="single"/>
        </w:rPr>
        <w:t>北京市顺义区文化和旅游局（主管部门）签署</w:t>
      </w:r>
      <w:r>
        <w:rPr>
          <w:rFonts w:hint="eastAsia" w:ascii="宋体" w:hAnsi="宋体" w:cs="宋体"/>
          <w:sz w:val="24"/>
          <w:highlight w:val="none"/>
        </w:rPr>
        <w:t>正式委托运营合同；未按上述规定签订合同的，视为放弃中标资格，同时还须赔偿招标人相关损失费用。</w:t>
      </w:r>
    </w:p>
    <w:p>
      <w:pPr>
        <w:spacing w:line="460" w:lineRule="exact"/>
        <w:ind w:firstLine="480" w:firstLineChars="200"/>
        <w:rPr>
          <w:rFonts w:ascii="宋体" w:hAnsi="宋体" w:cs="宋体"/>
          <w:sz w:val="24"/>
          <w:highlight w:val="none"/>
        </w:rPr>
      </w:pPr>
      <w:r>
        <w:rPr>
          <w:rFonts w:hint="eastAsia" w:ascii="宋体" w:hAnsi="宋体" w:cs="宋体"/>
          <w:sz w:val="24"/>
          <w:highlight w:val="none"/>
        </w:rPr>
        <w:t>2.招标文件、投标文件均作为合同订立的基础，为合同组成部分。</w:t>
      </w:r>
    </w:p>
    <w:p>
      <w:pPr>
        <w:spacing w:line="460" w:lineRule="exact"/>
        <w:ind w:right="24" w:firstLine="480" w:firstLineChars="200"/>
        <w:rPr>
          <w:rFonts w:ascii="宋体" w:hAnsi="宋体" w:cs="宋体"/>
          <w:sz w:val="24"/>
          <w:highlight w:val="none"/>
        </w:rPr>
      </w:pPr>
      <w:r>
        <w:rPr>
          <w:rFonts w:hint="eastAsia" w:ascii="宋体" w:hAnsi="宋体" w:cs="宋体"/>
          <w:sz w:val="24"/>
          <w:highlight w:val="none"/>
        </w:rPr>
        <w:t>3.本项目不允许中标人以任何名义和理由进行转包，如有发现，主管部门有权单方中止合同，且中标人必须赔偿由此给招标人带来的一切损失。</w:t>
      </w:r>
    </w:p>
    <w:p>
      <w:pPr>
        <w:spacing w:line="460" w:lineRule="exact"/>
        <w:ind w:right="24" w:firstLine="480" w:firstLineChars="200"/>
        <w:rPr>
          <w:rFonts w:ascii="宋体" w:hAnsi="宋体" w:cs="宋体"/>
          <w:sz w:val="24"/>
          <w:highlight w:val="none"/>
        </w:rPr>
      </w:pPr>
    </w:p>
    <w:p>
      <w:pPr>
        <w:spacing w:line="460" w:lineRule="exact"/>
        <w:rPr>
          <w:rFonts w:ascii="宋体" w:hAnsi="宋体" w:cs="宋体"/>
          <w:b/>
          <w:sz w:val="24"/>
          <w:highlight w:val="none"/>
        </w:rPr>
      </w:pPr>
      <w:r>
        <w:rPr>
          <w:rFonts w:hint="eastAsia" w:ascii="宋体" w:hAnsi="宋体" w:cs="宋体"/>
          <w:sz w:val="24"/>
          <w:highlight w:val="none"/>
          <w:u w:val="single"/>
        </w:rPr>
        <w:br w:type="page"/>
      </w:r>
      <w:r>
        <w:rPr>
          <w:rFonts w:hint="eastAsia" w:ascii="宋体" w:hAnsi="宋体" w:cs="宋体"/>
          <w:b/>
          <w:sz w:val="24"/>
          <w:highlight w:val="none"/>
        </w:rPr>
        <w:t xml:space="preserve">附件1： </w:t>
      </w:r>
    </w:p>
    <w:p>
      <w:pPr>
        <w:spacing w:line="360" w:lineRule="auto"/>
        <w:jc w:val="center"/>
        <w:rPr>
          <w:rFonts w:ascii="宋体" w:hAnsi="宋体" w:cs="宋体"/>
          <w:spacing w:val="20"/>
          <w:sz w:val="40"/>
          <w:szCs w:val="44"/>
          <w:highlight w:val="none"/>
        </w:rPr>
      </w:pPr>
      <w:r>
        <w:rPr>
          <w:rFonts w:hint="eastAsia" w:ascii="宋体" w:hAnsi="宋体" w:cs="宋体"/>
          <w:spacing w:val="20"/>
          <w:sz w:val="40"/>
          <w:szCs w:val="44"/>
          <w:highlight w:val="none"/>
        </w:rPr>
        <w:t>顺义大剧院运营管理公司委托经营管理</w:t>
      </w:r>
    </w:p>
    <w:p>
      <w:pPr>
        <w:spacing w:line="360" w:lineRule="auto"/>
        <w:jc w:val="center"/>
        <w:rPr>
          <w:rFonts w:ascii="宋体" w:hAnsi="宋体" w:cs="宋体"/>
          <w:sz w:val="18"/>
          <w:szCs w:val="32"/>
          <w:highlight w:val="none"/>
        </w:rPr>
      </w:pPr>
      <w:r>
        <w:rPr>
          <w:rFonts w:hint="eastAsia" w:ascii="宋体" w:hAnsi="宋体" w:cs="宋体"/>
          <w:spacing w:val="20"/>
          <w:sz w:val="40"/>
          <w:szCs w:val="44"/>
          <w:highlight w:val="none"/>
        </w:rPr>
        <w:t>考核办法</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为更好地服务、协调、保障顺义大剧院（以下简称大剧院）的健康运营，根据顺义区人民政府委托顺义区文化和旅游局与其签订的《顺义大剧院委托经营管理合同》相关条款规定，特制定本考核办法：</w:t>
      </w: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rPr>
        <w:t>一、考核主体（甲方）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受顺义区人民政府委托，顺义</w:t>
      </w:r>
      <w:r>
        <w:rPr>
          <w:rFonts w:hint="eastAsia" w:ascii="宋体" w:hAnsi="宋体" w:cs="宋体"/>
          <w:sz w:val="28"/>
          <w:szCs w:val="48"/>
          <w:highlight w:val="none"/>
          <w:lang w:val="en-US" w:eastAsia="zh-CN"/>
        </w:rPr>
        <w:t>区</w:t>
      </w:r>
      <w:r>
        <w:rPr>
          <w:rFonts w:hint="eastAsia" w:ascii="宋体" w:hAnsi="宋体" w:cs="宋体"/>
          <w:sz w:val="28"/>
          <w:szCs w:val="48"/>
          <w:highlight w:val="none"/>
        </w:rPr>
        <w:t>文化和旅游局作为顺义大剧院的业主单位，联合区财政局成立顺义大剧院考核委员会，负责考核顺义大剧院的管理和运营等。考核内容为大剧院日常演出情况、政府补贴拨付及使用、大剧院社会效益、合同执行情况、安全生产、资产保护等进行考核。</w:t>
      </w: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rPr>
        <w:t>二、被考核方（乙方）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顺义大剧院运营公司</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三、考核载体</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顺义大剧院的管理、运营以及安全生产等</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四、考核地点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五、考核依据</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顺义区文化和旅游局与其签订的《顺义大剧院委托经营管理合同》相关条款的内容和区财政补贴绩效管理的要求。</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六、考核时间</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依据《顺义大剧院委托经营管理合同》，顺义区文化和旅游局负责管理顺义大剧院的经营管理期限为2024年5月29日至2026年5月28日。分别于2025年6至7月和2026年6月至7月进行全年考核工作。</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七、考核人员</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顺义大剧院考核委员会成员由顺义区财政局、顺义区文化和旅游局</w:t>
      </w:r>
      <w:r>
        <w:rPr>
          <w:rFonts w:hint="eastAsia" w:ascii="宋体" w:hAnsi="宋体" w:cs="宋体"/>
          <w:sz w:val="28"/>
          <w:szCs w:val="48"/>
          <w:highlight w:val="none"/>
          <w:lang w:val="en-US" w:eastAsia="zh-CN"/>
        </w:rPr>
        <w:t>相关科室人员及分管领导</w:t>
      </w:r>
      <w:r>
        <w:rPr>
          <w:rFonts w:hint="eastAsia" w:ascii="宋体" w:hAnsi="宋体" w:cs="宋体"/>
          <w:sz w:val="28"/>
          <w:szCs w:val="48"/>
          <w:highlight w:val="none"/>
        </w:rPr>
        <w:t>组成。</w:t>
      </w: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rPr>
        <w:t>八、考核内容</w:t>
      </w:r>
    </w:p>
    <w:p>
      <w:pPr>
        <w:numPr>
          <w:ilvl w:val="0"/>
          <w:numId w:val="15"/>
        </w:numPr>
        <w:spacing w:line="360" w:lineRule="auto"/>
        <w:ind w:firstLine="560" w:firstLineChars="200"/>
        <w:rPr>
          <w:rFonts w:ascii="宋体" w:hAnsi="宋体" w:cs="宋体"/>
          <w:color w:val="000000"/>
          <w:sz w:val="28"/>
          <w:szCs w:val="48"/>
          <w:highlight w:val="none"/>
        </w:rPr>
      </w:pPr>
      <w:r>
        <w:rPr>
          <w:rFonts w:hint="eastAsia" w:ascii="宋体" w:hAnsi="宋体" w:cs="宋体"/>
          <w:color w:val="000000"/>
          <w:sz w:val="28"/>
          <w:szCs w:val="48"/>
          <w:highlight w:val="none"/>
        </w:rPr>
        <w:t>演出指标</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1.自顺义大剧院正式移交</w:t>
      </w:r>
      <w:r>
        <w:rPr>
          <w:rFonts w:hint="eastAsia" w:ascii="宋体" w:hAnsi="宋体" w:cs="宋体"/>
          <w:sz w:val="28"/>
          <w:szCs w:val="48"/>
          <w:highlight w:val="none"/>
          <w:lang w:val="en-US" w:eastAsia="zh-CN"/>
        </w:rPr>
        <w:t>乙方</w:t>
      </w:r>
      <w:r>
        <w:rPr>
          <w:rFonts w:hint="eastAsia" w:ascii="宋体" w:hAnsi="宋体" w:cs="宋体"/>
          <w:sz w:val="28"/>
          <w:szCs w:val="48"/>
          <w:highlight w:val="none"/>
        </w:rPr>
        <w:t>之日起</w:t>
      </w:r>
      <w:r>
        <w:rPr>
          <w:rFonts w:hint="eastAsia" w:ascii="宋体" w:hAnsi="宋体" w:cs="宋体"/>
          <w:sz w:val="28"/>
          <w:szCs w:val="48"/>
          <w:highlight w:val="none"/>
          <w:lang w:val="en-US" w:eastAsia="zh-CN"/>
        </w:rPr>
        <w:t>的</w:t>
      </w:r>
      <w:r>
        <w:rPr>
          <w:rFonts w:hint="eastAsia" w:ascii="宋体" w:hAnsi="宋体" w:cs="宋体"/>
          <w:sz w:val="28"/>
          <w:szCs w:val="48"/>
          <w:highlight w:val="none"/>
        </w:rPr>
        <w:t>运营周期里，每年</w:t>
      </w:r>
      <w:r>
        <w:rPr>
          <w:rFonts w:hint="eastAsia" w:ascii="宋体" w:hAnsi="宋体" w:cs="宋体"/>
          <w:sz w:val="28"/>
          <w:szCs w:val="48"/>
          <w:highlight w:val="none"/>
          <w:lang w:eastAsia="zh-CN"/>
        </w:rPr>
        <w:t>演出</w:t>
      </w:r>
      <w:r>
        <w:rPr>
          <w:rFonts w:hint="eastAsia" w:ascii="宋体" w:hAnsi="宋体" w:cs="宋体"/>
          <w:sz w:val="28"/>
          <w:szCs w:val="48"/>
          <w:highlight w:val="none"/>
        </w:rPr>
        <w:t>活动场次不少于100场，其中每年自营演出不少于70场，</w:t>
      </w:r>
      <w:r>
        <w:rPr>
          <w:rFonts w:hint="eastAsia" w:ascii="宋体" w:hAnsi="宋体" w:cs="宋体"/>
          <w:sz w:val="28"/>
          <w:szCs w:val="48"/>
          <w:highlight w:val="none"/>
          <w:lang w:eastAsia="zh-CN"/>
        </w:rPr>
        <w:t>公益演出和</w:t>
      </w:r>
      <w:r>
        <w:rPr>
          <w:rFonts w:hint="eastAsia" w:ascii="宋体" w:hAnsi="宋体" w:cs="宋体"/>
          <w:sz w:val="28"/>
          <w:szCs w:val="48"/>
          <w:highlight w:val="none"/>
        </w:rPr>
        <w:t>公益活动（包括但不限于市民免费开放日活动和各类普及性艺术讲座、活动等）不少于30场</w:t>
      </w:r>
      <w:r>
        <w:rPr>
          <w:rFonts w:hint="eastAsia" w:ascii="宋体" w:hAnsi="宋体" w:cs="宋体"/>
          <w:sz w:val="28"/>
          <w:szCs w:val="48"/>
          <w:highlight w:val="none"/>
          <w:lang w:eastAsia="zh-CN"/>
        </w:rPr>
        <w:t>（</w:t>
      </w:r>
      <w:r>
        <w:rPr>
          <w:rFonts w:hint="eastAsia" w:ascii="宋体" w:hAnsi="宋体" w:cs="宋体"/>
          <w:sz w:val="28"/>
          <w:szCs w:val="48"/>
          <w:highlight w:val="none"/>
          <w:lang w:val="en-US" w:eastAsia="zh-CN"/>
        </w:rPr>
        <w:t>10场公益演出和20场公益活动</w:t>
      </w:r>
      <w:r>
        <w:rPr>
          <w:rFonts w:hint="eastAsia" w:ascii="宋体" w:hAnsi="宋体" w:cs="宋体"/>
          <w:sz w:val="28"/>
          <w:szCs w:val="48"/>
          <w:highlight w:val="none"/>
          <w:lang w:eastAsia="zh-CN"/>
        </w:rPr>
        <w:t>）</w:t>
      </w:r>
      <w:r>
        <w:rPr>
          <w:rFonts w:hint="eastAsia" w:ascii="宋体" w:hAnsi="宋体" w:cs="宋体"/>
          <w:sz w:val="28"/>
          <w:szCs w:val="48"/>
          <w:highlight w:val="none"/>
        </w:rPr>
        <w:t>；</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2.自营演出中，A类演出</w:t>
      </w:r>
      <w:r>
        <w:rPr>
          <w:rFonts w:hint="eastAsia" w:ascii="宋体" w:hAnsi="宋体" w:cs="宋体"/>
          <w:sz w:val="28"/>
          <w:szCs w:val="48"/>
          <w:highlight w:val="none"/>
          <w:lang w:eastAsia="zh-CN"/>
        </w:rPr>
        <w:t>不低于自营演出总</w:t>
      </w:r>
      <w:r>
        <w:rPr>
          <w:rFonts w:hint="eastAsia" w:ascii="宋体" w:hAnsi="宋体" w:cs="宋体"/>
          <w:sz w:val="28"/>
          <w:szCs w:val="48"/>
          <w:highlight w:val="none"/>
        </w:rPr>
        <w:t>场次40%，B类演出</w:t>
      </w:r>
      <w:r>
        <w:rPr>
          <w:rFonts w:hint="eastAsia" w:ascii="宋体" w:hAnsi="宋体" w:cs="宋体"/>
          <w:sz w:val="28"/>
          <w:szCs w:val="48"/>
          <w:highlight w:val="none"/>
          <w:lang w:eastAsia="zh-CN"/>
        </w:rPr>
        <w:t>不低于自营</w:t>
      </w:r>
      <w:r>
        <w:rPr>
          <w:rFonts w:hint="eastAsia" w:ascii="宋体" w:hAnsi="宋体" w:cs="宋体"/>
          <w:sz w:val="28"/>
          <w:szCs w:val="48"/>
          <w:highlight w:val="none"/>
        </w:rPr>
        <w:t>演出</w:t>
      </w:r>
      <w:r>
        <w:rPr>
          <w:rFonts w:hint="eastAsia" w:ascii="宋体" w:hAnsi="宋体" w:cs="宋体"/>
          <w:sz w:val="28"/>
          <w:szCs w:val="48"/>
          <w:highlight w:val="none"/>
          <w:lang w:eastAsia="zh-CN"/>
        </w:rPr>
        <w:t>总</w:t>
      </w:r>
      <w:r>
        <w:rPr>
          <w:rFonts w:hint="eastAsia" w:ascii="宋体" w:hAnsi="宋体" w:cs="宋体"/>
          <w:sz w:val="28"/>
          <w:szCs w:val="48"/>
          <w:highlight w:val="none"/>
        </w:rPr>
        <w:t>场次30%；</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3.年平均上座率不低于55%；观众满意度不低于90%(包括剧目质量、观演环境、剧院服务等内容);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4.低于100元的惠民票总体占比率不低于15%。</w:t>
      </w:r>
    </w:p>
    <w:p>
      <w:pPr>
        <w:tabs>
          <w:tab w:val="left" w:pos="1403"/>
        </w:tabs>
        <w:spacing w:line="360" w:lineRule="auto"/>
        <w:ind w:firstLine="560" w:firstLineChars="200"/>
        <w:outlineLvl w:val="2"/>
        <w:rPr>
          <w:rFonts w:ascii="宋体" w:hAnsi="宋体" w:cs="宋体"/>
          <w:bCs/>
          <w:sz w:val="28"/>
          <w:szCs w:val="48"/>
          <w:highlight w:val="none"/>
        </w:rPr>
      </w:pPr>
      <w:r>
        <w:rPr>
          <w:rFonts w:hint="eastAsia" w:ascii="宋体" w:hAnsi="宋体" w:cs="宋体"/>
          <w:color w:val="000000"/>
          <w:sz w:val="28"/>
          <w:szCs w:val="48"/>
          <w:highlight w:val="none"/>
        </w:rPr>
        <w:t>（二）</w:t>
      </w:r>
      <w:r>
        <w:rPr>
          <w:rFonts w:hint="eastAsia" w:ascii="宋体" w:hAnsi="宋体" w:cs="宋体"/>
          <w:bCs/>
          <w:sz w:val="28"/>
          <w:szCs w:val="48"/>
          <w:highlight w:val="none"/>
        </w:rPr>
        <w:t>资产管理</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1.顺义大剧院场馆和建筑配套设施设备、舞台演出设施设备等资产管理符合本合同相关约定及《顺义大剧院管理规范》；</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2.做好顺义大剧院资产管理工作，建立清点清单和入库管理、检查、维护、保养、维修等相关台账资料；</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3.演出设施设备检查、维护和保养情况符合本合同的相关约定及《顺义大剧院管理规范》。</w:t>
      </w:r>
    </w:p>
    <w:p>
      <w:pPr>
        <w:spacing w:line="360" w:lineRule="auto"/>
        <w:ind w:firstLine="560" w:firstLineChars="200"/>
        <w:rPr>
          <w:rFonts w:ascii="宋体" w:hAnsi="宋体" w:cs="宋体"/>
          <w:bCs/>
          <w:sz w:val="28"/>
          <w:szCs w:val="48"/>
          <w:highlight w:val="none"/>
        </w:rPr>
      </w:pPr>
      <w:r>
        <w:rPr>
          <w:rFonts w:hint="eastAsia" w:ascii="宋体" w:hAnsi="宋体" w:cs="宋体"/>
          <w:sz w:val="28"/>
          <w:szCs w:val="48"/>
          <w:highlight w:val="none"/>
        </w:rPr>
        <w:t>4.顺义大剧院资产保值增值和功能作用发挥。</w:t>
      </w:r>
    </w:p>
    <w:p>
      <w:pPr>
        <w:tabs>
          <w:tab w:val="left" w:pos="1403"/>
        </w:tabs>
        <w:spacing w:line="360" w:lineRule="auto"/>
        <w:ind w:firstLine="560" w:firstLineChars="200"/>
        <w:outlineLvl w:val="2"/>
        <w:rPr>
          <w:rFonts w:ascii="宋体" w:hAnsi="宋体" w:cs="宋体"/>
          <w:bCs/>
          <w:sz w:val="28"/>
          <w:szCs w:val="48"/>
          <w:highlight w:val="none"/>
        </w:rPr>
      </w:pPr>
      <w:r>
        <w:rPr>
          <w:rFonts w:hint="eastAsia" w:ascii="宋体" w:hAnsi="宋体" w:cs="宋体"/>
          <w:bCs/>
          <w:sz w:val="28"/>
          <w:szCs w:val="48"/>
          <w:highlight w:val="none"/>
        </w:rPr>
        <w:t>（三）安全生产管理</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1.建立健全安全生产领导小组和安全组织机构，责任明确，资料齐全，配有专职的安全员；</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2.建立健全各部门安全生产责任制，职责明确，各项安全生产规章制度、安全操作规程齐全，并严格执行；</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3.演出设施设备操作人员做到持证上岗、定岗到位；特殊工种作业人员必须经安全培训，持证上岗；</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4.安全标志、标语醒目，安全操作规程标示牌齐全；</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5.全年不发生任何有人员伤亡的安全生产事故；</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6.安全生产事故无漏报、隐瞒不报现象。</w:t>
      </w:r>
    </w:p>
    <w:p>
      <w:pPr>
        <w:tabs>
          <w:tab w:val="left" w:pos="1403"/>
        </w:tabs>
        <w:spacing w:line="360" w:lineRule="auto"/>
        <w:ind w:firstLine="560" w:firstLineChars="200"/>
        <w:outlineLvl w:val="1"/>
        <w:rPr>
          <w:rFonts w:ascii="宋体" w:hAnsi="宋体" w:cs="宋体"/>
          <w:bCs/>
          <w:sz w:val="28"/>
          <w:szCs w:val="48"/>
          <w:highlight w:val="none"/>
        </w:rPr>
      </w:pPr>
      <w:r>
        <w:rPr>
          <w:rFonts w:hint="eastAsia" w:ascii="宋体" w:hAnsi="宋体" w:cs="宋体"/>
          <w:bCs/>
          <w:sz w:val="28"/>
          <w:szCs w:val="48"/>
          <w:highlight w:val="none"/>
        </w:rPr>
        <w:t>(四)物业管理</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lang w:eastAsia="zh-CN"/>
        </w:rPr>
        <w:t>乙方</w:t>
      </w:r>
      <w:r>
        <w:rPr>
          <w:rFonts w:hint="eastAsia" w:ascii="宋体" w:hAnsi="宋体" w:cs="宋体"/>
          <w:sz w:val="28"/>
          <w:szCs w:val="48"/>
          <w:highlight w:val="none"/>
        </w:rPr>
        <w:t>的物业管理必须达到高水平、高标准，确保大剧院建筑物、构筑物相应空间及所属配套设备设施的物理状态完好、功能正常并能有效使用，环境整洁优美，空间通常有序，始终保持顺义大剧院的良好形象；</w:t>
      </w:r>
    </w:p>
    <w:p>
      <w:pPr>
        <w:tabs>
          <w:tab w:val="left" w:pos="1403"/>
        </w:tabs>
        <w:spacing w:line="360" w:lineRule="auto"/>
        <w:ind w:firstLine="560" w:firstLineChars="200"/>
        <w:outlineLvl w:val="2"/>
        <w:rPr>
          <w:rFonts w:ascii="宋体" w:hAnsi="宋体" w:cs="宋体"/>
          <w:bCs/>
          <w:sz w:val="28"/>
          <w:szCs w:val="48"/>
          <w:highlight w:val="none"/>
        </w:rPr>
      </w:pPr>
      <w:r>
        <w:rPr>
          <w:rFonts w:hint="eastAsia" w:ascii="宋体" w:hAnsi="宋体" w:cs="宋体"/>
          <w:bCs/>
          <w:sz w:val="28"/>
          <w:szCs w:val="48"/>
          <w:highlight w:val="none"/>
        </w:rPr>
        <w:t>（五）依法经营</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1.全年无国家行政机关的处罚事件；</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2.全年无被处罚漏报、隐瞒不报的现象；</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3.全年未发生严重违约情形。</w:t>
      </w:r>
    </w:p>
    <w:p>
      <w:pPr>
        <w:tabs>
          <w:tab w:val="left" w:pos="1403"/>
        </w:tabs>
        <w:spacing w:line="360" w:lineRule="auto"/>
        <w:ind w:firstLine="560" w:firstLineChars="200"/>
        <w:outlineLvl w:val="2"/>
        <w:rPr>
          <w:rFonts w:ascii="宋体" w:hAnsi="宋体" w:cs="宋体"/>
          <w:bCs/>
          <w:sz w:val="28"/>
          <w:szCs w:val="48"/>
          <w:highlight w:val="none"/>
        </w:rPr>
      </w:pPr>
      <w:r>
        <w:rPr>
          <w:rFonts w:hint="eastAsia" w:ascii="宋体" w:hAnsi="宋体" w:cs="宋体"/>
          <w:bCs/>
          <w:sz w:val="28"/>
          <w:szCs w:val="48"/>
          <w:highlight w:val="none"/>
        </w:rPr>
        <w:t>（六）其他管理目标</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顺义大剧院每年组织市民免费开放日活动，制定市民开放日活动内容，吸引市民参与，扩大剧院影响力。</w:t>
      </w:r>
    </w:p>
    <w:p>
      <w:pPr>
        <w:pStyle w:val="2"/>
        <w:spacing w:before="0" w:after="0" w:line="360" w:lineRule="auto"/>
        <w:ind w:firstLine="640" w:firstLineChars="200"/>
        <w:jc w:val="both"/>
        <w:rPr>
          <w:rFonts w:hAnsi="宋体" w:cs="宋体"/>
          <w:b w:val="0"/>
          <w:szCs w:val="32"/>
          <w:highlight w:val="none"/>
        </w:rPr>
      </w:pPr>
      <w:r>
        <w:rPr>
          <w:rFonts w:hint="eastAsia" w:hAnsi="宋体" w:cs="宋体"/>
          <w:b w:val="0"/>
          <w:szCs w:val="32"/>
          <w:highlight w:val="none"/>
          <w:lang w:eastAsia="zh-CN"/>
        </w:rPr>
        <w:t>九</w:t>
      </w:r>
      <w:r>
        <w:rPr>
          <w:rFonts w:hint="eastAsia" w:hAnsi="宋体" w:cs="宋体"/>
          <w:b w:val="0"/>
          <w:szCs w:val="32"/>
          <w:highlight w:val="none"/>
        </w:rPr>
        <w:t>、委托经营管理考核</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1.顺义</w:t>
      </w:r>
      <w:r>
        <w:rPr>
          <w:rFonts w:hint="eastAsia" w:ascii="宋体" w:hAnsi="宋体" w:cs="宋体"/>
          <w:sz w:val="28"/>
          <w:szCs w:val="48"/>
          <w:highlight w:val="none"/>
          <w:lang w:val="en-US" w:eastAsia="zh-CN"/>
        </w:rPr>
        <w:t>区</w:t>
      </w:r>
      <w:r>
        <w:rPr>
          <w:rFonts w:hint="eastAsia" w:ascii="宋体" w:hAnsi="宋体" w:cs="宋体"/>
          <w:sz w:val="28"/>
          <w:szCs w:val="48"/>
          <w:highlight w:val="none"/>
        </w:rPr>
        <w:t>文化和旅游局根据考核管理办法组织考核小组对</w:t>
      </w:r>
      <w:r>
        <w:rPr>
          <w:rFonts w:hint="eastAsia" w:ascii="宋体" w:hAnsi="宋体" w:cs="宋体"/>
          <w:sz w:val="28"/>
          <w:szCs w:val="48"/>
          <w:highlight w:val="none"/>
          <w:lang w:eastAsia="zh-CN"/>
        </w:rPr>
        <w:t>乙方</w:t>
      </w:r>
      <w:r>
        <w:rPr>
          <w:rFonts w:hint="eastAsia" w:ascii="宋体" w:hAnsi="宋体" w:cs="宋体"/>
          <w:sz w:val="28"/>
          <w:szCs w:val="48"/>
          <w:highlight w:val="none"/>
        </w:rPr>
        <w:t>完成本合同约定的经营管理目标情况予以考核。</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2.考核办法：年度考核。</w:t>
      </w:r>
      <w:r>
        <w:rPr>
          <w:rFonts w:hint="eastAsia" w:ascii="宋体" w:hAnsi="宋体" w:cs="宋体"/>
          <w:sz w:val="28"/>
          <w:szCs w:val="48"/>
          <w:highlight w:val="none"/>
          <w:lang w:eastAsia="zh-CN"/>
        </w:rPr>
        <w:t>乙方</w:t>
      </w:r>
      <w:r>
        <w:rPr>
          <w:rFonts w:hint="eastAsia" w:ascii="宋体" w:hAnsi="宋体" w:cs="宋体"/>
          <w:sz w:val="28"/>
          <w:szCs w:val="48"/>
          <w:highlight w:val="none"/>
        </w:rPr>
        <w:t>每年将演出剧目、演出场次、平均票价、观众上座率、观众满意度等情况在次年6月15日前（汇总全年情况）书面报甲方。</w:t>
      </w:r>
      <w:r>
        <w:rPr>
          <w:rFonts w:hint="eastAsia" w:ascii="宋体" w:hAnsi="宋体" w:cs="宋体"/>
          <w:sz w:val="28"/>
          <w:szCs w:val="48"/>
          <w:highlight w:val="none"/>
          <w:lang w:val="en-US" w:eastAsia="zh-CN"/>
        </w:rPr>
        <w:t>顺义大剧院考核委员会</w:t>
      </w:r>
      <w:r>
        <w:rPr>
          <w:rFonts w:hint="eastAsia" w:ascii="宋体" w:hAnsi="宋体" w:cs="宋体"/>
          <w:sz w:val="28"/>
          <w:szCs w:val="48"/>
          <w:highlight w:val="none"/>
        </w:rPr>
        <w:t>将在每年6月至7月份组织对</w:t>
      </w:r>
      <w:r>
        <w:rPr>
          <w:rFonts w:hint="eastAsia" w:ascii="宋体" w:hAnsi="宋体" w:cs="宋体"/>
          <w:sz w:val="28"/>
          <w:szCs w:val="48"/>
          <w:highlight w:val="none"/>
          <w:lang w:eastAsia="zh-CN"/>
        </w:rPr>
        <w:t>乙方</w:t>
      </w:r>
      <w:r>
        <w:rPr>
          <w:rFonts w:hint="eastAsia" w:ascii="宋体" w:hAnsi="宋体" w:cs="宋体"/>
          <w:sz w:val="28"/>
          <w:szCs w:val="48"/>
          <w:highlight w:val="none"/>
        </w:rPr>
        <w:t>完成经营管理指标情况的考核。完成了“经营管理指标”是指完成下列四条内容：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（1）实现了《顺义大剧院委托经营管理合同》约定的全部委托经营管理目标；若年度演出指标考核中，</w:t>
      </w:r>
      <w:r>
        <w:rPr>
          <w:rFonts w:hint="eastAsia" w:ascii="宋体" w:hAnsi="宋体" w:cs="宋体"/>
          <w:sz w:val="28"/>
          <w:szCs w:val="48"/>
          <w:highlight w:val="none"/>
          <w:lang w:eastAsia="zh-CN"/>
        </w:rPr>
        <w:t>乙方</w:t>
      </w:r>
      <w:r>
        <w:rPr>
          <w:rFonts w:hint="eastAsia" w:ascii="宋体" w:hAnsi="宋体" w:cs="宋体"/>
          <w:sz w:val="28"/>
          <w:szCs w:val="48"/>
          <w:highlight w:val="none"/>
        </w:rPr>
        <w:t>未能完成双方约定的全部演出场次目标的，A类演出每减少一场即从运营补贴款中扣除15万元，B类演出每减少一场即从运营补贴款中扣除10万元。顺义</w:t>
      </w:r>
      <w:r>
        <w:rPr>
          <w:rFonts w:hint="eastAsia" w:ascii="宋体" w:hAnsi="宋体" w:cs="宋体"/>
          <w:sz w:val="28"/>
          <w:szCs w:val="48"/>
          <w:highlight w:val="none"/>
          <w:lang w:val="en-US" w:eastAsia="zh-CN"/>
        </w:rPr>
        <w:t>区</w:t>
      </w:r>
      <w:r>
        <w:rPr>
          <w:rFonts w:hint="eastAsia" w:ascii="宋体" w:hAnsi="宋体" w:cs="宋体"/>
          <w:sz w:val="28"/>
          <w:szCs w:val="48"/>
          <w:highlight w:val="none"/>
        </w:rPr>
        <w:t>文化和旅游局有权在下一年向</w:t>
      </w:r>
      <w:r>
        <w:rPr>
          <w:rFonts w:hint="eastAsia" w:ascii="宋体" w:hAnsi="宋体" w:cs="宋体"/>
          <w:sz w:val="28"/>
          <w:szCs w:val="48"/>
          <w:highlight w:val="none"/>
          <w:lang w:eastAsia="zh-CN"/>
        </w:rPr>
        <w:t>乙方</w:t>
      </w:r>
      <w:r>
        <w:rPr>
          <w:rFonts w:hint="eastAsia" w:ascii="宋体" w:hAnsi="宋体" w:cs="宋体"/>
          <w:sz w:val="28"/>
          <w:szCs w:val="48"/>
          <w:highlight w:val="none"/>
        </w:rPr>
        <w:t>支付的运营补贴中直接扣除。</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（2）做好设备设施的维护和资产保管工作；</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（3）全年无重大安全责任事故（重大责任事故的界定以国家现行标准规定为准）；</w:t>
      </w:r>
    </w:p>
    <w:p>
      <w:pPr>
        <w:spacing w:line="360" w:lineRule="auto"/>
        <w:ind w:firstLine="560" w:firstLineChars="200"/>
        <w:rPr>
          <w:rFonts w:hint="eastAsia" w:ascii="宋体" w:hAnsi="宋体" w:cs="宋体"/>
          <w:sz w:val="28"/>
          <w:szCs w:val="48"/>
          <w:highlight w:val="none"/>
        </w:rPr>
      </w:pPr>
      <w:r>
        <w:rPr>
          <w:rFonts w:hint="eastAsia" w:ascii="宋体" w:hAnsi="宋体" w:cs="宋体"/>
          <w:sz w:val="28"/>
          <w:szCs w:val="48"/>
          <w:highlight w:val="none"/>
        </w:rPr>
        <w:t>（4）全年无违法违规行为。</w:t>
      </w:r>
    </w:p>
    <w:p>
      <w:pPr>
        <w:pStyle w:val="3"/>
        <w:rPr>
          <w:rFonts w:hint="eastAsia" w:ascii="宋体" w:hAnsi="宋体" w:cs="宋体"/>
          <w:sz w:val="28"/>
          <w:szCs w:val="48"/>
          <w:highlight w:val="none"/>
        </w:rPr>
      </w:pPr>
    </w:p>
    <w:p>
      <w:pPr>
        <w:rPr>
          <w:highlight w:val="none"/>
        </w:rPr>
      </w:pPr>
    </w:p>
    <w:p>
      <w:pPr>
        <w:spacing w:line="360" w:lineRule="auto"/>
        <w:ind w:firstLine="560" w:firstLineChars="200"/>
        <w:rPr>
          <w:rFonts w:hint="eastAsia" w:ascii="宋体" w:hAnsi="宋体" w:cs="宋体"/>
          <w:bCs/>
          <w:sz w:val="28"/>
          <w:szCs w:val="48"/>
          <w:highlight w:val="none"/>
          <w:lang w:val="en-US" w:eastAsia="zh-CN"/>
        </w:rPr>
      </w:pP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lang w:val="en-US" w:eastAsia="zh-CN"/>
        </w:rPr>
        <w:t>3.</w:t>
      </w:r>
      <w:r>
        <w:rPr>
          <w:rFonts w:hint="eastAsia" w:ascii="宋体" w:hAnsi="宋体" w:cs="宋体"/>
          <w:bCs/>
          <w:sz w:val="28"/>
          <w:szCs w:val="48"/>
          <w:highlight w:val="none"/>
        </w:rPr>
        <w:t>考核得分计算方法</w:t>
      </w:r>
    </w:p>
    <w:tbl>
      <w:tblPr>
        <w:tblStyle w:val="45"/>
        <w:tblW w:w="7088"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3260"/>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序号</w:t>
            </w:r>
          </w:p>
        </w:tc>
        <w:tc>
          <w:tcPr>
            <w:tcW w:w="3260"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考核得分</w:t>
            </w:r>
          </w:p>
        </w:tc>
        <w:tc>
          <w:tcPr>
            <w:tcW w:w="2268"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1</w:t>
            </w:r>
          </w:p>
        </w:tc>
        <w:tc>
          <w:tcPr>
            <w:tcW w:w="3260"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90分及以上</w:t>
            </w:r>
          </w:p>
        </w:tc>
        <w:tc>
          <w:tcPr>
            <w:tcW w:w="2268"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优秀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2</w:t>
            </w:r>
          </w:p>
        </w:tc>
        <w:tc>
          <w:tcPr>
            <w:tcW w:w="3260"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80分及以上</w:t>
            </w:r>
          </w:p>
        </w:tc>
        <w:tc>
          <w:tcPr>
            <w:tcW w:w="2268"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3</w:t>
            </w:r>
          </w:p>
        </w:tc>
        <w:tc>
          <w:tcPr>
            <w:tcW w:w="3260"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70分及以上</w:t>
            </w:r>
          </w:p>
        </w:tc>
        <w:tc>
          <w:tcPr>
            <w:tcW w:w="2268"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中等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4</w:t>
            </w:r>
          </w:p>
        </w:tc>
        <w:tc>
          <w:tcPr>
            <w:tcW w:w="3260" w:type="dxa"/>
          </w:tcPr>
          <w:p>
            <w:pPr>
              <w:spacing w:line="600" w:lineRule="exact"/>
              <w:jc w:val="left"/>
              <w:rPr>
                <w:rFonts w:hint="default" w:ascii="宋体" w:hAnsi="宋体" w:eastAsia="宋体" w:cs="宋体"/>
                <w:sz w:val="28"/>
                <w:szCs w:val="32"/>
                <w:highlight w:val="none"/>
                <w:lang w:val="en-US" w:eastAsia="zh-CN"/>
              </w:rPr>
            </w:pPr>
            <w:r>
              <w:rPr>
                <w:rFonts w:hint="eastAsia" w:ascii="宋体" w:hAnsi="宋体" w:cs="宋体"/>
                <w:sz w:val="28"/>
                <w:szCs w:val="32"/>
                <w:highlight w:val="none"/>
                <w:lang w:val="en-US" w:eastAsia="zh-CN"/>
              </w:rPr>
              <w:t>70分以下</w:t>
            </w:r>
          </w:p>
        </w:tc>
        <w:tc>
          <w:tcPr>
            <w:tcW w:w="2268" w:type="dxa"/>
          </w:tcPr>
          <w:p>
            <w:pPr>
              <w:spacing w:line="600" w:lineRule="exact"/>
              <w:jc w:val="left"/>
              <w:rPr>
                <w:rFonts w:hint="eastAsia" w:ascii="宋体" w:hAnsi="宋体" w:eastAsia="宋体" w:cs="宋体"/>
                <w:sz w:val="28"/>
                <w:szCs w:val="32"/>
                <w:highlight w:val="none"/>
                <w:lang w:eastAsia="zh-CN"/>
              </w:rPr>
            </w:pPr>
            <w:r>
              <w:rPr>
                <w:rFonts w:hint="eastAsia" w:ascii="宋体" w:hAnsi="宋体" w:cs="宋体"/>
                <w:sz w:val="28"/>
                <w:szCs w:val="32"/>
                <w:highlight w:val="none"/>
                <w:lang w:val="en-US" w:eastAsia="zh-CN"/>
              </w:rPr>
              <w:t>较差</w:t>
            </w:r>
          </w:p>
        </w:tc>
      </w:tr>
    </w:tbl>
    <w:p>
      <w:pPr>
        <w:spacing w:line="360" w:lineRule="auto"/>
        <w:ind w:firstLine="560" w:firstLineChars="200"/>
        <w:rPr>
          <w:rFonts w:hint="eastAsia" w:ascii="宋体" w:hAnsi="宋体" w:eastAsia="宋体" w:cs="宋体"/>
          <w:sz w:val="28"/>
          <w:szCs w:val="48"/>
          <w:highlight w:val="none"/>
          <w:lang w:eastAsia="zh-CN"/>
        </w:rPr>
      </w:pPr>
      <w:r>
        <w:rPr>
          <w:rFonts w:hint="eastAsia" w:ascii="宋体" w:hAnsi="宋体" w:cs="宋体"/>
          <w:sz w:val="28"/>
          <w:szCs w:val="48"/>
          <w:highlight w:val="none"/>
        </w:rPr>
        <w:t>顺义大剧院考评总分为100分。考核为“优秀”的予以全额拨款；考核为“良好”的，扣除每年运营补贴尾款的20%；考核为“中等”的，扣除每年运营补贴尾款的50%；考核为“</w:t>
      </w:r>
      <w:r>
        <w:rPr>
          <w:rFonts w:hint="eastAsia" w:ascii="宋体" w:hAnsi="宋体" w:cs="宋体"/>
          <w:sz w:val="28"/>
          <w:szCs w:val="48"/>
          <w:highlight w:val="none"/>
          <w:lang w:val="en-US" w:eastAsia="zh-CN"/>
        </w:rPr>
        <w:t>较差</w:t>
      </w:r>
      <w:r>
        <w:rPr>
          <w:rFonts w:hint="eastAsia" w:ascii="宋体" w:hAnsi="宋体" w:cs="宋体"/>
          <w:sz w:val="28"/>
          <w:szCs w:val="48"/>
          <w:highlight w:val="none"/>
        </w:rPr>
        <w:t>”的，扣除每年运营补贴尾款的</w:t>
      </w:r>
      <w:r>
        <w:rPr>
          <w:rFonts w:hint="eastAsia" w:ascii="宋体" w:hAnsi="宋体" w:cs="宋体"/>
          <w:sz w:val="28"/>
          <w:szCs w:val="48"/>
          <w:highlight w:val="none"/>
          <w:lang w:val="en-US" w:eastAsia="zh-CN"/>
        </w:rPr>
        <w:t>8</w:t>
      </w:r>
      <w:r>
        <w:rPr>
          <w:rFonts w:hint="eastAsia" w:ascii="宋体" w:hAnsi="宋体" w:cs="宋体"/>
          <w:sz w:val="28"/>
          <w:szCs w:val="48"/>
          <w:highlight w:val="none"/>
        </w:rPr>
        <w:t>0%</w:t>
      </w:r>
      <w:r>
        <w:rPr>
          <w:rFonts w:hint="eastAsia" w:ascii="宋体" w:hAnsi="宋体" w:cs="宋体"/>
          <w:sz w:val="28"/>
          <w:szCs w:val="48"/>
          <w:highlight w:val="none"/>
          <w:lang w:eastAsia="zh-CN"/>
        </w:rPr>
        <w:t>。最终尾款金额在计算考核评分的基础上以财政评审为准。</w:t>
      </w: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lang w:eastAsia="zh-CN"/>
        </w:rPr>
        <w:t>十</w:t>
      </w:r>
      <w:r>
        <w:rPr>
          <w:rFonts w:hint="eastAsia" w:ascii="宋体" w:hAnsi="宋体" w:cs="宋体"/>
          <w:bCs/>
          <w:sz w:val="28"/>
          <w:szCs w:val="48"/>
          <w:highlight w:val="none"/>
        </w:rPr>
        <w:t>、其它</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1.本考核办法中涉及的演出等次、上座率等名词的界定按照《顺义区大剧院委托经营管理合同》规定执行。</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2.合同履行期内，未完成约定演出场次或达不到约定演出标准的，按照本办法有关标准执行。</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附：1.顺义大剧院经营管理考核表</w:t>
      </w:r>
    </w:p>
    <w:p>
      <w:pPr>
        <w:spacing w:line="360" w:lineRule="auto"/>
        <w:ind w:firstLine="1120" w:firstLineChars="400"/>
        <w:rPr>
          <w:rFonts w:ascii="宋体" w:hAnsi="宋体" w:cs="宋体"/>
          <w:sz w:val="28"/>
          <w:szCs w:val="48"/>
          <w:highlight w:val="none"/>
        </w:rPr>
      </w:pPr>
      <w:r>
        <w:rPr>
          <w:rFonts w:hint="eastAsia" w:ascii="宋体" w:hAnsi="宋体" w:cs="宋体"/>
          <w:sz w:val="28"/>
          <w:szCs w:val="48"/>
          <w:highlight w:val="none"/>
        </w:rPr>
        <w:t>2.</w:t>
      </w:r>
      <w:r>
        <w:rPr>
          <w:rFonts w:hint="eastAsia" w:ascii="宋体" w:hAnsi="宋体" w:cs="宋体"/>
          <w:color w:val="FF0000"/>
          <w:sz w:val="28"/>
          <w:szCs w:val="48"/>
          <w:highlight w:val="none"/>
          <w:lang w:val="en-US" w:eastAsia="zh-CN"/>
        </w:rPr>
        <w:t>XX</w:t>
      </w:r>
      <w:r>
        <w:rPr>
          <w:rFonts w:hint="eastAsia" w:ascii="宋体" w:hAnsi="宋体" w:cs="宋体"/>
          <w:sz w:val="28"/>
          <w:szCs w:val="48"/>
          <w:highlight w:val="none"/>
        </w:rPr>
        <w:t>年度顺义大剧院考核评分表</w:t>
      </w: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hint="eastAsia" w:ascii="宋体" w:hAnsi="宋体" w:cs="宋体"/>
          <w:color w:val="000000"/>
          <w:sz w:val="24"/>
          <w:szCs w:val="44"/>
          <w:highlight w:val="none"/>
        </w:rPr>
      </w:pPr>
    </w:p>
    <w:p>
      <w:pPr>
        <w:rPr>
          <w:rFonts w:ascii="宋体" w:hAnsi="宋体" w:cs="宋体"/>
          <w:color w:val="000000"/>
          <w:sz w:val="24"/>
          <w:szCs w:val="44"/>
          <w:highlight w:val="none"/>
        </w:rPr>
      </w:pPr>
      <w:r>
        <w:rPr>
          <w:rFonts w:hint="eastAsia" w:ascii="宋体" w:hAnsi="宋体" w:cs="宋体"/>
          <w:color w:val="000000"/>
          <w:sz w:val="24"/>
          <w:szCs w:val="44"/>
          <w:highlight w:val="none"/>
        </w:rPr>
        <w:t>附件1</w:t>
      </w:r>
    </w:p>
    <w:p>
      <w:pPr>
        <w:spacing w:line="360" w:lineRule="auto"/>
        <w:jc w:val="center"/>
        <w:rPr>
          <w:rFonts w:ascii="宋体" w:hAnsi="宋体" w:cs="宋体"/>
          <w:spacing w:val="20"/>
          <w:sz w:val="40"/>
          <w:szCs w:val="44"/>
          <w:highlight w:val="none"/>
        </w:rPr>
      </w:pPr>
      <w:r>
        <w:rPr>
          <w:rFonts w:hint="eastAsia" w:ascii="宋体" w:hAnsi="宋体" w:cs="宋体"/>
          <w:spacing w:val="20"/>
          <w:sz w:val="40"/>
          <w:szCs w:val="44"/>
          <w:highlight w:val="none"/>
        </w:rPr>
        <w:t>顺义大剧院运营管理公司委托经营管理</w:t>
      </w:r>
    </w:p>
    <w:p>
      <w:pPr>
        <w:spacing w:line="240" w:lineRule="atLeast"/>
        <w:ind w:left="578" w:leftChars="1" w:hanging="576" w:hangingChars="131"/>
        <w:jc w:val="center"/>
        <w:rPr>
          <w:rFonts w:ascii="宋体" w:hAnsi="宋体" w:cs="宋体"/>
          <w:color w:val="000000"/>
          <w:spacing w:val="20"/>
          <w:sz w:val="44"/>
          <w:szCs w:val="44"/>
          <w:highlight w:val="none"/>
        </w:rPr>
      </w:pPr>
      <w:r>
        <w:rPr>
          <w:rFonts w:hint="eastAsia" w:ascii="宋体" w:hAnsi="宋体" w:cs="宋体"/>
          <w:spacing w:val="20"/>
          <w:sz w:val="40"/>
          <w:szCs w:val="44"/>
          <w:highlight w:val="none"/>
        </w:rPr>
        <w:t>考核表</w:t>
      </w:r>
    </w:p>
    <w:p>
      <w:pPr>
        <w:spacing w:line="240" w:lineRule="atLeast"/>
        <w:ind w:left="473" w:leftChars="1" w:hanging="471" w:hangingChars="131"/>
        <w:jc w:val="center"/>
        <w:rPr>
          <w:rFonts w:ascii="宋体" w:hAnsi="宋体" w:cs="宋体"/>
          <w:color w:val="000000"/>
          <w:sz w:val="36"/>
          <w:szCs w:val="44"/>
          <w:highlight w:val="none"/>
        </w:rPr>
      </w:pPr>
      <w:r>
        <w:rPr>
          <w:rFonts w:hint="eastAsia" w:ascii="宋体" w:hAnsi="宋体" w:cs="宋体"/>
          <w:color w:val="000000"/>
          <w:sz w:val="36"/>
          <w:szCs w:val="44"/>
          <w:highlight w:val="none"/>
        </w:rPr>
        <w:t>（2024—2026年度）</w:t>
      </w:r>
    </w:p>
    <w:tbl>
      <w:tblPr>
        <w:tblStyle w:val="45"/>
        <w:tblW w:w="9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1385"/>
        <w:gridCol w:w="587"/>
        <w:gridCol w:w="564"/>
        <w:gridCol w:w="1408"/>
        <w:gridCol w:w="282"/>
        <w:gridCol w:w="621"/>
        <w:gridCol w:w="787"/>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考核主体</w:t>
            </w:r>
          </w:p>
        </w:tc>
        <w:tc>
          <w:tcPr>
            <w:tcW w:w="7044" w:type="dxa"/>
            <w:gridSpan w:val="8"/>
            <w:vAlign w:val="center"/>
          </w:tcPr>
          <w:p>
            <w:pPr>
              <w:jc w:val="center"/>
              <w:rPr>
                <w:rFonts w:ascii="宋体" w:hAnsi="宋体" w:cs="宋体"/>
                <w:color w:val="000000"/>
                <w:sz w:val="24"/>
                <w:highlight w:val="none"/>
              </w:rPr>
            </w:pPr>
            <w:r>
              <w:rPr>
                <w:rFonts w:hint="eastAsia" w:ascii="宋体" w:hAnsi="宋体" w:cs="宋体"/>
                <w:color w:val="000000"/>
                <w:sz w:val="24"/>
                <w:highlight w:val="none"/>
              </w:rPr>
              <w:t xml:space="preserve">北京市顺义区文化和旅游局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被考核主体</w:t>
            </w:r>
          </w:p>
        </w:tc>
        <w:tc>
          <w:tcPr>
            <w:tcW w:w="7044" w:type="dxa"/>
            <w:gridSpan w:val="8"/>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Merge w:val="restart"/>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演出场次</w:t>
            </w:r>
          </w:p>
        </w:tc>
        <w:tc>
          <w:tcPr>
            <w:tcW w:w="138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A类演出</w:t>
            </w:r>
          </w:p>
        </w:tc>
        <w:tc>
          <w:tcPr>
            <w:tcW w:w="1151" w:type="dxa"/>
            <w:gridSpan w:val="2"/>
            <w:vAlign w:val="center"/>
          </w:tcPr>
          <w:p>
            <w:pPr>
              <w:jc w:val="center"/>
              <w:rPr>
                <w:rFonts w:ascii="宋体" w:hAnsi="宋体" w:cs="宋体"/>
                <w:color w:val="000000"/>
                <w:sz w:val="24"/>
                <w:highlight w:val="none"/>
              </w:rPr>
            </w:pPr>
          </w:p>
        </w:tc>
        <w:tc>
          <w:tcPr>
            <w:tcW w:w="1690" w:type="dxa"/>
            <w:gridSpan w:val="2"/>
            <w:vMerge w:val="restart"/>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平均上座率</w:t>
            </w:r>
          </w:p>
        </w:tc>
        <w:tc>
          <w:tcPr>
            <w:tcW w:w="1408"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A类演出</w:t>
            </w:r>
          </w:p>
        </w:tc>
        <w:tc>
          <w:tcPr>
            <w:tcW w:w="1410" w:type="dxa"/>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075" w:type="dxa"/>
            <w:vMerge w:val="continue"/>
            <w:vAlign w:val="center"/>
          </w:tcPr>
          <w:p>
            <w:pPr>
              <w:jc w:val="center"/>
              <w:rPr>
                <w:rFonts w:ascii="宋体" w:hAnsi="宋体" w:cs="宋体"/>
                <w:color w:val="000000"/>
                <w:sz w:val="24"/>
                <w:highlight w:val="none"/>
              </w:rPr>
            </w:pPr>
          </w:p>
        </w:tc>
        <w:tc>
          <w:tcPr>
            <w:tcW w:w="138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B类演出</w:t>
            </w:r>
          </w:p>
        </w:tc>
        <w:tc>
          <w:tcPr>
            <w:tcW w:w="1151" w:type="dxa"/>
            <w:gridSpan w:val="2"/>
            <w:vAlign w:val="center"/>
          </w:tcPr>
          <w:p>
            <w:pPr>
              <w:jc w:val="center"/>
              <w:rPr>
                <w:rFonts w:ascii="宋体" w:hAnsi="宋体" w:cs="宋体"/>
                <w:color w:val="000000"/>
                <w:sz w:val="24"/>
                <w:highlight w:val="none"/>
              </w:rPr>
            </w:pPr>
          </w:p>
        </w:tc>
        <w:tc>
          <w:tcPr>
            <w:tcW w:w="1690" w:type="dxa"/>
            <w:gridSpan w:val="2"/>
            <w:vMerge w:val="continue"/>
            <w:vAlign w:val="center"/>
          </w:tcPr>
          <w:p>
            <w:pPr>
              <w:jc w:val="center"/>
              <w:rPr>
                <w:rFonts w:ascii="宋体" w:hAnsi="宋体" w:cs="宋体"/>
                <w:color w:val="000000"/>
                <w:sz w:val="24"/>
                <w:highlight w:val="none"/>
              </w:rPr>
            </w:pPr>
          </w:p>
        </w:tc>
        <w:tc>
          <w:tcPr>
            <w:tcW w:w="1408"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B类演出</w:t>
            </w:r>
          </w:p>
        </w:tc>
        <w:tc>
          <w:tcPr>
            <w:tcW w:w="1410" w:type="dxa"/>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075" w:type="dxa"/>
            <w:vMerge w:val="continue"/>
            <w:vAlign w:val="center"/>
          </w:tcPr>
          <w:p>
            <w:pPr>
              <w:jc w:val="center"/>
              <w:rPr>
                <w:rFonts w:ascii="宋体" w:hAnsi="宋体" w:cs="宋体"/>
                <w:color w:val="000000"/>
                <w:sz w:val="24"/>
                <w:highlight w:val="none"/>
              </w:rPr>
            </w:pPr>
          </w:p>
        </w:tc>
        <w:tc>
          <w:tcPr>
            <w:tcW w:w="138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C类演出</w:t>
            </w:r>
          </w:p>
        </w:tc>
        <w:tc>
          <w:tcPr>
            <w:tcW w:w="1151" w:type="dxa"/>
            <w:gridSpan w:val="2"/>
            <w:vAlign w:val="center"/>
          </w:tcPr>
          <w:p>
            <w:pPr>
              <w:jc w:val="center"/>
              <w:rPr>
                <w:rFonts w:ascii="宋体" w:hAnsi="宋体" w:cs="宋体"/>
                <w:color w:val="000000"/>
                <w:sz w:val="24"/>
                <w:highlight w:val="none"/>
              </w:rPr>
            </w:pPr>
          </w:p>
        </w:tc>
        <w:tc>
          <w:tcPr>
            <w:tcW w:w="1690" w:type="dxa"/>
            <w:gridSpan w:val="2"/>
            <w:vMerge w:val="continue"/>
            <w:vAlign w:val="center"/>
          </w:tcPr>
          <w:p>
            <w:pPr>
              <w:jc w:val="center"/>
              <w:rPr>
                <w:rFonts w:ascii="宋体" w:hAnsi="宋体" w:cs="宋体"/>
                <w:color w:val="000000"/>
                <w:sz w:val="24"/>
                <w:highlight w:val="none"/>
              </w:rPr>
            </w:pPr>
          </w:p>
        </w:tc>
        <w:tc>
          <w:tcPr>
            <w:tcW w:w="1408"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C类演出</w:t>
            </w:r>
          </w:p>
        </w:tc>
        <w:tc>
          <w:tcPr>
            <w:tcW w:w="1410" w:type="dxa"/>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演出总收入</w:t>
            </w:r>
          </w:p>
        </w:tc>
        <w:tc>
          <w:tcPr>
            <w:tcW w:w="2536" w:type="dxa"/>
            <w:gridSpan w:val="3"/>
            <w:vAlign w:val="center"/>
          </w:tcPr>
          <w:p>
            <w:pPr>
              <w:jc w:val="center"/>
              <w:rPr>
                <w:rFonts w:ascii="宋体" w:hAnsi="宋体" w:cs="宋体"/>
                <w:color w:val="000000"/>
                <w:sz w:val="24"/>
                <w:highlight w:val="none"/>
              </w:rPr>
            </w:pPr>
          </w:p>
        </w:tc>
        <w:tc>
          <w:tcPr>
            <w:tcW w:w="2311" w:type="dxa"/>
            <w:gridSpan w:val="3"/>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净利润</w:t>
            </w:r>
          </w:p>
        </w:tc>
        <w:tc>
          <w:tcPr>
            <w:tcW w:w="2197" w:type="dxa"/>
            <w:gridSpan w:val="2"/>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政府免费用场</w:t>
            </w:r>
          </w:p>
          <w:p>
            <w:pPr>
              <w:jc w:val="center"/>
              <w:rPr>
                <w:rFonts w:ascii="宋体" w:hAnsi="宋体" w:cs="宋体"/>
                <w:color w:val="000000"/>
                <w:sz w:val="24"/>
                <w:highlight w:val="none"/>
              </w:rPr>
            </w:pPr>
            <w:r>
              <w:rPr>
                <w:rFonts w:hint="eastAsia" w:ascii="宋体" w:hAnsi="宋体" w:cs="宋体"/>
                <w:color w:val="000000"/>
                <w:sz w:val="24"/>
                <w:highlight w:val="none"/>
              </w:rPr>
              <w:t>天数</w:t>
            </w:r>
          </w:p>
        </w:tc>
        <w:tc>
          <w:tcPr>
            <w:tcW w:w="2536" w:type="dxa"/>
            <w:gridSpan w:val="3"/>
            <w:vAlign w:val="center"/>
          </w:tcPr>
          <w:p>
            <w:pPr>
              <w:jc w:val="center"/>
              <w:rPr>
                <w:rFonts w:ascii="宋体" w:hAnsi="宋体" w:cs="宋体"/>
                <w:color w:val="000000"/>
                <w:sz w:val="24"/>
                <w:highlight w:val="none"/>
              </w:rPr>
            </w:pPr>
          </w:p>
        </w:tc>
        <w:tc>
          <w:tcPr>
            <w:tcW w:w="2311" w:type="dxa"/>
            <w:gridSpan w:val="3"/>
            <w:vAlign w:val="center"/>
          </w:tcPr>
          <w:p>
            <w:pPr>
              <w:jc w:val="left"/>
              <w:rPr>
                <w:rFonts w:ascii="宋体" w:hAnsi="宋体" w:cs="宋体"/>
                <w:color w:val="000000"/>
                <w:sz w:val="24"/>
                <w:highlight w:val="none"/>
              </w:rPr>
            </w:pPr>
            <w:r>
              <w:rPr>
                <w:rFonts w:hint="eastAsia" w:ascii="宋体" w:hAnsi="宋体" w:cs="宋体"/>
                <w:color w:val="000000"/>
                <w:sz w:val="24"/>
                <w:highlight w:val="none"/>
              </w:rPr>
              <w:t>经营管理制度及内部管理制度</w:t>
            </w:r>
          </w:p>
          <w:p>
            <w:pPr>
              <w:jc w:val="left"/>
              <w:rPr>
                <w:rFonts w:ascii="宋体" w:hAnsi="宋体" w:cs="宋体"/>
                <w:color w:val="000000"/>
                <w:sz w:val="24"/>
                <w:highlight w:val="none"/>
              </w:rPr>
            </w:pPr>
            <w:r>
              <w:rPr>
                <w:rFonts w:hint="eastAsia" w:ascii="宋体" w:hAnsi="宋体" w:cs="宋体"/>
                <w:color w:val="000000"/>
                <w:sz w:val="24"/>
                <w:highlight w:val="none"/>
              </w:rPr>
              <w:t>落实情况</w:t>
            </w:r>
          </w:p>
        </w:tc>
        <w:tc>
          <w:tcPr>
            <w:tcW w:w="2197" w:type="dxa"/>
            <w:gridSpan w:val="2"/>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群众满意度情况</w:t>
            </w:r>
          </w:p>
        </w:tc>
        <w:tc>
          <w:tcPr>
            <w:tcW w:w="2536" w:type="dxa"/>
            <w:gridSpan w:val="3"/>
            <w:vAlign w:val="center"/>
          </w:tcPr>
          <w:p>
            <w:pPr>
              <w:jc w:val="center"/>
              <w:rPr>
                <w:rFonts w:ascii="宋体" w:hAnsi="宋体" w:cs="宋体"/>
                <w:color w:val="000000"/>
                <w:sz w:val="24"/>
                <w:highlight w:val="none"/>
              </w:rPr>
            </w:pPr>
          </w:p>
        </w:tc>
        <w:tc>
          <w:tcPr>
            <w:tcW w:w="2311" w:type="dxa"/>
            <w:gridSpan w:val="3"/>
            <w:vAlign w:val="center"/>
          </w:tcPr>
          <w:p>
            <w:pPr>
              <w:jc w:val="center"/>
              <w:rPr>
                <w:rFonts w:ascii="宋体" w:hAnsi="宋体" w:cs="宋体"/>
                <w:color w:val="000000"/>
                <w:sz w:val="24"/>
                <w:highlight w:val="none"/>
              </w:rPr>
            </w:pPr>
            <w:r>
              <w:rPr>
                <w:rFonts w:hint="eastAsia" w:ascii="宋体" w:hAnsi="宋体" w:cs="宋体"/>
                <w:color w:val="000000"/>
                <w:sz w:val="24"/>
                <w:highlight w:val="none"/>
              </w:rPr>
              <w:t>重大安全事故情况</w:t>
            </w:r>
          </w:p>
        </w:tc>
        <w:tc>
          <w:tcPr>
            <w:tcW w:w="2197" w:type="dxa"/>
            <w:gridSpan w:val="2"/>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0"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考核结论</w:t>
            </w:r>
          </w:p>
        </w:tc>
        <w:tc>
          <w:tcPr>
            <w:tcW w:w="7044" w:type="dxa"/>
            <w:gridSpan w:val="8"/>
            <w:vAlign w:val="center"/>
          </w:tcPr>
          <w:p>
            <w:pPr>
              <w:jc w:val="center"/>
              <w:rPr>
                <w:rFonts w:ascii="宋体" w:hAnsi="宋体" w:cs="宋体"/>
                <w:color w:val="000000"/>
                <w:sz w:val="24"/>
                <w:highlight w:val="none"/>
              </w:rPr>
            </w:pPr>
          </w:p>
          <w:p>
            <w:pPr>
              <w:jc w:val="center"/>
              <w:rPr>
                <w:rFonts w:ascii="宋体" w:hAnsi="宋体" w:cs="宋体"/>
                <w:color w:val="000000"/>
                <w:sz w:val="24"/>
                <w:highlight w:val="none"/>
              </w:rPr>
            </w:pPr>
          </w:p>
          <w:p>
            <w:pPr>
              <w:rPr>
                <w:rFonts w:ascii="宋体" w:hAnsi="宋体" w:cs="宋体"/>
                <w:color w:val="000000"/>
                <w:sz w:val="24"/>
                <w:highlight w:val="none"/>
              </w:rPr>
            </w:pPr>
          </w:p>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综合考核等次</w:t>
            </w:r>
          </w:p>
        </w:tc>
        <w:tc>
          <w:tcPr>
            <w:tcW w:w="1972" w:type="dxa"/>
            <w:gridSpan w:val="2"/>
            <w:vAlign w:val="center"/>
          </w:tcPr>
          <w:p>
            <w:pPr>
              <w:jc w:val="center"/>
              <w:rPr>
                <w:rFonts w:ascii="宋体" w:hAnsi="宋体" w:cs="宋体"/>
                <w:color w:val="000000"/>
                <w:sz w:val="24"/>
                <w:highlight w:val="none"/>
              </w:rPr>
            </w:pPr>
          </w:p>
        </w:tc>
        <w:tc>
          <w:tcPr>
            <w:tcW w:w="1972"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考核</w:t>
            </w:r>
            <w:r>
              <w:rPr>
                <w:rFonts w:hint="eastAsia" w:ascii="宋体" w:hAnsi="宋体" w:cs="宋体"/>
                <w:color w:val="000000"/>
                <w:sz w:val="24"/>
                <w:highlight w:val="none"/>
                <w:lang w:val="en-US" w:eastAsia="zh-CN"/>
              </w:rPr>
              <w:t>委员会</w:t>
            </w:r>
            <w:r>
              <w:rPr>
                <w:rFonts w:hint="eastAsia" w:ascii="宋体" w:hAnsi="宋体" w:cs="宋体"/>
                <w:color w:val="000000"/>
                <w:sz w:val="24"/>
                <w:highlight w:val="none"/>
              </w:rPr>
              <w:t>签字</w:t>
            </w:r>
          </w:p>
        </w:tc>
        <w:tc>
          <w:tcPr>
            <w:tcW w:w="3100" w:type="dxa"/>
            <w:gridSpan w:val="4"/>
            <w:vAlign w:val="center"/>
          </w:tcPr>
          <w:p>
            <w:pPr>
              <w:jc w:val="center"/>
              <w:rPr>
                <w:rFonts w:ascii="宋体" w:hAnsi="宋体" w:cs="宋体"/>
                <w:color w:val="000000"/>
                <w:sz w:val="24"/>
                <w:highlight w:val="none"/>
              </w:rPr>
            </w:pPr>
          </w:p>
        </w:tc>
      </w:tr>
    </w:tbl>
    <w:p>
      <w:pPr>
        <w:rPr>
          <w:rFonts w:ascii="宋体" w:hAnsi="宋体" w:cs="宋体"/>
          <w:szCs w:val="32"/>
          <w:highlight w:val="none"/>
        </w:rPr>
        <w:sectPr>
          <w:pgSz w:w="11906" w:h="16838"/>
          <w:pgMar w:top="1418" w:right="1531" w:bottom="1418" w:left="1531" w:header="851" w:footer="992" w:gutter="0"/>
          <w:cols w:space="720" w:num="1"/>
          <w:docGrid w:type="linesAndChars" w:linePitch="315" w:charSpace="0"/>
        </w:sectPr>
      </w:pPr>
      <w:r>
        <w:rPr>
          <w:rFonts w:hint="eastAsia" w:ascii="宋体" w:hAnsi="宋体" w:cs="宋体"/>
          <w:sz w:val="24"/>
          <w:highlight w:val="none"/>
        </w:rPr>
        <w:t>填表时间：                                   填表人：</w:t>
      </w:r>
    </w:p>
    <w:p>
      <w:pPr>
        <w:rPr>
          <w:rFonts w:ascii="宋体" w:hAnsi="宋体" w:cs="宋体"/>
          <w:b/>
          <w:sz w:val="44"/>
          <w:szCs w:val="44"/>
          <w:highlight w:val="none"/>
        </w:rPr>
      </w:pPr>
      <w:r>
        <w:rPr>
          <w:rFonts w:hint="eastAsia" w:ascii="宋体" w:hAnsi="宋体" w:cs="宋体"/>
          <w:szCs w:val="32"/>
          <w:highlight w:val="none"/>
        </w:rPr>
        <w:t>附件2</w:t>
      </w:r>
    </w:p>
    <w:p>
      <w:pPr>
        <w:spacing w:line="360" w:lineRule="auto"/>
        <w:jc w:val="center"/>
        <w:rPr>
          <w:rFonts w:ascii="宋体" w:hAnsi="宋体" w:cs="宋体"/>
          <w:sz w:val="44"/>
          <w:szCs w:val="44"/>
          <w:highlight w:val="none"/>
        </w:rPr>
      </w:pPr>
      <w:r>
        <w:rPr>
          <w:rFonts w:hint="eastAsia" w:ascii="宋体" w:hAnsi="宋体" w:cs="宋体"/>
          <w:sz w:val="44"/>
          <w:szCs w:val="44"/>
          <w:highlight w:val="none"/>
          <w:lang w:val="en-US" w:eastAsia="zh-CN"/>
        </w:rPr>
        <w:t>XX</w:t>
      </w:r>
      <w:r>
        <w:rPr>
          <w:rFonts w:hint="eastAsia" w:ascii="宋体" w:hAnsi="宋体" w:cs="宋体"/>
          <w:sz w:val="44"/>
          <w:szCs w:val="44"/>
          <w:highlight w:val="none"/>
        </w:rPr>
        <w:t>年度顺义大剧院</w:t>
      </w:r>
      <w:r>
        <w:rPr>
          <w:rFonts w:hint="eastAsia" w:ascii="宋体" w:hAnsi="宋体" w:cs="宋体"/>
          <w:spacing w:val="20"/>
          <w:sz w:val="40"/>
          <w:szCs w:val="44"/>
          <w:highlight w:val="none"/>
        </w:rPr>
        <w:t>运营管理公司</w:t>
      </w:r>
      <w:r>
        <w:rPr>
          <w:rFonts w:hint="eastAsia" w:ascii="宋体" w:hAnsi="宋体" w:cs="宋体"/>
          <w:sz w:val="44"/>
          <w:szCs w:val="44"/>
          <w:highlight w:val="none"/>
        </w:rPr>
        <w:t>考核评分表（总分100分）</w:t>
      </w:r>
    </w:p>
    <w:tbl>
      <w:tblPr>
        <w:tblStyle w:val="45"/>
        <w:tblW w:w="14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1879"/>
        <w:gridCol w:w="790"/>
        <w:gridCol w:w="1756"/>
        <w:gridCol w:w="1461"/>
        <w:gridCol w:w="1302"/>
        <w:gridCol w:w="1185"/>
        <w:gridCol w:w="353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439" w:type="dxa"/>
            <w:gridSpan w:val="2"/>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考核内容</w:t>
            </w:r>
          </w:p>
        </w:tc>
        <w:tc>
          <w:tcPr>
            <w:tcW w:w="790" w:type="dxa"/>
            <w:vMerge w:val="restart"/>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分值</w:t>
            </w:r>
          </w:p>
        </w:tc>
        <w:tc>
          <w:tcPr>
            <w:tcW w:w="1756" w:type="dxa"/>
            <w:vMerge w:val="restart"/>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完成情况</w:t>
            </w:r>
          </w:p>
        </w:tc>
        <w:tc>
          <w:tcPr>
            <w:tcW w:w="1461" w:type="dxa"/>
            <w:vMerge w:val="restart"/>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自评分</w:t>
            </w:r>
          </w:p>
        </w:tc>
        <w:tc>
          <w:tcPr>
            <w:tcW w:w="1302"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加减分</w:t>
            </w:r>
          </w:p>
        </w:tc>
        <w:tc>
          <w:tcPr>
            <w:tcW w:w="1185"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考核组</w:t>
            </w:r>
          </w:p>
        </w:tc>
        <w:tc>
          <w:tcPr>
            <w:tcW w:w="4952" w:type="dxa"/>
            <w:gridSpan w:val="2"/>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560"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总内容</w:t>
            </w:r>
          </w:p>
        </w:tc>
        <w:tc>
          <w:tcPr>
            <w:tcW w:w="1879"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具体项目</w:t>
            </w:r>
          </w:p>
        </w:tc>
        <w:tc>
          <w:tcPr>
            <w:tcW w:w="790" w:type="dxa"/>
            <w:vMerge w:val="continue"/>
            <w:vAlign w:val="center"/>
          </w:tcPr>
          <w:p>
            <w:pPr>
              <w:rPr>
                <w:rFonts w:ascii="宋体" w:hAnsi="宋体" w:cs="宋体"/>
                <w:sz w:val="28"/>
                <w:szCs w:val="28"/>
                <w:highlight w:val="none"/>
              </w:rPr>
            </w:pPr>
          </w:p>
        </w:tc>
        <w:tc>
          <w:tcPr>
            <w:tcW w:w="1756" w:type="dxa"/>
            <w:vMerge w:val="continue"/>
            <w:vAlign w:val="center"/>
          </w:tcPr>
          <w:p>
            <w:pPr>
              <w:rPr>
                <w:rFonts w:ascii="宋体" w:hAnsi="宋体" w:cs="宋体"/>
                <w:sz w:val="28"/>
                <w:szCs w:val="28"/>
                <w:highlight w:val="none"/>
              </w:rPr>
            </w:pPr>
          </w:p>
        </w:tc>
        <w:tc>
          <w:tcPr>
            <w:tcW w:w="1461" w:type="dxa"/>
            <w:vMerge w:val="continue"/>
            <w:vAlign w:val="center"/>
          </w:tcPr>
          <w:p>
            <w:pPr>
              <w:rPr>
                <w:rFonts w:ascii="宋体" w:hAnsi="宋体" w:cs="宋体"/>
                <w:sz w:val="28"/>
                <w:szCs w:val="28"/>
                <w:highlight w:val="none"/>
              </w:rPr>
            </w:pPr>
          </w:p>
        </w:tc>
        <w:tc>
          <w:tcPr>
            <w:tcW w:w="1302"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理由</w:t>
            </w:r>
          </w:p>
        </w:tc>
        <w:tc>
          <w:tcPr>
            <w:tcW w:w="1185"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评审</w:t>
            </w:r>
          </w:p>
        </w:tc>
        <w:tc>
          <w:tcPr>
            <w:tcW w:w="3531"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评分标准</w:t>
            </w:r>
          </w:p>
        </w:tc>
        <w:tc>
          <w:tcPr>
            <w:tcW w:w="1421"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9" w:hRule="atLeast"/>
          <w:jc w:val="center"/>
        </w:trPr>
        <w:tc>
          <w:tcPr>
            <w:tcW w:w="1560" w:type="dxa"/>
            <w:vMerge w:val="restart"/>
          </w:tcPr>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一、演出情况</w:t>
            </w:r>
            <w:r>
              <w:rPr>
                <w:rFonts w:hint="eastAsia" w:ascii="宋体" w:hAnsi="宋体" w:cs="宋体"/>
                <w:bCs/>
                <w:sz w:val="24"/>
                <w:highlight w:val="none"/>
              </w:rPr>
              <w:t>（总分</w:t>
            </w:r>
            <w:r>
              <w:rPr>
                <w:rFonts w:hint="eastAsia" w:ascii="宋体" w:hAnsi="宋体" w:cs="宋体"/>
                <w:bCs/>
                <w:sz w:val="24"/>
                <w:highlight w:val="none"/>
                <w:lang w:val="en-US" w:eastAsia="zh-CN"/>
              </w:rPr>
              <w:t>48</w:t>
            </w:r>
            <w:r>
              <w:rPr>
                <w:rFonts w:hint="eastAsia" w:ascii="宋体" w:hAnsi="宋体" w:cs="宋体"/>
                <w:bCs/>
                <w:sz w:val="24"/>
                <w:highlight w:val="none"/>
              </w:rPr>
              <w:t>分）</w:t>
            </w:r>
            <w:r>
              <w:rPr>
                <w:rFonts w:hint="eastAsia" w:ascii="宋体" w:hAnsi="宋体" w:cs="宋体"/>
                <w:sz w:val="24"/>
                <w:highlight w:val="none"/>
              </w:rPr>
              <w:t>：自营演出</w:t>
            </w: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rPr>
                <w:rFonts w:ascii="宋体" w:hAnsi="宋体" w:cs="宋体"/>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rPr>
                <w:rFonts w:ascii="宋体" w:hAnsi="宋体" w:cs="宋体"/>
                <w:bCs/>
                <w:sz w:val="24"/>
                <w:highlight w:val="none"/>
              </w:rPr>
            </w:pPr>
          </w:p>
        </w:tc>
        <w:tc>
          <w:tcPr>
            <w:tcW w:w="1879" w:type="dxa"/>
            <w:tcBorders>
              <w:bottom w:val="single" w:color="auto" w:sz="4" w:space="0"/>
            </w:tcBorders>
            <w:vAlign w:val="center"/>
          </w:tcPr>
          <w:p>
            <w:pPr>
              <w:widowControl/>
              <w:spacing w:line="240" w:lineRule="exact"/>
              <w:rPr>
                <w:rFonts w:ascii="宋体" w:hAnsi="宋体" w:cs="宋体"/>
                <w:bCs/>
                <w:szCs w:val="21"/>
                <w:highlight w:val="none"/>
              </w:rPr>
            </w:pPr>
            <w:r>
              <w:rPr>
                <w:rFonts w:hint="eastAsia" w:ascii="宋体" w:hAnsi="宋体" w:cs="宋体"/>
                <w:bCs/>
                <w:szCs w:val="21"/>
                <w:highlight w:val="none"/>
              </w:rPr>
              <w:t>（1）A类演出指标</w:t>
            </w:r>
            <w:r>
              <w:rPr>
                <w:rFonts w:hint="eastAsia" w:ascii="宋体" w:hAnsi="宋体" w:cs="宋体"/>
                <w:bCs/>
                <w:szCs w:val="21"/>
                <w:highlight w:val="none"/>
                <w:lang w:eastAsia="zh-CN"/>
              </w:rPr>
              <w:t>占自营演出总场次</w:t>
            </w:r>
            <w:r>
              <w:rPr>
                <w:rFonts w:hint="eastAsia" w:ascii="宋体" w:hAnsi="宋体" w:cs="宋体"/>
                <w:bCs/>
                <w:szCs w:val="21"/>
                <w:highlight w:val="none"/>
                <w:lang w:val="en-US" w:eastAsia="zh-CN"/>
              </w:rPr>
              <w:t>40%以上</w:t>
            </w:r>
            <w:r>
              <w:rPr>
                <w:rFonts w:hint="eastAsia" w:ascii="宋体" w:hAnsi="宋体" w:cs="宋体"/>
                <w:bCs/>
                <w:szCs w:val="21"/>
                <w:highlight w:val="none"/>
              </w:rPr>
              <w:t>(附上座率清单)</w:t>
            </w:r>
          </w:p>
        </w:tc>
        <w:tc>
          <w:tcPr>
            <w:tcW w:w="790" w:type="dxa"/>
            <w:tcBorders>
              <w:bottom w:val="single" w:color="auto" w:sz="4" w:space="0"/>
            </w:tcBorders>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4</w:t>
            </w:r>
            <w:r>
              <w:rPr>
                <w:rFonts w:hint="eastAsia" w:ascii="宋体" w:hAnsi="宋体" w:cs="宋体"/>
                <w:szCs w:val="21"/>
                <w:highlight w:val="none"/>
              </w:rPr>
              <w:t>分</w:t>
            </w:r>
          </w:p>
        </w:tc>
        <w:tc>
          <w:tcPr>
            <w:tcW w:w="1756" w:type="dxa"/>
            <w:tcBorders>
              <w:bottom w:val="single" w:color="auto" w:sz="4" w:space="0"/>
            </w:tcBorders>
            <w:vAlign w:val="center"/>
          </w:tcPr>
          <w:p>
            <w:pPr>
              <w:widowControl/>
              <w:spacing w:line="240" w:lineRule="exact"/>
              <w:rPr>
                <w:rFonts w:ascii="宋体" w:hAnsi="宋体" w:cs="宋体"/>
                <w:szCs w:val="21"/>
                <w:highlight w:val="none"/>
              </w:rPr>
            </w:pPr>
          </w:p>
        </w:tc>
        <w:tc>
          <w:tcPr>
            <w:tcW w:w="1461" w:type="dxa"/>
            <w:tcBorders>
              <w:bottom w:val="single" w:color="auto" w:sz="4" w:space="0"/>
            </w:tcBorders>
            <w:vAlign w:val="center"/>
          </w:tcPr>
          <w:p>
            <w:pPr>
              <w:widowControl/>
              <w:spacing w:line="240" w:lineRule="exact"/>
              <w:rPr>
                <w:rFonts w:ascii="宋体" w:hAnsi="宋体" w:cs="宋体"/>
                <w:szCs w:val="21"/>
                <w:highlight w:val="none"/>
              </w:rPr>
            </w:pPr>
          </w:p>
        </w:tc>
        <w:tc>
          <w:tcPr>
            <w:tcW w:w="1302" w:type="dxa"/>
            <w:tcBorders>
              <w:bottom w:val="single" w:color="auto" w:sz="4" w:space="0"/>
            </w:tcBorders>
            <w:vAlign w:val="center"/>
          </w:tcPr>
          <w:p>
            <w:pPr>
              <w:widowControl/>
              <w:spacing w:line="240" w:lineRule="exact"/>
              <w:rPr>
                <w:rFonts w:ascii="宋体" w:hAnsi="宋体" w:cs="宋体"/>
                <w:szCs w:val="21"/>
                <w:highlight w:val="none"/>
              </w:rPr>
            </w:pPr>
          </w:p>
        </w:tc>
        <w:tc>
          <w:tcPr>
            <w:tcW w:w="1185" w:type="dxa"/>
            <w:tcBorders>
              <w:bottom w:val="single" w:color="auto" w:sz="4" w:space="0"/>
            </w:tcBorders>
            <w:vAlign w:val="center"/>
          </w:tcPr>
          <w:p>
            <w:pPr>
              <w:widowControl/>
              <w:spacing w:line="240" w:lineRule="exact"/>
              <w:rPr>
                <w:rFonts w:ascii="宋体" w:hAnsi="宋体" w:cs="宋体"/>
                <w:szCs w:val="21"/>
                <w:highlight w:val="none"/>
              </w:rPr>
            </w:pPr>
          </w:p>
        </w:tc>
        <w:tc>
          <w:tcPr>
            <w:tcW w:w="3531" w:type="dxa"/>
            <w:tcBorders>
              <w:bottom w:val="single" w:color="auto" w:sz="4" w:space="0"/>
            </w:tcBorders>
            <w:vAlign w:val="center"/>
          </w:tcPr>
          <w:p>
            <w:pPr>
              <w:widowControl/>
              <w:spacing w:line="240" w:lineRule="exact"/>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1）欧洲和北美地区演出团体中名称带有国家、皇家或者首都城市名称、广播字样的演出团体的演出；（2）在国际上享有良好广泛的声誉、举办历史悠久或知名的国际艺术比赛中获得奖项的国内外演出团体的演出；（3）国内演出团体中直属国家文旅部、广播电视总局及带有中国、中央字样的国家级文化艺术团体的演出；（4）入选国家舞台艺术精品工程、获文旅部“文华奖”、获中宣部“五个一工程奖”的优秀舞台艺术佳作的演出；（5）获国际专业艺术比赛大奖或国家授予荣誉称号的艺术家为主演的剧(节)目；（6）中央军委政治工作部歌剧团直属艺术团体的演出；（7）国内省级艺术院团获得中宣部、国家文化和旅游部、中国文联主办的各单项舞台艺术最高奖项的演出项目；（8）演出单场票房超过25万元的演出项目。 </w:t>
            </w:r>
          </w:p>
          <w:p>
            <w:pPr>
              <w:widowControl/>
              <w:spacing w:line="240" w:lineRule="exact"/>
              <w:rPr>
                <w:rFonts w:ascii="宋体" w:hAnsi="宋体" w:cs="宋体"/>
                <w:szCs w:val="21"/>
                <w:highlight w:val="none"/>
              </w:rPr>
            </w:pPr>
            <w:r>
              <w:rPr>
                <w:rFonts w:hint="eastAsia" w:ascii="宋体" w:hAnsi="宋体" w:cs="宋体"/>
                <w:szCs w:val="21"/>
                <w:highlight w:val="none"/>
              </w:rPr>
              <w:t>不符合演出档次要求的,一场扣0.5分</w:t>
            </w:r>
          </w:p>
        </w:tc>
        <w:tc>
          <w:tcPr>
            <w:tcW w:w="1421" w:type="dxa"/>
            <w:tcBorders>
              <w:bottom w:val="single" w:color="auto" w:sz="4" w:space="0"/>
            </w:tcBorders>
            <w:vAlign w:val="center"/>
          </w:tcPr>
          <w:p>
            <w:pPr>
              <w:widowControl/>
              <w:spacing w:line="240" w:lineRule="exact"/>
              <w:rPr>
                <w:rFonts w:ascii="宋体" w:hAnsi="宋体" w:cs="宋体"/>
                <w:szCs w:val="21"/>
                <w:highlight w:val="none"/>
              </w:rPr>
            </w:pPr>
            <w:r>
              <w:rPr>
                <w:rFonts w:hint="eastAsia" w:ascii="宋体" w:hAnsi="宋体" w:cs="宋体"/>
                <w:szCs w:val="21"/>
                <w:highlight w:val="none"/>
              </w:rPr>
              <w:t>每少一场演出在次年演出补贴中扣除15万元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3" w:hRule="atLeast"/>
          <w:jc w:val="center"/>
        </w:trPr>
        <w:tc>
          <w:tcPr>
            <w:tcW w:w="1560" w:type="dxa"/>
            <w:vMerge w:val="continue"/>
            <w:vAlign w:val="center"/>
          </w:tcPr>
          <w:p>
            <w:pPr>
              <w:rPr>
                <w:rFonts w:ascii="宋体" w:hAnsi="宋体" w:cs="宋体"/>
                <w:sz w:val="24"/>
                <w:highlight w:val="none"/>
              </w:rPr>
            </w:pPr>
          </w:p>
        </w:tc>
        <w:tc>
          <w:tcPr>
            <w:tcW w:w="1879" w:type="dxa"/>
            <w:tcBorders>
              <w:bottom w:val="single" w:color="auto" w:sz="4" w:space="0"/>
            </w:tcBorders>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（2）B类演出指标</w:t>
            </w:r>
            <w:r>
              <w:rPr>
                <w:rFonts w:hint="eastAsia" w:ascii="宋体" w:hAnsi="宋体" w:cs="宋体"/>
                <w:bCs/>
                <w:szCs w:val="21"/>
                <w:highlight w:val="none"/>
                <w:lang w:eastAsia="zh-CN"/>
              </w:rPr>
              <w:t>占自营演出总场次</w:t>
            </w:r>
            <w:r>
              <w:rPr>
                <w:rFonts w:hint="eastAsia" w:ascii="宋体" w:hAnsi="宋体" w:cs="宋体"/>
                <w:bCs/>
                <w:szCs w:val="21"/>
                <w:highlight w:val="none"/>
                <w:lang w:val="en-US" w:eastAsia="zh-CN"/>
              </w:rPr>
              <w:t>30%以上</w:t>
            </w:r>
            <w:r>
              <w:rPr>
                <w:rFonts w:hint="eastAsia" w:ascii="宋体" w:hAnsi="宋体" w:cs="宋体"/>
                <w:bCs/>
                <w:szCs w:val="21"/>
                <w:highlight w:val="none"/>
              </w:rPr>
              <w:t>(附上座率清单)</w:t>
            </w:r>
            <w:r>
              <w:rPr>
                <w:rFonts w:hint="eastAsia" w:ascii="宋体" w:hAnsi="宋体" w:cs="宋体"/>
                <w:szCs w:val="21"/>
                <w:highlight w:val="none"/>
              </w:rPr>
              <w:t xml:space="preserve"> </w:t>
            </w:r>
          </w:p>
        </w:tc>
        <w:tc>
          <w:tcPr>
            <w:tcW w:w="790" w:type="dxa"/>
            <w:tcBorders>
              <w:bottom w:val="single" w:color="auto" w:sz="4" w:space="0"/>
            </w:tcBorders>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0</w:t>
            </w:r>
            <w:r>
              <w:rPr>
                <w:rFonts w:hint="eastAsia" w:ascii="宋体" w:hAnsi="宋体" w:cs="宋体"/>
                <w:szCs w:val="21"/>
                <w:highlight w:val="none"/>
              </w:rPr>
              <w:t>分</w:t>
            </w:r>
          </w:p>
        </w:tc>
        <w:tc>
          <w:tcPr>
            <w:tcW w:w="1756" w:type="dxa"/>
            <w:tcBorders>
              <w:bottom w:val="single" w:color="auto" w:sz="4" w:space="0"/>
            </w:tcBorders>
            <w:vAlign w:val="center"/>
          </w:tcPr>
          <w:p>
            <w:pPr>
              <w:widowControl/>
              <w:spacing w:line="240" w:lineRule="exact"/>
              <w:rPr>
                <w:rFonts w:ascii="宋体" w:hAnsi="宋体" w:cs="宋体"/>
                <w:szCs w:val="21"/>
                <w:highlight w:val="none"/>
              </w:rPr>
            </w:pPr>
          </w:p>
        </w:tc>
        <w:tc>
          <w:tcPr>
            <w:tcW w:w="1461" w:type="dxa"/>
            <w:tcBorders>
              <w:bottom w:val="single" w:color="auto" w:sz="4" w:space="0"/>
            </w:tcBorders>
            <w:vAlign w:val="center"/>
          </w:tcPr>
          <w:p>
            <w:pPr>
              <w:widowControl/>
              <w:spacing w:line="240" w:lineRule="exact"/>
              <w:rPr>
                <w:rFonts w:ascii="宋体" w:hAnsi="宋体" w:cs="宋体"/>
                <w:szCs w:val="21"/>
                <w:highlight w:val="none"/>
              </w:rPr>
            </w:pPr>
          </w:p>
        </w:tc>
        <w:tc>
          <w:tcPr>
            <w:tcW w:w="1302" w:type="dxa"/>
            <w:tcBorders>
              <w:bottom w:val="single" w:color="auto" w:sz="4" w:space="0"/>
            </w:tcBorders>
            <w:vAlign w:val="center"/>
          </w:tcPr>
          <w:p>
            <w:pPr>
              <w:widowControl/>
              <w:spacing w:line="240" w:lineRule="exact"/>
              <w:rPr>
                <w:rFonts w:ascii="宋体" w:hAnsi="宋体" w:cs="宋体"/>
                <w:szCs w:val="21"/>
                <w:highlight w:val="none"/>
              </w:rPr>
            </w:pPr>
          </w:p>
        </w:tc>
        <w:tc>
          <w:tcPr>
            <w:tcW w:w="1185" w:type="dxa"/>
            <w:tcBorders>
              <w:bottom w:val="single" w:color="auto" w:sz="4" w:space="0"/>
            </w:tcBorders>
            <w:vAlign w:val="center"/>
          </w:tcPr>
          <w:p>
            <w:pPr>
              <w:widowControl/>
              <w:spacing w:line="240" w:lineRule="exact"/>
              <w:rPr>
                <w:rFonts w:ascii="宋体" w:hAnsi="宋体" w:cs="宋体"/>
                <w:szCs w:val="21"/>
                <w:highlight w:val="none"/>
              </w:rPr>
            </w:pPr>
          </w:p>
        </w:tc>
        <w:tc>
          <w:tcPr>
            <w:tcW w:w="3531" w:type="dxa"/>
            <w:tcBorders>
              <w:bottom w:val="single" w:color="auto" w:sz="4" w:space="0"/>
            </w:tcBorders>
            <w:vAlign w:val="center"/>
          </w:tcPr>
          <w:p>
            <w:pPr>
              <w:widowControl/>
              <w:spacing w:line="240" w:lineRule="exact"/>
              <w:rPr>
                <w:rFonts w:ascii="宋体" w:hAnsi="宋体" w:cs="宋体"/>
                <w:szCs w:val="21"/>
                <w:highlight w:val="none"/>
              </w:rPr>
            </w:pPr>
            <w:r>
              <w:rPr>
                <w:rFonts w:hint="eastAsia" w:ascii="宋体" w:hAnsi="宋体" w:cs="宋体"/>
                <w:szCs w:val="21"/>
                <w:highlight w:val="none"/>
              </w:rPr>
              <w:t>（1）北京、上海所属的市级以上艺术团体的演出；（2）以著名古典艺术家命名的国外艺术团体演出的剧目；（3）国外艺术团体名称中带有青年字样或冠以洲际名称的艺术团体的演出；（4）其它城市艺术院团中有地方特色的并获得省委宣传奖、省文化厅或省文联主办的省级以上舞台艺术专业评奖最高奖项的优秀剧(节)目的演出;（5）演出单场票房超过15万元的演出项目。</w:t>
            </w:r>
          </w:p>
          <w:p>
            <w:pPr>
              <w:widowControl/>
              <w:spacing w:line="240" w:lineRule="exact"/>
              <w:rPr>
                <w:rFonts w:ascii="宋体" w:hAnsi="宋体" w:cs="宋体"/>
                <w:szCs w:val="21"/>
                <w:highlight w:val="none"/>
              </w:rPr>
            </w:pPr>
            <w:r>
              <w:rPr>
                <w:rFonts w:hint="eastAsia" w:ascii="宋体" w:hAnsi="宋体" w:cs="宋体"/>
                <w:szCs w:val="21"/>
                <w:highlight w:val="none"/>
              </w:rPr>
              <w:t>不符合演出档次要求的。一场扣0.5分</w:t>
            </w:r>
          </w:p>
        </w:tc>
        <w:tc>
          <w:tcPr>
            <w:tcW w:w="1421" w:type="dxa"/>
            <w:tcBorders>
              <w:bottom w:val="single" w:color="auto" w:sz="4" w:space="0"/>
            </w:tcBorders>
            <w:vAlign w:val="center"/>
          </w:tcPr>
          <w:p>
            <w:pPr>
              <w:widowControl/>
              <w:spacing w:line="240" w:lineRule="exact"/>
              <w:rPr>
                <w:rFonts w:ascii="宋体" w:hAnsi="宋体" w:cs="宋体"/>
                <w:szCs w:val="21"/>
                <w:highlight w:val="none"/>
              </w:rPr>
            </w:pPr>
            <w:r>
              <w:rPr>
                <w:rFonts w:hint="eastAsia" w:ascii="宋体" w:hAnsi="宋体" w:cs="宋体"/>
                <w:szCs w:val="21"/>
                <w:highlight w:val="none"/>
              </w:rPr>
              <w:t>每少一场演出在次年演出补贴中扣除10万元。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bCs/>
                <w:szCs w:val="21"/>
                <w:highlight w:val="none"/>
              </w:rPr>
              <w:t>）年平均上座率</w:t>
            </w:r>
            <w:r>
              <w:rPr>
                <w:rFonts w:hint="eastAsia" w:ascii="宋体" w:hAnsi="宋体" w:cs="宋体"/>
                <w:szCs w:val="21"/>
                <w:highlight w:val="none"/>
              </w:rPr>
              <w:t>5</w:t>
            </w:r>
            <w:r>
              <w:rPr>
                <w:rFonts w:hint="eastAsia" w:ascii="宋体" w:hAnsi="宋体" w:cs="宋体"/>
                <w:szCs w:val="21"/>
                <w:highlight w:val="none"/>
                <w:lang w:val="en-US" w:eastAsia="zh-CN"/>
              </w:rPr>
              <w:t>5</w:t>
            </w:r>
            <w:r>
              <w:rPr>
                <w:rFonts w:hint="eastAsia" w:ascii="宋体" w:hAnsi="宋体" w:cs="宋体"/>
                <w:szCs w:val="21"/>
                <w:highlight w:val="none"/>
              </w:rPr>
              <w:t>%以上</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看数据统计资料</w:t>
            </w:r>
          </w:p>
          <w:p>
            <w:pPr>
              <w:widowControl/>
              <w:spacing w:line="240" w:lineRule="exact"/>
              <w:rPr>
                <w:rFonts w:ascii="宋体" w:hAnsi="宋体" w:cs="宋体"/>
                <w:szCs w:val="21"/>
                <w:highlight w:val="none"/>
              </w:rPr>
            </w:pPr>
            <w:r>
              <w:rPr>
                <w:rFonts w:hint="eastAsia" w:ascii="宋体" w:hAnsi="宋体" w:cs="宋体"/>
                <w:szCs w:val="21"/>
                <w:highlight w:val="none"/>
              </w:rPr>
              <w:t>每降低1%扣0.5分</w:t>
            </w:r>
          </w:p>
        </w:tc>
        <w:tc>
          <w:tcPr>
            <w:tcW w:w="142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每降1%扣5万元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w:t>
            </w:r>
            <w:r>
              <w:rPr>
                <w:rFonts w:hint="eastAsia" w:ascii="宋体" w:hAnsi="宋体" w:cs="宋体"/>
                <w:bCs/>
                <w:szCs w:val="21"/>
                <w:highlight w:val="none"/>
                <w:lang w:val="en-US" w:eastAsia="zh-CN"/>
              </w:rPr>
              <w:t>4</w:t>
            </w:r>
            <w:r>
              <w:rPr>
                <w:rFonts w:hint="eastAsia" w:ascii="宋体" w:hAnsi="宋体" w:cs="宋体"/>
                <w:bCs/>
                <w:szCs w:val="21"/>
                <w:highlight w:val="none"/>
              </w:rPr>
              <w:t>）观众满意度要求在90%以上</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bCs/>
                <w:szCs w:val="21"/>
                <w:highlight w:val="none"/>
              </w:rPr>
            </w:pPr>
          </w:p>
        </w:tc>
        <w:tc>
          <w:tcPr>
            <w:tcW w:w="1461" w:type="dxa"/>
            <w:vAlign w:val="center"/>
          </w:tcPr>
          <w:p>
            <w:pPr>
              <w:widowControl/>
              <w:spacing w:line="240" w:lineRule="exact"/>
              <w:rPr>
                <w:rFonts w:ascii="宋体" w:hAnsi="宋体" w:cs="宋体"/>
                <w:bCs/>
                <w:szCs w:val="21"/>
                <w:highlight w:val="none"/>
              </w:rPr>
            </w:pPr>
          </w:p>
        </w:tc>
        <w:tc>
          <w:tcPr>
            <w:tcW w:w="1302" w:type="dxa"/>
            <w:vAlign w:val="center"/>
          </w:tcPr>
          <w:p>
            <w:pPr>
              <w:widowControl/>
              <w:spacing w:line="240" w:lineRule="exact"/>
              <w:rPr>
                <w:rFonts w:ascii="宋体" w:hAnsi="宋体" w:cs="宋体"/>
                <w:bCs/>
                <w:szCs w:val="21"/>
                <w:highlight w:val="none"/>
              </w:rPr>
            </w:pPr>
          </w:p>
        </w:tc>
        <w:tc>
          <w:tcPr>
            <w:tcW w:w="1185" w:type="dxa"/>
            <w:vAlign w:val="center"/>
          </w:tcPr>
          <w:p>
            <w:pPr>
              <w:widowControl/>
              <w:spacing w:line="240" w:lineRule="exact"/>
              <w:rPr>
                <w:rFonts w:ascii="宋体" w:hAnsi="宋体" w:cs="宋体"/>
                <w:bCs/>
                <w:szCs w:val="21"/>
                <w:highlight w:val="none"/>
              </w:rPr>
            </w:pPr>
          </w:p>
        </w:tc>
        <w:tc>
          <w:tcPr>
            <w:tcW w:w="3531" w:type="dxa"/>
            <w:vAlign w:val="center"/>
          </w:tcPr>
          <w:p>
            <w:pPr>
              <w:widowControl/>
              <w:spacing w:line="240" w:lineRule="exact"/>
              <w:rPr>
                <w:rFonts w:ascii="宋体" w:hAnsi="宋体" w:cs="宋体"/>
                <w:bCs/>
                <w:szCs w:val="21"/>
                <w:highlight w:val="none"/>
              </w:rPr>
            </w:pPr>
            <w:r>
              <w:rPr>
                <w:rFonts w:hint="eastAsia" w:ascii="宋体" w:hAnsi="宋体" w:cs="宋体"/>
                <w:bCs/>
                <w:szCs w:val="21"/>
                <w:highlight w:val="none"/>
              </w:rPr>
              <w:t>看台账</w:t>
            </w:r>
          </w:p>
          <w:p>
            <w:pPr>
              <w:widowControl/>
              <w:spacing w:line="240" w:lineRule="exact"/>
              <w:rPr>
                <w:rFonts w:ascii="宋体" w:hAnsi="宋体" w:cs="宋体"/>
                <w:bCs/>
                <w:szCs w:val="21"/>
                <w:highlight w:val="none"/>
              </w:rPr>
            </w:pPr>
            <w:r>
              <w:rPr>
                <w:rFonts w:hint="eastAsia" w:ascii="宋体" w:hAnsi="宋体" w:cs="宋体"/>
                <w:bCs/>
                <w:szCs w:val="21"/>
                <w:highlight w:val="none"/>
              </w:rPr>
              <w:t>满意度90%以上</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w:t>
            </w:r>
            <w:r>
              <w:rPr>
                <w:rFonts w:hint="eastAsia" w:ascii="宋体" w:hAnsi="宋体" w:cs="宋体"/>
                <w:bCs/>
                <w:szCs w:val="21"/>
                <w:highlight w:val="none"/>
                <w:lang w:val="en-US" w:eastAsia="zh-CN"/>
              </w:rPr>
              <w:t>5</w:t>
            </w:r>
            <w:r>
              <w:rPr>
                <w:rFonts w:hint="eastAsia" w:ascii="宋体" w:hAnsi="宋体" w:cs="宋体"/>
                <w:bCs/>
                <w:szCs w:val="21"/>
                <w:highlight w:val="none"/>
              </w:rPr>
              <w:t>）全年公益</w:t>
            </w:r>
            <w:r>
              <w:rPr>
                <w:rFonts w:hint="eastAsia" w:ascii="宋体" w:hAnsi="宋体" w:cs="宋体"/>
                <w:bCs/>
                <w:szCs w:val="21"/>
                <w:highlight w:val="none"/>
                <w:lang w:eastAsia="zh-CN"/>
              </w:rPr>
              <w:t>演出及</w:t>
            </w:r>
            <w:r>
              <w:rPr>
                <w:rFonts w:hint="eastAsia" w:ascii="宋体" w:hAnsi="宋体" w:cs="宋体"/>
                <w:bCs/>
                <w:szCs w:val="21"/>
                <w:highlight w:val="none"/>
              </w:rPr>
              <w:t>活动场次数不少于30场</w:t>
            </w:r>
            <w:r>
              <w:rPr>
                <w:rFonts w:hint="eastAsia" w:ascii="宋体" w:hAnsi="宋体" w:cs="宋体"/>
                <w:bCs/>
                <w:szCs w:val="21"/>
                <w:highlight w:val="none"/>
                <w:lang w:eastAsia="zh-CN"/>
              </w:rPr>
              <w:t>（公益演出不少于</w:t>
            </w:r>
            <w:r>
              <w:rPr>
                <w:rFonts w:hint="eastAsia" w:ascii="宋体" w:hAnsi="宋体" w:cs="宋体"/>
                <w:bCs/>
                <w:szCs w:val="21"/>
                <w:highlight w:val="none"/>
                <w:lang w:val="en-US" w:eastAsia="zh-CN"/>
              </w:rPr>
              <w:t>10场，公益活动不少于20场</w:t>
            </w:r>
            <w:r>
              <w:rPr>
                <w:rFonts w:hint="eastAsia" w:ascii="宋体" w:hAnsi="宋体" w:cs="宋体"/>
                <w:bCs/>
                <w:szCs w:val="21"/>
                <w:highlight w:val="none"/>
                <w:lang w:eastAsia="zh-CN"/>
              </w:rPr>
              <w:t>）</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2</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bCs/>
                <w:szCs w:val="21"/>
                <w:highlight w:val="none"/>
              </w:rPr>
            </w:pPr>
          </w:p>
        </w:tc>
        <w:tc>
          <w:tcPr>
            <w:tcW w:w="1461" w:type="dxa"/>
            <w:vAlign w:val="center"/>
          </w:tcPr>
          <w:p>
            <w:pPr>
              <w:widowControl/>
              <w:spacing w:line="240" w:lineRule="exact"/>
              <w:rPr>
                <w:rFonts w:ascii="宋体" w:hAnsi="宋体" w:cs="宋体"/>
                <w:bCs/>
                <w:szCs w:val="21"/>
                <w:highlight w:val="none"/>
              </w:rPr>
            </w:pPr>
          </w:p>
        </w:tc>
        <w:tc>
          <w:tcPr>
            <w:tcW w:w="1302" w:type="dxa"/>
            <w:vAlign w:val="center"/>
          </w:tcPr>
          <w:p>
            <w:pPr>
              <w:widowControl/>
              <w:spacing w:line="240" w:lineRule="exact"/>
              <w:rPr>
                <w:rFonts w:ascii="宋体" w:hAnsi="宋体" w:cs="宋体"/>
                <w:bCs/>
                <w:szCs w:val="21"/>
                <w:highlight w:val="none"/>
              </w:rPr>
            </w:pPr>
          </w:p>
        </w:tc>
        <w:tc>
          <w:tcPr>
            <w:tcW w:w="1185" w:type="dxa"/>
            <w:vAlign w:val="center"/>
          </w:tcPr>
          <w:p>
            <w:pPr>
              <w:widowControl/>
              <w:spacing w:line="240" w:lineRule="exact"/>
              <w:rPr>
                <w:rFonts w:ascii="宋体" w:hAnsi="宋体" w:cs="宋体"/>
                <w:bCs/>
                <w:szCs w:val="21"/>
                <w:highlight w:val="none"/>
              </w:rPr>
            </w:pPr>
          </w:p>
        </w:tc>
        <w:tc>
          <w:tcPr>
            <w:tcW w:w="3531" w:type="dxa"/>
            <w:vAlign w:val="center"/>
          </w:tcPr>
          <w:p>
            <w:pPr>
              <w:widowControl/>
              <w:spacing w:line="240" w:lineRule="exact"/>
              <w:rPr>
                <w:rFonts w:ascii="宋体" w:hAnsi="宋体" w:cs="宋体"/>
                <w:bCs/>
                <w:szCs w:val="21"/>
                <w:highlight w:val="none"/>
              </w:rPr>
            </w:pPr>
            <w:r>
              <w:rPr>
                <w:rFonts w:hint="eastAsia" w:ascii="宋体" w:hAnsi="宋体" w:cs="宋体"/>
                <w:szCs w:val="21"/>
                <w:highlight w:val="none"/>
              </w:rPr>
              <w:t>少一场扣0.5分</w:t>
            </w:r>
          </w:p>
        </w:tc>
        <w:tc>
          <w:tcPr>
            <w:tcW w:w="1421" w:type="dxa"/>
            <w:vAlign w:val="center"/>
          </w:tcPr>
          <w:p>
            <w:pPr>
              <w:widowControl/>
              <w:spacing w:line="240" w:lineRule="exact"/>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560" w:type="dxa"/>
            <w:vMerge w:val="restart"/>
          </w:tcPr>
          <w:p>
            <w:pPr>
              <w:widowControl/>
              <w:spacing w:line="240" w:lineRule="exact"/>
              <w:rPr>
                <w:rFonts w:ascii="宋体" w:hAnsi="宋体" w:cs="宋体"/>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二、业务运作情况</w:t>
            </w:r>
            <w:r>
              <w:rPr>
                <w:rFonts w:hint="eastAsia" w:ascii="宋体" w:hAnsi="宋体" w:cs="宋体"/>
                <w:bCs/>
                <w:sz w:val="24"/>
                <w:highlight w:val="none"/>
              </w:rPr>
              <w:t>（总分7分）：业务运作规范的制定及落实情况</w:t>
            </w:r>
          </w:p>
          <w:p>
            <w:pPr>
              <w:widowControl/>
              <w:spacing w:line="240" w:lineRule="exact"/>
              <w:rPr>
                <w:rFonts w:ascii="宋体" w:hAnsi="宋体" w:cs="宋体"/>
                <w:bCs/>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（1）演出策划运作制度的制定及落实情况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制度未制定扣0.5分，落实情况不到位扣0.5分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（2）宣传推介运作制度的制定及落实情况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制度未制定扣0.5分，落实情况不到位扣0.5分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（3）市场营销运作制度的制定及落实情况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制度未制定扣0.5分，落实情况不到位扣0.5分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（4）演职人员管理规定、演出项目管理制度的制定及落实情况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制度未制定每项扣0.5分，落实情况不到位扣0.5分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（5）票务销售、演出服务工作程序和规范的制定及落实情况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制度未制定扣0.5分，落实情况不到位每项扣0.5分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560" w:type="dxa"/>
            <w:vMerge w:val="restart"/>
          </w:tcPr>
          <w:p>
            <w:pPr>
              <w:widowControl/>
              <w:spacing w:line="240" w:lineRule="exact"/>
              <w:rPr>
                <w:rFonts w:ascii="宋体" w:hAnsi="宋体" w:cs="宋体"/>
                <w:b/>
                <w:bCs/>
                <w:sz w:val="24"/>
                <w:highlight w:val="none"/>
              </w:rPr>
            </w:pPr>
          </w:p>
          <w:p>
            <w:pPr>
              <w:widowControl/>
              <w:spacing w:line="240" w:lineRule="exact"/>
              <w:ind w:firstLine="352" w:firstLineChars="147"/>
              <w:rPr>
                <w:rFonts w:ascii="宋体" w:hAnsi="宋体" w:cs="宋体"/>
                <w:b/>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三、内部管理情况</w:t>
            </w:r>
            <w:r>
              <w:rPr>
                <w:rFonts w:hint="eastAsia" w:ascii="宋体" w:hAnsi="宋体" w:cs="宋体"/>
                <w:bCs/>
                <w:sz w:val="24"/>
                <w:highlight w:val="none"/>
              </w:rPr>
              <w:t>（总分10分）：主要考核各项管理制度的制定及执行情况</w:t>
            </w:r>
          </w:p>
          <w:p>
            <w:pPr>
              <w:widowControl/>
              <w:spacing w:line="240" w:lineRule="exact"/>
              <w:rPr>
                <w:rFonts w:ascii="宋体" w:hAnsi="宋体" w:cs="宋体"/>
                <w:bCs/>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szCs w:val="21"/>
                <w:highlight w:val="none"/>
              </w:rPr>
              <w:t>员工守则、工作人员岗位职责</w:t>
            </w:r>
            <w:r>
              <w:rPr>
                <w:rFonts w:hint="eastAsia" w:ascii="宋体" w:hAnsi="宋体" w:cs="宋体"/>
                <w:bCs/>
                <w:szCs w:val="21"/>
                <w:highlight w:val="none"/>
              </w:rPr>
              <w:t>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制度未制定每项扣0.5分，落实情况不到位每项扣0.5分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w:t>
            </w:r>
            <w:r>
              <w:rPr>
                <w:rFonts w:hint="eastAsia" w:ascii="宋体" w:hAnsi="宋体" w:cs="宋体"/>
                <w:szCs w:val="21"/>
                <w:highlight w:val="none"/>
              </w:rPr>
              <w:t>人事管理制度、培训考核制度、考勤管理制度、工作奖惩制度、档案管理制度及观众须知、演职人员出入口管理等</w:t>
            </w:r>
            <w:r>
              <w:rPr>
                <w:rFonts w:hint="eastAsia" w:ascii="宋体" w:hAnsi="宋体" w:cs="宋体"/>
                <w:bCs/>
                <w:szCs w:val="21"/>
                <w:highlight w:val="none"/>
              </w:rPr>
              <w:t>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6分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制度未制定每项扣0.5分，落实情况不到位每项扣0.5分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（3）</w:t>
            </w:r>
            <w:r>
              <w:rPr>
                <w:rFonts w:hint="eastAsia" w:ascii="宋体" w:hAnsi="宋体" w:cs="宋体"/>
                <w:color w:val="000000"/>
                <w:szCs w:val="21"/>
                <w:highlight w:val="none"/>
              </w:rPr>
              <w:t>全年无违法违规行为</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color w:val="000000"/>
                <w:szCs w:val="21"/>
                <w:highlight w:val="none"/>
              </w:rPr>
              <w:t>有违法违规行为扣1分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autoSpaceDN w:val="0"/>
              <w:spacing w:line="240" w:lineRule="exact"/>
              <w:ind w:firstLine="210" w:firstLineChars="100"/>
              <w:textAlignment w:val="center"/>
              <w:rPr>
                <w:rFonts w:ascii="宋体" w:hAnsi="宋体" w:cs="宋体"/>
                <w:color w:val="000000"/>
                <w:szCs w:val="21"/>
                <w:highlight w:val="none"/>
              </w:rPr>
            </w:pPr>
            <w:r>
              <w:rPr>
                <w:rFonts w:hint="eastAsia" w:ascii="宋体" w:hAnsi="宋体" w:cs="宋体"/>
                <w:bCs/>
                <w:szCs w:val="21"/>
                <w:highlight w:val="none"/>
              </w:rPr>
              <w:t>（4）</w:t>
            </w:r>
            <w:r>
              <w:rPr>
                <w:rFonts w:hint="eastAsia" w:ascii="宋体" w:hAnsi="宋体" w:cs="宋体"/>
                <w:color w:val="000000"/>
                <w:szCs w:val="21"/>
                <w:highlight w:val="none"/>
              </w:rPr>
              <w:t>乙方任命的经营管理干部在工作中无违法违规行为</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color w:val="000000"/>
                <w:szCs w:val="21"/>
                <w:highlight w:val="none"/>
              </w:rPr>
              <w:t>有违法违规行为扣1分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560" w:type="dxa"/>
            <w:vMerge w:val="restart"/>
            <w:vAlign w:val="center"/>
          </w:tcPr>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四、经营财务情况</w:t>
            </w:r>
            <w:r>
              <w:rPr>
                <w:rFonts w:hint="eastAsia" w:ascii="宋体" w:hAnsi="宋体" w:cs="宋体"/>
                <w:bCs/>
                <w:sz w:val="24"/>
                <w:highlight w:val="none"/>
              </w:rPr>
              <w:t>（总分</w:t>
            </w:r>
            <w:r>
              <w:rPr>
                <w:rFonts w:hint="eastAsia" w:ascii="宋体" w:hAnsi="宋体" w:cs="宋体"/>
                <w:bCs/>
                <w:sz w:val="24"/>
                <w:highlight w:val="none"/>
                <w:lang w:val="en-US" w:eastAsia="zh-CN"/>
              </w:rPr>
              <w:t>7</w:t>
            </w:r>
            <w:r>
              <w:rPr>
                <w:rFonts w:hint="eastAsia" w:ascii="宋体" w:hAnsi="宋体" w:cs="宋体"/>
                <w:bCs/>
                <w:sz w:val="24"/>
                <w:highlight w:val="none"/>
              </w:rPr>
              <w:t>分）</w:t>
            </w:r>
          </w:p>
          <w:p>
            <w:pPr>
              <w:widowControl/>
              <w:spacing w:line="240" w:lineRule="exact"/>
              <w:ind w:firstLine="352" w:firstLineChars="147"/>
              <w:rPr>
                <w:rFonts w:ascii="宋体" w:hAnsi="宋体" w:cs="宋体"/>
                <w:sz w:val="24"/>
                <w:highlight w:val="none"/>
              </w:rPr>
            </w:pPr>
          </w:p>
          <w:p>
            <w:pPr>
              <w:widowControl/>
              <w:spacing w:line="240" w:lineRule="exact"/>
              <w:ind w:firstLine="352" w:firstLineChars="147"/>
              <w:rPr>
                <w:rFonts w:ascii="宋体" w:hAnsi="宋体" w:cs="宋体"/>
                <w:bCs/>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szCs w:val="21"/>
                <w:highlight w:val="none"/>
              </w:rPr>
              <w:t>财务管理制度、工资福利制度</w:t>
            </w:r>
            <w:r>
              <w:rPr>
                <w:rFonts w:hint="eastAsia" w:ascii="宋体" w:hAnsi="宋体" w:cs="宋体"/>
                <w:bCs/>
                <w:szCs w:val="21"/>
                <w:highlight w:val="none"/>
              </w:rPr>
              <w:t>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制度未制定每项扣0.5分，落实情况不到位每项扣0.5分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w:t>
            </w:r>
            <w:r>
              <w:rPr>
                <w:rFonts w:hint="eastAsia" w:ascii="宋体" w:hAnsi="宋体" w:cs="宋体"/>
                <w:szCs w:val="21"/>
                <w:highlight w:val="none"/>
              </w:rPr>
              <w:t>本年度财务收支情况是否合理平衡</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财务收支不合理平衡扣1分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（3）</w:t>
            </w:r>
            <w:r>
              <w:rPr>
                <w:rFonts w:hint="eastAsia" w:ascii="宋体" w:hAnsi="宋体" w:cs="宋体"/>
                <w:szCs w:val="21"/>
                <w:highlight w:val="none"/>
              </w:rPr>
              <w:t>本年度员工工资平均数、最低工资标准是否高于地区标准</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最低工资标准低于地区标准扣1分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5"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（4）</w:t>
            </w:r>
            <w:r>
              <w:rPr>
                <w:rFonts w:hint="eastAsia" w:ascii="宋体" w:hAnsi="宋体" w:cs="宋体"/>
                <w:szCs w:val="21"/>
                <w:highlight w:val="none"/>
              </w:rPr>
              <w:t>按照要求为员工缴纳五险一金。</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未按照要求执行扣0.5分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（5）</w:t>
            </w:r>
            <w:r>
              <w:rPr>
                <w:rFonts w:hint="eastAsia" w:ascii="宋体" w:hAnsi="宋体" w:cs="宋体"/>
                <w:szCs w:val="21"/>
                <w:highlight w:val="none"/>
              </w:rPr>
              <w:t>本年度能源费用开支是否合理，节能降耗措施是否到位</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能源费用开支不合理扣0.5分，节能降耗措施不到位扣0.5分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560" w:type="dxa"/>
            <w:vMerge w:val="restart"/>
          </w:tcPr>
          <w:p>
            <w:pPr>
              <w:widowControl/>
              <w:spacing w:line="240" w:lineRule="exact"/>
              <w:ind w:firstLine="470" w:firstLineChars="196"/>
              <w:rPr>
                <w:rFonts w:ascii="宋体" w:hAnsi="宋体" w:cs="宋体"/>
                <w:b/>
                <w:bCs/>
                <w:sz w:val="24"/>
                <w:highlight w:val="none"/>
              </w:rPr>
            </w:pPr>
          </w:p>
          <w:p>
            <w:pPr>
              <w:widowControl/>
              <w:spacing w:line="240" w:lineRule="exact"/>
              <w:rPr>
                <w:rFonts w:ascii="宋体" w:hAnsi="宋体" w:cs="宋体"/>
                <w:b/>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五、资产管理使用情况</w:t>
            </w:r>
            <w:r>
              <w:rPr>
                <w:rFonts w:hint="eastAsia" w:ascii="宋体" w:hAnsi="宋体" w:cs="宋体"/>
                <w:bCs/>
                <w:sz w:val="24"/>
                <w:highlight w:val="none"/>
              </w:rPr>
              <w:t>（总分5分）</w:t>
            </w:r>
          </w:p>
          <w:p>
            <w:pPr>
              <w:widowControl/>
              <w:spacing w:line="240" w:lineRule="exact"/>
              <w:rPr>
                <w:rFonts w:ascii="宋体" w:hAnsi="宋体" w:cs="宋体"/>
                <w:sz w:val="24"/>
                <w:highlight w:val="none"/>
              </w:rPr>
            </w:pPr>
          </w:p>
          <w:p>
            <w:pPr>
              <w:widowControl/>
              <w:spacing w:line="240" w:lineRule="exact"/>
              <w:rPr>
                <w:rFonts w:ascii="宋体" w:hAnsi="宋体" w:cs="宋体"/>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szCs w:val="21"/>
                <w:highlight w:val="none"/>
              </w:rPr>
              <w:t>大剧院所有演出设备交接工作完成情况及清点清单和相关台帐资料是否到位</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实地检查看台账</w:t>
            </w:r>
          </w:p>
          <w:p>
            <w:pPr>
              <w:widowControl/>
              <w:spacing w:line="240" w:lineRule="exact"/>
              <w:rPr>
                <w:rFonts w:ascii="宋体" w:hAnsi="宋体" w:cs="宋体"/>
                <w:szCs w:val="21"/>
                <w:highlight w:val="none"/>
              </w:rPr>
            </w:pPr>
            <w:r>
              <w:rPr>
                <w:rFonts w:hint="eastAsia" w:ascii="宋体" w:hAnsi="宋体" w:cs="宋体"/>
                <w:szCs w:val="21"/>
                <w:highlight w:val="none"/>
              </w:rPr>
              <w:t>演出设备交接工作没完成扣1分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w:t>
            </w:r>
            <w:r>
              <w:rPr>
                <w:rFonts w:hint="eastAsia" w:ascii="宋体" w:hAnsi="宋体" w:cs="宋体"/>
                <w:szCs w:val="21"/>
                <w:highlight w:val="none"/>
              </w:rPr>
              <w:t>演出设施设备操作人员定岗到位情况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实地检查看台账</w:t>
            </w:r>
          </w:p>
          <w:p>
            <w:pPr>
              <w:widowControl/>
              <w:spacing w:line="240" w:lineRule="exact"/>
              <w:rPr>
                <w:rFonts w:ascii="宋体" w:hAnsi="宋体" w:cs="宋体"/>
                <w:szCs w:val="21"/>
                <w:highlight w:val="none"/>
              </w:rPr>
            </w:pPr>
            <w:r>
              <w:rPr>
                <w:rFonts w:hint="eastAsia" w:ascii="宋体" w:hAnsi="宋体" w:cs="宋体"/>
                <w:szCs w:val="21"/>
                <w:highlight w:val="none"/>
              </w:rPr>
              <w:t>定岗到位情况不符合扣1分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（3）专用设备日常维护保养和年度检修情况（每项0.5分）</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3分</w:t>
            </w:r>
          </w:p>
        </w:tc>
        <w:tc>
          <w:tcPr>
            <w:tcW w:w="1756" w:type="dxa"/>
            <w:vAlign w:val="center"/>
          </w:tcPr>
          <w:p>
            <w:pPr>
              <w:widowControl/>
              <w:spacing w:line="240" w:lineRule="exact"/>
              <w:ind w:firstLine="420" w:firstLineChars="200"/>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1、舞台机械设备系统. 2. 音响设备系统 .3、调光控制设备.4. 舞台辅助设施.5、经营管理范围内的剧院内照明系统。一项不符合扣0.5分</w:t>
            </w:r>
          </w:p>
        </w:tc>
        <w:tc>
          <w:tcPr>
            <w:tcW w:w="1421" w:type="dxa"/>
            <w:vAlign w:val="center"/>
          </w:tcPr>
          <w:p>
            <w:pPr>
              <w:widowControl/>
              <w:spacing w:line="240" w:lineRule="exact"/>
              <w:rPr>
                <w:rFonts w:ascii="宋体" w:hAnsi="宋体" w:cs="宋体"/>
                <w:bCs/>
                <w:szCs w:val="21"/>
                <w:highlight w:val="none"/>
              </w:rPr>
            </w:pPr>
            <w:r>
              <w:rPr>
                <w:rFonts w:hint="eastAsia" w:ascii="宋体" w:hAnsi="宋体" w:cs="宋体"/>
                <w:bCs/>
                <w:szCs w:val="21"/>
                <w:highlight w:val="none"/>
              </w:rPr>
              <w:t>专业人员对上述系统运行的稳定性、操作（使用）的合理性、日常维保的周密性进行评定考核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560" w:type="dxa"/>
            <w:vMerge w:val="restart"/>
          </w:tcPr>
          <w:p>
            <w:pPr>
              <w:widowControl/>
              <w:spacing w:line="240" w:lineRule="exact"/>
              <w:rPr>
                <w:rFonts w:ascii="宋体" w:hAnsi="宋体" w:cs="宋体"/>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rPr>
                <w:rFonts w:ascii="宋体" w:hAnsi="宋体" w:cs="宋体"/>
                <w:bCs/>
                <w:sz w:val="24"/>
                <w:highlight w:val="none"/>
              </w:rPr>
            </w:pPr>
            <w:r>
              <w:rPr>
                <w:rFonts w:hint="eastAsia" w:ascii="宋体" w:hAnsi="宋体" w:cs="宋体"/>
                <w:b/>
                <w:bCs/>
                <w:sz w:val="24"/>
                <w:highlight w:val="none"/>
              </w:rPr>
              <w:t>六、安全生产管理情况</w:t>
            </w:r>
            <w:r>
              <w:rPr>
                <w:rFonts w:hint="eastAsia" w:ascii="宋体" w:hAnsi="宋体" w:cs="宋体"/>
                <w:bCs/>
                <w:sz w:val="24"/>
                <w:highlight w:val="none"/>
              </w:rPr>
              <w:t>（总分</w:t>
            </w:r>
            <w:r>
              <w:rPr>
                <w:rFonts w:hint="eastAsia" w:ascii="宋体" w:hAnsi="宋体" w:cs="宋体"/>
                <w:bCs/>
                <w:sz w:val="24"/>
                <w:highlight w:val="none"/>
                <w:lang w:val="en-US" w:eastAsia="zh-CN"/>
              </w:rPr>
              <w:t>7</w:t>
            </w:r>
            <w:r>
              <w:rPr>
                <w:rFonts w:hint="eastAsia" w:ascii="宋体" w:hAnsi="宋体" w:cs="宋体"/>
                <w:bCs/>
                <w:sz w:val="24"/>
                <w:highlight w:val="none"/>
              </w:rPr>
              <w:t>分）</w:t>
            </w:r>
          </w:p>
        </w:tc>
        <w:tc>
          <w:tcPr>
            <w:tcW w:w="1879" w:type="dxa"/>
            <w:vAlign w:val="center"/>
          </w:tcPr>
          <w:p>
            <w:pPr>
              <w:widowControl/>
              <w:spacing w:line="240" w:lineRule="exact"/>
              <w:ind w:firstLine="420" w:firstLineChars="200"/>
              <w:rPr>
                <w:rFonts w:ascii="宋体" w:hAnsi="宋体" w:cs="宋体"/>
                <w:bCs/>
                <w:szCs w:val="21"/>
                <w:highlight w:val="none"/>
              </w:rPr>
            </w:pPr>
            <w:r>
              <w:rPr>
                <w:rFonts w:hint="eastAsia" w:ascii="宋体" w:hAnsi="宋体" w:cs="宋体"/>
                <w:szCs w:val="21"/>
                <w:highlight w:val="none"/>
              </w:rPr>
              <w:t>全年无较大或较大以上安全责任事故</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ind w:firstLine="315" w:firstLineChars="150"/>
              <w:rPr>
                <w:rFonts w:ascii="宋体" w:hAnsi="宋体" w:cs="宋体"/>
                <w:szCs w:val="21"/>
                <w:highlight w:val="none"/>
              </w:rPr>
            </w:pPr>
            <w:r>
              <w:rPr>
                <w:rFonts w:hint="eastAsia" w:ascii="宋体" w:hAnsi="宋体" w:cs="宋体"/>
                <w:szCs w:val="21"/>
                <w:highlight w:val="none"/>
              </w:rPr>
              <w:t>有较大或较大以上安全责任事故，一票否决</w:t>
            </w:r>
          </w:p>
        </w:tc>
        <w:tc>
          <w:tcPr>
            <w:tcW w:w="142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重大责任事故的界定以国家规定为准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560" w:type="dxa"/>
            <w:vMerge w:val="continue"/>
          </w:tcPr>
          <w:p>
            <w:pPr>
              <w:rPr>
                <w:rFonts w:ascii="宋体" w:hAnsi="宋体" w:cs="宋体"/>
                <w:sz w:val="24"/>
                <w:highlight w:val="none"/>
              </w:rPr>
            </w:pPr>
          </w:p>
        </w:tc>
        <w:tc>
          <w:tcPr>
            <w:tcW w:w="1879" w:type="dxa"/>
            <w:vAlign w:val="center"/>
          </w:tcPr>
          <w:p>
            <w:pPr>
              <w:widowControl/>
              <w:spacing w:line="240" w:lineRule="exact"/>
              <w:rPr>
                <w:rFonts w:ascii="宋体" w:hAnsi="宋体" w:cs="宋体"/>
                <w:bCs/>
                <w:szCs w:val="21"/>
                <w:highlight w:val="none"/>
              </w:rPr>
            </w:pPr>
            <w:r>
              <w:rPr>
                <w:rFonts w:hint="eastAsia" w:ascii="宋体" w:hAnsi="宋体" w:cs="宋体"/>
                <w:szCs w:val="21"/>
                <w:highlight w:val="none"/>
              </w:rPr>
              <w:t>安全生产领导小组、安全生产制度的制定</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560" w:type="dxa"/>
            <w:vMerge w:val="continue"/>
          </w:tcPr>
          <w:p>
            <w:pPr>
              <w:rPr>
                <w:rFonts w:ascii="宋体" w:hAnsi="宋体" w:cs="宋体"/>
                <w:sz w:val="24"/>
                <w:highlight w:val="none"/>
              </w:rPr>
            </w:pPr>
          </w:p>
        </w:tc>
        <w:tc>
          <w:tcPr>
            <w:tcW w:w="1879" w:type="dxa"/>
            <w:vAlign w:val="center"/>
          </w:tcPr>
          <w:p>
            <w:pPr>
              <w:widowControl/>
              <w:spacing w:line="240" w:lineRule="exact"/>
              <w:ind w:firstLine="420" w:firstLineChars="200"/>
              <w:rPr>
                <w:rFonts w:ascii="宋体" w:hAnsi="宋体" w:cs="宋体"/>
                <w:bCs/>
                <w:szCs w:val="21"/>
                <w:highlight w:val="none"/>
              </w:rPr>
            </w:pPr>
            <w:r>
              <w:rPr>
                <w:rFonts w:hint="eastAsia" w:ascii="宋体" w:hAnsi="宋体" w:cs="宋体"/>
                <w:szCs w:val="21"/>
                <w:highlight w:val="none"/>
              </w:rPr>
              <w:t>安全生产人员岗位落实安全生产全员培训安全生产活动开展情况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ind w:firstLine="420" w:firstLineChars="200"/>
              <w:rPr>
                <w:rFonts w:ascii="宋体" w:hAnsi="宋体" w:cs="宋体"/>
                <w:szCs w:val="21"/>
                <w:highlight w:val="none"/>
              </w:rPr>
            </w:pPr>
            <w:r>
              <w:rPr>
                <w:rFonts w:hint="eastAsia" w:ascii="宋体" w:hAnsi="宋体" w:cs="宋体"/>
                <w:szCs w:val="21"/>
                <w:highlight w:val="none"/>
              </w:rPr>
              <w:t>1、每年至少两次消防安全和突发事故应急预案演习及消防培训。（少一次扣0.5分）</w:t>
            </w:r>
          </w:p>
          <w:p>
            <w:pPr>
              <w:widowControl/>
              <w:spacing w:line="240" w:lineRule="exact"/>
              <w:ind w:firstLine="420" w:firstLineChars="200"/>
              <w:rPr>
                <w:rFonts w:ascii="宋体" w:hAnsi="宋体" w:cs="宋体"/>
                <w:szCs w:val="21"/>
                <w:highlight w:val="none"/>
              </w:rPr>
            </w:pPr>
            <w:r>
              <w:rPr>
                <w:rFonts w:hint="eastAsia" w:ascii="宋体" w:hAnsi="宋体" w:cs="宋体"/>
                <w:szCs w:val="21"/>
                <w:highlight w:val="none"/>
              </w:rPr>
              <w:t>2、要求持消防培训合格证上岗。（无消防培训合格证扣0.5分）</w:t>
            </w:r>
          </w:p>
          <w:p>
            <w:pPr>
              <w:widowControl/>
              <w:spacing w:line="240" w:lineRule="exact"/>
              <w:ind w:firstLine="420" w:firstLineChars="200"/>
              <w:rPr>
                <w:rFonts w:ascii="宋体" w:hAnsi="宋体" w:cs="宋体"/>
                <w:szCs w:val="21"/>
                <w:highlight w:val="none"/>
              </w:rPr>
            </w:pPr>
            <w:r>
              <w:rPr>
                <w:rFonts w:hint="eastAsia" w:ascii="宋体" w:hAnsi="宋体" w:cs="宋体"/>
                <w:szCs w:val="21"/>
                <w:highlight w:val="none"/>
              </w:rPr>
              <w:t>3、安全通道畅通，消防设施设备完好。（不符合标准口0.5分）</w:t>
            </w:r>
          </w:p>
          <w:p>
            <w:pPr>
              <w:widowControl/>
              <w:spacing w:line="240" w:lineRule="exact"/>
              <w:ind w:firstLine="420" w:firstLineChars="200"/>
              <w:rPr>
                <w:rFonts w:ascii="宋体" w:hAnsi="宋体" w:cs="宋体"/>
                <w:szCs w:val="21"/>
                <w:highlight w:val="none"/>
              </w:rPr>
            </w:pPr>
            <w:r>
              <w:rPr>
                <w:rFonts w:hint="eastAsia" w:ascii="宋体" w:hAnsi="宋体" w:cs="宋体"/>
                <w:szCs w:val="21"/>
                <w:highlight w:val="none"/>
              </w:rPr>
              <w:t>实地检查看台账</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560" w:type="dxa"/>
          </w:tcPr>
          <w:p>
            <w:pPr>
              <w:rPr>
                <w:highlight w:val="none"/>
              </w:rPr>
            </w:pPr>
          </w:p>
          <w:p>
            <w:pPr>
              <w:bidi w:val="0"/>
              <w:jc w:val="center"/>
              <w:rPr>
                <w:rFonts w:ascii="Times New Roman" w:hAnsi="Times New Roman" w:eastAsia="宋体" w:cs="Times New Roman"/>
                <w:kern w:val="2"/>
                <w:sz w:val="21"/>
                <w:szCs w:val="24"/>
                <w:highlight w:val="none"/>
                <w:lang w:val="en-US" w:eastAsia="zh-CN" w:bidi="ar-SA"/>
              </w:rPr>
            </w:pPr>
            <w:r>
              <w:rPr>
                <w:rFonts w:hint="eastAsia" w:ascii="宋体" w:hAnsi="宋体" w:cs="宋体"/>
                <w:b/>
                <w:bCs/>
                <w:sz w:val="24"/>
                <w:highlight w:val="none"/>
                <w:lang w:val="en-US" w:eastAsia="zh-CN"/>
              </w:rPr>
              <w:t>七、接诉即办处置情况</w:t>
            </w:r>
            <w:r>
              <w:rPr>
                <w:rFonts w:hint="eastAsia" w:ascii="宋体" w:hAnsi="宋体" w:cs="宋体"/>
                <w:bCs/>
                <w:sz w:val="24"/>
                <w:highlight w:val="none"/>
                <w:lang w:val="en-US" w:eastAsia="zh-CN"/>
              </w:rPr>
              <w:t>（总分8分）</w:t>
            </w:r>
          </w:p>
        </w:tc>
        <w:tc>
          <w:tcPr>
            <w:tcW w:w="1879" w:type="dxa"/>
            <w:vAlign w:val="center"/>
          </w:tcPr>
          <w:p>
            <w:pPr>
              <w:widowControl/>
              <w:spacing w:line="24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eastAsia="zh-CN"/>
              </w:rPr>
              <w:t>接诉即办工单处置情况</w:t>
            </w:r>
          </w:p>
        </w:tc>
        <w:tc>
          <w:tcPr>
            <w:tcW w:w="790" w:type="dxa"/>
            <w:vAlign w:val="center"/>
          </w:tcPr>
          <w:p>
            <w:pPr>
              <w:widowControl/>
              <w:spacing w:line="240" w:lineRule="exact"/>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8分</w:t>
            </w:r>
          </w:p>
        </w:tc>
        <w:tc>
          <w:tcPr>
            <w:tcW w:w="1756" w:type="dxa"/>
            <w:vAlign w:val="center"/>
          </w:tcPr>
          <w:p>
            <w:pPr>
              <w:widowControl/>
              <w:spacing w:line="240" w:lineRule="exact"/>
              <w:rPr>
                <w:rFonts w:ascii="宋体" w:hAnsi="宋体" w:eastAsia="宋体" w:cs="宋体"/>
                <w:kern w:val="2"/>
                <w:sz w:val="21"/>
                <w:szCs w:val="21"/>
                <w:highlight w:val="none"/>
                <w:lang w:val="en-US" w:eastAsia="zh-CN" w:bidi="ar-SA"/>
              </w:rPr>
            </w:pPr>
          </w:p>
        </w:tc>
        <w:tc>
          <w:tcPr>
            <w:tcW w:w="1461" w:type="dxa"/>
            <w:vAlign w:val="center"/>
          </w:tcPr>
          <w:p>
            <w:pPr>
              <w:widowControl/>
              <w:spacing w:line="240" w:lineRule="exact"/>
              <w:rPr>
                <w:rFonts w:ascii="宋体" w:hAnsi="宋体" w:eastAsia="宋体" w:cs="宋体"/>
                <w:kern w:val="2"/>
                <w:sz w:val="21"/>
                <w:szCs w:val="21"/>
                <w:highlight w:val="none"/>
                <w:lang w:val="en-US" w:eastAsia="zh-CN" w:bidi="ar-SA"/>
              </w:rPr>
            </w:pPr>
          </w:p>
        </w:tc>
        <w:tc>
          <w:tcPr>
            <w:tcW w:w="1302" w:type="dxa"/>
            <w:vAlign w:val="center"/>
          </w:tcPr>
          <w:p>
            <w:pPr>
              <w:widowControl/>
              <w:spacing w:line="240" w:lineRule="exact"/>
              <w:rPr>
                <w:rFonts w:ascii="宋体" w:hAnsi="宋体" w:eastAsia="宋体" w:cs="宋体"/>
                <w:kern w:val="2"/>
                <w:sz w:val="21"/>
                <w:szCs w:val="21"/>
                <w:highlight w:val="none"/>
                <w:lang w:val="en-US" w:eastAsia="zh-CN" w:bidi="ar-SA"/>
              </w:rPr>
            </w:pPr>
          </w:p>
        </w:tc>
        <w:tc>
          <w:tcPr>
            <w:tcW w:w="1185" w:type="dxa"/>
            <w:vAlign w:val="center"/>
          </w:tcPr>
          <w:p>
            <w:pPr>
              <w:widowControl/>
              <w:spacing w:line="240" w:lineRule="exact"/>
              <w:rPr>
                <w:rFonts w:ascii="宋体" w:hAnsi="宋体" w:eastAsia="宋体" w:cs="宋体"/>
                <w:kern w:val="2"/>
                <w:sz w:val="21"/>
                <w:szCs w:val="21"/>
                <w:highlight w:val="none"/>
                <w:lang w:val="en-US" w:eastAsia="zh-CN" w:bidi="ar-SA"/>
              </w:rPr>
            </w:pPr>
          </w:p>
        </w:tc>
        <w:tc>
          <w:tcPr>
            <w:tcW w:w="3531" w:type="dxa"/>
            <w:vAlign w:val="center"/>
          </w:tcPr>
          <w:p>
            <w:pPr>
              <w:widowControl/>
              <w:spacing w:line="24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eastAsia="zh-CN"/>
              </w:rPr>
              <w:t>收到接诉即办工单后未第一时间响应的每个工单扣</w:t>
            </w:r>
            <w:r>
              <w:rPr>
                <w:rFonts w:hint="eastAsia" w:ascii="宋体" w:hAnsi="宋体" w:cs="宋体"/>
                <w:szCs w:val="21"/>
                <w:highlight w:val="none"/>
                <w:lang w:val="en-US" w:eastAsia="zh-CN"/>
              </w:rPr>
              <w:t>1分，电话回访诉求人不满意或基本满意的每个工单扣1分，未解决的每个工单扣1分</w:t>
            </w:r>
          </w:p>
        </w:tc>
        <w:tc>
          <w:tcPr>
            <w:tcW w:w="1421" w:type="dxa"/>
            <w:vAlign w:val="center"/>
          </w:tcPr>
          <w:p>
            <w:pPr>
              <w:widowControl/>
              <w:spacing w:line="2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在市级接诉即办考核中造成甲方扣分情况的，每个工单在演出补贴中扣除1万元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560" w:type="dxa"/>
          </w:tcPr>
          <w:p>
            <w:pPr>
              <w:rPr>
                <w:highlight w:val="none"/>
              </w:rPr>
            </w:pPr>
          </w:p>
          <w:p>
            <w:pPr>
              <w:bidi w:val="0"/>
              <w:jc w:val="center"/>
              <w:rPr>
                <w:rFonts w:ascii="Times New Roman" w:hAnsi="Times New Roman" w:eastAsia="宋体" w:cs="Times New Roman"/>
                <w:kern w:val="2"/>
                <w:sz w:val="21"/>
                <w:szCs w:val="24"/>
                <w:highlight w:val="none"/>
                <w:lang w:val="en-US" w:eastAsia="zh-CN" w:bidi="ar-SA"/>
              </w:rPr>
            </w:pPr>
            <w:r>
              <w:rPr>
                <w:rFonts w:hint="eastAsia" w:ascii="宋体" w:hAnsi="宋体" w:cs="宋体"/>
                <w:b/>
                <w:bCs/>
                <w:sz w:val="24"/>
                <w:highlight w:val="none"/>
                <w:lang w:val="en-US" w:eastAsia="zh-CN"/>
              </w:rPr>
              <w:t>八、意识形态问题处置情况</w:t>
            </w:r>
            <w:r>
              <w:rPr>
                <w:rFonts w:hint="eastAsia" w:ascii="宋体" w:hAnsi="宋体" w:cs="宋体"/>
                <w:bCs/>
                <w:sz w:val="24"/>
                <w:highlight w:val="none"/>
                <w:lang w:val="en-US" w:eastAsia="zh-CN"/>
              </w:rPr>
              <w:t>（总分8分）</w:t>
            </w:r>
          </w:p>
        </w:tc>
        <w:tc>
          <w:tcPr>
            <w:tcW w:w="1879" w:type="dxa"/>
            <w:vAlign w:val="center"/>
          </w:tcPr>
          <w:p>
            <w:pPr>
              <w:widowControl/>
              <w:spacing w:line="240" w:lineRule="exact"/>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eastAsia="zh-CN"/>
              </w:rPr>
              <w:t>意识形态问题处置情况</w:t>
            </w:r>
          </w:p>
        </w:tc>
        <w:tc>
          <w:tcPr>
            <w:tcW w:w="790" w:type="dxa"/>
            <w:vAlign w:val="center"/>
          </w:tcPr>
          <w:p>
            <w:pPr>
              <w:widowControl/>
              <w:spacing w:line="240" w:lineRule="exact"/>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8分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ind w:firstLine="420" w:firstLineChars="200"/>
              <w:rPr>
                <w:rFonts w:hint="default" w:ascii="宋体" w:hAnsi="宋体" w:eastAsia="宋体" w:cs="宋体"/>
                <w:szCs w:val="21"/>
                <w:highlight w:val="none"/>
                <w:lang w:val="en-US" w:eastAsia="zh-CN"/>
              </w:rPr>
            </w:pPr>
            <w:r>
              <w:rPr>
                <w:rFonts w:hint="eastAsia" w:ascii="宋体" w:hAnsi="宋体" w:cs="宋体"/>
                <w:szCs w:val="21"/>
                <w:highlight w:val="none"/>
                <w:lang w:eastAsia="zh-CN"/>
              </w:rPr>
              <w:t>出现意识形态问题</w:t>
            </w:r>
            <w:r>
              <w:rPr>
                <w:rFonts w:hint="eastAsia" w:ascii="宋体" w:hAnsi="宋体" w:cs="宋体"/>
                <w:szCs w:val="21"/>
                <w:highlight w:val="none"/>
                <w:lang w:val="en-US" w:eastAsia="zh-CN"/>
              </w:rPr>
              <w:t>的每次扣2分，进一步造成舆情的每次扣4分；如出现2次及以上意识形态问题的情况考核等级直接降为“良好”</w:t>
            </w:r>
          </w:p>
        </w:tc>
        <w:tc>
          <w:tcPr>
            <w:tcW w:w="1421" w:type="dxa"/>
            <w:vAlign w:val="center"/>
          </w:tcPr>
          <w:p>
            <w:pPr>
              <w:widowControl/>
              <w:spacing w:line="2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出现意识形态问题的每次在演出补贴中扣除2万元，进一步造成舆情的每次在演出补贴中扣除5万元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560" w:type="dxa"/>
            <w:vAlign w:val="center"/>
          </w:tcPr>
          <w:p>
            <w:pPr>
              <w:jc w:val="center"/>
              <w:rPr>
                <w:rFonts w:ascii="宋体" w:hAnsi="宋体" w:cs="宋体"/>
                <w:b/>
                <w:sz w:val="24"/>
                <w:highlight w:val="none"/>
              </w:rPr>
            </w:pPr>
            <w:r>
              <w:rPr>
                <w:rFonts w:hint="eastAsia" w:ascii="宋体" w:hAnsi="宋体" w:cs="宋体"/>
                <w:b/>
                <w:sz w:val="24"/>
                <w:highlight w:val="none"/>
              </w:rPr>
              <w:t>总计</w:t>
            </w:r>
          </w:p>
        </w:tc>
        <w:tc>
          <w:tcPr>
            <w:tcW w:w="13325" w:type="dxa"/>
            <w:gridSpan w:val="8"/>
            <w:vAlign w:val="center"/>
          </w:tcPr>
          <w:p>
            <w:pPr>
              <w:widowControl/>
              <w:spacing w:line="240" w:lineRule="exact"/>
              <w:ind w:firstLine="2415" w:firstLineChars="1150"/>
              <w:rPr>
                <w:rFonts w:ascii="宋体" w:hAnsi="宋体" w:cs="宋体"/>
                <w:szCs w:val="21"/>
                <w:highlight w:val="none"/>
              </w:rPr>
            </w:pPr>
            <w:r>
              <w:rPr>
                <w:rFonts w:hint="eastAsia" w:ascii="宋体" w:hAnsi="宋体" w:cs="宋体"/>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7" w:hRule="atLeast"/>
          <w:jc w:val="center"/>
        </w:trPr>
        <w:tc>
          <w:tcPr>
            <w:tcW w:w="1560" w:type="dxa"/>
            <w:vAlign w:val="center"/>
          </w:tcPr>
          <w:p>
            <w:pPr>
              <w:widowControl/>
              <w:spacing w:line="240" w:lineRule="exact"/>
              <w:jc w:val="center"/>
              <w:rPr>
                <w:rFonts w:ascii="宋体" w:hAnsi="宋体" w:cs="宋体"/>
                <w:b/>
                <w:bCs/>
                <w:sz w:val="24"/>
                <w:highlight w:val="none"/>
              </w:rPr>
            </w:pPr>
            <w:r>
              <w:rPr>
                <w:rFonts w:hint="eastAsia" w:ascii="宋体" w:hAnsi="宋体" w:cs="宋体"/>
                <w:b/>
                <w:bCs/>
                <w:sz w:val="24"/>
                <w:highlight w:val="none"/>
                <w:lang w:val="en-US" w:eastAsia="zh-CN"/>
              </w:rPr>
              <w:t>考核委员会</w:t>
            </w:r>
            <w:r>
              <w:rPr>
                <w:rFonts w:hint="eastAsia" w:ascii="宋体" w:hAnsi="宋体" w:cs="宋体"/>
                <w:b/>
                <w:bCs/>
                <w:sz w:val="24"/>
                <w:highlight w:val="none"/>
              </w:rPr>
              <w:t>结论：</w:t>
            </w:r>
          </w:p>
        </w:tc>
        <w:tc>
          <w:tcPr>
            <w:tcW w:w="13325" w:type="dxa"/>
            <w:gridSpan w:val="8"/>
            <w:vAlign w:val="center"/>
          </w:tcPr>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US" w:eastAsia="zh-CN"/>
              </w:rPr>
              <w:t>考核委员会签字</w:t>
            </w:r>
            <w:r>
              <w:rPr>
                <w:rFonts w:hint="eastAsia" w:ascii="宋体" w:hAnsi="宋体" w:cs="宋体"/>
                <w:szCs w:val="21"/>
                <w:highlight w:val="none"/>
              </w:rPr>
              <w:t xml:space="preserve">：                                                                   </w:t>
            </w:r>
          </w:p>
          <w:p>
            <w:pPr>
              <w:spacing w:line="240" w:lineRule="exact"/>
              <w:rPr>
                <w:rFonts w:ascii="宋体" w:hAnsi="宋体" w:cs="宋体"/>
                <w:szCs w:val="21"/>
                <w:highlight w:val="none"/>
              </w:rPr>
            </w:pPr>
            <w:r>
              <w:rPr>
                <w:rFonts w:hint="eastAsia" w:ascii="宋体" w:hAnsi="宋体" w:cs="宋体"/>
                <w:szCs w:val="21"/>
                <w:highlight w:val="none"/>
              </w:rPr>
              <w:t xml:space="preserve">                                                                                            年     月     日</w:t>
            </w:r>
          </w:p>
        </w:tc>
      </w:tr>
    </w:tbl>
    <w:p>
      <w:pPr>
        <w:rPr>
          <w:rFonts w:ascii="宋体" w:hAnsi="宋体" w:cs="宋体"/>
          <w:sz w:val="24"/>
          <w:highlight w:val="none"/>
        </w:rPr>
      </w:pPr>
    </w:p>
    <w:p>
      <w:pPr>
        <w:widowControl/>
        <w:spacing w:line="460" w:lineRule="exact"/>
        <w:rPr>
          <w:rFonts w:ascii="宋体" w:hAnsi="宋体" w:cs="宋体"/>
          <w:b/>
          <w:bCs/>
          <w:sz w:val="24"/>
          <w:highlight w:val="none"/>
          <w:lang w:bidi="ar"/>
        </w:rPr>
        <w:sectPr>
          <w:headerReference r:id="rId14" w:type="default"/>
          <w:footerReference r:id="rId15" w:type="default"/>
          <w:pgSz w:w="16838" w:h="11906" w:orient="landscape"/>
          <w:pgMar w:top="1531" w:right="1418" w:bottom="1531" w:left="1418" w:header="851" w:footer="992" w:gutter="0"/>
          <w:cols w:space="720" w:num="1"/>
          <w:docGrid w:type="linesAndChars" w:linePitch="315" w:charSpace="0"/>
        </w:sectPr>
      </w:pPr>
    </w:p>
    <w:p>
      <w:pPr>
        <w:rPr>
          <w:rFonts w:ascii="宋体" w:hAnsi="宋体" w:cs="宋体"/>
          <w:b/>
          <w:sz w:val="36"/>
          <w:szCs w:val="36"/>
          <w:highlight w:val="none"/>
        </w:rPr>
      </w:pPr>
    </w:p>
    <w:p>
      <w:pPr>
        <w:spacing w:line="360" w:lineRule="auto"/>
        <w:jc w:val="center"/>
        <w:outlineLvl w:val="0"/>
        <w:rPr>
          <w:rFonts w:ascii="宋体" w:hAnsi="宋体" w:cs="宋体"/>
          <w:b/>
          <w:sz w:val="36"/>
          <w:szCs w:val="36"/>
          <w:highlight w:val="none"/>
        </w:rPr>
        <w:sectPr>
          <w:headerReference r:id="rId16" w:type="default"/>
          <w:footerReference r:id="rId17" w:type="default"/>
          <w:pgSz w:w="11907" w:h="16840"/>
          <w:pgMar w:top="1418" w:right="1134" w:bottom="1418" w:left="1701" w:header="851" w:footer="851" w:gutter="0"/>
          <w:cols w:space="720" w:num="1"/>
          <w:docGrid w:linePitch="462" w:charSpace="0"/>
        </w:sectPr>
      </w:pPr>
      <w:bookmarkStart w:id="829" w:name="_Toc20814"/>
      <w:r>
        <w:rPr>
          <w:rFonts w:hint="eastAsia" w:ascii="宋体" w:hAnsi="宋体" w:cs="宋体"/>
          <w:b/>
          <w:sz w:val="36"/>
          <w:szCs w:val="36"/>
          <w:highlight w:val="none"/>
        </w:rPr>
        <w:t>第六章   拟签订的合同文本</w:t>
      </w:r>
      <w:bookmarkEnd w:id="829"/>
    </w:p>
    <w:p>
      <w:pPr>
        <w:widowControl/>
        <w:snapToGrid w:val="0"/>
        <w:spacing w:line="360" w:lineRule="auto"/>
        <w:ind w:left="-283" w:leftChars="-135" w:firstLine="720" w:firstLineChars="200"/>
        <w:jc w:val="center"/>
        <w:rPr>
          <w:rFonts w:ascii="宋体" w:hAnsi="宋体" w:cs="宋体"/>
          <w:sz w:val="36"/>
          <w:szCs w:val="32"/>
          <w:highlight w:val="none"/>
        </w:rPr>
      </w:pPr>
      <w:r>
        <w:rPr>
          <w:rFonts w:hint="eastAsia" w:ascii="宋体" w:hAnsi="宋体" w:cs="宋体"/>
          <w:sz w:val="36"/>
          <w:szCs w:val="32"/>
          <w:highlight w:val="none"/>
        </w:rPr>
        <w:t>顺义区大剧院委托经营管理合同</w:t>
      </w:r>
    </w:p>
    <w:p>
      <w:pPr>
        <w:pStyle w:val="24"/>
        <w:snapToGrid w:val="0"/>
        <w:spacing w:line="360" w:lineRule="auto"/>
        <w:ind w:firstLine="480" w:firstLineChars="200"/>
        <w:rPr>
          <w:rFonts w:hint="default" w:hAnsi="宋体" w:cs="宋体"/>
          <w:sz w:val="24"/>
          <w:szCs w:val="24"/>
          <w:highlight w:val="none"/>
        </w:rPr>
      </w:pPr>
      <w:r>
        <w:rPr>
          <w:rFonts w:hAnsi="宋体" w:cs="宋体"/>
          <w:sz w:val="24"/>
          <w:szCs w:val="24"/>
          <w:highlight w:val="none"/>
        </w:rPr>
        <w:t>甲方（委托方）：北京市顺义区文化和旅游局</w:t>
      </w:r>
    </w:p>
    <w:p>
      <w:pPr>
        <w:pStyle w:val="24"/>
        <w:snapToGrid w:val="0"/>
        <w:spacing w:line="360" w:lineRule="auto"/>
        <w:ind w:firstLine="480" w:firstLineChars="200"/>
        <w:rPr>
          <w:rFonts w:hint="default" w:hAnsi="宋体" w:cs="宋体"/>
          <w:sz w:val="24"/>
          <w:szCs w:val="24"/>
          <w:highlight w:val="none"/>
        </w:rPr>
      </w:pPr>
      <w:r>
        <w:rPr>
          <w:rFonts w:hAnsi="宋体" w:cs="宋体"/>
          <w:sz w:val="24"/>
          <w:szCs w:val="24"/>
          <w:highlight w:val="none"/>
        </w:rPr>
        <w:t>法定代表人</w:t>
      </w:r>
      <w:r>
        <w:rPr>
          <w:rFonts w:hAnsi="宋体" w:cs="宋体"/>
          <w:bCs/>
          <w:sz w:val="24"/>
          <w:szCs w:val="16"/>
          <w:highlight w:val="none"/>
        </w:rPr>
        <w:t>（负责人）</w:t>
      </w:r>
      <w:r>
        <w:rPr>
          <w:rFonts w:hAnsi="宋体" w:cs="宋体"/>
          <w:sz w:val="24"/>
          <w:szCs w:val="24"/>
          <w:highlight w:val="none"/>
        </w:rPr>
        <w:t>：</w:t>
      </w:r>
    </w:p>
    <w:p>
      <w:pPr>
        <w:pStyle w:val="24"/>
        <w:snapToGrid w:val="0"/>
        <w:spacing w:line="360" w:lineRule="auto"/>
        <w:ind w:firstLine="480" w:firstLineChars="200"/>
        <w:rPr>
          <w:rFonts w:hint="default" w:hAnsi="宋体" w:cs="宋体"/>
          <w:sz w:val="24"/>
          <w:szCs w:val="24"/>
          <w:highlight w:val="none"/>
        </w:rPr>
      </w:pPr>
      <w:r>
        <w:rPr>
          <w:rFonts w:hAnsi="宋体" w:cs="宋体"/>
          <w:sz w:val="24"/>
          <w:szCs w:val="24"/>
          <w:highlight w:val="none"/>
        </w:rPr>
        <w:t>住所：</w:t>
      </w:r>
    </w:p>
    <w:p>
      <w:pPr>
        <w:pStyle w:val="24"/>
        <w:snapToGrid w:val="0"/>
        <w:spacing w:line="360" w:lineRule="auto"/>
        <w:ind w:firstLine="480" w:firstLineChars="200"/>
        <w:rPr>
          <w:rFonts w:hint="default" w:hAnsi="宋体" w:cs="宋体"/>
          <w:sz w:val="24"/>
          <w:szCs w:val="24"/>
          <w:highlight w:val="none"/>
        </w:rPr>
      </w:pPr>
      <w:r>
        <w:rPr>
          <w:rFonts w:hAnsi="宋体" w:cs="宋体"/>
          <w:sz w:val="24"/>
          <w:szCs w:val="24"/>
          <w:highlight w:val="none"/>
        </w:rPr>
        <w:t>乙方（受托方）：</w:t>
      </w:r>
    </w:p>
    <w:p>
      <w:pPr>
        <w:pStyle w:val="24"/>
        <w:snapToGrid w:val="0"/>
        <w:spacing w:line="360" w:lineRule="auto"/>
        <w:ind w:firstLine="480" w:firstLineChars="200"/>
        <w:rPr>
          <w:rFonts w:hint="default" w:hAnsi="宋体" w:cs="宋体"/>
          <w:sz w:val="24"/>
          <w:szCs w:val="24"/>
          <w:highlight w:val="none"/>
        </w:rPr>
      </w:pPr>
      <w:r>
        <w:rPr>
          <w:rFonts w:hAnsi="宋体" w:cs="宋体"/>
          <w:sz w:val="24"/>
          <w:szCs w:val="24"/>
          <w:highlight w:val="none"/>
        </w:rPr>
        <w:t>法定代表人</w:t>
      </w:r>
      <w:r>
        <w:rPr>
          <w:rFonts w:hAnsi="宋体" w:cs="宋体"/>
          <w:bCs/>
          <w:sz w:val="24"/>
          <w:szCs w:val="16"/>
          <w:highlight w:val="none"/>
        </w:rPr>
        <w:t>（负责人）</w:t>
      </w:r>
      <w:r>
        <w:rPr>
          <w:rFonts w:hAnsi="宋体" w:cs="宋体"/>
          <w:sz w:val="24"/>
          <w:szCs w:val="24"/>
          <w:highlight w:val="none"/>
        </w:rPr>
        <w:t>：</w:t>
      </w:r>
    </w:p>
    <w:p>
      <w:pPr>
        <w:pStyle w:val="24"/>
        <w:snapToGrid w:val="0"/>
        <w:spacing w:line="360" w:lineRule="auto"/>
        <w:ind w:firstLine="480" w:firstLineChars="200"/>
        <w:rPr>
          <w:rFonts w:hint="default" w:hAnsi="宋体" w:cs="宋体"/>
          <w:sz w:val="24"/>
          <w:szCs w:val="24"/>
          <w:highlight w:val="none"/>
        </w:rPr>
      </w:pPr>
      <w:r>
        <w:rPr>
          <w:rFonts w:hAnsi="宋体" w:cs="宋体"/>
          <w:sz w:val="24"/>
          <w:szCs w:val="24"/>
          <w:highlight w:val="none"/>
        </w:rPr>
        <w:t>住所：</w:t>
      </w:r>
    </w:p>
    <w:p>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依照《中华人民共和国民法典》及其他有关法律、法规，遵循平等、自愿、公平和诚实信用的原则，双方同意按照以下条款和条件，订立本合同。</w:t>
      </w:r>
    </w:p>
    <w:p>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经顺义区政府授权，甲方作为北京市顺义区文化中心大剧院（以下简称：顺义大剧院）管理监督业主方，具体负责对顺义大剧院全部持有所有权的资产进行监管，监督顺义大剧院资产保值增值和功能作用发挥。</w:t>
      </w:r>
    </w:p>
    <w:p>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甲方拟将顺义大剧院委托给乙方经营管理，乙方在完成双方约定的经营管理目标的前提下，实现社会效益和经济效益的有机统一。</w:t>
      </w:r>
    </w:p>
    <w:p>
      <w:pPr>
        <w:pStyle w:val="2"/>
        <w:numPr>
          <w:ilvl w:val="0"/>
          <w:numId w:val="16"/>
        </w:numPr>
        <w:rPr>
          <w:rFonts w:hAnsi="宋体" w:cs="宋体"/>
          <w:sz w:val="24"/>
          <w:szCs w:val="16"/>
          <w:highlight w:val="none"/>
        </w:rPr>
      </w:pPr>
      <w:bookmarkStart w:id="830" w:name="_Toc18542"/>
      <w:r>
        <w:rPr>
          <w:rFonts w:hint="eastAsia" w:hAnsi="宋体" w:cs="宋体"/>
          <w:sz w:val="24"/>
          <w:szCs w:val="16"/>
          <w:highlight w:val="none"/>
        </w:rPr>
        <w:t>委托经营管理标的</w:t>
      </w:r>
      <w:bookmarkEnd w:id="830"/>
    </w:p>
    <w:p>
      <w:pPr>
        <w:widowControl/>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一、委托经营管理标的：</w:t>
      </w:r>
    </w:p>
    <w:p>
      <w:pPr>
        <w:widowControl/>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顺义大剧院位于北京市顺义新城第五街区顺义区文化中心。</w:t>
      </w:r>
    </w:p>
    <w:p>
      <w:pPr>
        <w:widowControl/>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二、甲方交付乙方标准：</w:t>
      </w:r>
    </w:p>
    <w:p>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甲方确保顺义大剧院具备正常演出使用和满足正常运营条件，包括剧场满足演出正常使用、灯光音响舞台机械设施设备正常运行、管网配套设施以及大剧院内部装修等具备使用条件以及建筑物载体满足《公众聚集场所投入使用、营业前消防安全检查合格证》《演出场所经营单位备案证明》等相关政府单位要求。</w:t>
      </w:r>
    </w:p>
    <w:p>
      <w:pPr>
        <w:widowControl/>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三、标的范围</w:t>
      </w:r>
    </w:p>
    <w:p>
      <w:pPr>
        <w:widowControl/>
        <w:snapToGrid w:val="0"/>
        <w:spacing w:line="360" w:lineRule="auto"/>
        <w:ind w:firstLine="480" w:firstLineChars="200"/>
        <w:rPr>
          <w:rFonts w:ascii="宋体" w:hAnsi="宋体" w:cs="宋体"/>
          <w:sz w:val="24"/>
          <w:highlight w:val="none"/>
        </w:rPr>
      </w:pPr>
      <w:r>
        <w:rPr>
          <w:rFonts w:hint="eastAsia" w:ascii="宋体" w:hAnsi="宋体" w:cs="宋体"/>
          <w:sz w:val="24"/>
          <w:szCs w:val="21"/>
          <w:highlight w:val="none"/>
        </w:rPr>
        <w:t>（一）</w:t>
      </w:r>
      <w:r>
        <w:rPr>
          <w:rFonts w:hint="eastAsia" w:ascii="宋体" w:hAnsi="宋体" w:cs="宋体"/>
          <w:sz w:val="24"/>
          <w:highlight w:val="none"/>
        </w:rPr>
        <w:t>顺义大剧院</w:t>
      </w:r>
      <w:r>
        <w:rPr>
          <w:rFonts w:hint="eastAsia" w:ascii="宋体" w:hAnsi="宋体" w:cs="宋体"/>
          <w:sz w:val="24"/>
          <w:szCs w:val="21"/>
          <w:highlight w:val="none"/>
        </w:rPr>
        <w:t>主要功能为9</w:t>
      </w:r>
      <w:r>
        <w:rPr>
          <w:rFonts w:hint="eastAsia" w:ascii="宋体" w:hAnsi="宋体" w:cs="宋体"/>
          <w:sz w:val="24"/>
          <w:szCs w:val="21"/>
          <w:highlight w:val="none"/>
          <w:lang w:val="en-US" w:eastAsia="zh-CN"/>
        </w:rPr>
        <w:t>93</w:t>
      </w:r>
      <w:r>
        <w:rPr>
          <w:rFonts w:hint="eastAsia" w:ascii="宋体" w:hAnsi="宋体" w:cs="宋体"/>
          <w:sz w:val="24"/>
          <w:szCs w:val="21"/>
          <w:highlight w:val="none"/>
        </w:rPr>
        <w:t>座剧场、化妆间、贵宾室、排练厅、公共空间以及相关功能配套用房，具体经营标的范围以双方确认的顺义大剧院平面图及明细为准。</w:t>
      </w:r>
    </w:p>
    <w:p>
      <w:pPr>
        <w:ind w:firstLine="480" w:firstLineChars="200"/>
        <w:rPr>
          <w:rFonts w:ascii="宋体" w:hAnsi="宋体" w:cs="宋体"/>
          <w:sz w:val="24"/>
          <w:szCs w:val="21"/>
          <w:highlight w:val="none"/>
        </w:rPr>
      </w:pPr>
      <w:r>
        <w:rPr>
          <w:rFonts w:hint="eastAsia" w:ascii="宋体" w:hAnsi="宋体" w:cs="宋体"/>
          <w:sz w:val="24"/>
          <w:szCs w:val="21"/>
          <w:highlight w:val="none"/>
        </w:rPr>
        <w:t>（二）乙方向甲方承诺，标的物仅用于演出、文化相关活动等合同约定的项目，以及甲方同意的经营项目使用，在委托经营期限内，未经甲方书面同意，乙方不得擅自改变上述用途。</w:t>
      </w:r>
    </w:p>
    <w:p>
      <w:pPr>
        <w:ind w:firstLine="480" w:firstLineChars="200"/>
        <w:rPr>
          <w:rFonts w:ascii="宋体" w:hAnsi="宋体" w:cs="宋体"/>
          <w:sz w:val="24"/>
          <w:szCs w:val="21"/>
          <w:highlight w:val="none"/>
        </w:rPr>
      </w:pPr>
      <w:r>
        <w:rPr>
          <w:rFonts w:hint="eastAsia" w:ascii="宋体" w:hAnsi="宋体" w:cs="宋体"/>
          <w:sz w:val="24"/>
          <w:szCs w:val="21"/>
          <w:highlight w:val="none"/>
        </w:rPr>
        <w:t>（三）乙方承诺在使用期间严格遵守国家和北京市、顺义区的有关管理规定。</w:t>
      </w:r>
    </w:p>
    <w:p>
      <w:pPr>
        <w:pStyle w:val="2"/>
        <w:numPr>
          <w:ilvl w:val="0"/>
          <w:numId w:val="17"/>
        </w:numPr>
        <w:rPr>
          <w:rFonts w:hAnsi="宋体" w:cs="宋体"/>
          <w:sz w:val="24"/>
          <w:szCs w:val="16"/>
          <w:highlight w:val="none"/>
        </w:rPr>
      </w:pPr>
      <w:bookmarkStart w:id="831" w:name="_Toc3802"/>
      <w:r>
        <w:rPr>
          <w:rFonts w:hint="eastAsia" w:hAnsi="宋体" w:cs="宋体"/>
          <w:sz w:val="24"/>
          <w:szCs w:val="16"/>
          <w:highlight w:val="none"/>
        </w:rPr>
        <w:t>委托经营管理期限</w:t>
      </w:r>
      <w:bookmarkEnd w:id="831"/>
    </w:p>
    <w:p>
      <w:pPr>
        <w:widowControl/>
        <w:snapToGrid w:val="0"/>
        <w:spacing w:line="360" w:lineRule="auto"/>
        <w:ind w:left="420"/>
        <w:rPr>
          <w:rFonts w:ascii="宋体" w:hAnsi="宋体" w:cs="宋体"/>
          <w:sz w:val="24"/>
          <w:highlight w:val="none"/>
        </w:rPr>
      </w:pPr>
      <w:r>
        <w:rPr>
          <w:rFonts w:hint="eastAsia" w:ascii="宋体" w:hAnsi="宋体" w:cs="宋体"/>
          <w:sz w:val="24"/>
          <w:highlight w:val="none"/>
        </w:rPr>
        <w:t>一、委托期限：</w:t>
      </w:r>
    </w:p>
    <w:p>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委托运营管理期限为2年，自本合同签订之日起至2026年5月28日止。双方约定具体以顺义大剧院正式交付乙方管理的大剧院开业日期为起点，具体开幕日期根据大剧院验收交接情况双方书面确定为准。</w:t>
      </w:r>
    </w:p>
    <w:p>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其中：</w:t>
      </w:r>
    </w:p>
    <w:p>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自</w:t>
      </w:r>
      <w:r>
        <w:rPr>
          <w:rFonts w:hint="eastAsia" w:ascii="宋体" w:hAnsi="宋体" w:cs="宋体"/>
          <w:sz w:val="24"/>
          <w:highlight w:val="none"/>
          <w:lang w:val="en-US" w:eastAsia="zh-CN"/>
        </w:rPr>
        <w:t>2024</w:t>
      </w:r>
      <w:r>
        <w:rPr>
          <w:rFonts w:hint="eastAsia" w:ascii="宋体" w:hAnsi="宋体" w:cs="宋体"/>
          <w:sz w:val="24"/>
          <w:highlight w:val="none"/>
        </w:rPr>
        <w:t>年</w:t>
      </w:r>
      <w:r>
        <w:rPr>
          <w:rFonts w:hint="eastAsia" w:ascii="宋体" w:hAnsi="宋体" w:cs="宋体"/>
          <w:sz w:val="24"/>
          <w:highlight w:val="none"/>
          <w:lang w:val="en-US" w:eastAsia="zh-CN"/>
        </w:rPr>
        <w:t>5</w:t>
      </w:r>
      <w:r>
        <w:rPr>
          <w:rFonts w:hint="eastAsia" w:ascii="宋体" w:hAnsi="宋体" w:cs="宋体"/>
          <w:sz w:val="24"/>
          <w:highlight w:val="none"/>
        </w:rPr>
        <w:t>月</w:t>
      </w:r>
      <w:r>
        <w:rPr>
          <w:rFonts w:hint="eastAsia" w:ascii="宋体" w:hAnsi="宋体" w:cs="宋体"/>
          <w:sz w:val="24"/>
          <w:highlight w:val="none"/>
          <w:lang w:val="en-US" w:eastAsia="zh-CN"/>
        </w:rPr>
        <w:t>29</w:t>
      </w:r>
      <w:r>
        <w:rPr>
          <w:rFonts w:hint="eastAsia" w:ascii="宋体" w:hAnsi="宋体" w:cs="宋体"/>
          <w:sz w:val="24"/>
          <w:highlight w:val="none"/>
        </w:rPr>
        <w:t>日至</w:t>
      </w:r>
      <w:r>
        <w:rPr>
          <w:rFonts w:hint="eastAsia" w:ascii="宋体" w:hAnsi="宋体" w:cs="宋体"/>
          <w:sz w:val="24"/>
          <w:highlight w:val="none"/>
          <w:lang w:val="en-US" w:eastAsia="zh-CN"/>
        </w:rPr>
        <w:t>2025</w:t>
      </w:r>
      <w:r>
        <w:rPr>
          <w:rFonts w:hint="eastAsia" w:ascii="宋体" w:hAnsi="宋体" w:cs="宋体"/>
          <w:sz w:val="24"/>
          <w:highlight w:val="none"/>
        </w:rPr>
        <w:t>年</w:t>
      </w:r>
      <w:r>
        <w:rPr>
          <w:rFonts w:hint="eastAsia" w:ascii="宋体" w:hAnsi="宋体" w:cs="宋体"/>
          <w:sz w:val="24"/>
          <w:highlight w:val="none"/>
          <w:lang w:val="en-US" w:eastAsia="zh-CN"/>
        </w:rPr>
        <w:t>5</w:t>
      </w:r>
      <w:r>
        <w:rPr>
          <w:rFonts w:hint="eastAsia" w:ascii="宋体" w:hAnsi="宋体" w:cs="宋体"/>
          <w:sz w:val="24"/>
          <w:highlight w:val="none"/>
        </w:rPr>
        <w:t>月</w:t>
      </w:r>
      <w:r>
        <w:rPr>
          <w:rFonts w:hint="eastAsia" w:ascii="宋体" w:hAnsi="宋体" w:cs="宋体"/>
          <w:sz w:val="24"/>
          <w:highlight w:val="none"/>
          <w:lang w:val="en-US" w:eastAsia="zh-CN"/>
        </w:rPr>
        <w:t>28</w:t>
      </w:r>
      <w:r>
        <w:rPr>
          <w:rFonts w:hint="eastAsia" w:ascii="宋体" w:hAnsi="宋体" w:cs="宋体"/>
          <w:sz w:val="24"/>
          <w:highlight w:val="none"/>
        </w:rPr>
        <w:t>日期间为试运营期（一年）。试运营期满，视剧院运营指标完成情况和区财政结算评审确定下一年度运营补贴资金数额，如需调整金额或者调整经营目标，可签订新的合同或添加补充条款协议，如均无变化，则合同有效期为二年（含试运行期一年）。</w:t>
      </w:r>
    </w:p>
    <w:p>
      <w:pPr>
        <w:pStyle w:val="2"/>
        <w:numPr>
          <w:ilvl w:val="0"/>
          <w:numId w:val="17"/>
        </w:numPr>
        <w:rPr>
          <w:rFonts w:hAnsi="宋体" w:cs="宋体"/>
          <w:sz w:val="24"/>
          <w:szCs w:val="16"/>
          <w:highlight w:val="none"/>
        </w:rPr>
      </w:pPr>
      <w:bookmarkStart w:id="832" w:name="_Toc28907"/>
      <w:r>
        <w:rPr>
          <w:rFonts w:hint="eastAsia" w:hAnsi="宋体" w:cs="宋体"/>
          <w:sz w:val="24"/>
          <w:szCs w:val="16"/>
          <w:highlight w:val="none"/>
        </w:rPr>
        <w:t>委托经营管理目标</w:t>
      </w:r>
      <w:bookmarkEnd w:id="832"/>
    </w:p>
    <w:p>
      <w:pPr>
        <w:pStyle w:val="102"/>
        <w:ind w:firstLine="480"/>
        <w:outlineLvl w:val="1"/>
        <w:rPr>
          <w:rFonts w:ascii="宋体" w:hAnsi="宋体" w:cs="宋体"/>
          <w:sz w:val="24"/>
          <w:szCs w:val="24"/>
          <w:highlight w:val="none"/>
        </w:rPr>
      </w:pPr>
      <w:bookmarkStart w:id="833" w:name="_Toc14700"/>
      <w:r>
        <w:rPr>
          <w:rFonts w:hint="eastAsia" w:ascii="宋体" w:hAnsi="宋体" w:cs="宋体"/>
          <w:sz w:val="24"/>
          <w:szCs w:val="24"/>
          <w:highlight w:val="none"/>
        </w:rPr>
        <w:t>一、委托经营管理宗旨</w:t>
      </w:r>
      <w:bookmarkEnd w:id="833"/>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委托经营管理期间，乙方应全力打造顺义大剧院文化场所知名品牌和综合性艺术表演中心，积极营造顺义区文化艺术氛围，提高市民文化素养，承担顺义区公共文化服务职能，全力助推顺义区文化和旅游融合发展，为顺义区建设生态、开放、活力、精致的现代化高品质城区作出积极贡献。</w:t>
      </w:r>
    </w:p>
    <w:p>
      <w:pPr>
        <w:pStyle w:val="102"/>
        <w:ind w:firstLine="480"/>
        <w:outlineLvl w:val="1"/>
        <w:rPr>
          <w:rFonts w:ascii="宋体" w:hAnsi="宋体" w:cs="宋体"/>
          <w:sz w:val="24"/>
          <w:szCs w:val="24"/>
          <w:highlight w:val="none"/>
        </w:rPr>
      </w:pPr>
      <w:bookmarkStart w:id="834" w:name="_Toc10174"/>
      <w:r>
        <w:rPr>
          <w:rFonts w:hint="eastAsia" w:ascii="宋体" w:hAnsi="宋体" w:cs="宋体"/>
          <w:sz w:val="24"/>
          <w:szCs w:val="24"/>
          <w:highlight w:val="none"/>
        </w:rPr>
        <w:t>二、委托经营管理指标</w:t>
      </w:r>
      <w:bookmarkEnd w:id="834"/>
    </w:p>
    <w:p>
      <w:pPr>
        <w:tabs>
          <w:tab w:val="left" w:pos="1403"/>
        </w:tabs>
        <w:ind w:firstLine="480" w:firstLineChars="200"/>
        <w:outlineLvl w:val="2"/>
        <w:rPr>
          <w:rFonts w:ascii="宋体" w:hAnsi="宋体" w:cs="宋体"/>
          <w:bCs/>
          <w:sz w:val="24"/>
          <w:szCs w:val="21"/>
          <w:highlight w:val="none"/>
        </w:rPr>
      </w:pPr>
      <w:bookmarkStart w:id="835" w:name="_Toc2429"/>
      <w:r>
        <w:rPr>
          <w:rFonts w:hint="eastAsia" w:ascii="宋体" w:hAnsi="宋体" w:cs="宋体"/>
          <w:bCs/>
          <w:sz w:val="24"/>
          <w:szCs w:val="21"/>
          <w:highlight w:val="none"/>
        </w:rPr>
        <w:t>（一）演出指标</w:t>
      </w:r>
      <w:bookmarkEnd w:id="835"/>
    </w:p>
    <w:p>
      <w:pPr>
        <w:tabs>
          <w:tab w:val="left" w:pos="1403"/>
        </w:tabs>
        <w:ind w:firstLine="480" w:firstLineChars="200"/>
        <w:rPr>
          <w:rFonts w:hint="eastAsia" w:ascii="宋体" w:hAnsi="宋体" w:eastAsia="宋体" w:cs="宋体"/>
          <w:sz w:val="24"/>
          <w:highlight w:val="none"/>
          <w:lang w:eastAsia="zh-CN"/>
        </w:rPr>
      </w:pPr>
      <w:r>
        <w:rPr>
          <w:rFonts w:hint="eastAsia" w:ascii="宋体" w:hAnsi="宋体" w:cs="宋体"/>
          <w:bCs/>
          <w:sz w:val="24"/>
          <w:szCs w:val="21"/>
          <w:highlight w:val="none"/>
        </w:rPr>
        <w:t>1、乙方</w:t>
      </w:r>
      <w:r>
        <w:rPr>
          <w:rFonts w:hint="eastAsia" w:ascii="宋体" w:hAnsi="宋体" w:cs="宋体"/>
          <w:color w:val="000000"/>
          <w:sz w:val="24"/>
          <w:highlight w:val="none"/>
        </w:rPr>
        <w:t>承诺自顺义大剧院运营周期</w:t>
      </w:r>
      <w:r>
        <w:rPr>
          <w:rFonts w:hint="eastAsia" w:ascii="宋体" w:hAnsi="宋体" w:cs="宋体"/>
          <w:sz w:val="24"/>
          <w:highlight w:val="none"/>
        </w:rPr>
        <w:t>内，</w:t>
      </w:r>
      <w:r>
        <w:rPr>
          <w:rFonts w:hint="eastAsia" w:ascii="宋体" w:hAnsi="宋体" w:cs="宋体"/>
          <w:color w:val="000000"/>
          <w:sz w:val="24"/>
          <w:highlight w:val="none"/>
        </w:rPr>
        <w:t>每年</w:t>
      </w:r>
      <w:r>
        <w:rPr>
          <w:rFonts w:hint="eastAsia" w:ascii="宋体" w:hAnsi="宋体" w:cs="宋体"/>
          <w:color w:val="000000"/>
          <w:sz w:val="24"/>
          <w:highlight w:val="none"/>
          <w:lang w:eastAsia="zh-CN"/>
        </w:rPr>
        <w:t>演出</w:t>
      </w:r>
      <w:r>
        <w:rPr>
          <w:rFonts w:hint="eastAsia" w:ascii="宋体" w:hAnsi="宋体" w:cs="宋体"/>
          <w:color w:val="000000"/>
          <w:sz w:val="24"/>
          <w:highlight w:val="none"/>
        </w:rPr>
        <w:t>活动场次不少于100场，其中每年自营演出不少于70场，</w:t>
      </w:r>
      <w:r>
        <w:rPr>
          <w:rFonts w:hint="eastAsia" w:ascii="宋体" w:hAnsi="宋体" w:cs="宋体"/>
          <w:color w:val="000000"/>
          <w:sz w:val="24"/>
          <w:highlight w:val="none"/>
          <w:lang w:eastAsia="zh-CN"/>
        </w:rPr>
        <w:t>公益演出和</w:t>
      </w:r>
      <w:r>
        <w:rPr>
          <w:rFonts w:hint="eastAsia" w:ascii="宋体" w:hAnsi="宋体" w:cs="宋体"/>
          <w:color w:val="000000"/>
          <w:sz w:val="24"/>
          <w:highlight w:val="none"/>
        </w:rPr>
        <w:t>公益活动（包括但不限于市民免费开放日活动和各类普及性艺术讲座、活动等）不少于30场</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10场公益演出和20场公益活动</w:t>
      </w:r>
      <w:r>
        <w:rPr>
          <w:rFonts w:hint="eastAsia" w:ascii="宋体" w:hAnsi="宋体" w:cs="宋体"/>
          <w:color w:val="000000"/>
          <w:sz w:val="24"/>
          <w:highlight w:val="none"/>
          <w:lang w:eastAsia="zh-CN"/>
        </w:rPr>
        <w:t>）</w:t>
      </w:r>
      <w:r>
        <w:rPr>
          <w:rFonts w:hint="eastAsia" w:ascii="宋体" w:hAnsi="宋体" w:cs="宋体"/>
          <w:color w:val="000000"/>
          <w:sz w:val="24"/>
          <w:highlight w:val="none"/>
        </w:rPr>
        <w:t>。自营演出中， A类演出</w:t>
      </w:r>
      <w:r>
        <w:rPr>
          <w:rFonts w:hint="eastAsia" w:ascii="宋体" w:hAnsi="宋体" w:cs="宋体"/>
          <w:color w:val="000000"/>
          <w:sz w:val="24"/>
          <w:highlight w:val="none"/>
          <w:lang w:eastAsia="zh-CN"/>
        </w:rPr>
        <w:t>不低于自营演出</w:t>
      </w:r>
      <w:r>
        <w:rPr>
          <w:rFonts w:hint="eastAsia" w:ascii="宋体" w:hAnsi="宋体" w:cs="宋体"/>
          <w:color w:val="000000"/>
          <w:sz w:val="24"/>
          <w:highlight w:val="none"/>
        </w:rPr>
        <w:t>总场次40%，B类</w:t>
      </w:r>
      <w:r>
        <w:rPr>
          <w:rFonts w:hint="eastAsia" w:ascii="宋体" w:hAnsi="宋体" w:cs="宋体"/>
          <w:color w:val="000000"/>
          <w:sz w:val="24"/>
          <w:highlight w:val="none"/>
          <w:lang w:eastAsia="zh-CN"/>
        </w:rPr>
        <w:t>演出不低于自营演出</w:t>
      </w:r>
      <w:r>
        <w:rPr>
          <w:rFonts w:hint="eastAsia" w:ascii="宋体" w:hAnsi="宋体" w:cs="宋体"/>
          <w:color w:val="000000"/>
          <w:sz w:val="24"/>
          <w:highlight w:val="none"/>
        </w:rPr>
        <w:t>总场次30%</w:t>
      </w:r>
      <w:r>
        <w:rPr>
          <w:rFonts w:hint="eastAsia" w:ascii="宋体" w:hAnsi="宋体" w:cs="宋体"/>
          <w:color w:val="000000"/>
          <w:sz w:val="24"/>
          <w:highlight w:val="none"/>
          <w:lang w:eastAsia="zh-CN"/>
        </w:rPr>
        <w:t>。</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2、年平均上座率不低于55%;观众满意度不低于90%（包括剧目质量、观演环境、剧院服务等内容）（上座率=该场演出出票数/该场演出总座位数的比值）；</w:t>
      </w:r>
      <w:r>
        <w:rPr>
          <w:rFonts w:hint="eastAsia" w:ascii="宋体" w:hAnsi="宋体" w:cs="宋体"/>
          <w:sz w:val="24"/>
          <w:szCs w:val="21"/>
          <w:highlight w:val="none"/>
        </w:rPr>
        <w:t>低于100元的惠民票总体占比率不低于15%</w:t>
      </w:r>
      <w:r>
        <w:rPr>
          <w:rFonts w:hint="eastAsia" w:ascii="宋体" w:hAnsi="宋体" w:cs="宋体"/>
          <w:bCs/>
          <w:sz w:val="24"/>
          <w:szCs w:val="21"/>
          <w:highlight w:val="none"/>
        </w:rPr>
        <w:t>。</w:t>
      </w:r>
    </w:p>
    <w:p>
      <w:pPr>
        <w:tabs>
          <w:tab w:val="left" w:pos="1403"/>
        </w:tabs>
        <w:ind w:firstLine="480" w:firstLineChars="200"/>
        <w:outlineLvl w:val="2"/>
        <w:rPr>
          <w:rFonts w:ascii="宋体" w:hAnsi="宋体" w:cs="宋体"/>
          <w:bCs/>
          <w:sz w:val="24"/>
          <w:szCs w:val="21"/>
          <w:highlight w:val="none"/>
        </w:rPr>
      </w:pPr>
      <w:bookmarkStart w:id="836" w:name="_Toc4492"/>
      <w:r>
        <w:rPr>
          <w:rFonts w:hint="eastAsia" w:ascii="宋体" w:hAnsi="宋体" w:cs="宋体"/>
          <w:bCs/>
          <w:sz w:val="24"/>
          <w:szCs w:val="21"/>
          <w:highlight w:val="none"/>
        </w:rPr>
        <w:t>（二）资产管理目标</w:t>
      </w:r>
      <w:bookmarkEnd w:id="836"/>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（1）顺义大剧院场馆和建筑配套设施设备、舞台演出设 施设备等资产管理符合本合同相关约定及《顺义大剧院管理规范》；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（2）做好顺义大剧院资产管理工作，建立清点清单和入库管理、检查、维护、保养、维修等相关台账资料；</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（3）演出设施设备检查、维护和保养情况符合本合同的相关约定及《顺义大剧院管理规范》；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（4）顺义大剧院资产保值增值和功能作用发挥。</w:t>
      </w:r>
    </w:p>
    <w:p>
      <w:pPr>
        <w:tabs>
          <w:tab w:val="left" w:pos="1403"/>
        </w:tabs>
        <w:ind w:firstLine="480" w:firstLineChars="200"/>
        <w:outlineLvl w:val="2"/>
        <w:rPr>
          <w:rFonts w:ascii="宋体" w:hAnsi="宋体" w:cs="宋体"/>
          <w:bCs/>
          <w:sz w:val="24"/>
          <w:szCs w:val="21"/>
          <w:highlight w:val="none"/>
        </w:rPr>
      </w:pPr>
      <w:bookmarkStart w:id="837" w:name="_Toc5928"/>
      <w:r>
        <w:rPr>
          <w:rFonts w:hint="eastAsia" w:ascii="宋体" w:hAnsi="宋体" w:cs="宋体"/>
          <w:bCs/>
          <w:sz w:val="24"/>
          <w:szCs w:val="21"/>
          <w:highlight w:val="none"/>
        </w:rPr>
        <w:t>（三）安全生产管理目标</w:t>
      </w:r>
      <w:bookmarkEnd w:id="837"/>
    </w:p>
    <w:p>
      <w:pPr>
        <w:tabs>
          <w:tab w:val="left" w:pos="1403"/>
        </w:tabs>
        <w:ind w:firstLine="480" w:firstLineChars="200"/>
        <w:rPr>
          <w:rFonts w:ascii="宋体" w:hAnsi="宋体" w:cs="宋体"/>
          <w:bCs/>
          <w:sz w:val="24"/>
          <w:szCs w:val="21"/>
          <w:highlight w:val="none"/>
        </w:rPr>
      </w:pPr>
      <w:bookmarkStart w:id="838" w:name="_Toc31727"/>
      <w:r>
        <w:rPr>
          <w:rFonts w:hint="eastAsia" w:ascii="宋体" w:hAnsi="宋体" w:cs="宋体"/>
          <w:bCs/>
          <w:sz w:val="24"/>
          <w:szCs w:val="21"/>
          <w:highlight w:val="none"/>
        </w:rPr>
        <w:t>（1）建立健全安全生产领导小组和安全组织机构，责任明确，资料齐全，配有专职的安全员；</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（2）建立健全各部门安全生产责任制，职责明确，各项安全生产规章制度、安全操作规程齐全，并严格执行；</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（3）演出设施设备操作人员做到持证上岗、定岗到位特殊工种作业人员必须经安全培训，持证上岗；</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（4）安全标志、标语醒目，安全操作规程标示牌齐全；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（5）全年不发生任何有人员伤亡的安全生产事故；</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（6）安全生产事故无漏报、隐瞒不报现象。</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（四）依法经营目标</w:t>
      </w:r>
      <w:bookmarkEnd w:id="838"/>
    </w:p>
    <w:p>
      <w:pPr>
        <w:tabs>
          <w:tab w:val="left" w:pos="1403"/>
        </w:tabs>
        <w:ind w:firstLine="480" w:firstLineChars="200"/>
        <w:rPr>
          <w:rFonts w:ascii="宋体" w:hAnsi="宋体" w:cs="宋体"/>
          <w:bCs/>
          <w:sz w:val="24"/>
          <w:szCs w:val="21"/>
          <w:highlight w:val="none"/>
        </w:rPr>
      </w:pPr>
      <w:bookmarkStart w:id="839" w:name="_Toc16375"/>
      <w:r>
        <w:rPr>
          <w:rFonts w:hint="eastAsia" w:ascii="宋体" w:hAnsi="宋体" w:cs="宋体"/>
          <w:bCs/>
          <w:sz w:val="24"/>
          <w:szCs w:val="21"/>
          <w:highlight w:val="none"/>
        </w:rPr>
        <w:t>（1）全年无国家行政机关的处罚事件；</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（2）全年无被处罚漏报、隐瞒不报的现象；</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（3）全年未发生严重违约情形。</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（五）其他管理目标</w:t>
      </w:r>
      <w:bookmarkEnd w:id="839"/>
    </w:p>
    <w:p>
      <w:pPr>
        <w:tabs>
          <w:tab w:val="left" w:pos="1403"/>
        </w:tabs>
        <w:ind w:firstLine="480" w:firstLineChars="200"/>
        <w:rPr>
          <w:rFonts w:ascii="宋体" w:hAnsi="宋体" w:cs="宋体"/>
          <w:bCs/>
          <w:sz w:val="24"/>
          <w:szCs w:val="21"/>
          <w:highlight w:val="none"/>
        </w:rPr>
      </w:pPr>
      <w:bookmarkStart w:id="840" w:name="_Toc25397"/>
      <w:r>
        <w:rPr>
          <w:rFonts w:hint="eastAsia" w:ascii="宋体" w:hAnsi="宋体" w:cs="宋体"/>
          <w:bCs/>
          <w:sz w:val="24"/>
          <w:szCs w:val="21"/>
          <w:highlight w:val="none"/>
        </w:rPr>
        <w:t>（1）在不影响剧院正常剧目安排的情况下，应支持甲方或区政府安排的顺义本地专业院团的排练、演出，租金不得超过市场价的70%，特殊情况另行商定；</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（2）每年免费为甲方或政府提供剧场场地免费使用服务，天数为</w:t>
      </w:r>
      <w:r>
        <w:rPr>
          <w:rFonts w:hint="eastAsia" w:ascii="宋体" w:hAnsi="宋体" w:cs="宋体"/>
          <w:bCs/>
          <w:sz w:val="24"/>
          <w:szCs w:val="21"/>
          <w:highlight w:val="none"/>
          <w:lang w:val="en-US" w:eastAsia="zh-CN"/>
        </w:rPr>
        <w:t>4</w:t>
      </w:r>
      <w:r>
        <w:rPr>
          <w:rFonts w:hint="eastAsia" w:ascii="宋体" w:hAnsi="宋体" w:cs="宋体"/>
          <w:bCs/>
          <w:sz w:val="24"/>
          <w:szCs w:val="21"/>
          <w:highlight w:val="none"/>
        </w:rPr>
        <w:t>0天（含设施设备、各类器材及能源物业等）。如因甲方没有使用需求，提供服务天数未满</w:t>
      </w:r>
      <w:r>
        <w:rPr>
          <w:rFonts w:hint="eastAsia" w:ascii="宋体" w:hAnsi="宋体" w:cs="宋体"/>
          <w:bCs/>
          <w:sz w:val="24"/>
          <w:szCs w:val="21"/>
          <w:highlight w:val="none"/>
          <w:lang w:val="en-US" w:eastAsia="zh-CN"/>
        </w:rPr>
        <w:t>40</w:t>
      </w:r>
      <w:r>
        <w:rPr>
          <w:rFonts w:hint="eastAsia" w:ascii="宋体" w:hAnsi="宋体" w:cs="宋体"/>
          <w:bCs/>
          <w:sz w:val="24"/>
          <w:szCs w:val="21"/>
          <w:highlight w:val="none"/>
        </w:rPr>
        <w:t>天，则甲方不予</w:t>
      </w:r>
      <w:r>
        <w:rPr>
          <w:rFonts w:hint="eastAsia" w:ascii="宋体" w:hAnsi="宋体" w:cs="宋体"/>
          <w:bCs/>
          <w:sz w:val="24"/>
          <w:szCs w:val="21"/>
          <w:highlight w:val="none"/>
          <w:lang w:eastAsia="zh-CN"/>
        </w:rPr>
        <w:t>追究</w:t>
      </w:r>
      <w:r>
        <w:rPr>
          <w:rFonts w:hint="eastAsia" w:ascii="宋体" w:hAnsi="宋体" w:cs="宋体"/>
          <w:bCs/>
          <w:sz w:val="24"/>
          <w:szCs w:val="21"/>
          <w:highlight w:val="none"/>
        </w:rPr>
        <w:t>；</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（3）在不影响剧院正常演出安排的情况下，承诺免费接待招标人或政府安排的文化交流等事务性或特定参观访问；</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（4）乙方每年组织市民免费开放日活动，制定市民开放日活动内容，吸引市民参与，扩大剧院影响力。</w:t>
      </w:r>
    </w:p>
    <w:p>
      <w:pPr>
        <w:tabs>
          <w:tab w:val="left" w:pos="1403"/>
        </w:tabs>
        <w:ind w:firstLine="480" w:firstLineChars="200"/>
        <w:rPr>
          <w:rFonts w:ascii="宋体" w:hAnsi="宋体" w:cs="宋体"/>
          <w:sz w:val="24"/>
          <w:highlight w:val="none"/>
        </w:rPr>
      </w:pPr>
      <w:r>
        <w:rPr>
          <w:rFonts w:hint="eastAsia" w:ascii="宋体" w:hAnsi="宋体" w:cs="宋体"/>
          <w:sz w:val="24"/>
          <w:highlight w:val="none"/>
        </w:rPr>
        <w:t>三、名词定义</w:t>
      </w:r>
      <w:bookmarkEnd w:id="840"/>
    </w:p>
    <w:p>
      <w:pPr>
        <w:tabs>
          <w:tab w:val="left" w:pos="1403"/>
        </w:tabs>
        <w:ind w:firstLine="480" w:firstLineChars="200"/>
        <w:rPr>
          <w:rFonts w:ascii="宋体" w:hAnsi="宋体" w:cs="宋体"/>
          <w:bCs/>
          <w:sz w:val="24"/>
          <w:szCs w:val="21"/>
          <w:highlight w:val="none"/>
        </w:rPr>
      </w:pPr>
      <w:r>
        <w:rPr>
          <w:rFonts w:hint="eastAsia" w:ascii="宋体" w:hAnsi="宋体" w:cs="宋体"/>
          <w:sz w:val="24"/>
          <w:szCs w:val="21"/>
          <w:highlight w:val="none"/>
        </w:rPr>
        <w:t>（一）自营演出：</w:t>
      </w:r>
      <w:r>
        <w:rPr>
          <w:rFonts w:hint="eastAsia" w:ascii="宋体" w:hAnsi="宋体" w:cs="宋体"/>
          <w:bCs/>
          <w:sz w:val="24"/>
          <w:szCs w:val="21"/>
          <w:highlight w:val="none"/>
        </w:rPr>
        <w:t>是指由乙方采购或共同承担演出团体 或个人的演出费及相关接待费用，且收益归乙方或双方分账的演出。(此处双方分账不含甲方)不包含甲方的免费用场。</w:t>
      </w:r>
    </w:p>
    <w:p>
      <w:pPr>
        <w:tabs>
          <w:tab w:val="left" w:pos="1403"/>
        </w:tabs>
        <w:ind w:firstLine="480" w:firstLineChars="200"/>
        <w:rPr>
          <w:rFonts w:ascii="宋体" w:hAnsi="宋体" w:cs="宋体"/>
          <w:bCs/>
          <w:sz w:val="24"/>
          <w:szCs w:val="21"/>
          <w:highlight w:val="none"/>
        </w:rPr>
      </w:pPr>
      <w:r>
        <w:rPr>
          <w:rFonts w:hint="eastAsia" w:ascii="宋体" w:hAnsi="宋体" w:cs="宋体"/>
          <w:sz w:val="24"/>
          <w:szCs w:val="21"/>
          <w:highlight w:val="none"/>
        </w:rPr>
        <w:t>（</w:t>
      </w:r>
      <w:r>
        <w:rPr>
          <w:rFonts w:hint="eastAsia" w:ascii="宋体" w:hAnsi="宋体" w:cs="宋体"/>
          <w:sz w:val="24"/>
          <w:szCs w:val="21"/>
          <w:highlight w:val="none"/>
          <w:lang w:val="en-US" w:eastAsia="zh-CN"/>
        </w:rPr>
        <w:t>二</w:t>
      </w:r>
      <w:r>
        <w:rPr>
          <w:rFonts w:hint="eastAsia" w:ascii="宋体" w:hAnsi="宋体" w:cs="宋体"/>
          <w:sz w:val="24"/>
          <w:szCs w:val="21"/>
          <w:highlight w:val="none"/>
        </w:rPr>
        <w:t>）租场演出：</w:t>
      </w:r>
      <w:r>
        <w:rPr>
          <w:rFonts w:hint="eastAsia" w:ascii="宋体" w:hAnsi="宋体" w:cs="宋体"/>
          <w:bCs/>
          <w:sz w:val="24"/>
          <w:szCs w:val="21"/>
          <w:highlight w:val="none"/>
        </w:rPr>
        <w:t>是指由第三方自行组织，乙方仅提供场地及活动服务并收取场租费的活动。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w:t>
      </w:r>
      <w:r>
        <w:rPr>
          <w:rFonts w:hint="eastAsia" w:ascii="宋体" w:hAnsi="宋体" w:cs="宋体"/>
          <w:bCs/>
          <w:sz w:val="24"/>
          <w:szCs w:val="21"/>
          <w:highlight w:val="none"/>
          <w:lang w:val="en-US" w:eastAsia="zh-CN"/>
        </w:rPr>
        <w:t>三</w:t>
      </w:r>
      <w:r>
        <w:rPr>
          <w:rFonts w:hint="eastAsia" w:ascii="宋体" w:hAnsi="宋体" w:cs="宋体"/>
          <w:bCs/>
          <w:sz w:val="24"/>
          <w:szCs w:val="21"/>
          <w:highlight w:val="none"/>
        </w:rPr>
        <w:t>）公益活动：是指不以盈利为目的组织的活动。</w:t>
      </w:r>
    </w:p>
    <w:p>
      <w:pPr>
        <w:tabs>
          <w:tab w:val="left" w:pos="1403"/>
        </w:tabs>
        <w:ind w:firstLine="480" w:firstLineChars="200"/>
        <w:rPr>
          <w:rFonts w:hint="eastAsia" w:ascii="宋体" w:hAnsi="宋体" w:eastAsia="宋体" w:cs="宋体"/>
          <w:bCs/>
          <w:sz w:val="24"/>
          <w:szCs w:val="21"/>
          <w:highlight w:val="none"/>
          <w:lang w:eastAsia="zh-CN"/>
        </w:rPr>
      </w:pPr>
      <w:r>
        <w:rPr>
          <w:rFonts w:hint="eastAsia" w:ascii="宋体" w:hAnsi="宋体" w:cs="宋体"/>
          <w:bCs/>
          <w:sz w:val="24"/>
          <w:szCs w:val="21"/>
          <w:highlight w:val="none"/>
          <w:lang w:eastAsia="zh-CN"/>
        </w:rPr>
        <w:t>（</w:t>
      </w:r>
      <w:r>
        <w:rPr>
          <w:rFonts w:hint="eastAsia" w:ascii="宋体" w:hAnsi="宋体" w:cs="宋体"/>
          <w:bCs/>
          <w:sz w:val="24"/>
          <w:szCs w:val="21"/>
          <w:highlight w:val="none"/>
          <w:lang w:val="en-US" w:eastAsia="zh-CN"/>
        </w:rPr>
        <w:t>四</w:t>
      </w:r>
      <w:r>
        <w:rPr>
          <w:rFonts w:hint="eastAsia" w:ascii="宋体" w:hAnsi="宋体" w:cs="宋体"/>
          <w:bCs/>
          <w:sz w:val="24"/>
          <w:szCs w:val="21"/>
          <w:highlight w:val="none"/>
          <w:lang w:eastAsia="zh-CN"/>
        </w:rPr>
        <w:t>）公益演出：</w:t>
      </w:r>
      <w:r>
        <w:rPr>
          <w:rFonts w:hint="eastAsia" w:ascii="宋体" w:hAnsi="宋体" w:cs="宋体"/>
          <w:bCs/>
          <w:sz w:val="24"/>
          <w:szCs w:val="21"/>
          <w:highlight w:val="none"/>
        </w:rPr>
        <w:t>是指不以盈利为目的组织的</w:t>
      </w:r>
      <w:r>
        <w:rPr>
          <w:rFonts w:hint="eastAsia" w:ascii="宋体" w:hAnsi="宋体" w:cs="宋体"/>
          <w:bCs/>
          <w:sz w:val="24"/>
          <w:szCs w:val="21"/>
          <w:highlight w:val="none"/>
          <w:lang w:eastAsia="zh-CN"/>
        </w:rPr>
        <w:t>演出</w:t>
      </w:r>
      <w:r>
        <w:rPr>
          <w:rFonts w:hint="eastAsia" w:ascii="宋体" w:hAnsi="宋体" w:cs="宋体"/>
          <w:bCs/>
          <w:sz w:val="24"/>
          <w:szCs w:val="21"/>
          <w:highlight w:val="none"/>
        </w:rPr>
        <w:t>。</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w:t>
      </w:r>
      <w:r>
        <w:rPr>
          <w:rFonts w:hint="eastAsia" w:ascii="宋体" w:hAnsi="宋体" w:cs="宋体"/>
          <w:bCs/>
          <w:sz w:val="24"/>
          <w:szCs w:val="21"/>
          <w:highlight w:val="none"/>
          <w:lang w:val="en-US" w:eastAsia="zh-CN"/>
        </w:rPr>
        <w:t>五</w:t>
      </w:r>
      <w:r>
        <w:rPr>
          <w:rFonts w:hint="eastAsia" w:ascii="宋体" w:hAnsi="宋体" w:cs="宋体"/>
          <w:bCs/>
          <w:sz w:val="24"/>
          <w:szCs w:val="21"/>
          <w:highlight w:val="none"/>
        </w:rPr>
        <w:t>）A类演出</w:t>
      </w:r>
    </w:p>
    <w:p>
      <w:pPr>
        <w:tabs>
          <w:tab w:val="left" w:pos="1403"/>
        </w:tabs>
        <w:ind w:firstLine="480" w:firstLineChars="200"/>
        <w:rPr>
          <w:rFonts w:ascii="宋体" w:hAnsi="宋体" w:cs="宋体"/>
          <w:sz w:val="24"/>
          <w:szCs w:val="21"/>
          <w:highlight w:val="none"/>
        </w:rPr>
      </w:pPr>
      <w:r>
        <w:rPr>
          <w:rFonts w:hint="eastAsia" w:ascii="宋体" w:hAnsi="宋体" w:cs="宋体"/>
          <w:sz w:val="24"/>
          <w:szCs w:val="21"/>
          <w:highlight w:val="none"/>
        </w:rPr>
        <w:t>（1）欧洲和北美地区演出团体中名称带有国家、皇家或者首都城市名称、广播字样的演出团体的演出；</w:t>
      </w:r>
    </w:p>
    <w:p>
      <w:pPr>
        <w:tabs>
          <w:tab w:val="left" w:pos="1403"/>
        </w:tabs>
        <w:ind w:firstLine="480" w:firstLineChars="200"/>
        <w:rPr>
          <w:rFonts w:ascii="宋体" w:hAnsi="宋体" w:cs="宋体"/>
          <w:sz w:val="24"/>
          <w:szCs w:val="21"/>
          <w:highlight w:val="none"/>
        </w:rPr>
      </w:pPr>
      <w:r>
        <w:rPr>
          <w:rFonts w:hint="eastAsia" w:ascii="宋体" w:hAnsi="宋体" w:cs="宋体"/>
          <w:sz w:val="24"/>
          <w:szCs w:val="21"/>
          <w:highlight w:val="none"/>
        </w:rPr>
        <w:t>（2）在国际上享有良好广泛的声誉、举办历史悠久或知名的国际艺术比赛中获得奖项的国内外演出团体的演出；</w:t>
      </w:r>
    </w:p>
    <w:p>
      <w:pPr>
        <w:tabs>
          <w:tab w:val="left" w:pos="1403"/>
        </w:tabs>
        <w:ind w:firstLine="480" w:firstLineChars="200"/>
        <w:rPr>
          <w:rFonts w:ascii="宋体" w:hAnsi="宋体" w:cs="宋体"/>
          <w:sz w:val="24"/>
          <w:szCs w:val="21"/>
          <w:highlight w:val="none"/>
        </w:rPr>
      </w:pPr>
      <w:r>
        <w:rPr>
          <w:rFonts w:hint="eastAsia" w:ascii="宋体" w:hAnsi="宋体" w:cs="宋体"/>
          <w:sz w:val="24"/>
          <w:szCs w:val="21"/>
          <w:highlight w:val="none"/>
        </w:rPr>
        <w:t>（3）国内演出团体中直属国家文旅部、广播电视总局及带有中国、中央字样的国家级文化艺术团体的演出；</w:t>
      </w:r>
    </w:p>
    <w:p>
      <w:pPr>
        <w:tabs>
          <w:tab w:val="left" w:pos="1403"/>
        </w:tabs>
        <w:ind w:firstLine="480" w:firstLineChars="200"/>
        <w:rPr>
          <w:rFonts w:ascii="宋体" w:hAnsi="宋体" w:cs="宋体"/>
          <w:sz w:val="24"/>
          <w:szCs w:val="21"/>
          <w:highlight w:val="none"/>
        </w:rPr>
      </w:pPr>
      <w:r>
        <w:rPr>
          <w:rFonts w:hint="eastAsia" w:ascii="宋体" w:hAnsi="宋体" w:cs="宋体"/>
          <w:sz w:val="24"/>
          <w:szCs w:val="21"/>
          <w:highlight w:val="none"/>
        </w:rPr>
        <w:t>（4）入选国家舞台艺术精品工程、获文旅部“文华奖”、获中宣部“五个一工程奖”的优秀舞台艺术佳作的演出；</w:t>
      </w:r>
    </w:p>
    <w:p>
      <w:pPr>
        <w:tabs>
          <w:tab w:val="left" w:pos="1403"/>
        </w:tabs>
        <w:ind w:firstLine="480" w:firstLineChars="200"/>
        <w:rPr>
          <w:rFonts w:ascii="宋体" w:hAnsi="宋体" w:cs="宋体"/>
          <w:sz w:val="24"/>
          <w:szCs w:val="21"/>
          <w:highlight w:val="none"/>
        </w:rPr>
      </w:pPr>
      <w:r>
        <w:rPr>
          <w:rFonts w:hint="eastAsia" w:ascii="宋体" w:hAnsi="宋体" w:cs="宋体"/>
          <w:sz w:val="24"/>
          <w:szCs w:val="21"/>
          <w:highlight w:val="none"/>
        </w:rPr>
        <w:t>（5）获国际专业艺术比赛大奖或国家授予荣誉称号的艺术家为主演的剧(节)目；</w:t>
      </w:r>
    </w:p>
    <w:p>
      <w:pPr>
        <w:tabs>
          <w:tab w:val="left" w:pos="1403"/>
        </w:tabs>
        <w:ind w:firstLine="480" w:firstLineChars="200"/>
        <w:rPr>
          <w:rFonts w:ascii="宋体" w:hAnsi="宋体" w:cs="宋体"/>
          <w:sz w:val="24"/>
          <w:szCs w:val="21"/>
          <w:highlight w:val="none"/>
        </w:rPr>
      </w:pPr>
      <w:r>
        <w:rPr>
          <w:rFonts w:hint="eastAsia" w:ascii="宋体" w:hAnsi="宋体" w:cs="宋体"/>
          <w:sz w:val="24"/>
          <w:szCs w:val="21"/>
          <w:highlight w:val="none"/>
        </w:rPr>
        <w:t>（6）中央军委政治工作部歌剧团直属艺术团体的演出；</w:t>
      </w:r>
    </w:p>
    <w:p>
      <w:pPr>
        <w:tabs>
          <w:tab w:val="left" w:pos="1403"/>
        </w:tabs>
        <w:ind w:firstLine="480" w:firstLineChars="200"/>
        <w:rPr>
          <w:rFonts w:hint="eastAsia" w:ascii="宋体" w:hAnsi="宋体" w:cs="宋体"/>
          <w:sz w:val="24"/>
          <w:szCs w:val="21"/>
          <w:highlight w:val="none"/>
        </w:rPr>
      </w:pPr>
      <w:r>
        <w:rPr>
          <w:rFonts w:hint="eastAsia" w:ascii="宋体" w:hAnsi="宋体" w:cs="宋体"/>
          <w:sz w:val="24"/>
          <w:szCs w:val="21"/>
          <w:highlight w:val="none"/>
        </w:rPr>
        <w:t>（7）国内省级艺术院团获得中宣部、国家文化和旅游部、中国文联主办的各单项舞台艺术最高奖项的演出项目；</w:t>
      </w:r>
    </w:p>
    <w:p>
      <w:pPr>
        <w:tabs>
          <w:tab w:val="left" w:pos="1403"/>
        </w:tabs>
        <w:ind w:firstLine="480" w:firstLineChars="200"/>
        <w:rPr>
          <w:rFonts w:hint="eastAsia" w:ascii="宋体" w:hAnsi="宋体" w:cs="宋体"/>
          <w:sz w:val="24"/>
          <w:szCs w:val="21"/>
          <w:highlight w:val="none"/>
          <w:lang w:eastAsia="zh-CN"/>
        </w:rPr>
      </w:pPr>
      <w:r>
        <w:rPr>
          <w:rFonts w:hint="eastAsia" w:ascii="宋体" w:hAnsi="宋体" w:cs="宋体"/>
          <w:sz w:val="24"/>
          <w:szCs w:val="21"/>
          <w:highlight w:val="none"/>
          <w:lang w:eastAsia="zh-CN"/>
        </w:rPr>
        <w:t>（</w:t>
      </w:r>
      <w:r>
        <w:rPr>
          <w:rFonts w:hint="eastAsia" w:ascii="宋体" w:hAnsi="宋体" w:cs="宋体"/>
          <w:sz w:val="24"/>
          <w:szCs w:val="21"/>
          <w:highlight w:val="none"/>
          <w:lang w:val="en-US" w:eastAsia="zh-CN"/>
        </w:rPr>
        <w:t>8</w:t>
      </w:r>
      <w:r>
        <w:rPr>
          <w:rFonts w:hint="eastAsia" w:ascii="宋体" w:hAnsi="宋体" w:cs="宋体"/>
          <w:sz w:val="24"/>
          <w:szCs w:val="21"/>
          <w:highlight w:val="none"/>
          <w:lang w:eastAsia="zh-CN"/>
        </w:rPr>
        <w:t>）</w:t>
      </w:r>
      <w:r>
        <w:rPr>
          <w:rFonts w:hint="eastAsia" w:ascii="宋体" w:hAnsi="宋体" w:cs="宋体"/>
          <w:sz w:val="24"/>
          <w:szCs w:val="21"/>
          <w:highlight w:val="none"/>
          <w:lang w:val="en-US" w:eastAsia="zh-CN"/>
        </w:rPr>
        <w:t>演出</w:t>
      </w:r>
      <w:r>
        <w:rPr>
          <w:rFonts w:hint="eastAsia" w:ascii="宋体" w:hAnsi="宋体" w:cs="宋体"/>
          <w:sz w:val="24"/>
          <w:szCs w:val="21"/>
          <w:highlight w:val="none"/>
          <w:lang w:eastAsia="zh-CN"/>
        </w:rPr>
        <w:t>单场票房超过25万元的演出项目。</w:t>
      </w:r>
    </w:p>
    <w:p>
      <w:pPr>
        <w:ind w:firstLine="480" w:firstLineChars="200"/>
        <w:rPr>
          <w:rFonts w:ascii="宋体" w:hAnsi="宋体" w:cs="宋体"/>
          <w:sz w:val="24"/>
          <w:szCs w:val="21"/>
          <w:highlight w:val="none"/>
        </w:rPr>
      </w:pPr>
      <w:r>
        <w:rPr>
          <w:rFonts w:hint="eastAsia" w:ascii="宋体" w:hAnsi="宋体" w:cs="宋体"/>
          <w:sz w:val="24"/>
          <w:szCs w:val="21"/>
          <w:highlight w:val="none"/>
        </w:rPr>
        <w:t>（</w:t>
      </w:r>
      <w:r>
        <w:rPr>
          <w:rFonts w:hint="eastAsia" w:ascii="宋体" w:hAnsi="宋体" w:cs="宋体"/>
          <w:sz w:val="24"/>
          <w:szCs w:val="21"/>
          <w:highlight w:val="none"/>
          <w:lang w:val="en-US" w:eastAsia="zh-CN"/>
        </w:rPr>
        <w:t>六</w:t>
      </w:r>
      <w:r>
        <w:rPr>
          <w:rFonts w:hint="eastAsia" w:ascii="宋体" w:hAnsi="宋体" w:cs="宋体"/>
          <w:sz w:val="24"/>
          <w:szCs w:val="21"/>
          <w:highlight w:val="none"/>
        </w:rPr>
        <w:t>）B类演出</w:t>
      </w:r>
    </w:p>
    <w:p>
      <w:pPr>
        <w:ind w:firstLine="480" w:firstLineChars="200"/>
        <w:rPr>
          <w:rFonts w:ascii="宋体" w:hAnsi="宋体" w:cs="宋体"/>
          <w:sz w:val="24"/>
          <w:szCs w:val="21"/>
          <w:highlight w:val="none"/>
        </w:rPr>
      </w:pPr>
      <w:r>
        <w:rPr>
          <w:rFonts w:hint="eastAsia" w:ascii="宋体" w:hAnsi="宋体" w:cs="宋体"/>
          <w:sz w:val="24"/>
          <w:szCs w:val="21"/>
          <w:highlight w:val="none"/>
        </w:rPr>
        <w:t>（1）北京、上海所属的市级以上艺术团体的演出；</w:t>
      </w:r>
    </w:p>
    <w:p>
      <w:pPr>
        <w:ind w:firstLine="480" w:firstLineChars="200"/>
        <w:rPr>
          <w:rFonts w:ascii="宋体" w:hAnsi="宋体" w:cs="宋体"/>
          <w:sz w:val="24"/>
          <w:szCs w:val="21"/>
          <w:highlight w:val="none"/>
        </w:rPr>
      </w:pPr>
      <w:r>
        <w:rPr>
          <w:rFonts w:hint="eastAsia" w:ascii="宋体" w:hAnsi="宋体" w:cs="宋体"/>
          <w:sz w:val="24"/>
          <w:szCs w:val="21"/>
          <w:highlight w:val="none"/>
        </w:rPr>
        <w:t>（2）以著名古典艺术家命名的国外艺术团体演出的剧目；</w:t>
      </w:r>
    </w:p>
    <w:p>
      <w:pPr>
        <w:ind w:firstLine="480" w:firstLineChars="200"/>
        <w:rPr>
          <w:rFonts w:ascii="宋体" w:hAnsi="宋体" w:cs="宋体"/>
          <w:sz w:val="24"/>
          <w:szCs w:val="21"/>
          <w:highlight w:val="none"/>
        </w:rPr>
      </w:pPr>
      <w:r>
        <w:rPr>
          <w:rFonts w:hint="eastAsia" w:ascii="宋体" w:hAnsi="宋体" w:cs="宋体"/>
          <w:sz w:val="24"/>
          <w:szCs w:val="21"/>
          <w:highlight w:val="none"/>
        </w:rPr>
        <w:t>（3）国外艺术团体名称中带有青年字样或冠以洲际名称的艺术团体的演出；</w:t>
      </w:r>
    </w:p>
    <w:p>
      <w:pPr>
        <w:ind w:firstLine="480" w:firstLineChars="200"/>
        <w:rPr>
          <w:rFonts w:hint="eastAsia" w:ascii="宋体" w:hAnsi="宋体" w:cs="宋体"/>
          <w:sz w:val="24"/>
          <w:szCs w:val="21"/>
          <w:highlight w:val="none"/>
        </w:rPr>
      </w:pPr>
      <w:r>
        <w:rPr>
          <w:rFonts w:hint="eastAsia" w:ascii="宋体" w:hAnsi="宋体" w:cs="宋体"/>
          <w:sz w:val="24"/>
          <w:szCs w:val="21"/>
          <w:highlight w:val="none"/>
        </w:rPr>
        <w:t>（4）其它城市艺术院团中有地方特色的并获得省委宣传奖、省文化厅或省文联主办的省级以上舞台艺术专业评奖最高奖项的优秀剧(节)目的演出;</w:t>
      </w:r>
    </w:p>
    <w:p>
      <w:pPr>
        <w:ind w:firstLine="480" w:firstLineChars="200"/>
        <w:rPr>
          <w:rFonts w:hint="eastAsia" w:ascii="宋体" w:hAnsi="宋体" w:cs="宋体"/>
          <w:sz w:val="24"/>
          <w:szCs w:val="21"/>
          <w:highlight w:val="none"/>
          <w:lang w:eastAsia="zh-CN"/>
        </w:rPr>
      </w:pPr>
      <w:r>
        <w:rPr>
          <w:rFonts w:hint="eastAsia" w:ascii="宋体" w:hAnsi="宋体" w:cs="宋体"/>
          <w:sz w:val="24"/>
          <w:szCs w:val="21"/>
          <w:highlight w:val="none"/>
          <w:lang w:eastAsia="zh-CN"/>
        </w:rPr>
        <w:t>（</w:t>
      </w:r>
      <w:r>
        <w:rPr>
          <w:rFonts w:hint="eastAsia" w:ascii="宋体" w:hAnsi="宋体" w:cs="宋体"/>
          <w:sz w:val="24"/>
          <w:szCs w:val="21"/>
          <w:highlight w:val="none"/>
          <w:lang w:val="en-US" w:eastAsia="zh-CN"/>
        </w:rPr>
        <w:t>5</w:t>
      </w:r>
      <w:r>
        <w:rPr>
          <w:rFonts w:hint="eastAsia" w:ascii="宋体" w:hAnsi="宋体" w:cs="宋体"/>
          <w:sz w:val="24"/>
          <w:szCs w:val="21"/>
          <w:highlight w:val="none"/>
          <w:lang w:eastAsia="zh-CN"/>
        </w:rPr>
        <w:t>）</w:t>
      </w:r>
      <w:r>
        <w:rPr>
          <w:rFonts w:hint="eastAsia" w:ascii="宋体" w:hAnsi="宋体" w:cs="宋体"/>
          <w:sz w:val="24"/>
          <w:szCs w:val="21"/>
          <w:highlight w:val="none"/>
          <w:lang w:val="en-US" w:eastAsia="zh-CN"/>
        </w:rPr>
        <w:t>演出</w:t>
      </w:r>
      <w:r>
        <w:rPr>
          <w:rFonts w:hint="eastAsia" w:ascii="宋体" w:hAnsi="宋体" w:cs="宋体"/>
          <w:sz w:val="24"/>
          <w:szCs w:val="21"/>
          <w:highlight w:val="none"/>
          <w:lang w:eastAsia="zh-CN"/>
        </w:rPr>
        <w:t>单场票房超过</w:t>
      </w:r>
      <w:r>
        <w:rPr>
          <w:rFonts w:hint="eastAsia" w:ascii="宋体" w:hAnsi="宋体" w:cs="宋体"/>
          <w:sz w:val="24"/>
          <w:szCs w:val="21"/>
          <w:highlight w:val="none"/>
          <w:lang w:val="en-US" w:eastAsia="zh-CN"/>
        </w:rPr>
        <w:t>1</w:t>
      </w:r>
      <w:r>
        <w:rPr>
          <w:rFonts w:hint="eastAsia" w:ascii="宋体" w:hAnsi="宋体" w:cs="宋体"/>
          <w:sz w:val="24"/>
          <w:szCs w:val="21"/>
          <w:highlight w:val="none"/>
          <w:lang w:eastAsia="zh-CN"/>
        </w:rPr>
        <w:t>5万元的演出项目。</w:t>
      </w:r>
    </w:p>
    <w:p>
      <w:pPr>
        <w:ind w:firstLine="480" w:firstLineChars="200"/>
        <w:rPr>
          <w:rFonts w:ascii="宋体" w:hAnsi="宋体" w:cs="宋体"/>
          <w:sz w:val="24"/>
          <w:szCs w:val="21"/>
          <w:highlight w:val="none"/>
        </w:rPr>
      </w:pPr>
      <w:r>
        <w:rPr>
          <w:rFonts w:hint="eastAsia" w:ascii="宋体" w:hAnsi="宋体" w:cs="宋体"/>
          <w:sz w:val="24"/>
          <w:szCs w:val="21"/>
          <w:highlight w:val="none"/>
        </w:rPr>
        <w:t>（</w:t>
      </w:r>
      <w:r>
        <w:rPr>
          <w:rFonts w:hint="eastAsia" w:ascii="宋体" w:hAnsi="宋体" w:cs="宋体"/>
          <w:sz w:val="24"/>
          <w:szCs w:val="21"/>
          <w:highlight w:val="none"/>
          <w:lang w:val="en-US" w:eastAsia="zh-CN"/>
        </w:rPr>
        <w:t>七</w:t>
      </w:r>
      <w:r>
        <w:rPr>
          <w:rFonts w:hint="eastAsia" w:ascii="宋体" w:hAnsi="宋体" w:cs="宋体"/>
          <w:sz w:val="24"/>
          <w:szCs w:val="21"/>
          <w:highlight w:val="none"/>
        </w:rPr>
        <w:t>）C类演出</w:t>
      </w:r>
    </w:p>
    <w:p>
      <w:pPr>
        <w:ind w:firstLine="480" w:firstLineChars="200"/>
        <w:rPr>
          <w:rFonts w:ascii="宋体" w:hAnsi="宋体" w:cs="宋体"/>
          <w:sz w:val="24"/>
          <w:szCs w:val="21"/>
          <w:highlight w:val="none"/>
        </w:rPr>
      </w:pPr>
      <w:r>
        <w:rPr>
          <w:rFonts w:hint="eastAsia" w:ascii="宋体" w:hAnsi="宋体" w:cs="宋体"/>
          <w:sz w:val="24"/>
          <w:szCs w:val="21"/>
          <w:highlight w:val="none"/>
        </w:rPr>
        <w:t>A类、B类演出以外的演出、实验话剧及小型艺术表演。</w:t>
      </w:r>
    </w:p>
    <w:p>
      <w:pPr>
        <w:ind w:firstLine="480" w:firstLineChars="200"/>
        <w:rPr>
          <w:rFonts w:ascii="宋体" w:hAnsi="宋体" w:cs="宋体"/>
          <w:sz w:val="24"/>
          <w:szCs w:val="21"/>
          <w:highlight w:val="none"/>
        </w:rPr>
      </w:pPr>
      <w:r>
        <w:rPr>
          <w:rFonts w:hint="eastAsia" w:ascii="宋体" w:hAnsi="宋体" w:cs="宋体"/>
          <w:sz w:val="24"/>
          <w:szCs w:val="21"/>
          <w:highlight w:val="none"/>
        </w:rPr>
        <w:t>（</w:t>
      </w:r>
      <w:r>
        <w:rPr>
          <w:rFonts w:hint="eastAsia" w:ascii="宋体" w:hAnsi="宋体" w:cs="宋体"/>
          <w:sz w:val="24"/>
          <w:szCs w:val="21"/>
          <w:highlight w:val="none"/>
          <w:lang w:val="en-US" w:eastAsia="zh-CN"/>
        </w:rPr>
        <w:t>八</w:t>
      </w:r>
      <w:r>
        <w:rPr>
          <w:rFonts w:hint="eastAsia" w:ascii="宋体" w:hAnsi="宋体" w:cs="宋体"/>
          <w:sz w:val="24"/>
          <w:szCs w:val="21"/>
          <w:highlight w:val="none"/>
        </w:rPr>
        <w:t>）上座率</w:t>
      </w:r>
    </w:p>
    <w:p>
      <w:pPr>
        <w:ind w:firstLine="480" w:firstLineChars="200"/>
        <w:rPr>
          <w:rFonts w:ascii="宋体" w:hAnsi="宋体" w:cs="宋体"/>
          <w:sz w:val="24"/>
          <w:szCs w:val="21"/>
          <w:highlight w:val="none"/>
        </w:rPr>
      </w:pPr>
      <w:r>
        <w:rPr>
          <w:rFonts w:hint="eastAsia" w:ascii="宋体" w:hAnsi="宋体" w:cs="宋体"/>
          <w:sz w:val="24"/>
          <w:szCs w:val="21"/>
          <w:highlight w:val="none"/>
        </w:rPr>
        <w:t xml:space="preserve"> 年平均上座率不低于55%,有效出票数除以剧场座位可售票数；公益活动不计算上座率；低于100元的惠民票总体占比率不低于15%。</w:t>
      </w:r>
    </w:p>
    <w:p>
      <w:pPr>
        <w:ind w:firstLine="480" w:firstLineChars="200"/>
        <w:rPr>
          <w:rFonts w:ascii="宋体" w:hAnsi="宋体" w:cs="宋体"/>
          <w:sz w:val="24"/>
          <w:szCs w:val="21"/>
          <w:highlight w:val="none"/>
        </w:rPr>
      </w:pPr>
      <w:r>
        <w:rPr>
          <w:rFonts w:hint="eastAsia" w:ascii="宋体" w:hAnsi="宋体" w:cs="宋体"/>
          <w:sz w:val="24"/>
          <w:szCs w:val="21"/>
          <w:highlight w:val="none"/>
        </w:rPr>
        <w:t>（</w:t>
      </w:r>
      <w:r>
        <w:rPr>
          <w:rFonts w:hint="eastAsia" w:ascii="宋体" w:hAnsi="宋体" w:cs="宋体"/>
          <w:sz w:val="24"/>
          <w:szCs w:val="21"/>
          <w:highlight w:val="none"/>
          <w:lang w:val="en-US" w:eastAsia="zh-CN"/>
        </w:rPr>
        <w:t>九</w:t>
      </w:r>
      <w:r>
        <w:rPr>
          <w:rFonts w:hint="eastAsia" w:ascii="宋体" w:hAnsi="宋体" w:cs="宋体"/>
          <w:sz w:val="24"/>
          <w:szCs w:val="21"/>
          <w:highlight w:val="none"/>
        </w:rPr>
        <w:t>）有效出票数</w:t>
      </w:r>
    </w:p>
    <w:p>
      <w:pPr>
        <w:ind w:firstLine="480" w:firstLineChars="200"/>
        <w:rPr>
          <w:rFonts w:ascii="宋体" w:hAnsi="宋体" w:cs="宋体"/>
          <w:sz w:val="24"/>
          <w:szCs w:val="21"/>
          <w:highlight w:val="none"/>
        </w:rPr>
      </w:pPr>
      <w:r>
        <w:rPr>
          <w:rFonts w:hint="eastAsia" w:ascii="宋体" w:hAnsi="宋体" w:cs="宋体"/>
          <w:sz w:val="24"/>
          <w:szCs w:val="21"/>
          <w:highlight w:val="none"/>
        </w:rPr>
        <w:t xml:space="preserve">  从乙方所属票务系统打印的演出票数(包括政府及甲方工作票、与演出活动相关单位的置换票、包场 冠名票、部队、学生、伤残人士等弱势群体的赠票及其他甲方认可的票数)。</w:t>
      </w:r>
    </w:p>
    <w:p>
      <w:pPr>
        <w:pStyle w:val="2"/>
        <w:numPr>
          <w:ilvl w:val="0"/>
          <w:numId w:val="17"/>
        </w:numPr>
        <w:rPr>
          <w:rFonts w:hAnsi="宋体" w:cs="宋体"/>
          <w:sz w:val="24"/>
          <w:szCs w:val="16"/>
          <w:highlight w:val="none"/>
        </w:rPr>
      </w:pPr>
      <w:bookmarkStart w:id="841" w:name="_Toc6192"/>
      <w:r>
        <w:rPr>
          <w:rFonts w:hint="eastAsia" w:hAnsi="宋体" w:cs="宋体"/>
          <w:sz w:val="24"/>
          <w:szCs w:val="16"/>
          <w:highlight w:val="none"/>
        </w:rPr>
        <w:t>委托经营管理考核</w:t>
      </w:r>
      <w:bookmarkEnd w:id="841"/>
    </w:p>
    <w:p>
      <w:pPr>
        <w:numPr>
          <w:ilvl w:val="0"/>
          <w:numId w:val="18"/>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甲方根据本合同约定的考核管理办法成立组织考核小组对乙方完成本合同约定的经营管理目标情况予以年度考核。</w:t>
      </w:r>
    </w:p>
    <w:p>
      <w:pPr>
        <w:numPr>
          <w:ilvl w:val="0"/>
          <w:numId w:val="18"/>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甲乙双方共同制定具体的考核办法（详见附件一，本合同约定内容与考核办法不一致的，以考核办法为准），并按照考核办法严格执行。</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三、考核小组成员原则上以甲方人员为主，区财政局派专业人员参加。</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四、考核办法：乙方每年将演出剧目、演出场次、平均票价、观众上座率、观众满意度等情况在</w:t>
      </w:r>
      <w:r>
        <w:rPr>
          <w:rFonts w:hint="eastAsia" w:ascii="宋体" w:hAnsi="宋体" w:cs="宋体"/>
          <w:bCs/>
          <w:sz w:val="24"/>
          <w:szCs w:val="21"/>
          <w:highlight w:val="none"/>
          <w:lang w:val="en-US" w:eastAsia="zh-CN"/>
        </w:rPr>
        <w:t>次年</w:t>
      </w:r>
      <w:r>
        <w:rPr>
          <w:rFonts w:hint="eastAsia" w:ascii="宋体" w:hAnsi="宋体" w:cs="宋体"/>
          <w:bCs/>
          <w:sz w:val="24"/>
          <w:szCs w:val="21"/>
          <w:highlight w:val="none"/>
        </w:rPr>
        <w:t>6月15日前（汇总全年情况）书面报甲方。甲方将在每年6月至7月组织对乙方完成经营管理指标情况的考核。完成了“经营管理指标”是指完成下列四条内容：</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（1）实现了《顺义大剧院委托经营管理合同》约定的全部委托经营管理目标；若年度演出指标考核中，</w:t>
      </w:r>
      <w:r>
        <w:rPr>
          <w:rFonts w:hint="eastAsia" w:ascii="宋体" w:hAnsi="宋体" w:cs="宋体"/>
          <w:bCs/>
          <w:sz w:val="24"/>
          <w:szCs w:val="21"/>
          <w:highlight w:val="none"/>
          <w:lang w:eastAsia="zh-CN"/>
        </w:rPr>
        <w:t>乙方</w:t>
      </w:r>
      <w:r>
        <w:rPr>
          <w:rFonts w:hint="eastAsia" w:ascii="宋体" w:hAnsi="宋体" w:cs="宋体"/>
          <w:bCs/>
          <w:sz w:val="24"/>
          <w:szCs w:val="21"/>
          <w:highlight w:val="none"/>
        </w:rPr>
        <w:t>未能完成双方约定的全部演出场次目标的，A类演出每减少一场即从运营补贴款中扣除15万元，B类演出每减少一场即从运营补贴款中扣除10万元。</w:t>
      </w:r>
      <w:r>
        <w:rPr>
          <w:rFonts w:hint="eastAsia" w:ascii="宋体" w:hAnsi="宋体" w:cs="宋体"/>
          <w:bCs/>
          <w:sz w:val="24"/>
          <w:szCs w:val="21"/>
          <w:highlight w:val="none"/>
          <w:lang w:val="en-US" w:eastAsia="zh-CN"/>
        </w:rPr>
        <w:t>甲方</w:t>
      </w:r>
      <w:r>
        <w:rPr>
          <w:rFonts w:hint="eastAsia" w:ascii="宋体" w:hAnsi="宋体" w:cs="宋体"/>
          <w:bCs/>
          <w:sz w:val="24"/>
          <w:szCs w:val="21"/>
          <w:highlight w:val="none"/>
        </w:rPr>
        <w:t>有权在下一年向</w:t>
      </w:r>
      <w:r>
        <w:rPr>
          <w:rFonts w:hint="eastAsia" w:ascii="宋体" w:hAnsi="宋体" w:cs="宋体"/>
          <w:bCs/>
          <w:sz w:val="24"/>
          <w:szCs w:val="21"/>
          <w:highlight w:val="none"/>
          <w:lang w:eastAsia="zh-CN"/>
        </w:rPr>
        <w:t>乙方</w:t>
      </w:r>
      <w:r>
        <w:rPr>
          <w:rFonts w:hint="eastAsia" w:ascii="宋体" w:hAnsi="宋体" w:cs="宋体"/>
          <w:bCs/>
          <w:sz w:val="24"/>
          <w:szCs w:val="21"/>
          <w:highlight w:val="none"/>
        </w:rPr>
        <w:t>支付的运营补贴中直接扣除。</w:t>
      </w:r>
    </w:p>
    <w:p>
      <w:pPr>
        <w:tabs>
          <w:tab w:val="left" w:pos="1403"/>
        </w:tabs>
        <w:ind w:left="640"/>
        <w:rPr>
          <w:rFonts w:ascii="宋体" w:hAnsi="宋体" w:cs="宋体"/>
          <w:bCs/>
          <w:sz w:val="24"/>
          <w:szCs w:val="21"/>
          <w:highlight w:val="none"/>
        </w:rPr>
      </w:pPr>
      <w:r>
        <w:rPr>
          <w:rFonts w:hint="eastAsia" w:ascii="宋体" w:hAnsi="宋体" w:cs="宋体"/>
          <w:bCs/>
          <w:sz w:val="24"/>
          <w:szCs w:val="21"/>
          <w:highlight w:val="none"/>
        </w:rPr>
        <w:t>（2）做好设备设施的维护和资产保管工作；</w:t>
      </w:r>
    </w:p>
    <w:p>
      <w:pPr>
        <w:tabs>
          <w:tab w:val="left" w:pos="1403"/>
        </w:tabs>
        <w:ind w:left="640"/>
        <w:rPr>
          <w:rFonts w:ascii="宋体" w:hAnsi="宋体" w:cs="宋体"/>
          <w:bCs/>
          <w:sz w:val="24"/>
          <w:szCs w:val="21"/>
          <w:highlight w:val="none"/>
        </w:rPr>
      </w:pPr>
      <w:r>
        <w:rPr>
          <w:rFonts w:hint="eastAsia" w:ascii="宋体" w:hAnsi="宋体" w:cs="宋体"/>
          <w:bCs/>
          <w:sz w:val="24"/>
          <w:szCs w:val="21"/>
          <w:highlight w:val="none"/>
        </w:rPr>
        <w:t>（3）全年无重大安全责任事故（重大责任事故的界定以国家现行标准规定为准）；</w:t>
      </w:r>
    </w:p>
    <w:p>
      <w:pPr>
        <w:tabs>
          <w:tab w:val="left" w:pos="1403"/>
        </w:tabs>
        <w:ind w:left="640"/>
        <w:rPr>
          <w:rFonts w:ascii="宋体" w:hAnsi="宋体" w:cs="宋体"/>
          <w:bCs/>
          <w:sz w:val="24"/>
          <w:szCs w:val="21"/>
          <w:highlight w:val="none"/>
        </w:rPr>
      </w:pPr>
      <w:r>
        <w:rPr>
          <w:rFonts w:hint="eastAsia" w:ascii="宋体" w:hAnsi="宋体" w:cs="宋体"/>
          <w:bCs/>
          <w:sz w:val="24"/>
          <w:szCs w:val="21"/>
          <w:highlight w:val="none"/>
        </w:rPr>
        <w:t>（4）全年无违法违规行为。</w:t>
      </w:r>
    </w:p>
    <w:p>
      <w:pPr>
        <w:pStyle w:val="2"/>
        <w:numPr>
          <w:ilvl w:val="0"/>
          <w:numId w:val="17"/>
        </w:numPr>
        <w:rPr>
          <w:rFonts w:hAnsi="宋体" w:cs="宋体"/>
          <w:sz w:val="24"/>
          <w:szCs w:val="16"/>
          <w:highlight w:val="none"/>
        </w:rPr>
      </w:pPr>
      <w:bookmarkStart w:id="842" w:name="_Toc5902"/>
      <w:r>
        <w:rPr>
          <w:rFonts w:hint="eastAsia" w:hAnsi="宋体" w:cs="宋体"/>
          <w:sz w:val="24"/>
          <w:szCs w:val="16"/>
          <w:highlight w:val="none"/>
        </w:rPr>
        <w:t>委托经营管理费用及支付</w:t>
      </w:r>
      <w:bookmarkEnd w:id="842"/>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一、运营管理费用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1、甲方向乙方支付管理运营补贴费用：   万元/年（大写：   /年），最终金额以运营指标完成情况和财政审定金额为准。</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其中，试运营满一年后，甲方有权依据试运营年度乙方的经营、资金状况和区财政局评审结果，以第一年的管理运行补贴为基础依据，进一步审核补贴数额，与乙方协商调整后一年的管理运营补贴的费用。按照区财政要求由甲方单独购买，由乙方包干使用，如有不足，由乙方自行承担。</w:t>
      </w:r>
    </w:p>
    <w:p>
      <w:pPr>
        <w:numPr>
          <w:ilvl w:val="0"/>
          <w:numId w:val="19"/>
        </w:numPr>
        <w:tabs>
          <w:tab w:val="left" w:pos="1403"/>
        </w:tabs>
        <w:ind w:firstLine="480" w:firstLineChars="200"/>
        <w:rPr>
          <w:rFonts w:hint="eastAsia" w:ascii="宋体" w:hAnsi="宋体" w:cs="宋体"/>
          <w:bCs/>
          <w:sz w:val="24"/>
          <w:szCs w:val="21"/>
          <w:highlight w:val="none"/>
        </w:rPr>
      </w:pPr>
      <w:r>
        <w:rPr>
          <w:rFonts w:hint="eastAsia" w:ascii="宋体" w:hAnsi="宋体" w:cs="宋体"/>
          <w:bCs/>
          <w:sz w:val="24"/>
          <w:szCs w:val="21"/>
          <w:highlight w:val="none"/>
        </w:rPr>
        <w:t>支付方式：</w:t>
      </w:r>
      <w:r>
        <w:rPr>
          <w:rFonts w:hint="eastAsia" w:ascii="宋体" w:hAnsi="宋体" w:cs="宋体"/>
          <w:bCs/>
          <w:sz w:val="24"/>
          <w:szCs w:val="21"/>
          <w:highlight w:val="none"/>
          <w:lang w:val="en-US" w:eastAsia="zh-CN"/>
        </w:rPr>
        <w:t>原则上</w:t>
      </w:r>
      <w:r>
        <w:rPr>
          <w:rFonts w:hint="eastAsia" w:ascii="宋体" w:hAnsi="宋体" w:cs="宋体"/>
          <w:bCs/>
          <w:sz w:val="24"/>
          <w:szCs w:val="21"/>
          <w:highlight w:val="none"/>
        </w:rPr>
        <w:t>甲方每年分三次向乙方支付补贴费用。（1）合同生效且财政资金下达后，甲方在收到发票后15个工作日内通过银行转账的方式支付合同金额的50%；（2）乙方提交半年经营报告经甲方认可且财政资金下达后，甲方在收到发票后15个工作日内通过银行转账的方式支付合同金额的30%；（3）完成全年经营指标和结算评审且财政资金到位后，甲方在收到发票后15个工作日内通过银行转账的方式向乙方支付合同金额的20%，最终金额以财政评审为准。</w:t>
      </w:r>
    </w:p>
    <w:p>
      <w:pPr>
        <w:numPr>
          <w:ilvl w:val="0"/>
          <w:numId w:val="0"/>
        </w:numPr>
        <w:tabs>
          <w:tab w:val="left" w:pos="1403"/>
        </w:tabs>
        <w:ind w:firstLine="480" w:firstLineChars="200"/>
        <w:rPr>
          <w:rFonts w:hint="default" w:ascii="宋体" w:hAnsi="宋体" w:cs="宋体"/>
          <w:bCs/>
          <w:sz w:val="24"/>
          <w:szCs w:val="21"/>
          <w:highlight w:val="none"/>
          <w:lang w:val="en-US" w:eastAsia="zh-CN"/>
        </w:rPr>
      </w:pPr>
      <w:r>
        <w:rPr>
          <w:rFonts w:hint="eastAsia" w:ascii="宋体" w:hAnsi="宋体" w:cs="宋体"/>
          <w:bCs/>
          <w:sz w:val="24"/>
          <w:szCs w:val="21"/>
          <w:highlight w:val="none"/>
          <w:lang w:val="en-US" w:eastAsia="zh-CN"/>
        </w:rPr>
        <w:t>鉴于项目资金由区财政授权拨付，具体支付时间待甲方申请区财政资金到位后予以支付，支付步骤按照区财政局程序要求执行。</w:t>
      </w:r>
    </w:p>
    <w:p>
      <w:pPr>
        <w:numPr>
          <w:ilvl w:val="0"/>
          <w:numId w:val="0"/>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lang w:val="en-US" w:eastAsia="zh-CN"/>
        </w:rPr>
        <w:t>3、</w:t>
      </w:r>
      <w:r>
        <w:rPr>
          <w:rFonts w:hint="eastAsia" w:ascii="宋体" w:hAnsi="宋体" w:cs="宋体"/>
          <w:bCs/>
          <w:sz w:val="24"/>
          <w:szCs w:val="21"/>
          <w:highlight w:val="none"/>
        </w:rPr>
        <w:t>每期运营补贴由乙方向甲方提出申请，甲方报请有权部门审核拨付，拨款流程按照政府相关部门规定执行。</w:t>
      </w:r>
    </w:p>
    <w:p>
      <w:pPr>
        <w:numPr>
          <w:ilvl w:val="0"/>
          <w:numId w:val="0"/>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lang w:val="en-US" w:eastAsia="zh-CN"/>
        </w:rPr>
        <w:t>4、</w:t>
      </w:r>
      <w:r>
        <w:rPr>
          <w:rFonts w:hint="eastAsia" w:ascii="宋体" w:hAnsi="宋体" w:cs="宋体"/>
          <w:bCs/>
          <w:sz w:val="24"/>
          <w:szCs w:val="21"/>
          <w:highlight w:val="none"/>
        </w:rPr>
        <w:t>乙方凭以下有效文件向主管部门申请补贴金额：</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①合同；</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②乙方开具的正式发票；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③年度考核评估（加盖甲方公章）；</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④经营报告。</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备注：运营</w:t>
      </w:r>
      <w:r>
        <w:rPr>
          <w:rFonts w:hint="eastAsia" w:ascii="宋体" w:hAnsi="宋体" w:cs="宋体"/>
          <w:bCs/>
          <w:sz w:val="24"/>
          <w:szCs w:val="21"/>
          <w:highlight w:val="none"/>
          <w:lang w:val="en-US" w:eastAsia="zh-CN"/>
        </w:rPr>
        <w:t>期内每</w:t>
      </w:r>
      <w:r>
        <w:rPr>
          <w:rFonts w:hint="eastAsia" w:ascii="宋体" w:hAnsi="宋体" w:cs="宋体"/>
          <w:bCs/>
          <w:sz w:val="24"/>
          <w:szCs w:val="21"/>
          <w:highlight w:val="none"/>
        </w:rPr>
        <w:t>第一笔补贴仅须提供①和②两项材料</w:t>
      </w:r>
      <w:r>
        <w:rPr>
          <w:rFonts w:hint="eastAsia" w:ascii="宋体" w:hAnsi="宋体" w:cs="宋体"/>
          <w:bCs/>
          <w:sz w:val="24"/>
          <w:szCs w:val="21"/>
          <w:highlight w:val="none"/>
          <w:lang w:eastAsia="zh-CN"/>
        </w:rPr>
        <w:t>，</w:t>
      </w:r>
      <w:r>
        <w:rPr>
          <w:rFonts w:hint="eastAsia" w:ascii="宋体" w:hAnsi="宋体" w:cs="宋体"/>
          <w:bCs/>
          <w:sz w:val="24"/>
          <w:szCs w:val="21"/>
          <w:highlight w:val="none"/>
          <w:lang w:val="en-US" w:eastAsia="zh-CN"/>
        </w:rPr>
        <w:t>第二笔补贴仅须提供①、②和④三项材料</w:t>
      </w:r>
      <w:r>
        <w:rPr>
          <w:rFonts w:hint="eastAsia" w:ascii="宋体" w:hAnsi="宋体" w:cs="宋体"/>
          <w:bCs/>
          <w:sz w:val="24"/>
          <w:szCs w:val="21"/>
          <w:highlight w:val="none"/>
        </w:rPr>
        <w:t>。</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5、费用包括不限于剧院经营管理费、日常运营费、营销费，设备设施日常维护维修保养费、物业管理费、水电能源费、国家法律法规规定的规费、税费、保险、培训费等一切费用，以及剧院运营筹备期，大剧院咨询服务费、人员经费、培训费用、宣传费用、工服费用、开荒保洁、行政开支等经费。</w:t>
      </w:r>
      <w:r>
        <w:rPr>
          <w:rFonts w:hint="eastAsia" w:ascii="宋体" w:hAnsi="宋体" w:cs="宋体"/>
          <w:bCs/>
          <w:sz w:val="24"/>
          <w:szCs w:val="21"/>
          <w:highlight w:val="none"/>
          <w:lang w:val="en-US" w:eastAsia="zh-CN"/>
        </w:rPr>
        <w:t>甲方</w:t>
      </w:r>
      <w:r>
        <w:rPr>
          <w:rFonts w:hint="eastAsia" w:ascii="宋体" w:hAnsi="宋体" w:cs="宋体"/>
          <w:bCs/>
          <w:sz w:val="24"/>
          <w:szCs w:val="21"/>
          <w:highlight w:val="none"/>
        </w:rPr>
        <w:t>以顺义大剧院现有情况交付</w:t>
      </w:r>
      <w:r>
        <w:rPr>
          <w:rFonts w:hint="eastAsia" w:ascii="宋体" w:hAnsi="宋体" w:cs="宋体"/>
          <w:bCs/>
          <w:sz w:val="24"/>
          <w:szCs w:val="21"/>
          <w:highlight w:val="none"/>
          <w:lang w:val="en-US" w:eastAsia="zh-CN"/>
        </w:rPr>
        <w:t>乙方</w:t>
      </w:r>
      <w:r>
        <w:rPr>
          <w:rFonts w:hint="eastAsia" w:ascii="宋体" w:hAnsi="宋体" w:cs="宋体"/>
          <w:bCs/>
          <w:sz w:val="24"/>
          <w:szCs w:val="21"/>
          <w:highlight w:val="none"/>
        </w:rPr>
        <w:t>，大剧院开办物资需要</w:t>
      </w:r>
      <w:r>
        <w:rPr>
          <w:rFonts w:hint="eastAsia" w:ascii="宋体" w:hAnsi="宋体" w:cs="宋体"/>
          <w:bCs/>
          <w:sz w:val="24"/>
          <w:szCs w:val="21"/>
          <w:highlight w:val="none"/>
          <w:lang w:val="en-US" w:eastAsia="zh-CN"/>
        </w:rPr>
        <w:t>乙方</w:t>
      </w:r>
      <w:r>
        <w:rPr>
          <w:rFonts w:hint="eastAsia" w:ascii="宋体" w:hAnsi="宋体" w:cs="宋体"/>
          <w:bCs/>
          <w:sz w:val="24"/>
          <w:szCs w:val="21"/>
          <w:highlight w:val="none"/>
        </w:rPr>
        <w:t>自行购买承担，</w:t>
      </w:r>
      <w:r>
        <w:rPr>
          <w:rFonts w:hint="eastAsia" w:ascii="宋体" w:hAnsi="宋体" w:cs="宋体"/>
          <w:bCs/>
          <w:sz w:val="24"/>
          <w:szCs w:val="21"/>
          <w:highlight w:val="none"/>
          <w:lang w:val="en-US" w:eastAsia="zh-CN"/>
        </w:rPr>
        <w:t>甲方</w:t>
      </w:r>
      <w:r>
        <w:rPr>
          <w:rFonts w:hint="eastAsia" w:ascii="宋体" w:hAnsi="宋体" w:cs="宋体"/>
          <w:bCs/>
          <w:sz w:val="24"/>
          <w:szCs w:val="21"/>
          <w:highlight w:val="none"/>
        </w:rPr>
        <w:t>不再承担其他任何费用。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二、补贴扣除标准</w:t>
      </w:r>
    </w:p>
    <w:p>
      <w:pPr>
        <w:tabs>
          <w:tab w:val="left" w:pos="1403"/>
        </w:tabs>
        <w:ind w:firstLine="640"/>
        <w:rPr>
          <w:rFonts w:ascii="宋体" w:hAnsi="宋体" w:cs="宋体"/>
          <w:bCs/>
          <w:sz w:val="24"/>
          <w:szCs w:val="21"/>
          <w:highlight w:val="none"/>
        </w:rPr>
      </w:pPr>
      <w:r>
        <w:rPr>
          <w:rFonts w:hint="eastAsia" w:ascii="宋体" w:hAnsi="宋体" w:cs="宋体"/>
          <w:bCs/>
          <w:sz w:val="24"/>
          <w:szCs w:val="21"/>
          <w:highlight w:val="none"/>
        </w:rPr>
        <w:t>如经甲方考核，乙方未能完成全部委托经营管理目标，则按照考核办法中确定的原则给予乙方相应违约处罚，其中：乙方完成的演出总场次或者演出类型的各场次，相比年度演出考核目标，A类每减少一场即从运营补贴款中扣除15万元，B类每减少一场即从运营补贴款中扣除10万元，</w:t>
      </w:r>
      <w:r>
        <w:rPr>
          <w:rFonts w:hint="eastAsia" w:ascii="宋体" w:hAnsi="宋体" w:cs="宋体"/>
          <w:bCs/>
          <w:sz w:val="24"/>
          <w:szCs w:val="21"/>
          <w:highlight w:val="none"/>
          <w:lang w:val="en-US" w:eastAsia="zh-CN"/>
        </w:rPr>
        <w:t>甲方</w:t>
      </w:r>
      <w:r>
        <w:rPr>
          <w:rFonts w:hint="eastAsia" w:ascii="宋体" w:hAnsi="宋体" w:cs="宋体"/>
          <w:bCs/>
          <w:sz w:val="24"/>
          <w:szCs w:val="21"/>
          <w:highlight w:val="none"/>
        </w:rPr>
        <w:t>有权在下一年向</w:t>
      </w:r>
      <w:r>
        <w:rPr>
          <w:rFonts w:hint="eastAsia" w:ascii="宋体" w:hAnsi="宋体" w:cs="宋体"/>
          <w:bCs/>
          <w:sz w:val="24"/>
          <w:szCs w:val="21"/>
          <w:highlight w:val="none"/>
          <w:lang w:eastAsia="zh-CN"/>
        </w:rPr>
        <w:t>乙方</w:t>
      </w:r>
      <w:r>
        <w:rPr>
          <w:rFonts w:hint="eastAsia" w:ascii="宋体" w:hAnsi="宋体" w:cs="宋体"/>
          <w:bCs/>
          <w:sz w:val="24"/>
          <w:szCs w:val="21"/>
          <w:highlight w:val="none"/>
        </w:rPr>
        <w:t>支付的运营补贴中直接扣除。</w:t>
      </w:r>
    </w:p>
    <w:p>
      <w:pPr>
        <w:tabs>
          <w:tab w:val="left" w:pos="1403"/>
        </w:tabs>
        <w:rPr>
          <w:rFonts w:ascii="宋体" w:hAnsi="宋体" w:cs="宋体"/>
          <w:bCs/>
          <w:color w:val="000000"/>
          <w:sz w:val="24"/>
          <w:szCs w:val="21"/>
          <w:highlight w:val="none"/>
        </w:rPr>
      </w:pPr>
    </w:p>
    <w:p>
      <w:pPr>
        <w:pStyle w:val="2"/>
        <w:numPr>
          <w:ilvl w:val="0"/>
          <w:numId w:val="17"/>
        </w:numPr>
        <w:rPr>
          <w:rFonts w:hAnsi="宋体" w:cs="宋体"/>
          <w:sz w:val="24"/>
          <w:szCs w:val="16"/>
          <w:highlight w:val="none"/>
        </w:rPr>
      </w:pPr>
      <w:bookmarkStart w:id="843" w:name="_Toc4918"/>
      <w:r>
        <w:rPr>
          <w:rFonts w:hint="eastAsia" w:hAnsi="宋体" w:cs="宋体"/>
          <w:sz w:val="24"/>
          <w:szCs w:val="16"/>
          <w:highlight w:val="none"/>
        </w:rPr>
        <w:t>运营筹备工作</w:t>
      </w:r>
      <w:bookmarkEnd w:id="843"/>
    </w:p>
    <w:p>
      <w:pPr>
        <w:numPr>
          <w:ilvl w:val="0"/>
          <w:numId w:val="20"/>
        </w:numPr>
        <w:tabs>
          <w:tab w:val="left" w:pos="1403"/>
        </w:tabs>
        <w:ind w:left="120" w:firstLine="480" w:firstLineChars="200"/>
        <w:rPr>
          <w:rFonts w:ascii="宋体" w:hAnsi="宋体" w:cs="宋体"/>
          <w:bCs/>
          <w:sz w:val="24"/>
          <w:szCs w:val="21"/>
          <w:highlight w:val="none"/>
        </w:rPr>
      </w:pPr>
      <w:r>
        <w:rPr>
          <w:rFonts w:hint="eastAsia" w:ascii="宋体" w:hAnsi="宋体" w:cs="宋体"/>
          <w:bCs/>
          <w:sz w:val="24"/>
          <w:szCs w:val="21"/>
          <w:highlight w:val="none"/>
        </w:rPr>
        <w:t>合同签署后，由乙方在剧院所在地组建专业剧院管理团队，具体负责顺义大剧院的开业筹备及日常运营管理。</w:t>
      </w:r>
    </w:p>
    <w:p>
      <w:pPr>
        <w:numPr>
          <w:ilvl w:val="0"/>
          <w:numId w:val="20"/>
        </w:numPr>
        <w:tabs>
          <w:tab w:val="left" w:pos="1403"/>
        </w:tabs>
        <w:ind w:left="120" w:firstLine="480" w:firstLineChars="200"/>
        <w:rPr>
          <w:rFonts w:ascii="宋体" w:hAnsi="宋体" w:cs="宋体"/>
          <w:bCs/>
          <w:sz w:val="24"/>
          <w:szCs w:val="21"/>
          <w:highlight w:val="none"/>
        </w:rPr>
      </w:pPr>
      <w:r>
        <w:rPr>
          <w:rFonts w:hint="eastAsia" w:ascii="宋体" w:hAnsi="宋体" w:cs="宋体"/>
          <w:bCs/>
          <w:sz w:val="24"/>
          <w:szCs w:val="21"/>
          <w:highlight w:val="none"/>
        </w:rPr>
        <w:t>乙方委派的经营负责人（总经理）应当经验丰富、能力强、作风严谨，乙方委派至顺义大剧院的高管人员应征得甲方同意。总经理确定后，未经甲方同意不得随意撤换。甲方认为乙方委派的总经理不称职的，有权要求乙方予以更换，乙方应在收到甲方书面通知后一个月内更换符合甲方要求的总经理人选。</w:t>
      </w:r>
    </w:p>
    <w:p>
      <w:pPr>
        <w:numPr>
          <w:ilvl w:val="0"/>
          <w:numId w:val="20"/>
        </w:numPr>
        <w:tabs>
          <w:tab w:val="left" w:pos="1403"/>
        </w:tabs>
        <w:ind w:left="120" w:firstLine="480" w:firstLineChars="200"/>
        <w:rPr>
          <w:rFonts w:ascii="宋体" w:hAnsi="宋体" w:cs="宋体"/>
          <w:bCs/>
          <w:sz w:val="24"/>
          <w:szCs w:val="21"/>
          <w:highlight w:val="none"/>
        </w:rPr>
      </w:pPr>
      <w:r>
        <w:rPr>
          <w:rFonts w:hint="eastAsia" w:ascii="宋体" w:hAnsi="宋体" w:cs="宋体"/>
          <w:bCs/>
          <w:sz w:val="24"/>
          <w:szCs w:val="21"/>
          <w:highlight w:val="none"/>
        </w:rPr>
        <w:t>乙方在合同签订后大剧院开业前制定《顺义大剧院管理规范》，在运营后的六个月内应针对顺义大剧院的具体特点调整完善《顺义大剧院管理规范》并报甲方备案，包括但不限于以下内容，经甲方审查书面同意后，予以组织实施。</w:t>
      </w:r>
    </w:p>
    <w:p>
      <w:pPr>
        <w:tabs>
          <w:tab w:val="left" w:pos="1403"/>
        </w:tabs>
        <w:ind w:firstLine="480" w:firstLineChars="200"/>
        <w:outlineLvl w:val="1"/>
        <w:rPr>
          <w:rFonts w:ascii="宋体" w:hAnsi="宋体" w:cs="宋体"/>
          <w:bCs/>
          <w:sz w:val="24"/>
          <w:szCs w:val="21"/>
          <w:highlight w:val="none"/>
        </w:rPr>
      </w:pPr>
      <w:bookmarkStart w:id="844" w:name="_Toc32229"/>
      <w:r>
        <w:rPr>
          <w:rFonts w:hint="eastAsia" w:ascii="宋体" w:hAnsi="宋体" w:cs="宋体"/>
          <w:bCs/>
          <w:sz w:val="24"/>
          <w:szCs w:val="21"/>
          <w:highlight w:val="none"/>
        </w:rPr>
        <w:t>（一）业务运作规范</w:t>
      </w:r>
      <w:bookmarkEnd w:id="844"/>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1、演出策划运作制度；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2、宣传推介运作制度；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3、市场营销运作制度；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4、演职人员管理规定；</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5、观众须知；</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6、演出项目（业务接待）管理制度；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7、音响专业（包括：主扩声系统、视频监控系统）工作程序和规范；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8、灯光专业（包括：灯光控制台、调光控制台、舞台灯具、电影放映机、字幕机等灯光专业设备）操作程序和规范；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9、舞台机械专业（包括：主升降台、乐池、转台、大幕、侧台、防火幕、电源开关柜、控制柜、电动吊杆、手动吊杆等舞台机械）操作程序和规范；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10、票务销售（包括：电脑售票系统、演出票券管理、会员购票预定管理、票务推广）工作程序和规范；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11、演出设备（包括：机械、音响、灯光、钢琴等设备）检修保养制度；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12、演出服务（包括：剧场服务、贵实厅服务、后台服务）工作程序与规范；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13、钢琴、乐队谱架、乐队平台工作程序与规范；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14、装台、演出、卸台工作程序和规范；</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15、演出设备、场地租借管理制度。</w:t>
      </w:r>
    </w:p>
    <w:p>
      <w:pPr>
        <w:tabs>
          <w:tab w:val="left" w:pos="1403"/>
        </w:tabs>
        <w:ind w:firstLine="480" w:firstLineChars="200"/>
        <w:outlineLvl w:val="1"/>
        <w:rPr>
          <w:rFonts w:ascii="宋体" w:hAnsi="宋体" w:cs="宋体"/>
          <w:bCs/>
          <w:sz w:val="24"/>
          <w:szCs w:val="21"/>
          <w:highlight w:val="none"/>
        </w:rPr>
      </w:pPr>
      <w:bookmarkStart w:id="845" w:name="_Toc1048"/>
      <w:r>
        <w:rPr>
          <w:rFonts w:hint="eastAsia" w:ascii="宋体" w:hAnsi="宋体" w:cs="宋体"/>
          <w:bCs/>
          <w:sz w:val="24"/>
          <w:szCs w:val="21"/>
          <w:highlight w:val="none"/>
        </w:rPr>
        <w:t>（二）内部管理制度</w:t>
      </w:r>
      <w:bookmarkEnd w:id="845"/>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1、员工守则；</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2、工作人员岗位职责；</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3、人事管理制度；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4、财务管理制度；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5、工资福利制度；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6、培训考核制度；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7、考勤管理制度；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8、检查讲评制度；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9、工作奖惩制度；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10、档案管理制度；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11、观众满意程度指标和检测制度；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12、财产安全、拾获物品、重要部位、演职人员出入口等管理规定；</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13、剧院消防安全管理制度；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14、应急预案；</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15、建筑物及其附属设施保修保养管理办法；</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16、观众投诉处理管理办法；</w:t>
      </w:r>
    </w:p>
    <w:p>
      <w:pPr>
        <w:tabs>
          <w:tab w:val="left" w:pos="1403"/>
        </w:tabs>
        <w:ind w:firstLine="480" w:firstLineChars="200"/>
        <w:rPr>
          <w:rFonts w:ascii="宋体" w:hAnsi="宋体" w:cs="宋体"/>
          <w:bCs/>
          <w:sz w:val="24"/>
          <w:szCs w:val="21"/>
          <w:highlight w:val="none"/>
        </w:rPr>
      </w:pPr>
    </w:p>
    <w:p>
      <w:pPr>
        <w:pStyle w:val="2"/>
        <w:numPr>
          <w:ilvl w:val="0"/>
          <w:numId w:val="17"/>
        </w:numPr>
        <w:rPr>
          <w:rFonts w:hAnsi="宋体" w:cs="宋体"/>
          <w:sz w:val="24"/>
          <w:szCs w:val="16"/>
          <w:highlight w:val="none"/>
        </w:rPr>
      </w:pPr>
      <w:bookmarkStart w:id="846" w:name="_Toc13230"/>
      <w:r>
        <w:rPr>
          <w:rFonts w:hint="eastAsia" w:hAnsi="宋体" w:cs="宋体"/>
          <w:sz w:val="24"/>
          <w:szCs w:val="16"/>
          <w:highlight w:val="none"/>
        </w:rPr>
        <w:t>资产管理</w:t>
      </w:r>
      <w:bookmarkEnd w:id="846"/>
    </w:p>
    <w:p>
      <w:pPr>
        <w:numPr>
          <w:ilvl w:val="0"/>
          <w:numId w:val="21"/>
        </w:numPr>
        <w:tabs>
          <w:tab w:val="left" w:pos="1403"/>
        </w:tabs>
        <w:ind w:firstLine="480" w:firstLineChars="200"/>
        <w:outlineLvl w:val="1"/>
        <w:rPr>
          <w:rFonts w:ascii="宋体" w:hAnsi="宋体" w:cs="宋体"/>
          <w:bCs/>
          <w:sz w:val="24"/>
          <w:szCs w:val="21"/>
          <w:highlight w:val="none"/>
        </w:rPr>
      </w:pPr>
      <w:bookmarkStart w:id="847" w:name="_Toc24463"/>
      <w:r>
        <w:rPr>
          <w:rFonts w:hint="eastAsia" w:ascii="宋体" w:hAnsi="宋体" w:cs="宋体"/>
          <w:bCs/>
          <w:sz w:val="24"/>
          <w:szCs w:val="21"/>
          <w:highlight w:val="none"/>
        </w:rPr>
        <w:t>物业管理</w:t>
      </w:r>
      <w:bookmarkEnd w:id="847"/>
    </w:p>
    <w:p>
      <w:pPr>
        <w:numPr>
          <w:ilvl w:val="0"/>
          <w:numId w:val="22"/>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顺义大剧院所属范围内的剧院、观众席、化妆间、办公室、会议室、排练厅、贵宾室、公共空间以及剧院舞台设施设备，均由乙方负责物业管理（保安）工作，全部费用由乙方承担，剧院物业管理（工程方面）由顺义区文化中心大物业负责并承担费用，具体包含大剧院消防、电梯、水、强弱电、燃气、空调制冷、热力采暖、智能化系统、通讯供应、发电机组等建筑物通用设备，需要服从乙方统一管理和工作安排，双方另有约定的除外，</w:t>
      </w:r>
      <w:r>
        <w:rPr>
          <w:rFonts w:hint="eastAsia" w:ascii="宋体" w:hAnsi="宋体" w:cs="宋体"/>
          <w:sz w:val="24"/>
          <w:szCs w:val="21"/>
          <w:highlight w:val="none"/>
        </w:rPr>
        <w:t>具体经营范围以双方确认的顺义大剧院平面图红线及明细为准。</w:t>
      </w:r>
    </w:p>
    <w:p>
      <w:pPr>
        <w:numPr>
          <w:ilvl w:val="0"/>
          <w:numId w:val="22"/>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乙方的物业管理必须达到高水平、高标准，确保大剧院建筑物、构筑物相应空间及所属配套设备设施的物理状态完好、功能正常并能有效使用，环境整洁优美，空间通常有序，始终保持顺义大剧院的良好形象、高雅的艺术氛围和广泛的社会影响力，使甲方满意、消费者满意、公众满意；</w:t>
      </w:r>
    </w:p>
    <w:p>
      <w:pPr>
        <w:numPr>
          <w:ilvl w:val="0"/>
          <w:numId w:val="22"/>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如乙方拟就上述物业管理工作对外委托第三方实施专业管理，须事先征得甲方书面同意，乙方应选择有资质的专业机构实施专业管理，甲方有权予以监督。对最终确定的专业机构乙方应在三日内向甲方报备。但甲方接受乙方的报备，并不视为同意乙方转让其在本合同项下的相应权利义务，该专业公司的履约行为可视为乙方的履约行为，乙方须对其行为及产生的法律责任，承担连带责任。</w:t>
      </w:r>
    </w:p>
    <w:p>
      <w:pPr>
        <w:numPr>
          <w:ilvl w:val="0"/>
          <w:numId w:val="21"/>
        </w:numPr>
        <w:tabs>
          <w:tab w:val="left" w:pos="1403"/>
        </w:tabs>
        <w:ind w:firstLine="480" w:firstLineChars="200"/>
        <w:outlineLvl w:val="1"/>
        <w:rPr>
          <w:rFonts w:ascii="宋体" w:hAnsi="宋体" w:cs="宋体"/>
          <w:bCs/>
          <w:sz w:val="24"/>
          <w:szCs w:val="21"/>
          <w:highlight w:val="none"/>
        </w:rPr>
      </w:pPr>
      <w:bookmarkStart w:id="848" w:name="_Toc26734"/>
      <w:r>
        <w:rPr>
          <w:rFonts w:hint="eastAsia" w:ascii="宋体" w:hAnsi="宋体" w:cs="宋体"/>
          <w:bCs/>
          <w:sz w:val="24"/>
          <w:szCs w:val="21"/>
          <w:highlight w:val="none"/>
        </w:rPr>
        <w:t>能源费及其他费用</w:t>
      </w:r>
      <w:bookmarkEnd w:id="848"/>
      <w:r>
        <w:rPr>
          <w:rFonts w:hint="eastAsia" w:ascii="宋体" w:hAnsi="宋体" w:cs="宋体"/>
          <w:bCs/>
          <w:sz w:val="24"/>
          <w:szCs w:val="21"/>
          <w:highlight w:val="none"/>
        </w:rPr>
        <w:t xml:space="preserve">                   </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乙方经营过程中产生的能源费，包括但不限于水费、电费、燃气费（如有）、供暖费、制冷费等，按照独立的计量器具，根据顺义区的缴费标准由乙方自行缴纳。乙方应按照《顺义大剧院管理规范》相关规定进行能耗管理，并做到勤俭节约，拒绝浪费。</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（二）依据国家或地方的有关规定，应当由经营方缴纳的其他费用，乙方应在规定的期限内自行向有关部门缴纳；</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（三）如乙方逾期缴纳上述费用导致的一切法律后果，由乙方自行承担。</w:t>
      </w:r>
    </w:p>
    <w:p>
      <w:pPr>
        <w:tabs>
          <w:tab w:val="left" w:pos="1403"/>
        </w:tabs>
        <w:ind w:firstLine="480" w:firstLineChars="200"/>
        <w:outlineLvl w:val="1"/>
        <w:rPr>
          <w:rFonts w:ascii="宋体" w:hAnsi="宋体" w:cs="宋体"/>
          <w:bCs/>
          <w:sz w:val="24"/>
          <w:szCs w:val="21"/>
          <w:highlight w:val="none"/>
        </w:rPr>
      </w:pPr>
      <w:bookmarkStart w:id="849" w:name="_Toc13050"/>
      <w:r>
        <w:rPr>
          <w:rFonts w:hint="eastAsia" w:ascii="宋体" w:hAnsi="宋体" w:cs="宋体"/>
          <w:bCs/>
          <w:sz w:val="24"/>
          <w:szCs w:val="21"/>
          <w:highlight w:val="none"/>
        </w:rPr>
        <w:t>三、维护维修责任</w:t>
      </w:r>
      <w:bookmarkEnd w:id="849"/>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（一）经营标的范围顺义大剧院内舞台相关设备设施的日常维护保养由乙方负责并承担费用；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乙方根据舞台设备设施使用、维护、保养周期的技术规范要求及实际要求，负责对舞台设备设施进行日常维护、日常维修、综合保养及大修，确保舞台设备设施的完好、安全和功能的正常。维护保养项目包括但不限于以下内容：</w:t>
      </w:r>
    </w:p>
    <w:p>
      <w:pPr>
        <w:numPr>
          <w:ilvl w:val="0"/>
          <w:numId w:val="23"/>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日常维护：乙方负责舞台机械、音视频系统、灯光等专用设备，乐器、乐队平台、大幕等舞台专用设施，进行日常检修、维护和保养，发现问题及时解决，保持舞台设备设施的完好使用，产生的费用由乙方承担；</w:t>
      </w:r>
    </w:p>
    <w:p>
      <w:pPr>
        <w:numPr>
          <w:ilvl w:val="0"/>
          <w:numId w:val="23"/>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日常检修：乙方应依据舞台设施设备的使用规定，定期对舞台设备设施进行全面系统的检测维修，保持设备设施的安全稳定；</w:t>
      </w:r>
    </w:p>
    <w:p>
      <w:pPr>
        <w:numPr>
          <w:ilvl w:val="0"/>
          <w:numId w:val="23"/>
        </w:num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综合保养：在各类设备设施超出厂房承诺的保修期后，乙方要严格按照舞台设备设施的运行使用规范要求，在不同年限分别进行综合保养，对系统进行全面的检测调试，确保舞台设备设施的使用功能长期处于良好状态；</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4、大修：大修主要指大剧院重要设备设施超出厂方承诺的保修期后，按照国家、行业标准或设备设施的运行使用规范，需要进行系统大修或在正常使用中发生自然损失，将影响系统设备的正常运行，需要进行专项大修的，由乙方按年度提出大修计划和费用预算，经甲方评估、区财政局审批后拨付大修资金，由甲方负责大修事宜并支付大修费用，乙方配合实施。</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w:t>
      </w:r>
      <w:r>
        <w:rPr>
          <w:rFonts w:hint="eastAsia" w:ascii="宋体" w:hAnsi="宋体" w:cs="宋体"/>
          <w:bCs/>
          <w:color w:val="000000"/>
          <w:sz w:val="24"/>
          <w:szCs w:val="21"/>
          <w:highlight w:val="none"/>
        </w:rPr>
        <w:t>因乙方过失或过错所导致的大修，费用应由乙方承担；由演出单位或其他第三方原因所导致的大修，乙方应自担费用予以维修，并有权向责任方进行索赔；属于保险理赔范围内的，可通过保险公司解决。</w:t>
      </w:r>
      <w:r>
        <w:rPr>
          <w:rFonts w:hint="eastAsia" w:ascii="宋体" w:hAnsi="宋体" w:cs="宋体"/>
          <w:bCs/>
          <w:color w:val="0000FF"/>
          <w:sz w:val="24"/>
          <w:szCs w:val="21"/>
          <w:highlight w:val="none"/>
        </w:rPr>
        <w:t xml:space="preserve"> </w:t>
      </w:r>
      <w:r>
        <w:rPr>
          <w:rFonts w:hint="eastAsia" w:ascii="宋体" w:hAnsi="宋体" w:cs="宋体"/>
          <w:bCs/>
          <w:color w:val="0000FF"/>
          <w:sz w:val="24"/>
          <w:szCs w:val="21"/>
          <w:highlight w:val="none"/>
        </w:rPr>
        <w:br w:type="textWrapping"/>
      </w:r>
      <w:r>
        <w:rPr>
          <w:rFonts w:hint="eastAsia" w:ascii="宋体" w:hAnsi="宋体" w:cs="宋体"/>
          <w:bCs/>
          <w:sz w:val="24"/>
          <w:szCs w:val="21"/>
          <w:highlight w:val="none"/>
        </w:rPr>
        <w:t xml:space="preserve">    （三）舞台相关重要设施设备的维护保养及维修，乙方必须使用该设施设备同品牌的专业维护商；委托维护保养维修的合同应送甲方备案一份。乙方不使用同品牌专业维护商的，甲方有权自行委托，费用自下一笔应付乙方委托经营管理费用中扣除；</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四）委托经营期内，甲方有权随时检查资产的使用情况，如发现委托乙方经营管理的任何部分存在损坏、损毁（除自然损耗外）时，应向乙方发出书面通知。在甲方书面通知发出后的七（7）日内（在特殊情况下，双方可协商另一个时限），乙方应完成上述维修。如乙方在期限内没有完成上述维修，则甲方或甲方之授权人有权对该部分进行上述维修，所需费用由乙方承担。乙方不承担的，甲方有权自下一笔应付乙方委托经营管理费用中扣除；</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（五）若因乙方原因导致经营标的的资产遭到损坏、损毁，乙方应及时负责修复并自行承担全部费用；</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（六）若因第三方原因导致经营标的的资产收到损坏、损毁，乙方应自担费用予以维修，并有权向责任方进行索赔，属于保险理赔范围内，可通过保险公司解决；</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（七）自试运营之日起，乙方的所有资产管理工作必须有计划，保留记录，建立台账。自正式运营之日起，每六个月过后的十个工作日内，向甲方提交一套包括计划、记录在内的所有资产管理工作的书面材料。</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四、资产使用要求</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（一）未经甲方同意，乙方不得在上述经营标的范围内进行任何的增建、扩建、改建或者装修工程（包括但不限于内部装修、分隔，以及安装、拆卸、改造、更换、增加任何设备或装置）；</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（二）如经得甲方同意后，乙方在开始任何工程前，该工程的设计图纸必须取得甲方事先书面同意，并征得所有必要的政府有关部门的书面同意或批准；</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三）乙方的任何工程若对经营标的的消防喷淋系统、空调系统、给排水系统、电讯系统、电梯系统或其他可能影响该物业任何机电系统或主体结构的工程进行任何修改或重做，该工程必须经甲方同意并由甲方书面指定的承包商承办并且由此而引起的一切费用应由乙方负担；</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（四）乙方如果进行任何工程，应在工程前，均需自费为此工程期间可能遇到的风险向保险公司购买保险。保险要求见本合同第九条。</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五、资产返还状态</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一）除双方同意续签合同外，乙方应在本合同到期日后30日内或本合同提前终止后30日内，将经营标的范围内的所有资产，在于原状一致（四（二）条约定情形除外）下，交还甲方（合同期内的自然损耗除外），同时完成财务交接和全部资料移交，乙方结清其应当承担的全部费用。期间，乙方应配合顺义大剧院后续经营管理工作的正常进行，保证其不受交接的影响</w:t>
      </w:r>
      <w:r>
        <w:rPr>
          <w:rFonts w:hint="eastAsia" w:ascii="宋体" w:hAnsi="宋体" w:cs="宋体"/>
          <w:bCs/>
          <w:sz w:val="24"/>
          <w:szCs w:val="21"/>
          <w:highlight w:val="none"/>
          <w:lang w:eastAsia="zh-CN"/>
        </w:rPr>
        <w:t>；</w:t>
      </w:r>
      <w:r>
        <w:rPr>
          <w:rFonts w:hint="eastAsia" w:ascii="宋体" w:hAnsi="宋体" w:cs="宋体"/>
          <w:bCs/>
          <w:sz w:val="24"/>
          <w:szCs w:val="21"/>
          <w:highlight w:val="none"/>
        </w:rPr>
        <w:t xml:space="preserve"> </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二）合同期满后，乙方增设、添附的任何物品、设施设备，凡固定于建筑物不可拆卸的，均归甲方所有，乙方不得拆卸带走;在约定的交接期满后，任何乙方遗留的物品均视为乙方放弃权利，甲方有权自行处置，乙方对此不得提出异议，也不得追究甲方责任和要求甲方赔偿;</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 xml:space="preserve">（三）若乙方未按上述约定的状态将该资产返还予甲方，甲方有权自行对该资产作出合适的修缮，因此而引起的一切开支及费用由乙方负担; </w:t>
      </w:r>
    </w:p>
    <w:p>
      <w:pPr>
        <w:tabs>
          <w:tab w:val="left" w:pos="1403"/>
        </w:tabs>
        <w:rPr>
          <w:rFonts w:ascii="宋体" w:hAnsi="宋体" w:cs="宋体"/>
          <w:bCs/>
          <w:sz w:val="24"/>
          <w:szCs w:val="21"/>
          <w:highlight w:val="none"/>
        </w:rPr>
      </w:pPr>
      <w:r>
        <w:rPr>
          <w:rFonts w:hint="eastAsia" w:ascii="宋体" w:hAnsi="宋体" w:cs="宋体"/>
          <w:bCs/>
          <w:sz w:val="24"/>
          <w:szCs w:val="21"/>
          <w:highlight w:val="none"/>
        </w:rPr>
        <w:t xml:space="preserve">    （四）若乙方未按约定的时间将该经营标的范围内的资产返还甲方，每延迟一日，应向甲方承担5万元的违约金。  </w:t>
      </w:r>
      <w:r>
        <w:rPr>
          <w:rFonts w:hint="eastAsia" w:ascii="宋体" w:hAnsi="宋体" w:cs="宋体"/>
          <w:bCs/>
          <w:color w:val="0000FF"/>
          <w:sz w:val="24"/>
          <w:szCs w:val="21"/>
          <w:highlight w:val="none"/>
        </w:rPr>
        <w:t xml:space="preserve">    </w:t>
      </w:r>
      <w:r>
        <w:rPr>
          <w:rFonts w:hint="eastAsia" w:ascii="宋体" w:hAnsi="宋体" w:cs="宋体"/>
          <w:bCs/>
          <w:color w:val="0000FF"/>
          <w:sz w:val="24"/>
          <w:szCs w:val="21"/>
          <w:highlight w:val="none"/>
        </w:rPr>
        <w:br w:type="textWrapping"/>
      </w:r>
    </w:p>
    <w:p>
      <w:pPr>
        <w:pStyle w:val="2"/>
        <w:numPr>
          <w:ilvl w:val="0"/>
          <w:numId w:val="17"/>
        </w:numPr>
        <w:rPr>
          <w:rFonts w:hAnsi="宋体" w:cs="宋体"/>
          <w:sz w:val="24"/>
          <w:szCs w:val="16"/>
          <w:highlight w:val="none"/>
        </w:rPr>
      </w:pPr>
      <w:bookmarkStart w:id="850" w:name="_Toc17359"/>
      <w:r>
        <w:rPr>
          <w:rFonts w:hint="eastAsia" w:hAnsi="宋体" w:cs="宋体"/>
          <w:sz w:val="24"/>
          <w:szCs w:val="16"/>
          <w:highlight w:val="none"/>
        </w:rPr>
        <w:t>知识产权</w:t>
      </w:r>
      <w:bookmarkEnd w:id="850"/>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甲方对“顺义大剧院”的全部无形资产拥有所有权。一切与“顺义大剧院”有关的知识产权，包括但不限于由甲方所有以及在本合同有效期内新产生的命名权、摄影和模型制作的许可权、著作权、商标权、专利权、名称权等知识产权，均归甲方所有。乙方同意，除经过甲方的事先书面同意外，乙方不会使用甲方的知识产权，并且乙方经甲方同意对知识产权的任何使用以及与该使用相关商誉中产生的利益归甲方所有。乙方确认其不会违反本合同约定来获取与知识产权相关的利益。基于本合同而产生的的任何工作成果均应被视为“受雇用工作成果”，由甲方独占拥有，双方另有约定的除外。</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二、乙方根据经营管理的需要，可向甲方提出知识产权许可使用请求，由双方签订书面知识产权许可使用合同。</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根据甲方的授权，在本合同履行期内，乙方可以印刷、制作、销售、发放含有“顺义大剧院”等字样名称的印刷品、纪念品、广告宣传品以及其他物品，但需事先将式样、数量向甲方报备。</w:t>
      </w:r>
      <w:r>
        <w:rPr>
          <w:rFonts w:hint="eastAsia" w:ascii="宋体" w:hAnsi="宋体" w:cs="宋体"/>
          <w:bCs/>
          <w:sz w:val="24"/>
          <w:szCs w:val="21"/>
          <w:highlight w:val="none"/>
        </w:rPr>
        <w:br w:type="textWrapping"/>
      </w:r>
      <w:r>
        <w:rPr>
          <w:rFonts w:hint="eastAsia" w:ascii="宋体" w:hAnsi="宋体" w:cs="宋体"/>
          <w:bCs/>
          <w:sz w:val="24"/>
          <w:szCs w:val="21"/>
          <w:highlight w:val="none"/>
        </w:rPr>
        <w:t xml:space="preserve">    三、乙方不得超出甲方许可的范围和时限使用“顺义大剧院”的相关知识产权；不得有任何被认为属侵犯“顺义大剧院”等相关知识产权的行为；乙方超出甲方委托授权范围和时限使用“顺义大剧院”知识产权的，甲方有权要求乙方立即纠正，乙方不予纠正的，甲方可要求乙方应按照3万元/次向甲方承担违约金。</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四、乙方举办的演出活动，不得存在任何侵犯第三方知识产权的行为，如有发生，应由乙方承担全部法律及赔偿责任，并承担由此给甲方造成的经济损失以及消除对甲方造成的影响。</w:t>
      </w:r>
    </w:p>
    <w:p>
      <w:pPr>
        <w:tabs>
          <w:tab w:val="left" w:pos="1403"/>
        </w:tabs>
        <w:ind w:firstLine="480" w:firstLineChars="200"/>
        <w:rPr>
          <w:rFonts w:ascii="宋体" w:hAnsi="宋体" w:cs="宋体"/>
          <w:bCs/>
          <w:sz w:val="24"/>
          <w:szCs w:val="21"/>
          <w:highlight w:val="none"/>
        </w:rPr>
      </w:pPr>
    </w:p>
    <w:p>
      <w:pPr>
        <w:pStyle w:val="2"/>
        <w:numPr>
          <w:ilvl w:val="0"/>
          <w:numId w:val="17"/>
        </w:numPr>
        <w:rPr>
          <w:rFonts w:hAnsi="宋体" w:cs="宋体"/>
          <w:sz w:val="24"/>
          <w:szCs w:val="16"/>
          <w:highlight w:val="none"/>
        </w:rPr>
      </w:pPr>
      <w:bookmarkStart w:id="851" w:name="_Toc8209"/>
      <w:r>
        <w:rPr>
          <w:rFonts w:hint="eastAsia" w:hAnsi="宋体" w:cs="宋体"/>
          <w:sz w:val="24"/>
          <w:szCs w:val="16"/>
          <w:highlight w:val="none"/>
        </w:rPr>
        <w:t>保险</w:t>
      </w:r>
      <w:bookmarkEnd w:id="851"/>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一、乙方应在委托经营管理期内，自费投保并维持下列保险：</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（一）乙方在经营标的范围内进行的任何工程，乙方或其承包商需自费投保足额维持建筑及安装工程一切险及第三者责任险，于工程期间不限理赔次数；</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（二）乙方应投保一般公众责任险，包括对第三者人身伤害和财产损害责任；</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（三）乙方应在上述保单中将甲方列为第一顺序的共同被保险人。</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二、乙方应在试运营前将证明其已投保所要求的险种的保险凭证以及任何保险单的续保凭证交给甲方做记录。未经甲方同意，乙方不得擅自撤销或实质性改变保险单的任何内容。</w:t>
      </w:r>
    </w:p>
    <w:p>
      <w:pPr>
        <w:tabs>
          <w:tab w:val="left" w:pos="1403"/>
        </w:tabs>
        <w:ind w:firstLine="480" w:firstLineChars="200"/>
        <w:rPr>
          <w:rFonts w:ascii="宋体" w:hAnsi="宋体" w:cs="宋体"/>
          <w:bCs/>
          <w:color w:val="0000FF"/>
          <w:sz w:val="24"/>
          <w:szCs w:val="21"/>
          <w:highlight w:val="none"/>
        </w:rPr>
      </w:pPr>
      <w:r>
        <w:rPr>
          <w:rFonts w:hint="eastAsia" w:ascii="宋体" w:hAnsi="宋体" w:cs="宋体"/>
          <w:bCs/>
          <w:sz w:val="24"/>
          <w:szCs w:val="21"/>
          <w:highlight w:val="none"/>
        </w:rPr>
        <w:t>三、乙方未按照上述约定购买保险的，甲方有权代为购买或补足，保费自下一笔甲方应付乙方的委托经营管理费用中直接扣除。</w:t>
      </w:r>
    </w:p>
    <w:p>
      <w:pPr>
        <w:pStyle w:val="2"/>
        <w:numPr>
          <w:ilvl w:val="0"/>
          <w:numId w:val="17"/>
        </w:numPr>
        <w:rPr>
          <w:rFonts w:hAnsi="宋体" w:cs="宋体"/>
          <w:sz w:val="24"/>
          <w:szCs w:val="16"/>
          <w:highlight w:val="none"/>
        </w:rPr>
      </w:pPr>
      <w:bookmarkStart w:id="852" w:name="_Toc32377"/>
      <w:r>
        <w:rPr>
          <w:rFonts w:hint="eastAsia" w:hAnsi="宋体" w:cs="宋体"/>
          <w:sz w:val="24"/>
          <w:szCs w:val="16"/>
          <w:highlight w:val="none"/>
        </w:rPr>
        <w:t>甲方权利和义务</w:t>
      </w:r>
      <w:bookmarkEnd w:id="852"/>
    </w:p>
    <w:p>
      <w:pPr>
        <w:tabs>
          <w:tab w:val="left" w:pos="1403"/>
        </w:tabs>
        <w:ind w:firstLine="480" w:firstLineChars="200"/>
        <w:outlineLvl w:val="1"/>
        <w:rPr>
          <w:rFonts w:ascii="宋体" w:hAnsi="宋体" w:cs="宋体"/>
          <w:bCs/>
          <w:sz w:val="24"/>
          <w:szCs w:val="21"/>
          <w:highlight w:val="none"/>
        </w:rPr>
      </w:pPr>
      <w:bookmarkStart w:id="853" w:name="_Toc27500"/>
      <w:r>
        <w:rPr>
          <w:rFonts w:hint="eastAsia" w:ascii="宋体" w:hAnsi="宋体" w:cs="宋体"/>
          <w:bCs/>
          <w:sz w:val="24"/>
          <w:szCs w:val="21"/>
          <w:highlight w:val="none"/>
        </w:rPr>
        <w:t>一、甲方权利</w:t>
      </w:r>
      <w:bookmarkEnd w:id="853"/>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 xml:space="preserve">（一）甲方有权对乙方的经营、管理、服务行为进行监督监管，包括但不限于：审查乙方制定的年度演出经营工作计划和演出计划；审定大剧院的年度财务预决算；审核监督委托经营管理费用使用情况；查看大剧院的票务系统。 </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（二）甲方有权对乙方资金进行监管使用，根据合同规定的考核标准对乙方进行考核；</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（三）甲方有权要求乙方按甲方要求对于剧院资产进行保管，乙方对所有资产经营、管理工作必须有计划，保留记录，建立台帐，方便甲方查阅。</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（四）甲方每年免费使用顺义大剧院场地40天开展非经营性活动。活动应当尽量避开乙方已报送的年度演出计划来安排活动时间，乙方应积极配合安排场地并提供服务。</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（五）有北京市或区级领导光临，或邀请的重要贵宾领导，甲方至少提前一日通知乙方，乙方应根据甲方要求高度重视，配合做好贵宾接待工作。</w:t>
      </w:r>
    </w:p>
    <w:p>
      <w:pPr>
        <w:tabs>
          <w:tab w:val="left" w:pos="1403"/>
        </w:tabs>
        <w:ind w:firstLine="480" w:firstLineChars="200"/>
        <w:outlineLvl w:val="1"/>
        <w:rPr>
          <w:rFonts w:ascii="宋体" w:hAnsi="宋体" w:cs="宋体"/>
          <w:bCs/>
          <w:sz w:val="24"/>
          <w:szCs w:val="21"/>
          <w:highlight w:val="none"/>
        </w:rPr>
      </w:pPr>
      <w:bookmarkStart w:id="854" w:name="_Toc9989"/>
      <w:r>
        <w:rPr>
          <w:rFonts w:hint="eastAsia" w:ascii="宋体" w:hAnsi="宋体" w:cs="宋体"/>
          <w:bCs/>
          <w:sz w:val="24"/>
          <w:szCs w:val="21"/>
          <w:highlight w:val="none"/>
        </w:rPr>
        <w:t>二、甲方义务</w:t>
      </w:r>
      <w:bookmarkEnd w:id="854"/>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（一）负责协助办理大剧院开业所必须的剧院产权证、工程施工竣工、消防验收许可证等手续以及开业所必须的业主方在经营、管理、服务等方面的法律手续；</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（二）负责按合同约定向乙方支付委托经营管理费用；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（三）甲方承诺给予乙方充分的自主经营权，凡属于经营范围内的理应由乙方独立处理的业务，都由乙方自主决定。</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（四）在本合同有效期间，未经甲乙双方协商一致，甲方不得自行将顺义大剧院的经营管理权以任何方式授权、许可给第三方；</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（五）甲方为乙方的经营管理提供便利，向乙方开放经营管理所需的大剧院的相关资料，乙方按甲方的档案管理办法借阅资料，对资料负有保密义务，只能将资料用于顺义大剧院的经营管理，不得另做他用；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（六）顺义大剧院以及建筑物的房产税及城镇土地使用税由甲方承担。</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（七）</w:t>
      </w:r>
      <w:r>
        <w:rPr>
          <w:rFonts w:hint="eastAsia" w:ascii="宋体" w:hAnsi="宋体" w:cs="宋体"/>
          <w:sz w:val="24"/>
          <w:highlight w:val="none"/>
        </w:rPr>
        <w:t>甲方负责政府机关及有关部门在经营管理、宣传推介、行政服务等方面的协调工作：包括配合乙方在运营前的公益形象宣传；协调大剧院周边道路引导标识标牌在符合相关专项规划的情况下设置道路指引及导向标识，以确保在大剧院运营前拥有市民前来观看演出和演出结束后的公共交通线路和公交车站。</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（八）甲方承诺将大剧院的固定资产以及剧院所属的设施设备清点到位并全部移交乙方使用。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（九）甲方负责顺义大剧院所在顺义文化中心大物业（工程）。大剧院外公共区域物业管理和能源费用以及大剧院外的公共区域的保洁、安保、安全、消防、绿化养护等由甲方负责并承担相应费用。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（十）在符合相关法律、政策情况下，甲方积极协调区级相关部门优先购买乙方演出类公共文化服务及政府相关文化节庆赛事艺术节活动。</w:t>
      </w:r>
    </w:p>
    <w:p>
      <w:pPr>
        <w:tabs>
          <w:tab w:val="left" w:pos="1403"/>
        </w:tabs>
        <w:ind w:firstLine="480" w:firstLineChars="200"/>
        <w:rPr>
          <w:rFonts w:ascii="宋体" w:hAnsi="宋体" w:cs="宋体"/>
          <w:bCs/>
          <w:sz w:val="24"/>
          <w:szCs w:val="21"/>
          <w:highlight w:val="none"/>
        </w:rPr>
      </w:pPr>
    </w:p>
    <w:p>
      <w:pPr>
        <w:pStyle w:val="2"/>
        <w:numPr>
          <w:ilvl w:val="0"/>
          <w:numId w:val="17"/>
        </w:numPr>
        <w:rPr>
          <w:rFonts w:hAnsi="宋体" w:cs="宋体"/>
          <w:sz w:val="24"/>
          <w:szCs w:val="16"/>
          <w:highlight w:val="none"/>
        </w:rPr>
      </w:pPr>
      <w:bookmarkStart w:id="855" w:name="_Toc23571"/>
      <w:r>
        <w:rPr>
          <w:rFonts w:hint="eastAsia" w:hAnsi="宋体" w:cs="宋体"/>
          <w:sz w:val="24"/>
          <w:szCs w:val="16"/>
          <w:highlight w:val="none"/>
        </w:rPr>
        <w:t>乙方权利和义务</w:t>
      </w:r>
      <w:bookmarkEnd w:id="855"/>
    </w:p>
    <w:p>
      <w:pPr>
        <w:tabs>
          <w:tab w:val="left" w:pos="1403"/>
        </w:tabs>
        <w:ind w:firstLine="480" w:firstLineChars="200"/>
        <w:outlineLvl w:val="1"/>
        <w:rPr>
          <w:rFonts w:ascii="宋体" w:hAnsi="宋体" w:cs="宋体"/>
          <w:bCs/>
          <w:sz w:val="24"/>
          <w:szCs w:val="21"/>
          <w:highlight w:val="none"/>
        </w:rPr>
      </w:pPr>
      <w:bookmarkStart w:id="856" w:name="_Toc30666"/>
      <w:r>
        <w:rPr>
          <w:rFonts w:hint="eastAsia" w:ascii="宋体" w:hAnsi="宋体" w:cs="宋体"/>
          <w:bCs/>
          <w:sz w:val="24"/>
          <w:szCs w:val="21"/>
          <w:highlight w:val="none"/>
        </w:rPr>
        <w:t>一、乙方权利</w:t>
      </w:r>
      <w:bookmarkEnd w:id="856"/>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（一）根据国家有关法律法规、顺义区政府有关规定及本合同的约定，独立享有和行使顺义大剧院的日常经营管理权，并自行承担经营管理过程中产生的一切法律责任；</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 xml:space="preserve">（二）负责招聘、安排、选拔、考核、辞退顺义大剧院管理项目公司的工作人员；                                                                                                                                                                                                                                                                                                                                                                                                                                                                                                                                                                                                                                                                                                                                                                                                                                                                                                                                                                                                                                                                                                                                                                                                                                                                                                                                                                                                                                                                                                                                                                                                                                                                                                                                                                                                                                                                                                                                                                                                                                                                                                                                                                                                                                                                                                                                                                                                                                                                                                                                                                                                                                                                                                                                                                                                                                                                                                                                                                                                                                                                                                                                                                                                                                                                                                                                                                                                                                                                                                                                                                                                                                                                                                                                                                                                                                                                                                                                                                                                                                                                                                                                                                            </w:t>
      </w:r>
      <w:r>
        <w:rPr>
          <w:rFonts w:hint="eastAsia" w:ascii="宋体" w:hAnsi="宋体" w:cs="宋体"/>
          <w:bCs/>
          <w:sz w:val="24"/>
          <w:szCs w:val="21"/>
          <w:highlight w:val="none"/>
        </w:rPr>
        <w:t xml:space="preserve">                                                                                                                                                                                                                                                                                                                                                                                                                                                                                                                                                                                                                                                                                                                                                                                                                                                                                                                                                                                                                                                                                                                                                                                                                                                                                                                                                                                                                                                                                                                                                                                                                                                                                                                                                                                                                                                                                                                                                                                                                                                                                                                                                                                                                                                                                                                                                                                                                                                                                                                                                                                                                                                                                                                                                                                                                                                                                                                                                                                                                                                                                                                                                                                                                                                                                                                                                                                                                                                                                                                                                                                                                                                                                                                                                                                                                                                                                                                                                                                                                                                                                                                                                                                                                </w:t>
      </w:r>
      <w:r>
        <w:rPr>
          <w:rFonts w:hint="eastAsia" w:ascii="宋体" w:hAnsi="宋体" w:cs="宋体"/>
          <w:bCs/>
          <w:sz w:val="24"/>
          <w:szCs w:val="21"/>
          <w:highlight w:val="none"/>
        </w:rPr>
        <w:t xml:space="preserve">                                                                                                                                                                                                                                                                                                                                                                                                                                                                                                                                                                                                                                                                                                                                                                                                                                                                                                                                                                                                                                                                                                                                                                                                                                                                                                                                                                                                                                                                                                                                                                                                                                                                                                                                                                                                                                                                                                                                                                                                                                                                                                                                                                                                                                                                                                                                                                                                                                                                                                                                                                                                                                                                                                                                                                                                                                                                                                                                                                                                                                                                                                                                                                                                                                                                                                                                                                                                                                                                                                                                                                                                                                                                                                                                                                                                                                                                                                                                                                                                                                                                                                                                                                                                                </w:t>
      </w:r>
      <w:r>
        <w:rPr>
          <w:rFonts w:hint="eastAsia" w:ascii="宋体" w:hAnsi="宋体" w:cs="宋体"/>
          <w:bCs/>
          <w:sz w:val="24"/>
          <w:szCs w:val="21"/>
          <w:highlight w:val="none"/>
        </w:rPr>
        <w:t xml:space="preserve">                                                                                                                                                                                                                                                                                                                                                                                                                                                                                                                                                                                                                                                                                                                                                                                                                                                                                                                                                                                                                                                                                                                                                                                                                                                                                                                                                                                                                                                                                                                                                                                                                                                                                                                                                                                                                                                                                                                                                                                                                                                                                                                                                                                                                                                                                                                                                                                                                                                                                                                                                                                                                                                                                                                                                                                                                                                                                                                                                                                                                                                                                                                                                                                                                                                                                                                                                                                                                                                                                                                                                                                                                                                                                                                                                                                                                                                                                                                                                                                                                                                                                                                                                                                                                </w:t>
      </w:r>
      <w:r>
        <w:rPr>
          <w:rFonts w:hint="eastAsia" w:ascii="宋体" w:hAnsi="宋体" w:cs="宋体"/>
          <w:bCs/>
          <w:sz w:val="24"/>
          <w:szCs w:val="21"/>
          <w:highlight w:val="none"/>
        </w:rPr>
        <w:t xml:space="preserve">                                                                                                                                                                                                                                                                                                                                                                                                                                                                                                                                                                                                                                                                                                                                                                                                                                                                                                                                                                                                                                                                                                                                                                                                                                                                                                                                                                                                                                                                                                                                                                                                                                                                                                                                                                                                                                                                                                                                                                                                                                                                                                                                                                                                                                                                                                                                                                                                                                                                                                                                                                                                                                                                                                                                                                                                                                                                                                                                                                                                                                                                                                                                                                                                                                                                                                                                                                                                                                                                                                                                                                                                                                                                                                                                                                                                                                                                                                                                                                                                    </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（三）享有大剧院经营管理自主权。自签收资产交接单之日起，根据合同的约定，全面负责顺义大剧院的演出经营、全部资产的管理维护等工作；</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（四）本合同履行期间内，由乙方利用自有资金投资添置的可拆卸的开办物资相关设备及办公用品等财产，其所有权归属乙方；</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（五）乙方应根据甲方的需要，参与顺义大剧院有关剧院固定资产的验收工作，并根据甲方提供的验收清单对顺义大剧院资产与甲方进行交接；</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（六）乙方享有顺义区文化中心停车场免费停车的权利，具体数量双方协商而定。</w:t>
      </w:r>
    </w:p>
    <w:p>
      <w:pPr>
        <w:tabs>
          <w:tab w:val="left" w:pos="1403"/>
        </w:tabs>
        <w:ind w:firstLine="480" w:firstLineChars="200"/>
        <w:outlineLvl w:val="1"/>
        <w:rPr>
          <w:rFonts w:ascii="宋体" w:hAnsi="宋体" w:cs="宋体"/>
          <w:bCs/>
          <w:sz w:val="24"/>
          <w:szCs w:val="21"/>
          <w:highlight w:val="none"/>
        </w:rPr>
      </w:pPr>
      <w:bookmarkStart w:id="857" w:name="_Toc23727"/>
      <w:r>
        <w:rPr>
          <w:rFonts w:hint="eastAsia" w:ascii="宋体" w:hAnsi="宋体" w:cs="宋体"/>
          <w:bCs/>
          <w:sz w:val="24"/>
          <w:szCs w:val="21"/>
          <w:highlight w:val="none"/>
        </w:rPr>
        <w:t>二、乙方义务</w:t>
      </w:r>
      <w:bookmarkEnd w:id="857"/>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（一）乙方在履行合同过程中，应确保项目文化安全。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乙方应与参与本项目的工作人员签订劳动合同、并缴纳各项社会保险，如因此发生的一切纠纷均由乙方负责。乙方工作人员花名册应向甲方备案。乙方工作人员发生变动时，应及时将变更人员名册向甲方备案。</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（三）乙方在合同期间须严格遵守国家法律法规、顺义区的有关管理规定以及业主单位的有关管理制度；</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（四）接受甲方的监管，包括安排有关经办人员向甲方如实介绍情况，按甲方要求及时提供有关资料；</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五）在合同约定的范围内依法开展经营管理活动，完成本合同规定的经管管理指标，自行承担顺义大剧院经营管理所产生的一切税费。负责在演出经营期间与当地政府及相关部门（公安、城管、公交等）的协调工作，并承担相关费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六）试运营之前，乙方应自费向政府有关部门取得所有适用法律规定的必需的执照、批准或许可。乙方必须确保该等执照、批准或许可在委托经营管理期间内完全有效，且乙方的经营活动在各主要方面均符合该等执照、批准或许可的规定。乙方保证其经营活动不违反任何适用法律法规；</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七）乙方不得以顺义大剧院的名义对外借款、为自己或他人提供担保或其他负债行为，不得擅自将顺义大剧院的任何资产予以出售或用于担保及其它处分；未经甲方同意，乙方不得擅自改变或调整顺义大剧院及相关配套设施的建筑结构和规划功能；</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（八）未经甲方同意，乙方不得向第三方转让顺义大剧院的经营管理权；</w:t>
      </w:r>
    </w:p>
    <w:p>
      <w:pPr>
        <w:tabs>
          <w:tab w:val="left" w:pos="1403"/>
        </w:tabs>
        <w:ind w:firstLine="480" w:firstLineChars="200"/>
        <w:rPr>
          <w:rFonts w:hint="eastAsia" w:ascii="宋体" w:hAnsi="宋体" w:eastAsia="宋体" w:cs="宋体"/>
          <w:bCs/>
          <w:sz w:val="24"/>
          <w:szCs w:val="21"/>
          <w:highlight w:val="none"/>
          <w:lang w:eastAsia="zh-CN"/>
        </w:rPr>
      </w:pPr>
      <w:r>
        <w:rPr>
          <w:rFonts w:hint="eastAsia" w:ascii="宋体" w:hAnsi="宋体" w:cs="宋体"/>
          <w:bCs/>
          <w:sz w:val="24"/>
          <w:szCs w:val="21"/>
          <w:highlight w:val="none"/>
        </w:rPr>
        <w:t>（九）乙方在整个委托经营管理期内应按照良好的商业惯例勤勉谨慎地经营管理，乙方的任何行为不得对甲方或者顺义大剧院的形象和声誉造成任何不良影响；</w:t>
      </w:r>
      <w:r>
        <w:rPr>
          <w:rFonts w:hint="eastAsia" w:ascii="宋体" w:hAnsi="宋体" w:cs="宋体"/>
          <w:bCs/>
          <w:sz w:val="24"/>
          <w:szCs w:val="21"/>
          <w:highlight w:val="none"/>
          <w:lang w:eastAsia="zh-CN"/>
        </w:rPr>
        <w:t>乙方以顺义大剧院名义进行的任何行为（已授权同意的行为除外），必须先经得甲方书面同意。</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十）乙方不享有顺义大剧院资产的所有权，不得利用顺义大剧院的资产从事委托经营管理范围和权限之外的其他活动;不得在顺义大剧院内组织有损顺义大剧院艺术品位、无助于培育顺义高雅艺术演出市场和观众群体的经营活动;不得在顺义大剧院内从事明显不符合各类物业规划功能的经营活动;</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十一）乙方对甲方承诺：在乙方对顺义大剧院的经营管理活动中，如出现因乙方行为而使甲方受到他人提出的任何索赔纠纷，出现因乙方行为而使甲方受到被国家行政机关采取或拟采取行政处罚、行政强制措施、行政强制执行等行政行为时，均由乙方负责处理并承担全部法律责任，因此而产生的一切费用均由乙方承担，若非乙方原因产生的上述事项，由责任方承担相关赔偿责任;</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十二）乙方在制定顺义大剧院管理团队的人员薪酬制度时，应按照顺义区当地人力市场薪酬水平，并区分基薪、绩效薪进行合理制定。劳动合同应规范、合法，关键岗位和专业技术人员的劳动合同期限应适当放长。</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（十三）乙方应服从甲方的统一管理，对区级重大节会活动，应积极参与配合；</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（十四）乙方应在本合同到期日，将经营标的范围的所有资产交还甲方</w:t>
      </w:r>
      <w:r>
        <w:rPr>
          <w:rFonts w:hint="eastAsia" w:ascii="宋体" w:hAnsi="宋体" w:cs="宋体"/>
          <w:bCs/>
          <w:sz w:val="24"/>
          <w:szCs w:val="21"/>
          <w:highlight w:val="none"/>
          <w:lang w:eastAsia="zh-CN"/>
        </w:rPr>
        <w:t>且保证其功能正常使用。如因资产损坏等导致无法按时移交或无法正常使用，给甲方造成的损失由乙方承担</w:t>
      </w:r>
      <w:r>
        <w:rPr>
          <w:rFonts w:hint="eastAsia" w:ascii="宋体" w:hAnsi="宋体" w:cs="宋体"/>
          <w:bCs/>
          <w:sz w:val="24"/>
          <w:szCs w:val="21"/>
          <w:highlight w:val="none"/>
        </w:rPr>
        <w:t>（合同期内的自然损耗除外）；</w:t>
      </w:r>
    </w:p>
    <w:p>
      <w:pPr>
        <w:tabs>
          <w:tab w:val="left" w:pos="1403"/>
        </w:tabs>
        <w:ind w:firstLine="480" w:firstLineChars="200"/>
        <w:rPr>
          <w:rFonts w:hint="eastAsia"/>
          <w:highlight w:val="none"/>
        </w:rPr>
      </w:pPr>
      <w:r>
        <w:rPr>
          <w:rFonts w:hint="eastAsia" w:ascii="宋体" w:hAnsi="宋体" w:cs="宋体"/>
          <w:bCs/>
          <w:sz w:val="24"/>
          <w:szCs w:val="21"/>
          <w:highlight w:val="none"/>
        </w:rPr>
        <w:t>（十五）乙方承诺为顺义大剧院搭建票务系统。</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lang w:eastAsia="zh-CN"/>
        </w:rPr>
        <w:t>（十六）乙方在运营周期内要确保意识形态安全，如出现意识形态问题乙方负</w:t>
      </w:r>
      <w:r>
        <w:rPr>
          <w:rFonts w:hint="eastAsia" w:ascii="宋体" w:hAnsi="宋体" w:cs="宋体"/>
          <w:bCs/>
          <w:sz w:val="24"/>
          <w:szCs w:val="21"/>
          <w:highlight w:val="none"/>
          <w:lang w:val="en-US" w:eastAsia="zh-CN"/>
        </w:rPr>
        <w:t>完</w:t>
      </w:r>
      <w:r>
        <w:rPr>
          <w:rFonts w:hint="eastAsia" w:ascii="宋体" w:hAnsi="宋体" w:cs="宋体"/>
          <w:bCs/>
          <w:sz w:val="24"/>
          <w:szCs w:val="21"/>
          <w:highlight w:val="none"/>
          <w:lang w:eastAsia="zh-CN"/>
        </w:rPr>
        <w:t>全责任。</w:t>
      </w:r>
      <w:r>
        <w:rPr>
          <w:rFonts w:hint="eastAsia" w:ascii="宋体" w:hAnsi="宋体" w:cs="宋体"/>
          <w:bCs/>
          <w:sz w:val="24"/>
          <w:szCs w:val="21"/>
          <w:highlight w:val="none"/>
        </w:rPr>
        <w:t xml:space="preserve">                                                                                                                                                                                                                                                                                                                                                                                                                                                                                                                                                                                                                                                                                                                                                                                                                                                                                                                                                                                                                                                                                                                                                                                                                                                                                                                                                                                                                                                                                                                                                                                                                                                                                                                                                                                                                                                                                                                                                                                                                                                                                                                                                                                                                                                                                                                                                                                                                                                                                                                                                                                                                                                                                                                                                                                                                                                                                                                                                                                                                                                                                                                                                                                                                                                                                                                                                                                                                                                                                                                                                                                                                                                                                                                                                                                                                                                                                                                                                                                                                                                                                                                                                                                                                </w:t>
      </w:r>
      <w:r>
        <w:rPr>
          <w:rFonts w:hint="eastAsia" w:ascii="宋体" w:hAnsi="宋体" w:cs="宋体"/>
          <w:bCs/>
          <w:sz w:val="24"/>
          <w:szCs w:val="21"/>
          <w:highlight w:val="none"/>
        </w:rPr>
        <w:t xml:space="preserve">                                                                                                                                                                                                                                                                                                                                                                                                                                                                                                                                                                                                                                                                                                                                                                                                                                                                                                                                                                                                                                                                                                                                      </w:t>
      </w:r>
    </w:p>
    <w:p>
      <w:pPr>
        <w:pStyle w:val="2"/>
        <w:numPr>
          <w:ilvl w:val="0"/>
          <w:numId w:val="17"/>
        </w:numPr>
        <w:rPr>
          <w:rFonts w:hAnsi="宋体" w:cs="宋体"/>
          <w:sz w:val="24"/>
          <w:szCs w:val="16"/>
          <w:highlight w:val="none"/>
        </w:rPr>
      </w:pPr>
      <w:bookmarkStart w:id="858" w:name="_Toc3030"/>
      <w:r>
        <w:rPr>
          <w:rFonts w:hint="eastAsia" w:hAnsi="宋体" w:cs="宋体"/>
          <w:sz w:val="24"/>
          <w:szCs w:val="16"/>
          <w:highlight w:val="none"/>
        </w:rPr>
        <w:t>合同解除的条件</w:t>
      </w:r>
      <w:bookmarkEnd w:id="858"/>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一、非因甲乙双方原因而导致该经营标的损毁、灭失或者被鉴定为危险建筑的，本合同解除，双方互不承担违约责任。</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二、该经营标的占用范围内的土地使用权被政府依法提前收回的;</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三、该经营标的因社会公共利益或市政规划变更被依法征用的;</w:t>
      </w:r>
    </w:p>
    <w:p>
      <w:pPr>
        <w:tabs>
          <w:tab w:val="left" w:pos="1403"/>
        </w:tabs>
        <w:ind w:firstLine="480" w:firstLineChars="200"/>
        <w:rPr>
          <w:rFonts w:hint="eastAsia" w:ascii="宋体" w:hAnsi="宋体" w:eastAsia="宋体" w:cs="宋体"/>
          <w:bCs/>
          <w:sz w:val="24"/>
          <w:szCs w:val="21"/>
          <w:highlight w:val="none"/>
          <w:lang w:eastAsia="zh-CN"/>
        </w:rPr>
      </w:pPr>
      <w:r>
        <w:rPr>
          <w:rFonts w:hint="eastAsia" w:ascii="宋体" w:hAnsi="宋体" w:cs="宋体"/>
          <w:bCs/>
          <w:sz w:val="24"/>
          <w:szCs w:val="21"/>
          <w:highlight w:val="none"/>
        </w:rPr>
        <w:t>四、若乙方</w:t>
      </w:r>
      <w:r>
        <w:rPr>
          <w:rFonts w:hint="eastAsia" w:ascii="宋体" w:hAnsi="宋体" w:cs="宋体"/>
          <w:bCs/>
          <w:sz w:val="24"/>
          <w:szCs w:val="21"/>
          <w:highlight w:val="none"/>
          <w:lang w:eastAsia="zh-CN"/>
        </w:rPr>
        <w:t>年度</w:t>
      </w:r>
      <w:r>
        <w:rPr>
          <w:rFonts w:hint="eastAsia" w:ascii="宋体" w:hAnsi="宋体" w:cs="宋体"/>
          <w:bCs/>
          <w:sz w:val="24"/>
          <w:szCs w:val="21"/>
          <w:highlight w:val="none"/>
        </w:rPr>
        <w:t>考核得分低于</w:t>
      </w:r>
      <w:r>
        <w:rPr>
          <w:rFonts w:hint="eastAsia" w:ascii="宋体" w:hAnsi="宋体" w:cs="宋体"/>
          <w:bCs/>
          <w:sz w:val="24"/>
          <w:szCs w:val="21"/>
          <w:highlight w:val="none"/>
          <w:lang w:val="en-US" w:eastAsia="zh-CN"/>
        </w:rPr>
        <w:t>6</w:t>
      </w:r>
      <w:r>
        <w:rPr>
          <w:rFonts w:hint="eastAsia" w:ascii="宋体" w:hAnsi="宋体" w:cs="宋体"/>
          <w:bCs/>
          <w:sz w:val="24"/>
          <w:szCs w:val="21"/>
          <w:highlight w:val="none"/>
        </w:rPr>
        <w:t>0分，甲方有权</w:t>
      </w:r>
      <w:r>
        <w:rPr>
          <w:rFonts w:hint="eastAsia" w:ascii="宋体" w:hAnsi="宋体" w:cs="宋体"/>
          <w:bCs/>
          <w:sz w:val="24"/>
          <w:szCs w:val="21"/>
          <w:highlight w:val="none"/>
          <w:lang w:eastAsia="zh-CN"/>
        </w:rPr>
        <w:t>单方面</w:t>
      </w:r>
      <w:r>
        <w:rPr>
          <w:rFonts w:hint="eastAsia" w:ascii="宋体" w:hAnsi="宋体" w:cs="宋体"/>
          <w:bCs/>
          <w:sz w:val="24"/>
          <w:szCs w:val="21"/>
          <w:highlight w:val="none"/>
        </w:rPr>
        <w:t>解除合同，乙方应配合移交等工作</w:t>
      </w:r>
      <w:r>
        <w:rPr>
          <w:rFonts w:hint="eastAsia" w:ascii="宋体" w:hAnsi="宋体" w:cs="宋体"/>
          <w:bCs/>
          <w:sz w:val="24"/>
          <w:szCs w:val="21"/>
          <w:highlight w:val="none"/>
          <w:lang w:eastAsia="zh-CN"/>
        </w:rPr>
        <w:t>，因此导致的一切经济损失，由乙方自行负担。</w:t>
      </w:r>
    </w:p>
    <w:p>
      <w:pPr>
        <w:pStyle w:val="2"/>
        <w:numPr>
          <w:ilvl w:val="0"/>
          <w:numId w:val="17"/>
        </w:numPr>
        <w:rPr>
          <w:rFonts w:hAnsi="宋体" w:cs="宋体"/>
          <w:sz w:val="24"/>
          <w:szCs w:val="16"/>
          <w:highlight w:val="none"/>
        </w:rPr>
      </w:pPr>
      <w:bookmarkStart w:id="859" w:name="_Toc4880"/>
      <w:r>
        <w:rPr>
          <w:rFonts w:hint="eastAsia" w:hAnsi="宋体" w:cs="宋体"/>
          <w:sz w:val="24"/>
          <w:szCs w:val="16"/>
          <w:highlight w:val="none"/>
        </w:rPr>
        <w:t>违约责任</w:t>
      </w:r>
      <w:bookmarkEnd w:id="859"/>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项目载体只能用于剧场、演出、会议会展、艺教培训等文化艺术相关活动、文化产业项目运营及必要的配套附属服务，未经甲方同意，不得从事与本项目无关的活动。若乙方将项目房屋用作他途，甲方有权提出意见并要求乙方限期整改，整改无效，甲方有权要求乙方承担由此给甲方造成的经济损失。</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（二）在甲方向乙方移交项目载体后，因乙方经营问题而发生重大安全事故的，或乙方有重大违法行为的，乙方应</w:t>
      </w:r>
      <w:r>
        <w:rPr>
          <w:rFonts w:hint="eastAsia" w:ascii="宋体" w:hAnsi="宋体" w:cs="宋体"/>
          <w:bCs/>
          <w:sz w:val="24"/>
          <w:szCs w:val="21"/>
          <w:highlight w:val="none"/>
          <w:lang w:eastAsia="zh-CN"/>
        </w:rPr>
        <w:t>负完全</w:t>
      </w:r>
      <w:r>
        <w:rPr>
          <w:rFonts w:hint="eastAsia" w:ascii="宋体" w:hAnsi="宋体" w:cs="宋体"/>
          <w:bCs/>
          <w:sz w:val="24"/>
          <w:szCs w:val="21"/>
          <w:highlight w:val="none"/>
        </w:rPr>
        <w:t>责任。</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（三）除本协议约定外，本协议双方均不得单方面解除本协议，否则即构成违约行为，由违约方承担由此给守约方造成的经济损失。</w:t>
      </w:r>
    </w:p>
    <w:p>
      <w:pPr>
        <w:tabs>
          <w:tab w:val="left" w:pos="1403"/>
        </w:tabs>
        <w:ind w:firstLine="480" w:firstLineChars="200"/>
        <w:rPr>
          <w:rFonts w:hint="eastAsia" w:ascii="宋体" w:hAnsi="宋体" w:cs="宋体"/>
          <w:bCs/>
          <w:sz w:val="24"/>
          <w:szCs w:val="21"/>
          <w:highlight w:val="none"/>
        </w:rPr>
      </w:pPr>
      <w:r>
        <w:rPr>
          <w:rFonts w:hint="eastAsia" w:ascii="宋体" w:hAnsi="宋体" w:cs="宋体"/>
          <w:bCs/>
          <w:sz w:val="24"/>
          <w:szCs w:val="21"/>
          <w:highlight w:val="none"/>
        </w:rPr>
        <w:t>（四）本协议任何一方违反或没有履行其在本协议中的陈述、保证、义务或责任，即构成违约，守约方有权要求违约方在守约方规定的期限内整改至合格。若整改无效的，守约方有权追究违约方的违约责任，并要求违约方赔偿给守约方造成的全部损失。</w:t>
      </w:r>
    </w:p>
    <w:p>
      <w:pPr>
        <w:tabs>
          <w:tab w:val="left" w:pos="1403"/>
        </w:tabs>
        <w:ind w:firstLine="480" w:firstLineChars="200"/>
        <w:rPr>
          <w:rFonts w:hint="eastAsia" w:ascii="宋体" w:hAnsi="宋体" w:cs="宋体"/>
          <w:bCs/>
          <w:sz w:val="24"/>
          <w:szCs w:val="21"/>
          <w:highlight w:val="none"/>
        </w:rPr>
      </w:pPr>
      <w:r>
        <w:rPr>
          <w:rFonts w:hint="eastAsia" w:ascii="宋体" w:hAnsi="宋体" w:cs="宋体"/>
          <w:bCs/>
          <w:sz w:val="24"/>
          <w:szCs w:val="21"/>
          <w:highlight w:val="none"/>
        </w:rPr>
        <w:t>（</w:t>
      </w:r>
      <w:r>
        <w:rPr>
          <w:rFonts w:hint="eastAsia" w:ascii="宋体" w:hAnsi="宋体" w:cs="宋体"/>
          <w:bCs/>
          <w:sz w:val="24"/>
          <w:szCs w:val="21"/>
          <w:highlight w:val="none"/>
          <w:lang w:val="en-US" w:eastAsia="zh-CN"/>
        </w:rPr>
        <w:t>五</w:t>
      </w:r>
      <w:r>
        <w:rPr>
          <w:rFonts w:hint="eastAsia" w:ascii="宋体" w:hAnsi="宋体" w:cs="宋体"/>
          <w:bCs/>
          <w:sz w:val="24"/>
          <w:szCs w:val="21"/>
          <w:highlight w:val="none"/>
        </w:rPr>
        <w:t>）鉴于项目资金由区财政授权拨付，如因政府相关部门原因致使付款迟延的，不视为甲方违约，甲方不承担责任。</w:t>
      </w:r>
    </w:p>
    <w:p>
      <w:pPr>
        <w:tabs>
          <w:tab w:val="left" w:pos="1403"/>
        </w:tabs>
        <w:ind w:firstLine="480" w:firstLineChars="200"/>
        <w:rPr>
          <w:rFonts w:hint="eastAsia" w:ascii="宋体" w:hAnsi="宋体" w:cs="宋体"/>
          <w:bCs/>
          <w:sz w:val="24"/>
          <w:szCs w:val="21"/>
          <w:highlight w:val="none"/>
        </w:rPr>
      </w:pPr>
      <w:r>
        <w:rPr>
          <w:rFonts w:hint="eastAsia" w:ascii="宋体" w:hAnsi="宋体" w:cs="宋体"/>
          <w:bCs/>
          <w:sz w:val="24"/>
          <w:szCs w:val="21"/>
          <w:highlight w:val="none"/>
        </w:rPr>
        <w:t>（</w:t>
      </w:r>
      <w:r>
        <w:rPr>
          <w:rFonts w:hint="eastAsia" w:ascii="宋体" w:hAnsi="宋体" w:cs="宋体"/>
          <w:bCs/>
          <w:sz w:val="24"/>
          <w:szCs w:val="21"/>
          <w:highlight w:val="none"/>
          <w:lang w:val="en-US" w:eastAsia="zh-CN"/>
        </w:rPr>
        <w:t>六</w:t>
      </w:r>
      <w:r>
        <w:rPr>
          <w:rFonts w:hint="eastAsia" w:ascii="宋体" w:hAnsi="宋体" w:cs="宋体"/>
          <w:bCs/>
          <w:sz w:val="24"/>
          <w:szCs w:val="21"/>
          <w:highlight w:val="none"/>
        </w:rPr>
        <w:t>）乙方不因付款时间的迟延影响乙方履行合同义务的质量及时间节点，否则甲方可向乙方主张违约责任。</w:t>
      </w:r>
    </w:p>
    <w:p>
      <w:pPr>
        <w:pStyle w:val="2"/>
        <w:numPr>
          <w:ilvl w:val="0"/>
          <w:numId w:val="17"/>
        </w:numPr>
        <w:rPr>
          <w:rFonts w:hAnsi="宋体" w:cs="宋体"/>
          <w:sz w:val="24"/>
          <w:szCs w:val="16"/>
          <w:highlight w:val="none"/>
        </w:rPr>
      </w:pPr>
      <w:bookmarkStart w:id="860" w:name="_Toc29893"/>
      <w:r>
        <w:rPr>
          <w:rFonts w:hint="eastAsia" w:hAnsi="宋体" w:cs="宋体"/>
          <w:sz w:val="24"/>
          <w:szCs w:val="16"/>
          <w:highlight w:val="none"/>
        </w:rPr>
        <w:t>其他约定</w:t>
      </w:r>
      <w:bookmarkEnd w:id="860"/>
    </w:p>
    <w:p>
      <w:pPr>
        <w:tabs>
          <w:tab w:val="left" w:pos="1403"/>
        </w:tabs>
        <w:ind w:firstLine="480" w:firstLineChars="200"/>
        <w:outlineLvl w:val="1"/>
        <w:rPr>
          <w:rFonts w:ascii="宋体" w:hAnsi="宋体" w:cs="宋体"/>
          <w:bCs/>
          <w:sz w:val="24"/>
          <w:szCs w:val="21"/>
          <w:highlight w:val="none"/>
        </w:rPr>
      </w:pPr>
      <w:bookmarkStart w:id="861" w:name="_Toc2345"/>
      <w:r>
        <w:rPr>
          <w:rFonts w:hint="eastAsia" w:ascii="宋体" w:hAnsi="宋体" w:cs="宋体"/>
          <w:bCs/>
          <w:sz w:val="24"/>
          <w:szCs w:val="21"/>
          <w:highlight w:val="none"/>
        </w:rPr>
        <w:t>一、不可抗力</w:t>
      </w:r>
      <w:bookmarkEnd w:id="861"/>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（一）不可抗力是指本合同履行过程中发生的任何一方不能预见及避免的客观情况，如战争、暴乱，地震、瘟疫或其他灾害气候等；</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因不可抗力事件发生导致一方或双方不能履行本合同约定的相应义务时，不能履行义务的一方应在不可抗力事件发生之日起3个工作日内通知对方，以便对方能采取相应措施避免损失扩大，一方履行了通知义务的可免除因不可抗力事件发生而不能履行的相应合同义务的违约或赔偿责任。一方未履行通知义务的不能免除违约或赔偿责任，通知义务受不可抗力事件影响而无法履行的除外；</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（三）不可抗力原因消除后，一方或双方的合同义务即行恢复；</w:t>
      </w:r>
    </w:p>
    <w:p>
      <w:pPr>
        <w:tabs>
          <w:tab w:val="left" w:pos="1403"/>
        </w:tabs>
        <w:ind w:firstLine="480" w:firstLineChars="200"/>
        <w:outlineLvl w:val="1"/>
        <w:rPr>
          <w:rFonts w:ascii="宋体" w:hAnsi="宋体" w:cs="宋体"/>
          <w:bCs/>
          <w:sz w:val="24"/>
          <w:szCs w:val="21"/>
          <w:highlight w:val="none"/>
        </w:rPr>
      </w:pPr>
      <w:bookmarkStart w:id="862" w:name="_Toc99"/>
      <w:r>
        <w:rPr>
          <w:rFonts w:hint="eastAsia" w:ascii="宋体" w:hAnsi="宋体" w:cs="宋体"/>
          <w:bCs/>
          <w:sz w:val="24"/>
          <w:szCs w:val="21"/>
          <w:highlight w:val="none"/>
        </w:rPr>
        <w:t>二、书面通知</w:t>
      </w:r>
      <w:bookmarkEnd w:id="862"/>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（一）任何一方发生任何可能影响正常履行本合同约定的情况或者提示双方履行重要义务或者向对方提出新的主张或者要求解除本合同时，均应及时通知对方。一方发给另一方的通知必须采取书面形式；</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（二）发出书面通知应派人传送或传真传送。接收通知的一方应在通知规定的期限内作出书面回复，逾期不作回复，视为同意通知的全部内容；</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接收通知的一方应于收到通知时当面签收或传真签收。送交的书面函件均应分一式正、副本两份，其中正本送交另一方留存，副本代另一方签收后收回。签收应由本协议指定收件人或法定代表人签名或者加盖单位收文章或办公室印章或单位公章；</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（四）一方拒绝签收，另一方应当邮寄传送一次，并以邮寄部门签署的收寄凭证作为对方收到通知的证明。对方主张其未收到邮件，应当取得邮寄部门出具的退件或未办理此项邮寄的证明；</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（五）本合同确认的甲乙双方地址作为双方书面信函的送达地址，并可用作司法送达。如果出现送达不能、拒收等情形，视为送达。</w:t>
      </w:r>
    </w:p>
    <w:p>
      <w:pPr>
        <w:tabs>
          <w:tab w:val="left" w:pos="1403"/>
        </w:tabs>
        <w:ind w:firstLine="480" w:firstLineChars="200"/>
        <w:outlineLvl w:val="1"/>
        <w:rPr>
          <w:rFonts w:ascii="宋体" w:hAnsi="宋体" w:cs="宋体"/>
          <w:bCs/>
          <w:sz w:val="24"/>
          <w:szCs w:val="21"/>
          <w:highlight w:val="none"/>
        </w:rPr>
      </w:pPr>
      <w:bookmarkStart w:id="863" w:name="_Toc6837"/>
      <w:r>
        <w:rPr>
          <w:rFonts w:hint="eastAsia" w:ascii="宋体" w:hAnsi="宋体" w:cs="宋体"/>
          <w:bCs/>
          <w:sz w:val="24"/>
          <w:szCs w:val="21"/>
          <w:highlight w:val="none"/>
        </w:rPr>
        <w:t>三、特别声明</w:t>
      </w:r>
      <w:bookmarkEnd w:id="863"/>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一方就另一方的任何违约行为，未立即按本合同约定追究其违约责任或行使其他权利，不能视为违约方违约行为的默示许可或纵容，也不能视为对自己合法权利的放弃，更不能影响守约方根据国家法律、法规及本合同规定采取一切合法措施维护自身合法权益的权利；</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（二）任何一方放弃本合同项下的任何权利，均仅依据其签署书面文件所作出的放弃声明为准。</w:t>
      </w:r>
    </w:p>
    <w:p>
      <w:pPr>
        <w:tabs>
          <w:tab w:val="left" w:pos="1403"/>
        </w:tabs>
        <w:ind w:firstLine="480" w:firstLineChars="200"/>
        <w:outlineLvl w:val="1"/>
        <w:rPr>
          <w:rFonts w:ascii="宋体" w:hAnsi="宋体" w:cs="宋体"/>
          <w:bCs/>
          <w:sz w:val="24"/>
          <w:szCs w:val="21"/>
          <w:highlight w:val="none"/>
        </w:rPr>
      </w:pPr>
      <w:bookmarkStart w:id="864" w:name="_Toc13361"/>
      <w:r>
        <w:rPr>
          <w:rFonts w:hint="eastAsia" w:ascii="宋体" w:hAnsi="宋体" w:cs="宋体"/>
          <w:bCs/>
          <w:sz w:val="24"/>
          <w:szCs w:val="21"/>
          <w:highlight w:val="none"/>
        </w:rPr>
        <w:t>四、其他</w:t>
      </w:r>
      <w:bookmarkEnd w:id="864"/>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（一）本合同所涉及的货币单位全部指人民币；</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（二）在本合同履行过程中，经甲乙双方协商一致，可对本合同有关内容进行变更、解除和补充，并签订补充协议。本合同未尽事宜，经甲乙双方协商可另行签订补充合同；</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（三）因本合同的履行双方发生争议，由双方协商解决。协商不成的，双方同意提交项目所在地人民法院诉讼解决；</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（四）本合同自双方加盖公章和法定代表人签章(字)之日起生效；</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（五）本合同一式捌份，具有同等法律效力，甲乙双方各执肆份。</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附件1：顺义大剧院运营管理公司委托经营管理考核办法</w:t>
      </w:r>
    </w:p>
    <w:p>
      <w:pPr>
        <w:spacing w:line="460" w:lineRule="exact"/>
        <w:ind w:firstLine="420" w:firstLineChars="200"/>
        <w:rPr>
          <w:rFonts w:ascii="宋体" w:hAnsi="宋体" w:cs="宋体"/>
          <w:szCs w:val="21"/>
          <w:highlight w:val="none"/>
        </w:rPr>
      </w:pPr>
    </w:p>
    <w:p>
      <w:pPr>
        <w:tabs>
          <w:tab w:val="left" w:pos="1403"/>
        </w:tabs>
        <w:ind w:firstLine="480" w:firstLineChars="200"/>
        <w:rPr>
          <w:rFonts w:ascii="宋体" w:hAnsi="宋体" w:cs="宋体"/>
          <w:bCs/>
          <w:sz w:val="24"/>
          <w:szCs w:val="21"/>
          <w:highlight w:val="none"/>
        </w:rPr>
      </w:pPr>
    </w:p>
    <w:p>
      <w:pPr>
        <w:tabs>
          <w:tab w:val="left" w:pos="1403"/>
        </w:tabs>
        <w:rPr>
          <w:rFonts w:ascii="宋体" w:hAnsi="宋体" w:cs="宋体"/>
          <w:bCs/>
          <w:sz w:val="24"/>
          <w:szCs w:val="21"/>
          <w:highlight w:val="none"/>
        </w:rPr>
      </w:pPr>
      <w:r>
        <w:rPr>
          <w:rFonts w:hint="eastAsia" w:ascii="宋体" w:hAnsi="宋体" w:cs="宋体"/>
          <w:bCs/>
          <w:sz w:val="24"/>
          <w:szCs w:val="21"/>
          <w:highlight w:val="none"/>
        </w:rPr>
        <w:t>【以下无正文】</w:t>
      </w:r>
    </w:p>
    <w:p>
      <w:pPr>
        <w:widowControl/>
        <w:rPr>
          <w:rFonts w:ascii="宋体" w:hAnsi="宋体" w:cs="宋体"/>
          <w:bCs/>
          <w:sz w:val="24"/>
          <w:szCs w:val="21"/>
          <w:highlight w:val="none"/>
        </w:rPr>
      </w:pPr>
      <w:r>
        <w:rPr>
          <w:rFonts w:hint="eastAsia" w:ascii="宋体" w:hAnsi="宋体" w:cs="宋体"/>
          <w:bCs/>
          <w:sz w:val="24"/>
          <w:szCs w:val="21"/>
          <w:highlight w:val="none"/>
        </w:rPr>
        <w:br w:type="page"/>
      </w:r>
    </w:p>
    <w:p>
      <w:pPr>
        <w:tabs>
          <w:tab w:val="left" w:pos="1403"/>
        </w:tabs>
        <w:rPr>
          <w:rFonts w:ascii="宋体" w:hAnsi="宋体" w:cs="宋体"/>
          <w:bCs/>
          <w:sz w:val="24"/>
          <w:szCs w:val="21"/>
          <w:highlight w:val="none"/>
        </w:rPr>
      </w:pPr>
      <w:r>
        <w:rPr>
          <w:rFonts w:hint="eastAsia" w:ascii="宋体" w:hAnsi="宋体" w:cs="宋体"/>
          <w:bCs/>
          <w:sz w:val="24"/>
          <w:szCs w:val="21"/>
          <w:highlight w:val="none"/>
        </w:rPr>
        <w:t>【合同签署页】</w:t>
      </w:r>
    </w:p>
    <w:p>
      <w:pPr>
        <w:tabs>
          <w:tab w:val="left" w:pos="1403"/>
        </w:tabs>
        <w:ind w:firstLine="480" w:firstLineChars="200"/>
        <w:rPr>
          <w:rFonts w:ascii="宋体" w:hAnsi="宋体" w:cs="宋体"/>
          <w:bCs/>
          <w:sz w:val="24"/>
          <w:szCs w:val="21"/>
          <w:highlight w:val="none"/>
        </w:rPr>
      </w:pP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 xml:space="preserve">甲方：北京市顺义区文化和旅游局（公章） </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住所：</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 xml:space="preserve">法定代表人（负责人）：（签字） </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2024年</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u w:val="single"/>
        </w:rPr>
        <w:tab/>
      </w:r>
      <w:r>
        <w:rPr>
          <w:rFonts w:hint="eastAsia" w:ascii="宋体" w:hAnsi="宋体" w:cs="宋体"/>
          <w:bCs/>
          <w:sz w:val="24"/>
          <w:szCs w:val="21"/>
          <w:highlight w:val="none"/>
        </w:rPr>
        <w:t>月</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u w:val="single"/>
        </w:rPr>
        <w:tab/>
      </w:r>
      <w:r>
        <w:rPr>
          <w:rFonts w:hint="eastAsia" w:ascii="宋体" w:hAnsi="宋体" w:cs="宋体"/>
          <w:bCs/>
          <w:sz w:val="24"/>
          <w:szCs w:val="21"/>
          <w:highlight w:val="none"/>
        </w:rPr>
        <w:t>日</w:t>
      </w:r>
    </w:p>
    <w:p>
      <w:pPr>
        <w:tabs>
          <w:tab w:val="left" w:pos="1403"/>
        </w:tabs>
        <w:ind w:firstLine="480" w:firstLineChars="200"/>
        <w:rPr>
          <w:rFonts w:ascii="宋体" w:hAnsi="宋体" w:cs="宋体"/>
          <w:bCs/>
          <w:sz w:val="24"/>
          <w:szCs w:val="21"/>
          <w:highlight w:val="none"/>
        </w:rPr>
      </w:pPr>
    </w:p>
    <w:p>
      <w:pPr>
        <w:tabs>
          <w:tab w:val="left" w:pos="1403"/>
        </w:tabs>
        <w:ind w:firstLine="480" w:firstLineChars="200"/>
        <w:rPr>
          <w:rFonts w:ascii="宋体" w:hAnsi="宋体" w:cs="宋体"/>
          <w:bCs/>
          <w:sz w:val="24"/>
          <w:szCs w:val="21"/>
          <w:highlight w:val="none"/>
        </w:rPr>
      </w:pP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 xml:space="preserve">乙方：（公章） </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住所：</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法定代表人（负责人）：（签字）</w:t>
      </w:r>
    </w:p>
    <w:p>
      <w:pPr>
        <w:tabs>
          <w:tab w:val="left" w:pos="1403"/>
        </w:tabs>
        <w:ind w:firstLine="480" w:firstLineChars="200"/>
        <w:rPr>
          <w:rFonts w:ascii="宋体" w:hAnsi="宋体" w:cs="宋体"/>
          <w:bCs/>
          <w:sz w:val="24"/>
          <w:szCs w:val="21"/>
          <w:highlight w:val="none"/>
        </w:rPr>
      </w:pPr>
      <w:r>
        <w:rPr>
          <w:rFonts w:hint="eastAsia" w:ascii="宋体" w:hAnsi="宋体" w:cs="宋体"/>
          <w:bCs/>
          <w:sz w:val="24"/>
          <w:szCs w:val="21"/>
          <w:highlight w:val="none"/>
        </w:rPr>
        <w:t>2024年</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u w:val="single"/>
        </w:rPr>
        <w:tab/>
      </w:r>
      <w:r>
        <w:rPr>
          <w:rFonts w:hint="eastAsia" w:ascii="宋体" w:hAnsi="宋体" w:cs="宋体"/>
          <w:bCs/>
          <w:sz w:val="24"/>
          <w:szCs w:val="21"/>
          <w:highlight w:val="none"/>
        </w:rPr>
        <w:t>月</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u w:val="single"/>
        </w:rPr>
        <w:tab/>
      </w:r>
      <w:r>
        <w:rPr>
          <w:rFonts w:hint="eastAsia" w:ascii="宋体" w:hAnsi="宋体" w:cs="宋体"/>
          <w:bCs/>
          <w:sz w:val="24"/>
          <w:szCs w:val="21"/>
          <w:highlight w:val="none"/>
        </w:rPr>
        <w:t>日</w:t>
      </w:r>
    </w:p>
    <w:p>
      <w:pPr>
        <w:tabs>
          <w:tab w:val="left" w:pos="1403"/>
        </w:tabs>
        <w:rPr>
          <w:rFonts w:ascii="宋体" w:hAnsi="宋体" w:cs="宋体"/>
          <w:bCs/>
          <w:sz w:val="28"/>
          <w:szCs w:val="22"/>
          <w:highlight w:val="none"/>
        </w:rPr>
      </w:pPr>
    </w:p>
    <w:p>
      <w:pPr>
        <w:spacing w:line="460" w:lineRule="exact"/>
        <w:jc w:val="left"/>
        <w:rPr>
          <w:rFonts w:ascii="宋体" w:hAnsi="宋体" w:cs="宋体"/>
          <w:sz w:val="22"/>
          <w:szCs w:val="22"/>
          <w:highlight w:val="none"/>
        </w:rPr>
      </w:pPr>
    </w:p>
    <w:p>
      <w:pPr>
        <w:spacing w:line="460" w:lineRule="exact"/>
        <w:jc w:val="left"/>
        <w:rPr>
          <w:rFonts w:ascii="宋体" w:hAnsi="宋体" w:cs="宋体"/>
          <w:sz w:val="22"/>
          <w:szCs w:val="22"/>
          <w:highlight w:val="none"/>
        </w:rPr>
      </w:pPr>
    </w:p>
    <w:p>
      <w:pPr>
        <w:spacing w:line="460" w:lineRule="exact"/>
        <w:rPr>
          <w:rFonts w:ascii="宋体" w:hAnsi="宋体" w:cs="宋体"/>
          <w:b/>
          <w:sz w:val="24"/>
          <w:highlight w:val="none"/>
        </w:rPr>
      </w:pPr>
      <w:r>
        <w:rPr>
          <w:rFonts w:hint="eastAsia" w:ascii="宋体" w:hAnsi="宋体" w:cs="宋体"/>
          <w:sz w:val="22"/>
          <w:szCs w:val="22"/>
          <w:highlight w:val="none"/>
        </w:rPr>
        <w:br w:type="page"/>
      </w:r>
      <w:r>
        <w:rPr>
          <w:rFonts w:hint="eastAsia" w:ascii="宋体" w:hAnsi="宋体" w:cs="宋体"/>
          <w:b/>
          <w:sz w:val="24"/>
          <w:highlight w:val="none"/>
        </w:rPr>
        <w:t xml:space="preserve">附件1： </w:t>
      </w:r>
    </w:p>
    <w:p>
      <w:pPr>
        <w:spacing w:line="360" w:lineRule="auto"/>
        <w:jc w:val="center"/>
        <w:rPr>
          <w:rFonts w:ascii="宋体" w:hAnsi="宋体" w:cs="宋体"/>
          <w:spacing w:val="20"/>
          <w:sz w:val="40"/>
          <w:szCs w:val="44"/>
          <w:highlight w:val="none"/>
        </w:rPr>
      </w:pPr>
      <w:r>
        <w:rPr>
          <w:rFonts w:hint="eastAsia" w:ascii="宋体" w:hAnsi="宋体" w:cs="宋体"/>
          <w:spacing w:val="20"/>
          <w:sz w:val="40"/>
          <w:szCs w:val="44"/>
          <w:highlight w:val="none"/>
        </w:rPr>
        <w:t>顺义大剧院运营管理公司委托经营管理</w:t>
      </w:r>
    </w:p>
    <w:p>
      <w:pPr>
        <w:spacing w:line="360" w:lineRule="auto"/>
        <w:jc w:val="center"/>
        <w:rPr>
          <w:rFonts w:ascii="宋体" w:hAnsi="宋体" w:cs="宋体"/>
          <w:sz w:val="18"/>
          <w:szCs w:val="32"/>
          <w:highlight w:val="none"/>
        </w:rPr>
      </w:pPr>
      <w:r>
        <w:rPr>
          <w:rFonts w:hint="eastAsia" w:ascii="宋体" w:hAnsi="宋体" w:cs="宋体"/>
          <w:spacing w:val="20"/>
          <w:sz w:val="40"/>
          <w:szCs w:val="44"/>
          <w:highlight w:val="none"/>
        </w:rPr>
        <w:t>考核办法</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为更好地服务、协调、保障顺义大剧院（以下简称大剧院）的健康运营，根据顺义区人民政府委托顺义区文化和旅游局与其签订的《顺义大剧院委托经营管理合同》相关条款规定，特制定本考核办法：</w:t>
      </w: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rPr>
        <w:t>一、考核主体（甲方）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受顺义区人民政府委托，顺义</w:t>
      </w:r>
      <w:r>
        <w:rPr>
          <w:rFonts w:hint="eastAsia" w:ascii="宋体" w:hAnsi="宋体" w:cs="宋体"/>
          <w:sz w:val="28"/>
          <w:szCs w:val="48"/>
          <w:highlight w:val="none"/>
          <w:lang w:val="en-US" w:eastAsia="zh-CN"/>
        </w:rPr>
        <w:t>区</w:t>
      </w:r>
      <w:r>
        <w:rPr>
          <w:rFonts w:hint="eastAsia" w:ascii="宋体" w:hAnsi="宋体" w:cs="宋体"/>
          <w:sz w:val="28"/>
          <w:szCs w:val="48"/>
          <w:highlight w:val="none"/>
        </w:rPr>
        <w:t>文化和旅游局作为顺义大剧院的业主单位，联合区财政局成立顺义大剧院考核委员会，负责考核顺义大剧院的管理和运营等。考核内容为大剧院日常演出情况、政府补贴拨付及使用、大剧院社会效益、合同执行情况、安全生产、资产保护等进行考核。</w:t>
      </w: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rPr>
        <w:t>二、被考核方（乙方）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顺义大剧院运营公司</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三、考核载体</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顺义大剧院的管理、运营以及安全生产等</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四、考核地点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五、考核依据</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顺义区文化和旅游局与其签订的《顺义大剧院委托经营管理合同》相关条款的内容和区财政补贴绩效管理的要求。</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六、考核时间</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依据《顺义大剧院委托经营管理合同》，顺义区文化和旅游局负责管理顺义大剧院的经营管理期限为2024年5月29日至2026年5月28日。分别于2025年6至7月和2026年6月至7月进行全年考核工作。</w:t>
      </w:r>
    </w:p>
    <w:p>
      <w:pPr>
        <w:spacing w:line="360" w:lineRule="auto"/>
        <w:ind w:firstLine="560" w:firstLineChars="200"/>
        <w:jc w:val="left"/>
        <w:rPr>
          <w:rFonts w:ascii="宋体" w:hAnsi="宋体" w:cs="宋体"/>
          <w:sz w:val="28"/>
          <w:szCs w:val="48"/>
          <w:highlight w:val="none"/>
        </w:rPr>
      </w:pPr>
      <w:r>
        <w:rPr>
          <w:rFonts w:hint="eastAsia" w:ascii="宋体" w:hAnsi="宋体" w:cs="宋体"/>
          <w:sz w:val="28"/>
          <w:szCs w:val="48"/>
          <w:highlight w:val="none"/>
        </w:rPr>
        <w:t>七、考核人员</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顺义大剧院考核委员会成员由顺义区财政局、顺义区文化和旅游局</w:t>
      </w:r>
      <w:r>
        <w:rPr>
          <w:rFonts w:hint="eastAsia" w:ascii="宋体" w:hAnsi="宋体" w:cs="宋体"/>
          <w:sz w:val="28"/>
          <w:szCs w:val="48"/>
          <w:highlight w:val="none"/>
          <w:lang w:val="en-US" w:eastAsia="zh-CN"/>
        </w:rPr>
        <w:t>相关科室人员及分管领导</w:t>
      </w:r>
      <w:r>
        <w:rPr>
          <w:rFonts w:hint="eastAsia" w:ascii="宋体" w:hAnsi="宋体" w:cs="宋体"/>
          <w:sz w:val="28"/>
          <w:szCs w:val="48"/>
          <w:highlight w:val="none"/>
        </w:rPr>
        <w:t>组成。</w:t>
      </w: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rPr>
        <w:t>八、考核内容</w:t>
      </w:r>
    </w:p>
    <w:p>
      <w:pPr>
        <w:numPr>
          <w:ilvl w:val="0"/>
          <w:numId w:val="15"/>
        </w:numPr>
        <w:spacing w:line="360" w:lineRule="auto"/>
        <w:ind w:firstLine="560" w:firstLineChars="200"/>
        <w:rPr>
          <w:rFonts w:ascii="宋体" w:hAnsi="宋体" w:cs="宋体"/>
          <w:color w:val="000000"/>
          <w:sz w:val="28"/>
          <w:szCs w:val="48"/>
          <w:highlight w:val="none"/>
        </w:rPr>
      </w:pPr>
      <w:r>
        <w:rPr>
          <w:rFonts w:hint="eastAsia" w:ascii="宋体" w:hAnsi="宋体" w:cs="宋体"/>
          <w:color w:val="000000"/>
          <w:sz w:val="28"/>
          <w:szCs w:val="48"/>
          <w:highlight w:val="none"/>
        </w:rPr>
        <w:t>演出指标</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1.自顺义大剧院正式移交</w:t>
      </w:r>
      <w:r>
        <w:rPr>
          <w:rFonts w:hint="eastAsia" w:ascii="宋体" w:hAnsi="宋体" w:cs="宋体"/>
          <w:sz w:val="28"/>
          <w:szCs w:val="48"/>
          <w:highlight w:val="none"/>
          <w:lang w:val="en-US" w:eastAsia="zh-CN"/>
        </w:rPr>
        <w:t>乙方</w:t>
      </w:r>
      <w:r>
        <w:rPr>
          <w:rFonts w:hint="eastAsia" w:ascii="宋体" w:hAnsi="宋体" w:cs="宋体"/>
          <w:sz w:val="28"/>
          <w:szCs w:val="48"/>
          <w:highlight w:val="none"/>
        </w:rPr>
        <w:t>之日起</w:t>
      </w:r>
      <w:r>
        <w:rPr>
          <w:rFonts w:hint="eastAsia" w:ascii="宋体" w:hAnsi="宋体" w:cs="宋体"/>
          <w:sz w:val="28"/>
          <w:szCs w:val="48"/>
          <w:highlight w:val="none"/>
          <w:lang w:val="en-US" w:eastAsia="zh-CN"/>
        </w:rPr>
        <w:t>的</w:t>
      </w:r>
      <w:r>
        <w:rPr>
          <w:rFonts w:hint="eastAsia" w:ascii="宋体" w:hAnsi="宋体" w:cs="宋体"/>
          <w:sz w:val="28"/>
          <w:szCs w:val="48"/>
          <w:highlight w:val="none"/>
        </w:rPr>
        <w:t>运营周期里，每年</w:t>
      </w:r>
      <w:r>
        <w:rPr>
          <w:rFonts w:hint="eastAsia" w:ascii="宋体" w:hAnsi="宋体" w:cs="宋体"/>
          <w:sz w:val="28"/>
          <w:szCs w:val="48"/>
          <w:highlight w:val="none"/>
          <w:lang w:eastAsia="zh-CN"/>
        </w:rPr>
        <w:t>演出</w:t>
      </w:r>
      <w:r>
        <w:rPr>
          <w:rFonts w:hint="eastAsia" w:ascii="宋体" w:hAnsi="宋体" w:cs="宋体"/>
          <w:sz w:val="28"/>
          <w:szCs w:val="48"/>
          <w:highlight w:val="none"/>
        </w:rPr>
        <w:t>活动场次不少于100场，其中每年自营演出不少于70场，</w:t>
      </w:r>
      <w:r>
        <w:rPr>
          <w:rFonts w:hint="eastAsia" w:ascii="宋体" w:hAnsi="宋体" w:cs="宋体"/>
          <w:sz w:val="28"/>
          <w:szCs w:val="48"/>
          <w:highlight w:val="none"/>
          <w:lang w:eastAsia="zh-CN"/>
        </w:rPr>
        <w:t>公益演出和</w:t>
      </w:r>
      <w:r>
        <w:rPr>
          <w:rFonts w:hint="eastAsia" w:ascii="宋体" w:hAnsi="宋体" w:cs="宋体"/>
          <w:sz w:val="28"/>
          <w:szCs w:val="48"/>
          <w:highlight w:val="none"/>
        </w:rPr>
        <w:t>公益活动（包括但不限于市民免费开放日活动和各类普及性艺术讲座、活动等）不少于30场</w:t>
      </w:r>
      <w:r>
        <w:rPr>
          <w:rFonts w:hint="eastAsia" w:ascii="宋体" w:hAnsi="宋体" w:cs="宋体"/>
          <w:sz w:val="28"/>
          <w:szCs w:val="48"/>
          <w:highlight w:val="none"/>
          <w:lang w:eastAsia="zh-CN"/>
        </w:rPr>
        <w:t>（</w:t>
      </w:r>
      <w:r>
        <w:rPr>
          <w:rFonts w:hint="eastAsia" w:ascii="宋体" w:hAnsi="宋体" w:cs="宋体"/>
          <w:sz w:val="28"/>
          <w:szCs w:val="48"/>
          <w:highlight w:val="none"/>
          <w:lang w:val="en-US" w:eastAsia="zh-CN"/>
        </w:rPr>
        <w:t>10场公益演出和20场公益活动</w:t>
      </w:r>
      <w:r>
        <w:rPr>
          <w:rFonts w:hint="eastAsia" w:ascii="宋体" w:hAnsi="宋体" w:cs="宋体"/>
          <w:sz w:val="28"/>
          <w:szCs w:val="48"/>
          <w:highlight w:val="none"/>
          <w:lang w:eastAsia="zh-CN"/>
        </w:rPr>
        <w:t>）</w:t>
      </w:r>
      <w:r>
        <w:rPr>
          <w:rFonts w:hint="eastAsia" w:ascii="宋体" w:hAnsi="宋体" w:cs="宋体"/>
          <w:sz w:val="28"/>
          <w:szCs w:val="48"/>
          <w:highlight w:val="none"/>
        </w:rPr>
        <w:t>；</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2.自营演出中，A类演出</w:t>
      </w:r>
      <w:r>
        <w:rPr>
          <w:rFonts w:hint="eastAsia" w:ascii="宋体" w:hAnsi="宋体" w:cs="宋体"/>
          <w:sz w:val="28"/>
          <w:szCs w:val="48"/>
          <w:highlight w:val="none"/>
          <w:lang w:eastAsia="zh-CN"/>
        </w:rPr>
        <w:t>不低于自营演出总</w:t>
      </w:r>
      <w:r>
        <w:rPr>
          <w:rFonts w:hint="eastAsia" w:ascii="宋体" w:hAnsi="宋体" w:cs="宋体"/>
          <w:sz w:val="28"/>
          <w:szCs w:val="48"/>
          <w:highlight w:val="none"/>
        </w:rPr>
        <w:t>场次40%，B类演出</w:t>
      </w:r>
      <w:r>
        <w:rPr>
          <w:rFonts w:hint="eastAsia" w:ascii="宋体" w:hAnsi="宋体" w:cs="宋体"/>
          <w:sz w:val="28"/>
          <w:szCs w:val="48"/>
          <w:highlight w:val="none"/>
          <w:lang w:eastAsia="zh-CN"/>
        </w:rPr>
        <w:t>不低于自营</w:t>
      </w:r>
      <w:r>
        <w:rPr>
          <w:rFonts w:hint="eastAsia" w:ascii="宋体" w:hAnsi="宋体" w:cs="宋体"/>
          <w:sz w:val="28"/>
          <w:szCs w:val="48"/>
          <w:highlight w:val="none"/>
        </w:rPr>
        <w:t>演出</w:t>
      </w:r>
      <w:r>
        <w:rPr>
          <w:rFonts w:hint="eastAsia" w:ascii="宋体" w:hAnsi="宋体" w:cs="宋体"/>
          <w:sz w:val="28"/>
          <w:szCs w:val="48"/>
          <w:highlight w:val="none"/>
          <w:lang w:eastAsia="zh-CN"/>
        </w:rPr>
        <w:t>总</w:t>
      </w:r>
      <w:r>
        <w:rPr>
          <w:rFonts w:hint="eastAsia" w:ascii="宋体" w:hAnsi="宋体" w:cs="宋体"/>
          <w:sz w:val="28"/>
          <w:szCs w:val="48"/>
          <w:highlight w:val="none"/>
        </w:rPr>
        <w:t>场次30%；</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3.年平均上座率不低于55%；观众满意度不低于90%(包括剧目质量、观演环境、剧院服务等内容);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4.低于100元的惠民票总体占比率不低于15%。</w:t>
      </w:r>
    </w:p>
    <w:p>
      <w:pPr>
        <w:tabs>
          <w:tab w:val="left" w:pos="1403"/>
        </w:tabs>
        <w:spacing w:line="360" w:lineRule="auto"/>
        <w:ind w:firstLine="560" w:firstLineChars="200"/>
        <w:outlineLvl w:val="2"/>
        <w:rPr>
          <w:rFonts w:ascii="宋体" w:hAnsi="宋体" w:cs="宋体"/>
          <w:bCs/>
          <w:sz w:val="28"/>
          <w:szCs w:val="48"/>
          <w:highlight w:val="none"/>
        </w:rPr>
      </w:pPr>
      <w:r>
        <w:rPr>
          <w:rFonts w:hint="eastAsia" w:ascii="宋体" w:hAnsi="宋体" w:cs="宋体"/>
          <w:color w:val="000000"/>
          <w:sz w:val="28"/>
          <w:szCs w:val="48"/>
          <w:highlight w:val="none"/>
        </w:rPr>
        <w:t>（二）</w:t>
      </w:r>
      <w:r>
        <w:rPr>
          <w:rFonts w:hint="eastAsia" w:ascii="宋体" w:hAnsi="宋体" w:cs="宋体"/>
          <w:bCs/>
          <w:sz w:val="28"/>
          <w:szCs w:val="48"/>
          <w:highlight w:val="none"/>
        </w:rPr>
        <w:t>资产管理</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1.顺义大剧院场馆和建筑配套设施设备、舞台演出设施设备等资产管理符合本合同相关约定及《顺义大剧院管理规范》；</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2.做好顺义大剧院资产管理工作，建立清点清单和入库管理、检查、维护、保养、维修等相关台账资料；</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3.演出设施设备检查、维护和保养情况符合本合同的相关约定及《顺义大剧院管理规范》。</w:t>
      </w:r>
    </w:p>
    <w:p>
      <w:pPr>
        <w:spacing w:line="360" w:lineRule="auto"/>
        <w:ind w:firstLine="560" w:firstLineChars="200"/>
        <w:rPr>
          <w:rFonts w:ascii="宋体" w:hAnsi="宋体" w:cs="宋体"/>
          <w:bCs/>
          <w:sz w:val="28"/>
          <w:szCs w:val="48"/>
          <w:highlight w:val="none"/>
        </w:rPr>
      </w:pPr>
      <w:r>
        <w:rPr>
          <w:rFonts w:hint="eastAsia" w:ascii="宋体" w:hAnsi="宋体" w:cs="宋体"/>
          <w:sz w:val="28"/>
          <w:szCs w:val="48"/>
          <w:highlight w:val="none"/>
        </w:rPr>
        <w:t>4.顺义大剧院资产保值增值和功能作用发挥。</w:t>
      </w:r>
    </w:p>
    <w:p>
      <w:pPr>
        <w:tabs>
          <w:tab w:val="left" w:pos="1403"/>
        </w:tabs>
        <w:spacing w:line="360" w:lineRule="auto"/>
        <w:ind w:firstLine="560" w:firstLineChars="200"/>
        <w:outlineLvl w:val="2"/>
        <w:rPr>
          <w:rFonts w:ascii="宋体" w:hAnsi="宋体" w:cs="宋体"/>
          <w:bCs/>
          <w:sz w:val="28"/>
          <w:szCs w:val="48"/>
          <w:highlight w:val="none"/>
        </w:rPr>
      </w:pPr>
      <w:r>
        <w:rPr>
          <w:rFonts w:hint="eastAsia" w:ascii="宋体" w:hAnsi="宋体" w:cs="宋体"/>
          <w:bCs/>
          <w:sz w:val="28"/>
          <w:szCs w:val="48"/>
          <w:highlight w:val="none"/>
        </w:rPr>
        <w:t>（三）安全生产管理</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1.建立健全安全生产领导小组和安全组织机构，责任明确，资料齐全，配有专职的安全员；</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2.建立健全各部门安全生产责任制，职责明确，各项安全生产规章制度、安全操作规程齐全，并严格执行；</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3.演出设施设备操作人员做到持证上岗、定岗到位；特殊工种作业人员必须经安全培训，持证上岗；</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4.安全标志、标语醒目，安全操作规程标示牌齐全；</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5.全年不发生任何有人员伤亡的安全生产事故；</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6.安全生产事故无漏报、隐瞒不报现象。</w:t>
      </w:r>
    </w:p>
    <w:p>
      <w:pPr>
        <w:tabs>
          <w:tab w:val="left" w:pos="1403"/>
        </w:tabs>
        <w:spacing w:line="360" w:lineRule="auto"/>
        <w:ind w:firstLine="560" w:firstLineChars="200"/>
        <w:outlineLvl w:val="1"/>
        <w:rPr>
          <w:rFonts w:ascii="宋体" w:hAnsi="宋体" w:cs="宋体"/>
          <w:bCs/>
          <w:sz w:val="28"/>
          <w:szCs w:val="48"/>
          <w:highlight w:val="none"/>
        </w:rPr>
      </w:pPr>
      <w:r>
        <w:rPr>
          <w:rFonts w:hint="eastAsia" w:ascii="宋体" w:hAnsi="宋体" w:cs="宋体"/>
          <w:bCs/>
          <w:sz w:val="28"/>
          <w:szCs w:val="48"/>
          <w:highlight w:val="none"/>
        </w:rPr>
        <w:t>(四)物业管理</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lang w:eastAsia="zh-CN"/>
        </w:rPr>
        <w:t>乙方</w:t>
      </w:r>
      <w:r>
        <w:rPr>
          <w:rFonts w:hint="eastAsia" w:ascii="宋体" w:hAnsi="宋体" w:cs="宋体"/>
          <w:sz w:val="28"/>
          <w:szCs w:val="48"/>
          <w:highlight w:val="none"/>
        </w:rPr>
        <w:t>的物业管理必须达到高水平、高标准，确保大剧院建筑物、构筑物相应空间及所属配套设备设施的物理状态完好、功能正常并能有效使用，环境整洁优美，空间通常有序，始终保持顺义大剧院的良好形象；</w:t>
      </w:r>
    </w:p>
    <w:p>
      <w:pPr>
        <w:tabs>
          <w:tab w:val="left" w:pos="1403"/>
        </w:tabs>
        <w:spacing w:line="360" w:lineRule="auto"/>
        <w:ind w:firstLine="560" w:firstLineChars="200"/>
        <w:outlineLvl w:val="2"/>
        <w:rPr>
          <w:rFonts w:ascii="宋体" w:hAnsi="宋体" w:cs="宋体"/>
          <w:bCs/>
          <w:sz w:val="28"/>
          <w:szCs w:val="48"/>
          <w:highlight w:val="none"/>
        </w:rPr>
      </w:pPr>
      <w:r>
        <w:rPr>
          <w:rFonts w:hint="eastAsia" w:ascii="宋体" w:hAnsi="宋体" w:cs="宋体"/>
          <w:bCs/>
          <w:sz w:val="28"/>
          <w:szCs w:val="48"/>
          <w:highlight w:val="none"/>
        </w:rPr>
        <w:t>（五）依法经营</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1.全年无国家行政机关的处罚事件；</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2.全年无被处罚漏报、隐瞒不报的现象；</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3.全年未发生严重违约情形。</w:t>
      </w:r>
    </w:p>
    <w:p>
      <w:pPr>
        <w:tabs>
          <w:tab w:val="left" w:pos="1403"/>
        </w:tabs>
        <w:spacing w:line="360" w:lineRule="auto"/>
        <w:ind w:firstLine="560" w:firstLineChars="200"/>
        <w:outlineLvl w:val="2"/>
        <w:rPr>
          <w:rFonts w:ascii="宋体" w:hAnsi="宋体" w:cs="宋体"/>
          <w:bCs/>
          <w:sz w:val="28"/>
          <w:szCs w:val="48"/>
          <w:highlight w:val="none"/>
        </w:rPr>
      </w:pPr>
      <w:r>
        <w:rPr>
          <w:rFonts w:hint="eastAsia" w:ascii="宋体" w:hAnsi="宋体" w:cs="宋体"/>
          <w:bCs/>
          <w:sz w:val="28"/>
          <w:szCs w:val="48"/>
          <w:highlight w:val="none"/>
        </w:rPr>
        <w:t>（六）其他管理目标</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顺义大剧院每年组织市民免费开放日活动，制定市民开放日活动内容，吸引市民参与，扩大剧院影响力。</w:t>
      </w:r>
    </w:p>
    <w:p>
      <w:pPr>
        <w:pStyle w:val="2"/>
        <w:spacing w:before="0" w:after="0" w:line="360" w:lineRule="auto"/>
        <w:ind w:firstLine="640" w:firstLineChars="200"/>
        <w:jc w:val="both"/>
        <w:rPr>
          <w:rFonts w:hAnsi="宋体" w:cs="宋体"/>
          <w:b w:val="0"/>
          <w:szCs w:val="32"/>
          <w:highlight w:val="none"/>
        </w:rPr>
      </w:pPr>
      <w:r>
        <w:rPr>
          <w:rFonts w:hint="eastAsia" w:hAnsi="宋体" w:cs="宋体"/>
          <w:b w:val="0"/>
          <w:szCs w:val="32"/>
          <w:highlight w:val="none"/>
          <w:lang w:eastAsia="zh-CN"/>
        </w:rPr>
        <w:t>九</w:t>
      </w:r>
      <w:r>
        <w:rPr>
          <w:rFonts w:hint="eastAsia" w:hAnsi="宋体" w:cs="宋体"/>
          <w:b w:val="0"/>
          <w:szCs w:val="32"/>
          <w:highlight w:val="none"/>
        </w:rPr>
        <w:t>、委托经营管理考核</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1.顺义</w:t>
      </w:r>
      <w:r>
        <w:rPr>
          <w:rFonts w:hint="eastAsia" w:ascii="宋体" w:hAnsi="宋体" w:cs="宋体"/>
          <w:sz w:val="28"/>
          <w:szCs w:val="48"/>
          <w:highlight w:val="none"/>
          <w:lang w:val="en-US" w:eastAsia="zh-CN"/>
        </w:rPr>
        <w:t>区</w:t>
      </w:r>
      <w:r>
        <w:rPr>
          <w:rFonts w:hint="eastAsia" w:ascii="宋体" w:hAnsi="宋体" w:cs="宋体"/>
          <w:sz w:val="28"/>
          <w:szCs w:val="48"/>
          <w:highlight w:val="none"/>
        </w:rPr>
        <w:t>文化和旅游局根据考核管理办法组织考核小组对</w:t>
      </w:r>
      <w:r>
        <w:rPr>
          <w:rFonts w:hint="eastAsia" w:ascii="宋体" w:hAnsi="宋体" w:cs="宋体"/>
          <w:sz w:val="28"/>
          <w:szCs w:val="48"/>
          <w:highlight w:val="none"/>
          <w:lang w:eastAsia="zh-CN"/>
        </w:rPr>
        <w:t>乙方</w:t>
      </w:r>
      <w:r>
        <w:rPr>
          <w:rFonts w:hint="eastAsia" w:ascii="宋体" w:hAnsi="宋体" w:cs="宋体"/>
          <w:sz w:val="28"/>
          <w:szCs w:val="48"/>
          <w:highlight w:val="none"/>
        </w:rPr>
        <w:t>完成本合同约定的经营管理目标情况予以考核。</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2.考核办法：年度考核。</w:t>
      </w:r>
      <w:r>
        <w:rPr>
          <w:rFonts w:hint="eastAsia" w:ascii="宋体" w:hAnsi="宋体" w:cs="宋体"/>
          <w:sz w:val="28"/>
          <w:szCs w:val="48"/>
          <w:highlight w:val="none"/>
          <w:lang w:eastAsia="zh-CN"/>
        </w:rPr>
        <w:t>乙方</w:t>
      </w:r>
      <w:r>
        <w:rPr>
          <w:rFonts w:hint="eastAsia" w:ascii="宋体" w:hAnsi="宋体" w:cs="宋体"/>
          <w:sz w:val="28"/>
          <w:szCs w:val="48"/>
          <w:highlight w:val="none"/>
        </w:rPr>
        <w:t>每年将演出剧目、演出场次、平均票价、观众上座率、观众满意度等情况在次年6月15日前（汇总全年情况）书面报甲方。</w:t>
      </w:r>
      <w:r>
        <w:rPr>
          <w:rFonts w:hint="eastAsia" w:ascii="宋体" w:hAnsi="宋体" w:cs="宋体"/>
          <w:sz w:val="28"/>
          <w:szCs w:val="48"/>
          <w:highlight w:val="none"/>
          <w:lang w:val="en-US" w:eastAsia="zh-CN"/>
        </w:rPr>
        <w:t>顺义大剧院考核委员会</w:t>
      </w:r>
      <w:r>
        <w:rPr>
          <w:rFonts w:hint="eastAsia" w:ascii="宋体" w:hAnsi="宋体" w:cs="宋体"/>
          <w:sz w:val="28"/>
          <w:szCs w:val="48"/>
          <w:highlight w:val="none"/>
        </w:rPr>
        <w:t>将在每年6月至7月份组织对</w:t>
      </w:r>
      <w:r>
        <w:rPr>
          <w:rFonts w:hint="eastAsia" w:ascii="宋体" w:hAnsi="宋体" w:cs="宋体"/>
          <w:sz w:val="28"/>
          <w:szCs w:val="48"/>
          <w:highlight w:val="none"/>
          <w:lang w:eastAsia="zh-CN"/>
        </w:rPr>
        <w:t>乙方</w:t>
      </w:r>
      <w:r>
        <w:rPr>
          <w:rFonts w:hint="eastAsia" w:ascii="宋体" w:hAnsi="宋体" w:cs="宋体"/>
          <w:sz w:val="28"/>
          <w:szCs w:val="48"/>
          <w:highlight w:val="none"/>
        </w:rPr>
        <w:t>完成经营管理指标情况的考核。完成了“经营管理指标”是指完成下列四条内容：</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（1）实现了《顺义大剧院委托经营管理合同》约定的全部委托经营管理目标；若年度演出指标考核中，</w:t>
      </w:r>
      <w:r>
        <w:rPr>
          <w:rFonts w:hint="eastAsia" w:ascii="宋体" w:hAnsi="宋体" w:cs="宋体"/>
          <w:sz w:val="28"/>
          <w:szCs w:val="48"/>
          <w:highlight w:val="none"/>
          <w:lang w:eastAsia="zh-CN"/>
        </w:rPr>
        <w:t>乙方</w:t>
      </w:r>
      <w:r>
        <w:rPr>
          <w:rFonts w:hint="eastAsia" w:ascii="宋体" w:hAnsi="宋体" w:cs="宋体"/>
          <w:sz w:val="28"/>
          <w:szCs w:val="48"/>
          <w:highlight w:val="none"/>
        </w:rPr>
        <w:t>未能完成双方约定的全部演出场次目标的，A类演出每减少一场即从运营补贴款中扣除15万元，B类演出每减少一场即从运营补贴款中扣除10万元。顺义</w:t>
      </w:r>
      <w:r>
        <w:rPr>
          <w:rFonts w:hint="eastAsia" w:ascii="宋体" w:hAnsi="宋体" w:cs="宋体"/>
          <w:sz w:val="28"/>
          <w:szCs w:val="48"/>
          <w:highlight w:val="none"/>
          <w:lang w:val="en-US" w:eastAsia="zh-CN"/>
        </w:rPr>
        <w:t>区</w:t>
      </w:r>
      <w:r>
        <w:rPr>
          <w:rFonts w:hint="eastAsia" w:ascii="宋体" w:hAnsi="宋体" w:cs="宋体"/>
          <w:sz w:val="28"/>
          <w:szCs w:val="48"/>
          <w:highlight w:val="none"/>
        </w:rPr>
        <w:t>文化和旅游局有权在下一年向</w:t>
      </w:r>
      <w:r>
        <w:rPr>
          <w:rFonts w:hint="eastAsia" w:ascii="宋体" w:hAnsi="宋体" w:cs="宋体"/>
          <w:sz w:val="28"/>
          <w:szCs w:val="48"/>
          <w:highlight w:val="none"/>
          <w:lang w:eastAsia="zh-CN"/>
        </w:rPr>
        <w:t>乙方</w:t>
      </w:r>
      <w:r>
        <w:rPr>
          <w:rFonts w:hint="eastAsia" w:ascii="宋体" w:hAnsi="宋体" w:cs="宋体"/>
          <w:sz w:val="28"/>
          <w:szCs w:val="48"/>
          <w:highlight w:val="none"/>
        </w:rPr>
        <w:t>支付的运营补贴中直接扣除。</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（2）做好设备设施的维护和资产保管工作；</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（3）全年无重大安全责任事故（重大责任事故的界定以国家现行标准规定为准）；</w:t>
      </w:r>
    </w:p>
    <w:p>
      <w:pPr>
        <w:spacing w:line="360" w:lineRule="auto"/>
        <w:ind w:firstLine="560" w:firstLineChars="200"/>
        <w:rPr>
          <w:rFonts w:hint="eastAsia" w:ascii="宋体" w:hAnsi="宋体" w:cs="宋体"/>
          <w:sz w:val="28"/>
          <w:szCs w:val="48"/>
          <w:highlight w:val="none"/>
        </w:rPr>
      </w:pPr>
      <w:r>
        <w:rPr>
          <w:rFonts w:hint="eastAsia" w:ascii="宋体" w:hAnsi="宋体" w:cs="宋体"/>
          <w:sz w:val="28"/>
          <w:szCs w:val="48"/>
          <w:highlight w:val="none"/>
        </w:rPr>
        <w:t>（4）全年无违法违规行为。</w:t>
      </w:r>
    </w:p>
    <w:p>
      <w:pPr>
        <w:pStyle w:val="3"/>
        <w:rPr>
          <w:rFonts w:hint="eastAsia" w:ascii="宋体" w:hAnsi="宋体" w:cs="宋体"/>
          <w:sz w:val="28"/>
          <w:szCs w:val="48"/>
          <w:highlight w:val="none"/>
        </w:rPr>
      </w:pPr>
    </w:p>
    <w:p>
      <w:pPr>
        <w:rPr>
          <w:highlight w:val="none"/>
        </w:rPr>
      </w:pPr>
    </w:p>
    <w:p>
      <w:pPr>
        <w:spacing w:line="360" w:lineRule="auto"/>
        <w:ind w:firstLine="560" w:firstLineChars="200"/>
        <w:rPr>
          <w:rFonts w:hint="eastAsia" w:ascii="宋体" w:hAnsi="宋体" w:cs="宋体"/>
          <w:bCs/>
          <w:sz w:val="28"/>
          <w:szCs w:val="48"/>
          <w:highlight w:val="none"/>
          <w:lang w:val="en-US" w:eastAsia="zh-CN"/>
        </w:rPr>
      </w:pP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lang w:val="en-US" w:eastAsia="zh-CN"/>
        </w:rPr>
        <w:t>3.</w:t>
      </w:r>
      <w:r>
        <w:rPr>
          <w:rFonts w:hint="eastAsia" w:ascii="宋体" w:hAnsi="宋体" w:cs="宋体"/>
          <w:bCs/>
          <w:sz w:val="28"/>
          <w:szCs w:val="48"/>
          <w:highlight w:val="none"/>
        </w:rPr>
        <w:t>考核得分计算方法</w:t>
      </w:r>
    </w:p>
    <w:tbl>
      <w:tblPr>
        <w:tblStyle w:val="45"/>
        <w:tblW w:w="7088"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3260"/>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序号</w:t>
            </w:r>
          </w:p>
        </w:tc>
        <w:tc>
          <w:tcPr>
            <w:tcW w:w="3260"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考核得分</w:t>
            </w:r>
          </w:p>
        </w:tc>
        <w:tc>
          <w:tcPr>
            <w:tcW w:w="2268"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1</w:t>
            </w:r>
          </w:p>
        </w:tc>
        <w:tc>
          <w:tcPr>
            <w:tcW w:w="3260"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90分及以上</w:t>
            </w:r>
          </w:p>
        </w:tc>
        <w:tc>
          <w:tcPr>
            <w:tcW w:w="2268"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优秀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2</w:t>
            </w:r>
          </w:p>
        </w:tc>
        <w:tc>
          <w:tcPr>
            <w:tcW w:w="3260"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80分及以上</w:t>
            </w:r>
          </w:p>
        </w:tc>
        <w:tc>
          <w:tcPr>
            <w:tcW w:w="2268"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3</w:t>
            </w:r>
          </w:p>
        </w:tc>
        <w:tc>
          <w:tcPr>
            <w:tcW w:w="3260"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70分及以上</w:t>
            </w:r>
          </w:p>
        </w:tc>
        <w:tc>
          <w:tcPr>
            <w:tcW w:w="2268" w:type="dxa"/>
          </w:tcPr>
          <w:p>
            <w:pPr>
              <w:spacing w:line="600" w:lineRule="exact"/>
              <w:jc w:val="left"/>
              <w:rPr>
                <w:rFonts w:ascii="宋体" w:hAnsi="宋体" w:cs="宋体"/>
                <w:sz w:val="28"/>
                <w:szCs w:val="32"/>
                <w:highlight w:val="none"/>
              </w:rPr>
            </w:pPr>
            <w:r>
              <w:rPr>
                <w:rFonts w:hint="eastAsia" w:ascii="宋体" w:hAnsi="宋体" w:cs="宋体"/>
                <w:sz w:val="28"/>
                <w:szCs w:val="32"/>
                <w:highlight w:val="none"/>
              </w:rPr>
              <w:t>中等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Pr>
          <w:p>
            <w:pPr>
              <w:spacing w:line="600" w:lineRule="exact"/>
              <w:jc w:val="center"/>
              <w:rPr>
                <w:rFonts w:ascii="宋体" w:hAnsi="宋体" w:cs="宋体"/>
                <w:sz w:val="28"/>
                <w:szCs w:val="32"/>
                <w:highlight w:val="none"/>
              </w:rPr>
            </w:pPr>
            <w:r>
              <w:rPr>
                <w:rFonts w:hint="eastAsia" w:ascii="宋体" w:hAnsi="宋体" w:cs="宋体"/>
                <w:sz w:val="28"/>
                <w:szCs w:val="32"/>
                <w:highlight w:val="none"/>
              </w:rPr>
              <w:t>4</w:t>
            </w:r>
          </w:p>
        </w:tc>
        <w:tc>
          <w:tcPr>
            <w:tcW w:w="3260" w:type="dxa"/>
          </w:tcPr>
          <w:p>
            <w:pPr>
              <w:spacing w:line="600" w:lineRule="exact"/>
              <w:jc w:val="left"/>
              <w:rPr>
                <w:rFonts w:hint="default" w:ascii="宋体" w:hAnsi="宋体" w:eastAsia="宋体" w:cs="宋体"/>
                <w:sz w:val="28"/>
                <w:szCs w:val="32"/>
                <w:highlight w:val="none"/>
                <w:lang w:val="en-US" w:eastAsia="zh-CN"/>
              </w:rPr>
            </w:pPr>
            <w:r>
              <w:rPr>
                <w:rFonts w:hint="eastAsia" w:ascii="宋体" w:hAnsi="宋体" w:cs="宋体"/>
                <w:sz w:val="28"/>
                <w:szCs w:val="32"/>
                <w:highlight w:val="none"/>
                <w:lang w:val="en-US" w:eastAsia="zh-CN"/>
              </w:rPr>
              <w:t>70分以下</w:t>
            </w:r>
          </w:p>
        </w:tc>
        <w:tc>
          <w:tcPr>
            <w:tcW w:w="2268" w:type="dxa"/>
          </w:tcPr>
          <w:p>
            <w:pPr>
              <w:spacing w:line="600" w:lineRule="exact"/>
              <w:jc w:val="left"/>
              <w:rPr>
                <w:rFonts w:hint="eastAsia" w:ascii="宋体" w:hAnsi="宋体" w:eastAsia="宋体" w:cs="宋体"/>
                <w:sz w:val="28"/>
                <w:szCs w:val="32"/>
                <w:highlight w:val="none"/>
                <w:lang w:eastAsia="zh-CN"/>
              </w:rPr>
            </w:pPr>
            <w:r>
              <w:rPr>
                <w:rFonts w:hint="eastAsia" w:ascii="宋体" w:hAnsi="宋体" w:cs="宋体"/>
                <w:sz w:val="28"/>
                <w:szCs w:val="32"/>
                <w:highlight w:val="none"/>
                <w:lang w:val="en-US" w:eastAsia="zh-CN"/>
              </w:rPr>
              <w:t>较差</w:t>
            </w:r>
          </w:p>
        </w:tc>
      </w:tr>
    </w:tbl>
    <w:p>
      <w:pPr>
        <w:spacing w:line="360" w:lineRule="auto"/>
        <w:ind w:firstLine="560" w:firstLineChars="200"/>
        <w:rPr>
          <w:rFonts w:hint="eastAsia" w:ascii="宋体" w:hAnsi="宋体" w:eastAsia="宋体" w:cs="宋体"/>
          <w:sz w:val="28"/>
          <w:szCs w:val="48"/>
          <w:highlight w:val="none"/>
          <w:lang w:eastAsia="zh-CN"/>
        </w:rPr>
      </w:pPr>
      <w:r>
        <w:rPr>
          <w:rFonts w:hint="eastAsia" w:ascii="宋体" w:hAnsi="宋体" w:cs="宋体"/>
          <w:sz w:val="28"/>
          <w:szCs w:val="48"/>
          <w:highlight w:val="none"/>
        </w:rPr>
        <w:t>顺义大剧院考评总分为100分。考核为“优秀”的予以全额拨款；考核为“良好”的，扣除每年运营补贴尾款的20%；考核为“中等”的，扣除每年运营补贴尾款的50%；考核为“</w:t>
      </w:r>
      <w:r>
        <w:rPr>
          <w:rFonts w:hint="eastAsia" w:ascii="宋体" w:hAnsi="宋体" w:cs="宋体"/>
          <w:sz w:val="28"/>
          <w:szCs w:val="48"/>
          <w:highlight w:val="none"/>
          <w:lang w:val="en-US" w:eastAsia="zh-CN"/>
        </w:rPr>
        <w:t>较差</w:t>
      </w:r>
      <w:r>
        <w:rPr>
          <w:rFonts w:hint="eastAsia" w:ascii="宋体" w:hAnsi="宋体" w:cs="宋体"/>
          <w:sz w:val="28"/>
          <w:szCs w:val="48"/>
          <w:highlight w:val="none"/>
        </w:rPr>
        <w:t>”的，扣除每年运营补贴尾款的</w:t>
      </w:r>
      <w:r>
        <w:rPr>
          <w:rFonts w:hint="eastAsia" w:ascii="宋体" w:hAnsi="宋体" w:cs="宋体"/>
          <w:sz w:val="28"/>
          <w:szCs w:val="48"/>
          <w:highlight w:val="none"/>
          <w:lang w:val="en-US" w:eastAsia="zh-CN"/>
        </w:rPr>
        <w:t>8</w:t>
      </w:r>
      <w:r>
        <w:rPr>
          <w:rFonts w:hint="eastAsia" w:ascii="宋体" w:hAnsi="宋体" w:cs="宋体"/>
          <w:sz w:val="28"/>
          <w:szCs w:val="48"/>
          <w:highlight w:val="none"/>
        </w:rPr>
        <w:t>0%</w:t>
      </w:r>
      <w:r>
        <w:rPr>
          <w:rFonts w:hint="eastAsia" w:ascii="宋体" w:hAnsi="宋体" w:cs="宋体"/>
          <w:sz w:val="28"/>
          <w:szCs w:val="48"/>
          <w:highlight w:val="none"/>
          <w:lang w:eastAsia="zh-CN"/>
        </w:rPr>
        <w:t>。最终尾款金额在计算考核评分的基础上以财政评审为准。</w:t>
      </w:r>
    </w:p>
    <w:p>
      <w:pPr>
        <w:spacing w:line="360" w:lineRule="auto"/>
        <w:ind w:firstLine="560" w:firstLineChars="200"/>
        <w:rPr>
          <w:rFonts w:ascii="宋体" w:hAnsi="宋体" w:cs="宋体"/>
          <w:bCs/>
          <w:sz w:val="28"/>
          <w:szCs w:val="48"/>
          <w:highlight w:val="none"/>
        </w:rPr>
      </w:pPr>
      <w:r>
        <w:rPr>
          <w:rFonts w:hint="eastAsia" w:ascii="宋体" w:hAnsi="宋体" w:cs="宋体"/>
          <w:bCs/>
          <w:sz w:val="28"/>
          <w:szCs w:val="48"/>
          <w:highlight w:val="none"/>
          <w:lang w:eastAsia="zh-CN"/>
        </w:rPr>
        <w:t>十</w:t>
      </w:r>
      <w:r>
        <w:rPr>
          <w:rFonts w:hint="eastAsia" w:ascii="宋体" w:hAnsi="宋体" w:cs="宋体"/>
          <w:bCs/>
          <w:sz w:val="28"/>
          <w:szCs w:val="48"/>
          <w:highlight w:val="none"/>
        </w:rPr>
        <w:t>、其它</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1.本考核办法中涉及的演出等次、上座率等名词的界定按照《顺义区大剧院委托经营管理合同》规定执行。</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2.合同履行期内，未完成约定演出场次或达不到约定演出标准的，按照本办法有关标准执行。</w:t>
      </w:r>
    </w:p>
    <w:p>
      <w:pPr>
        <w:spacing w:line="360" w:lineRule="auto"/>
        <w:ind w:firstLine="560" w:firstLineChars="200"/>
        <w:rPr>
          <w:rFonts w:ascii="宋体" w:hAnsi="宋体" w:cs="宋体"/>
          <w:sz w:val="28"/>
          <w:szCs w:val="48"/>
          <w:highlight w:val="none"/>
        </w:rPr>
      </w:pPr>
      <w:r>
        <w:rPr>
          <w:rFonts w:hint="eastAsia" w:ascii="宋体" w:hAnsi="宋体" w:cs="宋体"/>
          <w:sz w:val="28"/>
          <w:szCs w:val="48"/>
          <w:highlight w:val="none"/>
        </w:rPr>
        <w:t>附：1.顺义大剧院经营管理考核表</w:t>
      </w:r>
    </w:p>
    <w:p>
      <w:pPr>
        <w:spacing w:line="360" w:lineRule="auto"/>
        <w:ind w:firstLine="1120" w:firstLineChars="400"/>
        <w:rPr>
          <w:rFonts w:ascii="宋体" w:hAnsi="宋体" w:cs="宋体"/>
          <w:sz w:val="28"/>
          <w:szCs w:val="48"/>
          <w:highlight w:val="none"/>
        </w:rPr>
      </w:pPr>
      <w:r>
        <w:rPr>
          <w:rFonts w:hint="eastAsia" w:ascii="宋体" w:hAnsi="宋体" w:cs="宋体"/>
          <w:sz w:val="28"/>
          <w:szCs w:val="48"/>
          <w:highlight w:val="none"/>
        </w:rPr>
        <w:t>2.</w:t>
      </w:r>
      <w:r>
        <w:rPr>
          <w:rFonts w:hint="eastAsia" w:ascii="宋体" w:hAnsi="宋体" w:cs="宋体"/>
          <w:color w:val="FF0000"/>
          <w:sz w:val="28"/>
          <w:szCs w:val="48"/>
          <w:highlight w:val="none"/>
          <w:lang w:val="en-US" w:eastAsia="zh-CN"/>
        </w:rPr>
        <w:t>XX</w:t>
      </w:r>
      <w:r>
        <w:rPr>
          <w:rFonts w:hint="eastAsia" w:ascii="宋体" w:hAnsi="宋体" w:cs="宋体"/>
          <w:sz w:val="28"/>
          <w:szCs w:val="48"/>
          <w:highlight w:val="none"/>
        </w:rPr>
        <w:t>年度顺义大剧院考核评分表</w:t>
      </w:r>
    </w:p>
    <w:p>
      <w:pPr>
        <w:spacing w:line="360" w:lineRule="auto"/>
        <w:ind w:firstLine="480" w:firstLineChars="200"/>
        <w:rPr>
          <w:rFonts w:ascii="宋体" w:hAnsi="宋体" w:cs="宋体"/>
          <w:sz w:val="24"/>
          <w:szCs w:val="44"/>
          <w:highlight w:val="none"/>
        </w:rPr>
      </w:pPr>
    </w:p>
    <w:p>
      <w:pPr>
        <w:rPr>
          <w:rFonts w:ascii="宋体" w:hAnsi="宋体" w:cs="宋体"/>
          <w:color w:val="000000"/>
          <w:sz w:val="24"/>
          <w:szCs w:val="44"/>
          <w:highlight w:val="none"/>
        </w:rPr>
        <w:sectPr>
          <w:headerReference r:id="rId18" w:type="default"/>
          <w:footerReference r:id="rId19" w:type="default"/>
          <w:pgSz w:w="11906" w:h="16838"/>
          <w:pgMar w:top="1418" w:right="1531" w:bottom="1418" w:left="1531" w:header="851" w:footer="992" w:gutter="0"/>
          <w:cols w:space="720" w:num="1"/>
          <w:docGrid w:type="linesAndChars" w:linePitch="315" w:charSpace="0"/>
        </w:sectPr>
      </w:pPr>
    </w:p>
    <w:p>
      <w:pPr>
        <w:rPr>
          <w:rFonts w:ascii="宋体" w:hAnsi="宋体" w:cs="宋体"/>
          <w:color w:val="000000"/>
          <w:sz w:val="24"/>
          <w:szCs w:val="44"/>
          <w:highlight w:val="none"/>
        </w:rPr>
      </w:pPr>
    </w:p>
    <w:p>
      <w:pPr>
        <w:rPr>
          <w:rFonts w:ascii="宋体" w:hAnsi="宋体" w:cs="宋体"/>
          <w:color w:val="000000"/>
          <w:sz w:val="24"/>
          <w:szCs w:val="44"/>
          <w:highlight w:val="none"/>
        </w:rPr>
      </w:pPr>
      <w:r>
        <w:rPr>
          <w:rFonts w:hint="eastAsia" w:ascii="宋体" w:hAnsi="宋体" w:cs="宋体"/>
          <w:color w:val="000000"/>
          <w:sz w:val="24"/>
          <w:szCs w:val="44"/>
          <w:highlight w:val="none"/>
        </w:rPr>
        <w:t>附件1</w:t>
      </w:r>
    </w:p>
    <w:p>
      <w:pPr>
        <w:spacing w:line="360" w:lineRule="auto"/>
        <w:jc w:val="center"/>
        <w:rPr>
          <w:rFonts w:ascii="宋体" w:hAnsi="宋体" w:cs="宋体"/>
          <w:spacing w:val="20"/>
          <w:sz w:val="40"/>
          <w:szCs w:val="44"/>
          <w:highlight w:val="none"/>
        </w:rPr>
      </w:pPr>
      <w:r>
        <w:rPr>
          <w:rFonts w:hint="eastAsia" w:ascii="宋体" w:hAnsi="宋体" w:cs="宋体"/>
          <w:spacing w:val="20"/>
          <w:sz w:val="40"/>
          <w:szCs w:val="44"/>
          <w:highlight w:val="none"/>
        </w:rPr>
        <w:t>顺义大剧院运营管理公司委托经营管理</w:t>
      </w:r>
    </w:p>
    <w:p>
      <w:pPr>
        <w:spacing w:line="240" w:lineRule="atLeast"/>
        <w:ind w:left="578" w:leftChars="1" w:hanging="576" w:hangingChars="131"/>
        <w:jc w:val="center"/>
        <w:rPr>
          <w:rFonts w:ascii="宋体" w:hAnsi="宋体" w:cs="宋体"/>
          <w:color w:val="000000"/>
          <w:spacing w:val="20"/>
          <w:sz w:val="44"/>
          <w:szCs w:val="44"/>
          <w:highlight w:val="none"/>
        </w:rPr>
      </w:pPr>
      <w:r>
        <w:rPr>
          <w:rFonts w:hint="eastAsia" w:ascii="宋体" w:hAnsi="宋体" w:cs="宋体"/>
          <w:spacing w:val="20"/>
          <w:sz w:val="40"/>
          <w:szCs w:val="44"/>
          <w:highlight w:val="none"/>
        </w:rPr>
        <w:t>考核表</w:t>
      </w:r>
    </w:p>
    <w:p>
      <w:pPr>
        <w:spacing w:line="240" w:lineRule="atLeast"/>
        <w:ind w:left="473" w:leftChars="1" w:hanging="471" w:hangingChars="131"/>
        <w:jc w:val="center"/>
        <w:rPr>
          <w:rFonts w:ascii="宋体" w:hAnsi="宋体" w:cs="宋体"/>
          <w:color w:val="000000"/>
          <w:sz w:val="36"/>
          <w:szCs w:val="44"/>
          <w:highlight w:val="none"/>
        </w:rPr>
      </w:pPr>
      <w:r>
        <w:rPr>
          <w:rFonts w:hint="eastAsia" w:ascii="宋体" w:hAnsi="宋体" w:cs="宋体"/>
          <w:color w:val="000000"/>
          <w:sz w:val="36"/>
          <w:szCs w:val="44"/>
          <w:highlight w:val="none"/>
        </w:rPr>
        <w:t>（2024—2026年度）</w:t>
      </w:r>
    </w:p>
    <w:tbl>
      <w:tblPr>
        <w:tblStyle w:val="45"/>
        <w:tblW w:w="9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1385"/>
        <w:gridCol w:w="587"/>
        <w:gridCol w:w="564"/>
        <w:gridCol w:w="1408"/>
        <w:gridCol w:w="282"/>
        <w:gridCol w:w="621"/>
        <w:gridCol w:w="787"/>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考核主体</w:t>
            </w:r>
          </w:p>
        </w:tc>
        <w:tc>
          <w:tcPr>
            <w:tcW w:w="7044" w:type="dxa"/>
            <w:gridSpan w:val="8"/>
            <w:vAlign w:val="center"/>
          </w:tcPr>
          <w:p>
            <w:pPr>
              <w:jc w:val="center"/>
              <w:rPr>
                <w:rFonts w:ascii="宋体" w:hAnsi="宋体" w:cs="宋体"/>
                <w:color w:val="000000"/>
                <w:sz w:val="24"/>
                <w:highlight w:val="none"/>
              </w:rPr>
            </w:pPr>
            <w:r>
              <w:rPr>
                <w:rFonts w:hint="eastAsia" w:ascii="宋体" w:hAnsi="宋体" w:cs="宋体"/>
                <w:color w:val="000000"/>
                <w:sz w:val="24"/>
                <w:highlight w:val="none"/>
              </w:rPr>
              <w:t xml:space="preserve">北京市顺义区文化和旅游局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被考核主体</w:t>
            </w:r>
          </w:p>
        </w:tc>
        <w:tc>
          <w:tcPr>
            <w:tcW w:w="7044" w:type="dxa"/>
            <w:gridSpan w:val="8"/>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Merge w:val="restart"/>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演出场次</w:t>
            </w:r>
          </w:p>
        </w:tc>
        <w:tc>
          <w:tcPr>
            <w:tcW w:w="138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A类演出</w:t>
            </w:r>
          </w:p>
        </w:tc>
        <w:tc>
          <w:tcPr>
            <w:tcW w:w="1151" w:type="dxa"/>
            <w:gridSpan w:val="2"/>
            <w:vAlign w:val="center"/>
          </w:tcPr>
          <w:p>
            <w:pPr>
              <w:jc w:val="center"/>
              <w:rPr>
                <w:rFonts w:ascii="宋体" w:hAnsi="宋体" w:cs="宋体"/>
                <w:color w:val="000000"/>
                <w:sz w:val="24"/>
                <w:highlight w:val="none"/>
              </w:rPr>
            </w:pPr>
          </w:p>
        </w:tc>
        <w:tc>
          <w:tcPr>
            <w:tcW w:w="1690" w:type="dxa"/>
            <w:gridSpan w:val="2"/>
            <w:vMerge w:val="restart"/>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平均上座率</w:t>
            </w:r>
          </w:p>
        </w:tc>
        <w:tc>
          <w:tcPr>
            <w:tcW w:w="1408"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A类演出</w:t>
            </w:r>
          </w:p>
        </w:tc>
        <w:tc>
          <w:tcPr>
            <w:tcW w:w="1410" w:type="dxa"/>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075" w:type="dxa"/>
            <w:vMerge w:val="continue"/>
            <w:vAlign w:val="center"/>
          </w:tcPr>
          <w:p>
            <w:pPr>
              <w:jc w:val="center"/>
              <w:rPr>
                <w:rFonts w:ascii="宋体" w:hAnsi="宋体" w:cs="宋体"/>
                <w:color w:val="000000"/>
                <w:sz w:val="24"/>
                <w:highlight w:val="none"/>
              </w:rPr>
            </w:pPr>
          </w:p>
        </w:tc>
        <w:tc>
          <w:tcPr>
            <w:tcW w:w="138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B类演出</w:t>
            </w:r>
          </w:p>
        </w:tc>
        <w:tc>
          <w:tcPr>
            <w:tcW w:w="1151" w:type="dxa"/>
            <w:gridSpan w:val="2"/>
            <w:vAlign w:val="center"/>
          </w:tcPr>
          <w:p>
            <w:pPr>
              <w:jc w:val="center"/>
              <w:rPr>
                <w:rFonts w:ascii="宋体" w:hAnsi="宋体" w:cs="宋体"/>
                <w:color w:val="000000"/>
                <w:sz w:val="24"/>
                <w:highlight w:val="none"/>
              </w:rPr>
            </w:pPr>
          </w:p>
        </w:tc>
        <w:tc>
          <w:tcPr>
            <w:tcW w:w="1690" w:type="dxa"/>
            <w:gridSpan w:val="2"/>
            <w:vMerge w:val="continue"/>
            <w:vAlign w:val="center"/>
          </w:tcPr>
          <w:p>
            <w:pPr>
              <w:jc w:val="center"/>
              <w:rPr>
                <w:rFonts w:ascii="宋体" w:hAnsi="宋体" w:cs="宋体"/>
                <w:color w:val="000000"/>
                <w:sz w:val="24"/>
                <w:highlight w:val="none"/>
              </w:rPr>
            </w:pPr>
          </w:p>
        </w:tc>
        <w:tc>
          <w:tcPr>
            <w:tcW w:w="1408"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B类演出</w:t>
            </w:r>
          </w:p>
        </w:tc>
        <w:tc>
          <w:tcPr>
            <w:tcW w:w="1410" w:type="dxa"/>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075" w:type="dxa"/>
            <w:vMerge w:val="continue"/>
            <w:vAlign w:val="center"/>
          </w:tcPr>
          <w:p>
            <w:pPr>
              <w:jc w:val="center"/>
              <w:rPr>
                <w:rFonts w:ascii="宋体" w:hAnsi="宋体" w:cs="宋体"/>
                <w:color w:val="000000"/>
                <w:sz w:val="24"/>
                <w:highlight w:val="none"/>
              </w:rPr>
            </w:pPr>
          </w:p>
        </w:tc>
        <w:tc>
          <w:tcPr>
            <w:tcW w:w="138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C类演出</w:t>
            </w:r>
          </w:p>
        </w:tc>
        <w:tc>
          <w:tcPr>
            <w:tcW w:w="1151" w:type="dxa"/>
            <w:gridSpan w:val="2"/>
            <w:vAlign w:val="center"/>
          </w:tcPr>
          <w:p>
            <w:pPr>
              <w:jc w:val="center"/>
              <w:rPr>
                <w:rFonts w:ascii="宋体" w:hAnsi="宋体" w:cs="宋体"/>
                <w:color w:val="000000"/>
                <w:sz w:val="24"/>
                <w:highlight w:val="none"/>
              </w:rPr>
            </w:pPr>
          </w:p>
        </w:tc>
        <w:tc>
          <w:tcPr>
            <w:tcW w:w="1690" w:type="dxa"/>
            <w:gridSpan w:val="2"/>
            <w:vMerge w:val="continue"/>
            <w:vAlign w:val="center"/>
          </w:tcPr>
          <w:p>
            <w:pPr>
              <w:jc w:val="center"/>
              <w:rPr>
                <w:rFonts w:ascii="宋体" w:hAnsi="宋体" w:cs="宋体"/>
                <w:color w:val="000000"/>
                <w:sz w:val="24"/>
                <w:highlight w:val="none"/>
              </w:rPr>
            </w:pPr>
          </w:p>
        </w:tc>
        <w:tc>
          <w:tcPr>
            <w:tcW w:w="1408"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C类演出</w:t>
            </w:r>
          </w:p>
        </w:tc>
        <w:tc>
          <w:tcPr>
            <w:tcW w:w="1410" w:type="dxa"/>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演出总收入</w:t>
            </w:r>
          </w:p>
        </w:tc>
        <w:tc>
          <w:tcPr>
            <w:tcW w:w="2536" w:type="dxa"/>
            <w:gridSpan w:val="3"/>
            <w:vAlign w:val="center"/>
          </w:tcPr>
          <w:p>
            <w:pPr>
              <w:jc w:val="center"/>
              <w:rPr>
                <w:rFonts w:ascii="宋体" w:hAnsi="宋体" w:cs="宋体"/>
                <w:color w:val="000000"/>
                <w:sz w:val="24"/>
                <w:highlight w:val="none"/>
              </w:rPr>
            </w:pPr>
          </w:p>
        </w:tc>
        <w:tc>
          <w:tcPr>
            <w:tcW w:w="2311" w:type="dxa"/>
            <w:gridSpan w:val="3"/>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净利润</w:t>
            </w:r>
          </w:p>
        </w:tc>
        <w:tc>
          <w:tcPr>
            <w:tcW w:w="2197" w:type="dxa"/>
            <w:gridSpan w:val="2"/>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政府免费用场</w:t>
            </w:r>
          </w:p>
          <w:p>
            <w:pPr>
              <w:jc w:val="center"/>
              <w:rPr>
                <w:rFonts w:ascii="宋体" w:hAnsi="宋体" w:cs="宋体"/>
                <w:color w:val="000000"/>
                <w:sz w:val="24"/>
                <w:highlight w:val="none"/>
              </w:rPr>
            </w:pPr>
            <w:r>
              <w:rPr>
                <w:rFonts w:hint="eastAsia" w:ascii="宋体" w:hAnsi="宋体" w:cs="宋体"/>
                <w:color w:val="000000"/>
                <w:sz w:val="24"/>
                <w:highlight w:val="none"/>
              </w:rPr>
              <w:t>天数</w:t>
            </w:r>
          </w:p>
        </w:tc>
        <w:tc>
          <w:tcPr>
            <w:tcW w:w="2536" w:type="dxa"/>
            <w:gridSpan w:val="3"/>
            <w:vAlign w:val="center"/>
          </w:tcPr>
          <w:p>
            <w:pPr>
              <w:jc w:val="center"/>
              <w:rPr>
                <w:rFonts w:ascii="宋体" w:hAnsi="宋体" w:cs="宋体"/>
                <w:color w:val="000000"/>
                <w:sz w:val="24"/>
                <w:highlight w:val="none"/>
              </w:rPr>
            </w:pPr>
          </w:p>
        </w:tc>
        <w:tc>
          <w:tcPr>
            <w:tcW w:w="2311" w:type="dxa"/>
            <w:gridSpan w:val="3"/>
            <w:vAlign w:val="center"/>
          </w:tcPr>
          <w:p>
            <w:pPr>
              <w:jc w:val="left"/>
              <w:rPr>
                <w:rFonts w:ascii="宋体" w:hAnsi="宋体" w:cs="宋体"/>
                <w:color w:val="000000"/>
                <w:sz w:val="24"/>
                <w:highlight w:val="none"/>
              </w:rPr>
            </w:pPr>
            <w:r>
              <w:rPr>
                <w:rFonts w:hint="eastAsia" w:ascii="宋体" w:hAnsi="宋体" w:cs="宋体"/>
                <w:color w:val="000000"/>
                <w:sz w:val="24"/>
                <w:highlight w:val="none"/>
              </w:rPr>
              <w:t>经营管理制度及内部管理制度</w:t>
            </w:r>
          </w:p>
          <w:p>
            <w:pPr>
              <w:jc w:val="left"/>
              <w:rPr>
                <w:rFonts w:ascii="宋体" w:hAnsi="宋体" w:cs="宋体"/>
                <w:color w:val="000000"/>
                <w:sz w:val="24"/>
                <w:highlight w:val="none"/>
              </w:rPr>
            </w:pPr>
            <w:r>
              <w:rPr>
                <w:rFonts w:hint="eastAsia" w:ascii="宋体" w:hAnsi="宋体" w:cs="宋体"/>
                <w:color w:val="000000"/>
                <w:sz w:val="24"/>
                <w:highlight w:val="none"/>
              </w:rPr>
              <w:t>落实情况</w:t>
            </w:r>
          </w:p>
        </w:tc>
        <w:tc>
          <w:tcPr>
            <w:tcW w:w="2197" w:type="dxa"/>
            <w:gridSpan w:val="2"/>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群众满意度情况</w:t>
            </w:r>
          </w:p>
        </w:tc>
        <w:tc>
          <w:tcPr>
            <w:tcW w:w="2536" w:type="dxa"/>
            <w:gridSpan w:val="3"/>
            <w:vAlign w:val="center"/>
          </w:tcPr>
          <w:p>
            <w:pPr>
              <w:jc w:val="center"/>
              <w:rPr>
                <w:rFonts w:ascii="宋体" w:hAnsi="宋体" w:cs="宋体"/>
                <w:color w:val="000000"/>
                <w:sz w:val="24"/>
                <w:highlight w:val="none"/>
              </w:rPr>
            </w:pPr>
          </w:p>
        </w:tc>
        <w:tc>
          <w:tcPr>
            <w:tcW w:w="2311" w:type="dxa"/>
            <w:gridSpan w:val="3"/>
            <w:vAlign w:val="center"/>
          </w:tcPr>
          <w:p>
            <w:pPr>
              <w:jc w:val="center"/>
              <w:rPr>
                <w:rFonts w:ascii="宋体" w:hAnsi="宋体" w:cs="宋体"/>
                <w:color w:val="000000"/>
                <w:sz w:val="24"/>
                <w:highlight w:val="none"/>
              </w:rPr>
            </w:pPr>
            <w:r>
              <w:rPr>
                <w:rFonts w:hint="eastAsia" w:ascii="宋体" w:hAnsi="宋体" w:cs="宋体"/>
                <w:color w:val="000000"/>
                <w:sz w:val="24"/>
                <w:highlight w:val="none"/>
              </w:rPr>
              <w:t>重大安全事故情况</w:t>
            </w:r>
          </w:p>
        </w:tc>
        <w:tc>
          <w:tcPr>
            <w:tcW w:w="2197" w:type="dxa"/>
            <w:gridSpan w:val="2"/>
            <w:vAlign w:val="center"/>
          </w:tcPr>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0"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考核结论</w:t>
            </w:r>
          </w:p>
        </w:tc>
        <w:tc>
          <w:tcPr>
            <w:tcW w:w="7044" w:type="dxa"/>
            <w:gridSpan w:val="8"/>
            <w:vAlign w:val="center"/>
          </w:tcPr>
          <w:p>
            <w:pPr>
              <w:jc w:val="center"/>
              <w:rPr>
                <w:rFonts w:ascii="宋体" w:hAnsi="宋体" w:cs="宋体"/>
                <w:color w:val="000000"/>
                <w:sz w:val="24"/>
                <w:highlight w:val="none"/>
              </w:rPr>
            </w:pPr>
          </w:p>
          <w:p>
            <w:pPr>
              <w:jc w:val="center"/>
              <w:rPr>
                <w:rFonts w:ascii="宋体" w:hAnsi="宋体" w:cs="宋体"/>
                <w:color w:val="000000"/>
                <w:sz w:val="24"/>
                <w:highlight w:val="none"/>
              </w:rPr>
            </w:pPr>
          </w:p>
          <w:p>
            <w:pPr>
              <w:rPr>
                <w:rFonts w:ascii="宋体" w:hAnsi="宋体" w:cs="宋体"/>
                <w:color w:val="000000"/>
                <w:sz w:val="24"/>
                <w:highlight w:val="none"/>
              </w:rPr>
            </w:pPr>
          </w:p>
          <w:p>
            <w:pPr>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2075"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综合考核等次</w:t>
            </w:r>
          </w:p>
        </w:tc>
        <w:tc>
          <w:tcPr>
            <w:tcW w:w="1972" w:type="dxa"/>
            <w:gridSpan w:val="2"/>
            <w:vAlign w:val="center"/>
          </w:tcPr>
          <w:p>
            <w:pPr>
              <w:jc w:val="center"/>
              <w:rPr>
                <w:rFonts w:ascii="宋体" w:hAnsi="宋体" w:cs="宋体"/>
                <w:color w:val="000000"/>
                <w:sz w:val="24"/>
                <w:highlight w:val="none"/>
              </w:rPr>
            </w:pPr>
          </w:p>
        </w:tc>
        <w:tc>
          <w:tcPr>
            <w:tcW w:w="1972"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考核</w:t>
            </w:r>
            <w:r>
              <w:rPr>
                <w:rFonts w:hint="eastAsia" w:ascii="宋体" w:hAnsi="宋体" w:cs="宋体"/>
                <w:color w:val="000000"/>
                <w:sz w:val="24"/>
                <w:highlight w:val="none"/>
                <w:lang w:val="en-US" w:eastAsia="zh-CN"/>
              </w:rPr>
              <w:t>委员会</w:t>
            </w:r>
            <w:r>
              <w:rPr>
                <w:rFonts w:hint="eastAsia" w:ascii="宋体" w:hAnsi="宋体" w:cs="宋体"/>
                <w:color w:val="000000"/>
                <w:sz w:val="24"/>
                <w:highlight w:val="none"/>
              </w:rPr>
              <w:t>签字</w:t>
            </w:r>
          </w:p>
        </w:tc>
        <w:tc>
          <w:tcPr>
            <w:tcW w:w="3100" w:type="dxa"/>
            <w:gridSpan w:val="4"/>
            <w:vAlign w:val="center"/>
          </w:tcPr>
          <w:p>
            <w:pPr>
              <w:jc w:val="center"/>
              <w:rPr>
                <w:rFonts w:ascii="宋体" w:hAnsi="宋体" w:cs="宋体"/>
                <w:color w:val="000000"/>
                <w:sz w:val="24"/>
                <w:highlight w:val="none"/>
              </w:rPr>
            </w:pPr>
          </w:p>
        </w:tc>
      </w:tr>
    </w:tbl>
    <w:p>
      <w:pPr>
        <w:rPr>
          <w:rFonts w:ascii="宋体" w:hAnsi="宋体" w:cs="宋体"/>
          <w:szCs w:val="32"/>
          <w:highlight w:val="none"/>
        </w:rPr>
        <w:sectPr>
          <w:pgSz w:w="11906" w:h="16838"/>
          <w:pgMar w:top="1418" w:right="1531" w:bottom="1418" w:left="1531" w:header="851" w:footer="992" w:gutter="0"/>
          <w:cols w:space="720" w:num="1"/>
          <w:docGrid w:type="linesAndChars" w:linePitch="315" w:charSpace="0"/>
        </w:sectPr>
      </w:pPr>
      <w:r>
        <w:rPr>
          <w:rFonts w:hint="eastAsia" w:ascii="宋体" w:hAnsi="宋体" w:cs="宋体"/>
          <w:sz w:val="24"/>
          <w:highlight w:val="none"/>
        </w:rPr>
        <w:t>填表时间：                                   填表人：</w:t>
      </w:r>
    </w:p>
    <w:p>
      <w:pPr>
        <w:rPr>
          <w:rFonts w:ascii="宋体" w:hAnsi="宋体" w:cs="宋体"/>
          <w:b/>
          <w:sz w:val="44"/>
          <w:szCs w:val="44"/>
          <w:highlight w:val="none"/>
        </w:rPr>
      </w:pPr>
      <w:r>
        <w:rPr>
          <w:rFonts w:hint="eastAsia" w:ascii="宋体" w:hAnsi="宋体" w:cs="宋体"/>
          <w:szCs w:val="32"/>
          <w:highlight w:val="none"/>
        </w:rPr>
        <w:t>附件2</w:t>
      </w:r>
    </w:p>
    <w:p>
      <w:pPr>
        <w:spacing w:line="360" w:lineRule="auto"/>
        <w:jc w:val="center"/>
        <w:rPr>
          <w:rFonts w:ascii="宋体" w:hAnsi="宋体" w:cs="宋体"/>
          <w:sz w:val="44"/>
          <w:szCs w:val="44"/>
          <w:highlight w:val="none"/>
        </w:rPr>
      </w:pPr>
      <w:r>
        <w:rPr>
          <w:rFonts w:hint="eastAsia" w:ascii="宋体" w:hAnsi="宋体" w:cs="宋体"/>
          <w:sz w:val="44"/>
          <w:szCs w:val="44"/>
          <w:highlight w:val="none"/>
          <w:lang w:val="en-US" w:eastAsia="zh-CN"/>
        </w:rPr>
        <w:t>XX</w:t>
      </w:r>
      <w:r>
        <w:rPr>
          <w:rFonts w:hint="eastAsia" w:ascii="宋体" w:hAnsi="宋体" w:cs="宋体"/>
          <w:sz w:val="44"/>
          <w:szCs w:val="44"/>
          <w:highlight w:val="none"/>
        </w:rPr>
        <w:t>年度顺义大剧院</w:t>
      </w:r>
      <w:r>
        <w:rPr>
          <w:rFonts w:hint="eastAsia" w:ascii="宋体" w:hAnsi="宋体" w:cs="宋体"/>
          <w:spacing w:val="20"/>
          <w:sz w:val="40"/>
          <w:szCs w:val="44"/>
          <w:highlight w:val="none"/>
        </w:rPr>
        <w:t>运营管理公司</w:t>
      </w:r>
      <w:r>
        <w:rPr>
          <w:rFonts w:hint="eastAsia" w:ascii="宋体" w:hAnsi="宋体" w:cs="宋体"/>
          <w:sz w:val="44"/>
          <w:szCs w:val="44"/>
          <w:highlight w:val="none"/>
        </w:rPr>
        <w:t>考核评分表（总分100分）</w:t>
      </w:r>
    </w:p>
    <w:tbl>
      <w:tblPr>
        <w:tblStyle w:val="45"/>
        <w:tblW w:w="14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1879"/>
        <w:gridCol w:w="790"/>
        <w:gridCol w:w="1756"/>
        <w:gridCol w:w="1461"/>
        <w:gridCol w:w="1302"/>
        <w:gridCol w:w="1185"/>
        <w:gridCol w:w="353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439" w:type="dxa"/>
            <w:gridSpan w:val="2"/>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考核内容</w:t>
            </w:r>
          </w:p>
        </w:tc>
        <w:tc>
          <w:tcPr>
            <w:tcW w:w="790" w:type="dxa"/>
            <w:vMerge w:val="restart"/>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分值</w:t>
            </w:r>
          </w:p>
        </w:tc>
        <w:tc>
          <w:tcPr>
            <w:tcW w:w="1756" w:type="dxa"/>
            <w:vMerge w:val="restart"/>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完成情况</w:t>
            </w:r>
          </w:p>
        </w:tc>
        <w:tc>
          <w:tcPr>
            <w:tcW w:w="1461" w:type="dxa"/>
            <w:vMerge w:val="restart"/>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自评分</w:t>
            </w:r>
          </w:p>
        </w:tc>
        <w:tc>
          <w:tcPr>
            <w:tcW w:w="1302"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加减分</w:t>
            </w:r>
          </w:p>
        </w:tc>
        <w:tc>
          <w:tcPr>
            <w:tcW w:w="1185"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考核组</w:t>
            </w:r>
          </w:p>
        </w:tc>
        <w:tc>
          <w:tcPr>
            <w:tcW w:w="4952" w:type="dxa"/>
            <w:gridSpan w:val="2"/>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560"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总内容</w:t>
            </w:r>
          </w:p>
        </w:tc>
        <w:tc>
          <w:tcPr>
            <w:tcW w:w="1879"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具体项目</w:t>
            </w:r>
          </w:p>
        </w:tc>
        <w:tc>
          <w:tcPr>
            <w:tcW w:w="790" w:type="dxa"/>
            <w:vMerge w:val="continue"/>
            <w:vAlign w:val="center"/>
          </w:tcPr>
          <w:p>
            <w:pPr>
              <w:rPr>
                <w:rFonts w:ascii="宋体" w:hAnsi="宋体" w:cs="宋体"/>
                <w:sz w:val="28"/>
                <w:szCs w:val="28"/>
                <w:highlight w:val="none"/>
              </w:rPr>
            </w:pPr>
          </w:p>
        </w:tc>
        <w:tc>
          <w:tcPr>
            <w:tcW w:w="1756" w:type="dxa"/>
            <w:vMerge w:val="continue"/>
            <w:vAlign w:val="center"/>
          </w:tcPr>
          <w:p>
            <w:pPr>
              <w:rPr>
                <w:rFonts w:ascii="宋体" w:hAnsi="宋体" w:cs="宋体"/>
                <w:sz w:val="28"/>
                <w:szCs w:val="28"/>
                <w:highlight w:val="none"/>
              </w:rPr>
            </w:pPr>
          </w:p>
        </w:tc>
        <w:tc>
          <w:tcPr>
            <w:tcW w:w="1461" w:type="dxa"/>
            <w:vMerge w:val="continue"/>
            <w:vAlign w:val="center"/>
          </w:tcPr>
          <w:p>
            <w:pPr>
              <w:rPr>
                <w:rFonts w:ascii="宋体" w:hAnsi="宋体" w:cs="宋体"/>
                <w:sz w:val="28"/>
                <w:szCs w:val="28"/>
                <w:highlight w:val="none"/>
              </w:rPr>
            </w:pPr>
          </w:p>
        </w:tc>
        <w:tc>
          <w:tcPr>
            <w:tcW w:w="1302"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理由</w:t>
            </w:r>
          </w:p>
        </w:tc>
        <w:tc>
          <w:tcPr>
            <w:tcW w:w="1185"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评审</w:t>
            </w:r>
          </w:p>
        </w:tc>
        <w:tc>
          <w:tcPr>
            <w:tcW w:w="3531"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评分标准</w:t>
            </w:r>
          </w:p>
        </w:tc>
        <w:tc>
          <w:tcPr>
            <w:tcW w:w="1421" w:type="dxa"/>
            <w:vAlign w:val="center"/>
          </w:tcPr>
          <w:p>
            <w:pPr>
              <w:widowControl/>
              <w:jc w:val="center"/>
              <w:rPr>
                <w:rFonts w:ascii="宋体" w:hAnsi="宋体" w:cs="宋体"/>
                <w:b/>
                <w:sz w:val="28"/>
                <w:szCs w:val="28"/>
                <w:highlight w:val="none"/>
              </w:rPr>
            </w:pPr>
            <w:r>
              <w:rPr>
                <w:rFonts w:hint="eastAsia" w:ascii="宋体" w:hAnsi="宋体" w:cs="宋体"/>
                <w:b/>
                <w:sz w:val="28"/>
                <w:szCs w:val="28"/>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9" w:hRule="atLeast"/>
          <w:jc w:val="center"/>
        </w:trPr>
        <w:tc>
          <w:tcPr>
            <w:tcW w:w="1560" w:type="dxa"/>
            <w:vMerge w:val="restart"/>
          </w:tcPr>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一、演出情况</w:t>
            </w:r>
            <w:r>
              <w:rPr>
                <w:rFonts w:hint="eastAsia" w:ascii="宋体" w:hAnsi="宋体" w:cs="宋体"/>
                <w:bCs/>
                <w:sz w:val="24"/>
                <w:highlight w:val="none"/>
              </w:rPr>
              <w:t>（总分</w:t>
            </w:r>
            <w:r>
              <w:rPr>
                <w:rFonts w:hint="eastAsia" w:ascii="宋体" w:hAnsi="宋体" w:cs="宋体"/>
                <w:bCs/>
                <w:sz w:val="24"/>
                <w:highlight w:val="none"/>
                <w:lang w:val="en-US" w:eastAsia="zh-CN"/>
              </w:rPr>
              <w:t>48</w:t>
            </w:r>
            <w:r>
              <w:rPr>
                <w:rFonts w:hint="eastAsia" w:ascii="宋体" w:hAnsi="宋体" w:cs="宋体"/>
                <w:bCs/>
                <w:sz w:val="24"/>
                <w:highlight w:val="none"/>
              </w:rPr>
              <w:t>分）</w:t>
            </w:r>
            <w:r>
              <w:rPr>
                <w:rFonts w:hint="eastAsia" w:ascii="宋体" w:hAnsi="宋体" w:cs="宋体"/>
                <w:sz w:val="24"/>
                <w:highlight w:val="none"/>
              </w:rPr>
              <w:t>：自营演出</w:t>
            </w: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ind w:firstLine="480" w:firstLineChars="200"/>
              <w:rPr>
                <w:rFonts w:ascii="宋体" w:hAnsi="宋体" w:cs="宋体"/>
                <w:sz w:val="24"/>
                <w:highlight w:val="none"/>
              </w:rPr>
            </w:pPr>
          </w:p>
          <w:p>
            <w:pPr>
              <w:widowControl/>
              <w:spacing w:line="240" w:lineRule="exact"/>
              <w:rPr>
                <w:rFonts w:ascii="宋体" w:hAnsi="宋体" w:cs="宋体"/>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ind w:firstLine="480" w:firstLineChars="200"/>
              <w:rPr>
                <w:rFonts w:ascii="宋体" w:hAnsi="宋体" w:cs="宋体"/>
                <w:bCs/>
                <w:sz w:val="24"/>
                <w:highlight w:val="none"/>
              </w:rPr>
            </w:pPr>
          </w:p>
          <w:p>
            <w:pPr>
              <w:widowControl/>
              <w:spacing w:line="240" w:lineRule="exact"/>
              <w:rPr>
                <w:rFonts w:ascii="宋体" w:hAnsi="宋体" w:cs="宋体"/>
                <w:bCs/>
                <w:sz w:val="24"/>
                <w:highlight w:val="none"/>
              </w:rPr>
            </w:pPr>
          </w:p>
        </w:tc>
        <w:tc>
          <w:tcPr>
            <w:tcW w:w="1879" w:type="dxa"/>
            <w:tcBorders>
              <w:bottom w:val="single" w:color="auto" w:sz="4" w:space="0"/>
            </w:tcBorders>
            <w:vAlign w:val="center"/>
          </w:tcPr>
          <w:p>
            <w:pPr>
              <w:widowControl/>
              <w:spacing w:line="240" w:lineRule="exact"/>
              <w:rPr>
                <w:rFonts w:ascii="宋体" w:hAnsi="宋体" w:cs="宋体"/>
                <w:bCs/>
                <w:szCs w:val="21"/>
                <w:highlight w:val="none"/>
              </w:rPr>
            </w:pPr>
            <w:r>
              <w:rPr>
                <w:rFonts w:hint="eastAsia" w:ascii="宋体" w:hAnsi="宋体" w:cs="宋体"/>
                <w:bCs/>
                <w:szCs w:val="21"/>
                <w:highlight w:val="none"/>
              </w:rPr>
              <w:t>（1）A类演出指标</w:t>
            </w:r>
            <w:r>
              <w:rPr>
                <w:rFonts w:hint="eastAsia" w:ascii="宋体" w:hAnsi="宋体" w:cs="宋体"/>
                <w:bCs/>
                <w:szCs w:val="21"/>
                <w:highlight w:val="none"/>
                <w:lang w:eastAsia="zh-CN"/>
              </w:rPr>
              <w:t>占自营演出总场次</w:t>
            </w:r>
            <w:r>
              <w:rPr>
                <w:rFonts w:hint="eastAsia" w:ascii="宋体" w:hAnsi="宋体" w:cs="宋体"/>
                <w:bCs/>
                <w:szCs w:val="21"/>
                <w:highlight w:val="none"/>
                <w:lang w:val="en-US" w:eastAsia="zh-CN"/>
              </w:rPr>
              <w:t>40%以上</w:t>
            </w:r>
            <w:r>
              <w:rPr>
                <w:rFonts w:hint="eastAsia" w:ascii="宋体" w:hAnsi="宋体" w:cs="宋体"/>
                <w:bCs/>
                <w:szCs w:val="21"/>
                <w:highlight w:val="none"/>
              </w:rPr>
              <w:t>(附上座率清单)</w:t>
            </w:r>
          </w:p>
        </w:tc>
        <w:tc>
          <w:tcPr>
            <w:tcW w:w="790" w:type="dxa"/>
            <w:tcBorders>
              <w:bottom w:val="single" w:color="auto" w:sz="4" w:space="0"/>
            </w:tcBorders>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4</w:t>
            </w:r>
            <w:r>
              <w:rPr>
                <w:rFonts w:hint="eastAsia" w:ascii="宋体" w:hAnsi="宋体" w:cs="宋体"/>
                <w:szCs w:val="21"/>
                <w:highlight w:val="none"/>
              </w:rPr>
              <w:t>分</w:t>
            </w:r>
          </w:p>
        </w:tc>
        <w:tc>
          <w:tcPr>
            <w:tcW w:w="1756" w:type="dxa"/>
            <w:tcBorders>
              <w:bottom w:val="single" w:color="auto" w:sz="4" w:space="0"/>
            </w:tcBorders>
            <w:vAlign w:val="center"/>
          </w:tcPr>
          <w:p>
            <w:pPr>
              <w:widowControl/>
              <w:spacing w:line="240" w:lineRule="exact"/>
              <w:rPr>
                <w:rFonts w:ascii="宋体" w:hAnsi="宋体" w:cs="宋体"/>
                <w:szCs w:val="21"/>
                <w:highlight w:val="none"/>
              </w:rPr>
            </w:pPr>
          </w:p>
        </w:tc>
        <w:tc>
          <w:tcPr>
            <w:tcW w:w="1461" w:type="dxa"/>
            <w:tcBorders>
              <w:bottom w:val="single" w:color="auto" w:sz="4" w:space="0"/>
            </w:tcBorders>
            <w:vAlign w:val="center"/>
          </w:tcPr>
          <w:p>
            <w:pPr>
              <w:widowControl/>
              <w:spacing w:line="240" w:lineRule="exact"/>
              <w:rPr>
                <w:rFonts w:ascii="宋体" w:hAnsi="宋体" w:cs="宋体"/>
                <w:szCs w:val="21"/>
                <w:highlight w:val="none"/>
              </w:rPr>
            </w:pPr>
          </w:p>
        </w:tc>
        <w:tc>
          <w:tcPr>
            <w:tcW w:w="1302" w:type="dxa"/>
            <w:tcBorders>
              <w:bottom w:val="single" w:color="auto" w:sz="4" w:space="0"/>
            </w:tcBorders>
            <w:vAlign w:val="center"/>
          </w:tcPr>
          <w:p>
            <w:pPr>
              <w:widowControl/>
              <w:spacing w:line="240" w:lineRule="exact"/>
              <w:rPr>
                <w:rFonts w:ascii="宋体" w:hAnsi="宋体" w:cs="宋体"/>
                <w:szCs w:val="21"/>
                <w:highlight w:val="none"/>
              </w:rPr>
            </w:pPr>
          </w:p>
        </w:tc>
        <w:tc>
          <w:tcPr>
            <w:tcW w:w="1185" w:type="dxa"/>
            <w:tcBorders>
              <w:bottom w:val="single" w:color="auto" w:sz="4" w:space="0"/>
            </w:tcBorders>
            <w:vAlign w:val="center"/>
          </w:tcPr>
          <w:p>
            <w:pPr>
              <w:widowControl/>
              <w:spacing w:line="240" w:lineRule="exact"/>
              <w:rPr>
                <w:rFonts w:ascii="宋体" w:hAnsi="宋体" w:cs="宋体"/>
                <w:szCs w:val="21"/>
                <w:highlight w:val="none"/>
              </w:rPr>
            </w:pPr>
          </w:p>
        </w:tc>
        <w:tc>
          <w:tcPr>
            <w:tcW w:w="3531" w:type="dxa"/>
            <w:tcBorders>
              <w:bottom w:val="single" w:color="auto" w:sz="4" w:space="0"/>
            </w:tcBorders>
            <w:vAlign w:val="center"/>
          </w:tcPr>
          <w:p>
            <w:pPr>
              <w:widowControl/>
              <w:spacing w:line="240" w:lineRule="exact"/>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1）欧洲和北美地区演出团体中名称带有国家、皇家或者首都城市名称、广播字样的演出团体的演出；（2）在国际上享有良好广泛的声誉、举办历史悠久或知名的国际艺术比赛中获得奖项的国内外演出团体的演出；（3）国内演出团体中直属国家文旅部、广播电视总局及带有中国、中央字样的国家级文化艺术团体的演出；（4）入选国家舞台艺术精品工程、获文旅部“文华奖”、获中宣部“五个一工程奖”的优秀舞台艺术佳作的演出；（5）获国际专业艺术比赛大奖或国家授予荣誉称号的艺术家为主演的剧(节)目；（6）中央军委政治工作部歌剧团直属艺术团体的演出；（7）国内省级艺术院团获得中宣部、国家文化和旅游部、中国文联主办的各单项舞台艺术最高奖项的演出项目；（8）演出单场票房超过25万元的演出项目。 </w:t>
            </w:r>
          </w:p>
          <w:p>
            <w:pPr>
              <w:widowControl/>
              <w:spacing w:line="240" w:lineRule="exact"/>
              <w:rPr>
                <w:rFonts w:ascii="宋体" w:hAnsi="宋体" w:cs="宋体"/>
                <w:szCs w:val="21"/>
                <w:highlight w:val="none"/>
              </w:rPr>
            </w:pPr>
            <w:r>
              <w:rPr>
                <w:rFonts w:hint="eastAsia" w:ascii="宋体" w:hAnsi="宋体" w:cs="宋体"/>
                <w:szCs w:val="21"/>
                <w:highlight w:val="none"/>
              </w:rPr>
              <w:t>不符合演出档次要求的,一场扣0.5分</w:t>
            </w:r>
          </w:p>
        </w:tc>
        <w:tc>
          <w:tcPr>
            <w:tcW w:w="1421" w:type="dxa"/>
            <w:tcBorders>
              <w:bottom w:val="single" w:color="auto" w:sz="4" w:space="0"/>
            </w:tcBorders>
            <w:vAlign w:val="center"/>
          </w:tcPr>
          <w:p>
            <w:pPr>
              <w:widowControl/>
              <w:spacing w:line="240" w:lineRule="exact"/>
              <w:rPr>
                <w:rFonts w:ascii="宋体" w:hAnsi="宋体" w:cs="宋体"/>
                <w:szCs w:val="21"/>
                <w:highlight w:val="none"/>
              </w:rPr>
            </w:pPr>
            <w:r>
              <w:rPr>
                <w:rFonts w:hint="eastAsia" w:ascii="宋体" w:hAnsi="宋体" w:cs="宋体"/>
                <w:szCs w:val="21"/>
                <w:highlight w:val="none"/>
              </w:rPr>
              <w:t>每少一场演出在次年演出补贴中扣除15万元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3" w:hRule="atLeast"/>
          <w:jc w:val="center"/>
        </w:trPr>
        <w:tc>
          <w:tcPr>
            <w:tcW w:w="1560" w:type="dxa"/>
            <w:vMerge w:val="continue"/>
            <w:vAlign w:val="center"/>
          </w:tcPr>
          <w:p>
            <w:pPr>
              <w:rPr>
                <w:rFonts w:ascii="宋体" w:hAnsi="宋体" w:cs="宋体"/>
                <w:sz w:val="24"/>
                <w:highlight w:val="none"/>
              </w:rPr>
            </w:pPr>
          </w:p>
        </w:tc>
        <w:tc>
          <w:tcPr>
            <w:tcW w:w="1879" w:type="dxa"/>
            <w:tcBorders>
              <w:bottom w:val="single" w:color="auto" w:sz="4" w:space="0"/>
            </w:tcBorders>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（2）B类演出指标</w:t>
            </w:r>
            <w:r>
              <w:rPr>
                <w:rFonts w:hint="eastAsia" w:ascii="宋体" w:hAnsi="宋体" w:cs="宋体"/>
                <w:bCs/>
                <w:szCs w:val="21"/>
                <w:highlight w:val="none"/>
                <w:lang w:eastAsia="zh-CN"/>
              </w:rPr>
              <w:t>占自营演出总场次</w:t>
            </w:r>
            <w:r>
              <w:rPr>
                <w:rFonts w:hint="eastAsia" w:ascii="宋体" w:hAnsi="宋体" w:cs="宋体"/>
                <w:bCs/>
                <w:szCs w:val="21"/>
                <w:highlight w:val="none"/>
                <w:lang w:val="en-US" w:eastAsia="zh-CN"/>
              </w:rPr>
              <w:t>30%以上</w:t>
            </w:r>
            <w:r>
              <w:rPr>
                <w:rFonts w:hint="eastAsia" w:ascii="宋体" w:hAnsi="宋体" w:cs="宋体"/>
                <w:bCs/>
                <w:szCs w:val="21"/>
                <w:highlight w:val="none"/>
              </w:rPr>
              <w:t>(附上座率清单)</w:t>
            </w:r>
            <w:r>
              <w:rPr>
                <w:rFonts w:hint="eastAsia" w:ascii="宋体" w:hAnsi="宋体" w:cs="宋体"/>
                <w:szCs w:val="21"/>
                <w:highlight w:val="none"/>
              </w:rPr>
              <w:t xml:space="preserve"> </w:t>
            </w:r>
          </w:p>
        </w:tc>
        <w:tc>
          <w:tcPr>
            <w:tcW w:w="790" w:type="dxa"/>
            <w:tcBorders>
              <w:bottom w:val="single" w:color="auto" w:sz="4" w:space="0"/>
            </w:tcBorders>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0</w:t>
            </w:r>
            <w:r>
              <w:rPr>
                <w:rFonts w:hint="eastAsia" w:ascii="宋体" w:hAnsi="宋体" w:cs="宋体"/>
                <w:szCs w:val="21"/>
                <w:highlight w:val="none"/>
              </w:rPr>
              <w:t>分</w:t>
            </w:r>
          </w:p>
        </w:tc>
        <w:tc>
          <w:tcPr>
            <w:tcW w:w="1756" w:type="dxa"/>
            <w:tcBorders>
              <w:bottom w:val="single" w:color="auto" w:sz="4" w:space="0"/>
            </w:tcBorders>
            <w:vAlign w:val="center"/>
          </w:tcPr>
          <w:p>
            <w:pPr>
              <w:widowControl/>
              <w:spacing w:line="240" w:lineRule="exact"/>
              <w:rPr>
                <w:rFonts w:ascii="宋体" w:hAnsi="宋体" w:cs="宋体"/>
                <w:szCs w:val="21"/>
                <w:highlight w:val="none"/>
              </w:rPr>
            </w:pPr>
          </w:p>
        </w:tc>
        <w:tc>
          <w:tcPr>
            <w:tcW w:w="1461" w:type="dxa"/>
            <w:tcBorders>
              <w:bottom w:val="single" w:color="auto" w:sz="4" w:space="0"/>
            </w:tcBorders>
            <w:vAlign w:val="center"/>
          </w:tcPr>
          <w:p>
            <w:pPr>
              <w:widowControl/>
              <w:spacing w:line="240" w:lineRule="exact"/>
              <w:rPr>
                <w:rFonts w:ascii="宋体" w:hAnsi="宋体" w:cs="宋体"/>
                <w:szCs w:val="21"/>
                <w:highlight w:val="none"/>
              </w:rPr>
            </w:pPr>
          </w:p>
        </w:tc>
        <w:tc>
          <w:tcPr>
            <w:tcW w:w="1302" w:type="dxa"/>
            <w:tcBorders>
              <w:bottom w:val="single" w:color="auto" w:sz="4" w:space="0"/>
            </w:tcBorders>
            <w:vAlign w:val="center"/>
          </w:tcPr>
          <w:p>
            <w:pPr>
              <w:widowControl/>
              <w:spacing w:line="240" w:lineRule="exact"/>
              <w:rPr>
                <w:rFonts w:ascii="宋体" w:hAnsi="宋体" w:cs="宋体"/>
                <w:szCs w:val="21"/>
                <w:highlight w:val="none"/>
              </w:rPr>
            </w:pPr>
          </w:p>
        </w:tc>
        <w:tc>
          <w:tcPr>
            <w:tcW w:w="1185" w:type="dxa"/>
            <w:tcBorders>
              <w:bottom w:val="single" w:color="auto" w:sz="4" w:space="0"/>
            </w:tcBorders>
            <w:vAlign w:val="center"/>
          </w:tcPr>
          <w:p>
            <w:pPr>
              <w:widowControl/>
              <w:spacing w:line="240" w:lineRule="exact"/>
              <w:rPr>
                <w:rFonts w:ascii="宋体" w:hAnsi="宋体" w:cs="宋体"/>
                <w:szCs w:val="21"/>
                <w:highlight w:val="none"/>
              </w:rPr>
            </w:pPr>
          </w:p>
        </w:tc>
        <w:tc>
          <w:tcPr>
            <w:tcW w:w="3531" w:type="dxa"/>
            <w:tcBorders>
              <w:bottom w:val="single" w:color="auto" w:sz="4" w:space="0"/>
            </w:tcBorders>
            <w:vAlign w:val="center"/>
          </w:tcPr>
          <w:p>
            <w:pPr>
              <w:widowControl/>
              <w:spacing w:line="240" w:lineRule="exact"/>
              <w:rPr>
                <w:rFonts w:ascii="宋体" w:hAnsi="宋体" w:cs="宋体"/>
                <w:szCs w:val="21"/>
                <w:highlight w:val="none"/>
              </w:rPr>
            </w:pPr>
            <w:r>
              <w:rPr>
                <w:rFonts w:hint="eastAsia" w:ascii="宋体" w:hAnsi="宋体" w:cs="宋体"/>
                <w:szCs w:val="21"/>
                <w:highlight w:val="none"/>
              </w:rPr>
              <w:t>（1）北京、上海所属的市级以上艺术团体的演出；（2）以著名古典艺术家命名的国外艺术团体演出的剧目；（3）国外艺术团体名称中带有青年字样或冠以洲际名称的艺术团体的演出；（4）其它城市艺术院团中有地方特色的并获得省委宣传奖、省文化厅或省文联主办的省级以上舞台艺术专业评奖最高奖项的优秀剧(节)目的演出;（5）演出单场票房超过15万元的演出项目。</w:t>
            </w:r>
          </w:p>
          <w:p>
            <w:pPr>
              <w:widowControl/>
              <w:spacing w:line="240" w:lineRule="exact"/>
              <w:rPr>
                <w:rFonts w:ascii="宋体" w:hAnsi="宋体" w:cs="宋体"/>
                <w:szCs w:val="21"/>
                <w:highlight w:val="none"/>
              </w:rPr>
            </w:pPr>
            <w:r>
              <w:rPr>
                <w:rFonts w:hint="eastAsia" w:ascii="宋体" w:hAnsi="宋体" w:cs="宋体"/>
                <w:szCs w:val="21"/>
                <w:highlight w:val="none"/>
              </w:rPr>
              <w:t>不符合演出档次要求的。一场扣0.5分</w:t>
            </w:r>
          </w:p>
        </w:tc>
        <w:tc>
          <w:tcPr>
            <w:tcW w:w="1421" w:type="dxa"/>
            <w:tcBorders>
              <w:bottom w:val="single" w:color="auto" w:sz="4" w:space="0"/>
            </w:tcBorders>
            <w:vAlign w:val="center"/>
          </w:tcPr>
          <w:p>
            <w:pPr>
              <w:widowControl/>
              <w:spacing w:line="240" w:lineRule="exact"/>
              <w:rPr>
                <w:rFonts w:ascii="宋体" w:hAnsi="宋体" w:cs="宋体"/>
                <w:szCs w:val="21"/>
                <w:highlight w:val="none"/>
              </w:rPr>
            </w:pPr>
            <w:r>
              <w:rPr>
                <w:rFonts w:hint="eastAsia" w:ascii="宋体" w:hAnsi="宋体" w:cs="宋体"/>
                <w:szCs w:val="21"/>
                <w:highlight w:val="none"/>
              </w:rPr>
              <w:t>每少一场演出在次年演出补贴中扣除10万元。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bCs/>
                <w:szCs w:val="21"/>
                <w:highlight w:val="none"/>
              </w:rPr>
              <w:t>）年平均上座率</w:t>
            </w:r>
            <w:r>
              <w:rPr>
                <w:rFonts w:hint="eastAsia" w:ascii="宋体" w:hAnsi="宋体" w:cs="宋体"/>
                <w:szCs w:val="21"/>
                <w:highlight w:val="none"/>
              </w:rPr>
              <w:t>5</w:t>
            </w:r>
            <w:r>
              <w:rPr>
                <w:rFonts w:hint="eastAsia" w:ascii="宋体" w:hAnsi="宋体" w:cs="宋体"/>
                <w:szCs w:val="21"/>
                <w:highlight w:val="none"/>
                <w:lang w:val="en-US" w:eastAsia="zh-CN"/>
              </w:rPr>
              <w:t>5</w:t>
            </w:r>
            <w:r>
              <w:rPr>
                <w:rFonts w:hint="eastAsia" w:ascii="宋体" w:hAnsi="宋体" w:cs="宋体"/>
                <w:szCs w:val="21"/>
                <w:highlight w:val="none"/>
              </w:rPr>
              <w:t>%以上</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看数据统计资料</w:t>
            </w:r>
          </w:p>
          <w:p>
            <w:pPr>
              <w:widowControl/>
              <w:spacing w:line="240" w:lineRule="exact"/>
              <w:rPr>
                <w:rFonts w:ascii="宋体" w:hAnsi="宋体" w:cs="宋体"/>
                <w:szCs w:val="21"/>
                <w:highlight w:val="none"/>
              </w:rPr>
            </w:pPr>
            <w:r>
              <w:rPr>
                <w:rFonts w:hint="eastAsia" w:ascii="宋体" w:hAnsi="宋体" w:cs="宋体"/>
                <w:szCs w:val="21"/>
                <w:highlight w:val="none"/>
              </w:rPr>
              <w:t>每降低1%扣0.5分</w:t>
            </w:r>
          </w:p>
        </w:tc>
        <w:tc>
          <w:tcPr>
            <w:tcW w:w="142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每降1%扣5万元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w:t>
            </w:r>
            <w:r>
              <w:rPr>
                <w:rFonts w:hint="eastAsia" w:ascii="宋体" w:hAnsi="宋体" w:cs="宋体"/>
                <w:bCs/>
                <w:szCs w:val="21"/>
                <w:highlight w:val="none"/>
                <w:lang w:val="en-US" w:eastAsia="zh-CN"/>
              </w:rPr>
              <w:t>4</w:t>
            </w:r>
            <w:r>
              <w:rPr>
                <w:rFonts w:hint="eastAsia" w:ascii="宋体" w:hAnsi="宋体" w:cs="宋体"/>
                <w:bCs/>
                <w:szCs w:val="21"/>
                <w:highlight w:val="none"/>
              </w:rPr>
              <w:t>）观众满意度要求在90%以上</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bCs/>
                <w:szCs w:val="21"/>
                <w:highlight w:val="none"/>
              </w:rPr>
            </w:pPr>
          </w:p>
        </w:tc>
        <w:tc>
          <w:tcPr>
            <w:tcW w:w="1461" w:type="dxa"/>
            <w:vAlign w:val="center"/>
          </w:tcPr>
          <w:p>
            <w:pPr>
              <w:widowControl/>
              <w:spacing w:line="240" w:lineRule="exact"/>
              <w:rPr>
                <w:rFonts w:ascii="宋体" w:hAnsi="宋体" w:cs="宋体"/>
                <w:bCs/>
                <w:szCs w:val="21"/>
                <w:highlight w:val="none"/>
              </w:rPr>
            </w:pPr>
          </w:p>
        </w:tc>
        <w:tc>
          <w:tcPr>
            <w:tcW w:w="1302" w:type="dxa"/>
            <w:vAlign w:val="center"/>
          </w:tcPr>
          <w:p>
            <w:pPr>
              <w:widowControl/>
              <w:spacing w:line="240" w:lineRule="exact"/>
              <w:rPr>
                <w:rFonts w:ascii="宋体" w:hAnsi="宋体" w:cs="宋体"/>
                <w:bCs/>
                <w:szCs w:val="21"/>
                <w:highlight w:val="none"/>
              </w:rPr>
            </w:pPr>
          </w:p>
        </w:tc>
        <w:tc>
          <w:tcPr>
            <w:tcW w:w="1185" w:type="dxa"/>
            <w:vAlign w:val="center"/>
          </w:tcPr>
          <w:p>
            <w:pPr>
              <w:widowControl/>
              <w:spacing w:line="240" w:lineRule="exact"/>
              <w:rPr>
                <w:rFonts w:ascii="宋体" w:hAnsi="宋体" w:cs="宋体"/>
                <w:bCs/>
                <w:szCs w:val="21"/>
                <w:highlight w:val="none"/>
              </w:rPr>
            </w:pPr>
          </w:p>
        </w:tc>
        <w:tc>
          <w:tcPr>
            <w:tcW w:w="3531" w:type="dxa"/>
            <w:vAlign w:val="center"/>
          </w:tcPr>
          <w:p>
            <w:pPr>
              <w:widowControl/>
              <w:spacing w:line="240" w:lineRule="exact"/>
              <w:rPr>
                <w:rFonts w:ascii="宋体" w:hAnsi="宋体" w:cs="宋体"/>
                <w:bCs/>
                <w:szCs w:val="21"/>
                <w:highlight w:val="none"/>
              </w:rPr>
            </w:pPr>
            <w:r>
              <w:rPr>
                <w:rFonts w:hint="eastAsia" w:ascii="宋体" w:hAnsi="宋体" w:cs="宋体"/>
                <w:bCs/>
                <w:szCs w:val="21"/>
                <w:highlight w:val="none"/>
              </w:rPr>
              <w:t>看台账</w:t>
            </w:r>
          </w:p>
          <w:p>
            <w:pPr>
              <w:widowControl/>
              <w:spacing w:line="240" w:lineRule="exact"/>
              <w:rPr>
                <w:rFonts w:ascii="宋体" w:hAnsi="宋体" w:cs="宋体"/>
                <w:bCs/>
                <w:szCs w:val="21"/>
                <w:highlight w:val="none"/>
              </w:rPr>
            </w:pPr>
            <w:r>
              <w:rPr>
                <w:rFonts w:hint="eastAsia" w:ascii="宋体" w:hAnsi="宋体" w:cs="宋体"/>
                <w:bCs/>
                <w:szCs w:val="21"/>
                <w:highlight w:val="none"/>
              </w:rPr>
              <w:t>满意度90%以上</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w:t>
            </w:r>
            <w:r>
              <w:rPr>
                <w:rFonts w:hint="eastAsia" w:ascii="宋体" w:hAnsi="宋体" w:cs="宋体"/>
                <w:bCs/>
                <w:szCs w:val="21"/>
                <w:highlight w:val="none"/>
                <w:lang w:val="en-US" w:eastAsia="zh-CN"/>
              </w:rPr>
              <w:t>5</w:t>
            </w:r>
            <w:r>
              <w:rPr>
                <w:rFonts w:hint="eastAsia" w:ascii="宋体" w:hAnsi="宋体" w:cs="宋体"/>
                <w:bCs/>
                <w:szCs w:val="21"/>
                <w:highlight w:val="none"/>
              </w:rPr>
              <w:t>）全年公益</w:t>
            </w:r>
            <w:r>
              <w:rPr>
                <w:rFonts w:hint="eastAsia" w:ascii="宋体" w:hAnsi="宋体" w:cs="宋体"/>
                <w:bCs/>
                <w:szCs w:val="21"/>
                <w:highlight w:val="none"/>
                <w:lang w:eastAsia="zh-CN"/>
              </w:rPr>
              <w:t>演出及</w:t>
            </w:r>
            <w:r>
              <w:rPr>
                <w:rFonts w:hint="eastAsia" w:ascii="宋体" w:hAnsi="宋体" w:cs="宋体"/>
                <w:bCs/>
                <w:szCs w:val="21"/>
                <w:highlight w:val="none"/>
              </w:rPr>
              <w:t>活动场次数不少于30场</w:t>
            </w:r>
            <w:r>
              <w:rPr>
                <w:rFonts w:hint="eastAsia" w:ascii="宋体" w:hAnsi="宋体" w:cs="宋体"/>
                <w:bCs/>
                <w:szCs w:val="21"/>
                <w:highlight w:val="none"/>
                <w:lang w:eastAsia="zh-CN"/>
              </w:rPr>
              <w:t>（公益演出不少于</w:t>
            </w:r>
            <w:r>
              <w:rPr>
                <w:rFonts w:hint="eastAsia" w:ascii="宋体" w:hAnsi="宋体" w:cs="宋体"/>
                <w:bCs/>
                <w:szCs w:val="21"/>
                <w:highlight w:val="none"/>
                <w:lang w:val="en-US" w:eastAsia="zh-CN"/>
              </w:rPr>
              <w:t>10场，公益活动不少于20场</w:t>
            </w:r>
            <w:r>
              <w:rPr>
                <w:rFonts w:hint="eastAsia" w:ascii="宋体" w:hAnsi="宋体" w:cs="宋体"/>
                <w:bCs/>
                <w:szCs w:val="21"/>
                <w:highlight w:val="none"/>
                <w:lang w:eastAsia="zh-CN"/>
              </w:rPr>
              <w:t>）</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2</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bCs/>
                <w:szCs w:val="21"/>
                <w:highlight w:val="none"/>
              </w:rPr>
            </w:pPr>
          </w:p>
        </w:tc>
        <w:tc>
          <w:tcPr>
            <w:tcW w:w="1461" w:type="dxa"/>
            <w:vAlign w:val="center"/>
          </w:tcPr>
          <w:p>
            <w:pPr>
              <w:widowControl/>
              <w:spacing w:line="240" w:lineRule="exact"/>
              <w:rPr>
                <w:rFonts w:ascii="宋体" w:hAnsi="宋体" w:cs="宋体"/>
                <w:bCs/>
                <w:szCs w:val="21"/>
                <w:highlight w:val="none"/>
              </w:rPr>
            </w:pPr>
          </w:p>
        </w:tc>
        <w:tc>
          <w:tcPr>
            <w:tcW w:w="1302" w:type="dxa"/>
            <w:vAlign w:val="center"/>
          </w:tcPr>
          <w:p>
            <w:pPr>
              <w:widowControl/>
              <w:spacing w:line="240" w:lineRule="exact"/>
              <w:rPr>
                <w:rFonts w:ascii="宋体" w:hAnsi="宋体" w:cs="宋体"/>
                <w:bCs/>
                <w:szCs w:val="21"/>
                <w:highlight w:val="none"/>
              </w:rPr>
            </w:pPr>
          </w:p>
        </w:tc>
        <w:tc>
          <w:tcPr>
            <w:tcW w:w="1185" w:type="dxa"/>
            <w:vAlign w:val="center"/>
          </w:tcPr>
          <w:p>
            <w:pPr>
              <w:widowControl/>
              <w:spacing w:line="240" w:lineRule="exact"/>
              <w:rPr>
                <w:rFonts w:ascii="宋体" w:hAnsi="宋体" w:cs="宋体"/>
                <w:bCs/>
                <w:szCs w:val="21"/>
                <w:highlight w:val="none"/>
              </w:rPr>
            </w:pPr>
          </w:p>
        </w:tc>
        <w:tc>
          <w:tcPr>
            <w:tcW w:w="3531" w:type="dxa"/>
            <w:vAlign w:val="center"/>
          </w:tcPr>
          <w:p>
            <w:pPr>
              <w:widowControl/>
              <w:spacing w:line="240" w:lineRule="exact"/>
              <w:rPr>
                <w:rFonts w:ascii="宋体" w:hAnsi="宋体" w:cs="宋体"/>
                <w:bCs/>
                <w:szCs w:val="21"/>
                <w:highlight w:val="none"/>
              </w:rPr>
            </w:pPr>
            <w:r>
              <w:rPr>
                <w:rFonts w:hint="eastAsia" w:ascii="宋体" w:hAnsi="宋体" w:cs="宋体"/>
                <w:szCs w:val="21"/>
                <w:highlight w:val="none"/>
              </w:rPr>
              <w:t>少一场扣0.5分</w:t>
            </w:r>
          </w:p>
        </w:tc>
        <w:tc>
          <w:tcPr>
            <w:tcW w:w="1421" w:type="dxa"/>
            <w:vAlign w:val="center"/>
          </w:tcPr>
          <w:p>
            <w:pPr>
              <w:widowControl/>
              <w:spacing w:line="240" w:lineRule="exact"/>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560" w:type="dxa"/>
            <w:vMerge w:val="restart"/>
          </w:tcPr>
          <w:p>
            <w:pPr>
              <w:widowControl/>
              <w:spacing w:line="240" w:lineRule="exact"/>
              <w:rPr>
                <w:rFonts w:ascii="宋体" w:hAnsi="宋体" w:cs="宋体"/>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ind w:firstLine="480" w:firstLineChars="200"/>
              <w:rPr>
                <w:rFonts w:ascii="宋体" w:hAnsi="宋体" w:cs="宋体"/>
                <w:b/>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二、业务运作情况</w:t>
            </w:r>
            <w:r>
              <w:rPr>
                <w:rFonts w:hint="eastAsia" w:ascii="宋体" w:hAnsi="宋体" w:cs="宋体"/>
                <w:bCs/>
                <w:sz w:val="24"/>
                <w:highlight w:val="none"/>
              </w:rPr>
              <w:t>（总分7分）：业务运作规范的制定及落实情况</w:t>
            </w:r>
          </w:p>
          <w:p>
            <w:pPr>
              <w:widowControl/>
              <w:spacing w:line="240" w:lineRule="exact"/>
              <w:rPr>
                <w:rFonts w:ascii="宋体" w:hAnsi="宋体" w:cs="宋体"/>
                <w:bCs/>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（1）演出策划运作制度的制定及落实情况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制度未制定扣0.5分，落实情况不到位扣0.5分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（2）宣传推介运作制度的制定及落实情况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制度未制定扣0.5分，落实情况不到位扣0.5分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（3）市场营销运作制度的制定及落实情况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制度未制定扣0.5分，落实情况不到位扣0.5分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（4）演职人员管理规定、演出项目管理制度的制定及落实情况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制度未制定每项扣0.5分，落实情况不到位扣0.5分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（5）票务销售、演出服务工作程序和规范的制定及落实情况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制度未制定扣0.5分，落实情况不到位每项扣0.5分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560" w:type="dxa"/>
            <w:vMerge w:val="restart"/>
          </w:tcPr>
          <w:p>
            <w:pPr>
              <w:widowControl/>
              <w:spacing w:line="240" w:lineRule="exact"/>
              <w:rPr>
                <w:rFonts w:ascii="宋体" w:hAnsi="宋体" w:cs="宋体"/>
                <w:b/>
                <w:bCs/>
                <w:sz w:val="24"/>
                <w:highlight w:val="none"/>
              </w:rPr>
            </w:pPr>
          </w:p>
          <w:p>
            <w:pPr>
              <w:widowControl/>
              <w:spacing w:line="240" w:lineRule="exact"/>
              <w:ind w:firstLine="352" w:firstLineChars="147"/>
              <w:rPr>
                <w:rFonts w:ascii="宋体" w:hAnsi="宋体" w:cs="宋体"/>
                <w:b/>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三、内部管理情况</w:t>
            </w:r>
            <w:r>
              <w:rPr>
                <w:rFonts w:hint="eastAsia" w:ascii="宋体" w:hAnsi="宋体" w:cs="宋体"/>
                <w:bCs/>
                <w:sz w:val="24"/>
                <w:highlight w:val="none"/>
              </w:rPr>
              <w:t>（总分10分）：主要考核各项管理制度的制定及执行情况</w:t>
            </w:r>
          </w:p>
          <w:p>
            <w:pPr>
              <w:widowControl/>
              <w:spacing w:line="240" w:lineRule="exact"/>
              <w:rPr>
                <w:rFonts w:ascii="宋体" w:hAnsi="宋体" w:cs="宋体"/>
                <w:bCs/>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szCs w:val="21"/>
                <w:highlight w:val="none"/>
              </w:rPr>
              <w:t>员工守则、工作人员岗位职责</w:t>
            </w:r>
            <w:r>
              <w:rPr>
                <w:rFonts w:hint="eastAsia" w:ascii="宋体" w:hAnsi="宋体" w:cs="宋体"/>
                <w:bCs/>
                <w:szCs w:val="21"/>
                <w:highlight w:val="none"/>
              </w:rPr>
              <w:t>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制度未制定每项扣0.5分，落实情况不到位每项扣0.5分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w:t>
            </w:r>
            <w:r>
              <w:rPr>
                <w:rFonts w:hint="eastAsia" w:ascii="宋体" w:hAnsi="宋体" w:cs="宋体"/>
                <w:szCs w:val="21"/>
                <w:highlight w:val="none"/>
              </w:rPr>
              <w:t>人事管理制度、培训考核制度、考勤管理制度、工作奖惩制度、档案管理制度及观众须知、演职人员出入口管理等</w:t>
            </w:r>
            <w:r>
              <w:rPr>
                <w:rFonts w:hint="eastAsia" w:ascii="宋体" w:hAnsi="宋体" w:cs="宋体"/>
                <w:bCs/>
                <w:szCs w:val="21"/>
                <w:highlight w:val="none"/>
              </w:rPr>
              <w:t>制度的制定及落实情况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6分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制度未制定每项扣0.5分，落实情况不到位每项扣0.5分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（3）</w:t>
            </w:r>
            <w:r>
              <w:rPr>
                <w:rFonts w:hint="eastAsia" w:ascii="宋体" w:hAnsi="宋体" w:cs="宋体"/>
                <w:color w:val="000000"/>
                <w:szCs w:val="21"/>
                <w:highlight w:val="none"/>
              </w:rPr>
              <w:t>全年无违法违规行为</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color w:val="000000"/>
                <w:szCs w:val="21"/>
                <w:highlight w:val="none"/>
              </w:rPr>
              <w:t>有违法违规行为扣1分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autoSpaceDN w:val="0"/>
              <w:spacing w:line="240" w:lineRule="exact"/>
              <w:ind w:firstLine="210" w:firstLineChars="100"/>
              <w:textAlignment w:val="center"/>
              <w:rPr>
                <w:rFonts w:ascii="宋体" w:hAnsi="宋体" w:cs="宋体"/>
                <w:color w:val="000000"/>
                <w:szCs w:val="21"/>
                <w:highlight w:val="none"/>
              </w:rPr>
            </w:pPr>
            <w:r>
              <w:rPr>
                <w:rFonts w:hint="eastAsia" w:ascii="宋体" w:hAnsi="宋体" w:cs="宋体"/>
                <w:bCs/>
                <w:szCs w:val="21"/>
                <w:highlight w:val="none"/>
              </w:rPr>
              <w:t>（4）</w:t>
            </w:r>
            <w:r>
              <w:rPr>
                <w:rFonts w:hint="eastAsia" w:ascii="宋体" w:hAnsi="宋体" w:cs="宋体"/>
                <w:color w:val="000000"/>
                <w:szCs w:val="21"/>
                <w:highlight w:val="none"/>
              </w:rPr>
              <w:t>乙方任命的经营管理干部在工作中无违法违规行为</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color w:val="000000"/>
                <w:szCs w:val="21"/>
                <w:highlight w:val="none"/>
              </w:rPr>
              <w:t>有违法违规行为扣1分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560" w:type="dxa"/>
            <w:vMerge w:val="restart"/>
            <w:vAlign w:val="center"/>
          </w:tcPr>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四、经营财务情况</w:t>
            </w:r>
            <w:r>
              <w:rPr>
                <w:rFonts w:hint="eastAsia" w:ascii="宋体" w:hAnsi="宋体" w:cs="宋体"/>
                <w:bCs/>
                <w:sz w:val="24"/>
                <w:highlight w:val="none"/>
              </w:rPr>
              <w:t>（总分</w:t>
            </w:r>
            <w:r>
              <w:rPr>
                <w:rFonts w:hint="eastAsia" w:ascii="宋体" w:hAnsi="宋体" w:cs="宋体"/>
                <w:bCs/>
                <w:sz w:val="24"/>
                <w:highlight w:val="none"/>
                <w:lang w:val="en-US" w:eastAsia="zh-CN"/>
              </w:rPr>
              <w:t>7</w:t>
            </w:r>
            <w:r>
              <w:rPr>
                <w:rFonts w:hint="eastAsia" w:ascii="宋体" w:hAnsi="宋体" w:cs="宋体"/>
                <w:bCs/>
                <w:sz w:val="24"/>
                <w:highlight w:val="none"/>
              </w:rPr>
              <w:t>分）</w:t>
            </w:r>
          </w:p>
          <w:p>
            <w:pPr>
              <w:widowControl/>
              <w:spacing w:line="240" w:lineRule="exact"/>
              <w:ind w:firstLine="352" w:firstLineChars="147"/>
              <w:rPr>
                <w:rFonts w:ascii="宋体" w:hAnsi="宋体" w:cs="宋体"/>
                <w:sz w:val="24"/>
                <w:highlight w:val="none"/>
              </w:rPr>
            </w:pPr>
          </w:p>
          <w:p>
            <w:pPr>
              <w:widowControl/>
              <w:spacing w:line="240" w:lineRule="exact"/>
              <w:ind w:firstLine="352" w:firstLineChars="147"/>
              <w:rPr>
                <w:rFonts w:ascii="宋体" w:hAnsi="宋体" w:cs="宋体"/>
                <w:bCs/>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szCs w:val="21"/>
                <w:highlight w:val="none"/>
              </w:rPr>
              <w:t>财务管理制度、工资福利制度</w:t>
            </w:r>
            <w:r>
              <w:rPr>
                <w:rFonts w:hint="eastAsia" w:ascii="宋体" w:hAnsi="宋体" w:cs="宋体"/>
                <w:bCs/>
                <w:szCs w:val="21"/>
                <w:highlight w:val="none"/>
              </w:rPr>
              <w:t>的制定及落实情况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制度未制定每项扣0.5分，落实情况不到位每项扣0.5分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w:t>
            </w:r>
            <w:r>
              <w:rPr>
                <w:rFonts w:hint="eastAsia" w:ascii="宋体" w:hAnsi="宋体" w:cs="宋体"/>
                <w:szCs w:val="21"/>
                <w:highlight w:val="none"/>
              </w:rPr>
              <w:t>本年度财务收支情况是否合理平衡</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财务收支不合理平衡扣1分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（3）</w:t>
            </w:r>
            <w:r>
              <w:rPr>
                <w:rFonts w:hint="eastAsia" w:ascii="宋体" w:hAnsi="宋体" w:cs="宋体"/>
                <w:szCs w:val="21"/>
                <w:highlight w:val="none"/>
              </w:rPr>
              <w:t>本年度员工工资平均数、最低工资标准是否高于地区标准</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最低工资标准低于地区标准扣1分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（4）</w:t>
            </w:r>
            <w:r>
              <w:rPr>
                <w:rFonts w:hint="eastAsia" w:ascii="宋体" w:hAnsi="宋体" w:cs="宋体"/>
                <w:szCs w:val="21"/>
                <w:highlight w:val="none"/>
              </w:rPr>
              <w:t>按照要求为员工缴纳五险一金。</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未按照要求执行扣0.5分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（5）</w:t>
            </w:r>
            <w:r>
              <w:rPr>
                <w:rFonts w:hint="eastAsia" w:ascii="宋体" w:hAnsi="宋体" w:cs="宋体"/>
                <w:szCs w:val="21"/>
                <w:highlight w:val="none"/>
              </w:rPr>
              <w:t>本年度能源费用开支是否合理，节能降耗措施是否到位</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能源费用开支不合理扣0.5分，节能降耗措施不到位扣0.5分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560" w:type="dxa"/>
            <w:vMerge w:val="restart"/>
          </w:tcPr>
          <w:p>
            <w:pPr>
              <w:widowControl/>
              <w:spacing w:line="240" w:lineRule="exact"/>
              <w:ind w:firstLine="470" w:firstLineChars="196"/>
              <w:rPr>
                <w:rFonts w:ascii="宋体" w:hAnsi="宋体" w:cs="宋体"/>
                <w:b/>
                <w:bCs/>
                <w:sz w:val="24"/>
                <w:highlight w:val="none"/>
              </w:rPr>
            </w:pPr>
          </w:p>
          <w:p>
            <w:pPr>
              <w:widowControl/>
              <w:spacing w:line="240" w:lineRule="exact"/>
              <w:rPr>
                <w:rFonts w:ascii="宋体" w:hAnsi="宋体" w:cs="宋体"/>
                <w:b/>
                <w:bCs/>
                <w:sz w:val="24"/>
                <w:highlight w:val="none"/>
              </w:rPr>
            </w:pPr>
          </w:p>
          <w:p>
            <w:pPr>
              <w:widowControl/>
              <w:spacing w:line="240" w:lineRule="exact"/>
              <w:rPr>
                <w:rFonts w:ascii="宋体" w:hAnsi="宋体" w:cs="宋体"/>
                <w:sz w:val="24"/>
                <w:highlight w:val="none"/>
              </w:rPr>
            </w:pPr>
            <w:r>
              <w:rPr>
                <w:rFonts w:hint="eastAsia" w:ascii="宋体" w:hAnsi="宋体" w:cs="宋体"/>
                <w:b/>
                <w:bCs/>
                <w:sz w:val="24"/>
                <w:highlight w:val="none"/>
              </w:rPr>
              <w:t>五、资产管理使用情况</w:t>
            </w:r>
            <w:r>
              <w:rPr>
                <w:rFonts w:hint="eastAsia" w:ascii="宋体" w:hAnsi="宋体" w:cs="宋体"/>
                <w:bCs/>
                <w:sz w:val="24"/>
                <w:highlight w:val="none"/>
              </w:rPr>
              <w:t>（总分5分）</w:t>
            </w:r>
          </w:p>
          <w:p>
            <w:pPr>
              <w:widowControl/>
              <w:spacing w:line="240" w:lineRule="exact"/>
              <w:rPr>
                <w:rFonts w:ascii="宋体" w:hAnsi="宋体" w:cs="宋体"/>
                <w:sz w:val="24"/>
                <w:highlight w:val="none"/>
              </w:rPr>
            </w:pPr>
          </w:p>
          <w:p>
            <w:pPr>
              <w:widowControl/>
              <w:spacing w:line="240" w:lineRule="exact"/>
              <w:rPr>
                <w:rFonts w:ascii="宋体" w:hAnsi="宋体" w:cs="宋体"/>
                <w:sz w:val="24"/>
                <w:highlight w:val="none"/>
              </w:rPr>
            </w:pPr>
          </w:p>
          <w:p>
            <w:pPr>
              <w:widowControl/>
              <w:spacing w:line="240" w:lineRule="exact"/>
              <w:rPr>
                <w:rFonts w:ascii="宋体" w:hAnsi="宋体" w:cs="宋体"/>
                <w:bCs/>
                <w:sz w:val="24"/>
                <w:highlight w:val="none"/>
              </w:rPr>
            </w:pPr>
          </w:p>
          <w:p>
            <w:pPr>
              <w:widowControl/>
              <w:spacing w:line="240" w:lineRule="exact"/>
              <w:rPr>
                <w:rFonts w:ascii="宋体" w:hAnsi="宋体" w:cs="宋体"/>
                <w:bCs/>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szCs w:val="21"/>
                <w:highlight w:val="none"/>
              </w:rPr>
              <w:t>大剧院所有演出设备交接工作完成情况及清点清单和相关台帐资料是否到位</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实地检查看台账</w:t>
            </w:r>
          </w:p>
          <w:p>
            <w:pPr>
              <w:widowControl/>
              <w:spacing w:line="240" w:lineRule="exact"/>
              <w:rPr>
                <w:rFonts w:ascii="宋体" w:hAnsi="宋体" w:cs="宋体"/>
                <w:szCs w:val="21"/>
                <w:highlight w:val="none"/>
              </w:rPr>
            </w:pPr>
            <w:r>
              <w:rPr>
                <w:rFonts w:hint="eastAsia" w:ascii="宋体" w:hAnsi="宋体" w:cs="宋体"/>
                <w:szCs w:val="21"/>
                <w:highlight w:val="none"/>
              </w:rPr>
              <w:t>演出设备交接工作没完成扣1分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（2）</w:t>
            </w:r>
            <w:r>
              <w:rPr>
                <w:rFonts w:hint="eastAsia" w:ascii="宋体" w:hAnsi="宋体" w:cs="宋体"/>
                <w:szCs w:val="21"/>
                <w:highlight w:val="none"/>
              </w:rPr>
              <w:t>演出设施设备操作人员定岗到位情况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1分</w:t>
            </w:r>
          </w:p>
        </w:tc>
        <w:tc>
          <w:tcPr>
            <w:tcW w:w="1756" w:type="dxa"/>
            <w:vAlign w:val="center"/>
          </w:tcPr>
          <w:p>
            <w:pPr>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实地检查看台账</w:t>
            </w:r>
          </w:p>
          <w:p>
            <w:pPr>
              <w:widowControl/>
              <w:spacing w:line="240" w:lineRule="exact"/>
              <w:rPr>
                <w:rFonts w:ascii="宋体" w:hAnsi="宋体" w:cs="宋体"/>
                <w:szCs w:val="21"/>
                <w:highlight w:val="none"/>
              </w:rPr>
            </w:pPr>
            <w:r>
              <w:rPr>
                <w:rFonts w:hint="eastAsia" w:ascii="宋体" w:hAnsi="宋体" w:cs="宋体"/>
                <w:szCs w:val="21"/>
                <w:highlight w:val="none"/>
              </w:rPr>
              <w:t>定岗到位情况不符合扣1分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560" w:type="dxa"/>
            <w:vMerge w:val="continue"/>
            <w:vAlign w:val="center"/>
          </w:tcPr>
          <w:p>
            <w:pPr>
              <w:rPr>
                <w:rFonts w:ascii="宋体" w:hAnsi="宋体" w:cs="宋体"/>
                <w:sz w:val="24"/>
                <w:highlight w:val="none"/>
              </w:rPr>
            </w:pPr>
          </w:p>
        </w:tc>
        <w:tc>
          <w:tcPr>
            <w:tcW w:w="1879" w:type="dxa"/>
            <w:vAlign w:val="center"/>
          </w:tcPr>
          <w:p>
            <w:pPr>
              <w:widowControl/>
              <w:spacing w:line="240" w:lineRule="exact"/>
              <w:ind w:firstLine="210" w:firstLineChars="100"/>
              <w:rPr>
                <w:rFonts w:ascii="宋体" w:hAnsi="宋体" w:cs="宋体"/>
                <w:bCs/>
                <w:szCs w:val="21"/>
                <w:highlight w:val="none"/>
              </w:rPr>
            </w:pPr>
            <w:r>
              <w:rPr>
                <w:rFonts w:hint="eastAsia" w:ascii="宋体" w:hAnsi="宋体" w:cs="宋体"/>
                <w:bCs/>
                <w:szCs w:val="21"/>
                <w:highlight w:val="none"/>
              </w:rPr>
              <w:t>（3）专用设备日常维护保养和年度检修情况（每项0.5分）</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3分</w:t>
            </w:r>
          </w:p>
        </w:tc>
        <w:tc>
          <w:tcPr>
            <w:tcW w:w="1756" w:type="dxa"/>
            <w:vAlign w:val="center"/>
          </w:tcPr>
          <w:p>
            <w:pPr>
              <w:widowControl/>
              <w:spacing w:line="240" w:lineRule="exact"/>
              <w:ind w:firstLine="420" w:firstLineChars="200"/>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1、舞台机械设备系统. 2. 音响设备系统 .3、调光控制设备.4. 舞台辅助设施.5、经营管理范围内的剧院内照明系统。一项不符合扣0.5分</w:t>
            </w:r>
          </w:p>
        </w:tc>
        <w:tc>
          <w:tcPr>
            <w:tcW w:w="1421" w:type="dxa"/>
            <w:vAlign w:val="center"/>
          </w:tcPr>
          <w:p>
            <w:pPr>
              <w:widowControl/>
              <w:spacing w:line="240" w:lineRule="exact"/>
              <w:rPr>
                <w:rFonts w:ascii="宋体" w:hAnsi="宋体" w:cs="宋体"/>
                <w:bCs/>
                <w:szCs w:val="21"/>
                <w:highlight w:val="none"/>
              </w:rPr>
            </w:pPr>
            <w:r>
              <w:rPr>
                <w:rFonts w:hint="eastAsia" w:ascii="宋体" w:hAnsi="宋体" w:cs="宋体"/>
                <w:bCs/>
                <w:szCs w:val="21"/>
                <w:highlight w:val="none"/>
              </w:rPr>
              <w:t>专业人员对上述系统运行的稳定性、操作（使用）的合理性、日常维保的周密性进行评定考核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560" w:type="dxa"/>
            <w:vMerge w:val="restart"/>
          </w:tcPr>
          <w:p>
            <w:pPr>
              <w:widowControl/>
              <w:spacing w:line="240" w:lineRule="exact"/>
              <w:rPr>
                <w:rFonts w:ascii="宋体" w:hAnsi="宋体" w:cs="宋体"/>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ind w:firstLine="470" w:firstLineChars="196"/>
              <w:rPr>
                <w:rFonts w:ascii="宋体" w:hAnsi="宋体" w:cs="宋体"/>
                <w:b/>
                <w:bCs/>
                <w:sz w:val="24"/>
                <w:highlight w:val="none"/>
              </w:rPr>
            </w:pPr>
          </w:p>
          <w:p>
            <w:pPr>
              <w:widowControl/>
              <w:spacing w:line="240" w:lineRule="exact"/>
              <w:rPr>
                <w:rFonts w:ascii="宋体" w:hAnsi="宋体" w:cs="宋体"/>
                <w:bCs/>
                <w:sz w:val="24"/>
                <w:highlight w:val="none"/>
              </w:rPr>
            </w:pPr>
            <w:r>
              <w:rPr>
                <w:rFonts w:hint="eastAsia" w:ascii="宋体" w:hAnsi="宋体" w:cs="宋体"/>
                <w:b/>
                <w:bCs/>
                <w:sz w:val="24"/>
                <w:highlight w:val="none"/>
              </w:rPr>
              <w:t>六、安全生产管理情况</w:t>
            </w:r>
            <w:r>
              <w:rPr>
                <w:rFonts w:hint="eastAsia" w:ascii="宋体" w:hAnsi="宋体" w:cs="宋体"/>
                <w:bCs/>
                <w:sz w:val="24"/>
                <w:highlight w:val="none"/>
              </w:rPr>
              <w:t>（总分</w:t>
            </w:r>
            <w:r>
              <w:rPr>
                <w:rFonts w:hint="eastAsia" w:ascii="宋体" w:hAnsi="宋体" w:cs="宋体"/>
                <w:bCs/>
                <w:sz w:val="24"/>
                <w:highlight w:val="none"/>
                <w:lang w:val="en-US" w:eastAsia="zh-CN"/>
              </w:rPr>
              <w:t>7</w:t>
            </w:r>
            <w:r>
              <w:rPr>
                <w:rFonts w:hint="eastAsia" w:ascii="宋体" w:hAnsi="宋体" w:cs="宋体"/>
                <w:bCs/>
                <w:sz w:val="24"/>
                <w:highlight w:val="none"/>
              </w:rPr>
              <w:t>分）</w:t>
            </w:r>
          </w:p>
        </w:tc>
        <w:tc>
          <w:tcPr>
            <w:tcW w:w="1879" w:type="dxa"/>
            <w:vAlign w:val="center"/>
          </w:tcPr>
          <w:p>
            <w:pPr>
              <w:widowControl/>
              <w:spacing w:line="240" w:lineRule="exact"/>
              <w:ind w:firstLine="420" w:firstLineChars="200"/>
              <w:rPr>
                <w:rFonts w:ascii="宋体" w:hAnsi="宋体" w:cs="宋体"/>
                <w:bCs/>
                <w:szCs w:val="21"/>
                <w:highlight w:val="none"/>
              </w:rPr>
            </w:pPr>
            <w:r>
              <w:rPr>
                <w:rFonts w:hint="eastAsia" w:ascii="宋体" w:hAnsi="宋体" w:cs="宋体"/>
                <w:szCs w:val="21"/>
                <w:highlight w:val="none"/>
              </w:rPr>
              <w:t>全年无较大或较大以上安全责任事故</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ind w:firstLine="315" w:firstLineChars="150"/>
              <w:rPr>
                <w:rFonts w:ascii="宋体" w:hAnsi="宋体" w:cs="宋体"/>
                <w:szCs w:val="21"/>
                <w:highlight w:val="none"/>
              </w:rPr>
            </w:pPr>
            <w:r>
              <w:rPr>
                <w:rFonts w:hint="eastAsia" w:ascii="宋体" w:hAnsi="宋体" w:cs="宋体"/>
                <w:szCs w:val="21"/>
                <w:highlight w:val="none"/>
              </w:rPr>
              <w:t>有较大或较大以上安全责任事故，一票否决</w:t>
            </w:r>
          </w:p>
        </w:tc>
        <w:tc>
          <w:tcPr>
            <w:tcW w:w="142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重大责任事故的界定以国家规定为准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560" w:type="dxa"/>
            <w:vMerge w:val="continue"/>
          </w:tcPr>
          <w:p>
            <w:pPr>
              <w:rPr>
                <w:rFonts w:ascii="宋体" w:hAnsi="宋体" w:cs="宋体"/>
                <w:sz w:val="24"/>
                <w:highlight w:val="none"/>
              </w:rPr>
            </w:pPr>
          </w:p>
        </w:tc>
        <w:tc>
          <w:tcPr>
            <w:tcW w:w="1879" w:type="dxa"/>
            <w:vAlign w:val="center"/>
          </w:tcPr>
          <w:p>
            <w:pPr>
              <w:widowControl/>
              <w:spacing w:line="240" w:lineRule="exact"/>
              <w:rPr>
                <w:rFonts w:ascii="宋体" w:hAnsi="宋体" w:cs="宋体"/>
                <w:bCs/>
                <w:szCs w:val="21"/>
                <w:highlight w:val="none"/>
              </w:rPr>
            </w:pPr>
            <w:r>
              <w:rPr>
                <w:rFonts w:hint="eastAsia" w:ascii="宋体" w:hAnsi="宋体" w:cs="宋体"/>
                <w:szCs w:val="21"/>
                <w:highlight w:val="none"/>
              </w:rPr>
              <w:t>安全生产领导小组、安全生产制度的制定</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rPr>
              <w:t>2分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rPr>
                <w:rFonts w:ascii="宋体" w:hAnsi="宋体" w:cs="宋体"/>
                <w:szCs w:val="21"/>
                <w:highlight w:val="none"/>
              </w:rPr>
            </w:pPr>
            <w:r>
              <w:rPr>
                <w:rFonts w:hint="eastAsia" w:ascii="宋体" w:hAnsi="宋体" w:cs="宋体"/>
                <w:szCs w:val="21"/>
                <w:highlight w:val="none"/>
              </w:rPr>
              <w:t>看台账</w:t>
            </w:r>
          </w:p>
          <w:p>
            <w:pPr>
              <w:widowControl/>
              <w:spacing w:line="240" w:lineRule="exact"/>
              <w:rPr>
                <w:rFonts w:ascii="宋体" w:hAnsi="宋体" w:cs="宋体"/>
                <w:szCs w:val="21"/>
                <w:highlight w:val="none"/>
              </w:rPr>
            </w:pPr>
            <w:r>
              <w:rPr>
                <w:rFonts w:hint="eastAsia" w:ascii="宋体" w:hAnsi="宋体" w:cs="宋体"/>
                <w:szCs w:val="21"/>
                <w:highlight w:val="none"/>
              </w:rPr>
              <w:t>制度未制定每项扣0.5分</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560" w:type="dxa"/>
            <w:vMerge w:val="continue"/>
          </w:tcPr>
          <w:p>
            <w:pPr>
              <w:rPr>
                <w:rFonts w:ascii="宋体" w:hAnsi="宋体" w:cs="宋体"/>
                <w:sz w:val="24"/>
                <w:highlight w:val="none"/>
              </w:rPr>
            </w:pPr>
          </w:p>
        </w:tc>
        <w:tc>
          <w:tcPr>
            <w:tcW w:w="1879" w:type="dxa"/>
            <w:vAlign w:val="center"/>
          </w:tcPr>
          <w:p>
            <w:pPr>
              <w:widowControl/>
              <w:spacing w:line="240" w:lineRule="exact"/>
              <w:ind w:firstLine="420" w:firstLineChars="200"/>
              <w:rPr>
                <w:rFonts w:ascii="宋体" w:hAnsi="宋体" w:cs="宋体"/>
                <w:bCs/>
                <w:szCs w:val="21"/>
                <w:highlight w:val="none"/>
              </w:rPr>
            </w:pPr>
            <w:r>
              <w:rPr>
                <w:rFonts w:hint="eastAsia" w:ascii="宋体" w:hAnsi="宋体" w:cs="宋体"/>
                <w:szCs w:val="21"/>
                <w:highlight w:val="none"/>
              </w:rPr>
              <w:t>安全生产人员岗位落实安全生产全员培训安全生产活动开展情况</w:t>
            </w:r>
          </w:p>
        </w:tc>
        <w:tc>
          <w:tcPr>
            <w:tcW w:w="790" w:type="dxa"/>
            <w:vAlign w:val="center"/>
          </w:tcPr>
          <w:p>
            <w:pPr>
              <w:widowControl/>
              <w:spacing w:line="240" w:lineRule="exact"/>
              <w:jc w:val="center"/>
              <w:rPr>
                <w:rFonts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分</w:t>
            </w:r>
          </w:p>
        </w:tc>
        <w:tc>
          <w:tcPr>
            <w:tcW w:w="1756" w:type="dxa"/>
            <w:vAlign w:val="center"/>
          </w:tcPr>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ind w:firstLine="420" w:firstLineChars="200"/>
              <w:rPr>
                <w:rFonts w:ascii="宋体" w:hAnsi="宋体" w:cs="宋体"/>
                <w:szCs w:val="21"/>
                <w:highlight w:val="none"/>
              </w:rPr>
            </w:pPr>
            <w:r>
              <w:rPr>
                <w:rFonts w:hint="eastAsia" w:ascii="宋体" w:hAnsi="宋体" w:cs="宋体"/>
                <w:szCs w:val="21"/>
                <w:highlight w:val="none"/>
              </w:rPr>
              <w:t>1、每年至少两次消防安全和突发事故应急预案演习及消防培训。（少一次扣0.5分）</w:t>
            </w:r>
          </w:p>
          <w:p>
            <w:pPr>
              <w:widowControl/>
              <w:spacing w:line="240" w:lineRule="exact"/>
              <w:ind w:firstLine="420" w:firstLineChars="200"/>
              <w:rPr>
                <w:rFonts w:ascii="宋体" w:hAnsi="宋体" w:cs="宋体"/>
                <w:szCs w:val="21"/>
                <w:highlight w:val="none"/>
              </w:rPr>
            </w:pPr>
            <w:r>
              <w:rPr>
                <w:rFonts w:hint="eastAsia" w:ascii="宋体" w:hAnsi="宋体" w:cs="宋体"/>
                <w:szCs w:val="21"/>
                <w:highlight w:val="none"/>
              </w:rPr>
              <w:t>2、要求持消防培训合格证上岗。（无消防培训合格证扣0.5分）</w:t>
            </w:r>
          </w:p>
          <w:p>
            <w:pPr>
              <w:widowControl/>
              <w:spacing w:line="240" w:lineRule="exact"/>
              <w:ind w:firstLine="420" w:firstLineChars="200"/>
              <w:rPr>
                <w:rFonts w:ascii="宋体" w:hAnsi="宋体" w:cs="宋体"/>
                <w:szCs w:val="21"/>
                <w:highlight w:val="none"/>
              </w:rPr>
            </w:pPr>
            <w:r>
              <w:rPr>
                <w:rFonts w:hint="eastAsia" w:ascii="宋体" w:hAnsi="宋体" w:cs="宋体"/>
                <w:szCs w:val="21"/>
                <w:highlight w:val="none"/>
              </w:rPr>
              <w:t>3、安全通道畅通，消防设施设备完好。（不符合标准口0.5分）</w:t>
            </w:r>
          </w:p>
          <w:p>
            <w:pPr>
              <w:widowControl/>
              <w:spacing w:line="240" w:lineRule="exact"/>
              <w:ind w:firstLine="420" w:firstLineChars="200"/>
              <w:rPr>
                <w:rFonts w:ascii="宋体" w:hAnsi="宋体" w:cs="宋体"/>
                <w:szCs w:val="21"/>
                <w:highlight w:val="none"/>
              </w:rPr>
            </w:pPr>
            <w:r>
              <w:rPr>
                <w:rFonts w:hint="eastAsia" w:ascii="宋体" w:hAnsi="宋体" w:cs="宋体"/>
                <w:szCs w:val="21"/>
                <w:highlight w:val="none"/>
              </w:rPr>
              <w:t>实地检查看台账</w:t>
            </w:r>
          </w:p>
        </w:tc>
        <w:tc>
          <w:tcPr>
            <w:tcW w:w="1421" w:type="dxa"/>
            <w:vAlign w:val="center"/>
          </w:tcPr>
          <w:p>
            <w:pPr>
              <w:widowControl/>
              <w:spacing w:line="240" w:lineRule="exac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560" w:type="dxa"/>
          </w:tcPr>
          <w:p>
            <w:pPr>
              <w:rPr>
                <w:highlight w:val="none"/>
              </w:rPr>
            </w:pPr>
          </w:p>
          <w:p>
            <w:pPr>
              <w:bidi w:val="0"/>
              <w:jc w:val="center"/>
              <w:rPr>
                <w:rFonts w:ascii="Times New Roman" w:hAnsi="Times New Roman" w:eastAsia="宋体" w:cs="Times New Roman"/>
                <w:kern w:val="2"/>
                <w:sz w:val="21"/>
                <w:szCs w:val="24"/>
                <w:highlight w:val="none"/>
                <w:lang w:val="en-US" w:eastAsia="zh-CN" w:bidi="ar-SA"/>
              </w:rPr>
            </w:pPr>
            <w:r>
              <w:rPr>
                <w:rFonts w:hint="eastAsia" w:ascii="宋体" w:hAnsi="宋体" w:cs="宋体"/>
                <w:b/>
                <w:bCs/>
                <w:sz w:val="24"/>
                <w:highlight w:val="none"/>
                <w:lang w:val="en-US" w:eastAsia="zh-CN"/>
              </w:rPr>
              <w:t>七、接诉即办处置情况</w:t>
            </w:r>
            <w:r>
              <w:rPr>
                <w:rFonts w:hint="eastAsia" w:ascii="宋体" w:hAnsi="宋体" w:cs="宋体"/>
                <w:bCs/>
                <w:sz w:val="24"/>
                <w:highlight w:val="none"/>
                <w:lang w:val="en-US" w:eastAsia="zh-CN"/>
              </w:rPr>
              <w:t>（总分8分）</w:t>
            </w:r>
          </w:p>
        </w:tc>
        <w:tc>
          <w:tcPr>
            <w:tcW w:w="1879" w:type="dxa"/>
            <w:vAlign w:val="center"/>
          </w:tcPr>
          <w:p>
            <w:pPr>
              <w:widowControl/>
              <w:spacing w:line="24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eastAsia="zh-CN"/>
              </w:rPr>
              <w:t>接诉即办工单处置情况</w:t>
            </w:r>
          </w:p>
        </w:tc>
        <w:tc>
          <w:tcPr>
            <w:tcW w:w="790" w:type="dxa"/>
            <w:vAlign w:val="center"/>
          </w:tcPr>
          <w:p>
            <w:pPr>
              <w:widowControl/>
              <w:spacing w:line="240" w:lineRule="exact"/>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8分</w:t>
            </w:r>
          </w:p>
        </w:tc>
        <w:tc>
          <w:tcPr>
            <w:tcW w:w="1756" w:type="dxa"/>
            <w:vAlign w:val="center"/>
          </w:tcPr>
          <w:p>
            <w:pPr>
              <w:widowControl/>
              <w:spacing w:line="240" w:lineRule="exact"/>
              <w:rPr>
                <w:rFonts w:ascii="宋体" w:hAnsi="宋体" w:eastAsia="宋体" w:cs="宋体"/>
                <w:kern w:val="2"/>
                <w:sz w:val="21"/>
                <w:szCs w:val="21"/>
                <w:highlight w:val="none"/>
                <w:lang w:val="en-US" w:eastAsia="zh-CN" w:bidi="ar-SA"/>
              </w:rPr>
            </w:pPr>
          </w:p>
        </w:tc>
        <w:tc>
          <w:tcPr>
            <w:tcW w:w="1461" w:type="dxa"/>
            <w:vAlign w:val="center"/>
          </w:tcPr>
          <w:p>
            <w:pPr>
              <w:widowControl/>
              <w:spacing w:line="240" w:lineRule="exact"/>
              <w:rPr>
                <w:rFonts w:ascii="宋体" w:hAnsi="宋体" w:eastAsia="宋体" w:cs="宋体"/>
                <w:kern w:val="2"/>
                <w:sz w:val="21"/>
                <w:szCs w:val="21"/>
                <w:highlight w:val="none"/>
                <w:lang w:val="en-US" w:eastAsia="zh-CN" w:bidi="ar-SA"/>
              </w:rPr>
            </w:pPr>
          </w:p>
        </w:tc>
        <w:tc>
          <w:tcPr>
            <w:tcW w:w="1302" w:type="dxa"/>
            <w:vAlign w:val="center"/>
          </w:tcPr>
          <w:p>
            <w:pPr>
              <w:widowControl/>
              <w:spacing w:line="240" w:lineRule="exact"/>
              <w:rPr>
                <w:rFonts w:ascii="宋体" w:hAnsi="宋体" w:eastAsia="宋体" w:cs="宋体"/>
                <w:kern w:val="2"/>
                <w:sz w:val="21"/>
                <w:szCs w:val="21"/>
                <w:highlight w:val="none"/>
                <w:lang w:val="en-US" w:eastAsia="zh-CN" w:bidi="ar-SA"/>
              </w:rPr>
            </w:pPr>
          </w:p>
        </w:tc>
        <w:tc>
          <w:tcPr>
            <w:tcW w:w="1185" w:type="dxa"/>
            <w:vAlign w:val="center"/>
          </w:tcPr>
          <w:p>
            <w:pPr>
              <w:widowControl/>
              <w:spacing w:line="240" w:lineRule="exact"/>
              <w:rPr>
                <w:rFonts w:ascii="宋体" w:hAnsi="宋体" w:eastAsia="宋体" w:cs="宋体"/>
                <w:kern w:val="2"/>
                <w:sz w:val="21"/>
                <w:szCs w:val="21"/>
                <w:highlight w:val="none"/>
                <w:lang w:val="en-US" w:eastAsia="zh-CN" w:bidi="ar-SA"/>
              </w:rPr>
            </w:pPr>
          </w:p>
        </w:tc>
        <w:tc>
          <w:tcPr>
            <w:tcW w:w="3531" w:type="dxa"/>
            <w:vAlign w:val="center"/>
          </w:tcPr>
          <w:p>
            <w:pPr>
              <w:widowControl/>
              <w:spacing w:line="24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lang w:eastAsia="zh-CN"/>
              </w:rPr>
              <w:t>收到接诉即办工单后未第一时间响应的每个工单扣</w:t>
            </w:r>
            <w:r>
              <w:rPr>
                <w:rFonts w:hint="eastAsia" w:ascii="宋体" w:hAnsi="宋体" w:cs="宋体"/>
                <w:szCs w:val="21"/>
                <w:highlight w:val="none"/>
                <w:lang w:val="en-US" w:eastAsia="zh-CN"/>
              </w:rPr>
              <w:t>1分，电话回访诉求人不满意或基本满意的每个工单扣1分，未解决的每个工单扣1分</w:t>
            </w:r>
          </w:p>
        </w:tc>
        <w:tc>
          <w:tcPr>
            <w:tcW w:w="1421" w:type="dxa"/>
            <w:vAlign w:val="center"/>
          </w:tcPr>
          <w:p>
            <w:pPr>
              <w:widowControl/>
              <w:spacing w:line="2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在市级接诉即办考核中造成甲方扣分情况的，每个工单在演出补贴中扣除1万元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1560" w:type="dxa"/>
          </w:tcPr>
          <w:p>
            <w:pPr>
              <w:rPr>
                <w:highlight w:val="none"/>
              </w:rPr>
            </w:pPr>
          </w:p>
          <w:p>
            <w:pPr>
              <w:bidi w:val="0"/>
              <w:jc w:val="center"/>
              <w:rPr>
                <w:rFonts w:ascii="Times New Roman" w:hAnsi="Times New Roman" w:eastAsia="宋体" w:cs="Times New Roman"/>
                <w:kern w:val="2"/>
                <w:sz w:val="21"/>
                <w:szCs w:val="24"/>
                <w:highlight w:val="none"/>
                <w:lang w:val="en-US" w:eastAsia="zh-CN" w:bidi="ar-SA"/>
              </w:rPr>
            </w:pPr>
            <w:r>
              <w:rPr>
                <w:rFonts w:hint="eastAsia" w:ascii="宋体" w:hAnsi="宋体" w:cs="宋体"/>
                <w:b/>
                <w:bCs/>
                <w:sz w:val="24"/>
                <w:highlight w:val="none"/>
                <w:lang w:val="en-US" w:eastAsia="zh-CN"/>
              </w:rPr>
              <w:t>八、意识形态问题处置情况</w:t>
            </w:r>
            <w:r>
              <w:rPr>
                <w:rFonts w:hint="eastAsia" w:ascii="宋体" w:hAnsi="宋体" w:cs="宋体"/>
                <w:bCs/>
                <w:sz w:val="24"/>
                <w:highlight w:val="none"/>
                <w:lang w:val="en-US" w:eastAsia="zh-CN"/>
              </w:rPr>
              <w:t>（总分8分）</w:t>
            </w:r>
          </w:p>
        </w:tc>
        <w:tc>
          <w:tcPr>
            <w:tcW w:w="1879" w:type="dxa"/>
            <w:vAlign w:val="center"/>
          </w:tcPr>
          <w:p>
            <w:pPr>
              <w:widowControl/>
              <w:spacing w:line="240" w:lineRule="exact"/>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eastAsia="zh-CN"/>
              </w:rPr>
              <w:t>意识形态问题处置情况</w:t>
            </w:r>
          </w:p>
        </w:tc>
        <w:tc>
          <w:tcPr>
            <w:tcW w:w="790" w:type="dxa"/>
            <w:vAlign w:val="center"/>
          </w:tcPr>
          <w:p>
            <w:pPr>
              <w:widowControl/>
              <w:spacing w:line="240" w:lineRule="exact"/>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8分</w:t>
            </w:r>
          </w:p>
        </w:tc>
        <w:tc>
          <w:tcPr>
            <w:tcW w:w="1756" w:type="dxa"/>
            <w:vAlign w:val="center"/>
          </w:tcPr>
          <w:p>
            <w:pPr>
              <w:widowControl/>
              <w:spacing w:line="240" w:lineRule="exact"/>
              <w:rPr>
                <w:rFonts w:ascii="宋体" w:hAnsi="宋体" w:cs="宋体"/>
                <w:szCs w:val="21"/>
                <w:highlight w:val="none"/>
              </w:rPr>
            </w:pPr>
          </w:p>
        </w:tc>
        <w:tc>
          <w:tcPr>
            <w:tcW w:w="1461" w:type="dxa"/>
            <w:vAlign w:val="center"/>
          </w:tcPr>
          <w:p>
            <w:pPr>
              <w:widowControl/>
              <w:spacing w:line="240" w:lineRule="exact"/>
              <w:rPr>
                <w:rFonts w:ascii="宋体" w:hAnsi="宋体" w:cs="宋体"/>
                <w:szCs w:val="21"/>
                <w:highlight w:val="none"/>
              </w:rPr>
            </w:pPr>
          </w:p>
        </w:tc>
        <w:tc>
          <w:tcPr>
            <w:tcW w:w="1302" w:type="dxa"/>
            <w:vAlign w:val="center"/>
          </w:tcPr>
          <w:p>
            <w:pPr>
              <w:widowControl/>
              <w:spacing w:line="240" w:lineRule="exact"/>
              <w:rPr>
                <w:rFonts w:ascii="宋体" w:hAnsi="宋体" w:cs="宋体"/>
                <w:szCs w:val="21"/>
                <w:highlight w:val="none"/>
              </w:rPr>
            </w:pPr>
          </w:p>
        </w:tc>
        <w:tc>
          <w:tcPr>
            <w:tcW w:w="1185" w:type="dxa"/>
            <w:vAlign w:val="center"/>
          </w:tcPr>
          <w:p>
            <w:pPr>
              <w:widowControl/>
              <w:spacing w:line="240" w:lineRule="exact"/>
              <w:rPr>
                <w:rFonts w:ascii="宋体" w:hAnsi="宋体" w:cs="宋体"/>
                <w:szCs w:val="21"/>
                <w:highlight w:val="none"/>
              </w:rPr>
            </w:pPr>
          </w:p>
        </w:tc>
        <w:tc>
          <w:tcPr>
            <w:tcW w:w="3531" w:type="dxa"/>
            <w:vAlign w:val="center"/>
          </w:tcPr>
          <w:p>
            <w:pPr>
              <w:widowControl/>
              <w:spacing w:line="240" w:lineRule="exact"/>
              <w:ind w:firstLine="420" w:firstLineChars="200"/>
              <w:rPr>
                <w:rFonts w:hint="default" w:ascii="宋体" w:hAnsi="宋体" w:eastAsia="宋体" w:cs="宋体"/>
                <w:szCs w:val="21"/>
                <w:highlight w:val="none"/>
                <w:lang w:val="en-US" w:eastAsia="zh-CN"/>
              </w:rPr>
            </w:pPr>
            <w:r>
              <w:rPr>
                <w:rFonts w:hint="eastAsia" w:ascii="宋体" w:hAnsi="宋体" w:cs="宋体"/>
                <w:szCs w:val="21"/>
                <w:highlight w:val="none"/>
                <w:lang w:eastAsia="zh-CN"/>
              </w:rPr>
              <w:t>出现意识形态问题</w:t>
            </w:r>
            <w:r>
              <w:rPr>
                <w:rFonts w:hint="eastAsia" w:ascii="宋体" w:hAnsi="宋体" w:cs="宋体"/>
                <w:szCs w:val="21"/>
                <w:highlight w:val="none"/>
                <w:lang w:val="en-US" w:eastAsia="zh-CN"/>
              </w:rPr>
              <w:t>的每次扣2分，进一步造成舆情的每次扣4分；如出现2次及以上意识形态问题的情况考核等级直接降为“良好”</w:t>
            </w:r>
          </w:p>
        </w:tc>
        <w:tc>
          <w:tcPr>
            <w:tcW w:w="1421" w:type="dxa"/>
            <w:vAlign w:val="center"/>
          </w:tcPr>
          <w:p>
            <w:pPr>
              <w:widowControl/>
              <w:spacing w:line="2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出现意识形态问题的每次在演出补贴中扣除2万元，进一步造成舆情的每次在演出补贴中扣除5万元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560" w:type="dxa"/>
            <w:vAlign w:val="center"/>
          </w:tcPr>
          <w:p>
            <w:pPr>
              <w:jc w:val="center"/>
              <w:rPr>
                <w:rFonts w:ascii="宋体" w:hAnsi="宋体" w:cs="宋体"/>
                <w:b/>
                <w:sz w:val="24"/>
                <w:highlight w:val="none"/>
              </w:rPr>
            </w:pPr>
            <w:r>
              <w:rPr>
                <w:rFonts w:hint="eastAsia" w:ascii="宋体" w:hAnsi="宋体" w:cs="宋体"/>
                <w:b/>
                <w:sz w:val="24"/>
                <w:highlight w:val="none"/>
              </w:rPr>
              <w:t>总计</w:t>
            </w:r>
          </w:p>
        </w:tc>
        <w:tc>
          <w:tcPr>
            <w:tcW w:w="13325" w:type="dxa"/>
            <w:gridSpan w:val="8"/>
            <w:vAlign w:val="center"/>
          </w:tcPr>
          <w:p>
            <w:pPr>
              <w:widowControl/>
              <w:spacing w:line="240" w:lineRule="exact"/>
              <w:ind w:firstLine="2415" w:firstLineChars="1150"/>
              <w:rPr>
                <w:rFonts w:ascii="宋体" w:hAnsi="宋体" w:cs="宋体"/>
                <w:szCs w:val="21"/>
                <w:highlight w:val="none"/>
              </w:rPr>
            </w:pPr>
            <w:r>
              <w:rPr>
                <w:rFonts w:hint="eastAsia" w:ascii="宋体" w:hAnsi="宋体" w:cs="宋体"/>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7" w:hRule="atLeast"/>
          <w:jc w:val="center"/>
        </w:trPr>
        <w:tc>
          <w:tcPr>
            <w:tcW w:w="1560" w:type="dxa"/>
            <w:vAlign w:val="center"/>
          </w:tcPr>
          <w:p>
            <w:pPr>
              <w:widowControl/>
              <w:spacing w:line="240" w:lineRule="exact"/>
              <w:jc w:val="center"/>
              <w:rPr>
                <w:rFonts w:ascii="宋体" w:hAnsi="宋体" w:cs="宋体"/>
                <w:b/>
                <w:bCs/>
                <w:sz w:val="24"/>
                <w:highlight w:val="none"/>
              </w:rPr>
            </w:pPr>
            <w:r>
              <w:rPr>
                <w:rFonts w:hint="eastAsia" w:ascii="宋体" w:hAnsi="宋体" w:cs="宋体"/>
                <w:b/>
                <w:bCs/>
                <w:sz w:val="24"/>
                <w:highlight w:val="none"/>
                <w:lang w:val="en-US" w:eastAsia="zh-CN"/>
              </w:rPr>
              <w:t>考核委员会</w:t>
            </w:r>
            <w:r>
              <w:rPr>
                <w:rFonts w:hint="eastAsia" w:ascii="宋体" w:hAnsi="宋体" w:cs="宋体"/>
                <w:b/>
                <w:bCs/>
                <w:sz w:val="24"/>
                <w:highlight w:val="none"/>
              </w:rPr>
              <w:t>结论：</w:t>
            </w:r>
          </w:p>
        </w:tc>
        <w:tc>
          <w:tcPr>
            <w:tcW w:w="13325" w:type="dxa"/>
            <w:gridSpan w:val="8"/>
            <w:vAlign w:val="center"/>
          </w:tcPr>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p>
          <w:p>
            <w:pPr>
              <w:spacing w:line="240" w:lineRule="exact"/>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US" w:eastAsia="zh-CN"/>
              </w:rPr>
              <w:t>考核委员会签字</w:t>
            </w:r>
            <w:r>
              <w:rPr>
                <w:rFonts w:hint="eastAsia" w:ascii="宋体" w:hAnsi="宋体" w:cs="宋体"/>
                <w:szCs w:val="21"/>
                <w:highlight w:val="none"/>
              </w:rPr>
              <w:t xml:space="preserve">：                                                                   </w:t>
            </w:r>
          </w:p>
          <w:p>
            <w:pPr>
              <w:spacing w:line="240" w:lineRule="exact"/>
              <w:rPr>
                <w:rFonts w:ascii="宋体" w:hAnsi="宋体" w:cs="宋体"/>
                <w:szCs w:val="21"/>
                <w:highlight w:val="none"/>
              </w:rPr>
            </w:pPr>
            <w:r>
              <w:rPr>
                <w:rFonts w:hint="eastAsia" w:ascii="宋体" w:hAnsi="宋体" w:cs="宋体"/>
                <w:szCs w:val="21"/>
                <w:highlight w:val="none"/>
              </w:rPr>
              <w:t xml:space="preserve">                                                                                            年     月     日</w:t>
            </w:r>
          </w:p>
        </w:tc>
      </w:tr>
    </w:tbl>
    <w:p>
      <w:pPr>
        <w:rPr>
          <w:rFonts w:ascii="宋体" w:hAnsi="宋体" w:cs="宋体"/>
          <w:sz w:val="24"/>
          <w:highlight w:val="none"/>
        </w:rPr>
      </w:pPr>
    </w:p>
    <w:p>
      <w:pPr>
        <w:widowControl/>
        <w:spacing w:line="460" w:lineRule="exact"/>
        <w:rPr>
          <w:rFonts w:ascii="宋体" w:hAnsi="宋体" w:cs="宋体"/>
          <w:b/>
          <w:bCs/>
          <w:sz w:val="24"/>
          <w:highlight w:val="none"/>
          <w:lang w:bidi="ar"/>
        </w:rPr>
        <w:sectPr>
          <w:headerReference r:id="rId20" w:type="default"/>
          <w:footerReference r:id="rId21" w:type="default"/>
          <w:pgSz w:w="16838" w:h="11906" w:orient="landscape"/>
          <w:pgMar w:top="1531" w:right="1418" w:bottom="1531" w:left="1418" w:header="851" w:footer="992" w:gutter="0"/>
          <w:cols w:space="720" w:num="1"/>
          <w:docGrid w:type="linesAndChars" w:linePitch="315" w:charSpace="0"/>
        </w:sectPr>
      </w:pPr>
    </w:p>
    <w:p>
      <w:pPr>
        <w:rPr>
          <w:rFonts w:ascii="宋体" w:hAnsi="宋体" w:cs="宋体"/>
          <w:highlight w:val="none"/>
        </w:rPr>
      </w:pPr>
    </w:p>
    <w:p>
      <w:pPr>
        <w:pStyle w:val="2"/>
        <w:rPr>
          <w:rFonts w:hAnsi="宋体" w:cs="宋体"/>
          <w:highlight w:val="none"/>
        </w:rPr>
      </w:pPr>
      <w:bookmarkStart w:id="865" w:name="_Toc6006"/>
      <w:r>
        <w:rPr>
          <w:rFonts w:hint="eastAsia" w:hAnsi="宋体" w:cs="宋体"/>
          <w:highlight w:val="none"/>
        </w:rPr>
        <w:t>第七章   投标文件格式</w:t>
      </w:r>
      <w:bookmarkEnd w:id="865"/>
    </w:p>
    <w:p>
      <w:pPr>
        <w:tabs>
          <w:tab w:val="left" w:pos="900"/>
          <w:tab w:val="left" w:pos="1980"/>
        </w:tabs>
        <w:snapToGrid w:val="0"/>
        <w:spacing w:line="360" w:lineRule="auto"/>
        <w:ind w:left="142"/>
        <w:rPr>
          <w:rFonts w:ascii="宋体" w:hAnsi="宋体" w:cs="宋体"/>
          <w:b/>
          <w:sz w:val="24"/>
          <w:highlight w:val="none"/>
        </w:rPr>
      </w:pP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b/>
          <w:sz w:val="24"/>
          <w:highlight w:val="none"/>
        </w:rPr>
        <w:t>投标人编制文件须知</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对于招标文件中标记了“实质性格式”文件的，</w:t>
      </w:r>
      <w:r>
        <w:rPr>
          <w:rFonts w:hint="eastAsia" w:ascii="宋体" w:hAnsi="宋体" w:cs="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highlight w:val="none"/>
        </w:rPr>
        <w:t>否则</w:t>
      </w:r>
      <w:r>
        <w:rPr>
          <w:rFonts w:hint="eastAsia" w:ascii="宋体" w:hAnsi="宋体" w:cs="宋体"/>
          <w:b/>
          <w:kern w:val="0"/>
          <w:sz w:val="24"/>
          <w:highlight w:val="none"/>
        </w:rPr>
        <w:t>投标无效</w:t>
      </w:r>
      <w:r>
        <w:rPr>
          <w:rFonts w:hint="eastAsia" w:ascii="宋体" w:hAnsi="宋体" w:cs="宋体"/>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pPr>
        <w:widowControl/>
        <w:jc w:val="left"/>
        <w:rPr>
          <w:rFonts w:ascii="宋体" w:hAnsi="宋体" w:cs="宋体"/>
          <w:sz w:val="24"/>
          <w:highlight w:val="none"/>
        </w:rPr>
      </w:pPr>
      <w:r>
        <w:rPr>
          <w:rFonts w:hint="eastAsia" w:ascii="宋体" w:hAnsi="宋体" w:cs="宋体"/>
          <w:sz w:val="24"/>
          <w:highlight w:val="none"/>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Pr>
        <w:keepNext/>
        <w:keepLines/>
        <w:autoSpaceDE w:val="0"/>
        <w:autoSpaceDN w:val="0"/>
        <w:adjustRightInd w:val="0"/>
        <w:spacing w:before="120" w:line="300" w:lineRule="auto"/>
        <w:jc w:val="left"/>
        <w:outlineLvl w:val="1"/>
        <w:rPr>
          <w:rFonts w:ascii="宋体" w:hAnsi="宋体" w:cs="宋体"/>
          <w:b/>
          <w:kern w:val="0"/>
          <w:sz w:val="30"/>
          <w:szCs w:val="20"/>
          <w:highlight w:val="none"/>
        </w:rPr>
      </w:pPr>
      <w:r>
        <w:rPr>
          <w:rFonts w:hint="eastAsia" w:ascii="宋体" w:hAnsi="宋体" w:cs="宋体"/>
          <w:b/>
          <w:spacing w:val="20"/>
          <w:sz w:val="24"/>
          <w:highlight w:val="none"/>
        </w:rPr>
        <w:t>一、资格证明文件格式</w:t>
      </w:r>
    </w:p>
    <w:p>
      <w:pPr>
        <w:rPr>
          <w:rFonts w:ascii="宋体" w:hAnsi="宋体" w:cs="宋体"/>
          <w:b/>
          <w:spacing w:val="20"/>
          <w:szCs w:val="21"/>
          <w:highlight w:val="none"/>
        </w:rPr>
      </w:pPr>
    </w:p>
    <w:p>
      <w:pPr>
        <w:rPr>
          <w:rFonts w:ascii="宋体" w:hAnsi="宋体" w:cs="宋体"/>
          <w:b/>
          <w:sz w:val="24"/>
          <w:highlight w:val="none"/>
        </w:rPr>
      </w:pPr>
      <w:r>
        <w:rPr>
          <w:rFonts w:hint="eastAsia" w:ascii="宋体" w:hAnsi="宋体" w:cs="宋体"/>
          <w:b/>
          <w:spacing w:val="20"/>
          <w:sz w:val="24"/>
          <w:highlight w:val="none"/>
        </w:rPr>
        <w:t>投标文件（资格证明文件）</w:t>
      </w:r>
      <w:r>
        <w:rPr>
          <w:rFonts w:hint="eastAsia" w:ascii="宋体" w:hAnsi="宋体" w:cs="宋体"/>
          <w:b/>
          <w:sz w:val="24"/>
          <w:highlight w:val="none"/>
        </w:rPr>
        <w:t>封面（非实质性格式）</w:t>
      </w:r>
    </w:p>
    <w:p>
      <w:pPr>
        <w:jc w:val="center"/>
        <w:rPr>
          <w:rFonts w:ascii="宋体" w:hAnsi="宋体" w:cs="宋体"/>
          <w:b/>
          <w:spacing w:val="60"/>
          <w:sz w:val="84"/>
          <w:szCs w:val="84"/>
          <w:highlight w:val="none"/>
        </w:rPr>
      </w:pPr>
    </w:p>
    <w:p>
      <w:pPr>
        <w:jc w:val="center"/>
        <w:rPr>
          <w:rFonts w:ascii="宋体" w:hAnsi="宋体" w:cs="宋体"/>
          <w:b/>
          <w:spacing w:val="60"/>
          <w:sz w:val="84"/>
          <w:szCs w:val="84"/>
          <w:highlight w:val="none"/>
        </w:rPr>
      </w:pPr>
    </w:p>
    <w:p>
      <w:pPr>
        <w:jc w:val="center"/>
        <w:rPr>
          <w:rFonts w:ascii="宋体" w:hAnsi="宋体" w:cs="宋体"/>
          <w:b/>
          <w:spacing w:val="60"/>
          <w:sz w:val="84"/>
          <w:szCs w:val="84"/>
          <w:highlight w:val="none"/>
        </w:rPr>
      </w:pPr>
    </w:p>
    <w:p>
      <w:pPr>
        <w:jc w:val="center"/>
        <w:rPr>
          <w:rFonts w:ascii="宋体" w:hAnsi="宋体" w:cs="宋体"/>
          <w:b/>
          <w:spacing w:val="60"/>
          <w:sz w:val="84"/>
          <w:szCs w:val="84"/>
          <w:highlight w:val="none"/>
        </w:rPr>
      </w:pP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投 标 文 件</w:t>
      </w:r>
    </w:p>
    <w:p>
      <w:pPr>
        <w:jc w:val="center"/>
        <w:rPr>
          <w:rFonts w:ascii="宋体" w:hAnsi="宋体" w:cs="宋体"/>
          <w:b/>
          <w:spacing w:val="60"/>
          <w:sz w:val="52"/>
          <w:szCs w:val="52"/>
          <w:highlight w:val="none"/>
        </w:rPr>
      </w:pPr>
      <w:r>
        <w:rPr>
          <w:rFonts w:hint="eastAsia" w:ascii="宋体" w:hAnsi="宋体" w:cs="宋体"/>
          <w:b/>
          <w:spacing w:val="60"/>
          <w:sz w:val="52"/>
          <w:szCs w:val="52"/>
          <w:highlight w:val="none"/>
        </w:rPr>
        <w:t>（资格证明文件）</w:t>
      </w:r>
    </w:p>
    <w:p>
      <w:pPr>
        <w:ind w:firstLine="542" w:firstLineChars="150"/>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spacing w:line="480" w:lineRule="auto"/>
        <w:ind w:firstLine="602" w:firstLineChars="150"/>
        <w:rPr>
          <w:rFonts w:ascii="宋体" w:hAnsi="宋体" w:cs="宋体"/>
          <w:b/>
          <w:spacing w:val="20"/>
          <w:sz w:val="36"/>
          <w:szCs w:val="36"/>
          <w:highlight w:val="none"/>
        </w:rPr>
      </w:pPr>
      <w:r>
        <w:rPr>
          <w:rFonts w:hint="eastAsia" w:ascii="宋体" w:hAnsi="宋体" w:cs="宋体"/>
          <w:b/>
          <w:spacing w:val="20"/>
          <w:sz w:val="36"/>
          <w:szCs w:val="36"/>
          <w:highlight w:val="none"/>
        </w:rPr>
        <w:t>项目名称:</w:t>
      </w:r>
    </w:p>
    <w:p>
      <w:pPr>
        <w:spacing w:line="480" w:lineRule="auto"/>
        <w:ind w:firstLine="602" w:firstLineChars="150"/>
        <w:rPr>
          <w:rFonts w:ascii="宋体" w:hAnsi="宋体" w:cs="宋体"/>
          <w:b/>
          <w:spacing w:val="20"/>
          <w:sz w:val="36"/>
          <w:szCs w:val="36"/>
          <w:highlight w:val="none"/>
        </w:rPr>
      </w:pPr>
      <w:r>
        <w:rPr>
          <w:rFonts w:hint="eastAsia" w:ascii="宋体" w:hAnsi="宋体" w:cs="宋体"/>
          <w:b/>
          <w:spacing w:val="20"/>
          <w:sz w:val="36"/>
          <w:szCs w:val="36"/>
          <w:highlight w:val="none"/>
        </w:rPr>
        <w:t>项目编号：</w:t>
      </w:r>
    </w:p>
    <w:p>
      <w:pPr>
        <w:spacing w:line="480" w:lineRule="auto"/>
        <w:ind w:firstLine="602" w:firstLineChars="150"/>
        <w:rPr>
          <w:rFonts w:ascii="宋体" w:hAnsi="宋体" w:cs="宋体"/>
          <w:b/>
          <w:spacing w:val="20"/>
          <w:sz w:val="36"/>
          <w:szCs w:val="36"/>
          <w:highlight w:val="none"/>
        </w:rPr>
      </w:pPr>
      <w:r>
        <w:rPr>
          <w:rFonts w:hint="eastAsia" w:ascii="宋体" w:hAnsi="宋体" w:cs="宋体"/>
          <w:b/>
          <w:spacing w:val="20"/>
          <w:sz w:val="36"/>
          <w:szCs w:val="36"/>
          <w:highlight w:val="none"/>
        </w:rPr>
        <w:t>投标人名称：</w:t>
      </w:r>
    </w:p>
    <w:p>
      <w:pPr>
        <w:jc w:val="center"/>
        <w:rPr>
          <w:rFonts w:ascii="宋体" w:hAnsi="宋体" w:cs="宋体"/>
          <w:b/>
          <w:sz w:val="32"/>
          <w:szCs w:val="32"/>
          <w:highlight w:val="none"/>
        </w:rPr>
      </w:pPr>
    </w:p>
    <w:p>
      <w:pPr>
        <w:rPr>
          <w:rFonts w:ascii="宋体" w:hAnsi="宋体" w:cs="宋体"/>
          <w:b/>
          <w:highlight w:val="none"/>
        </w:rPr>
      </w:pPr>
      <w:r>
        <w:rPr>
          <w:rFonts w:hint="eastAsia" w:ascii="宋体" w:hAnsi="宋体" w:cs="宋体"/>
          <w:b/>
          <w:spacing w:val="20"/>
          <w:sz w:val="32"/>
          <w:szCs w:val="32"/>
          <w:highlight w:val="none"/>
        </w:rPr>
        <w:br w:type="page"/>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 xml:space="preserve">1 </w:t>
      </w:r>
      <w:r>
        <w:rPr>
          <w:rFonts w:hint="eastAsia" w:ascii="宋体" w:hAnsi="宋体" w:cs="宋体"/>
          <w:sz w:val="24"/>
          <w:highlight w:val="none"/>
        </w:rPr>
        <w:t>满足《中华人民共和国政府采购法》第二十二条规定及法律法规的其他规定</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1-1营业执照等证明文件</w:t>
      </w:r>
    </w:p>
    <w:p>
      <w:pPr>
        <w:tabs>
          <w:tab w:val="left" w:pos="1080"/>
        </w:tabs>
        <w:snapToGrid w:val="0"/>
        <w:rPr>
          <w:rFonts w:ascii="宋体" w:hAnsi="宋体" w:cs="宋体"/>
          <w:sz w:val="24"/>
          <w:highlight w:val="none"/>
        </w:rPr>
      </w:pPr>
    </w:p>
    <w:p>
      <w:pPr>
        <w:widowControl/>
        <w:jc w:val="left"/>
        <w:rPr>
          <w:rFonts w:ascii="宋体" w:hAnsi="宋体" w:cs="宋体"/>
          <w:color w:val="000000"/>
          <w:sz w:val="24"/>
          <w:szCs w:val="20"/>
          <w:highlight w:val="none"/>
        </w:rPr>
      </w:pPr>
      <w:r>
        <w:rPr>
          <w:rFonts w:hint="eastAsia" w:ascii="宋体" w:hAnsi="宋体" w:cs="宋体"/>
          <w:color w:val="000000"/>
          <w:sz w:val="24"/>
          <w:highlight w:val="none"/>
        </w:rPr>
        <w:br w:type="page"/>
      </w:r>
    </w:p>
    <w:p>
      <w:pPr>
        <w:pStyle w:val="4"/>
        <w:rPr>
          <w:rFonts w:hAnsi="宋体" w:cs="宋体"/>
          <w:b w:val="0"/>
          <w:bCs/>
          <w:color w:val="000000"/>
          <w:highlight w:val="none"/>
          <w:u w:val="none"/>
        </w:rPr>
      </w:pPr>
      <w:r>
        <w:rPr>
          <w:rFonts w:hint="eastAsia" w:hAnsi="宋体" w:cs="宋体"/>
          <w:b w:val="0"/>
          <w:color w:val="000000"/>
          <w:highlight w:val="none"/>
          <w:u w:val="none"/>
        </w:rPr>
        <w:t>1-2 投标人资格声明书（实质性格式）</w:t>
      </w:r>
    </w:p>
    <w:p>
      <w:pPr>
        <w:jc w:val="center"/>
        <w:rPr>
          <w:rFonts w:ascii="宋体" w:hAnsi="宋体" w:cs="宋体"/>
          <w:b/>
          <w:color w:val="000000"/>
          <w:sz w:val="36"/>
          <w:szCs w:val="36"/>
          <w:highlight w:val="none"/>
        </w:rPr>
      </w:pPr>
      <w:r>
        <w:rPr>
          <w:rFonts w:hint="eastAsia" w:ascii="宋体" w:hAnsi="宋体" w:cs="宋体"/>
          <w:b/>
          <w:color w:val="000000"/>
          <w:sz w:val="36"/>
          <w:szCs w:val="36"/>
          <w:highlight w:val="none"/>
        </w:rPr>
        <w:t>投标人资格声明书</w:t>
      </w:r>
    </w:p>
    <w:p>
      <w:pPr>
        <w:tabs>
          <w:tab w:val="left" w:pos="5580"/>
        </w:tabs>
        <w:spacing w:line="360" w:lineRule="auto"/>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在参与本次项目投标中，我单位承诺：</w:t>
      </w:r>
    </w:p>
    <w:p>
      <w:pPr>
        <w:numPr>
          <w:ilvl w:val="0"/>
          <w:numId w:val="24"/>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具有良好的商业信誉和健全的财务会计制度；</w:t>
      </w:r>
    </w:p>
    <w:p>
      <w:pPr>
        <w:numPr>
          <w:ilvl w:val="0"/>
          <w:numId w:val="24"/>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具有履行合同所必需的设备和专业技术能力；</w:t>
      </w:r>
    </w:p>
    <w:p>
      <w:pPr>
        <w:numPr>
          <w:ilvl w:val="0"/>
          <w:numId w:val="24"/>
        </w:numPr>
        <w:spacing w:line="360" w:lineRule="auto"/>
        <w:ind w:left="1134"/>
        <w:rPr>
          <w:rFonts w:ascii="宋体" w:hAnsi="宋体" w:cs="宋体"/>
          <w:sz w:val="24"/>
          <w:szCs w:val="22"/>
          <w:highlight w:val="none"/>
        </w:rPr>
      </w:pPr>
      <w:r>
        <w:rPr>
          <w:rFonts w:hint="eastAsia" w:ascii="宋体" w:hAnsi="宋体" w:cs="宋体"/>
          <w:sz w:val="24"/>
          <w:szCs w:val="22"/>
          <w:highlight w:val="none"/>
        </w:rPr>
        <w:t>有依法缴纳税收和社会保障资金的良好记录；</w:t>
      </w:r>
    </w:p>
    <w:p>
      <w:pPr>
        <w:numPr>
          <w:ilvl w:val="0"/>
          <w:numId w:val="24"/>
        </w:numPr>
        <w:spacing w:line="360" w:lineRule="auto"/>
        <w:ind w:left="1134"/>
        <w:rPr>
          <w:rFonts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4"/>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24"/>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24"/>
        </w:numPr>
        <w:spacing w:line="360" w:lineRule="auto"/>
        <w:ind w:left="1134"/>
        <w:rPr>
          <w:rFonts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序号</w:t>
            </w:r>
          </w:p>
        </w:tc>
        <w:tc>
          <w:tcPr>
            <w:tcW w:w="4574" w:type="dxa"/>
            <w:vAlign w:val="center"/>
          </w:tcPr>
          <w:p>
            <w:pPr>
              <w:jc w:val="center"/>
              <w:rPr>
                <w:rFonts w:ascii="宋体" w:hAnsi="宋体" w:cs="宋体"/>
                <w:sz w:val="24"/>
                <w:highlight w:val="none"/>
              </w:rPr>
            </w:pPr>
            <w:r>
              <w:rPr>
                <w:rFonts w:hint="eastAsia" w:ascii="宋体" w:hAnsi="宋体" w:cs="宋体"/>
                <w:sz w:val="24"/>
                <w:highlight w:val="none"/>
              </w:rPr>
              <w:t>单位名称</w:t>
            </w:r>
          </w:p>
        </w:tc>
        <w:tc>
          <w:tcPr>
            <w:tcW w:w="2976" w:type="dxa"/>
            <w:vAlign w:val="center"/>
          </w:tcPr>
          <w:p>
            <w:pPr>
              <w:jc w:val="center"/>
              <w:rPr>
                <w:rFonts w:ascii="宋体" w:hAnsi="宋体" w:cs="宋体"/>
                <w:sz w:val="24"/>
                <w:highlight w:val="none"/>
              </w:rPr>
            </w:pPr>
            <w:r>
              <w:rPr>
                <w:rFonts w:hint="eastAsia" w:ascii="宋体" w:hAnsi="宋体" w:cs="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2</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bl>
    <w:p>
      <w:pPr>
        <w:rPr>
          <w:rFonts w:ascii="宋体" w:hAnsi="宋体" w:cs="宋体"/>
          <w:highlight w:val="none"/>
        </w:rPr>
      </w:pPr>
    </w:p>
    <w:p>
      <w:pPr>
        <w:ind w:firstLine="480" w:firstLineChars="200"/>
        <w:rPr>
          <w:rFonts w:ascii="宋体" w:hAnsi="宋体" w:cs="宋体"/>
          <w:sz w:val="24"/>
          <w:szCs w:val="22"/>
          <w:highlight w:val="none"/>
        </w:rPr>
      </w:pPr>
      <w:r>
        <w:rPr>
          <w:rFonts w:hint="eastAsia" w:ascii="宋体" w:hAnsi="宋体" w:cs="宋体"/>
          <w:sz w:val="24"/>
          <w:highlight w:val="none"/>
        </w:rPr>
        <w:t>上述声明真实有效，否则我方负全部责任。</w:t>
      </w:r>
    </w:p>
    <w:p>
      <w:pPr>
        <w:spacing w:line="360" w:lineRule="auto"/>
        <w:rPr>
          <w:rFonts w:ascii="宋体" w:hAnsi="宋体" w:cs="宋体"/>
          <w:sz w:val="24"/>
          <w:highlight w:val="none"/>
        </w:rPr>
      </w:pPr>
    </w:p>
    <w:p>
      <w:pPr>
        <w:autoSpaceDE w:val="0"/>
        <w:autoSpaceDN w:val="0"/>
        <w:adjustRightInd w:val="0"/>
        <w:snapToGrid w:val="0"/>
        <w:spacing w:before="25" w:after="25" w:line="480" w:lineRule="auto"/>
        <w:jc w:val="right"/>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：____________</w:t>
      </w:r>
    </w:p>
    <w:p>
      <w:pPr>
        <w:spacing w:line="480" w:lineRule="auto"/>
        <w:ind w:right="360" w:firstLine="480"/>
        <w:jc w:val="right"/>
        <w:rPr>
          <w:rFonts w:ascii="宋体" w:hAnsi="宋体" w:cs="宋体"/>
          <w:sz w:val="24"/>
          <w:highlight w:val="none"/>
        </w:rPr>
      </w:pPr>
      <w:r>
        <w:rPr>
          <w:rFonts w:hint="eastAsia" w:ascii="宋体" w:hAnsi="宋体" w:cs="宋体"/>
          <w:color w:val="000000"/>
          <w:sz w:val="24"/>
          <w:szCs w:val="20"/>
          <w:highlight w:val="none"/>
        </w:rPr>
        <w:t xml:space="preserve">  日期：_____年______月______日   </w:t>
      </w:r>
    </w:p>
    <w:p>
      <w:pPr>
        <w:spacing w:line="360" w:lineRule="auto"/>
        <w:rPr>
          <w:rFonts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pPr>
        <w:tabs>
          <w:tab w:val="left" w:pos="5580"/>
        </w:tabs>
        <w:spacing w:line="360" w:lineRule="auto"/>
        <w:rPr>
          <w:rFonts w:ascii="宋体" w:hAnsi="宋体" w:cs="宋体"/>
          <w:sz w:val="24"/>
          <w:highlight w:val="none"/>
        </w:rPr>
        <w:sectPr>
          <w:headerReference r:id="rId22" w:type="default"/>
          <w:footerReference r:id="rId23" w:type="default"/>
          <w:pgSz w:w="11907" w:h="16840"/>
          <w:pgMar w:top="1418" w:right="1134" w:bottom="1418" w:left="1701" w:header="851" w:footer="851" w:gutter="0"/>
          <w:cols w:space="720" w:num="1"/>
          <w:docGrid w:linePitch="462" w:charSpace="0"/>
        </w:sectPr>
      </w:pP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2 落实政府采购政策需满足的资格要求</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2.1中小企业声明函</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（1）如本项目（包）不专门面向中小企业预留采购份额，资格证明文件部分无需提供《中小企业声明函》。</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（2）如本项目（包）专门面向中小/小微企业采购，须提供《中小企业声明函》</w:t>
      </w:r>
      <w:r>
        <w:rPr>
          <w:rFonts w:hint="eastAsia" w:ascii="宋体" w:hAnsi="宋体" w:cs="宋体"/>
          <w:color w:val="000000"/>
          <w:sz w:val="24"/>
          <w:szCs w:val="20"/>
          <w:highlight w:val="none"/>
        </w:rPr>
        <w:t>（实质性格式）</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cs="宋体"/>
          <w:sz w:val="24"/>
          <w:highlight w:val="none"/>
        </w:rPr>
      </w:pPr>
      <w:r>
        <w:rPr>
          <w:rFonts w:hint="eastAsia" w:ascii="宋体" w:hAnsi="宋体" w:cs="宋体"/>
          <w:sz w:val="24"/>
          <w:highlight w:val="none"/>
        </w:rPr>
        <w:t>（4）其他</w:t>
      </w:r>
    </w:p>
    <w:p>
      <w:pPr>
        <w:tabs>
          <w:tab w:val="left" w:pos="5580"/>
        </w:tabs>
        <w:spacing w:line="360" w:lineRule="auto"/>
        <w:rPr>
          <w:rFonts w:ascii="宋体" w:hAnsi="宋体" w:cs="宋体"/>
          <w:sz w:val="24"/>
          <w:highlight w:val="none"/>
        </w:rPr>
      </w:pPr>
      <w:r>
        <w:rPr>
          <w:rFonts w:hint="eastAsia" w:ascii="宋体" w:hAnsi="宋体" w:cs="宋体"/>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rFonts w:ascii="宋体" w:hAnsi="宋体" w:cs="宋体"/>
          <w:sz w:val="24"/>
          <w:highlight w:val="none"/>
        </w:rPr>
      </w:pPr>
      <w:r>
        <w:rPr>
          <w:rFonts w:hint="eastAsia" w:ascii="宋体" w:hAnsi="宋体" w:cs="宋体"/>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rFonts w:ascii="宋体" w:hAnsi="宋体" w:cs="宋体"/>
          <w:sz w:val="24"/>
          <w:highlight w:val="none"/>
        </w:rPr>
        <w:sectPr>
          <w:headerReference r:id="rId25" w:type="first"/>
          <w:footerReference r:id="rId27" w:type="first"/>
          <w:headerReference r:id="rId24" w:type="even"/>
          <w:footerReference r:id="rId26" w:type="even"/>
          <w:pgSz w:w="11907" w:h="16840"/>
          <w:pgMar w:top="1418" w:right="1134" w:bottom="1418" w:left="1701" w:header="851" w:footer="851" w:gutter="0"/>
          <w:cols w:space="720" w:num="1"/>
          <w:docGrid w:linePitch="462" w:charSpace="0"/>
        </w:sectPr>
      </w:pPr>
    </w:p>
    <w:p>
      <w:pPr>
        <w:spacing w:before="240" w:beforeLines="100" w:after="240" w:afterLines="100" w:line="360" w:lineRule="auto"/>
        <w:jc w:val="center"/>
        <w:rPr>
          <w:rFonts w:ascii="宋体" w:hAnsi="宋体" w:cs="宋体"/>
          <w:b/>
          <w:bCs/>
          <w:color w:val="000000"/>
          <w:sz w:val="36"/>
          <w:szCs w:val="36"/>
          <w:highlight w:val="none"/>
        </w:rPr>
      </w:pPr>
      <w:r>
        <w:rPr>
          <w:rFonts w:hint="eastAsia" w:ascii="宋体" w:hAnsi="宋体" w:cs="宋体"/>
          <w:b/>
          <w:bCs/>
          <w:color w:val="000000"/>
          <w:sz w:val="36"/>
          <w:szCs w:val="36"/>
          <w:highlight w:val="none"/>
        </w:rPr>
        <w:t>中小企业声明函（工程、服务）格式</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（标的名称）</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，从业人员______人，营业收入为______万元，资产总额为______万元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，属于（中型企业、小型企业、微型企业）；</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2.</w:t>
      </w:r>
      <w:r>
        <w:rPr>
          <w:rFonts w:hint="eastAsia" w:ascii="宋体" w:hAnsi="宋体" w:cs="宋体"/>
          <w:spacing w:val="6"/>
          <w:sz w:val="24"/>
          <w:highlight w:val="none"/>
          <w:u w:val="single"/>
        </w:rPr>
        <w:t>（标的名称）</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，从业人员______人，营业收入为______万元，资产总额为______万元，属于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企业名称（盖章）：________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期：________</w:t>
      </w:r>
    </w:p>
    <w:p>
      <w:pPr>
        <w:adjustRightInd w:val="0"/>
        <w:snapToGrid w:val="0"/>
        <w:jc w:val="left"/>
        <w:rPr>
          <w:rFonts w:ascii="宋体" w:hAnsi="宋体" w:cs="宋体"/>
          <w:color w:val="000000"/>
          <w:sz w:val="24"/>
          <w:szCs w:val="21"/>
          <w:highlight w:val="none"/>
        </w:rPr>
      </w:pPr>
    </w:p>
    <w:p>
      <w:pPr>
        <w:adjustRightInd w:val="0"/>
        <w:snapToGrid w:val="0"/>
        <w:jc w:val="left"/>
        <w:rPr>
          <w:rFonts w:ascii="宋体" w:hAnsi="宋体" w:cs="宋体"/>
          <w:color w:val="000000"/>
          <w:sz w:val="24"/>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djustRightInd w:val="0"/>
        <w:snapToGrid w:val="0"/>
        <w:jc w:val="left"/>
        <w:rPr>
          <w:rFonts w:ascii="宋体" w:hAnsi="宋体" w:cs="宋体"/>
          <w:color w:val="000000"/>
          <w:szCs w:val="21"/>
          <w:highlight w:val="none"/>
          <w:vertAlign w:val="superscript"/>
        </w:rPr>
      </w:pP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before="240" w:beforeLines="100" w:after="240" w:afterLines="100"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残疾人福利性单位声明函格式</w:t>
      </w:r>
      <w:r>
        <w:rPr>
          <w:rFonts w:hint="eastAsia" w:ascii="宋体" w:hAnsi="宋体" w:cs="宋体"/>
          <w:b/>
          <w:color w:val="000000"/>
          <w:sz w:val="36"/>
          <w:szCs w:val="36"/>
          <w:highlight w:val="none"/>
        </w:rPr>
        <w:t xml:space="preserve">       </w:t>
      </w:r>
    </w:p>
    <w:p>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 141</w:t>
      </w:r>
      <w:r>
        <w:rPr>
          <w:rFonts w:hint="eastAsia" w:ascii="宋体" w:hAnsi="宋体" w:cs="宋体"/>
          <w:spacing w:val="6"/>
          <w:sz w:val="24"/>
          <w:highlight w:val="none"/>
        </w:rPr>
        <w:t>号）的规定，本单位</w:t>
      </w:r>
      <w:r>
        <w:rPr>
          <w:rFonts w:hint="eastAsia" w:ascii="宋体" w:hAnsi="宋体" w:cs="宋体"/>
          <w:b/>
          <w:sz w:val="24"/>
          <w:highlight w:val="none"/>
        </w:rPr>
        <w:t>（请进行勾选）</w:t>
      </w:r>
      <w:r>
        <w:rPr>
          <w:rFonts w:hint="eastAsia" w:ascii="宋体" w:hAnsi="宋体" w:cs="宋体"/>
          <w:spacing w:val="6"/>
          <w:sz w:val="24"/>
          <w:highlight w:val="none"/>
        </w:rPr>
        <w:t>：</w:t>
      </w:r>
    </w:p>
    <w:p>
      <w:pPr>
        <w:spacing w:line="588" w:lineRule="exact"/>
        <w:ind w:firstLine="482"/>
        <w:rPr>
          <w:rFonts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pPr>
        <w:spacing w:line="588" w:lineRule="exact"/>
        <w:ind w:firstLine="482"/>
        <w:rPr>
          <w:rFonts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pPr>
        <w:spacing w:line="588" w:lineRule="exact"/>
        <w:ind w:firstLine="504" w:firstLineChars="200"/>
        <w:rPr>
          <w:rFonts w:ascii="宋体" w:hAnsi="宋体" w:cs="宋体"/>
          <w:spacing w:val="6"/>
          <w:sz w:val="24"/>
          <w:highlight w:val="none"/>
        </w:rPr>
      </w:pPr>
    </w:p>
    <w:p>
      <w:pPr>
        <w:spacing w:line="588" w:lineRule="exact"/>
        <w:ind w:firstLine="504" w:firstLineChars="200"/>
        <w:rPr>
          <w:rFonts w:ascii="宋体" w:hAnsi="宋体" w:cs="宋体"/>
          <w:spacing w:val="6"/>
          <w:sz w:val="24"/>
          <w:highlight w:val="none"/>
        </w:rPr>
      </w:pPr>
    </w:p>
    <w:p>
      <w:pPr>
        <w:tabs>
          <w:tab w:val="left" w:pos="4860"/>
        </w:tabs>
        <w:spacing w:line="588" w:lineRule="exact"/>
        <w:ind w:right="1560" w:firstLine="504" w:firstLineChars="200"/>
        <w:jc w:val="center"/>
        <w:rPr>
          <w:rFonts w:ascii="宋体" w:hAnsi="宋体" w:cs="宋体"/>
          <w:spacing w:val="6"/>
          <w:sz w:val="24"/>
          <w:highlight w:val="none"/>
        </w:rPr>
      </w:pPr>
      <w:r>
        <w:rPr>
          <w:rFonts w:hint="eastAsia" w:ascii="宋体" w:hAnsi="宋体" w:cs="宋体"/>
          <w:spacing w:val="6"/>
          <w:sz w:val="24"/>
          <w:highlight w:val="none"/>
        </w:rPr>
        <w:t xml:space="preserve">               单位名称（盖章）：</w:t>
      </w:r>
    </w:p>
    <w:p>
      <w:pPr>
        <w:tabs>
          <w:tab w:val="left" w:pos="4860"/>
        </w:tabs>
        <w:spacing w:line="588" w:lineRule="exact"/>
        <w:ind w:right="1560" w:firstLine="504" w:firstLineChars="200"/>
        <w:jc w:val="center"/>
        <w:rPr>
          <w:rFonts w:ascii="宋体" w:hAnsi="宋体" w:cs="宋体"/>
          <w:spacing w:val="6"/>
          <w:sz w:val="24"/>
          <w:highlight w:val="none"/>
        </w:rPr>
      </w:pPr>
      <w:r>
        <w:rPr>
          <w:rFonts w:hint="eastAsia" w:ascii="宋体" w:hAnsi="宋体" w:cs="宋体"/>
          <w:spacing w:val="6"/>
          <w:sz w:val="24"/>
          <w:highlight w:val="none"/>
        </w:rPr>
        <w:t xml:space="preserve">       日  期：</w:t>
      </w:r>
    </w:p>
    <w:p>
      <w:pPr>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pStyle w:val="58"/>
        <w:jc w:val="center"/>
        <w:rPr>
          <w:rFonts w:ascii="宋体" w:hAnsi="宋体" w:cs="宋体"/>
          <w:highlight w:val="none"/>
        </w:rPr>
        <w:sectPr>
          <w:pgSz w:w="11907" w:h="16840"/>
          <w:pgMar w:top="1418" w:right="1134" w:bottom="1418" w:left="1701" w:header="851" w:footer="851" w:gutter="0"/>
          <w:cols w:space="720" w:num="1"/>
          <w:docGrid w:linePitch="462" w:charSpace="0"/>
        </w:sectPr>
      </w:pPr>
    </w:p>
    <w:p>
      <w:pPr>
        <w:spacing w:line="360" w:lineRule="auto"/>
        <w:outlineLvl w:val="2"/>
        <w:rPr>
          <w:rFonts w:ascii="宋体" w:hAnsi="宋体" w:cs="宋体"/>
          <w:highlight w:val="none"/>
        </w:rPr>
      </w:pPr>
      <w:r>
        <w:rPr>
          <w:rFonts w:hint="eastAsia" w:ascii="宋体" w:hAnsi="宋体" w:cs="宋体"/>
          <w:color w:val="000000"/>
          <w:sz w:val="24"/>
          <w:highlight w:val="none"/>
        </w:rPr>
        <w:t xml:space="preserve">3 </w:t>
      </w:r>
      <w:r>
        <w:rPr>
          <w:rFonts w:hint="eastAsia" w:ascii="宋体" w:hAnsi="宋体" w:cs="宋体"/>
          <w:sz w:val="24"/>
          <w:highlight w:val="none"/>
        </w:rPr>
        <w:t>本项目的特定资格要求</w:t>
      </w:r>
    </w:p>
    <w:p>
      <w:pPr>
        <w:autoSpaceDE w:val="0"/>
        <w:autoSpaceDN w:val="0"/>
        <w:adjustRightInd w:val="0"/>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3.1其他特定资格要求</w:t>
      </w:r>
    </w:p>
    <w:p>
      <w:pPr>
        <w:autoSpaceDE w:val="0"/>
        <w:autoSpaceDN w:val="0"/>
        <w:adjustRightInd w:val="0"/>
        <w:snapToGrid w:val="0"/>
        <w:spacing w:line="360" w:lineRule="auto"/>
        <w:rPr>
          <w:rFonts w:ascii="宋体" w:hAnsi="宋体" w:cs="宋体"/>
          <w:sz w:val="24"/>
          <w:szCs w:val="32"/>
          <w:highlight w:val="none"/>
        </w:rPr>
      </w:pPr>
      <w:r>
        <w:rPr>
          <w:rFonts w:hint="eastAsia" w:ascii="宋体" w:hAnsi="宋体" w:cs="宋体"/>
          <w:color w:val="000000"/>
          <w:sz w:val="24"/>
          <w:highlight w:val="none"/>
          <w:lang w:val="zh-CN"/>
        </w:rPr>
        <w:t>3.</w:t>
      </w:r>
      <w:r>
        <w:rPr>
          <w:rFonts w:hint="eastAsia" w:ascii="宋体" w:hAnsi="宋体" w:cs="宋体"/>
          <w:color w:val="000000"/>
          <w:sz w:val="24"/>
          <w:highlight w:val="none"/>
        </w:rPr>
        <w:t>1</w:t>
      </w:r>
      <w:r>
        <w:rPr>
          <w:rFonts w:hint="eastAsia" w:ascii="宋体" w:hAnsi="宋体" w:cs="宋体"/>
          <w:color w:val="000000"/>
          <w:sz w:val="24"/>
          <w:highlight w:val="none"/>
          <w:lang w:val="zh-CN"/>
        </w:rPr>
        <w:t>.1</w:t>
      </w:r>
      <w:r>
        <w:rPr>
          <w:rFonts w:hint="eastAsia" w:ascii="宋体" w:hAnsi="宋体" w:cs="宋体"/>
          <w:sz w:val="24"/>
          <w:szCs w:val="32"/>
          <w:highlight w:val="none"/>
        </w:rPr>
        <w:t>投标人需具有文化行政主管部门颁发的有效《营业性演出许可证》</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3.</w:t>
      </w:r>
      <w:r>
        <w:rPr>
          <w:rFonts w:hint="eastAsia" w:ascii="宋体" w:hAnsi="宋体" w:cs="宋体"/>
          <w:color w:val="000000"/>
          <w:sz w:val="24"/>
          <w:highlight w:val="none"/>
        </w:rPr>
        <w:t>1</w:t>
      </w:r>
      <w:r>
        <w:rPr>
          <w:rFonts w:hint="eastAsia" w:ascii="宋体" w:hAnsi="宋体" w:cs="宋体"/>
          <w:color w:val="000000"/>
          <w:sz w:val="24"/>
          <w:highlight w:val="none"/>
          <w:lang w:val="zh-CN"/>
        </w:rPr>
        <w:t>.2本项目招标公告发布之日前三年内投标人及其法定代表人未被中国裁判文书网列</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入行贿犯罪行为。</w:t>
      </w:r>
    </w:p>
    <w:p>
      <w:pPr>
        <w:rPr>
          <w:rFonts w:ascii="宋体" w:hAnsi="宋体" w:cs="宋体"/>
          <w:color w:val="000000"/>
          <w:sz w:val="24"/>
          <w:highlight w:val="none"/>
        </w:rPr>
      </w:pPr>
      <w:r>
        <w:rPr>
          <w:rFonts w:hint="eastAsia" w:ascii="宋体" w:hAnsi="宋体" w:cs="宋体"/>
          <w:color w:val="000000"/>
          <w:sz w:val="24"/>
          <w:highlight w:val="none"/>
        </w:rPr>
        <w:br w:type="page"/>
      </w:r>
    </w:p>
    <w:p>
      <w:pPr>
        <w:pStyle w:val="58"/>
        <w:spacing w:line="480" w:lineRule="auto"/>
        <w:ind w:right="451" w:rightChars="215"/>
        <w:rPr>
          <w:rFonts w:ascii="宋体" w:hAnsi="宋体" w:cs="宋体"/>
          <w:b/>
          <w:spacing w:val="20"/>
          <w:highlight w:val="none"/>
        </w:rPr>
      </w:pPr>
      <w:r>
        <w:rPr>
          <w:rFonts w:hint="eastAsia" w:ascii="宋体" w:hAnsi="宋体" w:cs="宋体"/>
          <w:b/>
          <w:spacing w:val="20"/>
          <w:highlight w:val="none"/>
        </w:rPr>
        <w:t>二、商务技术文件格式</w:t>
      </w:r>
    </w:p>
    <w:p>
      <w:pPr>
        <w:rPr>
          <w:rFonts w:ascii="宋体" w:hAnsi="宋体" w:cs="宋体"/>
          <w:b/>
          <w:spacing w:val="20"/>
          <w:szCs w:val="21"/>
          <w:highlight w:val="none"/>
        </w:rPr>
      </w:pPr>
    </w:p>
    <w:p>
      <w:pPr>
        <w:rPr>
          <w:rFonts w:ascii="宋体" w:hAnsi="宋体" w:cs="宋体"/>
          <w:b/>
          <w:sz w:val="24"/>
          <w:highlight w:val="none"/>
        </w:rPr>
      </w:pPr>
      <w:r>
        <w:rPr>
          <w:rFonts w:hint="eastAsia" w:ascii="宋体" w:hAnsi="宋体" w:cs="宋体"/>
          <w:b/>
          <w:spacing w:val="20"/>
          <w:sz w:val="24"/>
          <w:highlight w:val="none"/>
        </w:rPr>
        <w:t>投标文件（商务技术文件）</w:t>
      </w:r>
      <w:r>
        <w:rPr>
          <w:rFonts w:hint="eastAsia" w:ascii="宋体" w:hAnsi="宋体" w:cs="宋体"/>
          <w:b/>
          <w:sz w:val="24"/>
          <w:highlight w:val="none"/>
        </w:rPr>
        <w:t>封面（非实质性格式）</w:t>
      </w:r>
    </w:p>
    <w:p>
      <w:pPr>
        <w:jc w:val="center"/>
        <w:rPr>
          <w:rFonts w:ascii="宋体" w:hAnsi="宋体" w:cs="宋体"/>
          <w:szCs w:val="21"/>
          <w:highlight w:val="none"/>
        </w:rPr>
      </w:pPr>
    </w:p>
    <w:p>
      <w:pPr>
        <w:jc w:val="center"/>
        <w:rPr>
          <w:rFonts w:ascii="宋体" w:hAnsi="宋体" w:cs="宋体"/>
          <w:b/>
          <w:spacing w:val="60"/>
          <w:sz w:val="84"/>
          <w:szCs w:val="84"/>
          <w:highlight w:val="none"/>
        </w:rPr>
      </w:pPr>
    </w:p>
    <w:p>
      <w:pPr>
        <w:jc w:val="center"/>
        <w:rPr>
          <w:rFonts w:ascii="宋体" w:hAnsi="宋体" w:cs="宋体"/>
          <w:b/>
          <w:spacing w:val="60"/>
          <w:sz w:val="84"/>
          <w:szCs w:val="84"/>
          <w:highlight w:val="none"/>
        </w:rPr>
      </w:pPr>
    </w:p>
    <w:p>
      <w:pPr>
        <w:jc w:val="center"/>
        <w:rPr>
          <w:rFonts w:ascii="宋体" w:hAnsi="宋体" w:cs="宋体"/>
          <w:b/>
          <w:spacing w:val="60"/>
          <w:sz w:val="84"/>
          <w:szCs w:val="84"/>
          <w:highlight w:val="none"/>
        </w:rPr>
      </w:pP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投 标 文 件</w:t>
      </w:r>
    </w:p>
    <w:p>
      <w:pPr>
        <w:jc w:val="center"/>
        <w:rPr>
          <w:rFonts w:ascii="宋体" w:hAnsi="宋体" w:cs="宋体"/>
          <w:b/>
          <w:spacing w:val="60"/>
          <w:sz w:val="52"/>
          <w:szCs w:val="52"/>
          <w:highlight w:val="none"/>
        </w:rPr>
      </w:pPr>
      <w:r>
        <w:rPr>
          <w:rFonts w:hint="eastAsia" w:ascii="宋体" w:hAnsi="宋体" w:cs="宋体"/>
          <w:b/>
          <w:spacing w:val="60"/>
          <w:sz w:val="52"/>
          <w:szCs w:val="52"/>
          <w:highlight w:val="none"/>
        </w:rPr>
        <w:t>（商务技术文件）</w:t>
      </w: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pStyle w:val="43"/>
        <w:ind w:firstLine="361"/>
        <w:rPr>
          <w:rFonts w:ascii="宋体" w:hAnsi="宋体" w:cs="宋体"/>
          <w:b/>
          <w:spacing w:val="20"/>
          <w:sz w:val="32"/>
          <w:szCs w:val="32"/>
          <w:highlight w:val="none"/>
        </w:rPr>
      </w:pPr>
    </w:p>
    <w:p>
      <w:pPr>
        <w:spacing w:line="480" w:lineRule="auto"/>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项目名称:</w:t>
      </w:r>
    </w:p>
    <w:p>
      <w:pPr>
        <w:spacing w:line="480" w:lineRule="auto"/>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项目编号：</w:t>
      </w:r>
    </w:p>
    <w:p>
      <w:pPr>
        <w:spacing w:line="480" w:lineRule="auto"/>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投标人名称：</w:t>
      </w:r>
    </w:p>
    <w:p>
      <w:pPr>
        <w:jc w:val="center"/>
        <w:rPr>
          <w:rFonts w:ascii="宋体" w:hAnsi="宋体" w:cs="宋体"/>
          <w:b/>
          <w:sz w:val="32"/>
          <w:szCs w:val="32"/>
          <w:highlight w:val="none"/>
        </w:rPr>
      </w:pPr>
    </w:p>
    <w:p>
      <w:pPr>
        <w:widowControl/>
        <w:jc w:val="left"/>
        <w:rPr>
          <w:rFonts w:ascii="宋体" w:hAnsi="宋体" w:cs="宋体"/>
          <w:b/>
          <w:sz w:val="24"/>
          <w:highlight w:val="none"/>
        </w:rPr>
      </w:pPr>
      <w:r>
        <w:rPr>
          <w:rFonts w:hint="eastAsia" w:ascii="宋体" w:hAnsi="宋体" w:cs="宋体"/>
          <w:b/>
          <w:sz w:val="24"/>
          <w:highlight w:val="none"/>
        </w:rPr>
        <w:br w:type="page"/>
      </w:r>
    </w:p>
    <w:p>
      <w:pPr>
        <w:spacing w:line="360" w:lineRule="auto"/>
        <w:outlineLvl w:val="2"/>
        <w:rPr>
          <w:rFonts w:ascii="宋体" w:hAnsi="宋体" w:cs="宋体"/>
          <w:color w:val="000000"/>
          <w:sz w:val="24"/>
          <w:szCs w:val="20"/>
          <w:highlight w:val="none"/>
        </w:rPr>
      </w:pPr>
      <w:bookmarkStart w:id="866" w:name="_Hlt520271212"/>
      <w:bookmarkEnd w:id="866"/>
      <w:bookmarkStart w:id="867" w:name="_Hlt520343392"/>
      <w:bookmarkEnd w:id="867"/>
      <w:bookmarkStart w:id="868" w:name="_Hlt520355504"/>
      <w:bookmarkEnd w:id="868"/>
      <w:bookmarkStart w:id="869" w:name="_Hlt520350918"/>
      <w:bookmarkEnd w:id="869"/>
      <w:bookmarkStart w:id="870" w:name="_Hlt520274393"/>
      <w:bookmarkEnd w:id="870"/>
      <w:bookmarkStart w:id="871" w:name="_Hlt520343000"/>
      <w:bookmarkEnd w:id="871"/>
      <w:bookmarkStart w:id="872" w:name="_Hlt520274407"/>
      <w:bookmarkEnd w:id="872"/>
      <w:bookmarkStart w:id="873" w:name="_Hlt520274121"/>
      <w:bookmarkEnd w:id="873"/>
      <w:bookmarkStart w:id="874" w:name="_Hlt520274065"/>
      <w:bookmarkEnd w:id="874"/>
      <w:bookmarkStart w:id="875" w:name="_Hlt520273711"/>
      <w:bookmarkEnd w:id="875"/>
      <w:bookmarkStart w:id="876" w:name="_Toc480942349"/>
      <w:bookmarkStart w:id="877" w:name="_Ref467988698"/>
      <w:bookmarkStart w:id="878" w:name="_Toc520356217"/>
      <w:bookmarkStart w:id="879" w:name="_Toc150774761"/>
      <w:bookmarkStart w:id="880" w:name="_Toc226965829"/>
      <w:bookmarkStart w:id="881" w:name="_Toc195842921"/>
      <w:bookmarkStart w:id="882" w:name="_Toc226965746"/>
      <w:bookmarkStart w:id="883" w:name="_Toc142311058"/>
      <w:bookmarkStart w:id="884" w:name="_Toc127151556"/>
      <w:bookmarkStart w:id="885" w:name="_Toc226337252"/>
      <w:bookmarkStart w:id="886" w:name="_Toc226309800"/>
      <w:bookmarkStart w:id="887" w:name="_Toc150480794"/>
      <w:r>
        <w:rPr>
          <w:rFonts w:hint="eastAsia" w:ascii="宋体" w:hAnsi="宋体" w:cs="宋体"/>
          <w:color w:val="000000"/>
          <w:sz w:val="24"/>
          <w:highlight w:val="none"/>
        </w:rPr>
        <w:t>1</w:t>
      </w:r>
      <w:r>
        <w:rPr>
          <w:rFonts w:hint="eastAsia" w:ascii="宋体" w:hAnsi="宋体" w:cs="宋体"/>
          <w:color w:val="000000"/>
          <w:sz w:val="24"/>
          <w:szCs w:val="20"/>
          <w:highlight w:val="none"/>
        </w:rPr>
        <w:t xml:space="preserve">  </w:t>
      </w:r>
      <w:r>
        <w:rPr>
          <w:rFonts w:hint="eastAsia" w:ascii="宋体" w:hAnsi="宋体" w:cs="宋体"/>
          <w:color w:val="000000"/>
          <w:sz w:val="24"/>
          <w:highlight w:val="none"/>
        </w:rPr>
        <w:t>投标</w:t>
      </w:r>
      <w:bookmarkEnd w:id="876"/>
      <w:bookmarkEnd w:id="877"/>
      <w:r>
        <w:rPr>
          <w:rFonts w:hint="eastAsia" w:ascii="宋体" w:hAnsi="宋体" w:cs="宋体"/>
          <w:color w:val="000000"/>
          <w:sz w:val="24"/>
          <w:highlight w:val="none"/>
        </w:rPr>
        <w:t>书</w:t>
      </w:r>
      <w:bookmarkEnd w:id="878"/>
      <w:bookmarkEnd w:id="879"/>
      <w:bookmarkEnd w:id="880"/>
      <w:bookmarkEnd w:id="881"/>
      <w:bookmarkEnd w:id="882"/>
      <w:bookmarkEnd w:id="883"/>
      <w:bookmarkEnd w:id="884"/>
      <w:bookmarkEnd w:id="885"/>
      <w:bookmarkEnd w:id="886"/>
      <w:bookmarkEnd w:id="887"/>
      <w:r>
        <w:rPr>
          <w:rFonts w:hint="eastAsia" w:ascii="宋体" w:hAnsi="宋体" w:cs="宋体"/>
          <w:color w:val="000000"/>
          <w:sz w:val="24"/>
          <w:szCs w:val="20"/>
          <w:highlight w:val="none"/>
        </w:rPr>
        <w:t>（实质性格式）</w:t>
      </w:r>
    </w:p>
    <w:p>
      <w:pPr>
        <w:tabs>
          <w:tab w:val="left" w:pos="5580"/>
        </w:tabs>
        <w:spacing w:line="360" w:lineRule="auto"/>
        <w:rPr>
          <w:rFonts w:ascii="宋体" w:hAnsi="宋体" w:cs="宋体"/>
          <w:color w:val="000000"/>
          <w:sz w:val="24"/>
          <w:highlight w:val="none"/>
        </w:rPr>
      </w:pPr>
    </w:p>
    <w:p>
      <w:pPr>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投标书</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w:t>
      </w: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我方参加你方就___________（项目名称，项目编号）组织的招标活动，并对此项目进行投标。</w:t>
      </w: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1. 我方</w:t>
      </w:r>
      <w:r>
        <w:rPr>
          <w:rFonts w:hint="eastAsia" w:ascii="宋体" w:hAnsi="宋体" w:cs="宋体"/>
          <w:color w:val="000000"/>
          <w:sz w:val="24"/>
          <w:highlight w:val="none"/>
        </w:rPr>
        <w:t>已详细审查全部招标文件</w:t>
      </w:r>
      <w:r>
        <w:rPr>
          <w:rFonts w:hint="eastAsia" w:ascii="宋体" w:hAnsi="宋体" w:cs="宋体"/>
          <w:color w:val="000000"/>
          <w:sz w:val="24"/>
          <w:szCs w:val="20"/>
          <w:highlight w:val="none"/>
        </w:rPr>
        <w:t>，自愿参与投标并承诺如下：</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（1）本投标有效期为自提交投标文件的截止之日起</w:t>
      </w:r>
      <w:r>
        <w:rPr>
          <w:rFonts w:hint="eastAsia" w:ascii="宋体" w:hAnsi="宋体" w:cs="宋体"/>
          <w:sz w:val="24"/>
          <w:highlight w:val="none"/>
        </w:rPr>
        <w:t>_____</w:t>
      </w:r>
      <w:r>
        <w:rPr>
          <w:rFonts w:hint="eastAsia" w:ascii="宋体" w:hAnsi="宋体" w:cs="宋体"/>
          <w:color w:val="000000"/>
          <w:sz w:val="24"/>
          <w:szCs w:val="20"/>
          <w:highlight w:val="none"/>
        </w:rPr>
        <w:t>个日历日。</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（2）除合同条款及采购需求偏离表列出的偏离外，我方响应招标文件的全部要求。</w:t>
      </w:r>
    </w:p>
    <w:p>
      <w:pPr>
        <w:tabs>
          <w:tab w:val="left" w:pos="5580"/>
        </w:tabs>
        <w:spacing w:line="360" w:lineRule="auto"/>
        <w:ind w:firstLine="420" w:firstLineChars="175"/>
        <w:rPr>
          <w:rFonts w:ascii="宋体" w:hAnsi="宋体" w:cs="宋体"/>
          <w:color w:val="000000"/>
          <w:sz w:val="24"/>
          <w:szCs w:val="20"/>
          <w:highlight w:val="none"/>
        </w:rPr>
      </w:pPr>
      <w:r>
        <w:rPr>
          <w:rFonts w:hint="eastAsia" w:ascii="宋体" w:hAnsi="宋体" w:cs="宋体"/>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cs="宋体"/>
          <w:color w:val="000000"/>
          <w:sz w:val="24"/>
          <w:highlight w:val="none"/>
        </w:rPr>
      </w:pPr>
      <w:r>
        <w:rPr>
          <w:rFonts w:hint="eastAsia" w:ascii="宋体" w:hAnsi="宋体" w:cs="宋体"/>
          <w:color w:val="000000"/>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rFonts w:ascii="宋体" w:hAnsi="宋体" w:cs="宋体"/>
          <w:color w:val="000000"/>
          <w:sz w:val="24"/>
          <w:highlight w:val="none"/>
        </w:rPr>
      </w:pPr>
      <w:r>
        <w:rPr>
          <w:rFonts w:hint="eastAsia" w:ascii="宋体" w:hAnsi="宋体" w:cs="宋体"/>
          <w:color w:val="000000"/>
          <w:sz w:val="24"/>
          <w:highlight w:val="none"/>
        </w:rPr>
        <w:t>2. 其他补充条款（如有）：</w:t>
      </w:r>
      <w:r>
        <w:rPr>
          <w:rFonts w:hint="eastAsia" w:ascii="宋体" w:hAnsi="宋体" w:cs="宋体"/>
          <w:color w:val="000000"/>
          <w:sz w:val="24"/>
          <w:szCs w:val="20"/>
          <w:highlight w:val="none"/>
        </w:rPr>
        <w:t>___________</w:t>
      </w:r>
      <w:r>
        <w:rPr>
          <w:rFonts w:hint="eastAsia" w:ascii="宋体" w:hAnsi="宋体" w:cs="宋体"/>
          <w:color w:val="000000"/>
          <w:sz w:val="24"/>
          <w:highlight w:val="none"/>
        </w:rPr>
        <w:t>。</w:t>
      </w:r>
    </w:p>
    <w:p>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与本投标有关的一切正式往来信函请寄：</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地址_________________________     传真____________________________</w:t>
      </w: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电话_________________________     电子函件________________________</w:t>
      </w:r>
    </w:p>
    <w:p>
      <w:pPr>
        <w:tabs>
          <w:tab w:val="left" w:pos="5580"/>
        </w:tabs>
        <w:spacing w:line="360" w:lineRule="auto"/>
        <w:ind w:left="420"/>
        <w:rPr>
          <w:rFonts w:ascii="宋体" w:hAnsi="宋体" w:cs="宋体"/>
          <w:color w:val="000000"/>
          <w:sz w:val="24"/>
          <w:szCs w:val="20"/>
          <w:highlight w:val="none"/>
        </w:rPr>
      </w:pPr>
    </w:p>
    <w:p>
      <w:pPr>
        <w:tabs>
          <w:tab w:val="left" w:pos="5580"/>
        </w:tabs>
        <w:spacing w:line="48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投标人名称（加盖公章）：___________</w:t>
      </w:r>
    </w:p>
    <w:p>
      <w:pPr>
        <w:tabs>
          <w:tab w:val="left" w:pos="5580"/>
        </w:tabs>
        <w:spacing w:line="48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p>
    <w:p>
      <w:pPr>
        <w:tabs>
          <w:tab w:val="left" w:pos="5580"/>
        </w:tabs>
        <w:spacing w:line="360" w:lineRule="auto"/>
        <w:ind w:left="420"/>
        <w:rPr>
          <w:rFonts w:ascii="宋体" w:hAnsi="宋体" w:cs="宋体"/>
          <w:color w:val="000000"/>
          <w:sz w:val="24"/>
          <w:szCs w:val="20"/>
          <w:highlight w:val="none"/>
          <w:u w:val="single"/>
        </w:rPr>
      </w:pPr>
    </w:p>
    <w:p>
      <w:pPr>
        <w:widowControl/>
        <w:jc w:val="left"/>
        <w:rPr>
          <w:rFonts w:ascii="宋体" w:hAnsi="宋体" w:cs="宋体"/>
          <w:color w:val="000000"/>
          <w:sz w:val="24"/>
          <w:highlight w:val="none"/>
        </w:rPr>
      </w:pPr>
      <w:bookmarkStart w:id="888" w:name="_Hlt520356243"/>
      <w:bookmarkEnd w:id="888"/>
      <w:bookmarkStart w:id="889" w:name="_Hlt520355938"/>
      <w:bookmarkEnd w:id="889"/>
      <w:bookmarkStart w:id="890" w:name="_Toc150480795"/>
      <w:bookmarkStart w:id="891" w:name="_Toc127151557"/>
      <w:bookmarkStart w:id="892" w:name="_Toc305158825"/>
      <w:bookmarkStart w:id="893" w:name="_Toc480942350"/>
      <w:bookmarkStart w:id="894" w:name="_Toc195842922"/>
      <w:bookmarkStart w:id="895" w:name="_Toc520356218"/>
      <w:bookmarkStart w:id="896" w:name="_Toc305158899"/>
      <w:bookmarkStart w:id="897" w:name="_Toc142311059"/>
      <w:bookmarkStart w:id="898" w:name="_Toc226309801"/>
      <w:bookmarkStart w:id="899" w:name="_Toc264969247"/>
      <w:bookmarkStart w:id="900" w:name="_Toc226965747"/>
      <w:bookmarkStart w:id="901" w:name="_Toc265228395"/>
      <w:bookmarkStart w:id="902" w:name="_Toc226337253"/>
      <w:bookmarkStart w:id="903" w:name="_Ref467988705"/>
      <w:bookmarkStart w:id="904" w:name="_Toc226965830"/>
      <w:bookmarkStart w:id="905" w:name="_Toc150774762"/>
      <w:r>
        <w:rPr>
          <w:rFonts w:hint="eastAsia" w:ascii="宋体" w:hAnsi="宋体" w:cs="宋体"/>
          <w:color w:val="000000"/>
          <w:sz w:val="24"/>
          <w:highlight w:val="none"/>
        </w:rPr>
        <w:br w:type="page"/>
      </w:r>
    </w:p>
    <w:p>
      <w:pPr>
        <w:spacing w:line="360" w:lineRule="auto"/>
        <w:outlineLvl w:val="2"/>
        <w:rPr>
          <w:rFonts w:ascii="宋体" w:hAnsi="宋体" w:cs="宋体"/>
          <w:color w:val="000000"/>
          <w:sz w:val="24"/>
          <w:highlight w:val="none"/>
        </w:rPr>
      </w:pPr>
      <w:r>
        <w:rPr>
          <w:rFonts w:hint="eastAsia" w:ascii="宋体" w:hAnsi="宋体" w:cs="宋体"/>
          <w:color w:val="000000"/>
          <w:sz w:val="24"/>
          <w:highlight w:val="none"/>
        </w:rPr>
        <w:t>2  授权委托书（实质性格式）</w:t>
      </w:r>
    </w:p>
    <w:p>
      <w:pPr>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授权委托书</w:t>
      </w:r>
    </w:p>
    <w:p>
      <w:pPr>
        <w:spacing w:line="360" w:lineRule="auto"/>
        <w:ind w:firstLine="420"/>
        <w:rPr>
          <w:rFonts w:ascii="宋体" w:hAnsi="宋体" w:cs="宋体"/>
          <w:color w:val="000000"/>
          <w:sz w:val="24"/>
          <w:szCs w:val="20"/>
          <w:highlight w:val="none"/>
        </w:rPr>
      </w:pP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本人</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（姓名）系</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（投标人名称）的法定代表人（单位负责人），现委托</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（姓名）为我方代理人。代理人根据授权，以我方名义签署、澄清确认、递交、撤回、修改</w:t>
      </w:r>
      <w:r>
        <w:rPr>
          <w:rFonts w:hint="eastAsia" w:ascii="宋体" w:hAnsi="宋体" w:cs="宋体"/>
          <w:color w:val="000000"/>
          <w:sz w:val="24"/>
          <w:highlight w:val="none"/>
          <w:u w:val="single"/>
        </w:rPr>
        <w:t xml:space="preserve">                </w:t>
      </w:r>
      <w:r>
        <w:rPr>
          <w:rFonts w:hint="eastAsia" w:ascii="宋体" w:hAnsi="宋体" w:cs="宋体"/>
          <w:color w:val="000000"/>
          <w:sz w:val="24"/>
          <w:szCs w:val="20"/>
          <w:highlight w:val="none"/>
        </w:rPr>
        <w:t>（项目名称）投标文件和处理有关事宜，其法律后果由我方承担。</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委托期限：自本授权委托书签署之日起至投标有效期届满之日止。</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代理人无转委托权。</w:t>
      </w:r>
      <w:r>
        <w:rPr>
          <w:rFonts w:hint="eastAsia" w:ascii="宋体" w:hAnsi="宋体" w:cs="宋体"/>
          <w:color w:val="000000"/>
          <w:sz w:val="24"/>
          <w:szCs w:val="20"/>
          <w:highlight w:val="none"/>
        </w:rPr>
        <w:c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rPr>
        <w:t xml:space="preserve">                </w:t>
      </w:r>
    </w:p>
    <w:p>
      <w:pPr>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法定代表人（单位负责人）（签字或签章）：</w:t>
      </w:r>
      <w:r>
        <w:rPr>
          <w:rFonts w:hint="eastAsia" w:ascii="宋体" w:hAnsi="宋体" w:cs="宋体"/>
          <w:color w:val="000000"/>
          <w:sz w:val="24"/>
          <w:highlight w:val="none"/>
          <w:u w:val="single"/>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委托代理人（签字或签章）：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日期：_____年______月______日</w:t>
      </w:r>
    </w:p>
    <w:p>
      <w:pPr>
        <w:tabs>
          <w:tab w:val="left" w:pos="5580"/>
        </w:tabs>
        <w:spacing w:line="360" w:lineRule="auto"/>
        <w:ind w:firstLine="480" w:firstLineChars="200"/>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法定代表人（单位负责人）有效期内的身份证</w:t>
      </w:r>
      <w:r>
        <w:rPr>
          <w:rFonts w:hint="eastAsia" w:ascii="宋体" w:hAnsi="宋体" w:cs="宋体"/>
          <w:b/>
          <w:color w:val="000000"/>
          <w:sz w:val="24"/>
          <w:szCs w:val="20"/>
          <w:highlight w:val="none"/>
        </w:rPr>
        <w:t>正反面</w:t>
      </w:r>
      <w:r>
        <w:rPr>
          <w:rFonts w:hint="eastAsia" w:ascii="宋体" w:hAnsi="宋体" w:cs="宋体"/>
          <w:color w:val="000000"/>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tc>
        <w:tc>
          <w:tcPr>
            <w:tcW w:w="4536" w:type="dxa"/>
          </w:tcPr>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tc>
      </w:tr>
    </w:tbl>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委托代理人有效期内的身份证</w:t>
      </w:r>
      <w:r>
        <w:rPr>
          <w:rFonts w:hint="eastAsia" w:ascii="宋体" w:hAnsi="宋体" w:cs="宋体"/>
          <w:b/>
          <w:color w:val="000000"/>
          <w:sz w:val="24"/>
          <w:szCs w:val="20"/>
          <w:highlight w:val="none"/>
        </w:rPr>
        <w:t>正反面</w:t>
      </w:r>
      <w:r>
        <w:rPr>
          <w:rFonts w:hint="eastAsia" w:ascii="宋体" w:hAnsi="宋体" w:cs="宋体"/>
          <w:color w:val="000000"/>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tc>
        <w:tc>
          <w:tcPr>
            <w:tcW w:w="4536" w:type="dxa"/>
          </w:tcPr>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tc>
      </w:tr>
    </w:tbl>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说明：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1.若供应商为事业单位或其他组织或分支机构（仅当招标文件注明允许分支机构投标的），则法定代表人（单位负责人）处的签署人可为单位负责人。</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2.若投标文件中签字之处均为法定代表人（单位负责人）本人签署，则可不提供本《授权委托书》，但须提供《法定代表人（单位负责人）身份证明》（实质性格式）。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3.供应商为自然人的情形，可不提供本《授权委托书》。</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4.供应商应随本《授权委托书》同时提供法定代表人（单位负责人）及委托代理人的有效的身份证等身份证明文件电子件。提供身份证的，应同时提供身份证双面电子件。</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附：法定代表人（单位负责人）身份证明</w:t>
      </w:r>
    </w:p>
    <w:p>
      <w:pPr>
        <w:kinsoku w:val="0"/>
        <w:overflowPunct w:val="0"/>
        <w:spacing w:line="200" w:lineRule="exact"/>
        <w:rPr>
          <w:rFonts w:ascii="宋体" w:hAnsi="宋体" w:cs="宋体"/>
          <w:sz w:val="20"/>
          <w:szCs w:val="20"/>
          <w:highlight w:val="none"/>
        </w:rPr>
      </w:pP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w:t>
      </w:r>
    </w:p>
    <w:p>
      <w:pPr>
        <w:pStyle w:val="17"/>
        <w:tabs>
          <w:tab w:val="left" w:pos="2412"/>
          <w:tab w:val="left" w:pos="3883"/>
          <w:tab w:val="left" w:pos="5352"/>
          <w:tab w:val="left" w:pos="6821"/>
        </w:tabs>
        <w:kinsoku w:val="0"/>
        <w:overflowPunct w:val="0"/>
        <w:spacing w:line="335" w:lineRule="exact"/>
        <w:ind w:firstLine="480" w:firstLineChars="200"/>
        <w:rPr>
          <w:rFonts w:cs="宋体"/>
          <w:highlight w:val="none"/>
        </w:rPr>
      </w:pPr>
      <w:r>
        <w:rPr>
          <w:rFonts w:hint="eastAsia" w:cs="宋体"/>
          <w:highlight w:val="none"/>
        </w:rPr>
        <w:t>兹证明，</w:t>
      </w:r>
    </w:p>
    <w:p>
      <w:pPr>
        <w:pStyle w:val="17"/>
        <w:tabs>
          <w:tab w:val="left" w:pos="1690"/>
          <w:tab w:val="left" w:pos="3400"/>
          <w:tab w:val="left" w:pos="5110"/>
          <w:tab w:val="left" w:pos="6821"/>
        </w:tabs>
        <w:kinsoku w:val="0"/>
        <w:overflowPunct w:val="0"/>
        <w:spacing w:line="335" w:lineRule="exact"/>
        <w:rPr>
          <w:rFonts w:cs="宋体"/>
          <w:highlight w:val="none"/>
        </w:rPr>
      </w:pPr>
      <w:r>
        <w:rPr>
          <w:rFonts w:hint="eastAsia" w:cs="宋体"/>
          <w:highlight w:val="none"/>
        </w:rPr>
        <w:t>姓名：____性别：____年龄：____职务：____</w:t>
      </w:r>
    </w:p>
    <w:p>
      <w:pPr>
        <w:pStyle w:val="17"/>
        <w:tabs>
          <w:tab w:val="left" w:pos="2412"/>
          <w:tab w:val="left" w:pos="3883"/>
          <w:tab w:val="left" w:pos="5352"/>
          <w:tab w:val="left" w:pos="6821"/>
        </w:tabs>
        <w:kinsoku w:val="0"/>
        <w:overflowPunct w:val="0"/>
        <w:spacing w:line="335" w:lineRule="exact"/>
        <w:rPr>
          <w:rFonts w:cs="宋体"/>
          <w:highlight w:val="none"/>
        </w:rPr>
      </w:pPr>
    </w:p>
    <w:p>
      <w:pPr>
        <w:pStyle w:val="17"/>
        <w:tabs>
          <w:tab w:val="left" w:pos="2250"/>
          <w:tab w:val="left" w:pos="2412"/>
          <w:tab w:val="left" w:pos="3883"/>
          <w:tab w:val="left" w:pos="5352"/>
          <w:tab w:val="left" w:pos="6821"/>
          <w:tab w:val="clear" w:pos="567"/>
        </w:tabs>
        <w:kinsoku w:val="0"/>
        <w:overflowPunct w:val="0"/>
        <w:spacing w:line="335" w:lineRule="exact"/>
        <w:rPr>
          <w:rFonts w:cs="宋体"/>
          <w:highlight w:val="none"/>
        </w:rPr>
      </w:pPr>
      <w:r>
        <w:rPr>
          <w:rFonts w:hint="eastAsia" w:cs="宋体"/>
          <w:highlight w:val="none"/>
        </w:rPr>
        <w:t>系</w:t>
      </w:r>
      <w:r>
        <w:rPr>
          <w:rFonts w:hint="eastAsia" w:cs="宋体"/>
          <w:highlight w:val="none"/>
          <w:u w:val="single"/>
        </w:rPr>
        <w:t xml:space="preserve"> </w:t>
      </w:r>
      <w:r>
        <w:rPr>
          <w:rFonts w:hint="eastAsia" w:cs="宋体"/>
          <w:i/>
          <w:iCs/>
          <w:highlight w:val="none"/>
          <w:u w:val="single"/>
        </w:rPr>
        <w:t xml:space="preserve">                 </w:t>
      </w:r>
      <w:r>
        <w:rPr>
          <w:rFonts w:hint="eastAsia" w:cs="宋体"/>
          <w:highlight w:val="none"/>
        </w:rPr>
        <w:t>（投标人名称）的法定代表人（单位负责人）。</w:t>
      </w:r>
    </w:p>
    <w:p>
      <w:pPr>
        <w:pStyle w:val="17"/>
        <w:tabs>
          <w:tab w:val="left" w:pos="2412"/>
          <w:tab w:val="left" w:pos="3883"/>
          <w:tab w:val="left" w:pos="5352"/>
          <w:tab w:val="left" w:pos="6821"/>
        </w:tabs>
        <w:kinsoku w:val="0"/>
        <w:overflowPunct w:val="0"/>
        <w:spacing w:line="335" w:lineRule="exact"/>
        <w:rPr>
          <w:rFonts w:cs="宋体"/>
          <w:highlight w:val="none"/>
        </w:rPr>
      </w:pPr>
    </w:p>
    <w:p>
      <w:pPr>
        <w:pStyle w:val="17"/>
        <w:tabs>
          <w:tab w:val="left" w:pos="2412"/>
          <w:tab w:val="left" w:pos="3883"/>
          <w:tab w:val="left" w:pos="5352"/>
          <w:tab w:val="left" w:pos="6821"/>
        </w:tabs>
        <w:kinsoku w:val="0"/>
        <w:overflowPunct w:val="0"/>
        <w:spacing w:line="335" w:lineRule="exact"/>
        <w:rPr>
          <w:rFonts w:cs="宋体"/>
          <w:highlight w:val="none"/>
        </w:rPr>
      </w:pPr>
    </w:p>
    <w:p>
      <w:pPr>
        <w:pStyle w:val="17"/>
        <w:tabs>
          <w:tab w:val="left" w:pos="2412"/>
          <w:tab w:val="left" w:pos="3883"/>
          <w:tab w:val="left" w:pos="5352"/>
          <w:tab w:val="left" w:pos="6821"/>
        </w:tabs>
        <w:kinsoku w:val="0"/>
        <w:overflowPunct w:val="0"/>
        <w:spacing w:line="335" w:lineRule="exact"/>
        <w:rPr>
          <w:rFonts w:cs="宋体"/>
          <w:highlight w:val="none"/>
        </w:rPr>
      </w:pPr>
    </w:p>
    <w:p>
      <w:pPr>
        <w:pStyle w:val="17"/>
        <w:kinsoku w:val="0"/>
        <w:overflowPunct w:val="0"/>
        <w:spacing w:line="583" w:lineRule="auto"/>
        <w:ind w:right="-46"/>
        <w:rPr>
          <w:rFonts w:cs="宋体"/>
          <w:spacing w:val="-3"/>
          <w:highlight w:val="none"/>
        </w:rPr>
      </w:pPr>
      <w:r>
        <w:rPr>
          <w:rFonts w:hint="eastAsia" w:cs="宋体"/>
          <w:highlight w:val="none"/>
        </w:rPr>
        <w:t>附：</w:t>
      </w:r>
      <w:r>
        <w:rPr>
          <w:rFonts w:hint="eastAsia" w:cs="宋体"/>
          <w:spacing w:val="-3"/>
          <w:highlight w:val="none"/>
        </w:rPr>
        <w:t>法</w:t>
      </w:r>
      <w:r>
        <w:rPr>
          <w:rFonts w:hint="eastAsia" w:cs="宋体"/>
          <w:highlight w:val="none"/>
        </w:rPr>
        <w:t>定</w:t>
      </w:r>
      <w:r>
        <w:rPr>
          <w:rFonts w:hint="eastAsia" w:cs="宋体"/>
          <w:spacing w:val="-3"/>
          <w:highlight w:val="none"/>
        </w:rPr>
        <w:t>代</w:t>
      </w:r>
      <w:r>
        <w:rPr>
          <w:rFonts w:hint="eastAsia" w:cs="宋体"/>
          <w:highlight w:val="none"/>
        </w:rPr>
        <w:t>表</w:t>
      </w:r>
      <w:r>
        <w:rPr>
          <w:rFonts w:hint="eastAsia" w:cs="宋体"/>
          <w:spacing w:val="-3"/>
          <w:highlight w:val="none"/>
        </w:rPr>
        <w:t>人</w:t>
      </w:r>
      <w:r>
        <w:rPr>
          <w:rFonts w:hint="eastAsia" w:cs="宋体"/>
          <w:highlight w:val="none"/>
        </w:rPr>
        <w:t>（</w:t>
      </w:r>
      <w:r>
        <w:rPr>
          <w:rFonts w:hint="eastAsia" w:cs="宋体"/>
          <w:spacing w:val="-3"/>
          <w:highlight w:val="none"/>
        </w:rPr>
        <w:t>单</w:t>
      </w:r>
      <w:r>
        <w:rPr>
          <w:rFonts w:hint="eastAsia" w:cs="宋体"/>
          <w:highlight w:val="none"/>
        </w:rPr>
        <w:t>位</w:t>
      </w:r>
      <w:r>
        <w:rPr>
          <w:rFonts w:hint="eastAsia" w:cs="宋体"/>
          <w:spacing w:val="-3"/>
          <w:highlight w:val="none"/>
        </w:rPr>
        <w:t>负</w:t>
      </w:r>
      <w:r>
        <w:rPr>
          <w:rFonts w:hint="eastAsia" w:cs="宋体"/>
          <w:highlight w:val="none"/>
        </w:rPr>
        <w:t>责人</w:t>
      </w:r>
      <w:r>
        <w:rPr>
          <w:rFonts w:hint="eastAsia" w:cs="宋体"/>
          <w:spacing w:val="-3"/>
          <w:highlight w:val="none"/>
        </w:rPr>
        <w:t>）有效期内的身份证正反面电子件。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tc>
        <w:tc>
          <w:tcPr>
            <w:tcW w:w="4536" w:type="dxa"/>
          </w:tcPr>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p>
        </w:tc>
      </w:tr>
    </w:tbl>
    <w:p>
      <w:pPr>
        <w:pStyle w:val="17"/>
        <w:kinsoku w:val="0"/>
        <w:overflowPunct w:val="0"/>
        <w:spacing w:line="583" w:lineRule="auto"/>
        <w:ind w:right="4305"/>
        <w:rPr>
          <w:rFonts w:cs="宋体"/>
          <w:spacing w:val="-3"/>
          <w:highlight w:val="none"/>
        </w:rPr>
      </w:pPr>
    </w:p>
    <w:p>
      <w:pPr>
        <w:pStyle w:val="17"/>
        <w:kinsoku w:val="0"/>
        <w:overflowPunct w:val="0"/>
        <w:spacing w:line="583" w:lineRule="auto"/>
        <w:ind w:right="4305"/>
        <w:rPr>
          <w:rFonts w:cs="宋体"/>
          <w:spacing w:val="-3"/>
          <w:highlight w:val="none"/>
        </w:rPr>
      </w:pPr>
    </w:p>
    <w:p>
      <w:pPr>
        <w:autoSpaceDE w:val="0"/>
        <w:autoSpaceDN w:val="0"/>
        <w:adjustRightInd w:val="0"/>
        <w:snapToGrid w:val="0"/>
        <w:spacing w:line="48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rPr>
        <w:t xml:space="preserve">                </w:t>
      </w:r>
    </w:p>
    <w:p>
      <w:pPr>
        <w:pStyle w:val="17"/>
        <w:kinsoku w:val="0"/>
        <w:overflowPunct w:val="0"/>
        <w:spacing w:line="480" w:lineRule="auto"/>
        <w:ind w:right="95"/>
        <w:rPr>
          <w:rFonts w:cs="宋体"/>
          <w:spacing w:val="-3"/>
          <w:highlight w:val="none"/>
        </w:rPr>
      </w:pPr>
      <w:r>
        <w:rPr>
          <w:rFonts w:hint="eastAsia" w:cs="宋体"/>
          <w:spacing w:val="-3"/>
          <w:highlight w:val="none"/>
        </w:rPr>
        <w:t>法定代表人（</w:t>
      </w:r>
      <w:r>
        <w:rPr>
          <w:rFonts w:hint="eastAsia" w:cs="宋体"/>
          <w:highlight w:val="none"/>
        </w:rPr>
        <w:t>单位负责人</w:t>
      </w:r>
      <w:r>
        <w:rPr>
          <w:rFonts w:hint="eastAsia" w:cs="宋体"/>
          <w:spacing w:val="-3"/>
          <w:highlight w:val="none"/>
        </w:rPr>
        <w:t>）（签字或签章）：_______</w:t>
      </w:r>
    </w:p>
    <w:p>
      <w:pPr>
        <w:autoSpaceDE w:val="0"/>
        <w:autoSpaceDN w:val="0"/>
        <w:adjustRightInd w:val="0"/>
        <w:snapToGrid w:val="0"/>
        <w:spacing w:line="480" w:lineRule="auto"/>
        <w:rPr>
          <w:rFonts w:ascii="宋体" w:hAnsi="宋体" w:cs="宋体"/>
          <w:color w:val="000000"/>
          <w:sz w:val="24"/>
          <w:highlight w:val="none"/>
          <w:lang w:val="zh-CN"/>
        </w:rPr>
      </w:pPr>
      <w:r>
        <w:rPr>
          <w:rFonts w:hint="eastAsia" w:ascii="宋体" w:hAnsi="宋体" w:cs="宋体"/>
          <w:color w:val="000000"/>
          <w:sz w:val="24"/>
          <w:highlight w:val="none"/>
        </w:rPr>
        <w:t>日期：_____年______月______日</w:t>
      </w:r>
    </w:p>
    <w:p>
      <w:pPr>
        <w:widowControl/>
        <w:jc w:val="left"/>
        <w:rPr>
          <w:rFonts w:ascii="宋体" w:hAnsi="宋体" w:cs="宋体"/>
          <w:i/>
          <w:color w:val="000000"/>
          <w:sz w:val="24"/>
          <w:szCs w:val="20"/>
          <w:highlight w:val="none"/>
          <w:u w:val="single"/>
        </w:rPr>
      </w:pP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3  开标一览表</w:t>
      </w:r>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r>
        <w:rPr>
          <w:rFonts w:hint="eastAsia" w:ascii="宋体" w:hAnsi="宋体" w:cs="宋体"/>
          <w:color w:val="000000"/>
          <w:sz w:val="24"/>
          <w:szCs w:val="20"/>
          <w:highlight w:val="none"/>
        </w:rPr>
        <w:t>（实质性格式）</w:t>
      </w:r>
    </w:p>
    <w:p>
      <w:pPr>
        <w:spacing w:line="360" w:lineRule="exact"/>
        <w:jc w:val="center"/>
        <w:rPr>
          <w:rFonts w:ascii="宋体" w:hAnsi="宋体" w:cs="宋体"/>
          <w:b/>
          <w:color w:val="000000"/>
          <w:sz w:val="36"/>
          <w:szCs w:val="36"/>
          <w:highlight w:val="none"/>
        </w:rPr>
      </w:pPr>
      <w:bookmarkStart w:id="906" w:name="_Toc226337254"/>
      <w:bookmarkStart w:id="907" w:name="_Toc265228396"/>
      <w:bookmarkStart w:id="908" w:name="_Toc226965831"/>
      <w:bookmarkStart w:id="909" w:name="_Toc226309802"/>
      <w:bookmarkStart w:id="910" w:name="_Toc195842923"/>
      <w:bookmarkStart w:id="911" w:name="_Toc164608672"/>
      <w:bookmarkStart w:id="912" w:name="_Toc264969248"/>
      <w:bookmarkStart w:id="913" w:name="_Toc305158826"/>
      <w:bookmarkStart w:id="914" w:name="_Toc226965748"/>
      <w:bookmarkStart w:id="915" w:name="_Toc164608827"/>
      <w:bookmarkStart w:id="916" w:name="_Toc305158900"/>
      <w:r>
        <w:rPr>
          <w:rFonts w:hint="eastAsia" w:ascii="宋体" w:hAnsi="宋体" w:cs="宋体"/>
          <w:b/>
          <w:color w:val="000000"/>
          <w:sz w:val="36"/>
          <w:szCs w:val="36"/>
          <w:highlight w:val="none"/>
        </w:rPr>
        <w:t>开标一览表</w:t>
      </w:r>
      <w:bookmarkEnd w:id="906"/>
      <w:bookmarkEnd w:id="907"/>
      <w:bookmarkEnd w:id="908"/>
      <w:bookmarkEnd w:id="909"/>
      <w:bookmarkEnd w:id="910"/>
      <w:bookmarkEnd w:id="911"/>
      <w:bookmarkEnd w:id="912"/>
      <w:bookmarkEnd w:id="913"/>
      <w:bookmarkEnd w:id="914"/>
      <w:bookmarkEnd w:id="915"/>
      <w:bookmarkEnd w:id="916"/>
    </w:p>
    <w:p>
      <w:pPr>
        <w:tabs>
          <w:tab w:val="left" w:pos="1800"/>
          <w:tab w:val="left" w:pos="5580"/>
        </w:tabs>
        <w:spacing w:line="360" w:lineRule="auto"/>
        <w:jc w:val="left"/>
        <w:rPr>
          <w:rFonts w:ascii="宋体" w:hAnsi="宋体" w:cs="宋体"/>
          <w:i/>
          <w:color w:val="FF0000"/>
          <w:sz w:val="24"/>
          <w:highlight w:val="none"/>
        </w:rPr>
      </w:pPr>
    </w:p>
    <w:p>
      <w:pPr>
        <w:tabs>
          <w:tab w:val="left" w:pos="1800"/>
          <w:tab w:val="left" w:pos="5580"/>
        </w:tabs>
        <w:spacing w:line="360" w:lineRule="auto"/>
        <w:ind w:firstLine="240" w:firstLineChars="100"/>
        <w:jc w:val="left"/>
        <w:rPr>
          <w:rFonts w:ascii="宋体" w:hAnsi="宋体" w:cs="宋体"/>
          <w:color w:val="000000"/>
          <w:sz w:val="24"/>
          <w:highlight w:val="none"/>
          <w:u w:val="single"/>
        </w:rPr>
      </w:pPr>
      <w:r>
        <w:rPr>
          <w:rFonts w:hint="eastAsia" w:ascii="宋体" w:hAnsi="宋体" w:cs="宋体"/>
          <w:color w:val="000000"/>
          <w:sz w:val="24"/>
          <w:highlight w:val="none"/>
        </w:rPr>
        <w:t>项目编号：_____________________     项目名称：____________</w:t>
      </w:r>
    </w:p>
    <w:tbl>
      <w:tblPr>
        <w:tblStyle w:val="45"/>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3"/>
        <w:gridCol w:w="2010"/>
        <w:gridCol w:w="1487"/>
        <w:gridCol w:w="1488"/>
        <w:gridCol w:w="1698"/>
        <w:gridCol w:w="1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653" w:type="dxa"/>
            <w:vMerge w:val="restart"/>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序号</w:t>
            </w:r>
          </w:p>
        </w:tc>
        <w:tc>
          <w:tcPr>
            <w:tcW w:w="2010" w:type="dxa"/>
            <w:vMerge w:val="restart"/>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投标人名称</w:t>
            </w:r>
          </w:p>
        </w:tc>
        <w:tc>
          <w:tcPr>
            <w:tcW w:w="2975" w:type="dxa"/>
            <w:gridSpan w:val="2"/>
            <w:vAlign w:val="center"/>
          </w:tcPr>
          <w:p>
            <w:pPr>
              <w:tabs>
                <w:tab w:val="left" w:pos="5580"/>
              </w:tabs>
              <w:jc w:val="center"/>
              <w:rPr>
                <w:rFonts w:hint="eastAsia" w:ascii="宋体" w:hAnsi="宋体" w:cs="宋体"/>
                <w:b/>
                <w:sz w:val="24"/>
                <w:highlight w:val="none"/>
              </w:rPr>
            </w:pPr>
            <w:r>
              <w:rPr>
                <w:rFonts w:hint="eastAsia" w:ascii="宋体" w:hAnsi="宋体" w:cs="宋体"/>
                <w:b/>
                <w:sz w:val="24"/>
                <w:highlight w:val="none"/>
              </w:rPr>
              <w:t>投标报价（</w:t>
            </w:r>
            <w:r>
              <w:rPr>
                <w:rFonts w:hint="eastAsia" w:ascii="宋体" w:hAnsi="宋体" w:cs="宋体"/>
                <w:b/>
                <w:sz w:val="24"/>
                <w:highlight w:val="none"/>
                <w:lang w:val="en-US" w:eastAsia="zh-CN"/>
              </w:rPr>
              <w:t>单位：元</w:t>
            </w:r>
            <w:r>
              <w:rPr>
                <w:rFonts w:hint="eastAsia" w:ascii="宋体" w:hAnsi="宋体" w:cs="宋体"/>
                <w:b/>
                <w:sz w:val="24"/>
                <w:highlight w:val="none"/>
              </w:rPr>
              <w:t>）</w:t>
            </w:r>
          </w:p>
        </w:tc>
        <w:tc>
          <w:tcPr>
            <w:tcW w:w="1698" w:type="dxa"/>
            <w:vMerge w:val="restart"/>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合同履行期限</w:t>
            </w:r>
          </w:p>
        </w:tc>
        <w:tc>
          <w:tcPr>
            <w:tcW w:w="1542" w:type="dxa"/>
            <w:vMerge w:val="restart"/>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5" w:hRule="atLeast"/>
          <w:jc w:val="center"/>
        </w:trPr>
        <w:tc>
          <w:tcPr>
            <w:tcW w:w="653" w:type="dxa"/>
            <w:vMerge w:val="continue"/>
            <w:vAlign w:val="center"/>
          </w:tcPr>
          <w:p>
            <w:pPr>
              <w:tabs>
                <w:tab w:val="left" w:pos="5580"/>
              </w:tabs>
              <w:jc w:val="center"/>
              <w:rPr>
                <w:rFonts w:ascii="宋体" w:hAnsi="宋体" w:cs="宋体"/>
                <w:sz w:val="24"/>
                <w:highlight w:val="none"/>
              </w:rPr>
            </w:pPr>
          </w:p>
        </w:tc>
        <w:tc>
          <w:tcPr>
            <w:tcW w:w="2010" w:type="dxa"/>
            <w:vMerge w:val="continue"/>
            <w:vAlign w:val="center"/>
          </w:tcPr>
          <w:p>
            <w:pPr>
              <w:tabs>
                <w:tab w:val="left" w:pos="5580"/>
              </w:tabs>
              <w:jc w:val="center"/>
              <w:rPr>
                <w:rFonts w:ascii="宋体" w:hAnsi="宋体" w:cs="宋体"/>
                <w:sz w:val="24"/>
                <w:highlight w:val="none"/>
              </w:rPr>
            </w:pPr>
          </w:p>
        </w:tc>
        <w:tc>
          <w:tcPr>
            <w:tcW w:w="1487" w:type="dxa"/>
            <w:vAlign w:val="center"/>
          </w:tcPr>
          <w:p>
            <w:pPr>
              <w:tabs>
                <w:tab w:val="left" w:pos="5580"/>
              </w:tabs>
              <w:jc w:val="center"/>
              <w:rPr>
                <w:rFonts w:hint="eastAsia" w:ascii="宋体" w:hAnsi="宋体" w:cs="宋体"/>
                <w:b/>
                <w:sz w:val="24"/>
                <w:highlight w:val="none"/>
              </w:rPr>
            </w:pPr>
            <w:r>
              <w:rPr>
                <w:rFonts w:hint="eastAsia" w:ascii="宋体" w:hAnsi="宋体" w:cs="宋体"/>
                <w:b/>
                <w:sz w:val="24"/>
                <w:highlight w:val="none"/>
              </w:rPr>
              <w:t>小写</w:t>
            </w:r>
          </w:p>
        </w:tc>
        <w:tc>
          <w:tcPr>
            <w:tcW w:w="1488" w:type="dxa"/>
            <w:vAlign w:val="center"/>
          </w:tcPr>
          <w:p>
            <w:pPr>
              <w:tabs>
                <w:tab w:val="left" w:pos="5580"/>
              </w:tabs>
              <w:jc w:val="center"/>
              <w:rPr>
                <w:rFonts w:hint="eastAsia" w:ascii="宋体" w:hAnsi="宋体" w:cs="宋体"/>
                <w:b/>
                <w:sz w:val="24"/>
                <w:highlight w:val="none"/>
              </w:rPr>
            </w:pPr>
            <w:r>
              <w:rPr>
                <w:rFonts w:hint="eastAsia" w:ascii="宋体" w:hAnsi="宋体" w:cs="宋体"/>
                <w:b/>
                <w:sz w:val="24"/>
                <w:highlight w:val="none"/>
              </w:rPr>
              <w:t>大写</w:t>
            </w:r>
          </w:p>
        </w:tc>
        <w:tc>
          <w:tcPr>
            <w:tcW w:w="1698" w:type="dxa"/>
            <w:vMerge w:val="continue"/>
            <w:vAlign w:val="center"/>
          </w:tcPr>
          <w:p>
            <w:pPr>
              <w:tabs>
                <w:tab w:val="left" w:pos="5580"/>
              </w:tabs>
              <w:jc w:val="center"/>
              <w:rPr>
                <w:rFonts w:ascii="宋体" w:hAnsi="宋体" w:cs="宋体"/>
                <w:b/>
                <w:sz w:val="24"/>
                <w:highlight w:val="none"/>
              </w:rPr>
            </w:pPr>
          </w:p>
        </w:tc>
        <w:tc>
          <w:tcPr>
            <w:tcW w:w="1542" w:type="dxa"/>
            <w:vMerge w:val="continue"/>
            <w:vAlign w:val="center"/>
          </w:tcPr>
          <w:p>
            <w:pPr>
              <w:tabs>
                <w:tab w:val="left" w:pos="5580"/>
              </w:tabs>
              <w:jc w:val="center"/>
              <w:rPr>
                <w:rFonts w:ascii="宋体" w:hAnsi="宋体" w:cs="宋体"/>
                <w:b/>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653" w:type="dxa"/>
            <w:vAlign w:val="center"/>
          </w:tcPr>
          <w:p>
            <w:pPr>
              <w:tabs>
                <w:tab w:val="left" w:pos="5580"/>
              </w:tabs>
              <w:jc w:val="center"/>
              <w:rPr>
                <w:rFonts w:ascii="宋体" w:hAnsi="宋体" w:cs="宋体"/>
                <w:sz w:val="24"/>
                <w:highlight w:val="none"/>
              </w:rPr>
            </w:pPr>
          </w:p>
        </w:tc>
        <w:tc>
          <w:tcPr>
            <w:tcW w:w="2010" w:type="dxa"/>
            <w:vAlign w:val="center"/>
          </w:tcPr>
          <w:p>
            <w:pPr>
              <w:tabs>
                <w:tab w:val="left" w:pos="5580"/>
              </w:tabs>
              <w:jc w:val="center"/>
              <w:rPr>
                <w:rFonts w:ascii="宋体" w:hAnsi="宋体" w:cs="宋体"/>
                <w:sz w:val="24"/>
                <w:highlight w:val="none"/>
              </w:rPr>
            </w:pPr>
          </w:p>
        </w:tc>
        <w:tc>
          <w:tcPr>
            <w:tcW w:w="1487" w:type="dxa"/>
          </w:tcPr>
          <w:p>
            <w:pPr>
              <w:tabs>
                <w:tab w:val="left" w:pos="5580"/>
              </w:tabs>
              <w:jc w:val="center"/>
              <w:rPr>
                <w:rFonts w:ascii="宋体" w:hAnsi="宋体" w:cs="宋体"/>
                <w:sz w:val="24"/>
                <w:highlight w:val="none"/>
              </w:rPr>
            </w:pPr>
          </w:p>
        </w:tc>
        <w:tc>
          <w:tcPr>
            <w:tcW w:w="1488" w:type="dxa"/>
          </w:tcPr>
          <w:p>
            <w:pPr>
              <w:tabs>
                <w:tab w:val="left" w:pos="5580"/>
              </w:tabs>
              <w:jc w:val="center"/>
              <w:rPr>
                <w:rFonts w:ascii="宋体" w:hAnsi="宋体" w:cs="宋体"/>
                <w:sz w:val="24"/>
                <w:highlight w:val="none"/>
              </w:rPr>
            </w:pPr>
          </w:p>
        </w:tc>
        <w:tc>
          <w:tcPr>
            <w:tcW w:w="1698" w:type="dxa"/>
            <w:vAlign w:val="center"/>
          </w:tcPr>
          <w:p>
            <w:pPr>
              <w:tabs>
                <w:tab w:val="left" w:pos="5580"/>
              </w:tabs>
              <w:jc w:val="center"/>
              <w:rPr>
                <w:rFonts w:ascii="宋体" w:hAnsi="宋体" w:cs="宋体"/>
                <w:sz w:val="24"/>
                <w:highlight w:val="none"/>
              </w:rPr>
            </w:pPr>
          </w:p>
        </w:tc>
        <w:tc>
          <w:tcPr>
            <w:tcW w:w="1542" w:type="dxa"/>
            <w:vAlign w:val="center"/>
          </w:tcPr>
          <w:p>
            <w:pPr>
              <w:tabs>
                <w:tab w:val="left" w:pos="5580"/>
              </w:tabs>
              <w:jc w:val="center"/>
              <w:rPr>
                <w:rFonts w:ascii="宋体" w:hAnsi="宋体" w:cs="宋体"/>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.此表中，每包的投标报价应和《投标分项报价表》中的总价相一致。</w:t>
      </w:r>
    </w:p>
    <w:p>
      <w:pPr>
        <w:tabs>
          <w:tab w:val="left" w:pos="5580"/>
        </w:tabs>
        <w:ind w:firstLine="480" w:firstLineChars="200"/>
        <w:jc w:val="left"/>
        <w:rPr>
          <w:rFonts w:ascii="宋体" w:hAnsi="宋体" w:cs="宋体"/>
          <w:color w:val="000000"/>
          <w:sz w:val="24"/>
          <w:szCs w:val="20"/>
          <w:highlight w:val="none"/>
        </w:rPr>
      </w:pPr>
      <w:r>
        <w:rPr>
          <w:rFonts w:hint="eastAsia" w:ascii="宋体" w:hAnsi="宋体" w:cs="宋体"/>
          <w:color w:val="000000"/>
          <w:sz w:val="24"/>
          <w:szCs w:val="20"/>
          <w:highlight w:val="none"/>
        </w:rPr>
        <w:t>2.以上价格为全费用完全价，包含但不限于办理相关手续、人工费、服装费、五险一金、利润等。</w:t>
      </w:r>
    </w:p>
    <w:p>
      <w:pPr>
        <w:tabs>
          <w:tab w:val="left" w:pos="5580"/>
        </w:tabs>
        <w:ind w:firstLine="480" w:firstLineChars="200"/>
        <w:rPr>
          <w:rFonts w:ascii="宋体" w:hAnsi="宋体" w:cs="宋体"/>
          <w:color w:val="000000"/>
          <w:sz w:val="24"/>
          <w:szCs w:val="20"/>
          <w:highlight w:val="none"/>
        </w:rPr>
      </w:pPr>
    </w:p>
    <w:p>
      <w:pPr>
        <w:autoSpaceDE w:val="0"/>
        <w:autoSpaceDN w:val="0"/>
        <w:adjustRightInd w:val="0"/>
        <w:snapToGrid w:val="0"/>
        <w:spacing w:before="25" w:after="25" w:line="360" w:lineRule="auto"/>
        <w:rPr>
          <w:rFonts w:ascii="宋体" w:hAnsi="宋体" w:cs="宋体"/>
          <w:color w:val="000000"/>
          <w:sz w:val="24"/>
          <w:highlight w:val="none"/>
          <w:lang w:val="zh-CN"/>
        </w:rPr>
      </w:pPr>
    </w:p>
    <w:p>
      <w:pPr>
        <w:autoSpaceDE w:val="0"/>
        <w:autoSpaceDN w:val="0"/>
        <w:adjustRightInd w:val="0"/>
        <w:snapToGrid w:val="0"/>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：____________</w:t>
      </w: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p>
    <w:p>
      <w:pPr>
        <w:widowControl/>
        <w:jc w:val="left"/>
        <w:rPr>
          <w:rFonts w:ascii="宋体" w:hAnsi="宋体" w:cs="宋体"/>
          <w:color w:val="000000"/>
          <w:sz w:val="24"/>
          <w:szCs w:val="20"/>
          <w:highlight w:val="none"/>
        </w:rPr>
      </w:pPr>
      <w:bookmarkStart w:id="917" w:name="_Toc226309803"/>
      <w:bookmarkStart w:id="918" w:name="_Toc127151558"/>
      <w:bookmarkStart w:id="919" w:name="_Toc150480796"/>
      <w:bookmarkStart w:id="920" w:name="_Toc195842924"/>
      <w:bookmarkStart w:id="921" w:name="_Toc142311060"/>
      <w:bookmarkStart w:id="922" w:name="_Toc226965749"/>
      <w:bookmarkStart w:id="923" w:name="_Toc305158827"/>
      <w:bookmarkStart w:id="924" w:name="_Toc226965832"/>
      <w:bookmarkStart w:id="925" w:name="_Toc264969249"/>
      <w:bookmarkStart w:id="926" w:name="_Toc265228397"/>
      <w:bookmarkStart w:id="927" w:name="_Toc226337255"/>
      <w:bookmarkStart w:id="928" w:name="_Toc150774763"/>
      <w:bookmarkStart w:id="929" w:name="_Toc305158901"/>
      <w:r>
        <w:rPr>
          <w:rFonts w:hint="eastAsia" w:ascii="宋体" w:hAnsi="宋体" w:cs="宋体"/>
          <w:color w:val="000000"/>
          <w:sz w:val="24"/>
          <w:szCs w:val="20"/>
          <w:highlight w:val="none"/>
        </w:rPr>
        <w:br w:type="page"/>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4  投标分项报价表</w:t>
      </w:r>
      <w:bookmarkEnd w:id="917"/>
      <w:bookmarkEnd w:id="918"/>
      <w:bookmarkEnd w:id="919"/>
      <w:bookmarkEnd w:id="920"/>
      <w:bookmarkEnd w:id="921"/>
      <w:bookmarkEnd w:id="922"/>
      <w:bookmarkEnd w:id="923"/>
      <w:bookmarkEnd w:id="924"/>
      <w:bookmarkEnd w:id="925"/>
      <w:bookmarkEnd w:id="926"/>
      <w:bookmarkEnd w:id="927"/>
      <w:bookmarkEnd w:id="928"/>
      <w:bookmarkEnd w:id="929"/>
      <w:r>
        <w:rPr>
          <w:rFonts w:hint="eastAsia" w:ascii="宋体" w:hAnsi="宋体" w:cs="宋体"/>
          <w:color w:val="000000"/>
          <w:sz w:val="24"/>
          <w:szCs w:val="20"/>
          <w:highlight w:val="none"/>
        </w:rPr>
        <w:t>（实质性格式）</w:t>
      </w:r>
    </w:p>
    <w:p>
      <w:pPr>
        <w:spacing w:line="360" w:lineRule="auto"/>
        <w:jc w:val="center"/>
        <w:rPr>
          <w:rFonts w:ascii="宋体" w:hAnsi="宋体" w:cs="宋体"/>
          <w:b/>
          <w:color w:val="000000"/>
          <w:sz w:val="32"/>
          <w:szCs w:val="32"/>
          <w:highlight w:val="none"/>
        </w:rPr>
      </w:pPr>
      <w:r>
        <w:rPr>
          <w:rFonts w:hint="eastAsia" w:ascii="宋体" w:hAnsi="宋体" w:cs="宋体"/>
          <w:b/>
          <w:color w:val="000000"/>
          <w:sz w:val="32"/>
          <w:szCs w:val="32"/>
          <w:highlight w:val="none"/>
        </w:rPr>
        <w:t>投标分项报价表</w:t>
      </w: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项目编号：__________项目名称：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报价单位：人民币元</w:t>
      </w:r>
    </w:p>
    <w:p>
      <w:pPr>
        <w:tabs>
          <w:tab w:val="left" w:pos="1800"/>
          <w:tab w:val="left" w:pos="5580"/>
        </w:tabs>
        <w:jc w:val="left"/>
        <w:rPr>
          <w:rFonts w:ascii="宋体" w:hAnsi="宋体" w:cs="宋体"/>
          <w:color w:val="000000"/>
          <w:sz w:val="24"/>
          <w:highlight w:val="none"/>
        </w:rPr>
      </w:pPr>
    </w:p>
    <w:tbl>
      <w:tblPr>
        <w:tblStyle w:val="45"/>
        <w:tblW w:w="8798" w:type="dxa"/>
        <w:tblInd w:w="93" w:type="dxa"/>
        <w:tblLayout w:type="autofit"/>
        <w:tblCellMar>
          <w:top w:w="0" w:type="dxa"/>
          <w:left w:w="108" w:type="dxa"/>
          <w:bottom w:w="0" w:type="dxa"/>
          <w:right w:w="108" w:type="dxa"/>
        </w:tblCellMar>
      </w:tblPr>
      <w:tblGrid>
        <w:gridCol w:w="766"/>
        <w:gridCol w:w="1358"/>
        <w:gridCol w:w="1974"/>
        <w:gridCol w:w="861"/>
        <w:gridCol w:w="1084"/>
        <w:gridCol w:w="1131"/>
        <w:gridCol w:w="1624"/>
      </w:tblGrid>
      <w:tr>
        <w:tblPrEx>
          <w:tblCellMar>
            <w:top w:w="0" w:type="dxa"/>
            <w:left w:w="108" w:type="dxa"/>
            <w:bottom w:w="0" w:type="dxa"/>
            <w:right w:w="108" w:type="dxa"/>
          </w:tblCellMar>
        </w:tblPrEx>
        <w:trPr>
          <w:trHeight w:val="469" w:hRule="atLeast"/>
        </w:trPr>
        <w:tc>
          <w:tcPr>
            <w:tcW w:w="4098" w:type="dxa"/>
            <w:gridSpan w:val="3"/>
            <w:vMerge w:val="restart"/>
            <w:tcBorders>
              <w:top w:val="single" w:color="000000" w:sz="4" w:space="0"/>
              <w:left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highlight w:val="none"/>
              </w:rPr>
            </w:pPr>
            <w:r>
              <w:rPr>
                <w:rStyle w:val="268"/>
                <w:rFonts w:hint="eastAsia" w:ascii="宋体" w:hAnsi="宋体" w:eastAsia="宋体" w:cs="宋体"/>
                <w:highlight w:val="none"/>
                <w:lang w:bidi="ar"/>
              </w:rPr>
              <w:t>内</w:t>
            </w:r>
            <w:r>
              <w:rPr>
                <w:rStyle w:val="269"/>
                <w:rFonts w:hint="eastAsia" w:ascii="宋体" w:hAnsi="宋体" w:eastAsia="宋体" w:cs="宋体"/>
                <w:highlight w:val="none"/>
                <w:lang w:bidi="ar"/>
              </w:rPr>
              <w:t xml:space="preserve"> </w:t>
            </w:r>
            <w:r>
              <w:rPr>
                <w:rStyle w:val="268"/>
                <w:rFonts w:hint="eastAsia" w:ascii="宋体" w:hAnsi="宋体" w:eastAsia="宋体" w:cs="宋体"/>
                <w:highlight w:val="none"/>
                <w:lang w:bidi="ar"/>
              </w:rPr>
              <w:t>容</w:t>
            </w:r>
          </w:p>
        </w:tc>
        <w:tc>
          <w:tcPr>
            <w:tcW w:w="30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2"/>
                <w:szCs w:val="22"/>
                <w:highlight w:val="none"/>
                <w:lang w:val="en-US" w:eastAsia="zh-CN"/>
              </w:rPr>
            </w:pPr>
            <w:r>
              <w:rPr>
                <w:rStyle w:val="268"/>
                <w:rFonts w:hint="eastAsia" w:ascii="宋体" w:hAnsi="宋体" w:eastAsia="宋体" w:cs="宋体"/>
                <w:highlight w:val="none"/>
                <w:lang w:bidi="ar"/>
              </w:rPr>
              <w:t>费用（元）</w:t>
            </w:r>
          </w:p>
        </w:tc>
        <w:tc>
          <w:tcPr>
            <w:tcW w:w="1624" w:type="dxa"/>
            <w:vMerge w:val="restart"/>
            <w:tcBorders>
              <w:top w:val="single" w:color="000000" w:sz="4" w:space="0"/>
              <w:left w:val="single" w:color="000000" w:sz="4" w:space="0"/>
              <w:right w:val="single" w:color="000000" w:sz="4" w:space="0"/>
            </w:tcBorders>
            <w:shd w:val="clear" w:color="auto" w:fill="auto"/>
            <w:vAlign w:val="center"/>
          </w:tcPr>
          <w:p>
            <w:pPr>
              <w:jc w:val="center"/>
              <w:rPr>
                <w:rStyle w:val="268"/>
                <w:rFonts w:hint="eastAsia" w:ascii="宋体" w:hAnsi="宋体" w:eastAsia="宋体" w:cs="宋体"/>
                <w:highlight w:val="none"/>
                <w:lang w:val="en-US" w:eastAsia="zh-CN" w:bidi="ar"/>
              </w:rPr>
            </w:pPr>
            <w:r>
              <w:rPr>
                <w:rStyle w:val="268"/>
                <w:rFonts w:hint="eastAsia" w:ascii="宋体" w:hAnsi="宋体" w:cs="宋体"/>
                <w:highlight w:val="none"/>
                <w:lang w:val="en-US" w:eastAsia="zh-CN" w:bidi="ar"/>
              </w:rPr>
              <w:t>备注</w:t>
            </w:r>
          </w:p>
        </w:tc>
      </w:tr>
      <w:tr>
        <w:tblPrEx>
          <w:tblCellMar>
            <w:top w:w="0" w:type="dxa"/>
            <w:left w:w="108" w:type="dxa"/>
            <w:bottom w:w="0" w:type="dxa"/>
            <w:right w:w="108" w:type="dxa"/>
          </w:tblCellMar>
        </w:tblPrEx>
        <w:trPr>
          <w:trHeight w:val="410" w:hRule="atLeast"/>
        </w:trPr>
        <w:tc>
          <w:tcPr>
            <w:tcW w:w="4098" w:type="dxa"/>
            <w:gridSpan w:val="3"/>
            <w:vMerge w:val="continue"/>
            <w:tcBorders>
              <w:left w:val="single" w:color="000000" w:sz="4" w:space="0"/>
              <w:bottom w:val="single" w:color="000000" w:sz="4" w:space="0"/>
              <w:right w:val="single" w:color="000000" w:sz="4" w:space="0"/>
            </w:tcBorders>
            <w:shd w:val="clear" w:color="auto" w:fill="auto"/>
            <w:vAlign w:val="center"/>
          </w:tcPr>
          <w:p>
            <w:pPr>
              <w:widowControl/>
              <w:jc w:val="center"/>
              <w:textAlignment w:val="center"/>
              <w:rPr>
                <w:rStyle w:val="268"/>
                <w:rFonts w:hint="eastAsia" w:ascii="宋体" w:hAnsi="宋体" w:eastAsia="宋体" w:cs="宋体"/>
                <w:highlight w:val="none"/>
                <w:lang w:bidi="ar"/>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Style w:val="268"/>
                <w:rFonts w:hint="eastAsia" w:ascii="宋体" w:hAnsi="宋体" w:eastAsia="宋体" w:cs="宋体"/>
                <w:highlight w:val="none"/>
                <w:lang w:val="en-US" w:eastAsia="zh-CN" w:bidi="ar"/>
              </w:rPr>
            </w:pPr>
            <w:r>
              <w:rPr>
                <w:rStyle w:val="268"/>
                <w:rFonts w:hint="eastAsia" w:ascii="宋体" w:hAnsi="宋体" w:cs="宋体"/>
                <w:highlight w:val="none"/>
                <w:lang w:val="en-US" w:eastAsia="zh-CN" w:bidi="ar"/>
              </w:rPr>
              <w:t>数量</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Style w:val="268"/>
                <w:rFonts w:hint="default" w:ascii="宋体" w:hAnsi="宋体" w:eastAsia="宋体" w:cs="宋体"/>
                <w:highlight w:val="none"/>
                <w:lang w:val="en-US" w:eastAsia="zh-CN" w:bidi="ar"/>
              </w:rPr>
            </w:pPr>
            <w:r>
              <w:rPr>
                <w:rStyle w:val="268"/>
                <w:rFonts w:hint="eastAsia" w:ascii="宋体" w:hAnsi="宋体" w:cs="宋体"/>
                <w:highlight w:val="none"/>
                <w:lang w:val="en-US" w:eastAsia="zh-CN" w:bidi="ar"/>
              </w:rPr>
              <w:t>单价</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2"/>
                <w:szCs w:val="22"/>
                <w:highlight w:val="none"/>
                <w:lang w:val="en-US" w:eastAsia="zh-CN"/>
              </w:rPr>
            </w:pPr>
            <w:r>
              <w:rPr>
                <w:rStyle w:val="268"/>
                <w:rFonts w:hint="eastAsia" w:ascii="宋体" w:hAnsi="宋体" w:eastAsia="宋体" w:cs="宋体"/>
                <w:highlight w:val="none"/>
                <w:lang w:val="en-US" w:eastAsia="zh-CN" w:bidi="ar"/>
              </w:rPr>
              <w:t>总价</w:t>
            </w:r>
          </w:p>
        </w:tc>
        <w:tc>
          <w:tcPr>
            <w:tcW w:w="1624" w:type="dxa"/>
            <w:vMerge w:val="continue"/>
            <w:tcBorders>
              <w:left w:val="single" w:color="000000" w:sz="4" w:space="0"/>
              <w:bottom w:val="single" w:color="000000" w:sz="4" w:space="0"/>
              <w:right w:val="single" w:color="000000" w:sz="4" w:space="0"/>
            </w:tcBorders>
            <w:shd w:val="clear" w:color="auto" w:fill="auto"/>
            <w:vAlign w:val="center"/>
          </w:tcPr>
          <w:p>
            <w:pPr>
              <w:jc w:val="center"/>
              <w:rPr>
                <w:rStyle w:val="268"/>
                <w:rFonts w:hint="eastAsia" w:ascii="宋体" w:hAnsi="宋体" w:eastAsia="宋体" w:cs="宋体"/>
                <w:highlight w:val="none"/>
                <w:lang w:val="en-US" w:eastAsia="zh-CN" w:bidi="ar"/>
              </w:rPr>
            </w:pPr>
          </w:p>
        </w:tc>
      </w:tr>
      <w:tr>
        <w:tblPrEx>
          <w:tblCellMar>
            <w:top w:w="0" w:type="dxa"/>
            <w:left w:w="108" w:type="dxa"/>
            <w:bottom w:w="0" w:type="dxa"/>
            <w:right w:w="108" w:type="dxa"/>
          </w:tblCellMar>
        </w:tblPrEx>
        <w:trPr>
          <w:trHeight w:val="396" w:hRule="atLeast"/>
        </w:trPr>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一、</w:t>
            </w:r>
            <w:r>
              <w:rPr>
                <w:rStyle w:val="268"/>
                <w:rFonts w:hint="eastAsia" w:ascii="宋体" w:hAnsi="宋体" w:eastAsia="宋体" w:cs="宋体"/>
                <w:b/>
                <w:bCs/>
                <w:highlight w:val="none"/>
              </w:rPr>
              <w:t>年度成本</w:t>
            </w:r>
          </w:p>
        </w:tc>
        <w:tc>
          <w:tcPr>
            <w:tcW w:w="13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 自营演出</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成本（70场）</w:t>
            </w: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highlight w:val="none"/>
              </w:rPr>
            </w:pPr>
            <w:r>
              <w:rPr>
                <w:rStyle w:val="269"/>
                <w:rFonts w:hint="eastAsia" w:ascii="宋体" w:hAnsi="宋体" w:eastAsia="宋体" w:cs="宋体"/>
                <w:highlight w:val="none"/>
                <w:lang w:bidi="ar"/>
              </w:rPr>
              <w:t>（1）A 类演出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445"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13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highlight w:val="none"/>
              </w:rPr>
            </w:pPr>
            <w:r>
              <w:rPr>
                <w:rStyle w:val="269"/>
                <w:rFonts w:hint="eastAsia" w:ascii="宋体" w:hAnsi="宋体" w:eastAsia="宋体" w:cs="宋体"/>
                <w:highlight w:val="none"/>
                <w:lang w:bidi="ar"/>
              </w:rPr>
              <w:t>（2）B 类演出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424"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13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p>
        </w:tc>
        <w:tc>
          <w:tcPr>
            <w:tcW w:w="19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highlight w:val="none"/>
              </w:rPr>
            </w:pPr>
            <w:r>
              <w:rPr>
                <w:rStyle w:val="269"/>
                <w:rFonts w:hint="eastAsia" w:ascii="宋体" w:hAnsi="宋体" w:eastAsia="宋体" w:cs="宋体"/>
                <w:highlight w:val="none"/>
                <w:lang w:bidi="ar"/>
              </w:rPr>
              <w:t>（3）C 类演出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22"/>
                <w:szCs w:val="22"/>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410"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33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Style w:val="269"/>
                <w:rFonts w:hint="eastAsia" w:ascii="宋体" w:hAnsi="宋体" w:eastAsia="宋体" w:cs="宋体"/>
                <w:highlight w:val="none"/>
                <w:lang w:bidi="ar"/>
              </w:rPr>
            </w:pPr>
            <w:r>
              <w:rPr>
                <w:rFonts w:hint="eastAsia" w:ascii="宋体" w:hAnsi="宋体" w:eastAsia="宋体" w:cs="宋体"/>
                <w:color w:val="000000"/>
                <w:kern w:val="0"/>
                <w:sz w:val="18"/>
                <w:szCs w:val="18"/>
                <w:highlight w:val="none"/>
                <w:lang w:bidi="ar"/>
              </w:rPr>
              <w:t>2、公益活动</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13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r>
      <w:tr>
        <w:tblPrEx>
          <w:tblCellMar>
            <w:top w:w="0" w:type="dxa"/>
            <w:left w:w="108" w:type="dxa"/>
            <w:bottom w:w="0" w:type="dxa"/>
            <w:right w:w="108" w:type="dxa"/>
          </w:tblCellMar>
        </w:tblPrEx>
        <w:trPr>
          <w:trHeight w:val="410"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527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r>
              <w:rPr>
                <w:rStyle w:val="269"/>
                <w:rFonts w:hint="eastAsia" w:ascii="宋体" w:hAnsi="宋体" w:eastAsia="宋体" w:cs="宋体"/>
                <w:highlight w:val="none"/>
                <w:lang w:bidi="ar"/>
              </w:rPr>
              <w:t>演出成本小计</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476"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13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 日常运营</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成本</w:t>
            </w:r>
          </w:p>
        </w:tc>
        <w:tc>
          <w:tcPr>
            <w:tcW w:w="39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highlight w:val="none"/>
                <w:lang w:eastAsia="zh-CN"/>
              </w:rPr>
            </w:pPr>
            <w:r>
              <w:rPr>
                <w:rFonts w:hint="eastAsia" w:ascii="宋体" w:hAnsi="宋体" w:eastAsia="宋体" w:cs="宋体"/>
                <w:color w:val="000000"/>
                <w:kern w:val="0"/>
                <w:sz w:val="18"/>
                <w:szCs w:val="18"/>
                <w:highlight w:val="none"/>
                <w:lang w:bidi="ar"/>
              </w:rPr>
              <w:t>（1）人工成本</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kern w:val="0"/>
                <w:sz w:val="18"/>
                <w:szCs w:val="18"/>
                <w:highlight w:val="none"/>
                <w:lang w:bidi="ar"/>
              </w:rPr>
              <w:t>员工工资、保险等</w:t>
            </w:r>
          </w:p>
        </w:tc>
      </w:tr>
      <w:tr>
        <w:tblPrEx>
          <w:tblCellMar>
            <w:top w:w="0" w:type="dxa"/>
            <w:left w:w="108" w:type="dxa"/>
            <w:bottom w:w="0" w:type="dxa"/>
            <w:right w:w="108" w:type="dxa"/>
          </w:tblCellMar>
        </w:tblPrEx>
        <w:trPr>
          <w:trHeight w:val="410"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13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p>
        </w:tc>
        <w:tc>
          <w:tcPr>
            <w:tcW w:w="39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（2）能源费用</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kern w:val="0"/>
                <w:sz w:val="18"/>
                <w:szCs w:val="18"/>
                <w:highlight w:val="none"/>
                <w:lang w:bidi="ar"/>
              </w:rPr>
              <w:t>电费、水费</w:t>
            </w:r>
            <w:r>
              <w:rPr>
                <w:rFonts w:hint="eastAsia" w:ascii="宋体" w:hAnsi="宋体" w:cs="宋体"/>
                <w:color w:val="000000"/>
                <w:kern w:val="0"/>
                <w:sz w:val="18"/>
                <w:szCs w:val="18"/>
                <w:highlight w:val="none"/>
                <w:lang w:val="en-US" w:eastAsia="zh-CN" w:bidi="ar"/>
              </w:rPr>
              <w:t>等</w:t>
            </w:r>
          </w:p>
        </w:tc>
      </w:tr>
      <w:tr>
        <w:tblPrEx>
          <w:tblCellMar>
            <w:top w:w="0" w:type="dxa"/>
            <w:left w:w="108" w:type="dxa"/>
            <w:bottom w:w="0" w:type="dxa"/>
            <w:right w:w="108" w:type="dxa"/>
          </w:tblCellMar>
        </w:tblPrEx>
        <w:trPr>
          <w:trHeight w:val="321"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13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p>
        </w:tc>
        <w:tc>
          <w:tcPr>
            <w:tcW w:w="39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（3）物业管理费用</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kern w:val="0"/>
                <w:sz w:val="18"/>
                <w:szCs w:val="18"/>
                <w:highlight w:val="none"/>
                <w:lang w:bidi="ar"/>
              </w:rPr>
              <w:t>保安、保洁、安检及相关设备</w:t>
            </w:r>
            <w:r>
              <w:rPr>
                <w:rFonts w:hint="eastAsia" w:ascii="宋体" w:hAnsi="宋体" w:cs="宋体"/>
                <w:color w:val="000000"/>
                <w:kern w:val="0"/>
                <w:sz w:val="18"/>
                <w:szCs w:val="18"/>
                <w:highlight w:val="none"/>
                <w:lang w:val="en-US" w:eastAsia="zh-CN" w:bidi="ar"/>
              </w:rPr>
              <w:t>等</w:t>
            </w:r>
          </w:p>
        </w:tc>
      </w:tr>
      <w:tr>
        <w:tblPrEx>
          <w:tblCellMar>
            <w:top w:w="0" w:type="dxa"/>
            <w:left w:w="108" w:type="dxa"/>
            <w:bottom w:w="0" w:type="dxa"/>
            <w:right w:w="108" w:type="dxa"/>
          </w:tblCellMar>
        </w:tblPrEx>
        <w:trPr>
          <w:trHeight w:val="476"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13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p>
        </w:tc>
        <w:tc>
          <w:tcPr>
            <w:tcW w:w="39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（4）其他运营费用</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kern w:val="0"/>
                <w:sz w:val="18"/>
                <w:szCs w:val="18"/>
                <w:highlight w:val="none"/>
                <w:lang w:bidi="ar"/>
              </w:rPr>
              <w:t>维修保养费用</w:t>
            </w:r>
            <w:r>
              <w:rPr>
                <w:rFonts w:hint="eastAsia" w:ascii="宋体" w:hAnsi="宋体" w:cs="宋体"/>
                <w:color w:val="000000"/>
                <w:kern w:val="0"/>
                <w:sz w:val="18"/>
                <w:szCs w:val="18"/>
                <w:highlight w:val="none"/>
                <w:lang w:eastAsia="zh-CN" w:bidi="ar"/>
              </w:rPr>
              <w:t>、</w:t>
            </w:r>
            <w:r>
              <w:rPr>
                <w:rFonts w:hint="eastAsia" w:ascii="宋体" w:hAnsi="宋体" w:eastAsia="宋体" w:cs="宋体"/>
                <w:color w:val="000000"/>
                <w:kern w:val="0"/>
                <w:sz w:val="18"/>
                <w:szCs w:val="18"/>
                <w:highlight w:val="none"/>
                <w:lang w:bidi="ar"/>
              </w:rPr>
              <w:t>行政办公</w:t>
            </w:r>
            <w:r>
              <w:rPr>
                <w:rFonts w:hint="eastAsia" w:ascii="宋体" w:hAnsi="宋体" w:cs="宋体"/>
                <w:color w:val="000000"/>
                <w:kern w:val="0"/>
                <w:sz w:val="18"/>
                <w:szCs w:val="18"/>
                <w:highlight w:val="none"/>
                <w:lang w:val="en-US" w:eastAsia="zh-CN" w:bidi="ar"/>
              </w:rPr>
              <w:t>等</w:t>
            </w:r>
          </w:p>
        </w:tc>
      </w:tr>
      <w:tr>
        <w:tblPrEx>
          <w:tblCellMar>
            <w:top w:w="0" w:type="dxa"/>
            <w:left w:w="108" w:type="dxa"/>
            <w:bottom w:w="0" w:type="dxa"/>
            <w:right w:w="108" w:type="dxa"/>
          </w:tblCellMar>
        </w:tblPrEx>
        <w:trPr>
          <w:trHeight w:val="410"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527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Style w:val="269"/>
                <w:rFonts w:hint="eastAsia" w:ascii="宋体" w:hAnsi="宋体" w:eastAsia="宋体" w:cs="宋体"/>
                <w:highlight w:val="none"/>
                <w:lang w:bidi="ar"/>
              </w:rPr>
            </w:pPr>
            <w:r>
              <w:rPr>
                <w:rStyle w:val="269"/>
                <w:rFonts w:hint="eastAsia" w:ascii="宋体" w:hAnsi="宋体" w:eastAsia="宋体" w:cs="宋体"/>
                <w:highlight w:val="none"/>
                <w:lang w:bidi="ar"/>
              </w:rPr>
              <w:t>运营成本小计</w:t>
            </w:r>
          </w:p>
        </w:tc>
        <w:tc>
          <w:tcPr>
            <w:tcW w:w="113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r>
      <w:tr>
        <w:tblPrEx>
          <w:tblCellMar>
            <w:top w:w="0" w:type="dxa"/>
            <w:left w:w="108" w:type="dxa"/>
            <w:bottom w:w="0" w:type="dxa"/>
            <w:right w:w="108" w:type="dxa"/>
          </w:tblCellMar>
        </w:tblPrEx>
        <w:trPr>
          <w:trHeight w:val="410"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527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r>
              <w:rPr>
                <w:rStyle w:val="269"/>
                <w:rFonts w:hint="eastAsia" w:ascii="宋体" w:hAnsi="宋体" w:eastAsia="宋体" w:cs="宋体"/>
                <w:b/>
                <w:bCs/>
                <w:highlight w:val="none"/>
                <w:lang w:bidi="ar"/>
              </w:rPr>
              <w:t>年度成本合计</w:t>
            </w:r>
          </w:p>
        </w:tc>
        <w:tc>
          <w:tcPr>
            <w:tcW w:w="113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r>
      <w:tr>
        <w:tblPrEx>
          <w:tblCellMar>
            <w:top w:w="0" w:type="dxa"/>
            <w:left w:w="108" w:type="dxa"/>
            <w:bottom w:w="0" w:type="dxa"/>
            <w:right w:w="108" w:type="dxa"/>
          </w:tblCellMar>
        </w:tblPrEx>
        <w:trPr>
          <w:trHeight w:val="447" w:hRule="atLeast"/>
        </w:trPr>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b/>
                <w:bCs/>
                <w:color w:val="000000"/>
                <w:sz w:val="22"/>
                <w:szCs w:val="22"/>
                <w:highlight w:val="none"/>
              </w:rPr>
            </w:pPr>
            <w:r>
              <w:rPr>
                <w:rStyle w:val="268"/>
                <w:rFonts w:hint="eastAsia" w:ascii="宋体" w:hAnsi="宋体" w:eastAsia="宋体" w:cs="宋体"/>
                <w:highlight w:val="none"/>
                <w:lang w:bidi="ar"/>
              </w:rPr>
              <w:t>二、年度收入</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22"/>
                <w:szCs w:val="22"/>
                <w:highlight w:val="none"/>
              </w:rPr>
            </w:pPr>
            <w:r>
              <w:rPr>
                <w:rStyle w:val="269"/>
                <w:rFonts w:hint="eastAsia" w:ascii="宋体" w:hAnsi="宋体" w:eastAsia="宋体" w:cs="宋体"/>
                <w:highlight w:val="none"/>
                <w:lang w:bidi="ar"/>
              </w:rPr>
              <w:t>1、演出收入</w:t>
            </w:r>
          </w:p>
        </w:tc>
        <w:tc>
          <w:tcPr>
            <w:tcW w:w="39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r>
              <w:rPr>
                <w:rStyle w:val="269"/>
                <w:rFonts w:hint="eastAsia" w:ascii="宋体" w:hAnsi="宋体" w:eastAsia="宋体" w:cs="宋体"/>
                <w:highlight w:val="none"/>
                <w:lang w:bidi="ar"/>
              </w:rPr>
              <w:t>票房收入</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432"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2、其他收入</w:t>
            </w:r>
          </w:p>
        </w:tc>
        <w:tc>
          <w:tcPr>
            <w:tcW w:w="39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r>
              <w:rPr>
                <w:rStyle w:val="269"/>
                <w:rFonts w:hint="eastAsia" w:ascii="宋体" w:hAnsi="宋体" w:eastAsia="宋体" w:cs="宋体"/>
                <w:highlight w:val="none"/>
                <w:lang w:bidi="ar"/>
              </w:rPr>
              <w:t>场租收入</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410" w:hRule="atLeast"/>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22"/>
                <w:szCs w:val="22"/>
                <w:highlight w:val="none"/>
              </w:rPr>
            </w:pPr>
          </w:p>
        </w:tc>
        <w:tc>
          <w:tcPr>
            <w:tcW w:w="527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000000"/>
                <w:sz w:val="18"/>
                <w:szCs w:val="18"/>
                <w:highlight w:val="none"/>
              </w:rPr>
            </w:pPr>
            <w:r>
              <w:rPr>
                <w:rStyle w:val="269"/>
                <w:rFonts w:hint="eastAsia" w:ascii="宋体" w:hAnsi="宋体" w:eastAsia="宋体" w:cs="宋体"/>
                <w:b/>
                <w:bCs/>
                <w:highlight w:val="none"/>
                <w:lang w:bidi="ar"/>
              </w:rPr>
              <w:t>年度收入合计</w:t>
            </w:r>
          </w:p>
        </w:tc>
        <w:tc>
          <w:tcPr>
            <w:tcW w:w="113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r>
      <w:tr>
        <w:tblPrEx>
          <w:tblCellMar>
            <w:top w:w="0" w:type="dxa"/>
            <w:left w:w="108" w:type="dxa"/>
            <w:bottom w:w="0" w:type="dxa"/>
            <w:right w:w="108" w:type="dxa"/>
          </w:tblCellMar>
        </w:tblPrEx>
        <w:trPr>
          <w:trHeight w:val="476" w:hRule="atLeast"/>
        </w:trPr>
        <w:tc>
          <w:tcPr>
            <w:tcW w:w="604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18"/>
                <w:szCs w:val="18"/>
                <w:highlight w:val="none"/>
              </w:rPr>
            </w:pPr>
            <w:r>
              <w:rPr>
                <w:rStyle w:val="269"/>
                <w:rFonts w:hint="eastAsia" w:ascii="宋体" w:hAnsi="宋体" w:eastAsia="宋体" w:cs="宋体"/>
                <w:b/>
                <w:bCs/>
                <w:highlight w:val="none"/>
                <w:lang w:bidi="ar"/>
              </w:rPr>
              <w:t>年度运营补贴=年度成本-年度收入=年度运营差额（年度运营补贴款）</w:t>
            </w:r>
          </w:p>
        </w:tc>
        <w:tc>
          <w:tcPr>
            <w:tcW w:w="113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r>
      <w:tr>
        <w:tblPrEx>
          <w:tblCellMar>
            <w:top w:w="0" w:type="dxa"/>
            <w:left w:w="108" w:type="dxa"/>
            <w:bottom w:w="0" w:type="dxa"/>
            <w:right w:w="108" w:type="dxa"/>
          </w:tblCellMar>
        </w:tblPrEx>
        <w:trPr>
          <w:trHeight w:val="429" w:hRule="atLeast"/>
        </w:trPr>
        <w:tc>
          <w:tcPr>
            <w:tcW w:w="604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color w:val="000000"/>
                <w:sz w:val="18"/>
                <w:szCs w:val="18"/>
                <w:highlight w:val="none"/>
              </w:rPr>
            </w:pPr>
            <w:r>
              <w:rPr>
                <w:rStyle w:val="269"/>
                <w:rFonts w:hint="eastAsia" w:ascii="宋体" w:hAnsi="宋体" w:eastAsia="宋体" w:cs="宋体"/>
                <w:b/>
                <w:bCs/>
                <w:highlight w:val="none"/>
                <w:lang w:val="en-US" w:eastAsia="zh-CN" w:bidi="ar"/>
              </w:rPr>
              <w:t>投标报价=2年运营补贴=年度运营补贴X2</w:t>
            </w:r>
          </w:p>
        </w:tc>
        <w:tc>
          <w:tcPr>
            <w:tcW w:w="1131"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c>
          <w:tcPr>
            <w:tcW w:w="162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hint="eastAsia" w:ascii="宋体" w:hAnsi="宋体" w:eastAsia="宋体" w:cs="宋体"/>
                <w:color w:val="000000"/>
                <w:sz w:val="22"/>
                <w:szCs w:val="22"/>
                <w:highlight w:val="none"/>
              </w:rPr>
            </w:pPr>
          </w:p>
        </w:tc>
      </w:tr>
    </w:tbl>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注：1.如果不提供分项报价将视为没有实质性响应招标文件。</w:t>
      </w:r>
    </w:p>
    <w:p>
      <w:pPr>
        <w:tabs>
          <w:tab w:val="left" w:pos="1800"/>
          <w:tab w:val="left" w:pos="5580"/>
        </w:tabs>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2.以上价格为全费用完全价，包含但不限于办理相关手续、人工费、服装费、五险一金、利润等。</w:t>
      </w:r>
    </w:p>
    <w:p>
      <w:pPr>
        <w:tabs>
          <w:tab w:val="left" w:pos="1800"/>
          <w:tab w:val="left" w:pos="5580"/>
        </w:tabs>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3.上述各项的详细规格（如有），可另页描述。</w:t>
      </w:r>
    </w:p>
    <w:p>
      <w:pPr>
        <w:autoSpaceDE w:val="0"/>
        <w:autoSpaceDN w:val="0"/>
        <w:adjustRightInd w:val="0"/>
        <w:snapToGrid w:val="0"/>
        <w:spacing w:before="25" w:after="25" w:line="360" w:lineRule="auto"/>
        <w:rPr>
          <w:rFonts w:ascii="宋体" w:hAnsi="宋体" w:cs="宋体"/>
          <w:color w:val="000000"/>
          <w:sz w:val="24"/>
          <w:highlight w:val="none"/>
        </w:rPr>
      </w:pP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：____________</w:t>
      </w:r>
    </w:p>
    <w:p>
      <w:pPr>
        <w:autoSpaceDE w:val="0"/>
        <w:autoSpaceDN w:val="0"/>
        <w:adjustRightInd w:val="0"/>
        <w:snapToGrid w:val="0"/>
        <w:spacing w:before="25" w:after="25" w:line="48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bookmarkStart w:id="930" w:name="_Toc305158830"/>
      <w:bookmarkStart w:id="931" w:name="_Toc226965752"/>
      <w:bookmarkStart w:id="932" w:name="_Toc305158904"/>
      <w:bookmarkStart w:id="933" w:name="_Toc195842927"/>
      <w:bookmarkStart w:id="934" w:name="_Toc150480798"/>
      <w:bookmarkStart w:id="935" w:name="_Toc226337258"/>
      <w:bookmarkStart w:id="936" w:name="_Toc265228400"/>
      <w:bookmarkStart w:id="937" w:name="_Toc142311062"/>
      <w:bookmarkStart w:id="938" w:name="_Toc264969252"/>
      <w:bookmarkStart w:id="939" w:name="_Toc226309806"/>
      <w:bookmarkStart w:id="940" w:name="_Toc226965835"/>
      <w:bookmarkStart w:id="941" w:name="_Toc150774765"/>
      <w:bookmarkStart w:id="942" w:name="_Toc127151562"/>
      <w:bookmarkStart w:id="943" w:name="_Toc305158903"/>
      <w:bookmarkStart w:id="944" w:name="_Toc150774764"/>
      <w:bookmarkStart w:id="945" w:name="_Toc226309805"/>
      <w:bookmarkStart w:id="946" w:name="_Toc142311061"/>
      <w:bookmarkStart w:id="947" w:name="_Toc264969251"/>
      <w:bookmarkStart w:id="948" w:name="_Toc127151561"/>
      <w:bookmarkStart w:id="949" w:name="_Toc226965834"/>
      <w:bookmarkStart w:id="950" w:name="_Toc195842926"/>
      <w:bookmarkStart w:id="951" w:name="_Toc265228399"/>
      <w:bookmarkStart w:id="952" w:name="_Toc226965751"/>
      <w:bookmarkStart w:id="953" w:name="_Toc226337257"/>
      <w:bookmarkStart w:id="954" w:name="_Toc305158829"/>
      <w:bookmarkStart w:id="955" w:name="_Toc150480797"/>
      <w:r>
        <w:rPr>
          <w:rFonts w:hint="eastAsia" w:ascii="宋体" w:hAnsi="宋体" w:cs="宋体"/>
          <w:color w:val="000000"/>
          <w:sz w:val="24"/>
          <w:szCs w:val="20"/>
          <w:highlight w:val="none"/>
        </w:rPr>
        <w:br w:type="page"/>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5  合同条款偏离表</w:t>
      </w:r>
      <w:bookmarkEnd w:id="930"/>
      <w:bookmarkEnd w:id="931"/>
      <w:bookmarkEnd w:id="932"/>
      <w:bookmarkEnd w:id="933"/>
      <w:bookmarkEnd w:id="934"/>
      <w:bookmarkEnd w:id="935"/>
      <w:bookmarkEnd w:id="936"/>
      <w:bookmarkEnd w:id="937"/>
      <w:bookmarkEnd w:id="938"/>
      <w:bookmarkEnd w:id="939"/>
      <w:bookmarkEnd w:id="940"/>
      <w:bookmarkEnd w:id="941"/>
      <w:bookmarkEnd w:id="942"/>
      <w:r>
        <w:rPr>
          <w:rFonts w:hint="eastAsia" w:ascii="宋体" w:hAnsi="宋体" w:cs="宋体"/>
          <w:color w:val="000000"/>
          <w:sz w:val="24"/>
          <w:szCs w:val="20"/>
          <w:highlight w:val="none"/>
        </w:rPr>
        <w:t>（实质性格式）</w:t>
      </w:r>
    </w:p>
    <w:p>
      <w:pPr>
        <w:tabs>
          <w:tab w:val="left" w:pos="2775"/>
          <w:tab w:val="center" w:pos="4153"/>
        </w:tabs>
        <w:autoSpaceDE w:val="0"/>
        <w:autoSpaceDN w:val="0"/>
        <w:adjustRightInd w:val="0"/>
        <w:spacing w:line="360" w:lineRule="auto"/>
        <w:jc w:val="center"/>
        <w:rPr>
          <w:rFonts w:ascii="宋体" w:hAnsi="宋体" w:cs="宋体"/>
          <w:b/>
          <w:color w:val="000000"/>
          <w:sz w:val="32"/>
          <w:szCs w:val="32"/>
          <w:highlight w:val="none"/>
        </w:rPr>
      </w:pPr>
      <w:r>
        <w:rPr>
          <w:rFonts w:hint="eastAsia" w:ascii="宋体" w:hAnsi="宋体" w:cs="宋体"/>
          <w:b/>
          <w:color w:val="000000"/>
          <w:sz w:val="32"/>
          <w:szCs w:val="32"/>
          <w:highlight w:val="none"/>
        </w:rPr>
        <w:t>合同条款偏离表</w:t>
      </w: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项目编号：_____________________     项目名称：_____________</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对本项目合同条款的偏离情况（请进行勾选）：</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如无偏离，仅勾选无偏离即可</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291"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招标文件</w:t>
            </w:r>
            <w:r>
              <w:rPr>
                <w:rFonts w:hint="eastAsia" w:ascii="宋体" w:hAnsi="宋体" w:cs="宋体"/>
                <w:color w:val="000000"/>
                <w:sz w:val="24"/>
                <w:highlight w:val="none"/>
              </w:rPr>
              <w:t>条目号（页码）</w:t>
            </w:r>
          </w:p>
        </w:tc>
        <w:tc>
          <w:tcPr>
            <w:tcW w:w="1981"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招标文件</w:t>
            </w:r>
            <w:r>
              <w:rPr>
                <w:rFonts w:hint="eastAsia" w:ascii="宋体" w:hAnsi="宋体" w:cs="宋体"/>
                <w:color w:val="000000"/>
                <w:sz w:val="24"/>
                <w:highlight w:val="none"/>
              </w:rPr>
              <w:t>要求</w:t>
            </w:r>
          </w:p>
        </w:tc>
        <w:tc>
          <w:tcPr>
            <w:tcW w:w="1982"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投标文件内容</w:t>
            </w:r>
          </w:p>
        </w:tc>
        <w:tc>
          <w:tcPr>
            <w:tcW w:w="2424"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tc>
        <w:tc>
          <w:tcPr>
            <w:tcW w:w="782"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000000"/>
                <w:sz w:val="24"/>
                <w:highlight w:val="none"/>
              </w:rPr>
            </w:pPr>
          </w:p>
        </w:tc>
        <w:tc>
          <w:tcPr>
            <w:tcW w:w="1291" w:type="dxa"/>
            <w:vAlign w:val="center"/>
          </w:tcPr>
          <w:p>
            <w:pPr>
              <w:adjustRightInd w:val="0"/>
              <w:snapToGrid w:val="0"/>
              <w:jc w:val="center"/>
              <w:rPr>
                <w:rFonts w:ascii="宋体" w:hAnsi="宋体" w:cs="宋体"/>
                <w:color w:val="000000"/>
                <w:sz w:val="24"/>
                <w:highlight w:val="none"/>
              </w:rPr>
            </w:pPr>
          </w:p>
        </w:tc>
        <w:tc>
          <w:tcPr>
            <w:tcW w:w="1981" w:type="dxa"/>
            <w:vAlign w:val="center"/>
          </w:tcPr>
          <w:p>
            <w:pPr>
              <w:adjustRightInd w:val="0"/>
              <w:snapToGrid w:val="0"/>
              <w:jc w:val="center"/>
              <w:rPr>
                <w:rFonts w:ascii="宋体" w:hAnsi="宋体" w:cs="宋体"/>
                <w:color w:val="000000"/>
                <w:sz w:val="24"/>
                <w:highlight w:val="none"/>
              </w:rPr>
            </w:pPr>
          </w:p>
        </w:tc>
        <w:tc>
          <w:tcPr>
            <w:tcW w:w="1982" w:type="dxa"/>
            <w:vAlign w:val="center"/>
          </w:tcPr>
          <w:p>
            <w:pPr>
              <w:adjustRightInd w:val="0"/>
              <w:snapToGrid w:val="0"/>
              <w:jc w:val="center"/>
              <w:rPr>
                <w:rFonts w:ascii="宋体" w:hAnsi="宋体" w:cs="宋体"/>
                <w:color w:val="000000"/>
                <w:sz w:val="24"/>
                <w:highlight w:val="none"/>
              </w:rPr>
            </w:pPr>
          </w:p>
        </w:tc>
        <w:tc>
          <w:tcPr>
            <w:tcW w:w="2424" w:type="dxa"/>
            <w:vAlign w:val="center"/>
          </w:tcPr>
          <w:p>
            <w:pPr>
              <w:adjustRightInd w:val="0"/>
              <w:snapToGrid w:val="0"/>
              <w:jc w:val="center"/>
              <w:rPr>
                <w:rFonts w:ascii="宋体" w:hAnsi="宋体" w:cs="宋体"/>
                <w:color w:val="000000"/>
                <w:sz w:val="24"/>
                <w:highlight w:val="none"/>
              </w:rPr>
            </w:pPr>
          </w:p>
        </w:tc>
        <w:tc>
          <w:tcPr>
            <w:tcW w:w="782"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000000"/>
                <w:sz w:val="24"/>
                <w:highlight w:val="none"/>
              </w:rPr>
            </w:pPr>
          </w:p>
        </w:tc>
        <w:tc>
          <w:tcPr>
            <w:tcW w:w="1291" w:type="dxa"/>
            <w:vAlign w:val="center"/>
          </w:tcPr>
          <w:p>
            <w:pPr>
              <w:adjustRightInd w:val="0"/>
              <w:snapToGrid w:val="0"/>
              <w:jc w:val="center"/>
              <w:rPr>
                <w:rFonts w:ascii="宋体" w:hAnsi="宋体" w:cs="宋体"/>
                <w:color w:val="000000"/>
                <w:sz w:val="24"/>
                <w:highlight w:val="none"/>
              </w:rPr>
            </w:pPr>
          </w:p>
        </w:tc>
        <w:tc>
          <w:tcPr>
            <w:tcW w:w="1981" w:type="dxa"/>
            <w:vAlign w:val="center"/>
          </w:tcPr>
          <w:p>
            <w:pPr>
              <w:adjustRightInd w:val="0"/>
              <w:snapToGrid w:val="0"/>
              <w:jc w:val="center"/>
              <w:rPr>
                <w:rFonts w:ascii="宋体" w:hAnsi="宋体" w:cs="宋体"/>
                <w:color w:val="000000"/>
                <w:sz w:val="24"/>
                <w:highlight w:val="none"/>
              </w:rPr>
            </w:pPr>
          </w:p>
        </w:tc>
        <w:tc>
          <w:tcPr>
            <w:tcW w:w="1982" w:type="dxa"/>
            <w:vAlign w:val="center"/>
          </w:tcPr>
          <w:p>
            <w:pPr>
              <w:adjustRightInd w:val="0"/>
              <w:snapToGrid w:val="0"/>
              <w:jc w:val="center"/>
              <w:rPr>
                <w:rFonts w:ascii="宋体" w:hAnsi="宋体" w:cs="宋体"/>
                <w:color w:val="000000"/>
                <w:sz w:val="24"/>
                <w:highlight w:val="none"/>
              </w:rPr>
            </w:pPr>
          </w:p>
        </w:tc>
        <w:tc>
          <w:tcPr>
            <w:tcW w:w="2424" w:type="dxa"/>
            <w:vAlign w:val="center"/>
          </w:tcPr>
          <w:p>
            <w:pPr>
              <w:adjustRightInd w:val="0"/>
              <w:snapToGrid w:val="0"/>
              <w:jc w:val="center"/>
              <w:rPr>
                <w:rFonts w:ascii="宋体" w:hAnsi="宋体" w:cs="宋体"/>
                <w:color w:val="000000"/>
                <w:sz w:val="24"/>
                <w:highlight w:val="none"/>
              </w:rPr>
            </w:pPr>
          </w:p>
        </w:tc>
        <w:tc>
          <w:tcPr>
            <w:tcW w:w="782"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000000"/>
                <w:sz w:val="24"/>
                <w:highlight w:val="none"/>
              </w:rPr>
            </w:pPr>
          </w:p>
        </w:tc>
        <w:tc>
          <w:tcPr>
            <w:tcW w:w="1291" w:type="dxa"/>
            <w:vAlign w:val="center"/>
          </w:tcPr>
          <w:p>
            <w:pPr>
              <w:adjustRightInd w:val="0"/>
              <w:snapToGrid w:val="0"/>
              <w:jc w:val="center"/>
              <w:rPr>
                <w:rFonts w:ascii="宋体" w:hAnsi="宋体" w:cs="宋体"/>
                <w:color w:val="000000"/>
                <w:sz w:val="24"/>
                <w:highlight w:val="none"/>
              </w:rPr>
            </w:pPr>
          </w:p>
        </w:tc>
        <w:tc>
          <w:tcPr>
            <w:tcW w:w="1981" w:type="dxa"/>
            <w:vAlign w:val="center"/>
          </w:tcPr>
          <w:p>
            <w:pPr>
              <w:adjustRightInd w:val="0"/>
              <w:snapToGrid w:val="0"/>
              <w:jc w:val="center"/>
              <w:rPr>
                <w:rFonts w:ascii="宋体" w:hAnsi="宋体" w:cs="宋体"/>
                <w:color w:val="000000"/>
                <w:sz w:val="24"/>
                <w:highlight w:val="none"/>
              </w:rPr>
            </w:pPr>
          </w:p>
        </w:tc>
        <w:tc>
          <w:tcPr>
            <w:tcW w:w="1982" w:type="dxa"/>
            <w:vAlign w:val="center"/>
          </w:tcPr>
          <w:p>
            <w:pPr>
              <w:adjustRightInd w:val="0"/>
              <w:snapToGrid w:val="0"/>
              <w:jc w:val="center"/>
              <w:rPr>
                <w:rFonts w:ascii="宋体" w:hAnsi="宋体" w:cs="宋体"/>
                <w:color w:val="000000"/>
                <w:sz w:val="24"/>
                <w:highlight w:val="none"/>
              </w:rPr>
            </w:pPr>
          </w:p>
        </w:tc>
        <w:tc>
          <w:tcPr>
            <w:tcW w:w="2424" w:type="dxa"/>
            <w:vAlign w:val="center"/>
          </w:tcPr>
          <w:p>
            <w:pPr>
              <w:adjustRightInd w:val="0"/>
              <w:snapToGrid w:val="0"/>
              <w:jc w:val="center"/>
              <w:rPr>
                <w:rFonts w:ascii="宋体" w:hAnsi="宋体" w:cs="宋体"/>
                <w:color w:val="000000"/>
                <w:sz w:val="24"/>
                <w:highlight w:val="none"/>
              </w:rPr>
            </w:pPr>
          </w:p>
        </w:tc>
        <w:tc>
          <w:tcPr>
            <w:tcW w:w="782"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宋体" w:hAnsi="宋体" w:cs="宋体"/>
                <w:color w:val="000000"/>
                <w:sz w:val="24"/>
                <w:highlight w:val="none"/>
              </w:rPr>
            </w:pPr>
          </w:p>
        </w:tc>
        <w:tc>
          <w:tcPr>
            <w:tcW w:w="1291" w:type="dxa"/>
            <w:vAlign w:val="center"/>
          </w:tcPr>
          <w:p>
            <w:pPr>
              <w:adjustRightInd w:val="0"/>
              <w:snapToGrid w:val="0"/>
              <w:jc w:val="center"/>
              <w:rPr>
                <w:rFonts w:ascii="宋体" w:hAnsi="宋体" w:cs="宋体"/>
                <w:color w:val="000000"/>
                <w:sz w:val="24"/>
                <w:highlight w:val="none"/>
              </w:rPr>
            </w:pPr>
          </w:p>
        </w:tc>
        <w:tc>
          <w:tcPr>
            <w:tcW w:w="1981" w:type="dxa"/>
            <w:vAlign w:val="center"/>
          </w:tcPr>
          <w:p>
            <w:pPr>
              <w:adjustRightInd w:val="0"/>
              <w:snapToGrid w:val="0"/>
              <w:jc w:val="center"/>
              <w:rPr>
                <w:rFonts w:ascii="宋体" w:hAnsi="宋体" w:cs="宋体"/>
                <w:color w:val="000000"/>
                <w:sz w:val="24"/>
                <w:highlight w:val="none"/>
              </w:rPr>
            </w:pPr>
          </w:p>
        </w:tc>
        <w:tc>
          <w:tcPr>
            <w:tcW w:w="1982" w:type="dxa"/>
            <w:vAlign w:val="center"/>
          </w:tcPr>
          <w:p>
            <w:pPr>
              <w:adjustRightInd w:val="0"/>
              <w:snapToGrid w:val="0"/>
              <w:jc w:val="center"/>
              <w:rPr>
                <w:rFonts w:ascii="宋体" w:hAnsi="宋体" w:cs="宋体"/>
                <w:color w:val="000000"/>
                <w:sz w:val="24"/>
                <w:highlight w:val="none"/>
              </w:rPr>
            </w:pPr>
          </w:p>
        </w:tc>
        <w:tc>
          <w:tcPr>
            <w:tcW w:w="2424" w:type="dxa"/>
            <w:vAlign w:val="center"/>
          </w:tcPr>
          <w:p>
            <w:pPr>
              <w:adjustRightInd w:val="0"/>
              <w:snapToGrid w:val="0"/>
              <w:jc w:val="center"/>
              <w:rPr>
                <w:rFonts w:ascii="宋体" w:hAnsi="宋体" w:cs="宋体"/>
                <w:color w:val="000000"/>
                <w:sz w:val="24"/>
                <w:highlight w:val="none"/>
              </w:rPr>
            </w:pPr>
          </w:p>
        </w:tc>
        <w:tc>
          <w:tcPr>
            <w:tcW w:w="782" w:type="dxa"/>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对合同条款中的所有要求，除本表所列明的所有偏离外，均视作供应商已对之理解和响应。</w:t>
      </w:r>
    </w:p>
    <w:p>
      <w:pPr>
        <w:tabs>
          <w:tab w:val="left" w:pos="1800"/>
          <w:tab w:val="left" w:pos="5580"/>
        </w:tabs>
        <w:jc w:val="left"/>
        <w:rPr>
          <w:rFonts w:ascii="宋体" w:hAnsi="宋体" w:cs="宋体"/>
          <w:color w:val="000000"/>
          <w:sz w:val="24"/>
          <w:highlight w:val="none"/>
        </w:rPr>
      </w:pPr>
      <w:r>
        <w:rPr>
          <w:rFonts w:hint="eastAsia" w:ascii="宋体" w:hAnsi="宋体" w:cs="宋体"/>
          <w:sz w:val="24"/>
          <w:highlight w:val="none"/>
        </w:rPr>
        <w:t>2. “偏离情况”列应</w:t>
      </w:r>
      <w:r>
        <w:rPr>
          <w:rFonts w:hint="eastAsia" w:ascii="宋体" w:hAnsi="宋体" w:cs="宋体"/>
          <w:color w:val="000000"/>
          <w:sz w:val="24"/>
          <w:highlight w:val="none"/>
        </w:rPr>
        <w:t>据实</w:t>
      </w:r>
      <w:r>
        <w:rPr>
          <w:rFonts w:hint="eastAsia" w:ascii="宋体" w:hAnsi="宋体" w:cs="宋体"/>
          <w:sz w:val="24"/>
          <w:highlight w:val="none"/>
        </w:rPr>
        <w:t>填写“正偏离”或“负偏离”。</w:t>
      </w:r>
    </w:p>
    <w:p>
      <w:pPr>
        <w:spacing w:line="360" w:lineRule="auto"/>
        <w:rPr>
          <w:rFonts w:ascii="宋体" w:hAnsi="宋体" w:cs="宋体"/>
          <w:color w:val="000000"/>
          <w:sz w:val="24"/>
          <w:szCs w:val="20"/>
          <w:highlight w:val="none"/>
        </w:rPr>
      </w:pPr>
    </w:p>
    <w:p>
      <w:pPr>
        <w:autoSpaceDE w:val="0"/>
        <w:autoSpaceDN w:val="0"/>
        <w:adjustRightInd w:val="0"/>
        <w:snapToGrid w:val="0"/>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before="25" w:after="25" w:line="480" w:lineRule="auto"/>
        <w:rPr>
          <w:rFonts w:ascii="宋体" w:hAnsi="宋体" w:cs="宋体"/>
          <w:color w:val="000000"/>
          <w:sz w:val="24"/>
          <w:highlight w:val="none"/>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u w:val="single"/>
        </w:rPr>
        <w:t xml:space="preserve">             </w:t>
      </w: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日期：_____年______月_____日   </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br w:type="page"/>
      </w:r>
      <w:r>
        <w:rPr>
          <w:rFonts w:hint="eastAsia" w:ascii="宋体" w:hAnsi="宋体" w:cs="宋体"/>
          <w:color w:val="000000"/>
          <w:sz w:val="24"/>
          <w:szCs w:val="20"/>
          <w:highlight w:val="none"/>
        </w:rPr>
        <w:t xml:space="preserve">6  </w:t>
      </w:r>
      <w:bookmarkEnd w:id="943"/>
      <w:bookmarkEnd w:id="944"/>
      <w:bookmarkEnd w:id="945"/>
      <w:bookmarkEnd w:id="946"/>
      <w:bookmarkEnd w:id="947"/>
      <w:bookmarkEnd w:id="948"/>
      <w:bookmarkEnd w:id="949"/>
      <w:bookmarkEnd w:id="950"/>
      <w:bookmarkEnd w:id="951"/>
      <w:bookmarkEnd w:id="952"/>
      <w:bookmarkEnd w:id="953"/>
      <w:bookmarkEnd w:id="954"/>
      <w:bookmarkEnd w:id="955"/>
      <w:r>
        <w:rPr>
          <w:rFonts w:hint="eastAsia" w:ascii="宋体" w:hAnsi="宋体" w:cs="宋体"/>
          <w:color w:val="000000"/>
          <w:sz w:val="24"/>
          <w:szCs w:val="20"/>
          <w:highlight w:val="none"/>
        </w:rPr>
        <w:t>采购需求偏离表（实质性格式）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采购需求偏离表</w:t>
      </w:r>
    </w:p>
    <w:p>
      <w:pPr>
        <w:tabs>
          <w:tab w:val="left" w:pos="1800"/>
          <w:tab w:val="left" w:pos="5580"/>
        </w:tabs>
        <w:spacing w:line="360" w:lineRule="auto"/>
        <w:ind w:firstLine="360" w:firstLineChars="150"/>
        <w:jc w:val="left"/>
        <w:rPr>
          <w:rFonts w:ascii="宋体" w:hAnsi="宋体" w:cs="宋体"/>
          <w:color w:val="000000"/>
          <w:sz w:val="24"/>
          <w:highlight w:val="none"/>
          <w:u w:val="single"/>
        </w:rPr>
      </w:pPr>
      <w:r>
        <w:rPr>
          <w:rFonts w:hint="eastAsia" w:ascii="宋体" w:hAnsi="宋体" w:cs="宋体"/>
          <w:color w:val="000000"/>
          <w:sz w:val="24"/>
          <w:highlight w:val="none"/>
        </w:rPr>
        <w:t>项目编号：_____________________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482"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招标文件条目号(页码)</w:t>
            </w:r>
          </w:p>
        </w:tc>
        <w:tc>
          <w:tcPr>
            <w:tcW w:w="2384"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招标文件要求</w:t>
            </w:r>
          </w:p>
        </w:tc>
        <w:tc>
          <w:tcPr>
            <w:tcW w:w="212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投标响应内容</w:t>
            </w:r>
          </w:p>
        </w:tc>
        <w:tc>
          <w:tcPr>
            <w:tcW w:w="1875"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tc>
        <w:tc>
          <w:tcPr>
            <w:tcW w:w="1009"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000000"/>
                <w:sz w:val="24"/>
                <w:highlight w:val="none"/>
              </w:rPr>
            </w:pPr>
          </w:p>
        </w:tc>
        <w:tc>
          <w:tcPr>
            <w:tcW w:w="1482" w:type="dxa"/>
            <w:vAlign w:val="center"/>
          </w:tcPr>
          <w:p>
            <w:pPr>
              <w:adjustRightInd w:val="0"/>
              <w:snapToGrid w:val="0"/>
              <w:jc w:val="center"/>
              <w:rPr>
                <w:rFonts w:ascii="宋体" w:hAnsi="宋体" w:cs="宋体"/>
                <w:color w:val="000000"/>
                <w:sz w:val="24"/>
                <w:highlight w:val="none"/>
              </w:rPr>
            </w:pPr>
          </w:p>
        </w:tc>
        <w:tc>
          <w:tcPr>
            <w:tcW w:w="2384" w:type="dxa"/>
            <w:vAlign w:val="center"/>
          </w:tcPr>
          <w:p>
            <w:pPr>
              <w:adjustRightInd w:val="0"/>
              <w:snapToGrid w:val="0"/>
              <w:jc w:val="center"/>
              <w:rPr>
                <w:rFonts w:ascii="宋体" w:hAnsi="宋体" w:cs="宋体"/>
                <w:color w:val="000000"/>
                <w:sz w:val="24"/>
                <w:highlight w:val="none"/>
              </w:rPr>
            </w:pPr>
          </w:p>
        </w:tc>
        <w:tc>
          <w:tcPr>
            <w:tcW w:w="2126" w:type="dxa"/>
            <w:vAlign w:val="center"/>
          </w:tcPr>
          <w:p>
            <w:pPr>
              <w:adjustRightInd w:val="0"/>
              <w:snapToGrid w:val="0"/>
              <w:jc w:val="center"/>
              <w:rPr>
                <w:rFonts w:ascii="宋体" w:hAnsi="宋体" w:cs="宋体"/>
                <w:color w:val="000000"/>
                <w:sz w:val="24"/>
                <w:highlight w:val="none"/>
              </w:rPr>
            </w:pPr>
          </w:p>
        </w:tc>
        <w:tc>
          <w:tcPr>
            <w:tcW w:w="1875" w:type="dxa"/>
            <w:vAlign w:val="center"/>
          </w:tcPr>
          <w:p>
            <w:pPr>
              <w:adjustRightInd w:val="0"/>
              <w:snapToGrid w:val="0"/>
              <w:jc w:val="center"/>
              <w:rPr>
                <w:rFonts w:ascii="宋体" w:hAnsi="宋体" w:cs="宋体"/>
                <w:color w:val="000000"/>
                <w:sz w:val="24"/>
                <w:highlight w:val="none"/>
              </w:rPr>
            </w:pPr>
          </w:p>
        </w:tc>
        <w:tc>
          <w:tcPr>
            <w:tcW w:w="1009"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000000"/>
                <w:sz w:val="24"/>
                <w:highlight w:val="none"/>
              </w:rPr>
            </w:pPr>
          </w:p>
        </w:tc>
        <w:tc>
          <w:tcPr>
            <w:tcW w:w="1482" w:type="dxa"/>
            <w:vAlign w:val="center"/>
          </w:tcPr>
          <w:p>
            <w:pPr>
              <w:adjustRightInd w:val="0"/>
              <w:snapToGrid w:val="0"/>
              <w:jc w:val="center"/>
              <w:rPr>
                <w:rFonts w:ascii="宋体" w:hAnsi="宋体" w:cs="宋体"/>
                <w:color w:val="000000"/>
                <w:sz w:val="24"/>
                <w:highlight w:val="none"/>
              </w:rPr>
            </w:pPr>
          </w:p>
        </w:tc>
        <w:tc>
          <w:tcPr>
            <w:tcW w:w="2384" w:type="dxa"/>
            <w:vAlign w:val="center"/>
          </w:tcPr>
          <w:p>
            <w:pPr>
              <w:adjustRightInd w:val="0"/>
              <w:snapToGrid w:val="0"/>
              <w:jc w:val="center"/>
              <w:rPr>
                <w:rFonts w:ascii="宋体" w:hAnsi="宋体" w:cs="宋体"/>
                <w:color w:val="000000"/>
                <w:sz w:val="24"/>
                <w:highlight w:val="none"/>
              </w:rPr>
            </w:pPr>
          </w:p>
        </w:tc>
        <w:tc>
          <w:tcPr>
            <w:tcW w:w="2126" w:type="dxa"/>
            <w:vAlign w:val="center"/>
          </w:tcPr>
          <w:p>
            <w:pPr>
              <w:adjustRightInd w:val="0"/>
              <w:snapToGrid w:val="0"/>
              <w:jc w:val="center"/>
              <w:rPr>
                <w:rFonts w:ascii="宋体" w:hAnsi="宋体" w:cs="宋体"/>
                <w:color w:val="000000"/>
                <w:sz w:val="24"/>
                <w:highlight w:val="none"/>
              </w:rPr>
            </w:pPr>
          </w:p>
        </w:tc>
        <w:tc>
          <w:tcPr>
            <w:tcW w:w="1875" w:type="dxa"/>
            <w:vAlign w:val="center"/>
          </w:tcPr>
          <w:p>
            <w:pPr>
              <w:adjustRightInd w:val="0"/>
              <w:snapToGrid w:val="0"/>
              <w:jc w:val="center"/>
              <w:rPr>
                <w:rFonts w:ascii="宋体" w:hAnsi="宋体" w:cs="宋体"/>
                <w:color w:val="000000"/>
                <w:sz w:val="24"/>
                <w:highlight w:val="none"/>
              </w:rPr>
            </w:pPr>
          </w:p>
        </w:tc>
        <w:tc>
          <w:tcPr>
            <w:tcW w:w="1009"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000000"/>
                <w:sz w:val="24"/>
                <w:highlight w:val="none"/>
              </w:rPr>
            </w:pPr>
          </w:p>
        </w:tc>
        <w:tc>
          <w:tcPr>
            <w:tcW w:w="1482" w:type="dxa"/>
            <w:vAlign w:val="center"/>
          </w:tcPr>
          <w:p>
            <w:pPr>
              <w:adjustRightInd w:val="0"/>
              <w:snapToGrid w:val="0"/>
              <w:jc w:val="center"/>
              <w:rPr>
                <w:rFonts w:ascii="宋体" w:hAnsi="宋体" w:cs="宋体"/>
                <w:color w:val="000000"/>
                <w:sz w:val="24"/>
                <w:highlight w:val="none"/>
              </w:rPr>
            </w:pPr>
          </w:p>
        </w:tc>
        <w:tc>
          <w:tcPr>
            <w:tcW w:w="2384" w:type="dxa"/>
            <w:vAlign w:val="center"/>
          </w:tcPr>
          <w:p>
            <w:pPr>
              <w:adjustRightInd w:val="0"/>
              <w:snapToGrid w:val="0"/>
              <w:jc w:val="center"/>
              <w:rPr>
                <w:rFonts w:ascii="宋体" w:hAnsi="宋体" w:cs="宋体"/>
                <w:color w:val="000000"/>
                <w:sz w:val="24"/>
                <w:highlight w:val="none"/>
              </w:rPr>
            </w:pPr>
          </w:p>
        </w:tc>
        <w:tc>
          <w:tcPr>
            <w:tcW w:w="2126" w:type="dxa"/>
            <w:vAlign w:val="center"/>
          </w:tcPr>
          <w:p>
            <w:pPr>
              <w:adjustRightInd w:val="0"/>
              <w:snapToGrid w:val="0"/>
              <w:jc w:val="center"/>
              <w:rPr>
                <w:rFonts w:ascii="宋体" w:hAnsi="宋体" w:cs="宋体"/>
                <w:color w:val="000000"/>
                <w:sz w:val="24"/>
                <w:highlight w:val="none"/>
              </w:rPr>
            </w:pPr>
          </w:p>
        </w:tc>
        <w:tc>
          <w:tcPr>
            <w:tcW w:w="1875" w:type="dxa"/>
            <w:vAlign w:val="center"/>
          </w:tcPr>
          <w:p>
            <w:pPr>
              <w:adjustRightInd w:val="0"/>
              <w:snapToGrid w:val="0"/>
              <w:jc w:val="center"/>
              <w:rPr>
                <w:rFonts w:ascii="宋体" w:hAnsi="宋体" w:cs="宋体"/>
                <w:color w:val="000000"/>
                <w:sz w:val="24"/>
                <w:highlight w:val="none"/>
              </w:rPr>
            </w:pPr>
          </w:p>
        </w:tc>
        <w:tc>
          <w:tcPr>
            <w:tcW w:w="1009"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000000"/>
                <w:sz w:val="24"/>
                <w:highlight w:val="none"/>
              </w:rPr>
            </w:pPr>
          </w:p>
        </w:tc>
        <w:tc>
          <w:tcPr>
            <w:tcW w:w="1482" w:type="dxa"/>
            <w:vAlign w:val="center"/>
          </w:tcPr>
          <w:p>
            <w:pPr>
              <w:adjustRightInd w:val="0"/>
              <w:snapToGrid w:val="0"/>
              <w:jc w:val="center"/>
              <w:rPr>
                <w:rFonts w:ascii="宋体" w:hAnsi="宋体" w:cs="宋体"/>
                <w:color w:val="000000"/>
                <w:sz w:val="24"/>
                <w:highlight w:val="none"/>
              </w:rPr>
            </w:pPr>
          </w:p>
        </w:tc>
        <w:tc>
          <w:tcPr>
            <w:tcW w:w="2384" w:type="dxa"/>
            <w:vAlign w:val="center"/>
          </w:tcPr>
          <w:p>
            <w:pPr>
              <w:adjustRightInd w:val="0"/>
              <w:snapToGrid w:val="0"/>
              <w:jc w:val="center"/>
              <w:rPr>
                <w:rFonts w:ascii="宋体" w:hAnsi="宋体" w:cs="宋体"/>
                <w:color w:val="000000"/>
                <w:sz w:val="24"/>
                <w:highlight w:val="none"/>
              </w:rPr>
            </w:pPr>
          </w:p>
        </w:tc>
        <w:tc>
          <w:tcPr>
            <w:tcW w:w="2126" w:type="dxa"/>
            <w:vAlign w:val="center"/>
          </w:tcPr>
          <w:p>
            <w:pPr>
              <w:adjustRightInd w:val="0"/>
              <w:snapToGrid w:val="0"/>
              <w:jc w:val="center"/>
              <w:rPr>
                <w:rFonts w:ascii="宋体" w:hAnsi="宋体" w:cs="宋体"/>
                <w:color w:val="000000"/>
                <w:sz w:val="24"/>
                <w:highlight w:val="none"/>
              </w:rPr>
            </w:pPr>
          </w:p>
        </w:tc>
        <w:tc>
          <w:tcPr>
            <w:tcW w:w="1875" w:type="dxa"/>
            <w:vAlign w:val="center"/>
          </w:tcPr>
          <w:p>
            <w:pPr>
              <w:adjustRightInd w:val="0"/>
              <w:snapToGrid w:val="0"/>
              <w:jc w:val="center"/>
              <w:rPr>
                <w:rFonts w:ascii="宋体" w:hAnsi="宋体" w:cs="宋体"/>
                <w:color w:val="000000"/>
                <w:sz w:val="24"/>
                <w:highlight w:val="none"/>
              </w:rPr>
            </w:pPr>
          </w:p>
        </w:tc>
        <w:tc>
          <w:tcPr>
            <w:tcW w:w="1009"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000000"/>
                <w:sz w:val="24"/>
                <w:highlight w:val="none"/>
              </w:rPr>
            </w:pPr>
          </w:p>
        </w:tc>
        <w:tc>
          <w:tcPr>
            <w:tcW w:w="1482" w:type="dxa"/>
            <w:vAlign w:val="center"/>
          </w:tcPr>
          <w:p>
            <w:pPr>
              <w:adjustRightInd w:val="0"/>
              <w:snapToGrid w:val="0"/>
              <w:jc w:val="center"/>
              <w:rPr>
                <w:rFonts w:ascii="宋体" w:hAnsi="宋体" w:cs="宋体"/>
                <w:color w:val="000000"/>
                <w:sz w:val="24"/>
                <w:highlight w:val="none"/>
              </w:rPr>
            </w:pPr>
          </w:p>
        </w:tc>
        <w:tc>
          <w:tcPr>
            <w:tcW w:w="2384" w:type="dxa"/>
            <w:vAlign w:val="center"/>
          </w:tcPr>
          <w:p>
            <w:pPr>
              <w:adjustRightInd w:val="0"/>
              <w:snapToGrid w:val="0"/>
              <w:jc w:val="center"/>
              <w:rPr>
                <w:rFonts w:ascii="宋体" w:hAnsi="宋体" w:cs="宋体"/>
                <w:color w:val="000000"/>
                <w:sz w:val="24"/>
                <w:highlight w:val="none"/>
              </w:rPr>
            </w:pPr>
          </w:p>
        </w:tc>
        <w:tc>
          <w:tcPr>
            <w:tcW w:w="2126" w:type="dxa"/>
            <w:vAlign w:val="center"/>
          </w:tcPr>
          <w:p>
            <w:pPr>
              <w:adjustRightInd w:val="0"/>
              <w:snapToGrid w:val="0"/>
              <w:jc w:val="center"/>
              <w:rPr>
                <w:rFonts w:ascii="宋体" w:hAnsi="宋体" w:cs="宋体"/>
                <w:color w:val="000000"/>
                <w:sz w:val="24"/>
                <w:highlight w:val="none"/>
              </w:rPr>
            </w:pPr>
          </w:p>
        </w:tc>
        <w:tc>
          <w:tcPr>
            <w:tcW w:w="1875" w:type="dxa"/>
            <w:vAlign w:val="center"/>
          </w:tcPr>
          <w:p>
            <w:pPr>
              <w:adjustRightInd w:val="0"/>
              <w:snapToGrid w:val="0"/>
              <w:jc w:val="center"/>
              <w:rPr>
                <w:rFonts w:ascii="宋体" w:hAnsi="宋体" w:cs="宋体"/>
                <w:color w:val="000000"/>
                <w:sz w:val="24"/>
                <w:highlight w:val="none"/>
              </w:rPr>
            </w:pPr>
          </w:p>
        </w:tc>
        <w:tc>
          <w:tcPr>
            <w:tcW w:w="1009"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000000"/>
                <w:sz w:val="24"/>
                <w:highlight w:val="none"/>
              </w:rPr>
            </w:pPr>
          </w:p>
        </w:tc>
        <w:tc>
          <w:tcPr>
            <w:tcW w:w="1482" w:type="dxa"/>
            <w:vAlign w:val="center"/>
          </w:tcPr>
          <w:p>
            <w:pPr>
              <w:adjustRightInd w:val="0"/>
              <w:snapToGrid w:val="0"/>
              <w:jc w:val="center"/>
              <w:rPr>
                <w:rFonts w:ascii="宋体" w:hAnsi="宋体" w:cs="宋体"/>
                <w:color w:val="000000"/>
                <w:sz w:val="24"/>
                <w:highlight w:val="none"/>
              </w:rPr>
            </w:pPr>
          </w:p>
        </w:tc>
        <w:tc>
          <w:tcPr>
            <w:tcW w:w="2384" w:type="dxa"/>
            <w:vAlign w:val="center"/>
          </w:tcPr>
          <w:p>
            <w:pPr>
              <w:adjustRightInd w:val="0"/>
              <w:snapToGrid w:val="0"/>
              <w:jc w:val="center"/>
              <w:rPr>
                <w:rFonts w:ascii="宋体" w:hAnsi="宋体" w:cs="宋体"/>
                <w:color w:val="000000"/>
                <w:sz w:val="24"/>
                <w:highlight w:val="none"/>
              </w:rPr>
            </w:pPr>
          </w:p>
        </w:tc>
        <w:tc>
          <w:tcPr>
            <w:tcW w:w="2126" w:type="dxa"/>
            <w:vAlign w:val="center"/>
          </w:tcPr>
          <w:p>
            <w:pPr>
              <w:adjustRightInd w:val="0"/>
              <w:snapToGrid w:val="0"/>
              <w:jc w:val="center"/>
              <w:rPr>
                <w:rFonts w:ascii="宋体" w:hAnsi="宋体" w:cs="宋体"/>
                <w:color w:val="000000"/>
                <w:sz w:val="24"/>
                <w:highlight w:val="none"/>
              </w:rPr>
            </w:pPr>
          </w:p>
        </w:tc>
        <w:tc>
          <w:tcPr>
            <w:tcW w:w="1875" w:type="dxa"/>
            <w:vAlign w:val="center"/>
          </w:tcPr>
          <w:p>
            <w:pPr>
              <w:adjustRightInd w:val="0"/>
              <w:snapToGrid w:val="0"/>
              <w:jc w:val="center"/>
              <w:rPr>
                <w:rFonts w:ascii="宋体" w:hAnsi="宋体" w:cs="宋体"/>
                <w:color w:val="000000"/>
                <w:sz w:val="24"/>
                <w:highlight w:val="none"/>
              </w:rPr>
            </w:pPr>
          </w:p>
        </w:tc>
        <w:tc>
          <w:tcPr>
            <w:tcW w:w="1009" w:type="dxa"/>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numPr>
          <w:ilvl w:val="0"/>
          <w:numId w:val="25"/>
        </w:num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对招标文件中的所有商务、技术要求，如存在偏离情况，请在此表中逐一详细列明，并在“偏离情况”列据实填写“正偏离”或“负偏离”</w:t>
      </w:r>
    </w:p>
    <w:p>
      <w:pPr>
        <w:pStyle w:val="58"/>
        <w:numPr>
          <w:ilvl w:val="0"/>
          <w:numId w:val="25"/>
        </w:numPr>
        <w:rPr>
          <w:rFonts w:ascii="宋体" w:hAnsi="宋体" w:cs="宋体"/>
          <w:highlight w:val="none"/>
        </w:rPr>
      </w:pPr>
      <w:r>
        <w:rPr>
          <w:rFonts w:hint="eastAsia" w:ascii="宋体" w:hAnsi="宋体" w:cs="宋体"/>
          <w:highlight w:val="none"/>
        </w:rPr>
        <w:t>如对招标文件中的所有商务、技术要求均不存在偏离情况，可不一一列示，在“偏离情况”列填写“全部响应，无偏离”。</w:t>
      </w:r>
    </w:p>
    <w:p>
      <w:pPr>
        <w:tabs>
          <w:tab w:val="left" w:pos="1800"/>
          <w:tab w:val="left" w:pos="5580"/>
        </w:tabs>
        <w:jc w:val="left"/>
        <w:rPr>
          <w:rFonts w:ascii="宋体" w:hAnsi="宋体" w:cs="宋体"/>
          <w:color w:val="000000"/>
          <w:sz w:val="24"/>
          <w:highlight w:val="none"/>
        </w:rPr>
      </w:pPr>
    </w:p>
    <w:p>
      <w:pPr>
        <w:rPr>
          <w:rFonts w:ascii="宋体" w:hAnsi="宋体" w:cs="宋体"/>
          <w:color w:val="000000"/>
          <w:sz w:val="24"/>
          <w:szCs w:val="20"/>
          <w:highlight w:val="none"/>
        </w:rPr>
      </w:pPr>
    </w:p>
    <w:p>
      <w:pPr>
        <w:autoSpaceDE w:val="0"/>
        <w:autoSpaceDN w:val="0"/>
        <w:adjustRightInd w:val="0"/>
        <w:snapToGrid w:val="0"/>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：____________</w:t>
      </w: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br w:type="page"/>
      </w:r>
      <w:r>
        <w:rPr>
          <w:rFonts w:hint="eastAsia" w:ascii="宋体" w:hAnsi="宋体" w:cs="宋体"/>
          <w:color w:val="000000"/>
          <w:sz w:val="24"/>
          <w:szCs w:val="20"/>
          <w:highlight w:val="none"/>
        </w:rPr>
        <w:t>7</w:t>
      </w:r>
      <w:r>
        <w:rPr>
          <w:rFonts w:hint="eastAsia" w:ascii="宋体" w:hAnsi="宋体" w:cs="宋体"/>
          <w:color w:val="000000"/>
          <w:sz w:val="24"/>
          <w:highlight w:val="none"/>
        </w:rPr>
        <w:t xml:space="preserve"> 招标文件要求提供或投标人认为应附的其他材料</w:t>
      </w:r>
      <w:bookmarkStart w:id="956" w:name="_Toc16280"/>
      <w:r>
        <w:rPr>
          <w:rFonts w:hint="eastAsia" w:ascii="宋体" w:hAnsi="宋体" w:cs="宋体"/>
          <w:color w:val="000000"/>
          <w:sz w:val="24"/>
          <w:szCs w:val="20"/>
          <w:highlight w:val="none"/>
        </w:rPr>
        <w:t>）</w:t>
      </w:r>
    </w:p>
    <w:p>
      <w:pPr>
        <w:rPr>
          <w:rFonts w:ascii="宋体" w:hAnsi="宋体" w:cs="宋体"/>
          <w:sz w:val="24"/>
          <w:highlight w:val="none"/>
        </w:rPr>
      </w:pPr>
    </w:p>
    <w:p>
      <w:pPr>
        <w:spacing w:line="480" w:lineRule="auto"/>
        <w:rPr>
          <w:rFonts w:ascii="宋体" w:hAnsi="宋体" w:cs="宋体"/>
          <w:sz w:val="24"/>
          <w:highlight w:val="none"/>
        </w:rPr>
      </w:pPr>
    </w:p>
    <w:p>
      <w:pPr>
        <w:spacing w:line="480" w:lineRule="auto"/>
        <w:rPr>
          <w:rFonts w:ascii="宋体" w:hAnsi="宋体" w:cs="宋体"/>
          <w:sz w:val="24"/>
          <w:highlight w:val="none"/>
        </w:rPr>
      </w:pPr>
    </w:p>
    <w:p>
      <w:pPr>
        <w:spacing w:line="480" w:lineRule="auto"/>
        <w:rPr>
          <w:rFonts w:ascii="宋体" w:hAnsi="宋体" w:cs="宋体"/>
          <w:sz w:val="24"/>
          <w:highlight w:val="none"/>
        </w:rPr>
      </w:pPr>
    </w:p>
    <w:p>
      <w:pPr>
        <w:spacing w:line="480" w:lineRule="auto"/>
        <w:rPr>
          <w:rFonts w:ascii="宋体" w:hAnsi="宋体" w:cs="宋体"/>
          <w:sz w:val="24"/>
          <w:highlight w:val="none"/>
        </w:rPr>
      </w:pPr>
    </w:p>
    <w:p>
      <w:pPr>
        <w:pStyle w:val="43"/>
        <w:ind w:firstLine="0" w:firstLineChars="0"/>
        <w:rPr>
          <w:rFonts w:ascii="宋体" w:hAnsi="宋体" w:cs="宋体"/>
          <w:color w:val="FF0000"/>
          <w:kern w:val="0"/>
          <w:sz w:val="24"/>
          <w:highlight w:val="none"/>
        </w:rPr>
        <w:sectPr>
          <w:headerReference r:id="rId29" w:type="first"/>
          <w:footerReference r:id="rId31" w:type="first"/>
          <w:headerReference r:id="rId28" w:type="even"/>
          <w:footerReference r:id="rId30" w:type="even"/>
          <w:pgSz w:w="11907" w:h="16840"/>
          <w:pgMar w:top="1418" w:right="1134" w:bottom="1418" w:left="1701" w:header="851" w:footer="851" w:gutter="0"/>
          <w:cols w:space="720" w:num="1"/>
          <w:docGrid w:linePitch="462" w:charSpace="0"/>
        </w:sectPr>
      </w:pPr>
    </w:p>
    <w:p>
      <w:pPr>
        <w:spacing w:line="408" w:lineRule="auto"/>
        <w:jc w:val="center"/>
        <w:outlineLvl w:val="1"/>
        <w:rPr>
          <w:rFonts w:hint="default" w:ascii="宋体" w:hAnsi="宋体" w:cs="宋体"/>
          <w:b/>
          <w:sz w:val="24"/>
          <w:highlight w:val="none"/>
        </w:rPr>
      </w:pPr>
      <w:bookmarkStart w:id="957" w:name="_Toc50110001"/>
      <w:bookmarkStart w:id="958" w:name="_Toc25227"/>
      <w:r>
        <w:rPr>
          <w:rFonts w:hint="eastAsia" w:ascii="宋体" w:hAnsi="宋体" w:cs="宋体"/>
          <w:b/>
          <w:sz w:val="24"/>
          <w:highlight w:val="none"/>
        </w:rPr>
        <w:t xml:space="preserve">附件7-1  </w:t>
      </w:r>
      <w:bookmarkEnd w:id="957"/>
      <w:bookmarkEnd w:id="958"/>
      <w:bookmarkStart w:id="959" w:name="_Toc74163783"/>
      <w:bookmarkStart w:id="960" w:name="_Toc74164051"/>
      <w:bookmarkStart w:id="961" w:name="_Toc73862741"/>
      <w:r>
        <w:rPr>
          <w:rFonts w:hint="eastAsia" w:ascii="宋体" w:hAnsi="宋体" w:cs="宋体"/>
          <w:b/>
          <w:sz w:val="24"/>
          <w:highlight w:val="none"/>
        </w:rPr>
        <w:t>本项目拟投入的人员配备表</w:t>
      </w:r>
    </w:p>
    <w:p>
      <w:pPr>
        <w:spacing w:line="360" w:lineRule="auto"/>
        <w:jc w:val="left"/>
        <w:rPr>
          <w:rFonts w:ascii="宋体" w:hAnsi="宋体" w:cs="宋体"/>
          <w:szCs w:val="21"/>
          <w:highlight w:val="none"/>
        </w:rPr>
      </w:pPr>
      <w:r>
        <w:rPr>
          <w:rFonts w:hint="eastAsia" w:ascii="宋体" w:hAnsi="宋体" w:cs="宋体"/>
          <w:szCs w:val="21"/>
          <w:highlight w:val="none"/>
        </w:rPr>
        <w:t>项目名称：                                            项目编号：</w:t>
      </w:r>
    </w:p>
    <w:tbl>
      <w:tblPr>
        <w:tblStyle w:val="45"/>
        <w:tblW w:w="936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069"/>
        <w:gridCol w:w="1555"/>
        <w:gridCol w:w="1503"/>
        <w:gridCol w:w="1480"/>
        <w:gridCol w:w="1410"/>
        <w:gridCol w:w="141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937" w:type="dxa"/>
            <w:vAlign w:val="center"/>
          </w:tcPr>
          <w:p>
            <w:pPr>
              <w:jc w:val="center"/>
              <w:rPr>
                <w:rFonts w:ascii="宋体" w:hAnsi="宋体" w:cs="宋体"/>
                <w:highlight w:val="none"/>
              </w:rPr>
            </w:pPr>
            <w:r>
              <w:rPr>
                <w:rFonts w:hint="eastAsia" w:ascii="宋体" w:hAnsi="宋体" w:cs="宋体"/>
                <w:highlight w:val="none"/>
              </w:rPr>
              <w:t>序号</w:t>
            </w:r>
          </w:p>
        </w:tc>
        <w:tc>
          <w:tcPr>
            <w:tcW w:w="1069" w:type="dxa"/>
            <w:vAlign w:val="center"/>
          </w:tcPr>
          <w:p>
            <w:pPr>
              <w:jc w:val="center"/>
              <w:rPr>
                <w:rFonts w:ascii="宋体" w:hAnsi="宋体" w:cs="宋体"/>
                <w:highlight w:val="none"/>
              </w:rPr>
            </w:pPr>
            <w:r>
              <w:rPr>
                <w:rFonts w:hint="eastAsia" w:ascii="宋体" w:hAnsi="宋体" w:cs="宋体"/>
                <w:highlight w:val="none"/>
              </w:rPr>
              <w:t>岗位</w:t>
            </w:r>
          </w:p>
        </w:tc>
        <w:tc>
          <w:tcPr>
            <w:tcW w:w="1555" w:type="dxa"/>
            <w:vAlign w:val="center"/>
          </w:tcPr>
          <w:p>
            <w:pPr>
              <w:jc w:val="center"/>
              <w:rPr>
                <w:rFonts w:ascii="宋体" w:hAnsi="宋体" w:cs="宋体"/>
                <w:highlight w:val="none"/>
              </w:rPr>
            </w:pPr>
            <w:r>
              <w:rPr>
                <w:rFonts w:hint="eastAsia" w:ascii="宋体" w:hAnsi="宋体" w:cs="宋体"/>
                <w:highlight w:val="none"/>
              </w:rPr>
              <w:t>姓名</w:t>
            </w:r>
          </w:p>
        </w:tc>
        <w:tc>
          <w:tcPr>
            <w:tcW w:w="1503" w:type="dxa"/>
            <w:vAlign w:val="center"/>
          </w:tcPr>
          <w:p>
            <w:pPr>
              <w:jc w:val="center"/>
              <w:rPr>
                <w:rFonts w:ascii="宋体" w:hAnsi="宋体" w:cs="宋体"/>
                <w:highlight w:val="none"/>
              </w:rPr>
            </w:pPr>
            <w:r>
              <w:rPr>
                <w:rFonts w:hint="eastAsia" w:ascii="宋体" w:hAnsi="宋体" w:cs="宋体"/>
                <w:highlight w:val="none"/>
              </w:rPr>
              <w:t>职称</w:t>
            </w:r>
          </w:p>
        </w:tc>
        <w:tc>
          <w:tcPr>
            <w:tcW w:w="1480" w:type="dxa"/>
            <w:vAlign w:val="center"/>
          </w:tcPr>
          <w:p>
            <w:pPr>
              <w:jc w:val="center"/>
              <w:rPr>
                <w:rFonts w:ascii="宋体" w:hAnsi="宋体" w:cs="宋体"/>
                <w:highlight w:val="none"/>
              </w:rPr>
            </w:pPr>
            <w:r>
              <w:rPr>
                <w:rFonts w:hint="eastAsia" w:ascii="宋体" w:hAnsi="宋体" w:cs="宋体"/>
                <w:highlight w:val="none"/>
              </w:rPr>
              <w:t>工作年限</w:t>
            </w:r>
          </w:p>
        </w:tc>
        <w:tc>
          <w:tcPr>
            <w:tcW w:w="1410" w:type="dxa"/>
            <w:vAlign w:val="center"/>
          </w:tcPr>
          <w:p>
            <w:pPr>
              <w:jc w:val="center"/>
              <w:rPr>
                <w:rFonts w:ascii="宋体" w:hAnsi="宋体" w:cs="宋体"/>
                <w:highlight w:val="none"/>
              </w:rPr>
            </w:pPr>
            <w:r>
              <w:rPr>
                <w:rFonts w:hint="eastAsia" w:ascii="宋体" w:hAnsi="宋体" w:cs="宋体"/>
                <w:highlight w:val="none"/>
              </w:rPr>
              <w:t>资质证书</w:t>
            </w:r>
          </w:p>
        </w:tc>
        <w:tc>
          <w:tcPr>
            <w:tcW w:w="1410" w:type="dxa"/>
            <w:vAlign w:val="center"/>
          </w:tcPr>
          <w:p>
            <w:pPr>
              <w:jc w:val="center"/>
              <w:rPr>
                <w:rFonts w:ascii="宋体" w:hAnsi="宋体" w:cs="宋体"/>
                <w:highlight w:val="none"/>
              </w:rPr>
            </w:pPr>
            <w:r>
              <w:rPr>
                <w:rFonts w:hint="eastAsia" w:ascii="宋体" w:hAnsi="宋体" w:cs="宋体"/>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r>
              <w:rPr>
                <w:rFonts w:hint="eastAsia" w:ascii="宋体" w:hAnsi="宋体" w:cs="宋体"/>
                <w:highlight w:val="none"/>
              </w:rPr>
              <w:t>1</w:t>
            </w:r>
          </w:p>
        </w:tc>
        <w:tc>
          <w:tcPr>
            <w:tcW w:w="1069" w:type="dxa"/>
            <w:vAlign w:val="center"/>
          </w:tcPr>
          <w:p>
            <w:pPr>
              <w:jc w:val="center"/>
              <w:rPr>
                <w:rFonts w:ascii="宋体" w:hAnsi="宋体" w:cs="宋体"/>
                <w:highlight w:val="none"/>
              </w:rPr>
            </w:pPr>
          </w:p>
        </w:tc>
        <w:tc>
          <w:tcPr>
            <w:tcW w:w="1555" w:type="dxa"/>
            <w:vAlign w:val="center"/>
          </w:tcPr>
          <w:p>
            <w:pPr>
              <w:jc w:val="center"/>
              <w:rPr>
                <w:rFonts w:ascii="宋体" w:hAnsi="宋体" w:cs="宋体"/>
                <w:highlight w:val="none"/>
              </w:rPr>
            </w:pPr>
          </w:p>
        </w:tc>
        <w:tc>
          <w:tcPr>
            <w:tcW w:w="1503" w:type="dxa"/>
            <w:vAlign w:val="center"/>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r>
              <w:rPr>
                <w:rFonts w:hint="eastAsia" w:ascii="宋体" w:hAnsi="宋体" w:cs="宋体"/>
                <w:highlight w:val="none"/>
              </w:rPr>
              <w:t>2</w:t>
            </w: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r>
              <w:rPr>
                <w:rFonts w:hint="eastAsia" w:ascii="宋体" w:hAnsi="宋体" w:cs="宋体"/>
                <w:highlight w:val="none"/>
              </w:rPr>
              <w:t>3</w:t>
            </w: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r>
              <w:rPr>
                <w:rFonts w:hint="eastAsia" w:ascii="宋体" w:hAnsi="宋体" w:cs="宋体"/>
                <w:highlight w:val="none"/>
              </w:rPr>
              <w:t>...</w:t>
            </w: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37" w:type="dxa"/>
            <w:vAlign w:val="center"/>
          </w:tcPr>
          <w:p>
            <w:pPr>
              <w:jc w:val="center"/>
              <w:rPr>
                <w:rFonts w:ascii="宋体" w:hAnsi="宋体" w:cs="宋体"/>
                <w:highlight w:val="none"/>
              </w:rPr>
            </w:pP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937" w:type="dxa"/>
            <w:vAlign w:val="center"/>
          </w:tcPr>
          <w:p>
            <w:pPr>
              <w:jc w:val="center"/>
              <w:rPr>
                <w:rFonts w:ascii="宋体" w:hAnsi="宋体" w:cs="宋体"/>
                <w:highlight w:val="none"/>
              </w:rPr>
            </w:pPr>
          </w:p>
        </w:tc>
        <w:tc>
          <w:tcPr>
            <w:tcW w:w="1069" w:type="dxa"/>
            <w:vAlign w:val="center"/>
          </w:tcPr>
          <w:p>
            <w:pPr>
              <w:jc w:val="center"/>
              <w:rPr>
                <w:rFonts w:ascii="宋体" w:hAnsi="宋体" w:cs="宋体"/>
                <w:highlight w:val="none"/>
              </w:rPr>
            </w:pPr>
          </w:p>
        </w:tc>
        <w:tc>
          <w:tcPr>
            <w:tcW w:w="1555" w:type="dxa"/>
          </w:tcPr>
          <w:p>
            <w:pPr>
              <w:jc w:val="center"/>
              <w:rPr>
                <w:rFonts w:ascii="宋体" w:hAnsi="宋体" w:cs="宋体"/>
                <w:highlight w:val="none"/>
              </w:rPr>
            </w:pPr>
          </w:p>
        </w:tc>
        <w:tc>
          <w:tcPr>
            <w:tcW w:w="1503" w:type="dxa"/>
          </w:tcPr>
          <w:p>
            <w:pPr>
              <w:jc w:val="center"/>
              <w:rPr>
                <w:rFonts w:ascii="宋体" w:hAnsi="宋体" w:cs="宋体"/>
                <w:highlight w:val="none"/>
              </w:rPr>
            </w:pPr>
          </w:p>
        </w:tc>
        <w:tc>
          <w:tcPr>
            <w:tcW w:w="148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c>
          <w:tcPr>
            <w:tcW w:w="1410" w:type="dxa"/>
            <w:vAlign w:val="center"/>
          </w:tcPr>
          <w:p>
            <w:pPr>
              <w:jc w:val="center"/>
              <w:rPr>
                <w:rFonts w:ascii="宋体" w:hAnsi="宋体" w:cs="宋体"/>
                <w:highlight w:val="none"/>
              </w:rPr>
            </w:pPr>
          </w:p>
        </w:tc>
      </w:tr>
    </w:tbl>
    <w:p>
      <w:pPr>
        <w:ind w:firstLine="480" w:firstLineChars="200"/>
        <w:rPr>
          <w:rFonts w:ascii="宋体" w:hAnsi="宋体" w:cs="宋体"/>
          <w:sz w:val="24"/>
          <w:highlight w:val="none"/>
        </w:rPr>
      </w:pPr>
    </w:p>
    <w:p>
      <w:pPr>
        <w:ind w:firstLine="480" w:firstLineChars="200"/>
        <w:rPr>
          <w:rFonts w:ascii="宋体" w:hAnsi="宋体" w:cs="宋体"/>
          <w:sz w:val="24"/>
          <w:highlight w:val="none"/>
        </w:rPr>
      </w:pPr>
      <w:r>
        <w:rPr>
          <w:rFonts w:hint="eastAsia" w:ascii="宋体" w:hAnsi="宋体" w:cs="宋体"/>
          <w:sz w:val="24"/>
          <w:highlight w:val="none"/>
        </w:rPr>
        <w:t>备注：</w:t>
      </w:r>
      <w:bookmarkEnd w:id="959"/>
      <w:bookmarkEnd w:id="960"/>
      <w:bookmarkEnd w:id="961"/>
    </w:p>
    <w:p>
      <w:pPr>
        <w:ind w:firstLine="480" w:firstLineChars="200"/>
        <w:rPr>
          <w:rFonts w:ascii="宋体" w:hAnsi="宋体" w:cs="宋体"/>
          <w:sz w:val="24"/>
          <w:highlight w:val="none"/>
        </w:rPr>
      </w:pPr>
      <w:r>
        <w:rPr>
          <w:rFonts w:hint="eastAsia" w:ascii="宋体" w:hAnsi="宋体" w:cs="宋体"/>
          <w:sz w:val="24"/>
          <w:highlight w:val="none"/>
        </w:rPr>
        <w:t>1、在填写时，如本表格不够可按相同格式自行增加。</w:t>
      </w:r>
    </w:p>
    <w:p>
      <w:pPr>
        <w:ind w:firstLine="480" w:firstLineChars="200"/>
        <w:rPr>
          <w:rFonts w:ascii="宋体" w:hAnsi="宋体" w:cs="宋体"/>
          <w:sz w:val="24"/>
          <w:highlight w:val="none"/>
        </w:rPr>
      </w:pPr>
      <w:r>
        <w:rPr>
          <w:rFonts w:hint="eastAsia" w:ascii="宋体" w:hAnsi="宋体" w:cs="宋体"/>
          <w:sz w:val="24"/>
          <w:highlight w:val="none"/>
        </w:rPr>
        <w:t>2、提供拟派项目组成人员名单，应附相关证明材料。</w:t>
      </w:r>
    </w:p>
    <w:p>
      <w:pPr>
        <w:rPr>
          <w:rFonts w:ascii="宋体" w:hAnsi="宋体" w:cs="宋体"/>
          <w:sz w:val="24"/>
          <w:highlight w:val="none"/>
        </w:rPr>
      </w:pPr>
    </w:p>
    <w:p>
      <w:pPr>
        <w:rPr>
          <w:rFonts w:ascii="宋体" w:hAnsi="宋体" w:cs="宋体"/>
          <w:sz w:val="24"/>
          <w:highlight w:val="none"/>
        </w:rPr>
      </w:pPr>
    </w:p>
    <w:p>
      <w:pPr>
        <w:spacing w:line="480" w:lineRule="auto"/>
        <w:rPr>
          <w:rFonts w:ascii="宋体" w:hAnsi="宋体" w:cs="宋体"/>
          <w:sz w:val="24"/>
          <w:highlight w:val="none"/>
        </w:rPr>
      </w:pPr>
    </w:p>
    <w:p>
      <w:pPr>
        <w:autoSpaceDE w:val="0"/>
        <w:autoSpaceDN w:val="0"/>
        <w:adjustRightInd w:val="0"/>
        <w:snapToGrid w:val="0"/>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：____________</w:t>
      </w:r>
    </w:p>
    <w:p>
      <w:pPr>
        <w:autoSpaceDE w:val="0"/>
        <w:autoSpaceDN w:val="0"/>
        <w:adjustRightInd w:val="0"/>
        <w:snapToGrid w:val="0"/>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p>
    <w:p>
      <w:pPr>
        <w:autoSpaceDE w:val="0"/>
        <w:autoSpaceDN w:val="0"/>
        <w:adjustRightInd w:val="0"/>
        <w:snapToGrid w:val="0"/>
        <w:spacing w:before="25" w:after="25"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 </w:t>
      </w:r>
    </w:p>
    <w:p>
      <w:pPr>
        <w:spacing w:line="480" w:lineRule="auto"/>
        <w:rPr>
          <w:rFonts w:ascii="宋体" w:hAnsi="宋体" w:cs="宋体"/>
          <w:sz w:val="24"/>
          <w:highlight w:val="none"/>
        </w:rPr>
        <w:sectPr>
          <w:headerReference r:id="rId32" w:type="first"/>
          <w:pgSz w:w="11906" w:h="16838"/>
          <w:pgMar w:top="1418" w:right="1418" w:bottom="1418" w:left="1418" w:header="851" w:footer="992" w:gutter="0"/>
          <w:cols w:space="720" w:num="1"/>
          <w:docGrid w:linePitch="312" w:charSpace="0"/>
        </w:sectPr>
      </w:pPr>
    </w:p>
    <w:bookmarkEnd w:id="956"/>
    <w:p>
      <w:pPr>
        <w:spacing w:line="408" w:lineRule="auto"/>
        <w:jc w:val="center"/>
        <w:outlineLvl w:val="1"/>
        <w:rPr>
          <w:rFonts w:ascii="宋体" w:hAnsi="宋体" w:cs="宋体"/>
          <w:b/>
          <w:sz w:val="24"/>
          <w:highlight w:val="none"/>
        </w:rPr>
      </w:pPr>
      <w:bookmarkStart w:id="962" w:name="_Toc201995952"/>
      <w:bookmarkStart w:id="963" w:name="_Toc20201"/>
      <w:bookmarkStart w:id="964" w:name="_Toc182802966"/>
      <w:bookmarkStart w:id="965" w:name="_Toc194888463"/>
      <w:bookmarkStart w:id="966" w:name="_Toc205612713"/>
      <w:bookmarkStart w:id="967" w:name="_Toc883"/>
      <w:bookmarkStart w:id="968" w:name="_Toc54885221"/>
      <w:bookmarkStart w:id="969" w:name="_Toc32356"/>
      <w:bookmarkStart w:id="970" w:name="_Toc4084"/>
      <w:bookmarkStart w:id="971" w:name="_Toc202069430"/>
      <w:bookmarkStart w:id="972" w:name="_Toc287280329"/>
      <w:bookmarkStart w:id="973" w:name="_Toc194883189"/>
      <w:bookmarkStart w:id="974" w:name="_Toc205612642"/>
      <w:bookmarkStart w:id="975" w:name="_Toc373513395"/>
      <w:bookmarkStart w:id="976" w:name="_Toc287280580"/>
      <w:r>
        <w:rPr>
          <w:rFonts w:hint="eastAsia" w:ascii="宋体" w:hAnsi="宋体" w:cs="宋体"/>
          <w:b/>
          <w:sz w:val="24"/>
          <w:highlight w:val="none"/>
        </w:rPr>
        <w:t>7-</w:t>
      </w:r>
      <w:r>
        <w:rPr>
          <w:rFonts w:hint="eastAsia" w:ascii="宋体" w:hAnsi="宋体" w:cs="宋体"/>
          <w:b/>
          <w:sz w:val="24"/>
          <w:highlight w:val="none"/>
          <w:lang w:val="en-US" w:eastAsia="zh-CN"/>
        </w:rPr>
        <w:t>2</w:t>
      </w:r>
      <w:r>
        <w:rPr>
          <w:rFonts w:hint="eastAsia" w:ascii="宋体" w:hAnsi="宋体" w:cs="宋体"/>
          <w:b/>
          <w:sz w:val="24"/>
          <w:highlight w:val="none"/>
        </w:rPr>
        <w:t>投标人运营管理业绩业绩</w:t>
      </w:r>
    </w:p>
    <w:p>
      <w:pPr>
        <w:spacing w:line="500" w:lineRule="exact"/>
        <w:ind w:left="418" w:leftChars="199" w:firstLine="69" w:firstLineChars="29"/>
        <w:rPr>
          <w:rFonts w:ascii="宋体" w:hAnsi="宋体" w:cs="宋体"/>
          <w:sz w:val="24"/>
          <w:highlight w:val="none"/>
        </w:rPr>
      </w:pPr>
      <w:r>
        <w:rPr>
          <w:rFonts w:hint="eastAsia" w:ascii="宋体" w:hAnsi="宋体" w:cs="宋体"/>
          <w:sz w:val="24"/>
          <w:highlight w:val="none"/>
        </w:rPr>
        <w:t>项目编号：_____________________            项目名称：____________</w:t>
      </w:r>
    </w:p>
    <w:tbl>
      <w:tblPr>
        <w:tblStyle w:val="45"/>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389"/>
        <w:gridCol w:w="2675"/>
        <w:gridCol w:w="1294"/>
        <w:gridCol w:w="1573"/>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序号</w:t>
            </w:r>
          </w:p>
        </w:tc>
        <w:tc>
          <w:tcPr>
            <w:tcW w:w="1389" w:type="dxa"/>
            <w:vAlign w:val="center"/>
          </w:tcPr>
          <w:p>
            <w:pPr>
              <w:jc w:val="center"/>
              <w:rPr>
                <w:rFonts w:ascii="宋体" w:hAnsi="宋体" w:cs="宋体"/>
                <w:sz w:val="24"/>
                <w:highlight w:val="none"/>
              </w:rPr>
            </w:pPr>
            <w:r>
              <w:rPr>
                <w:rFonts w:hint="eastAsia" w:ascii="宋体" w:hAnsi="宋体" w:cs="宋体"/>
                <w:sz w:val="24"/>
                <w:highlight w:val="none"/>
              </w:rPr>
              <w:t>项目业主</w:t>
            </w:r>
          </w:p>
        </w:tc>
        <w:tc>
          <w:tcPr>
            <w:tcW w:w="2675" w:type="dxa"/>
            <w:vAlign w:val="center"/>
          </w:tcPr>
          <w:p>
            <w:pPr>
              <w:jc w:val="center"/>
              <w:rPr>
                <w:rFonts w:ascii="宋体" w:hAnsi="宋体" w:cs="宋体"/>
                <w:sz w:val="24"/>
                <w:highlight w:val="none"/>
              </w:rPr>
            </w:pPr>
            <w:r>
              <w:rPr>
                <w:rFonts w:hint="eastAsia" w:ascii="宋体" w:hAnsi="宋体" w:cs="宋体"/>
                <w:sz w:val="24"/>
                <w:highlight w:val="none"/>
              </w:rPr>
              <w:t>项目名称</w:t>
            </w:r>
          </w:p>
        </w:tc>
        <w:tc>
          <w:tcPr>
            <w:tcW w:w="1294" w:type="dxa"/>
            <w:vAlign w:val="center"/>
          </w:tcPr>
          <w:p>
            <w:pPr>
              <w:jc w:val="center"/>
              <w:rPr>
                <w:rFonts w:ascii="宋体" w:hAnsi="宋体" w:cs="宋体"/>
                <w:sz w:val="24"/>
                <w:highlight w:val="none"/>
              </w:rPr>
            </w:pPr>
            <w:r>
              <w:rPr>
                <w:rFonts w:hint="eastAsia" w:ascii="宋体" w:hAnsi="宋体" w:cs="宋体"/>
                <w:sz w:val="24"/>
                <w:highlight w:val="none"/>
              </w:rPr>
              <w:t>项目规模（座位）</w:t>
            </w:r>
          </w:p>
        </w:tc>
        <w:tc>
          <w:tcPr>
            <w:tcW w:w="1573" w:type="dxa"/>
            <w:vAlign w:val="center"/>
          </w:tcPr>
          <w:p>
            <w:pPr>
              <w:jc w:val="center"/>
              <w:rPr>
                <w:rFonts w:ascii="宋体" w:hAnsi="宋体" w:cs="宋体"/>
                <w:sz w:val="24"/>
                <w:highlight w:val="none"/>
              </w:rPr>
            </w:pPr>
            <w:r>
              <w:rPr>
                <w:rFonts w:hint="eastAsia" w:ascii="宋体" w:hAnsi="宋体" w:cs="宋体"/>
                <w:sz w:val="24"/>
                <w:highlight w:val="none"/>
              </w:rPr>
              <w:t>合同签订时间</w:t>
            </w:r>
          </w:p>
        </w:tc>
        <w:tc>
          <w:tcPr>
            <w:tcW w:w="1417" w:type="dxa"/>
            <w:vAlign w:val="center"/>
          </w:tcPr>
          <w:p>
            <w:pPr>
              <w:jc w:val="center"/>
              <w:rPr>
                <w:rFonts w:ascii="宋体" w:hAnsi="宋体" w:cs="宋体"/>
                <w:sz w:val="24"/>
                <w:highlight w:val="none"/>
              </w:rPr>
            </w:pPr>
            <w:r>
              <w:rPr>
                <w:rFonts w:hint="eastAsia" w:ascii="宋体" w:hAnsi="宋体" w:cs="宋体"/>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2</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3</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4</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5</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6</w:t>
            </w:r>
          </w:p>
        </w:tc>
        <w:tc>
          <w:tcPr>
            <w:tcW w:w="1389" w:type="dxa"/>
          </w:tcPr>
          <w:p>
            <w:pPr>
              <w:rPr>
                <w:rFonts w:ascii="宋体" w:hAnsi="宋体" w:cs="宋体"/>
                <w:sz w:val="24"/>
                <w:highlight w:val="none"/>
              </w:rPr>
            </w:pPr>
          </w:p>
        </w:tc>
        <w:tc>
          <w:tcPr>
            <w:tcW w:w="2675" w:type="dxa"/>
          </w:tcPr>
          <w:p>
            <w:pPr>
              <w:rPr>
                <w:rFonts w:ascii="宋体" w:hAnsi="宋体" w:cs="宋体"/>
                <w:sz w:val="24"/>
                <w:highlight w:val="none"/>
              </w:rPr>
            </w:pPr>
          </w:p>
        </w:tc>
        <w:tc>
          <w:tcPr>
            <w:tcW w:w="1294" w:type="dxa"/>
          </w:tcPr>
          <w:p>
            <w:pPr>
              <w:rPr>
                <w:rFonts w:ascii="宋体" w:hAnsi="宋体" w:cs="宋体"/>
                <w:sz w:val="24"/>
                <w:highlight w:val="none"/>
              </w:rPr>
            </w:pPr>
          </w:p>
        </w:tc>
        <w:tc>
          <w:tcPr>
            <w:tcW w:w="1573" w:type="dxa"/>
          </w:tcPr>
          <w:p>
            <w:pPr>
              <w:rPr>
                <w:rFonts w:ascii="宋体" w:hAnsi="宋体" w:cs="宋体"/>
                <w:sz w:val="24"/>
                <w:highlight w:val="none"/>
              </w:rPr>
            </w:pPr>
          </w:p>
        </w:tc>
        <w:tc>
          <w:tcPr>
            <w:tcW w:w="1417" w:type="dxa"/>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tbl>
    <w:p>
      <w:pPr>
        <w:adjustRightInd w:val="0"/>
        <w:snapToGrid w:val="0"/>
        <w:spacing w:line="360" w:lineRule="auto"/>
        <w:rPr>
          <w:rFonts w:ascii="宋体" w:hAnsi="宋体" w:cs="宋体"/>
          <w:b/>
          <w:sz w:val="24"/>
          <w:highlight w:val="none"/>
        </w:rPr>
      </w:pPr>
      <w:r>
        <w:rPr>
          <w:rFonts w:hint="eastAsia" w:ascii="宋体" w:hAnsi="宋体" w:cs="宋体"/>
          <w:b/>
          <w:sz w:val="24"/>
          <w:highlight w:val="none"/>
        </w:rPr>
        <w:t>注：</w:t>
      </w:r>
    </w:p>
    <w:p>
      <w:pPr>
        <w:adjustRightInd w:val="0"/>
        <w:snapToGrid w:val="0"/>
        <w:spacing w:line="360" w:lineRule="auto"/>
        <w:rPr>
          <w:rFonts w:ascii="宋体" w:hAnsi="宋体" w:cs="宋体"/>
          <w:b/>
          <w:sz w:val="24"/>
          <w:highlight w:val="none"/>
        </w:rPr>
      </w:pPr>
      <w:r>
        <w:rPr>
          <w:rFonts w:hint="eastAsia" w:ascii="宋体" w:hAnsi="宋体" w:cs="宋体"/>
          <w:b/>
          <w:sz w:val="24"/>
          <w:highlight w:val="none"/>
        </w:rPr>
        <w:t>1、投标人近五年（2019年1月1日至今）承担的类似项目业绩，需提供合同关键页(至少包括合同首页、采购内容页、金额页、双方盖章页)及相关证明资料电子件并加盖公章。</w:t>
      </w:r>
    </w:p>
    <w:p>
      <w:pPr>
        <w:adjustRightInd w:val="0"/>
        <w:snapToGrid w:val="0"/>
        <w:spacing w:line="360" w:lineRule="auto"/>
        <w:rPr>
          <w:rFonts w:ascii="宋体" w:hAnsi="宋体" w:cs="宋体"/>
          <w:b/>
          <w:sz w:val="24"/>
          <w:highlight w:val="none"/>
        </w:rPr>
      </w:pPr>
      <w:r>
        <w:rPr>
          <w:rFonts w:hint="eastAsia" w:ascii="宋体" w:hAnsi="宋体" w:cs="宋体"/>
          <w:b/>
          <w:sz w:val="24"/>
          <w:highlight w:val="none"/>
        </w:rPr>
        <w:t>2、评标时如有必要，评标委员会将对此表进行信息核实，如提供虚假材料，有可能导致废标。</w:t>
      </w:r>
    </w:p>
    <w:p>
      <w:pPr>
        <w:spacing w:line="440" w:lineRule="exact"/>
        <w:rPr>
          <w:rFonts w:ascii="宋体" w:hAnsi="宋体" w:cs="宋体"/>
          <w:b/>
          <w:sz w:val="24"/>
          <w:highlight w:val="none"/>
        </w:rPr>
      </w:pPr>
    </w:p>
    <w:p>
      <w:pPr>
        <w:spacing w:line="440" w:lineRule="exact"/>
        <w:rPr>
          <w:rFonts w:ascii="宋体" w:hAnsi="宋体" w:cs="宋体"/>
          <w:b/>
          <w:sz w:val="24"/>
          <w:highlight w:val="none"/>
        </w:rPr>
      </w:pP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 ____________</w:t>
      </w: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p>
    <w:p>
      <w:pPr>
        <w:pStyle w:val="43"/>
        <w:ind w:firstLine="0" w:firstLineChars="0"/>
        <w:rPr>
          <w:rFonts w:ascii="宋体" w:hAnsi="宋体" w:cs="宋体"/>
          <w:sz w:val="24"/>
          <w:highlight w:val="none"/>
        </w:rPr>
        <w:sectPr>
          <w:pgSz w:w="11907" w:h="16840"/>
          <w:pgMar w:top="1418" w:right="1134" w:bottom="1418" w:left="1701" w:header="851" w:footer="851" w:gutter="0"/>
          <w:cols w:space="720" w:num="1"/>
          <w:docGrid w:linePitch="462" w:charSpace="0"/>
        </w:sectPr>
      </w:pPr>
    </w:p>
    <w:p>
      <w:pPr>
        <w:spacing w:line="408" w:lineRule="auto"/>
        <w:jc w:val="center"/>
        <w:outlineLvl w:val="1"/>
        <w:rPr>
          <w:rFonts w:ascii="宋体" w:hAnsi="宋体" w:cs="宋体"/>
          <w:b/>
          <w:sz w:val="24"/>
          <w:highlight w:val="none"/>
        </w:rPr>
      </w:pPr>
      <w:r>
        <w:rPr>
          <w:rFonts w:hint="eastAsia" w:ascii="宋体" w:hAnsi="宋体" w:cs="宋体"/>
          <w:b/>
          <w:sz w:val="24"/>
          <w:highlight w:val="none"/>
        </w:rPr>
        <w:t>7-</w:t>
      </w:r>
      <w:r>
        <w:rPr>
          <w:rFonts w:hint="eastAsia" w:ascii="宋体" w:hAnsi="宋体" w:cs="宋体"/>
          <w:b/>
          <w:sz w:val="24"/>
          <w:highlight w:val="none"/>
          <w:lang w:val="en-US" w:eastAsia="zh-CN"/>
        </w:rPr>
        <w:t>3</w:t>
      </w:r>
      <w:r>
        <w:rPr>
          <w:rFonts w:hint="eastAsia" w:ascii="宋体" w:hAnsi="宋体" w:cs="宋体"/>
          <w:b/>
          <w:sz w:val="24"/>
          <w:highlight w:val="none"/>
        </w:rPr>
        <w:t>投标人建设咨询业绩</w:t>
      </w:r>
    </w:p>
    <w:p>
      <w:pPr>
        <w:spacing w:line="500" w:lineRule="exact"/>
        <w:ind w:left="418" w:leftChars="199" w:firstLine="69" w:firstLineChars="29"/>
        <w:rPr>
          <w:rFonts w:ascii="宋体" w:hAnsi="宋体" w:cs="宋体"/>
          <w:sz w:val="24"/>
          <w:highlight w:val="none"/>
        </w:rPr>
      </w:pPr>
      <w:r>
        <w:rPr>
          <w:rFonts w:hint="eastAsia" w:ascii="宋体" w:hAnsi="宋体" w:cs="宋体"/>
          <w:sz w:val="24"/>
          <w:highlight w:val="none"/>
        </w:rPr>
        <w:t>项目编号：_____________________            项目名称：____________</w:t>
      </w:r>
    </w:p>
    <w:tbl>
      <w:tblPr>
        <w:tblStyle w:val="45"/>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389"/>
        <w:gridCol w:w="2675"/>
        <w:gridCol w:w="1294"/>
        <w:gridCol w:w="1573"/>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序号</w:t>
            </w:r>
          </w:p>
        </w:tc>
        <w:tc>
          <w:tcPr>
            <w:tcW w:w="1389" w:type="dxa"/>
            <w:vAlign w:val="center"/>
          </w:tcPr>
          <w:p>
            <w:pPr>
              <w:jc w:val="center"/>
              <w:rPr>
                <w:rFonts w:ascii="宋体" w:hAnsi="宋体" w:cs="宋体"/>
                <w:sz w:val="24"/>
                <w:highlight w:val="none"/>
              </w:rPr>
            </w:pPr>
            <w:r>
              <w:rPr>
                <w:rFonts w:hint="eastAsia" w:ascii="宋体" w:hAnsi="宋体" w:cs="宋体"/>
                <w:sz w:val="24"/>
                <w:highlight w:val="none"/>
              </w:rPr>
              <w:t>项目业主</w:t>
            </w:r>
          </w:p>
        </w:tc>
        <w:tc>
          <w:tcPr>
            <w:tcW w:w="2675" w:type="dxa"/>
            <w:vAlign w:val="center"/>
          </w:tcPr>
          <w:p>
            <w:pPr>
              <w:jc w:val="center"/>
              <w:rPr>
                <w:rFonts w:ascii="宋体" w:hAnsi="宋体" w:cs="宋体"/>
                <w:sz w:val="24"/>
                <w:highlight w:val="none"/>
              </w:rPr>
            </w:pPr>
            <w:r>
              <w:rPr>
                <w:rFonts w:hint="eastAsia" w:ascii="宋体" w:hAnsi="宋体" w:cs="宋体"/>
                <w:sz w:val="24"/>
                <w:highlight w:val="none"/>
              </w:rPr>
              <w:t>项目名称</w:t>
            </w:r>
          </w:p>
        </w:tc>
        <w:tc>
          <w:tcPr>
            <w:tcW w:w="1294" w:type="dxa"/>
            <w:vAlign w:val="center"/>
          </w:tcPr>
          <w:p>
            <w:pPr>
              <w:jc w:val="center"/>
              <w:rPr>
                <w:rFonts w:ascii="宋体" w:hAnsi="宋体" w:cs="宋体"/>
                <w:sz w:val="24"/>
                <w:highlight w:val="none"/>
              </w:rPr>
            </w:pPr>
            <w:r>
              <w:rPr>
                <w:rFonts w:hint="eastAsia" w:ascii="宋体" w:hAnsi="宋体" w:cs="宋体"/>
                <w:sz w:val="24"/>
                <w:highlight w:val="none"/>
              </w:rPr>
              <w:t>项目规模</w:t>
            </w:r>
          </w:p>
          <w:p>
            <w:pPr>
              <w:jc w:val="center"/>
              <w:rPr>
                <w:rFonts w:ascii="宋体" w:hAnsi="宋体" w:cs="宋体"/>
                <w:sz w:val="24"/>
                <w:highlight w:val="none"/>
              </w:rPr>
            </w:pPr>
            <w:r>
              <w:rPr>
                <w:rFonts w:hint="eastAsia" w:ascii="宋体" w:hAnsi="宋体" w:cs="宋体"/>
                <w:sz w:val="24"/>
                <w:highlight w:val="none"/>
              </w:rPr>
              <w:t>（座位）</w:t>
            </w:r>
          </w:p>
        </w:tc>
        <w:tc>
          <w:tcPr>
            <w:tcW w:w="1573" w:type="dxa"/>
            <w:vAlign w:val="center"/>
          </w:tcPr>
          <w:p>
            <w:pPr>
              <w:jc w:val="center"/>
              <w:rPr>
                <w:rFonts w:ascii="宋体" w:hAnsi="宋体" w:cs="宋体"/>
                <w:sz w:val="24"/>
                <w:highlight w:val="none"/>
              </w:rPr>
            </w:pPr>
            <w:r>
              <w:rPr>
                <w:rFonts w:hint="eastAsia" w:ascii="宋体" w:hAnsi="宋体" w:cs="宋体"/>
                <w:sz w:val="24"/>
                <w:highlight w:val="none"/>
              </w:rPr>
              <w:t>合同签订时间</w:t>
            </w:r>
          </w:p>
        </w:tc>
        <w:tc>
          <w:tcPr>
            <w:tcW w:w="1417" w:type="dxa"/>
            <w:vAlign w:val="center"/>
          </w:tcPr>
          <w:p>
            <w:pPr>
              <w:jc w:val="center"/>
              <w:rPr>
                <w:rFonts w:ascii="宋体" w:hAnsi="宋体" w:cs="宋体"/>
                <w:sz w:val="24"/>
                <w:highlight w:val="none"/>
              </w:rPr>
            </w:pPr>
            <w:r>
              <w:rPr>
                <w:rFonts w:hint="eastAsia" w:ascii="宋体" w:hAnsi="宋体" w:cs="宋体"/>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2</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3</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4</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5</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6</w:t>
            </w:r>
          </w:p>
        </w:tc>
        <w:tc>
          <w:tcPr>
            <w:tcW w:w="1389" w:type="dxa"/>
          </w:tcPr>
          <w:p>
            <w:pPr>
              <w:rPr>
                <w:rFonts w:ascii="宋体" w:hAnsi="宋体" w:cs="宋体"/>
                <w:sz w:val="24"/>
                <w:highlight w:val="none"/>
              </w:rPr>
            </w:pPr>
          </w:p>
        </w:tc>
        <w:tc>
          <w:tcPr>
            <w:tcW w:w="2675" w:type="dxa"/>
          </w:tcPr>
          <w:p>
            <w:pPr>
              <w:rPr>
                <w:rFonts w:ascii="宋体" w:hAnsi="宋体" w:cs="宋体"/>
                <w:sz w:val="24"/>
                <w:highlight w:val="none"/>
              </w:rPr>
            </w:pPr>
          </w:p>
        </w:tc>
        <w:tc>
          <w:tcPr>
            <w:tcW w:w="1294" w:type="dxa"/>
          </w:tcPr>
          <w:p>
            <w:pPr>
              <w:rPr>
                <w:rFonts w:ascii="宋体" w:hAnsi="宋体" w:cs="宋体"/>
                <w:sz w:val="24"/>
                <w:highlight w:val="none"/>
              </w:rPr>
            </w:pPr>
          </w:p>
        </w:tc>
        <w:tc>
          <w:tcPr>
            <w:tcW w:w="1573" w:type="dxa"/>
          </w:tcPr>
          <w:p>
            <w:pPr>
              <w:rPr>
                <w:rFonts w:ascii="宋体" w:hAnsi="宋体" w:cs="宋体"/>
                <w:sz w:val="24"/>
                <w:highlight w:val="none"/>
              </w:rPr>
            </w:pPr>
          </w:p>
        </w:tc>
        <w:tc>
          <w:tcPr>
            <w:tcW w:w="1417" w:type="dxa"/>
          </w:tcPr>
          <w:p>
            <w:pP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51" w:type="dxa"/>
            <w:vAlign w:val="center"/>
          </w:tcPr>
          <w:p>
            <w:pPr>
              <w:jc w:val="center"/>
              <w:rPr>
                <w:rFonts w:ascii="宋体" w:hAnsi="宋体" w:cs="宋体"/>
                <w:sz w:val="24"/>
                <w:highlight w:val="none"/>
              </w:rPr>
            </w:pPr>
            <w:r>
              <w:rPr>
                <w:rFonts w:hint="eastAsia" w:ascii="宋体" w:hAnsi="宋体" w:cs="宋体"/>
                <w:sz w:val="24"/>
                <w:highlight w:val="none"/>
              </w:rPr>
              <w:t>...</w:t>
            </w:r>
          </w:p>
        </w:tc>
        <w:tc>
          <w:tcPr>
            <w:tcW w:w="1389" w:type="dxa"/>
            <w:vAlign w:val="center"/>
          </w:tcPr>
          <w:p>
            <w:pPr>
              <w:rPr>
                <w:rFonts w:ascii="宋体" w:hAnsi="宋体" w:cs="宋体"/>
                <w:sz w:val="24"/>
                <w:highlight w:val="none"/>
              </w:rPr>
            </w:pPr>
          </w:p>
        </w:tc>
        <w:tc>
          <w:tcPr>
            <w:tcW w:w="2675" w:type="dxa"/>
            <w:vAlign w:val="center"/>
          </w:tcPr>
          <w:p>
            <w:pPr>
              <w:rPr>
                <w:rFonts w:ascii="宋体" w:hAnsi="宋体" w:cs="宋体"/>
                <w:sz w:val="24"/>
                <w:highlight w:val="none"/>
              </w:rPr>
            </w:pPr>
          </w:p>
        </w:tc>
        <w:tc>
          <w:tcPr>
            <w:tcW w:w="1294" w:type="dxa"/>
            <w:vAlign w:val="center"/>
          </w:tcPr>
          <w:p>
            <w:pPr>
              <w:rPr>
                <w:rFonts w:ascii="宋体" w:hAnsi="宋体" w:cs="宋体"/>
                <w:sz w:val="24"/>
                <w:highlight w:val="none"/>
              </w:rPr>
            </w:pPr>
          </w:p>
        </w:tc>
        <w:tc>
          <w:tcPr>
            <w:tcW w:w="1573" w:type="dxa"/>
            <w:vAlign w:val="center"/>
          </w:tcPr>
          <w:p>
            <w:pPr>
              <w:rPr>
                <w:rFonts w:ascii="宋体" w:hAnsi="宋体" w:cs="宋体"/>
                <w:sz w:val="24"/>
                <w:highlight w:val="none"/>
              </w:rPr>
            </w:pPr>
          </w:p>
        </w:tc>
        <w:tc>
          <w:tcPr>
            <w:tcW w:w="1417" w:type="dxa"/>
            <w:vAlign w:val="center"/>
          </w:tcPr>
          <w:p>
            <w:pPr>
              <w:rPr>
                <w:rFonts w:ascii="宋体" w:hAnsi="宋体" w:cs="宋体"/>
                <w:sz w:val="24"/>
                <w:highlight w:val="none"/>
              </w:rPr>
            </w:pPr>
          </w:p>
        </w:tc>
      </w:tr>
    </w:tbl>
    <w:p>
      <w:pPr>
        <w:adjustRightInd w:val="0"/>
        <w:snapToGrid w:val="0"/>
        <w:spacing w:line="360" w:lineRule="auto"/>
        <w:rPr>
          <w:rFonts w:ascii="宋体" w:hAnsi="宋体" w:cs="宋体"/>
          <w:b/>
          <w:sz w:val="24"/>
          <w:highlight w:val="none"/>
        </w:rPr>
      </w:pPr>
      <w:r>
        <w:rPr>
          <w:rFonts w:hint="eastAsia" w:ascii="宋体" w:hAnsi="宋体" w:cs="宋体"/>
          <w:b/>
          <w:sz w:val="24"/>
          <w:highlight w:val="none"/>
        </w:rPr>
        <w:t>注：</w:t>
      </w:r>
    </w:p>
    <w:p>
      <w:pPr>
        <w:adjustRightInd w:val="0"/>
        <w:snapToGrid w:val="0"/>
        <w:spacing w:line="360" w:lineRule="auto"/>
        <w:rPr>
          <w:rFonts w:ascii="宋体" w:hAnsi="宋体" w:cs="宋体"/>
          <w:b/>
          <w:sz w:val="24"/>
          <w:highlight w:val="none"/>
        </w:rPr>
      </w:pPr>
      <w:r>
        <w:rPr>
          <w:rFonts w:hint="eastAsia" w:ascii="宋体" w:hAnsi="宋体" w:cs="宋体"/>
          <w:b/>
          <w:sz w:val="24"/>
          <w:highlight w:val="none"/>
        </w:rPr>
        <w:t>1、投标人近五年（2019年1月1日至今）承担的类似项目业绩，需提供合同关键页(至少包括合同首页、采购内容页、金额页、双方盖章页) 及相关证明资料电子件并加盖公章。</w:t>
      </w:r>
    </w:p>
    <w:p>
      <w:pPr>
        <w:adjustRightInd w:val="0"/>
        <w:snapToGrid w:val="0"/>
        <w:spacing w:line="360" w:lineRule="auto"/>
        <w:rPr>
          <w:rFonts w:ascii="宋体" w:hAnsi="宋体" w:cs="宋体"/>
          <w:b/>
          <w:sz w:val="24"/>
          <w:highlight w:val="none"/>
        </w:rPr>
      </w:pPr>
      <w:r>
        <w:rPr>
          <w:rFonts w:hint="eastAsia" w:ascii="宋体" w:hAnsi="宋体" w:cs="宋体"/>
          <w:b/>
          <w:sz w:val="24"/>
          <w:highlight w:val="none"/>
        </w:rPr>
        <w:t>2、评标时如有必要，评标委员会将对此表进行信息核实，如提供虚假材料，有可能导致废标。</w:t>
      </w:r>
    </w:p>
    <w:p>
      <w:pPr>
        <w:spacing w:line="440" w:lineRule="exact"/>
        <w:rPr>
          <w:rFonts w:ascii="宋体" w:hAnsi="宋体" w:cs="宋体"/>
          <w:b/>
          <w:sz w:val="24"/>
          <w:highlight w:val="none"/>
        </w:rPr>
      </w:pPr>
    </w:p>
    <w:p>
      <w:pPr>
        <w:spacing w:line="440" w:lineRule="exact"/>
        <w:rPr>
          <w:rFonts w:ascii="宋体" w:hAnsi="宋体" w:cs="宋体"/>
          <w:b/>
          <w:sz w:val="24"/>
          <w:highlight w:val="none"/>
        </w:rPr>
      </w:pP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 ____________</w:t>
      </w:r>
    </w:p>
    <w:p>
      <w:pPr>
        <w:pStyle w:val="43"/>
        <w:ind w:firstLine="0" w:firstLineChars="0"/>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p>
    <w:p>
      <w:pPr>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408" w:lineRule="auto"/>
        <w:jc w:val="center"/>
        <w:outlineLvl w:val="1"/>
        <w:rPr>
          <w:rFonts w:ascii="宋体" w:hAnsi="宋体" w:cs="宋体"/>
          <w:b/>
          <w:sz w:val="24"/>
          <w:highlight w:val="none"/>
        </w:rPr>
      </w:pPr>
      <w:r>
        <w:rPr>
          <w:rFonts w:hint="eastAsia" w:ascii="宋体" w:hAnsi="宋体" w:cs="宋体"/>
          <w:b/>
          <w:sz w:val="24"/>
          <w:highlight w:val="none"/>
        </w:rPr>
        <w:t>7-</w:t>
      </w:r>
      <w:r>
        <w:rPr>
          <w:rFonts w:hint="eastAsia" w:ascii="宋体" w:hAnsi="宋体" w:cs="宋体"/>
          <w:b/>
          <w:sz w:val="24"/>
          <w:highlight w:val="none"/>
          <w:lang w:val="en-US" w:eastAsia="zh-CN"/>
        </w:rPr>
        <w:t>4</w:t>
      </w:r>
      <w:r>
        <w:rPr>
          <w:rFonts w:hint="eastAsia" w:ascii="宋体" w:hAnsi="宋体" w:cs="宋体"/>
          <w:b/>
          <w:sz w:val="24"/>
          <w:highlight w:val="none"/>
        </w:rPr>
        <w:t>原创业绩</w:t>
      </w:r>
    </w:p>
    <w:p>
      <w:pPr>
        <w:spacing w:line="440" w:lineRule="exact"/>
        <w:rPr>
          <w:rFonts w:ascii="宋体" w:hAnsi="宋体" w:cs="宋体"/>
          <w:b/>
          <w:sz w:val="24"/>
          <w:highlight w:val="none"/>
        </w:rPr>
      </w:pPr>
      <w:r>
        <w:rPr>
          <w:rFonts w:hint="eastAsia" w:ascii="宋体" w:hAnsi="宋体" w:cs="宋体"/>
          <w:b/>
          <w:sz w:val="24"/>
          <w:highlight w:val="none"/>
        </w:rPr>
        <w:t>注：投标人应提供有效证明文件（如有关原创剧目合同、获奖证书或文件等能充分说明业绩的证明材料）扫描件，业绩表格格式自拟。</w:t>
      </w:r>
    </w:p>
    <w:p>
      <w:pPr>
        <w:spacing w:line="440" w:lineRule="exact"/>
        <w:rPr>
          <w:rFonts w:ascii="宋体" w:hAnsi="宋体" w:cs="宋体"/>
          <w:b/>
          <w:sz w:val="24"/>
          <w:highlight w:val="none"/>
        </w:rPr>
      </w:pPr>
    </w:p>
    <w:p>
      <w:pPr>
        <w:spacing w:line="440" w:lineRule="exact"/>
        <w:rPr>
          <w:rFonts w:ascii="宋体" w:hAnsi="宋体" w:cs="宋体"/>
          <w:b/>
          <w:sz w:val="24"/>
          <w:highlight w:val="none"/>
        </w:rPr>
      </w:pPr>
    </w:p>
    <w:p>
      <w:pPr>
        <w:spacing w:line="440" w:lineRule="exact"/>
        <w:rPr>
          <w:rFonts w:ascii="宋体" w:hAnsi="宋体" w:cs="宋体"/>
          <w:b/>
          <w:sz w:val="24"/>
          <w:highlight w:val="none"/>
        </w:rPr>
      </w:pPr>
    </w:p>
    <w:p>
      <w:pPr>
        <w:spacing w:line="440" w:lineRule="exact"/>
        <w:rPr>
          <w:rFonts w:ascii="宋体" w:hAnsi="宋体" w:cs="宋体"/>
          <w:b/>
          <w:sz w:val="24"/>
          <w:highlight w:val="none"/>
        </w:rPr>
      </w:pPr>
    </w:p>
    <w:p>
      <w:pPr>
        <w:spacing w:line="440" w:lineRule="exact"/>
        <w:rPr>
          <w:rFonts w:ascii="宋体" w:hAnsi="宋体" w:cs="宋体"/>
          <w:b/>
          <w:sz w:val="24"/>
          <w:highlight w:val="none"/>
        </w:rPr>
      </w:pPr>
    </w:p>
    <w:p>
      <w:pPr>
        <w:autoSpaceDE w:val="0"/>
        <w:autoSpaceDN w:val="0"/>
        <w:adjustRightInd w:val="0"/>
        <w:snapToGrid w:val="0"/>
        <w:spacing w:before="25" w:after="25" w:line="480" w:lineRule="auto"/>
        <w:rPr>
          <w:rFonts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 ____________</w:t>
      </w:r>
    </w:p>
    <w:p>
      <w:pPr>
        <w:pStyle w:val="43"/>
        <w:ind w:firstLine="0" w:firstLineChars="0"/>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p>
    <w:p>
      <w:pPr>
        <w:rPr>
          <w:rFonts w:ascii="宋体" w:hAnsi="宋体" w:cs="宋体"/>
          <w:b/>
          <w:sz w:val="24"/>
          <w:highlight w:val="none"/>
        </w:rPr>
      </w:pPr>
      <w:r>
        <w:rPr>
          <w:rFonts w:hint="eastAsia" w:ascii="宋体" w:hAnsi="宋体" w:cs="宋体"/>
          <w:b/>
          <w:sz w:val="24"/>
          <w:highlight w:val="none"/>
        </w:rPr>
        <w:br w:type="page"/>
      </w:r>
    </w:p>
    <w:p>
      <w:pPr>
        <w:spacing w:line="480" w:lineRule="auto"/>
        <w:jc w:val="center"/>
        <w:rPr>
          <w:rFonts w:ascii="宋体" w:hAnsi="宋体" w:cs="宋体"/>
          <w:b/>
          <w:sz w:val="24"/>
          <w:highlight w:val="none"/>
        </w:rPr>
      </w:pPr>
      <w:r>
        <w:rPr>
          <w:rFonts w:hint="eastAsia" w:ascii="宋体" w:hAnsi="宋体" w:cs="宋体"/>
          <w:b/>
          <w:sz w:val="24"/>
          <w:highlight w:val="none"/>
        </w:rPr>
        <w:t>7-</w:t>
      </w:r>
      <w:r>
        <w:rPr>
          <w:rFonts w:hint="eastAsia" w:ascii="宋体" w:hAnsi="宋体" w:cs="宋体"/>
          <w:b/>
          <w:sz w:val="24"/>
          <w:highlight w:val="none"/>
          <w:lang w:val="en-US" w:eastAsia="zh-CN"/>
        </w:rPr>
        <w:t>5</w:t>
      </w:r>
      <w:r>
        <w:rPr>
          <w:rFonts w:hint="eastAsia" w:ascii="宋体" w:hAnsi="宋体" w:cs="宋体"/>
          <w:b/>
          <w:sz w:val="24"/>
          <w:highlight w:val="none"/>
        </w:rPr>
        <w:t>公益活动承诺</w:t>
      </w:r>
    </w:p>
    <w:p>
      <w:pPr>
        <w:spacing w:line="480" w:lineRule="auto"/>
        <w:ind w:firstLine="480" w:firstLineChars="200"/>
        <w:jc w:val="center"/>
        <w:rPr>
          <w:rFonts w:ascii="宋体" w:hAnsi="宋体" w:cs="宋体"/>
          <w:sz w:val="24"/>
          <w:highlight w:val="none"/>
        </w:rPr>
      </w:pPr>
      <w:r>
        <w:rPr>
          <w:rFonts w:hint="eastAsia" w:ascii="宋体" w:hAnsi="宋体" w:cs="宋体"/>
          <w:sz w:val="24"/>
          <w:highlight w:val="none"/>
        </w:rPr>
        <w:t>格式自拟</w:t>
      </w:r>
    </w:p>
    <w:p>
      <w:pPr>
        <w:spacing w:line="480" w:lineRule="auto"/>
        <w:rPr>
          <w:rFonts w:ascii="宋体" w:hAnsi="宋体" w:cs="宋体"/>
          <w:color w:val="000000"/>
          <w:szCs w:val="20"/>
          <w:highlight w:val="none"/>
          <w:lang w:bidi="ar"/>
        </w:rPr>
      </w:pPr>
    </w:p>
    <w:p>
      <w:pPr>
        <w:spacing w:line="480" w:lineRule="auto"/>
        <w:rPr>
          <w:rFonts w:ascii="宋体" w:hAnsi="宋体" w:cs="宋体"/>
          <w:color w:val="000000"/>
          <w:szCs w:val="20"/>
          <w:highlight w:val="none"/>
          <w:lang w:bidi="ar"/>
        </w:rPr>
      </w:pPr>
    </w:p>
    <w:p>
      <w:pPr>
        <w:spacing w:line="480" w:lineRule="auto"/>
        <w:rPr>
          <w:rFonts w:ascii="宋体" w:hAnsi="宋体" w:cs="宋体"/>
          <w:color w:val="000000"/>
          <w:szCs w:val="20"/>
          <w:highlight w:val="none"/>
          <w:lang w:bidi="ar"/>
        </w:rPr>
      </w:pPr>
    </w:p>
    <w:p>
      <w:pPr>
        <w:spacing w:line="480" w:lineRule="auto"/>
        <w:rPr>
          <w:rFonts w:ascii="宋体" w:hAnsi="宋体" w:cs="宋体"/>
          <w:color w:val="000000"/>
          <w:szCs w:val="20"/>
          <w:highlight w:val="none"/>
          <w:lang w:bidi="ar"/>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pStyle w:val="43"/>
        <w:ind w:firstLine="0" w:firstLineChars="0"/>
        <w:jc w:val="left"/>
        <w:rPr>
          <w:rFonts w:ascii="Times New Roman" w:hAnsi="Times New Roman"/>
          <w:color w:val="000000"/>
          <w:sz w:val="24"/>
          <w:szCs w:val="20"/>
          <w:highlight w:val="none"/>
        </w:rPr>
      </w:pPr>
      <w:r>
        <w:rPr>
          <w:rFonts w:ascii="Times New Roman" w:hAnsi="Times New Roman"/>
          <w:color w:val="000000"/>
          <w:sz w:val="24"/>
          <w:szCs w:val="20"/>
          <w:highlight w:val="none"/>
        </w:rPr>
        <w:t>日期：_____年______月______日</w:t>
      </w:r>
    </w:p>
    <w:p>
      <w:pPr>
        <w:pStyle w:val="43"/>
        <w:ind w:firstLine="0" w:firstLineChars="0"/>
        <w:jc w:val="center"/>
        <w:rPr>
          <w:rFonts w:ascii="宋体" w:hAnsi="宋体" w:cs="宋体"/>
          <w:b/>
          <w:sz w:val="24"/>
          <w:highlight w:val="none"/>
        </w:rPr>
      </w:pPr>
    </w:p>
    <w:p>
      <w:pPr>
        <w:rPr>
          <w:rFonts w:ascii="宋体" w:hAnsi="宋体" w:cs="宋体"/>
          <w:b/>
          <w:sz w:val="24"/>
          <w:highlight w:val="none"/>
        </w:rPr>
      </w:pPr>
      <w:r>
        <w:rPr>
          <w:rFonts w:hint="eastAsia" w:ascii="宋体" w:hAnsi="宋体" w:cs="宋体"/>
          <w:b/>
          <w:sz w:val="24"/>
          <w:highlight w:val="none"/>
        </w:rPr>
        <w:br w:type="page"/>
      </w:r>
    </w:p>
    <w:p>
      <w:pPr>
        <w:pStyle w:val="43"/>
        <w:ind w:firstLine="0" w:firstLineChars="0"/>
        <w:jc w:val="center"/>
        <w:rPr>
          <w:rFonts w:ascii="宋体" w:hAnsi="宋体" w:cs="宋体"/>
          <w:bCs/>
          <w:sz w:val="24"/>
          <w:highlight w:val="none"/>
        </w:rPr>
        <w:sectPr>
          <w:pgSz w:w="11907" w:h="16840"/>
          <w:pgMar w:top="1418" w:right="1134" w:bottom="1418" w:left="1701" w:header="851" w:footer="851" w:gutter="0"/>
          <w:cols w:space="720" w:num="1"/>
          <w:docGrid w:linePitch="462" w:charSpace="0"/>
        </w:sectPr>
      </w:pPr>
      <w:r>
        <w:rPr>
          <w:rFonts w:hint="eastAsia" w:ascii="宋体" w:hAnsi="宋体" w:cs="宋体"/>
          <w:b/>
          <w:sz w:val="24"/>
          <w:highlight w:val="none"/>
        </w:rPr>
        <w:t>7-</w:t>
      </w:r>
      <w:r>
        <w:rPr>
          <w:rFonts w:hint="eastAsia" w:ascii="宋体" w:hAnsi="宋体" w:cs="宋体"/>
          <w:b/>
          <w:sz w:val="24"/>
          <w:highlight w:val="none"/>
          <w:lang w:val="en-US" w:eastAsia="zh-CN"/>
        </w:rPr>
        <w:t>6</w:t>
      </w:r>
      <w:r>
        <w:rPr>
          <w:rFonts w:hint="eastAsia" w:ascii="宋体" w:hAnsi="宋体" w:cs="宋体"/>
          <w:b/>
          <w:sz w:val="24"/>
          <w:highlight w:val="none"/>
        </w:rPr>
        <w:t xml:space="preserve"> 投标人认为需要提供的其他材料</w:t>
      </w:r>
    </w:p>
    <w:p>
      <w:pPr>
        <w:adjustRightInd w:val="0"/>
        <w:snapToGrid w:val="0"/>
        <w:spacing w:line="360" w:lineRule="auto"/>
        <w:ind w:firstLine="181" w:firstLineChars="75"/>
        <w:jc w:val="center"/>
        <w:rPr>
          <w:rFonts w:ascii="宋体" w:hAnsi="宋体" w:cs="宋体"/>
          <w:b/>
          <w:sz w:val="24"/>
          <w:highlight w:val="none"/>
        </w:rPr>
      </w:pPr>
      <w:r>
        <w:rPr>
          <w:rFonts w:hint="eastAsia" w:ascii="宋体" w:hAnsi="宋体" w:cs="宋体"/>
          <w:b/>
          <w:sz w:val="24"/>
          <w:highlight w:val="none"/>
        </w:rPr>
        <w:t>7-</w:t>
      </w:r>
      <w:r>
        <w:rPr>
          <w:rFonts w:hint="eastAsia" w:ascii="宋体" w:hAnsi="宋体" w:cs="宋体"/>
          <w:b/>
          <w:sz w:val="24"/>
          <w:highlight w:val="none"/>
          <w:lang w:val="en-US" w:eastAsia="zh-CN"/>
        </w:rPr>
        <w:t>7</w:t>
      </w:r>
      <w:r>
        <w:rPr>
          <w:rFonts w:hint="eastAsia" w:ascii="宋体" w:hAnsi="宋体" w:cs="宋体"/>
          <w:b/>
          <w:sz w:val="24"/>
          <w:highlight w:val="none"/>
        </w:rPr>
        <w:t>项目服务方案相关资料</w:t>
      </w:r>
    </w:p>
    <w:p>
      <w:pPr>
        <w:spacing w:line="360" w:lineRule="auto"/>
        <w:rPr>
          <w:rFonts w:ascii="宋体" w:hAnsi="宋体" w:cs="宋体"/>
          <w:sz w:val="24"/>
          <w:highlight w:val="none"/>
        </w:rPr>
      </w:pPr>
      <w:r>
        <w:rPr>
          <w:rFonts w:hint="eastAsia" w:ascii="宋体" w:hAnsi="宋体" w:cs="宋体"/>
          <w:sz w:val="24"/>
          <w:highlight w:val="none"/>
        </w:rPr>
        <w:t xml:space="preserve">   </w:t>
      </w:r>
    </w:p>
    <w:p>
      <w:pPr>
        <w:spacing w:line="360" w:lineRule="auto"/>
        <w:ind w:firstLine="480" w:firstLineChars="200"/>
        <w:jc w:val="center"/>
        <w:rPr>
          <w:rFonts w:ascii="宋体" w:hAnsi="宋体" w:cs="宋体"/>
          <w:color w:val="FF0000"/>
          <w:sz w:val="24"/>
          <w:highlight w:val="none"/>
        </w:rPr>
      </w:pPr>
      <w:r>
        <w:rPr>
          <w:rFonts w:hint="eastAsia" w:ascii="宋体" w:hAnsi="宋体" w:cs="宋体"/>
          <w:sz w:val="24"/>
          <w:highlight w:val="none"/>
        </w:rPr>
        <w:t>投标人应根据招标文件的招标需求自行设计本附件内容。</w:t>
      </w:r>
    </w:p>
    <w:p>
      <w:pPr>
        <w:pStyle w:val="43"/>
        <w:ind w:firstLine="0" w:firstLineChars="0"/>
        <w:jc w:val="center"/>
        <w:rPr>
          <w:rFonts w:ascii="宋体" w:hAnsi="宋体" w:cs="宋体"/>
          <w:bCs/>
          <w:sz w:val="24"/>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embedRegular r:id="rId1" w:fontKey="{FEB1D4D4-E0D2-4363-ADD6-B2AE9DF9E3F1}"/>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方正仿宋_GBK">
    <w:altName w:val="微软雅黑"/>
    <w:panose1 w:val="00000000000000000000"/>
    <w:charset w:val="86"/>
    <w:family w:val="auto"/>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embedRegular r:id="rId2" w:fontKey="{D2834A50-691E-4815-8F2C-2085B876E4EE}"/>
  </w:font>
  <w:font w:name="Heiti SC Medium">
    <w:altName w:val="Malgun Gothic Semilight"/>
    <w:panose1 w:val="00000000000000000000"/>
    <w:charset w:val="80"/>
    <w:family w:val="auto"/>
    <w:pitch w:val="default"/>
    <w:sig w:usb0="00000000" w:usb1="00000000" w:usb2="00000010" w:usb3="00000000" w:csb0="003E0001" w:csb1="00000000"/>
  </w:font>
  <w:font w:name="Malgun Gothic Semilight">
    <w:panose1 w:val="020B0502040204020203"/>
    <w:charset w:val="86"/>
    <w:family w:val="auto"/>
    <w:pitch w:val="default"/>
    <w:sig w:usb0="900002AF" w:usb1="01D77CFB" w:usb2="00000012" w:usb3="00000000" w:csb0="203E01BD" w:csb1="D7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50"/>
      </w:rPr>
    </w:pPr>
  </w:p>
  <w:p>
    <w:pPr>
      <w:pStyle w:val="29"/>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center" w:pos="4730"/>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5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p>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szCs w:val="28"/>
      </w:rP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94</w:t>
                    </w:r>
                    <w:r>
                      <w:fldChar w:fldCharType="end"/>
                    </w:r>
                  </w:p>
                </w:txbxContent>
              </v:textbox>
            </v:shape>
          </w:pict>
        </mc:Fallback>
      </mc:AlternateContent>
    </w:r>
    <w:r>
      <mc:AlternateContent>
        <mc:Choice Requires="wps">
          <w:drawing>
            <wp:anchor distT="0" distB="0" distL="114300" distR="114300" simplePos="0" relativeHeight="251672576" behindDoc="0" locked="0" layoutInCell="1" allowOverlap="1">
              <wp:simplePos x="0" y="0"/>
              <wp:positionH relativeFrom="margin">
                <wp:posOffset>2433955</wp:posOffset>
              </wp:positionH>
              <wp:positionV relativeFrom="paragraph">
                <wp:posOffset>57150</wp:posOffset>
              </wp:positionV>
              <wp:extent cx="462280" cy="2286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462280" cy="228600"/>
                      </a:xfrm>
                      <a:prstGeom prst="rect">
                        <a:avLst/>
                      </a:prstGeom>
                      <a:noFill/>
                      <a:ln>
                        <a:noFill/>
                      </a:ln>
                    </wps:spPr>
                    <wps:txbx>
                      <w:txbxContent>
                        <w:p>
                          <w:pPr>
                            <w:jc w:val="center"/>
                          </w:pPr>
                        </w:p>
                      </w:txbxContent>
                    </wps:txbx>
                    <wps:bodyPr lIns="0" tIns="0" rIns="0" bIns="0">
                      <a:spAutoFit/>
                    </wps:bodyPr>
                  </wps:wsp>
                </a:graphicData>
              </a:graphic>
            </wp:anchor>
          </w:drawing>
        </mc:Choice>
        <mc:Fallback>
          <w:pict>
            <v:shape id="_x0000_s1026" o:spid="_x0000_s1026" o:spt="202" type="#_x0000_t202" style="position:absolute;left:0pt;margin-left:191.65pt;margin-top:4.5pt;height:18pt;width:36.4pt;mso-position-horizontal-relative:margin;z-index:251672576;mso-width-relative:page;mso-height-relative:page;" filled="f" stroked="f" coordsize="21600,21600" o:gfxdata="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GIFVi1QAAAAgBAAAPAAAAAAAAAAEAIAAAACIAAABkcnMvZG93bnJldi54bWxQSwEC&#10;FAAUAAAACACHTuJA5XnPB74BAACBAwAADgAAAAAAAAABACAAAAAkAQAAZHJzL2Uyb0RvYy54bWxQ&#10;SwUGAAAAAAYABgBZAQAAVAUAAAAA&#10;">
              <v:fill on="f" focussize="0,0"/>
              <v:stroke on="f"/>
              <v:imagedata o:title=""/>
              <o:lock v:ext="edit" aspectratio="f"/>
              <v:textbox inset="0mm,0mm,0mm,0mm" style="mso-fit-shape-to-text:t;">
                <w:txbxContent>
                  <w:p>
                    <w:pPr>
                      <w:jc w:val="cente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5250"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szCs w:val="28"/>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27</w:t>
                    </w:r>
                    <w:r>
                      <w:fldChar w:fldCharType="end"/>
                    </w: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-1270</wp:posOffset>
              </wp:positionV>
              <wp:extent cx="462280" cy="2286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462280" cy="228600"/>
                      </a:xfrm>
                      <a:prstGeom prst="rect">
                        <a:avLst/>
                      </a:prstGeom>
                      <a:noFill/>
                      <a:ln>
                        <a:noFill/>
                      </a:ln>
                    </wps:spPr>
                    <wps:txbx>
                      <w:txbxContent>
                        <w:p>
                          <w:pPr>
                            <w:jc w:val="center"/>
                          </w:pPr>
                        </w:p>
                      </w:txbxContent>
                    </wps:txbx>
                    <wps:bodyPr lIns="0" tIns="0" rIns="0" bIns="0">
                      <a:spAutoFit/>
                    </wps:bodyPr>
                  </wps:wsp>
                </a:graphicData>
              </a:graphic>
            </wp:anchor>
          </w:drawing>
        </mc:Choice>
        <mc:Fallback>
          <w:pict>
            <v:shape id="_x0000_s1026" o:spid="_x0000_s1026" o:spt="202" type="#_x0000_t202" style="position:absolute;left:0pt;margin-top:-0.1pt;height:18pt;width:36.4pt;mso-position-horizontal:center;mso-position-horizontal-relative:margin;z-index:251670528;mso-width-relative:page;mso-height-relative:page;" filled="f" stroked="f" coordsize="21600,21600" o:gfxdata="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PPa1r/SAAAABAEAAA8AAAAAAAAAAQAgAAAAIgAAAGRycy9kb3ducmV2LnhtbFBLAQIUABQA&#10;AAAIAIdO4kDDYlcsvQEAAH8DAAAOAAAAAAAAAAEAIAAAACEBAABkcnMvZTJvRG9jLnhtbFBLBQYA&#10;AAAABgAGAFkBAABQBQAAAAA=&#10;">
              <v:fill on="f" focussize="0,0"/>
              <v:stroke on="f"/>
              <v:imagedata o:title=""/>
              <o:lock v:ext="edit" aspectratio="f"/>
              <v:textbox inset="0mm,0mm,0mm,0mm" style="mso-fit-shape-to-text:t;">
                <w:txbxContent>
                  <w:p>
                    <w:pPr>
                      <w:jc w:val="center"/>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szCs w:val="28"/>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94</w:t>
                    </w:r>
                    <w:r>
                      <w:fldChar w:fldCharType="end"/>
                    </w: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margin">
                <wp:posOffset>2433955</wp:posOffset>
              </wp:positionH>
              <wp:positionV relativeFrom="paragraph">
                <wp:posOffset>57150</wp:posOffset>
              </wp:positionV>
              <wp:extent cx="462280" cy="2286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462280" cy="228600"/>
                      </a:xfrm>
                      <a:prstGeom prst="rect">
                        <a:avLst/>
                      </a:prstGeom>
                      <a:noFill/>
                      <a:ln>
                        <a:noFill/>
                      </a:ln>
                    </wps:spPr>
                    <wps:txbx>
                      <w:txbxContent>
                        <w:p>
                          <w:pPr>
                            <w:jc w:val="center"/>
                          </w:pPr>
                        </w:p>
                      </w:txbxContent>
                    </wps:txbx>
                    <wps:bodyPr lIns="0" tIns="0" rIns="0" bIns="0">
                      <a:spAutoFit/>
                    </wps:bodyPr>
                  </wps:wsp>
                </a:graphicData>
              </a:graphic>
            </wp:anchor>
          </w:drawing>
        </mc:Choice>
        <mc:Fallback>
          <w:pict>
            <v:shape id="_x0000_s1026" o:spid="_x0000_s1026" o:spt="202" type="#_x0000_t202" style="position:absolute;left:0pt;margin-left:191.65pt;margin-top:4.5pt;height:18pt;width:36.4pt;mso-position-horizontal-relative:margin;z-index:251668480;mso-width-relative:page;mso-height-relative:page;" filled="f" stroked="f" coordsize="21600,21600" o:gfxdata="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GIFVi1QAAAAgBAAAPAAAAAAAAAAEAIAAAACIAAABkcnMvZG93bnJldi54bWxQSwEC&#10;FAAUAAAACACHTuJAcQZCvb4BAACBAwAADgAAAAAAAAABACAAAAAkAQAAZHJzL2Uyb0RvYy54bWxQ&#10;SwUGAAAAAAYABgBZAQAAVAUAAAAA&#10;">
              <v:fill on="f" focussize="0,0"/>
              <v:stroke on="f"/>
              <v:imagedata o:title=""/>
              <o:lock v:ext="edit" aspectratio="f"/>
              <v:textbox inset="0mm,0mm,0mm,0mm" style="mso-fit-shape-to-text:t;">
                <w:txbxContent>
                  <w:p>
                    <w:pPr>
                      <w:jc w:val="center"/>
                    </w:pP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szCs w:val="28"/>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94</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2433955</wp:posOffset>
              </wp:positionH>
              <wp:positionV relativeFrom="paragraph">
                <wp:posOffset>57150</wp:posOffset>
              </wp:positionV>
              <wp:extent cx="462280" cy="2286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62280" cy="228600"/>
                      </a:xfrm>
                      <a:prstGeom prst="rect">
                        <a:avLst/>
                      </a:prstGeom>
                      <a:noFill/>
                      <a:ln>
                        <a:noFill/>
                      </a:ln>
                    </wps:spPr>
                    <wps:txbx>
                      <w:txbxContent>
                        <w:p>
                          <w:pPr>
                            <w:jc w:val="center"/>
                          </w:pPr>
                        </w:p>
                      </w:txbxContent>
                    </wps:txbx>
                    <wps:bodyPr lIns="0" tIns="0" rIns="0" bIns="0">
                      <a:spAutoFit/>
                    </wps:bodyPr>
                  </wps:wsp>
                </a:graphicData>
              </a:graphic>
            </wp:anchor>
          </w:drawing>
        </mc:Choice>
        <mc:Fallback>
          <w:pict>
            <v:shape id="_x0000_s1026" o:spid="_x0000_s1026" o:spt="202" type="#_x0000_t202" style="position:absolute;left:0pt;margin-left:191.65pt;margin-top:4.5pt;height:18pt;width:36.4pt;mso-position-horizontal-relative:margin;z-index:251661312;mso-width-relative:page;mso-height-relative:page;" filled="f" stroked="f" coordsize="21600,21600" o:gfxdata="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YgVWLVAAAACAEAAA8AAAAAAAAAAQAgAAAAIgAAAGRycy9kb3ducmV2LnhtbFBLAQIU&#10;ABQAAAAIAIdO4kB6e0d4vQEAAH8DAAAOAAAAAAAAAAEAIAAAACQBAABkcnMvZTJvRG9jLnhtbFBL&#10;BQYAAAAABgAGAFkBAABTBQAAAAA=&#10;">
              <v:fill on="f" focussize="0,0"/>
              <v:stroke on="f"/>
              <v:imagedata o:title=""/>
              <o:lock v:ext="edit" aspectratio="f"/>
              <v:textbox inset="0mm,0mm,0mm,0mm" style="mso-fit-shape-to-text:t;">
                <w:txbxContent>
                  <w:p>
                    <w:pPr>
                      <w:jc w:val="center"/>
                    </w:pP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8213E7"/>
    <w:multiLevelType w:val="singleLevel"/>
    <w:tmpl w:val="A08213E7"/>
    <w:lvl w:ilvl="0" w:tentative="0">
      <w:start w:val="1"/>
      <w:numFmt w:val="decimal"/>
      <w:suff w:val="nothing"/>
      <w:lvlText w:val="%1、"/>
      <w:lvlJc w:val="left"/>
    </w:lvl>
  </w:abstractNum>
  <w:abstractNum w:abstractNumId="1">
    <w:nsid w:val="F4AC54ED"/>
    <w:multiLevelType w:val="singleLevel"/>
    <w:tmpl w:val="F4AC54ED"/>
    <w:lvl w:ilvl="0" w:tentative="0">
      <w:start w:val="2"/>
      <w:numFmt w:val="chineseCounting"/>
      <w:suff w:val="nothing"/>
      <w:lvlText w:val="%1、"/>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9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741"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4156B5"/>
    <w:multiLevelType w:val="singleLevel"/>
    <w:tmpl w:val="004156B5"/>
    <w:lvl w:ilvl="0" w:tentative="0">
      <w:start w:val="1"/>
      <w:numFmt w:val="chineseCounting"/>
      <w:suff w:val="nothing"/>
      <w:lvlText w:val="（%1）"/>
      <w:lvlJc w:val="left"/>
      <w:rPr>
        <w:rFonts w:hint="eastAsia"/>
      </w:rPr>
    </w:lvl>
  </w:abstractNum>
  <w:abstractNum w:abstractNumId="11">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D0188C6"/>
    <w:multiLevelType w:val="singleLevel"/>
    <w:tmpl w:val="1D0188C6"/>
    <w:lvl w:ilvl="0" w:tentative="0">
      <w:start w:val="1"/>
      <w:numFmt w:val="chineseCounting"/>
      <w:suff w:val="nothing"/>
      <w:lvlText w:val="%1、"/>
      <w:lvlJc w:val="left"/>
      <w:rPr>
        <w:rFonts w:hint="eastAsia"/>
      </w:rPr>
    </w:lvl>
  </w:abstractNum>
  <w:abstractNum w:abstractNumId="14">
    <w:nsid w:val="25FDC0EA"/>
    <w:multiLevelType w:val="singleLevel"/>
    <w:tmpl w:val="25FDC0EA"/>
    <w:lvl w:ilvl="0" w:tentative="0">
      <w:start w:val="2"/>
      <w:numFmt w:val="decimal"/>
      <w:suff w:val="nothing"/>
      <w:lvlText w:val="%1、"/>
      <w:lvlJc w:val="left"/>
    </w:lvl>
  </w:abstractNum>
  <w:abstractNum w:abstractNumId="15">
    <w:nsid w:val="2B854DFC"/>
    <w:multiLevelType w:val="multilevel"/>
    <w:tmpl w:val="2B854DFC"/>
    <w:lvl w:ilvl="0" w:tentative="0">
      <w:start w:val="1"/>
      <w:numFmt w:val="japaneseCounting"/>
      <w:lvlText w:val="第%1章"/>
      <w:lvlJc w:val="left"/>
      <w:pPr>
        <w:ind w:left="1240" w:hanging="1120"/>
      </w:pPr>
      <w:rPr>
        <w:rFonts w:hint="default" w:ascii="Heiti SC Medium" w:hAnsi="Heiti SC Medium" w:eastAsia="Heiti SC Medium"/>
        <w:b w:val="0"/>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16">
    <w:nsid w:val="2F1A19D1"/>
    <w:multiLevelType w:val="singleLevel"/>
    <w:tmpl w:val="2F1A19D1"/>
    <w:lvl w:ilvl="0" w:tentative="0">
      <w:start w:val="6"/>
      <w:numFmt w:val="chineseCounting"/>
      <w:suff w:val="nothing"/>
      <w:lvlText w:val="%1、"/>
      <w:lvlJc w:val="left"/>
      <w:pPr>
        <w:ind w:left="210"/>
      </w:pPr>
      <w:rPr>
        <w:rFonts w:hint="eastAsia"/>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3A3F1B11"/>
    <w:multiLevelType w:val="singleLevel"/>
    <w:tmpl w:val="3A3F1B11"/>
    <w:lvl w:ilvl="0" w:tentative="0">
      <w:start w:val="1"/>
      <w:numFmt w:val="chineseCounting"/>
      <w:suff w:val="nothing"/>
      <w:lvlText w:val="（%1）"/>
      <w:lvlJc w:val="left"/>
      <w:rPr>
        <w:rFonts w:hint="eastAsia"/>
      </w:r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57CB3F5A"/>
    <w:multiLevelType w:val="singleLevel"/>
    <w:tmpl w:val="57CB3F5A"/>
    <w:lvl w:ilvl="0" w:tentative="0">
      <w:start w:val="2"/>
      <w:numFmt w:val="chineseCounting"/>
      <w:lvlText w:val="第%1章"/>
      <w:lvlJc w:val="left"/>
      <w:rPr>
        <w:rFonts w:hint="eastAsia" w:ascii="Heiti SC Medium" w:hAnsi="Heiti SC Medium" w:eastAsia="Heiti SC Medium"/>
        <w:b w:val="0"/>
      </w:rPr>
    </w:lvl>
  </w:abstractNum>
  <w:abstractNum w:abstractNumId="21">
    <w:nsid w:val="5C3048C3"/>
    <w:multiLevelType w:val="singleLevel"/>
    <w:tmpl w:val="5C3048C3"/>
    <w:lvl w:ilvl="0" w:tentative="0">
      <w:start w:val="1"/>
      <w:numFmt w:val="chineseCounting"/>
      <w:suff w:val="nothing"/>
      <w:lvlText w:val="%1、"/>
      <w:lvlJc w:val="left"/>
      <w:rPr>
        <w:rFonts w:hint="eastAsia"/>
      </w:rPr>
    </w:lvl>
  </w:abstractNum>
  <w:abstractNum w:abstractNumId="22">
    <w:nsid w:val="671E3DFF"/>
    <w:multiLevelType w:val="singleLevel"/>
    <w:tmpl w:val="671E3DFF"/>
    <w:lvl w:ilvl="0" w:tentative="0">
      <w:start w:val="1"/>
      <w:numFmt w:val="chineseCounting"/>
      <w:suff w:val="nothing"/>
      <w:lvlText w:val="%1、"/>
      <w:lvlJc w:val="left"/>
      <w:rPr>
        <w:rFonts w:hint="eastAsia"/>
      </w:rPr>
    </w:lvl>
  </w:abstractNum>
  <w:abstractNum w:abstractNumId="2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6EC58F2A"/>
    <w:multiLevelType w:val="singleLevel"/>
    <w:tmpl w:val="6EC58F2A"/>
    <w:lvl w:ilvl="0" w:tentative="0">
      <w:start w:val="1"/>
      <w:numFmt w:val="decimal"/>
      <w:suff w:val="space"/>
      <w:lvlText w:val="%1."/>
      <w:lvlJc w:val="left"/>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16"/>
  </w:num>
  <w:num w:numId="9">
    <w:abstractNumId w:val="8"/>
  </w:num>
  <w:num w:numId="10">
    <w:abstractNumId w:val="2"/>
  </w:num>
  <w:num w:numId="11">
    <w:abstractNumId w:val="19"/>
  </w:num>
  <w:num w:numId="12">
    <w:abstractNumId w:val="12"/>
  </w:num>
  <w:num w:numId="13">
    <w:abstractNumId w:val="23"/>
  </w:num>
  <w:num w:numId="14">
    <w:abstractNumId w:val="1"/>
  </w:num>
  <w:num w:numId="15">
    <w:abstractNumId w:val="10"/>
  </w:num>
  <w:num w:numId="16">
    <w:abstractNumId w:val="15"/>
  </w:num>
  <w:num w:numId="17">
    <w:abstractNumId w:val="20"/>
  </w:num>
  <w:num w:numId="18">
    <w:abstractNumId w:val="22"/>
  </w:num>
  <w:num w:numId="19">
    <w:abstractNumId w:val="14"/>
  </w:num>
  <w:num w:numId="20">
    <w:abstractNumId w:val="13"/>
  </w:num>
  <w:num w:numId="21">
    <w:abstractNumId w:val="21"/>
  </w:num>
  <w:num w:numId="22">
    <w:abstractNumId w:val="18"/>
  </w:num>
  <w:num w:numId="23">
    <w:abstractNumId w:val="0"/>
  </w:num>
  <w:num w:numId="24">
    <w:abstractNumId w:val="17"/>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2Y4Y2FhM2NmNGRkMjBiZWIxNWVlZWIzM2FmNDViZGEifQ=="/>
    <w:docVar w:name="KSO_WPS_MARK_KEY" w:val="1f91099b-aba3-40b4-864c-98ca4477bd3f"/>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467"/>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85"/>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A52"/>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4C6"/>
    <w:rsid w:val="000E5525"/>
    <w:rsid w:val="000E554E"/>
    <w:rsid w:val="000E57D3"/>
    <w:rsid w:val="000E5D71"/>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0DE"/>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51"/>
    <w:rsid w:val="00183E6E"/>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BDB"/>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693"/>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653"/>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296"/>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39"/>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3A3"/>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180"/>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03"/>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601"/>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91C"/>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2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0FA"/>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73B"/>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3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EE"/>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4EA4"/>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A50"/>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468"/>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6F3"/>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4F6"/>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063"/>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752"/>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4F"/>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11"/>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BA4"/>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8F"/>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9A6"/>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0F5"/>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5DB"/>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AF4"/>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CDF"/>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803"/>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145"/>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F"/>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D3433"/>
    <w:rsid w:val="01565C22"/>
    <w:rsid w:val="01632365"/>
    <w:rsid w:val="016F48DB"/>
    <w:rsid w:val="018A2C9E"/>
    <w:rsid w:val="018D0933"/>
    <w:rsid w:val="018F4C90"/>
    <w:rsid w:val="01BD35AB"/>
    <w:rsid w:val="01CF5268"/>
    <w:rsid w:val="01FC1905"/>
    <w:rsid w:val="020236B3"/>
    <w:rsid w:val="020E4B37"/>
    <w:rsid w:val="021533E7"/>
    <w:rsid w:val="02224E5E"/>
    <w:rsid w:val="02647ECA"/>
    <w:rsid w:val="027C2F1A"/>
    <w:rsid w:val="028D0D85"/>
    <w:rsid w:val="02AF6722"/>
    <w:rsid w:val="02C42E58"/>
    <w:rsid w:val="02CC4B77"/>
    <w:rsid w:val="02CF1A58"/>
    <w:rsid w:val="02D952A3"/>
    <w:rsid w:val="02DF1815"/>
    <w:rsid w:val="03087FE5"/>
    <w:rsid w:val="03093D9A"/>
    <w:rsid w:val="0317037B"/>
    <w:rsid w:val="0317318F"/>
    <w:rsid w:val="03231B33"/>
    <w:rsid w:val="034675D0"/>
    <w:rsid w:val="035E31C7"/>
    <w:rsid w:val="03870314"/>
    <w:rsid w:val="039A6968"/>
    <w:rsid w:val="03A55682"/>
    <w:rsid w:val="03A67734"/>
    <w:rsid w:val="03AB7BDA"/>
    <w:rsid w:val="03B3053A"/>
    <w:rsid w:val="03BB1AFB"/>
    <w:rsid w:val="03E351F2"/>
    <w:rsid w:val="03E5328D"/>
    <w:rsid w:val="042E5399"/>
    <w:rsid w:val="045A1585"/>
    <w:rsid w:val="04626346"/>
    <w:rsid w:val="04985BD3"/>
    <w:rsid w:val="049A5E25"/>
    <w:rsid w:val="04B602E9"/>
    <w:rsid w:val="05003E56"/>
    <w:rsid w:val="0516577E"/>
    <w:rsid w:val="0543421B"/>
    <w:rsid w:val="05500BDA"/>
    <w:rsid w:val="05533A1A"/>
    <w:rsid w:val="055A4034"/>
    <w:rsid w:val="05606978"/>
    <w:rsid w:val="05893855"/>
    <w:rsid w:val="05AA02EA"/>
    <w:rsid w:val="05AB7FC3"/>
    <w:rsid w:val="05BE1FE7"/>
    <w:rsid w:val="05D666A6"/>
    <w:rsid w:val="05F041C0"/>
    <w:rsid w:val="06336531"/>
    <w:rsid w:val="064E0F7D"/>
    <w:rsid w:val="06A579BF"/>
    <w:rsid w:val="06DF5D71"/>
    <w:rsid w:val="06E01ACB"/>
    <w:rsid w:val="06F7755F"/>
    <w:rsid w:val="070B6B66"/>
    <w:rsid w:val="072D11D3"/>
    <w:rsid w:val="0749370E"/>
    <w:rsid w:val="077F28B3"/>
    <w:rsid w:val="078132CC"/>
    <w:rsid w:val="07B82609"/>
    <w:rsid w:val="07B962EC"/>
    <w:rsid w:val="07E9545C"/>
    <w:rsid w:val="08165F87"/>
    <w:rsid w:val="083A4976"/>
    <w:rsid w:val="083C5CDA"/>
    <w:rsid w:val="084A51A2"/>
    <w:rsid w:val="087846CF"/>
    <w:rsid w:val="08A97246"/>
    <w:rsid w:val="08C47915"/>
    <w:rsid w:val="08D4315B"/>
    <w:rsid w:val="08F07638"/>
    <w:rsid w:val="08F17FDE"/>
    <w:rsid w:val="09144ED2"/>
    <w:rsid w:val="09325D70"/>
    <w:rsid w:val="09442803"/>
    <w:rsid w:val="094A6D04"/>
    <w:rsid w:val="097940F5"/>
    <w:rsid w:val="09A84B40"/>
    <w:rsid w:val="09B419BD"/>
    <w:rsid w:val="09C444A3"/>
    <w:rsid w:val="09C63218"/>
    <w:rsid w:val="09E42506"/>
    <w:rsid w:val="0A033204"/>
    <w:rsid w:val="0A052104"/>
    <w:rsid w:val="0A0819A3"/>
    <w:rsid w:val="0A546366"/>
    <w:rsid w:val="0A7B64D2"/>
    <w:rsid w:val="0A843939"/>
    <w:rsid w:val="0A886720"/>
    <w:rsid w:val="0A8D0153"/>
    <w:rsid w:val="0AA04FBE"/>
    <w:rsid w:val="0AA755E9"/>
    <w:rsid w:val="0AB82E3A"/>
    <w:rsid w:val="0AD2378F"/>
    <w:rsid w:val="0AF84849"/>
    <w:rsid w:val="0B081429"/>
    <w:rsid w:val="0B187589"/>
    <w:rsid w:val="0B275F39"/>
    <w:rsid w:val="0B2C1493"/>
    <w:rsid w:val="0B316169"/>
    <w:rsid w:val="0B660C1A"/>
    <w:rsid w:val="0B971310"/>
    <w:rsid w:val="0BE03E21"/>
    <w:rsid w:val="0BEA58E4"/>
    <w:rsid w:val="0BFF6716"/>
    <w:rsid w:val="0C043E8E"/>
    <w:rsid w:val="0C0A7451"/>
    <w:rsid w:val="0C434D7C"/>
    <w:rsid w:val="0C45067E"/>
    <w:rsid w:val="0C6765FF"/>
    <w:rsid w:val="0C6A3E27"/>
    <w:rsid w:val="0C6B4883"/>
    <w:rsid w:val="0C767178"/>
    <w:rsid w:val="0C7B0C28"/>
    <w:rsid w:val="0C995F2F"/>
    <w:rsid w:val="0CE55B25"/>
    <w:rsid w:val="0D2315F2"/>
    <w:rsid w:val="0D3A1F36"/>
    <w:rsid w:val="0D485ED6"/>
    <w:rsid w:val="0D7C75AA"/>
    <w:rsid w:val="0D892EDB"/>
    <w:rsid w:val="0DA5675A"/>
    <w:rsid w:val="0DB41764"/>
    <w:rsid w:val="0DDE4FD5"/>
    <w:rsid w:val="0DE275F0"/>
    <w:rsid w:val="0DEB519A"/>
    <w:rsid w:val="0DF77E44"/>
    <w:rsid w:val="0E095F19"/>
    <w:rsid w:val="0E1A2C0C"/>
    <w:rsid w:val="0E1A53DD"/>
    <w:rsid w:val="0E1D5E71"/>
    <w:rsid w:val="0E296635"/>
    <w:rsid w:val="0E2D3B72"/>
    <w:rsid w:val="0E303356"/>
    <w:rsid w:val="0E4806A0"/>
    <w:rsid w:val="0E574D87"/>
    <w:rsid w:val="0E5E7EC3"/>
    <w:rsid w:val="0E67321C"/>
    <w:rsid w:val="0E7C67CB"/>
    <w:rsid w:val="0E89670B"/>
    <w:rsid w:val="0EA44CBA"/>
    <w:rsid w:val="0EB30E74"/>
    <w:rsid w:val="0ECE64E3"/>
    <w:rsid w:val="0EF8023C"/>
    <w:rsid w:val="0F1B4006"/>
    <w:rsid w:val="0F230706"/>
    <w:rsid w:val="0F733D4C"/>
    <w:rsid w:val="0FAE6C29"/>
    <w:rsid w:val="0FBC0705"/>
    <w:rsid w:val="0FC07078"/>
    <w:rsid w:val="0FC149A6"/>
    <w:rsid w:val="0FE01357"/>
    <w:rsid w:val="0FE663C2"/>
    <w:rsid w:val="0FE8213B"/>
    <w:rsid w:val="0FF878CB"/>
    <w:rsid w:val="0FFB1273"/>
    <w:rsid w:val="101939DC"/>
    <w:rsid w:val="10196798"/>
    <w:rsid w:val="1021383C"/>
    <w:rsid w:val="102B0279"/>
    <w:rsid w:val="102F2E92"/>
    <w:rsid w:val="10492FA1"/>
    <w:rsid w:val="109010D1"/>
    <w:rsid w:val="10A6034C"/>
    <w:rsid w:val="10B04531"/>
    <w:rsid w:val="10BD3521"/>
    <w:rsid w:val="10D34D34"/>
    <w:rsid w:val="10D44FF5"/>
    <w:rsid w:val="10F56B70"/>
    <w:rsid w:val="10F71E45"/>
    <w:rsid w:val="11031AF2"/>
    <w:rsid w:val="110A4F99"/>
    <w:rsid w:val="1111121D"/>
    <w:rsid w:val="11523EB4"/>
    <w:rsid w:val="11561326"/>
    <w:rsid w:val="116F3259"/>
    <w:rsid w:val="117A14B8"/>
    <w:rsid w:val="117D1F70"/>
    <w:rsid w:val="11A43CBD"/>
    <w:rsid w:val="11B60016"/>
    <w:rsid w:val="11E15093"/>
    <w:rsid w:val="11E26FD0"/>
    <w:rsid w:val="12130C14"/>
    <w:rsid w:val="121A67F7"/>
    <w:rsid w:val="123A6EAD"/>
    <w:rsid w:val="12624D01"/>
    <w:rsid w:val="129156AF"/>
    <w:rsid w:val="12B1370B"/>
    <w:rsid w:val="12C405D5"/>
    <w:rsid w:val="12CA3FA8"/>
    <w:rsid w:val="12DB3668"/>
    <w:rsid w:val="1304031C"/>
    <w:rsid w:val="13054DB2"/>
    <w:rsid w:val="13203999"/>
    <w:rsid w:val="134223C1"/>
    <w:rsid w:val="134F3535"/>
    <w:rsid w:val="135A334F"/>
    <w:rsid w:val="136523E5"/>
    <w:rsid w:val="13960100"/>
    <w:rsid w:val="139D253E"/>
    <w:rsid w:val="13A46379"/>
    <w:rsid w:val="13BC7D4B"/>
    <w:rsid w:val="13C70351"/>
    <w:rsid w:val="13E34BA1"/>
    <w:rsid w:val="14117786"/>
    <w:rsid w:val="14235B4B"/>
    <w:rsid w:val="143C2A55"/>
    <w:rsid w:val="14457303"/>
    <w:rsid w:val="144A5C3F"/>
    <w:rsid w:val="145E5B2E"/>
    <w:rsid w:val="145E6E6F"/>
    <w:rsid w:val="148948CC"/>
    <w:rsid w:val="14953D1B"/>
    <w:rsid w:val="14C401F3"/>
    <w:rsid w:val="14DF7617"/>
    <w:rsid w:val="14E03EB7"/>
    <w:rsid w:val="150537A2"/>
    <w:rsid w:val="15190FE8"/>
    <w:rsid w:val="153233EA"/>
    <w:rsid w:val="1543358D"/>
    <w:rsid w:val="15793835"/>
    <w:rsid w:val="157D01C2"/>
    <w:rsid w:val="15AE5BDA"/>
    <w:rsid w:val="15C050DC"/>
    <w:rsid w:val="15D76017"/>
    <w:rsid w:val="15D96718"/>
    <w:rsid w:val="15F03903"/>
    <w:rsid w:val="1606134D"/>
    <w:rsid w:val="1609687A"/>
    <w:rsid w:val="161F67E4"/>
    <w:rsid w:val="16226447"/>
    <w:rsid w:val="16411302"/>
    <w:rsid w:val="16450281"/>
    <w:rsid w:val="16461969"/>
    <w:rsid w:val="1647748F"/>
    <w:rsid w:val="16511E04"/>
    <w:rsid w:val="165F6ECF"/>
    <w:rsid w:val="16704C38"/>
    <w:rsid w:val="16AF087E"/>
    <w:rsid w:val="16C136E5"/>
    <w:rsid w:val="16DB5FED"/>
    <w:rsid w:val="16DC7BBA"/>
    <w:rsid w:val="175870E1"/>
    <w:rsid w:val="176F4DAB"/>
    <w:rsid w:val="17C52612"/>
    <w:rsid w:val="17F93E0B"/>
    <w:rsid w:val="1814164D"/>
    <w:rsid w:val="18153CE9"/>
    <w:rsid w:val="1826421D"/>
    <w:rsid w:val="186B6A85"/>
    <w:rsid w:val="18B727CA"/>
    <w:rsid w:val="18BF01DF"/>
    <w:rsid w:val="18C96881"/>
    <w:rsid w:val="18D203E7"/>
    <w:rsid w:val="18D47700"/>
    <w:rsid w:val="190653E0"/>
    <w:rsid w:val="19067AA1"/>
    <w:rsid w:val="19297320"/>
    <w:rsid w:val="192E3E95"/>
    <w:rsid w:val="19311B56"/>
    <w:rsid w:val="19765580"/>
    <w:rsid w:val="19836FAC"/>
    <w:rsid w:val="19873C1D"/>
    <w:rsid w:val="19CD3751"/>
    <w:rsid w:val="19D67508"/>
    <w:rsid w:val="19EE2A43"/>
    <w:rsid w:val="19F142E2"/>
    <w:rsid w:val="1A0F5BFA"/>
    <w:rsid w:val="1A246465"/>
    <w:rsid w:val="1A2D49C4"/>
    <w:rsid w:val="1A3D1234"/>
    <w:rsid w:val="1A3F329F"/>
    <w:rsid w:val="1A5328A6"/>
    <w:rsid w:val="1A881766"/>
    <w:rsid w:val="1A903A50"/>
    <w:rsid w:val="1AB1581F"/>
    <w:rsid w:val="1AB75FA6"/>
    <w:rsid w:val="1ACE4623"/>
    <w:rsid w:val="1AE844BC"/>
    <w:rsid w:val="1B02294E"/>
    <w:rsid w:val="1B356A9D"/>
    <w:rsid w:val="1B593EEC"/>
    <w:rsid w:val="1B952EC6"/>
    <w:rsid w:val="1B976E2D"/>
    <w:rsid w:val="1BA7008E"/>
    <w:rsid w:val="1BB41D9C"/>
    <w:rsid w:val="1BD244C7"/>
    <w:rsid w:val="1BD32925"/>
    <w:rsid w:val="1BEA2D97"/>
    <w:rsid w:val="1BEF6887"/>
    <w:rsid w:val="1C011659"/>
    <w:rsid w:val="1C212470"/>
    <w:rsid w:val="1C455CA5"/>
    <w:rsid w:val="1C5F7AD6"/>
    <w:rsid w:val="1C69096F"/>
    <w:rsid w:val="1C8078E6"/>
    <w:rsid w:val="1CA67605"/>
    <w:rsid w:val="1CB3587E"/>
    <w:rsid w:val="1CDD615C"/>
    <w:rsid w:val="1CFF0991"/>
    <w:rsid w:val="1D0C4F8F"/>
    <w:rsid w:val="1D1B44A9"/>
    <w:rsid w:val="1D2C69D2"/>
    <w:rsid w:val="1D3C6F95"/>
    <w:rsid w:val="1D570900"/>
    <w:rsid w:val="1D7274E7"/>
    <w:rsid w:val="1D7A68B9"/>
    <w:rsid w:val="1D9C67E9"/>
    <w:rsid w:val="1DC13FCB"/>
    <w:rsid w:val="1DC64350"/>
    <w:rsid w:val="1DCA10D2"/>
    <w:rsid w:val="1DD75487"/>
    <w:rsid w:val="1E172574"/>
    <w:rsid w:val="1E2C2424"/>
    <w:rsid w:val="1E323280"/>
    <w:rsid w:val="1E4002A6"/>
    <w:rsid w:val="1E934CC5"/>
    <w:rsid w:val="1EE617A3"/>
    <w:rsid w:val="1EF270E6"/>
    <w:rsid w:val="1EFF2FFD"/>
    <w:rsid w:val="1F1D16D5"/>
    <w:rsid w:val="1F2D73A2"/>
    <w:rsid w:val="1F301408"/>
    <w:rsid w:val="1F355E9A"/>
    <w:rsid w:val="1F5A0233"/>
    <w:rsid w:val="1F6E049D"/>
    <w:rsid w:val="1F707A57"/>
    <w:rsid w:val="1F72557D"/>
    <w:rsid w:val="1F931E30"/>
    <w:rsid w:val="1F957AD4"/>
    <w:rsid w:val="1FB12B1C"/>
    <w:rsid w:val="1FC41B50"/>
    <w:rsid w:val="1FDA25C0"/>
    <w:rsid w:val="20102EB5"/>
    <w:rsid w:val="20174376"/>
    <w:rsid w:val="202A1A39"/>
    <w:rsid w:val="203767C6"/>
    <w:rsid w:val="20495DA5"/>
    <w:rsid w:val="205A75D9"/>
    <w:rsid w:val="206E52B8"/>
    <w:rsid w:val="208C266E"/>
    <w:rsid w:val="20AC0F62"/>
    <w:rsid w:val="20D76E58"/>
    <w:rsid w:val="20DC62C0"/>
    <w:rsid w:val="20EA281E"/>
    <w:rsid w:val="20EC0C4F"/>
    <w:rsid w:val="21090163"/>
    <w:rsid w:val="2112552E"/>
    <w:rsid w:val="2117415A"/>
    <w:rsid w:val="21340B44"/>
    <w:rsid w:val="215C64E4"/>
    <w:rsid w:val="215D7CAE"/>
    <w:rsid w:val="216D6944"/>
    <w:rsid w:val="21D3134C"/>
    <w:rsid w:val="21D56297"/>
    <w:rsid w:val="21D6555B"/>
    <w:rsid w:val="220801C4"/>
    <w:rsid w:val="22455CB6"/>
    <w:rsid w:val="22525B39"/>
    <w:rsid w:val="225355F8"/>
    <w:rsid w:val="225F77B4"/>
    <w:rsid w:val="228F3E7B"/>
    <w:rsid w:val="22C4136F"/>
    <w:rsid w:val="22EE51D2"/>
    <w:rsid w:val="230B6414"/>
    <w:rsid w:val="233D0598"/>
    <w:rsid w:val="2366460D"/>
    <w:rsid w:val="2375131B"/>
    <w:rsid w:val="238040BD"/>
    <w:rsid w:val="23982893"/>
    <w:rsid w:val="239D403D"/>
    <w:rsid w:val="239E00B4"/>
    <w:rsid w:val="23D71405"/>
    <w:rsid w:val="23DA7B95"/>
    <w:rsid w:val="23EA239B"/>
    <w:rsid w:val="24044C11"/>
    <w:rsid w:val="241A0B5A"/>
    <w:rsid w:val="241A4435"/>
    <w:rsid w:val="243279D1"/>
    <w:rsid w:val="24410DB7"/>
    <w:rsid w:val="244A0DA9"/>
    <w:rsid w:val="244A2F6C"/>
    <w:rsid w:val="245A56AD"/>
    <w:rsid w:val="24690BB3"/>
    <w:rsid w:val="24771D12"/>
    <w:rsid w:val="24A7208E"/>
    <w:rsid w:val="24BC4AE1"/>
    <w:rsid w:val="24CF3CF1"/>
    <w:rsid w:val="24D32C9F"/>
    <w:rsid w:val="25192833"/>
    <w:rsid w:val="251D41DD"/>
    <w:rsid w:val="251E74A4"/>
    <w:rsid w:val="25387269"/>
    <w:rsid w:val="253E511F"/>
    <w:rsid w:val="25496D80"/>
    <w:rsid w:val="254C2A1B"/>
    <w:rsid w:val="255068F0"/>
    <w:rsid w:val="25654055"/>
    <w:rsid w:val="2584600A"/>
    <w:rsid w:val="25873D4C"/>
    <w:rsid w:val="25A00E3D"/>
    <w:rsid w:val="25AB3597"/>
    <w:rsid w:val="25D85D7E"/>
    <w:rsid w:val="25E52E51"/>
    <w:rsid w:val="2602685B"/>
    <w:rsid w:val="26193F32"/>
    <w:rsid w:val="26844DDC"/>
    <w:rsid w:val="26A56466"/>
    <w:rsid w:val="26AC220D"/>
    <w:rsid w:val="26B50445"/>
    <w:rsid w:val="26B66697"/>
    <w:rsid w:val="26C43A6E"/>
    <w:rsid w:val="26D703BB"/>
    <w:rsid w:val="26DF742E"/>
    <w:rsid w:val="26EE1E12"/>
    <w:rsid w:val="26F62F37"/>
    <w:rsid w:val="26F82F83"/>
    <w:rsid w:val="2707581A"/>
    <w:rsid w:val="27144592"/>
    <w:rsid w:val="274301E8"/>
    <w:rsid w:val="274E4F2E"/>
    <w:rsid w:val="27557702"/>
    <w:rsid w:val="275A3968"/>
    <w:rsid w:val="27756424"/>
    <w:rsid w:val="27843CE5"/>
    <w:rsid w:val="278772D4"/>
    <w:rsid w:val="27B81C74"/>
    <w:rsid w:val="27EB6814"/>
    <w:rsid w:val="28017DE6"/>
    <w:rsid w:val="281A2C55"/>
    <w:rsid w:val="281B5692"/>
    <w:rsid w:val="2855468F"/>
    <w:rsid w:val="285C326E"/>
    <w:rsid w:val="286918F0"/>
    <w:rsid w:val="286F2FA1"/>
    <w:rsid w:val="28732366"/>
    <w:rsid w:val="28A35D2A"/>
    <w:rsid w:val="28C11323"/>
    <w:rsid w:val="28D42E04"/>
    <w:rsid w:val="28DC36D3"/>
    <w:rsid w:val="28EF4539"/>
    <w:rsid w:val="28F8009B"/>
    <w:rsid w:val="2914410B"/>
    <w:rsid w:val="29285EFD"/>
    <w:rsid w:val="29353E22"/>
    <w:rsid w:val="294352CC"/>
    <w:rsid w:val="294D2BB7"/>
    <w:rsid w:val="296642D8"/>
    <w:rsid w:val="29764DB1"/>
    <w:rsid w:val="2977419A"/>
    <w:rsid w:val="29800FFC"/>
    <w:rsid w:val="2991163B"/>
    <w:rsid w:val="29972052"/>
    <w:rsid w:val="29B844D4"/>
    <w:rsid w:val="29C879B9"/>
    <w:rsid w:val="29EC0622"/>
    <w:rsid w:val="2A3A75DF"/>
    <w:rsid w:val="2A3D3173"/>
    <w:rsid w:val="2A4B5348"/>
    <w:rsid w:val="2A4C5E9F"/>
    <w:rsid w:val="2A6B55DE"/>
    <w:rsid w:val="2A742AF1"/>
    <w:rsid w:val="2A950CB9"/>
    <w:rsid w:val="2A9513C6"/>
    <w:rsid w:val="2A9740E2"/>
    <w:rsid w:val="2AB96BDA"/>
    <w:rsid w:val="2AC535AE"/>
    <w:rsid w:val="2AE54AB6"/>
    <w:rsid w:val="2AED2E8D"/>
    <w:rsid w:val="2AFF4C94"/>
    <w:rsid w:val="2B2838DB"/>
    <w:rsid w:val="2B634913"/>
    <w:rsid w:val="2BDA70E6"/>
    <w:rsid w:val="2BE1693C"/>
    <w:rsid w:val="2C1F1FBF"/>
    <w:rsid w:val="2C351F7F"/>
    <w:rsid w:val="2C3A5674"/>
    <w:rsid w:val="2C4E6D38"/>
    <w:rsid w:val="2C604777"/>
    <w:rsid w:val="2C714D86"/>
    <w:rsid w:val="2C9E3E55"/>
    <w:rsid w:val="2CA227BC"/>
    <w:rsid w:val="2CDC4194"/>
    <w:rsid w:val="2CE13D42"/>
    <w:rsid w:val="2CFF3F4B"/>
    <w:rsid w:val="2D262F30"/>
    <w:rsid w:val="2D455150"/>
    <w:rsid w:val="2D4B150D"/>
    <w:rsid w:val="2D4B38B1"/>
    <w:rsid w:val="2D5A729F"/>
    <w:rsid w:val="2D7A560B"/>
    <w:rsid w:val="2D8D04FD"/>
    <w:rsid w:val="2DA25052"/>
    <w:rsid w:val="2DC43E7F"/>
    <w:rsid w:val="2DD17CDE"/>
    <w:rsid w:val="2E4A5917"/>
    <w:rsid w:val="2E74678C"/>
    <w:rsid w:val="2E7E4C4B"/>
    <w:rsid w:val="2E7F0442"/>
    <w:rsid w:val="2EDA6BAD"/>
    <w:rsid w:val="2EE93382"/>
    <w:rsid w:val="2EEF10D4"/>
    <w:rsid w:val="2F2F36B1"/>
    <w:rsid w:val="2F3326A3"/>
    <w:rsid w:val="2F8B61E7"/>
    <w:rsid w:val="2F9466BB"/>
    <w:rsid w:val="2F996F10"/>
    <w:rsid w:val="2FA87094"/>
    <w:rsid w:val="2FB8401F"/>
    <w:rsid w:val="2FD159CA"/>
    <w:rsid w:val="2FD67E3E"/>
    <w:rsid w:val="301D7787"/>
    <w:rsid w:val="301E14CD"/>
    <w:rsid w:val="303F24BC"/>
    <w:rsid w:val="306929CC"/>
    <w:rsid w:val="31057C08"/>
    <w:rsid w:val="3112096E"/>
    <w:rsid w:val="311C69D9"/>
    <w:rsid w:val="311F3ABC"/>
    <w:rsid w:val="312B21BD"/>
    <w:rsid w:val="312E379D"/>
    <w:rsid w:val="314861B3"/>
    <w:rsid w:val="315A43B3"/>
    <w:rsid w:val="31746893"/>
    <w:rsid w:val="317F39BB"/>
    <w:rsid w:val="3186310A"/>
    <w:rsid w:val="31B1462B"/>
    <w:rsid w:val="31C13416"/>
    <w:rsid w:val="31C942AB"/>
    <w:rsid w:val="31ED4F37"/>
    <w:rsid w:val="31EE13DB"/>
    <w:rsid w:val="32325DB3"/>
    <w:rsid w:val="3234712F"/>
    <w:rsid w:val="3239017C"/>
    <w:rsid w:val="3244724D"/>
    <w:rsid w:val="3247112A"/>
    <w:rsid w:val="324F5BF1"/>
    <w:rsid w:val="326C2300"/>
    <w:rsid w:val="32725B2C"/>
    <w:rsid w:val="32884234"/>
    <w:rsid w:val="328D3171"/>
    <w:rsid w:val="32C263C3"/>
    <w:rsid w:val="32D33E04"/>
    <w:rsid w:val="32EB653A"/>
    <w:rsid w:val="32F14DE3"/>
    <w:rsid w:val="32F347CF"/>
    <w:rsid w:val="330A2FD8"/>
    <w:rsid w:val="331F5DE1"/>
    <w:rsid w:val="332171ED"/>
    <w:rsid w:val="332D5F33"/>
    <w:rsid w:val="3350577D"/>
    <w:rsid w:val="335A4B8F"/>
    <w:rsid w:val="33673B3E"/>
    <w:rsid w:val="33865643"/>
    <w:rsid w:val="33903A78"/>
    <w:rsid w:val="339D49D6"/>
    <w:rsid w:val="33B912D3"/>
    <w:rsid w:val="33D53ED4"/>
    <w:rsid w:val="33F9355C"/>
    <w:rsid w:val="34092494"/>
    <w:rsid w:val="34675563"/>
    <w:rsid w:val="348222AE"/>
    <w:rsid w:val="348E47AF"/>
    <w:rsid w:val="34C71A6F"/>
    <w:rsid w:val="34C7245F"/>
    <w:rsid w:val="34CF0009"/>
    <w:rsid w:val="34D606AD"/>
    <w:rsid w:val="34E6283D"/>
    <w:rsid w:val="35082926"/>
    <w:rsid w:val="352260F8"/>
    <w:rsid w:val="35507CB7"/>
    <w:rsid w:val="3555718B"/>
    <w:rsid w:val="357736EF"/>
    <w:rsid w:val="35914889"/>
    <w:rsid w:val="359C2EFC"/>
    <w:rsid w:val="35AE3872"/>
    <w:rsid w:val="35BD0727"/>
    <w:rsid w:val="35CE5B68"/>
    <w:rsid w:val="36251782"/>
    <w:rsid w:val="363B39B8"/>
    <w:rsid w:val="3676199F"/>
    <w:rsid w:val="367E0853"/>
    <w:rsid w:val="367E2138"/>
    <w:rsid w:val="36AE1B85"/>
    <w:rsid w:val="36CC4D48"/>
    <w:rsid w:val="372E1214"/>
    <w:rsid w:val="37320B19"/>
    <w:rsid w:val="373444B8"/>
    <w:rsid w:val="37377380"/>
    <w:rsid w:val="376E04D2"/>
    <w:rsid w:val="37781A80"/>
    <w:rsid w:val="3794711C"/>
    <w:rsid w:val="37C404E8"/>
    <w:rsid w:val="37DB423A"/>
    <w:rsid w:val="37E41D69"/>
    <w:rsid w:val="37F05781"/>
    <w:rsid w:val="37F27983"/>
    <w:rsid w:val="3806171D"/>
    <w:rsid w:val="383340DB"/>
    <w:rsid w:val="383554E9"/>
    <w:rsid w:val="38881CC5"/>
    <w:rsid w:val="389D0CDF"/>
    <w:rsid w:val="38A677F3"/>
    <w:rsid w:val="38C10B8F"/>
    <w:rsid w:val="38D12155"/>
    <w:rsid w:val="38D43D3D"/>
    <w:rsid w:val="38DE1A7D"/>
    <w:rsid w:val="38F52C52"/>
    <w:rsid w:val="391D37EA"/>
    <w:rsid w:val="393D3264"/>
    <w:rsid w:val="394E09B1"/>
    <w:rsid w:val="397D6C5D"/>
    <w:rsid w:val="397F651D"/>
    <w:rsid w:val="39A22AAB"/>
    <w:rsid w:val="39A237EA"/>
    <w:rsid w:val="39A56AE2"/>
    <w:rsid w:val="39B527AA"/>
    <w:rsid w:val="39BD3093"/>
    <w:rsid w:val="39C23EF3"/>
    <w:rsid w:val="39D23390"/>
    <w:rsid w:val="3A0C4978"/>
    <w:rsid w:val="3A1B0767"/>
    <w:rsid w:val="3A7417E1"/>
    <w:rsid w:val="3A905C8A"/>
    <w:rsid w:val="3AC87CF7"/>
    <w:rsid w:val="3ADE08B4"/>
    <w:rsid w:val="3AFC0CAA"/>
    <w:rsid w:val="3B5E36C8"/>
    <w:rsid w:val="3B612FE9"/>
    <w:rsid w:val="3B646E83"/>
    <w:rsid w:val="3B6F08F3"/>
    <w:rsid w:val="3B8461BF"/>
    <w:rsid w:val="3B8732EB"/>
    <w:rsid w:val="3BC545FB"/>
    <w:rsid w:val="3BCB6780"/>
    <w:rsid w:val="3BCB7708"/>
    <w:rsid w:val="3BDC363C"/>
    <w:rsid w:val="3BE15EB6"/>
    <w:rsid w:val="3C090537"/>
    <w:rsid w:val="3C0F609D"/>
    <w:rsid w:val="3C3F6CE9"/>
    <w:rsid w:val="3C4D31A2"/>
    <w:rsid w:val="3C5B60FB"/>
    <w:rsid w:val="3C6127A9"/>
    <w:rsid w:val="3C6A3D8B"/>
    <w:rsid w:val="3C74454B"/>
    <w:rsid w:val="3CBC20D5"/>
    <w:rsid w:val="3CC54441"/>
    <w:rsid w:val="3CDC46B9"/>
    <w:rsid w:val="3CE21B3C"/>
    <w:rsid w:val="3CF61143"/>
    <w:rsid w:val="3D2F2C1F"/>
    <w:rsid w:val="3D484542"/>
    <w:rsid w:val="3D583BAC"/>
    <w:rsid w:val="3D5D45AD"/>
    <w:rsid w:val="3D8175A7"/>
    <w:rsid w:val="3D8D719C"/>
    <w:rsid w:val="3D9D0F94"/>
    <w:rsid w:val="3DB22008"/>
    <w:rsid w:val="3DC2201D"/>
    <w:rsid w:val="3DD53474"/>
    <w:rsid w:val="3DFA4C63"/>
    <w:rsid w:val="3E081A5E"/>
    <w:rsid w:val="3E4C5F02"/>
    <w:rsid w:val="3E526C64"/>
    <w:rsid w:val="3E6914BF"/>
    <w:rsid w:val="3E807EF2"/>
    <w:rsid w:val="3E8166DB"/>
    <w:rsid w:val="3E99447C"/>
    <w:rsid w:val="3EB70DA6"/>
    <w:rsid w:val="3EBD2871"/>
    <w:rsid w:val="3EC55271"/>
    <w:rsid w:val="3ECC6D7D"/>
    <w:rsid w:val="3F0454FB"/>
    <w:rsid w:val="3F280576"/>
    <w:rsid w:val="3F3B2058"/>
    <w:rsid w:val="3F487C50"/>
    <w:rsid w:val="3F7315F1"/>
    <w:rsid w:val="3F870691"/>
    <w:rsid w:val="3F982C48"/>
    <w:rsid w:val="3FE66005"/>
    <w:rsid w:val="3FF5666B"/>
    <w:rsid w:val="40153FD6"/>
    <w:rsid w:val="4027633C"/>
    <w:rsid w:val="402A528B"/>
    <w:rsid w:val="4030282F"/>
    <w:rsid w:val="403E4E33"/>
    <w:rsid w:val="405A16B1"/>
    <w:rsid w:val="4061721C"/>
    <w:rsid w:val="40704361"/>
    <w:rsid w:val="409A17EE"/>
    <w:rsid w:val="409C3C83"/>
    <w:rsid w:val="40A05997"/>
    <w:rsid w:val="40A4535A"/>
    <w:rsid w:val="40AA67DA"/>
    <w:rsid w:val="40AB477C"/>
    <w:rsid w:val="40B40C18"/>
    <w:rsid w:val="40C55F22"/>
    <w:rsid w:val="411822DB"/>
    <w:rsid w:val="411E32F9"/>
    <w:rsid w:val="4121045B"/>
    <w:rsid w:val="41381EE1"/>
    <w:rsid w:val="413B7632"/>
    <w:rsid w:val="415009F1"/>
    <w:rsid w:val="415B1EBD"/>
    <w:rsid w:val="41631CCB"/>
    <w:rsid w:val="416C40CA"/>
    <w:rsid w:val="41896B25"/>
    <w:rsid w:val="41B034B4"/>
    <w:rsid w:val="41B53EDE"/>
    <w:rsid w:val="41BA6D71"/>
    <w:rsid w:val="41D23D44"/>
    <w:rsid w:val="41FF6765"/>
    <w:rsid w:val="42224789"/>
    <w:rsid w:val="422E6094"/>
    <w:rsid w:val="4259518B"/>
    <w:rsid w:val="425A02DC"/>
    <w:rsid w:val="426C648E"/>
    <w:rsid w:val="42711F07"/>
    <w:rsid w:val="42765202"/>
    <w:rsid w:val="427E4870"/>
    <w:rsid w:val="42932954"/>
    <w:rsid w:val="42AD52B2"/>
    <w:rsid w:val="42BA2152"/>
    <w:rsid w:val="42CD0A98"/>
    <w:rsid w:val="42E45EE2"/>
    <w:rsid w:val="42F70A1A"/>
    <w:rsid w:val="42FE546C"/>
    <w:rsid w:val="431A0C09"/>
    <w:rsid w:val="43200B63"/>
    <w:rsid w:val="434B10DD"/>
    <w:rsid w:val="43564C46"/>
    <w:rsid w:val="435E3EE6"/>
    <w:rsid w:val="43664B49"/>
    <w:rsid w:val="43866F99"/>
    <w:rsid w:val="43972B4E"/>
    <w:rsid w:val="439C4085"/>
    <w:rsid w:val="43CB70DF"/>
    <w:rsid w:val="43D71252"/>
    <w:rsid w:val="43F51F63"/>
    <w:rsid w:val="43FF7D30"/>
    <w:rsid w:val="440431A0"/>
    <w:rsid w:val="440D5ADD"/>
    <w:rsid w:val="443207A9"/>
    <w:rsid w:val="44386FE9"/>
    <w:rsid w:val="44407014"/>
    <w:rsid w:val="44417B79"/>
    <w:rsid w:val="445A15E0"/>
    <w:rsid w:val="446D195D"/>
    <w:rsid w:val="44A21FE4"/>
    <w:rsid w:val="44BB002C"/>
    <w:rsid w:val="44CC5B5F"/>
    <w:rsid w:val="44E563B0"/>
    <w:rsid w:val="44F87A23"/>
    <w:rsid w:val="4504422D"/>
    <w:rsid w:val="454D4212"/>
    <w:rsid w:val="45505AB1"/>
    <w:rsid w:val="45551418"/>
    <w:rsid w:val="4568104C"/>
    <w:rsid w:val="456F19FF"/>
    <w:rsid w:val="45AD40B0"/>
    <w:rsid w:val="45BA19C0"/>
    <w:rsid w:val="45E6315E"/>
    <w:rsid w:val="45EE1552"/>
    <w:rsid w:val="460F7A06"/>
    <w:rsid w:val="46137F37"/>
    <w:rsid w:val="4618037D"/>
    <w:rsid w:val="461B197A"/>
    <w:rsid w:val="46373D9E"/>
    <w:rsid w:val="464838C9"/>
    <w:rsid w:val="46496C77"/>
    <w:rsid w:val="46676C0A"/>
    <w:rsid w:val="4669507C"/>
    <w:rsid w:val="46810644"/>
    <w:rsid w:val="469056A9"/>
    <w:rsid w:val="46A269DC"/>
    <w:rsid w:val="46B32782"/>
    <w:rsid w:val="46BF6A4A"/>
    <w:rsid w:val="46E22739"/>
    <w:rsid w:val="46E80E3D"/>
    <w:rsid w:val="470D3C59"/>
    <w:rsid w:val="47523D62"/>
    <w:rsid w:val="47635580"/>
    <w:rsid w:val="477916A5"/>
    <w:rsid w:val="477E4B57"/>
    <w:rsid w:val="478A2B70"/>
    <w:rsid w:val="47956E7B"/>
    <w:rsid w:val="47B441D8"/>
    <w:rsid w:val="47D64774"/>
    <w:rsid w:val="480E2158"/>
    <w:rsid w:val="48480DBD"/>
    <w:rsid w:val="48511C73"/>
    <w:rsid w:val="48617B98"/>
    <w:rsid w:val="48641A97"/>
    <w:rsid w:val="487A07B5"/>
    <w:rsid w:val="488B752C"/>
    <w:rsid w:val="48A61241"/>
    <w:rsid w:val="48AB0553"/>
    <w:rsid w:val="48B110C3"/>
    <w:rsid w:val="48B13CBF"/>
    <w:rsid w:val="48DF421C"/>
    <w:rsid w:val="48EB2DF2"/>
    <w:rsid w:val="48F54560"/>
    <w:rsid w:val="490115D2"/>
    <w:rsid w:val="4922246A"/>
    <w:rsid w:val="493F1574"/>
    <w:rsid w:val="495609E8"/>
    <w:rsid w:val="49652B1B"/>
    <w:rsid w:val="49AA41B6"/>
    <w:rsid w:val="49E05308"/>
    <w:rsid w:val="49FE1F7F"/>
    <w:rsid w:val="4A233794"/>
    <w:rsid w:val="4A34342A"/>
    <w:rsid w:val="4A361719"/>
    <w:rsid w:val="4A3B451C"/>
    <w:rsid w:val="4A437992"/>
    <w:rsid w:val="4A653DAC"/>
    <w:rsid w:val="4A815643"/>
    <w:rsid w:val="4A8835F7"/>
    <w:rsid w:val="4A8B6AF7"/>
    <w:rsid w:val="4A8D6F5A"/>
    <w:rsid w:val="4ABB0A02"/>
    <w:rsid w:val="4AC4398B"/>
    <w:rsid w:val="4ACC5DAF"/>
    <w:rsid w:val="4ADC2719"/>
    <w:rsid w:val="4AEB42B2"/>
    <w:rsid w:val="4AF0758A"/>
    <w:rsid w:val="4B007A08"/>
    <w:rsid w:val="4B0E61F2"/>
    <w:rsid w:val="4B2A660D"/>
    <w:rsid w:val="4B362460"/>
    <w:rsid w:val="4B5D2CD5"/>
    <w:rsid w:val="4B65373A"/>
    <w:rsid w:val="4B796D9B"/>
    <w:rsid w:val="4B813988"/>
    <w:rsid w:val="4BA84E1A"/>
    <w:rsid w:val="4BBE19C6"/>
    <w:rsid w:val="4BE8784A"/>
    <w:rsid w:val="4C106ED4"/>
    <w:rsid w:val="4C2061DD"/>
    <w:rsid w:val="4C5D6A3D"/>
    <w:rsid w:val="4C71080A"/>
    <w:rsid w:val="4CF257EA"/>
    <w:rsid w:val="4D00163A"/>
    <w:rsid w:val="4D0616EF"/>
    <w:rsid w:val="4D3006A2"/>
    <w:rsid w:val="4D40647A"/>
    <w:rsid w:val="4D461C73"/>
    <w:rsid w:val="4D464B6B"/>
    <w:rsid w:val="4D6B4B5C"/>
    <w:rsid w:val="4D8E3A69"/>
    <w:rsid w:val="4DCA75CA"/>
    <w:rsid w:val="4DDB33BE"/>
    <w:rsid w:val="4DDF5C24"/>
    <w:rsid w:val="4E0302C9"/>
    <w:rsid w:val="4E045FDF"/>
    <w:rsid w:val="4E483EC3"/>
    <w:rsid w:val="4E486D40"/>
    <w:rsid w:val="4E7A17A5"/>
    <w:rsid w:val="4E8202ED"/>
    <w:rsid w:val="4E8A004E"/>
    <w:rsid w:val="4E924C46"/>
    <w:rsid w:val="4E9A591B"/>
    <w:rsid w:val="4EED6B30"/>
    <w:rsid w:val="4EFF402A"/>
    <w:rsid w:val="4F0F5BE3"/>
    <w:rsid w:val="4F2032FB"/>
    <w:rsid w:val="4F386F3E"/>
    <w:rsid w:val="4F4425D5"/>
    <w:rsid w:val="4F677E16"/>
    <w:rsid w:val="4F6E5B9F"/>
    <w:rsid w:val="4F8534D4"/>
    <w:rsid w:val="4F8C3149"/>
    <w:rsid w:val="4F9D18F3"/>
    <w:rsid w:val="4FA34B34"/>
    <w:rsid w:val="4FDF7BD6"/>
    <w:rsid w:val="501A0CDD"/>
    <w:rsid w:val="50262A74"/>
    <w:rsid w:val="5046440F"/>
    <w:rsid w:val="504F0E3F"/>
    <w:rsid w:val="50940112"/>
    <w:rsid w:val="509F6E67"/>
    <w:rsid w:val="50F41D56"/>
    <w:rsid w:val="50FE4613"/>
    <w:rsid w:val="51022355"/>
    <w:rsid w:val="512428C1"/>
    <w:rsid w:val="512E698F"/>
    <w:rsid w:val="51387B25"/>
    <w:rsid w:val="515360B3"/>
    <w:rsid w:val="515E50B1"/>
    <w:rsid w:val="518C7E71"/>
    <w:rsid w:val="51927C6D"/>
    <w:rsid w:val="519554EB"/>
    <w:rsid w:val="51BB48D4"/>
    <w:rsid w:val="51EE28D9"/>
    <w:rsid w:val="522712D1"/>
    <w:rsid w:val="52422029"/>
    <w:rsid w:val="52426781"/>
    <w:rsid w:val="52584F1D"/>
    <w:rsid w:val="52734888"/>
    <w:rsid w:val="52734B8D"/>
    <w:rsid w:val="527A416D"/>
    <w:rsid w:val="52884ADC"/>
    <w:rsid w:val="529E42FF"/>
    <w:rsid w:val="52BC4786"/>
    <w:rsid w:val="52D937BD"/>
    <w:rsid w:val="52FD006A"/>
    <w:rsid w:val="531D0A50"/>
    <w:rsid w:val="53583B63"/>
    <w:rsid w:val="536C7562"/>
    <w:rsid w:val="536F17F8"/>
    <w:rsid w:val="53930F3C"/>
    <w:rsid w:val="53A11BBD"/>
    <w:rsid w:val="53A81B81"/>
    <w:rsid w:val="53BD48B2"/>
    <w:rsid w:val="53D80F2A"/>
    <w:rsid w:val="53D941A3"/>
    <w:rsid w:val="53F80214"/>
    <w:rsid w:val="53FF2B7C"/>
    <w:rsid w:val="540168F4"/>
    <w:rsid w:val="54063F0A"/>
    <w:rsid w:val="540C5299"/>
    <w:rsid w:val="541E2C15"/>
    <w:rsid w:val="54372AB5"/>
    <w:rsid w:val="54400B9A"/>
    <w:rsid w:val="544B21FC"/>
    <w:rsid w:val="5453233C"/>
    <w:rsid w:val="546B6463"/>
    <w:rsid w:val="547D3A77"/>
    <w:rsid w:val="549239F0"/>
    <w:rsid w:val="549D3040"/>
    <w:rsid w:val="54D758DC"/>
    <w:rsid w:val="54E57FC4"/>
    <w:rsid w:val="54EB4EAE"/>
    <w:rsid w:val="54FA095E"/>
    <w:rsid w:val="55040901"/>
    <w:rsid w:val="55161546"/>
    <w:rsid w:val="55264138"/>
    <w:rsid w:val="557E3F74"/>
    <w:rsid w:val="5591141A"/>
    <w:rsid w:val="559A27AA"/>
    <w:rsid w:val="55AF3397"/>
    <w:rsid w:val="55B56982"/>
    <w:rsid w:val="55B74101"/>
    <w:rsid w:val="55FE2A6F"/>
    <w:rsid w:val="56063E55"/>
    <w:rsid w:val="562D159C"/>
    <w:rsid w:val="562D351C"/>
    <w:rsid w:val="565E78A2"/>
    <w:rsid w:val="5675326A"/>
    <w:rsid w:val="56775DA9"/>
    <w:rsid w:val="5696091C"/>
    <w:rsid w:val="569752EE"/>
    <w:rsid w:val="56DE395A"/>
    <w:rsid w:val="56DF05DE"/>
    <w:rsid w:val="56F12EA9"/>
    <w:rsid w:val="56F253F0"/>
    <w:rsid w:val="56F70118"/>
    <w:rsid w:val="57041F6D"/>
    <w:rsid w:val="570507AE"/>
    <w:rsid w:val="5730129E"/>
    <w:rsid w:val="57342729"/>
    <w:rsid w:val="574843AE"/>
    <w:rsid w:val="57703F90"/>
    <w:rsid w:val="5781543E"/>
    <w:rsid w:val="578707D4"/>
    <w:rsid w:val="57AC5FE6"/>
    <w:rsid w:val="57DE0D23"/>
    <w:rsid w:val="57E0328D"/>
    <w:rsid w:val="57EB7A72"/>
    <w:rsid w:val="57F05B64"/>
    <w:rsid w:val="57F23498"/>
    <w:rsid w:val="57FC6189"/>
    <w:rsid w:val="58137926"/>
    <w:rsid w:val="581A4428"/>
    <w:rsid w:val="58245546"/>
    <w:rsid w:val="5846521D"/>
    <w:rsid w:val="586E207E"/>
    <w:rsid w:val="588B0E82"/>
    <w:rsid w:val="588C4ECA"/>
    <w:rsid w:val="59047963"/>
    <w:rsid w:val="590D1600"/>
    <w:rsid w:val="59254E33"/>
    <w:rsid w:val="59433BCE"/>
    <w:rsid w:val="59462FFB"/>
    <w:rsid w:val="59476D0F"/>
    <w:rsid w:val="594E4ACF"/>
    <w:rsid w:val="596671F9"/>
    <w:rsid w:val="59675E4B"/>
    <w:rsid w:val="59784F85"/>
    <w:rsid w:val="599A03A5"/>
    <w:rsid w:val="599B30DC"/>
    <w:rsid w:val="59A57D21"/>
    <w:rsid w:val="59AC0C08"/>
    <w:rsid w:val="59D27ABB"/>
    <w:rsid w:val="59D61BA3"/>
    <w:rsid w:val="59D979CB"/>
    <w:rsid w:val="59E14FC6"/>
    <w:rsid w:val="59E940B2"/>
    <w:rsid w:val="5A183594"/>
    <w:rsid w:val="5A3D301B"/>
    <w:rsid w:val="5A45049F"/>
    <w:rsid w:val="5A4934B6"/>
    <w:rsid w:val="5A5D54D2"/>
    <w:rsid w:val="5A766C6C"/>
    <w:rsid w:val="5A8D2322"/>
    <w:rsid w:val="5AC431FB"/>
    <w:rsid w:val="5B0F5966"/>
    <w:rsid w:val="5B16597E"/>
    <w:rsid w:val="5B314EF5"/>
    <w:rsid w:val="5B3B639A"/>
    <w:rsid w:val="5B3F56E9"/>
    <w:rsid w:val="5B4517BC"/>
    <w:rsid w:val="5B513352"/>
    <w:rsid w:val="5B56702F"/>
    <w:rsid w:val="5B597E09"/>
    <w:rsid w:val="5B600CF8"/>
    <w:rsid w:val="5BE24CBF"/>
    <w:rsid w:val="5C213FDB"/>
    <w:rsid w:val="5C2A2760"/>
    <w:rsid w:val="5C311D40"/>
    <w:rsid w:val="5C391BC6"/>
    <w:rsid w:val="5C7D739C"/>
    <w:rsid w:val="5C814D6E"/>
    <w:rsid w:val="5C817227"/>
    <w:rsid w:val="5C8F65FA"/>
    <w:rsid w:val="5C91028F"/>
    <w:rsid w:val="5C9A78E6"/>
    <w:rsid w:val="5CA43F8A"/>
    <w:rsid w:val="5CB37354"/>
    <w:rsid w:val="5CBB4AA3"/>
    <w:rsid w:val="5CC002EA"/>
    <w:rsid w:val="5CD34BA6"/>
    <w:rsid w:val="5CFD63D8"/>
    <w:rsid w:val="5D3D3ECA"/>
    <w:rsid w:val="5D5C4B95"/>
    <w:rsid w:val="5D6B3A20"/>
    <w:rsid w:val="5D700660"/>
    <w:rsid w:val="5DAD328C"/>
    <w:rsid w:val="5DCB2717"/>
    <w:rsid w:val="5DD20027"/>
    <w:rsid w:val="5DD859C9"/>
    <w:rsid w:val="5E152FC6"/>
    <w:rsid w:val="5E260E6F"/>
    <w:rsid w:val="5E364A48"/>
    <w:rsid w:val="5E552D22"/>
    <w:rsid w:val="5E72566F"/>
    <w:rsid w:val="5E8A5738"/>
    <w:rsid w:val="5E8D40F1"/>
    <w:rsid w:val="5E943E1E"/>
    <w:rsid w:val="5EA35832"/>
    <w:rsid w:val="5EAD20F2"/>
    <w:rsid w:val="5EAE38D8"/>
    <w:rsid w:val="5EBD78BB"/>
    <w:rsid w:val="5EC2745F"/>
    <w:rsid w:val="5EEE7770"/>
    <w:rsid w:val="5F073306"/>
    <w:rsid w:val="5F0F71C3"/>
    <w:rsid w:val="5F293A37"/>
    <w:rsid w:val="5F335DCF"/>
    <w:rsid w:val="5F363E6E"/>
    <w:rsid w:val="5F3B6A32"/>
    <w:rsid w:val="5F4920F1"/>
    <w:rsid w:val="5F4D50E3"/>
    <w:rsid w:val="5F5F73B9"/>
    <w:rsid w:val="5F65707D"/>
    <w:rsid w:val="5FB35B53"/>
    <w:rsid w:val="5FB67688"/>
    <w:rsid w:val="5FC353A5"/>
    <w:rsid w:val="5FE8149A"/>
    <w:rsid w:val="60143995"/>
    <w:rsid w:val="60242EDD"/>
    <w:rsid w:val="6024439E"/>
    <w:rsid w:val="603B0634"/>
    <w:rsid w:val="604F3BA4"/>
    <w:rsid w:val="605320D3"/>
    <w:rsid w:val="608579F9"/>
    <w:rsid w:val="609F3AD2"/>
    <w:rsid w:val="60DD7FB7"/>
    <w:rsid w:val="60E23609"/>
    <w:rsid w:val="60F60980"/>
    <w:rsid w:val="61083E89"/>
    <w:rsid w:val="6119108F"/>
    <w:rsid w:val="611D2893"/>
    <w:rsid w:val="611D3E0F"/>
    <w:rsid w:val="61490349"/>
    <w:rsid w:val="614C769B"/>
    <w:rsid w:val="616214C7"/>
    <w:rsid w:val="61643B05"/>
    <w:rsid w:val="61721C9C"/>
    <w:rsid w:val="61747702"/>
    <w:rsid w:val="617C38AC"/>
    <w:rsid w:val="61852FB7"/>
    <w:rsid w:val="61AB4083"/>
    <w:rsid w:val="61B04F6E"/>
    <w:rsid w:val="61C8671E"/>
    <w:rsid w:val="61F50BF2"/>
    <w:rsid w:val="61FB6655"/>
    <w:rsid w:val="62001846"/>
    <w:rsid w:val="62017F17"/>
    <w:rsid w:val="621E4B15"/>
    <w:rsid w:val="62372BD2"/>
    <w:rsid w:val="623B74ED"/>
    <w:rsid w:val="6260097F"/>
    <w:rsid w:val="62967EC8"/>
    <w:rsid w:val="62A82630"/>
    <w:rsid w:val="62AE4126"/>
    <w:rsid w:val="62C234F0"/>
    <w:rsid w:val="62CE701D"/>
    <w:rsid w:val="62EA0E9B"/>
    <w:rsid w:val="62FB24CC"/>
    <w:rsid w:val="63071A4D"/>
    <w:rsid w:val="630930CF"/>
    <w:rsid w:val="630C2BBF"/>
    <w:rsid w:val="630F26B0"/>
    <w:rsid w:val="631C2CE9"/>
    <w:rsid w:val="633F11E7"/>
    <w:rsid w:val="63500834"/>
    <w:rsid w:val="63612220"/>
    <w:rsid w:val="63953991"/>
    <w:rsid w:val="639F48D5"/>
    <w:rsid w:val="63AA3A46"/>
    <w:rsid w:val="63AF4246"/>
    <w:rsid w:val="63B50DB2"/>
    <w:rsid w:val="63BA32F4"/>
    <w:rsid w:val="63DC5F56"/>
    <w:rsid w:val="63E23009"/>
    <w:rsid w:val="63F35B2D"/>
    <w:rsid w:val="63F52D70"/>
    <w:rsid w:val="640403C0"/>
    <w:rsid w:val="64316853"/>
    <w:rsid w:val="643710FC"/>
    <w:rsid w:val="64373FEB"/>
    <w:rsid w:val="6448098F"/>
    <w:rsid w:val="644A511E"/>
    <w:rsid w:val="64634A61"/>
    <w:rsid w:val="64744EC0"/>
    <w:rsid w:val="64796354"/>
    <w:rsid w:val="649F36B1"/>
    <w:rsid w:val="64AC29C6"/>
    <w:rsid w:val="64AE12EC"/>
    <w:rsid w:val="64DD378A"/>
    <w:rsid w:val="64E32187"/>
    <w:rsid w:val="64E87687"/>
    <w:rsid w:val="64ED07CF"/>
    <w:rsid w:val="650B0F5A"/>
    <w:rsid w:val="65177A63"/>
    <w:rsid w:val="65183A9D"/>
    <w:rsid w:val="652609C5"/>
    <w:rsid w:val="65491388"/>
    <w:rsid w:val="655748CB"/>
    <w:rsid w:val="65780026"/>
    <w:rsid w:val="658C1461"/>
    <w:rsid w:val="65A55BDD"/>
    <w:rsid w:val="65B6655A"/>
    <w:rsid w:val="65B91F22"/>
    <w:rsid w:val="65BD073D"/>
    <w:rsid w:val="65F20792"/>
    <w:rsid w:val="661D0544"/>
    <w:rsid w:val="663A405A"/>
    <w:rsid w:val="66643978"/>
    <w:rsid w:val="667411A7"/>
    <w:rsid w:val="66790E41"/>
    <w:rsid w:val="66A82BFF"/>
    <w:rsid w:val="66A85222"/>
    <w:rsid w:val="66B477F6"/>
    <w:rsid w:val="66D63B6E"/>
    <w:rsid w:val="66E87B5D"/>
    <w:rsid w:val="67074A02"/>
    <w:rsid w:val="670D44B4"/>
    <w:rsid w:val="67191B38"/>
    <w:rsid w:val="67191E9B"/>
    <w:rsid w:val="67281F92"/>
    <w:rsid w:val="673369F2"/>
    <w:rsid w:val="676D7A10"/>
    <w:rsid w:val="67A41B04"/>
    <w:rsid w:val="67D77C40"/>
    <w:rsid w:val="68017CE4"/>
    <w:rsid w:val="68120C78"/>
    <w:rsid w:val="683071D0"/>
    <w:rsid w:val="6838144E"/>
    <w:rsid w:val="683F7593"/>
    <w:rsid w:val="686D5C6A"/>
    <w:rsid w:val="687234C5"/>
    <w:rsid w:val="687356EA"/>
    <w:rsid w:val="687B3A21"/>
    <w:rsid w:val="689063CF"/>
    <w:rsid w:val="68992F13"/>
    <w:rsid w:val="689E59DA"/>
    <w:rsid w:val="68AA7398"/>
    <w:rsid w:val="68B77EC1"/>
    <w:rsid w:val="68D4417F"/>
    <w:rsid w:val="68FB38F6"/>
    <w:rsid w:val="69281841"/>
    <w:rsid w:val="69734775"/>
    <w:rsid w:val="69840B82"/>
    <w:rsid w:val="69990F25"/>
    <w:rsid w:val="69AA4EE0"/>
    <w:rsid w:val="69D73AC6"/>
    <w:rsid w:val="69DB4C7C"/>
    <w:rsid w:val="69F068FB"/>
    <w:rsid w:val="69F63767"/>
    <w:rsid w:val="6A000318"/>
    <w:rsid w:val="6A366774"/>
    <w:rsid w:val="6A3E3402"/>
    <w:rsid w:val="6A461E68"/>
    <w:rsid w:val="6AB801E2"/>
    <w:rsid w:val="6ACC18F4"/>
    <w:rsid w:val="6AE77C9B"/>
    <w:rsid w:val="6AED32A0"/>
    <w:rsid w:val="6AEF704E"/>
    <w:rsid w:val="6AFC5A6E"/>
    <w:rsid w:val="6AFD2811"/>
    <w:rsid w:val="6B1C6E35"/>
    <w:rsid w:val="6B2F7D93"/>
    <w:rsid w:val="6B4D12BC"/>
    <w:rsid w:val="6B5D6793"/>
    <w:rsid w:val="6B5E4F34"/>
    <w:rsid w:val="6B6F33E6"/>
    <w:rsid w:val="6B6F6C1F"/>
    <w:rsid w:val="6B7649B2"/>
    <w:rsid w:val="6BA67487"/>
    <w:rsid w:val="6BB7747B"/>
    <w:rsid w:val="6BCF16EA"/>
    <w:rsid w:val="6BF3491C"/>
    <w:rsid w:val="6BF92949"/>
    <w:rsid w:val="6C151662"/>
    <w:rsid w:val="6C3306D2"/>
    <w:rsid w:val="6C3B5506"/>
    <w:rsid w:val="6C543A21"/>
    <w:rsid w:val="6C5E25FF"/>
    <w:rsid w:val="6C735B50"/>
    <w:rsid w:val="6CB417F8"/>
    <w:rsid w:val="6CC938CF"/>
    <w:rsid w:val="6CDE3F67"/>
    <w:rsid w:val="6CF03552"/>
    <w:rsid w:val="6CF2109E"/>
    <w:rsid w:val="6D0544B6"/>
    <w:rsid w:val="6D1927C4"/>
    <w:rsid w:val="6D3163D6"/>
    <w:rsid w:val="6D447B9D"/>
    <w:rsid w:val="6D5165B8"/>
    <w:rsid w:val="6D6B4986"/>
    <w:rsid w:val="6D7E660E"/>
    <w:rsid w:val="6D8C3C34"/>
    <w:rsid w:val="6D9F452E"/>
    <w:rsid w:val="6DAA59E1"/>
    <w:rsid w:val="6DAE41D9"/>
    <w:rsid w:val="6DBC1754"/>
    <w:rsid w:val="6DD17D62"/>
    <w:rsid w:val="6E032876"/>
    <w:rsid w:val="6E0F4F8D"/>
    <w:rsid w:val="6E13237E"/>
    <w:rsid w:val="6E1879D0"/>
    <w:rsid w:val="6E290AC9"/>
    <w:rsid w:val="6E2F38EA"/>
    <w:rsid w:val="6E320D18"/>
    <w:rsid w:val="6E922E13"/>
    <w:rsid w:val="6E9B4D97"/>
    <w:rsid w:val="6EAF5B84"/>
    <w:rsid w:val="6EC234F4"/>
    <w:rsid w:val="6ED950BD"/>
    <w:rsid w:val="6EF80022"/>
    <w:rsid w:val="6F0917CE"/>
    <w:rsid w:val="6F822B79"/>
    <w:rsid w:val="6F97D24A"/>
    <w:rsid w:val="6F9F1765"/>
    <w:rsid w:val="6FA5218B"/>
    <w:rsid w:val="6FBB1352"/>
    <w:rsid w:val="6FD83846"/>
    <w:rsid w:val="70180DF5"/>
    <w:rsid w:val="70241B57"/>
    <w:rsid w:val="70251A96"/>
    <w:rsid w:val="70297111"/>
    <w:rsid w:val="70336F9A"/>
    <w:rsid w:val="70551E67"/>
    <w:rsid w:val="705A0112"/>
    <w:rsid w:val="705F630C"/>
    <w:rsid w:val="70690614"/>
    <w:rsid w:val="70A51997"/>
    <w:rsid w:val="70B86AA7"/>
    <w:rsid w:val="70DD00DC"/>
    <w:rsid w:val="70E67ED5"/>
    <w:rsid w:val="70EB02B8"/>
    <w:rsid w:val="70F13B89"/>
    <w:rsid w:val="70F80805"/>
    <w:rsid w:val="71167478"/>
    <w:rsid w:val="711D243B"/>
    <w:rsid w:val="711D50BB"/>
    <w:rsid w:val="71237896"/>
    <w:rsid w:val="712A5284"/>
    <w:rsid w:val="71390D7C"/>
    <w:rsid w:val="713C4102"/>
    <w:rsid w:val="71420031"/>
    <w:rsid w:val="714A342F"/>
    <w:rsid w:val="715660A1"/>
    <w:rsid w:val="7168555F"/>
    <w:rsid w:val="717A6480"/>
    <w:rsid w:val="71C56FBD"/>
    <w:rsid w:val="71D33A30"/>
    <w:rsid w:val="71F82F9E"/>
    <w:rsid w:val="7213793C"/>
    <w:rsid w:val="725072CA"/>
    <w:rsid w:val="725956F5"/>
    <w:rsid w:val="725C373A"/>
    <w:rsid w:val="726253E1"/>
    <w:rsid w:val="72667796"/>
    <w:rsid w:val="72AE77EF"/>
    <w:rsid w:val="72B94E61"/>
    <w:rsid w:val="72C43AB7"/>
    <w:rsid w:val="72E9198B"/>
    <w:rsid w:val="73357DF4"/>
    <w:rsid w:val="733D1612"/>
    <w:rsid w:val="737456F6"/>
    <w:rsid w:val="73777D21"/>
    <w:rsid w:val="739D2629"/>
    <w:rsid w:val="73BE7F06"/>
    <w:rsid w:val="741D18EF"/>
    <w:rsid w:val="742C597A"/>
    <w:rsid w:val="743C0E2B"/>
    <w:rsid w:val="74485068"/>
    <w:rsid w:val="74627DA3"/>
    <w:rsid w:val="74681C20"/>
    <w:rsid w:val="74A7141D"/>
    <w:rsid w:val="74B35591"/>
    <w:rsid w:val="74BA2E14"/>
    <w:rsid w:val="74BA691F"/>
    <w:rsid w:val="74D06D4B"/>
    <w:rsid w:val="74DE08FF"/>
    <w:rsid w:val="74F769C2"/>
    <w:rsid w:val="75151DA7"/>
    <w:rsid w:val="75232716"/>
    <w:rsid w:val="752C1160"/>
    <w:rsid w:val="754040AE"/>
    <w:rsid w:val="7554008E"/>
    <w:rsid w:val="75724718"/>
    <w:rsid w:val="75886287"/>
    <w:rsid w:val="758B0BA4"/>
    <w:rsid w:val="75AA118F"/>
    <w:rsid w:val="75AF3FAA"/>
    <w:rsid w:val="75E875B4"/>
    <w:rsid w:val="75EB0756"/>
    <w:rsid w:val="75F153E8"/>
    <w:rsid w:val="75F8498C"/>
    <w:rsid w:val="75FB6E8A"/>
    <w:rsid w:val="762E0340"/>
    <w:rsid w:val="76326989"/>
    <w:rsid w:val="763E1393"/>
    <w:rsid w:val="76B63F2A"/>
    <w:rsid w:val="771439B4"/>
    <w:rsid w:val="77174DA1"/>
    <w:rsid w:val="772A140E"/>
    <w:rsid w:val="7733029F"/>
    <w:rsid w:val="773C2BB6"/>
    <w:rsid w:val="778D55C5"/>
    <w:rsid w:val="77901B44"/>
    <w:rsid w:val="77A363F9"/>
    <w:rsid w:val="77A86B72"/>
    <w:rsid w:val="77B72E83"/>
    <w:rsid w:val="77DC082E"/>
    <w:rsid w:val="78016613"/>
    <w:rsid w:val="780D320A"/>
    <w:rsid w:val="782C25D5"/>
    <w:rsid w:val="784677F8"/>
    <w:rsid w:val="785C7CED"/>
    <w:rsid w:val="786C6182"/>
    <w:rsid w:val="788F1E71"/>
    <w:rsid w:val="789433CB"/>
    <w:rsid w:val="78B6564F"/>
    <w:rsid w:val="78C67BA5"/>
    <w:rsid w:val="78D760B6"/>
    <w:rsid w:val="78DC699B"/>
    <w:rsid w:val="792128F0"/>
    <w:rsid w:val="79734022"/>
    <w:rsid w:val="799736F9"/>
    <w:rsid w:val="799A6677"/>
    <w:rsid w:val="799B093F"/>
    <w:rsid w:val="79A408EB"/>
    <w:rsid w:val="79B00192"/>
    <w:rsid w:val="79BB4395"/>
    <w:rsid w:val="79C43D9C"/>
    <w:rsid w:val="79D7762B"/>
    <w:rsid w:val="79DC7CBF"/>
    <w:rsid w:val="7A047BEE"/>
    <w:rsid w:val="7A0643B5"/>
    <w:rsid w:val="7A2A1C30"/>
    <w:rsid w:val="7A2B1A70"/>
    <w:rsid w:val="7A2C7387"/>
    <w:rsid w:val="7A3902E6"/>
    <w:rsid w:val="7A6108EE"/>
    <w:rsid w:val="7A6262A3"/>
    <w:rsid w:val="7A67775E"/>
    <w:rsid w:val="7A684727"/>
    <w:rsid w:val="7A7C1AD0"/>
    <w:rsid w:val="7A94376E"/>
    <w:rsid w:val="7ABE07EB"/>
    <w:rsid w:val="7AD7365B"/>
    <w:rsid w:val="7ADE37AF"/>
    <w:rsid w:val="7AE7015F"/>
    <w:rsid w:val="7AF3206E"/>
    <w:rsid w:val="7B145A11"/>
    <w:rsid w:val="7B167964"/>
    <w:rsid w:val="7B2A20B0"/>
    <w:rsid w:val="7B477562"/>
    <w:rsid w:val="7B4C5FDE"/>
    <w:rsid w:val="7B615D46"/>
    <w:rsid w:val="7B805E5E"/>
    <w:rsid w:val="7B816819"/>
    <w:rsid w:val="7B8F7E40"/>
    <w:rsid w:val="7B931C78"/>
    <w:rsid w:val="7BBA572A"/>
    <w:rsid w:val="7BC2430B"/>
    <w:rsid w:val="7BC506FF"/>
    <w:rsid w:val="7BD06A28"/>
    <w:rsid w:val="7BF422EC"/>
    <w:rsid w:val="7C06508E"/>
    <w:rsid w:val="7C077F70"/>
    <w:rsid w:val="7C1034D3"/>
    <w:rsid w:val="7C1B18FB"/>
    <w:rsid w:val="7C211032"/>
    <w:rsid w:val="7C231940"/>
    <w:rsid w:val="7C350C01"/>
    <w:rsid w:val="7C4B2553"/>
    <w:rsid w:val="7C742262"/>
    <w:rsid w:val="7C750D4B"/>
    <w:rsid w:val="7C7C1E47"/>
    <w:rsid w:val="7C8B0BA1"/>
    <w:rsid w:val="7C8C7D46"/>
    <w:rsid w:val="7CA9787A"/>
    <w:rsid w:val="7CAB2FF1"/>
    <w:rsid w:val="7CBC6BC7"/>
    <w:rsid w:val="7CF91FAF"/>
    <w:rsid w:val="7D182727"/>
    <w:rsid w:val="7D413844"/>
    <w:rsid w:val="7D5C784E"/>
    <w:rsid w:val="7D8A6AEF"/>
    <w:rsid w:val="7DDB1AC2"/>
    <w:rsid w:val="7DE90E7A"/>
    <w:rsid w:val="7DF02ADD"/>
    <w:rsid w:val="7E23398C"/>
    <w:rsid w:val="7E2766A8"/>
    <w:rsid w:val="7E2B6198"/>
    <w:rsid w:val="7E5B5E04"/>
    <w:rsid w:val="7E803BA2"/>
    <w:rsid w:val="7E8D3366"/>
    <w:rsid w:val="7EC82CE9"/>
    <w:rsid w:val="7F036DAF"/>
    <w:rsid w:val="7F0A2251"/>
    <w:rsid w:val="7F0A703C"/>
    <w:rsid w:val="7F251D0E"/>
    <w:rsid w:val="7F465549"/>
    <w:rsid w:val="7F4D294D"/>
    <w:rsid w:val="7F5B5851"/>
    <w:rsid w:val="7F5F372B"/>
    <w:rsid w:val="7F802513"/>
    <w:rsid w:val="7F97D7F2"/>
    <w:rsid w:val="7FB37F22"/>
    <w:rsid w:val="7FB93F2D"/>
    <w:rsid w:val="7FDE198B"/>
    <w:rsid w:val="7FE17456"/>
    <w:rsid w:val="7FE9455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6"/>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225"/>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5"/>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6"/>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7"/>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8"/>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9"/>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70"/>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autoRedefine/>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rmal Indent"/>
    <w:basedOn w:val="1"/>
    <w:link w:val="64"/>
    <w:autoRedefine/>
    <w:qFormat/>
    <w:uiPriority w:val="0"/>
    <w:pPr>
      <w:autoSpaceDE w:val="0"/>
      <w:autoSpaceDN w:val="0"/>
      <w:adjustRightInd w:val="0"/>
      <w:ind w:firstLine="420"/>
      <w:jc w:val="left"/>
    </w:pPr>
    <w:rPr>
      <w:rFonts w:ascii="宋体"/>
      <w:sz w:val="24"/>
    </w:r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71"/>
    <w:autoRedefine/>
    <w:qFormat/>
    <w:uiPriority w:val="0"/>
    <w:pPr>
      <w:shd w:val="clear" w:color="auto" w:fill="000080"/>
    </w:pPr>
  </w:style>
  <w:style w:type="paragraph" w:styleId="15">
    <w:name w:val="annotation text"/>
    <w:basedOn w:val="1"/>
    <w:link w:val="72"/>
    <w:autoRedefine/>
    <w:qFormat/>
    <w:uiPriority w:val="99"/>
    <w:pPr>
      <w:jc w:val="left"/>
    </w:pPr>
  </w:style>
  <w:style w:type="paragraph" w:styleId="16">
    <w:name w:val="Body Text 3"/>
    <w:basedOn w:val="1"/>
    <w:link w:val="73"/>
    <w:autoRedefine/>
    <w:qFormat/>
    <w:uiPriority w:val="0"/>
    <w:pPr>
      <w:spacing w:after="120"/>
    </w:pPr>
    <w:rPr>
      <w:sz w:val="16"/>
      <w:szCs w:val="16"/>
    </w:rPr>
  </w:style>
  <w:style w:type="paragraph" w:styleId="17">
    <w:name w:val="Body Text"/>
    <w:basedOn w:val="1"/>
    <w:link w:val="74"/>
    <w:autoRedefine/>
    <w:qFormat/>
    <w:uiPriority w:val="0"/>
    <w:pPr>
      <w:tabs>
        <w:tab w:val="left" w:pos="567"/>
      </w:tabs>
      <w:spacing w:before="120" w:line="22" w:lineRule="atLeast"/>
    </w:pPr>
    <w:rPr>
      <w:rFonts w:ascii="宋体" w:hAnsi="宋体"/>
      <w:sz w:val="24"/>
    </w:rPr>
  </w:style>
  <w:style w:type="paragraph" w:styleId="18">
    <w:name w:val="Body Text Indent"/>
    <w:basedOn w:val="1"/>
    <w:next w:val="19"/>
    <w:link w:val="59"/>
    <w:autoRedefine/>
    <w:qFormat/>
    <w:uiPriority w:val="0"/>
    <w:pPr>
      <w:spacing w:line="360" w:lineRule="auto"/>
      <w:ind w:firstLine="570"/>
    </w:pPr>
    <w:rPr>
      <w:sz w:val="24"/>
    </w:rPr>
  </w:style>
  <w:style w:type="paragraph" w:styleId="19">
    <w:name w:val="envelope return"/>
    <w:basedOn w:val="1"/>
    <w:autoRedefine/>
    <w:qFormat/>
    <w:uiPriority w:val="99"/>
    <w:rPr>
      <w:rFonts w:ascii="Arial" w:hAnsi="Arial" w:cs="Arial"/>
      <w:kern w:val="1"/>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75"/>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6"/>
    <w:autoRedefine/>
    <w:qFormat/>
    <w:uiPriority w:val="0"/>
    <w:pPr>
      <w:ind w:left="100" w:leftChars="2500"/>
    </w:pPr>
    <w:rPr>
      <w:rFonts w:ascii="仿宋_GB2312" w:hAnsi="宋体" w:eastAsia="仿宋_GB2312"/>
      <w:color w:val="000000"/>
      <w:sz w:val="24"/>
    </w:rPr>
  </w:style>
  <w:style w:type="paragraph" w:styleId="27">
    <w:name w:val="Body Text Indent 2"/>
    <w:basedOn w:val="1"/>
    <w:link w:val="77"/>
    <w:autoRedefine/>
    <w:qFormat/>
    <w:uiPriority w:val="0"/>
    <w:pPr>
      <w:ind w:firstLine="480" w:firstLineChars="200"/>
    </w:pPr>
    <w:rPr>
      <w:rFonts w:ascii="仿宋_GB2312" w:eastAsia="仿宋_GB2312"/>
      <w:sz w:val="24"/>
    </w:rPr>
  </w:style>
  <w:style w:type="paragraph" w:styleId="28">
    <w:name w:val="Balloon Text"/>
    <w:basedOn w:val="1"/>
    <w:link w:val="78"/>
    <w:autoRedefine/>
    <w:qFormat/>
    <w:uiPriority w:val="0"/>
    <w:rPr>
      <w:sz w:val="18"/>
      <w:szCs w:val="18"/>
    </w:rPr>
  </w:style>
  <w:style w:type="paragraph" w:styleId="29">
    <w:name w:val="footer"/>
    <w:basedOn w:val="1"/>
    <w:next w:val="1"/>
    <w:link w:val="7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80"/>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footnote text"/>
    <w:basedOn w:val="1"/>
    <w:next w:val="30"/>
    <w:autoRedefine/>
    <w:unhideWhenUsed/>
    <w:qFormat/>
    <w:uiPriority w:val="0"/>
    <w:pPr>
      <w:snapToGrid w:val="0"/>
      <w:jc w:val="left"/>
    </w:pPr>
  </w:style>
  <w:style w:type="paragraph" w:styleId="34">
    <w:name w:val="toc 6"/>
    <w:basedOn w:val="1"/>
    <w:next w:val="1"/>
    <w:autoRedefine/>
    <w:qFormat/>
    <w:uiPriority w:val="0"/>
    <w:pPr>
      <w:ind w:left="2100" w:leftChars="1000"/>
    </w:pPr>
  </w:style>
  <w:style w:type="paragraph" w:styleId="35">
    <w:name w:val="Body Text Indent 3"/>
    <w:basedOn w:val="1"/>
    <w:link w:val="8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HTML Preformatted"/>
    <w:basedOn w:val="1"/>
    <w:link w:val="8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next w:val="1"/>
    <w:link w:val="83"/>
    <w:autoRedefine/>
    <w:qFormat/>
    <w:uiPriority w:val="0"/>
    <w:pPr>
      <w:jc w:val="center"/>
      <w:outlineLvl w:val="0"/>
    </w:pPr>
    <w:rPr>
      <w:b/>
      <w:sz w:val="32"/>
      <w:szCs w:val="20"/>
    </w:rPr>
  </w:style>
  <w:style w:type="paragraph" w:styleId="42">
    <w:name w:val="annotation subject"/>
    <w:basedOn w:val="15"/>
    <w:next w:val="15"/>
    <w:link w:val="84"/>
    <w:autoRedefine/>
    <w:qFormat/>
    <w:uiPriority w:val="0"/>
    <w:rPr>
      <w:b/>
      <w:bCs/>
    </w:rPr>
  </w:style>
  <w:style w:type="paragraph" w:styleId="43">
    <w:name w:val="Body Text First Indent"/>
    <w:basedOn w:val="17"/>
    <w:autoRedefine/>
    <w:qFormat/>
    <w:uiPriority w:val="0"/>
    <w:pPr>
      <w:spacing w:after="120"/>
      <w:ind w:firstLine="420" w:firstLineChars="100"/>
    </w:pPr>
    <w:rPr>
      <w:rFonts w:ascii="Calibri" w:hAnsi="Calibri"/>
      <w:sz w:val="21"/>
    </w:rPr>
  </w:style>
  <w:style w:type="paragraph" w:styleId="44">
    <w:name w:val="Body Text First Indent 2"/>
    <w:basedOn w:val="18"/>
    <w:link w:val="60"/>
    <w:autoRedefine/>
    <w:qFormat/>
    <w:uiPriority w:val="0"/>
    <w:pPr>
      <w:spacing w:after="120" w:line="480" w:lineRule="exact"/>
      <w:ind w:left="420" w:leftChars="200" w:firstLine="420" w:firstLineChars="200"/>
    </w:pPr>
    <w:rPr>
      <w:szCs w:val="20"/>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basedOn w:val="48"/>
    <w:autoRedefine/>
    <w:qFormat/>
    <w:uiPriority w:val="0"/>
    <w:rPr>
      <w:b/>
      <w:bCs/>
    </w:rPr>
  </w:style>
  <w:style w:type="character" w:styleId="50">
    <w:name w:val="page number"/>
    <w:basedOn w:val="48"/>
    <w:autoRedefine/>
    <w:qFormat/>
    <w:uiPriority w:val="0"/>
  </w:style>
  <w:style w:type="character" w:styleId="51">
    <w:name w:val="FollowedHyperlink"/>
    <w:autoRedefine/>
    <w:qFormat/>
    <w:uiPriority w:val="0"/>
    <w:rPr>
      <w:color w:val="800080"/>
      <w:u w:val="single"/>
    </w:rPr>
  </w:style>
  <w:style w:type="character" w:styleId="52">
    <w:name w:val="Emphasis"/>
    <w:autoRedefine/>
    <w:qFormat/>
    <w:uiPriority w:val="0"/>
    <w:rPr>
      <w:color w:val="CC0033"/>
    </w:rPr>
  </w:style>
  <w:style w:type="character" w:styleId="53">
    <w:name w:val="Hyperlink"/>
    <w:autoRedefine/>
    <w:qFormat/>
    <w:uiPriority w:val="99"/>
    <w:rPr>
      <w:color w:val="0000FF"/>
      <w:u w:val="single"/>
    </w:rPr>
  </w:style>
  <w:style w:type="character" w:styleId="54">
    <w:name w:val="annotation reference"/>
    <w:autoRedefine/>
    <w:qFormat/>
    <w:uiPriority w:val="99"/>
    <w:rPr>
      <w:sz w:val="21"/>
      <w:szCs w:val="21"/>
    </w:rPr>
  </w:style>
  <w:style w:type="character" w:styleId="55">
    <w:name w:val="HTML Cite"/>
    <w:autoRedefine/>
    <w:qFormat/>
    <w:uiPriority w:val="0"/>
    <w:rPr>
      <w:i/>
      <w:iCs/>
    </w:rPr>
  </w:style>
  <w:style w:type="paragraph" w:customStyle="1" w:styleId="56">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styleId="57">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58">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59">
    <w:name w:val="正文文本缩进 字符"/>
    <w:link w:val="18"/>
    <w:autoRedefine/>
    <w:qFormat/>
    <w:uiPriority w:val="0"/>
    <w:rPr>
      <w:rFonts w:eastAsia="宋体"/>
      <w:kern w:val="2"/>
      <w:sz w:val="24"/>
      <w:szCs w:val="24"/>
      <w:lang w:val="en-US" w:eastAsia="zh-CN" w:bidi="ar-SA"/>
    </w:rPr>
  </w:style>
  <w:style w:type="character" w:customStyle="1" w:styleId="60">
    <w:name w:val="正文文本首行缩进 2 字符"/>
    <w:basedOn w:val="59"/>
    <w:link w:val="44"/>
    <w:autoRedefine/>
    <w:qFormat/>
    <w:uiPriority w:val="0"/>
    <w:rPr>
      <w:rFonts w:eastAsia="宋体"/>
      <w:kern w:val="2"/>
      <w:sz w:val="24"/>
      <w:szCs w:val="24"/>
      <w:lang w:val="en-US" w:eastAsia="zh-CN" w:bidi="ar-SA"/>
    </w:rPr>
  </w:style>
  <w:style w:type="character" w:customStyle="1" w:styleId="61">
    <w:name w:val="标题 1 字符"/>
    <w:basedOn w:val="48"/>
    <w:autoRedefine/>
    <w:qFormat/>
    <w:uiPriority w:val="0"/>
    <w:rPr>
      <w:rFonts w:ascii="宋体"/>
      <w:b/>
      <w:kern w:val="44"/>
      <w:sz w:val="32"/>
    </w:rPr>
  </w:style>
  <w:style w:type="character" w:customStyle="1" w:styleId="62">
    <w:name w:val="标题 2 字符"/>
    <w:link w:val="3"/>
    <w:autoRedefine/>
    <w:qFormat/>
    <w:uiPriority w:val="0"/>
    <w:rPr>
      <w:rFonts w:ascii="Arial" w:hAnsi="Arial" w:eastAsia="黑体"/>
      <w:b/>
      <w:sz w:val="30"/>
      <w:lang w:val="en-US" w:eastAsia="zh-CN" w:bidi="ar-SA"/>
    </w:rPr>
  </w:style>
  <w:style w:type="character" w:customStyle="1" w:styleId="63">
    <w:name w:val="标题 3 字符"/>
    <w:autoRedefine/>
    <w:qFormat/>
    <w:uiPriority w:val="0"/>
    <w:rPr>
      <w:rFonts w:ascii="宋体" w:eastAsia="宋体"/>
      <w:b/>
      <w:sz w:val="24"/>
      <w:u w:val="single"/>
      <w:lang w:val="en-US" w:eastAsia="zh-CN" w:bidi="ar-SA"/>
    </w:rPr>
  </w:style>
  <w:style w:type="character" w:customStyle="1" w:styleId="64">
    <w:name w:val="正文缩进 字符"/>
    <w:link w:val="12"/>
    <w:autoRedefine/>
    <w:qFormat/>
    <w:uiPriority w:val="0"/>
    <w:rPr>
      <w:rFonts w:ascii="宋体" w:eastAsia="宋体"/>
      <w:kern w:val="2"/>
      <w:sz w:val="24"/>
      <w:szCs w:val="24"/>
      <w:lang w:val="en-US" w:eastAsia="zh-CN" w:bidi="ar-SA"/>
    </w:rPr>
  </w:style>
  <w:style w:type="character" w:customStyle="1" w:styleId="65">
    <w:name w:val="标题 4 字符"/>
    <w:basedOn w:val="48"/>
    <w:link w:val="5"/>
    <w:autoRedefine/>
    <w:qFormat/>
    <w:uiPriority w:val="0"/>
    <w:rPr>
      <w:rFonts w:ascii="Arial" w:hAnsi="Arial" w:eastAsia="黑体"/>
      <w:b/>
      <w:sz w:val="28"/>
    </w:rPr>
  </w:style>
  <w:style w:type="character" w:customStyle="1" w:styleId="66">
    <w:name w:val="标题 5 字符"/>
    <w:basedOn w:val="48"/>
    <w:link w:val="6"/>
    <w:autoRedefine/>
    <w:qFormat/>
    <w:uiPriority w:val="0"/>
    <w:rPr>
      <w:b/>
      <w:sz w:val="28"/>
    </w:rPr>
  </w:style>
  <w:style w:type="character" w:customStyle="1" w:styleId="67">
    <w:name w:val="标题 6 字符"/>
    <w:basedOn w:val="48"/>
    <w:link w:val="7"/>
    <w:autoRedefine/>
    <w:qFormat/>
    <w:uiPriority w:val="0"/>
    <w:rPr>
      <w:rFonts w:ascii="Arial" w:hAnsi="Arial" w:eastAsia="黑体"/>
      <w:b/>
      <w:sz w:val="24"/>
    </w:rPr>
  </w:style>
  <w:style w:type="character" w:customStyle="1" w:styleId="68">
    <w:name w:val="标题 7 字符"/>
    <w:basedOn w:val="48"/>
    <w:link w:val="8"/>
    <w:autoRedefine/>
    <w:qFormat/>
    <w:uiPriority w:val="0"/>
    <w:rPr>
      <w:b/>
      <w:sz w:val="24"/>
    </w:rPr>
  </w:style>
  <w:style w:type="character" w:customStyle="1" w:styleId="69">
    <w:name w:val="标题 8 字符"/>
    <w:basedOn w:val="48"/>
    <w:link w:val="9"/>
    <w:autoRedefine/>
    <w:qFormat/>
    <w:uiPriority w:val="0"/>
    <w:rPr>
      <w:rFonts w:ascii="Arial" w:hAnsi="Arial" w:eastAsia="黑体"/>
      <w:sz w:val="24"/>
    </w:rPr>
  </w:style>
  <w:style w:type="character" w:customStyle="1" w:styleId="70">
    <w:name w:val="标题 9 字符"/>
    <w:basedOn w:val="48"/>
    <w:link w:val="10"/>
    <w:autoRedefine/>
    <w:qFormat/>
    <w:uiPriority w:val="0"/>
    <w:rPr>
      <w:rFonts w:ascii="Arial" w:hAnsi="Arial" w:eastAsia="黑体"/>
      <w:sz w:val="21"/>
    </w:rPr>
  </w:style>
  <w:style w:type="character" w:customStyle="1" w:styleId="71">
    <w:name w:val="文档结构图 字符"/>
    <w:basedOn w:val="48"/>
    <w:link w:val="14"/>
    <w:autoRedefine/>
    <w:qFormat/>
    <w:uiPriority w:val="0"/>
    <w:rPr>
      <w:kern w:val="2"/>
      <w:sz w:val="21"/>
      <w:szCs w:val="24"/>
      <w:shd w:val="clear" w:color="auto" w:fill="000080"/>
    </w:rPr>
  </w:style>
  <w:style w:type="character" w:customStyle="1" w:styleId="72">
    <w:name w:val="批注文字 字符1"/>
    <w:link w:val="15"/>
    <w:autoRedefine/>
    <w:qFormat/>
    <w:uiPriority w:val="99"/>
    <w:rPr>
      <w:kern w:val="2"/>
      <w:sz w:val="21"/>
      <w:szCs w:val="24"/>
    </w:rPr>
  </w:style>
  <w:style w:type="character" w:customStyle="1" w:styleId="73">
    <w:name w:val="正文文本 3 字符"/>
    <w:basedOn w:val="48"/>
    <w:link w:val="16"/>
    <w:autoRedefine/>
    <w:qFormat/>
    <w:uiPriority w:val="0"/>
    <w:rPr>
      <w:kern w:val="2"/>
      <w:sz w:val="16"/>
      <w:szCs w:val="16"/>
    </w:rPr>
  </w:style>
  <w:style w:type="character" w:customStyle="1" w:styleId="74">
    <w:name w:val="正文文本 字符"/>
    <w:basedOn w:val="48"/>
    <w:link w:val="17"/>
    <w:autoRedefine/>
    <w:qFormat/>
    <w:uiPriority w:val="0"/>
    <w:rPr>
      <w:rFonts w:ascii="宋体" w:hAnsi="宋体"/>
      <w:kern w:val="2"/>
      <w:sz w:val="24"/>
      <w:szCs w:val="24"/>
    </w:rPr>
  </w:style>
  <w:style w:type="character" w:customStyle="1" w:styleId="75">
    <w:name w:val="纯文本 字符2"/>
    <w:basedOn w:val="48"/>
    <w:link w:val="24"/>
    <w:autoRedefine/>
    <w:qFormat/>
    <w:uiPriority w:val="0"/>
    <w:rPr>
      <w:rFonts w:hint="eastAsia" w:ascii="宋体" w:hAnsi="Courier New" w:eastAsia="宋体" w:cs="宋体"/>
      <w:kern w:val="2"/>
      <w:sz w:val="21"/>
    </w:rPr>
  </w:style>
  <w:style w:type="character" w:customStyle="1" w:styleId="76">
    <w:name w:val="日期 字符"/>
    <w:basedOn w:val="48"/>
    <w:link w:val="26"/>
    <w:autoRedefine/>
    <w:qFormat/>
    <w:uiPriority w:val="0"/>
    <w:rPr>
      <w:rFonts w:ascii="仿宋_GB2312" w:hAnsi="宋体" w:eastAsia="仿宋_GB2312"/>
      <w:color w:val="000000"/>
      <w:kern w:val="2"/>
      <w:sz w:val="24"/>
      <w:szCs w:val="24"/>
    </w:rPr>
  </w:style>
  <w:style w:type="character" w:customStyle="1" w:styleId="77">
    <w:name w:val="正文文本缩进 2 字符"/>
    <w:basedOn w:val="48"/>
    <w:link w:val="27"/>
    <w:autoRedefine/>
    <w:qFormat/>
    <w:uiPriority w:val="0"/>
    <w:rPr>
      <w:rFonts w:ascii="仿宋_GB2312" w:eastAsia="仿宋_GB2312"/>
      <w:kern w:val="2"/>
      <w:sz w:val="24"/>
      <w:szCs w:val="24"/>
    </w:rPr>
  </w:style>
  <w:style w:type="character" w:customStyle="1" w:styleId="78">
    <w:name w:val="批注框文本 字符"/>
    <w:basedOn w:val="48"/>
    <w:link w:val="28"/>
    <w:autoRedefine/>
    <w:qFormat/>
    <w:uiPriority w:val="0"/>
    <w:rPr>
      <w:kern w:val="2"/>
      <w:sz w:val="18"/>
      <w:szCs w:val="18"/>
    </w:rPr>
  </w:style>
  <w:style w:type="character" w:customStyle="1" w:styleId="79">
    <w:name w:val="页脚 字符"/>
    <w:link w:val="29"/>
    <w:autoRedefine/>
    <w:qFormat/>
    <w:uiPriority w:val="99"/>
    <w:rPr>
      <w:rFonts w:ascii="宋体" w:eastAsia="宋体"/>
      <w:sz w:val="18"/>
      <w:lang w:val="en-US" w:eastAsia="zh-CN" w:bidi="ar-SA"/>
    </w:rPr>
  </w:style>
  <w:style w:type="character" w:customStyle="1" w:styleId="80">
    <w:name w:val="页眉 字符"/>
    <w:link w:val="30"/>
    <w:autoRedefine/>
    <w:qFormat/>
    <w:uiPriority w:val="0"/>
    <w:rPr>
      <w:rFonts w:eastAsia="宋体"/>
      <w:kern w:val="2"/>
      <w:sz w:val="18"/>
      <w:szCs w:val="18"/>
      <w:lang w:val="en-US" w:eastAsia="zh-CN" w:bidi="ar-SA"/>
    </w:rPr>
  </w:style>
  <w:style w:type="character" w:customStyle="1" w:styleId="81">
    <w:name w:val="正文文本缩进 3 字符"/>
    <w:basedOn w:val="48"/>
    <w:link w:val="35"/>
    <w:autoRedefine/>
    <w:qFormat/>
    <w:uiPriority w:val="0"/>
    <w:rPr>
      <w:rFonts w:ascii="宋体"/>
      <w:sz w:val="24"/>
    </w:rPr>
  </w:style>
  <w:style w:type="character" w:customStyle="1" w:styleId="82">
    <w:name w:val="HTML 预设格式 字符"/>
    <w:basedOn w:val="48"/>
    <w:link w:val="38"/>
    <w:autoRedefine/>
    <w:qFormat/>
    <w:uiPriority w:val="0"/>
    <w:rPr>
      <w:rFonts w:ascii="宋体" w:hAnsi="宋体" w:cs="宋体"/>
      <w:sz w:val="24"/>
      <w:szCs w:val="24"/>
    </w:rPr>
  </w:style>
  <w:style w:type="character" w:customStyle="1" w:styleId="83">
    <w:name w:val="标题 字符"/>
    <w:link w:val="41"/>
    <w:autoRedefine/>
    <w:qFormat/>
    <w:uiPriority w:val="0"/>
    <w:rPr>
      <w:b/>
      <w:kern w:val="2"/>
      <w:sz w:val="32"/>
    </w:rPr>
  </w:style>
  <w:style w:type="character" w:customStyle="1" w:styleId="84">
    <w:name w:val="批注主题 字符"/>
    <w:basedOn w:val="85"/>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5">
    <w:name w:val="批注文字 字符"/>
    <w:autoRedefine/>
    <w:qFormat/>
    <w:uiPriority w:val="99"/>
    <w:rPr>
      <w:rFonts w:ascii="Times New Roman" w:hAnsi="Times New Roman" w:eastAsia="宋体" w:cs="Times New Roman"/>
      <w:sz w:val="24"/>
      <w:lang w:val="en-US" w:eastAsia="zh-CN" w:bidi="ar-SA"/>
    </w:rPr>
  </w:style>
  <w:style w:type="character" w:customStyle="1" w:styleId="86">
    <w:name w:val="标题 1 字符1"/>
    <w:basedOn w:val="48"/>
    <w:link w:val="2"/>
    <w:autoRedefine/>
    <w:qFormat/>
    <w:uiPriority w:val="0"/>
    <w:rPr>
      <w:rFonts w:ascii="宋体" w:hAnsi="Times New Roman" w:eastAsia="宋体" w:cs="Times New Roman"/>
      <w:b/>
      <w:kern w:val="44"/>
      <w:sz w:val="32"/>
      <w:szCs w:val="20"/>
    </w:rPr>
  </w:style>
  <w:style w:type="character" w:customStyle="1" w:styleId="87">
    <w:name w:val="c21"/>
    <w:autoRedefine/>
    <w:qFormat/>
    <w:uiPriority w:val="0"/>
    <w:rPr>
      <w:rFonts w:hint="default" w:ascii="ˎ̥" w:hAnsi="ˎ̥"/>
      <w:color w:val="000000"/>
      <w:sz w:val="20"/>
      <w:szCs w:val="20"/>
      <w:u w:val="none"/>
    </w:rPr>
  </w:style>
  <w:style w:type="character" w:customStyle="1" w:styleId="88">
    <w:name w:val="title4"/>
    <w:autoRedefine/>
    <w:qFormat/>
    <w:uiPriority w:val="0"/>
    <w:rPr>
      <w:b/>
      <w:bCs/>
      <w:color w:val="1D87B3"/>
      <w:sz w:val="15"/>
      <w:szCs w:val="15"/>
    </w:rPr>
  </w:style>
  <w:style w:type="character" w:customStyle="1" w:styleId="89">
    <w:name w:val="标题 2 Char Char"/>
    <w:autoRedefine/>
    <w:qFormat/>
    <w:uiPriority w:val="0"/>
    <w:rPr>
      <w:rFonts w:ascii="Arial" w:hAnsi="Arial" w:eastAsia="黑体"/>
      <w:b/>
      <w:bCs/>
      <w:kern w:val="2"/>
      <w:sz w:val="32"/>
      <w:szCs w:val="32"/>
      <w:lang w:val="en-US" w:eastAsia="zh-CN" w:bidi="ar-SA"/>
    </w:rPr>
  </w:style>
  <w:style w:type="character" w:customStyle="1" w:styleId="90">
    <w:name w:val="black1"/>
    <w:autoRedefine/>
    <w:qFormat/>
    <w:uiPriority w:val="0"/>
    <w:rPr>
      <w:color w:val="000000"/>
    </w:rPr>
  </w:style>
  <w:style w:type="character" w:customStyle="1" w:styleId="91">
    <w:name w:val="street-address"/>
    <w:basedOn w:val="48"/>
    <w:autoRedefine/>
    <w:qFormat/>
    <w:uiPriority w:val="0"/>
  </w:style>
  <w:style w:type="character" w:customStyle="1" w:styleId="92">
    <w:name w:val="locality"/>
    <w:basedOn w:val="48"/>
    <w:autoRedefine/>
    <w:qFormat/>
    <w:uiPriority w:val="0"/>
  </w:style>
  <w:style w:type="character" w:customStyle="1" w:styleId="93">
    <w:name w:val="正文文本缩进 Char1"/>
    <w:link w:val="94"/>
    <w:autoRedefine/>
    <w:qFormat/>
    <w:uiPriority w:val="0"/>
    <w:rPr>
      <w:rFonts w:ascii="宋体" w:hAnsi="宋体" w:eastAsia="宋体"/>
      <w:sz w:val="24"/>
      <w:szCs w:val="24"/>
      <w:lang w:bidi="ar-SA"/>
    </w:rPr>
  </w:style>
  <w:style w:type="paragraph" w:customStyle="1" w:styleId="94">
    <w:name w:val="正文文本缩进1"/>
    <w:basedOn w:val="1"/>
    <w:link w:val="93"/>
    <w:autoRedefine/>
    <w:qFormat/>
    <w:uiPriority w:val="0"/>
    <w:pPr>
      <w:spacing w:line="480" w:lineRule="exact"/>
      <w:ind w:firstLine="480" w:firstLineChars="200"/>
    </w:pPr>
    <w:rPr>
      <w:rFonts w:ascii="宋体" w:hAnsi="宋体"/>
      <w:kern w:val="0"/>
      <w:sz w:val="24"/>
    </w:rPr>
  </w:style>
  <w:style w:type="character" w:customStyle="1" w:styleId="95">
    <w:name w:val="Char Char11"/>
    <w:autoRedefine/>
    <w:qFormat/>
    <w:uiPriority w:val="0"/>
    <w:rPr>
      <w:rFonts w:ascii="宋体" w:eastAsia="宋体"/>
      <w:b/>
      <w:sz w:val="24"/>
      <w:u w:val="single"/>
      <w:lang w:val="en-US" w:eastAsia="zh-CN" w:bidi="ar-SA"/>
    </w:rPr>
  </w:style>
  <w:style w:type="character" w:customStyle="1" w:styleId="96">
    <w:name w:val="txt"/>
    <w:basedOn w:val="48"/>
    <w:autoRedefine/>
    <w:qFormat/>
    <w:uiPriority w:val="0"/>
  </w:style>
  <w:style w:type="character" w:customStyle="1" w:styleId="97">
    <w:name w:val="正文缩进 Char Char"/>
    <w:link w:val="98"/>
    <w:autoRedefine/>
    <w:qFormat/>
    <w:uiPriority w:val="0"/>
    <w:rPr>
      <w:rFonts w:ascii="宋体" w:eastAsia="宋体"/>
      <w:snapToGrid w:val="0"/>
      <w:color w:val="000000"/>
      <w:kern w:val="28"/>
      <w:sz w:val="28"/>
      <w:lang w:bidi="ar-SA"/>
    </w:rPr>
  </w:style>
  <w:style w:type="paragraph" w:customStyle="1" w:styleId="98">
    <w:name w:val="正文缩进1"/>
    <w:basedOn w:val="1"/>
    <w:link w:val="9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autoRedefine/>
    <w:qFormat/>
    <w:uiPriority w:val="0"/>
    <w:rPr>
      <w:rFonts w:ascii="宋体" w:hAnsi="Courier New" w:eastAsia="宋体"/>
      <w:kern w:val="2"/>
      <w:sz w:val="21"/>
      <w:lang w:val="en-US" w:eastAsia="zh-CN" w:bidi="ar-SA"/>
    </w:rPr>
  </w:style>
  <w:style w:type="character" w:customStyle="1" w:styleId="100">
    <w:name w:val="chanpin1"/>
    <w:autoRedefine/>
    <w:qFormat/>
    <w:uiPriority w:val="0"/>
    <w:rPr>
      <w:rFonts w:hint="default" w:ascii="ˎ̥" w:hAnsi="ˎ̥"/>
      <w:color w:val="000000"/>
      <w:sz w:val="20"/>
      <w:szCs w:val="20"/>
      <w:u w:val="none"/>
    </w:rPr>
  </w:style>
  <w:style w:type="character" w:customStyle="1" w:styleId="101">
    <w:name w:val="列表段落 字符"/>
    <w:link w:val="102"/>
    <w:autoRedefine/>
    <w:qFormat/>
    <w:uiPriority w:val="34"/>
    <w:rPr>
      <w:rFonts w:ascii="Calibri" w:hAnsi="Calibri" w:eastAsia="宋体"/>
      <w:kern w:val="2"/>
      <w:sz w:val="21"/>
      <w:szCs w:val="22"/>
      <w:lang w:val="en-US" w:eastAsia="zh-CN" w:bidi="ar-SA"/>
    </w:rPr>
  </w:style>
  <w:style w:type="paragraph" w:styleId="102">
    <w:name w:val="List Paragraph"/>
    <w:basedOn w:val="1"/>
    <w:link w:val="101"/>
    <w:autoRedefine/>
    <w:qFormat/>
    <w:uiPriority w:val="34"/>
    <w:pPr>
      <w:ind w:firstLine="420" w:firstLineChars="200"/>
    </w:pPr>
    <w:rPr>
      <w:rFonts w:ascii="Calibri" w:hAnsi="Calibri"/>
      <w:szCs w:val="22"/>
    </w:rPr>
  </w:style>
  <w:style w:type="character" w:customStyle="1" w:styleId="103">
    <w:name w:val="标题 3 Char Char"/>
    <w:autoRedefine/>
    <w:qFormat/>
    <w:uiPriority w:val="0"/>
    <w:rPr>
      <w:rFonts w:eastAsia="宋体"/>
      <w:b/>
      <w:bCs/>
      <w:kern w:val="2"/>
      <w:sz w:val="32"/>
      <w:szCs w:val="32"/>
      <w:lang w:val="en-US" w:eastAsia="zh-CN" w:bidi="ar-SA"/>
    </w:rPr>
  </w:style>
  <w:style w:type="character" w:customStyle="1" w:styleId="104">
    <w:name w:val="段1 Char"/>
    <w:autoRedefine/>
    <w:qFormat/>
    <w:uiPriority w:val="0"/>
    <w:rPr>
      <w:rFonts w:ascii="宋体" w:eastAsia="宋体"/>
      <w:sz w:val="24"/>
      <w:lang w:val="en-US" w:eastAsia="zh-CN" w:bidi="ar-SA"/>
    </w:rPr>
  </w:style>
  <w:style w:type="character" w:customStyle="1" w:styleId="105">
    <w:name w:val="chanpin拷贝"/>
    <w:basedOn w:val="48"/>
    <w:autoRedefine/>
    <w:qFormat/>
    <w:uiPriority w:val="0"/>
  </w:style>
  <w:style w:type="character" w:customStyle="1" w:styleId="106">
    <w:name w:val="纯文本 Char1"/>
    <w:autoRedefine/>
    <w:qFormat/>
    <w:uiPriority w:val="0"/>
    <w:rPr>
      <w:rFonts w:ascii="宋体" w:hAnsi="Courier New" w:eastAsia="宋体"/>
      <w:kern w:val="2"/>
      <w:sz w:val="21"/>
      <w:lang w:val="en-US" w:eastAsia="zh-CN" w:bidi="ar-SA"/>
    </w:rPr>
  </w:style>
  <w:style w:type="character" w:customStyle="1" w:styleId="107">
    <w:name w:val="apple-style-span"/>
    <w:autoRedefine/>
    <w:qFormat/>
    <w:uiPriority w:val="0"/>
    <w:rPr>
      <w:rFonts w:cs="Times New Roman"/>
    </w:rPr>
  </w:style>
  <w:style w:type="paragraph" w:customStyle="1" w:styleId="108">
    <w:name w:val="二级条标题"/>
    <w:basedOn w:val="109"/>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autoRedefine/>
    <w:qFormat/>
    <w:uiPriority w:val="0"/>
    <w:pPr>
      <w:numPr>
        <w:ilvl w:val="1"/>
      </w:numPr>
      <w:tabs>
        <w:tab w:val="left" w:pos="360"/>
        <w:tab w:val="left" w:pos="840"/>
      </w:tabs>
      <w:ind w:left="0" w:hanging="840"/>
      <w:outlineLvl w:val="1"/>
    </w:pPr>
  </w:style>
  <w:style w:type="paragraph" w:customStyle="1" w:styleId="110">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autoRedefine/>
    <w:qFormat/>
    <w:uiPriority w:val="0"/>
    <w:rPr>
      <w:rFonts w:ascii="Tahoma" w:hAnsi="Tahoma"/>
      <w:sz w:val="24"/>
      <w:szCs w:val="20"/>
    </w:rPr>
  </w:style>
  <w:style w:type="paragraph" w:customStyle="1" w:styleId="113">
    <w:name w:val="Char3 Char Char Char"/>
    <w:basedOn w:val="1"/>
    <w:autoRedefine/>
    <w:qFormat/>
    <w:uiPriority w:val="0"/>
    <w:rPr>
      <w:rFonts w:ascii="Tahoma" w:hAnsi="Tahoma"/>
      <w:sz w:val="24"/>
      <w:szCs w:val="20"/>
    </w:rPr>
  </w:style>
  <w:style w:type="paragraph" w:customStyle="1" w:styleId="114">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autoRedefine/>
    <w:qFormat/>
    <w:uiPriority w:val="0"/>
    <w:pPr>
      <w:numPr>
        <w:numId w:val="2"/>
      </w:numPr>
    </w:pPr>
  </w:style>
  <w:style w:type="paragraph" w:customStyle="1" w:styleId="116">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autoRedefine/>
    <w:qFormat/>
    <w:uiPriority w:val="0"/>
    <w:pPr>
      <w:adjustRightInd w:val="0"/>
      <w:snapToGrid w:val="0"/>
      <w:spacing w:line="0" w:lineRule="atLeast"/>
      <w:jc w:val="center"/>
    </w:pPr>
    <w:rPr>
      <w:sz w:val="24"/>
      <w:szCs w:val="20"/>
    </w:rPr>
  </w:style>
  <w:style w:type="paragraph" w:customStyle="1" w:styleId="118">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autoRedefine/>
    <w:qFormat/>
    <w:uiPriority w:val="0"/>
    <w:rPr>
      <w:rFonts w:ascii="Tahoma" w:hAnsi="Tahoma"/>
      <w:sz w:val="24"/>
      <w:szCs w:val="20"/>
    </w:rPr>
  </w:style>
  <w:style w:type="paragraph" w:customStyle="1" w:styleId="121">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7">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autoRedefine/>
    <w:qFormat/>
    <w:uiPriority w:val="0"/>
    <w:pPr>
      <w:widowControl/>
      <w:spacing w:before="100" w:beforeAutospacing="1" w:after="100" w:afterAutospacing="1"/>
      <w:jc w:val="left"/>
    </w:pPr>
    <w:rPr>
      <w:kern w:val="0"/>
      <w:sz w:val="36"/>
      <w:szCs w:val="36"/>
    </w:rPr>
  </w:style>
  <w:style w:type="paragraph" w:customStyle="1" w:styleId="135">
    <w:name w:val="Char"/>
    <w:basedOn w:val="1"/>
    <w:autoRedefine/>
    <w:qFormat/>
    <w:uiPriority w:val="0"/>
    <w:pPr>
      <w:tabs>
        <w:tab w:val="left" w:pos="360"/>
      </w:tabs>
    </w:pPr>
    <w:rPr>
      <w:sz w:val="24"/>
    </w:rPr>
  </w:style>
  <w:style w:type="paragraph" w:customStyle="1" w:styleId="136">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4"/>
    <w:autoRedefine/>
    <w:qFormat/>
    <w:uiPriority w:val="0"/>
    <w:rPr>
      <w:rFonts w:ascii="Tahoma" w:hAnsi="Tahoma"/>
      <w:sz w:val="24"/>
    </w:rPr>
  </w:style>
  <w:style w:type="paragraph" w:customStyle="1" w:styleId="14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4">
    <w:name w:val="Char1 Char Char Char1"/>
    <w:basedOn w:val="1"/>
    <w:autoRedefine/>
    <w:qFormat/>
    <w:uiPriority w:val="0"/>
    <w:rPr>
      <w:rFonts w:ascii="Tahoma" w:hAnsi="Tahoma" w:cs="仿宋_GB2312"/>
      <w:sz w:val="24"/>
      <w:szCs w:val="28"/>
    </w:rPr>
  </w:style>
  <w:style w:type="paragraph" w:customStyle="1" w:styleId="145">
    <w:name w:val="四级条标题"/>
    <w:basedOn w:val="146"/>
    <w:next w:val="1"/>
    <w:autoRedefine/>
    <w:qFormat/>
    <w:uiPriority w:val="0"/>
    <w:pPr>
      <w:numPr>
        <w:ilvl w:val="4"/>
      </w:numPr>
      <w:tabs>
        <w:tab w:val="left" w:pos="360"/>
        <w:tab w:val="left" w:pos="840"/>
      </w:tabs>
      <w:ind w:left="0" w:hanging="840"/>
      <w:outlineLvl w:val="4"/>
    </w:pPr>
  </w:style>
  <w:style w:type="paragraph" w:customStyle="1" w:styleId="146">
    <w:name w:val="三级条标题"/>
    <w:basedOn w:val="108"/>
    <w:next w:val="1"/>
    <w:autoRedefine/>
    <w:qFormat/>
    <w:uiPriority w:val="0"/>
    <w:pPr>
      <w:numPr>
        <w:ilvl w:val="3"/>
        <w:numId w:val="1"/>
      </w:numPr>
      <w:ind w:left="0" w:hanging="840"/>
      <w:outlineLvl w:val="3"/>
    </w:pPr>
  </w:style>
  <w:style w:type="paragraph" w:customStyle="1" w:styleId="147">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autoRedefine/>
    <w:qFormat/>
    <w:uiPriority w:val="0"/>
    <w:pPr>
      <w:ind w:firstLine="420" w:firstLineChars="200"/>
    </w:pPr>
    <w:rPr>
      <w:rFonts w:ascii="Calibri" w:hAnsi="Calibri"/>
      <w:szCs w:val="22"/>
    </w:rPr>
  </w:style>
  <w:style w:type="paragraph" w:customStyle="1" w:styleId="150">
    <w:name w:val="项目符号1"/>
    <w:basedOn w:val="151"/>
    <w:autoRedefine/>
    <w:qFormat/>
    <w:uiPriority w:val="0"/>
    <w:pPr>
      <w:ind w:left="-25" w:firstLine="0"/>
    </w:pPr>
  </w:style>
  <w:style w:type="paragraph" w:customStyle="1" w:styleId="151">
    <w:name w:val="正文文本样式"/>
    <w:basedOn w:val="1"/>
    <w:autoRedefine/>
    <w:qFormat/>
    <w:uiPriority w:val="0"/>
    <w:pPr>
      <w:spacing w:line="360" w:lineRule="auto"/>
      <w:ind w:firstLine="482"/>
    </w:pPr>
    <w:rPr>
      <w:rFonts w:cs="宋体"/>
      <w:sz w:val="24"/>
      <w:szCs w:val="20"/>
    </w:rPr>
  </w:style>
  <w:style w:type="paragraph" w:customStyle="1" w:styleId="152">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autoRedefine/>
    <w:qFormat/>
    <w:uiPriority w:val="0"/>
    <w:pPr>
      <w:numPr>
        <w:ilvl w:val="5"/>
      </w:numPr>
      <w:ind w:left="0" w:hanging="840"/>
      <w:outlineLvl w:val="5"/>
    </w:pPr>
  </w:style>
  <w:style w:type="paragraph" w:customStyle="1" w:styleId="155">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autoRedefine/>
    <w:qFormat/>
    <w:uiPriority w:val="0"/>
    <w:pPr>
      <w:snapToGrid w:val="0"/>
      <w:spacing w:before="120" w:after="120" w:line="180" w:lineRule="auto"/>
    </w:pPr>
    <w:rPr>
      <w:rFonts w:ascii="Arial" w:hAnsi="Arial"/>
      <w:szCs w:val="20"/>
    </w:rPr>
  </w:style>
  <w:style w:type="paragraph" w:customStyle="1" w:styleId="15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autoRedefine/>
    <w:qFormat/>
    <w:uiPriority w:val="0"/>
    <w:rPr>
      <w:rFonts w:ascii="Tahoma" w:hAnsi="Tahoma"/>
      <w:sz w:val="24"/>
      <w:szCs w:val="20"/>
    </w:rPr>
  </w:style>
  <w:style w:type="paragraph" w:customStyle="1" w:styleId="160">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autoRedefine/>
    <w:qFormat/>
    <w:uiPriority w:val="0"/>
    <w:pPr>
      <w:numPr>
        <w:ilvl w:val="0"/>
        <w:numId w:val="5"/>
      </w:numPr>
      <w:spacing w:before="120"/>
    </w:pPr>
    <w:rPr>
      <w:rFonts w:ascii="宋体"/>
      <w:sz w:val="28"/>
      <w:szCs w:val="20"/>
    </w:rPr>
  </w:style>
  <w:style w:type="paragraph" w:customStyle="1" w:styleId="162">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autoRedefine/>
    <w:qFormat/>
    <w:uiPriority w:val="0"/>
    <w:rPr>
      <w:rFonts w:ascii="Tahoma" w:hAnsi="Tahoma"/>
      <w:sz w:val="24"/>
      <w:szCs w:val="20"/>
    </w:rPr>
  </w:style>
  <w:style w:type="paragraph" w:customStyle="1" w:styleId="164">
    <w:name w:val="Char Char Char Char Char Char Char Char Char Char"/>
    <w:basedOn w:val="1"/>
    <w:autoRedefine/>
    <w:qFormat/>
    <w:uiPriority w:val="0"/>
  </w:style>
  <w:style w:type="paragraph" w:customStyle="1" w:styleId="165">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autoRedefine/>
    <w:qFormat/>
    <w:uiPriority w:val="0"/>
    <w:pPr>
      <w:tabs>
        <w:tab w:val="left" w:pos="360"/>
      </w:tabs>
    </w:pPr>
    <w:rPr>
      <w:sz w:val="24"/>
    </w:rPr>
  </w:style>
  <w:style w:type="paragraph" w:customStyle="1" w:styleId="167">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autoRedefine/>
    <w:qFormat/>
    <w:uiPriority w:val="0"/>
    <w:rPr>
      <w:rFonts w:ascii="Arial" w:hAnsi="Arial" w:cs="Arial"/>
      <w:szCs w:val="21"/>
    </w:rPr>
  </w:style>
  <w:style w:type="paragraph" w:customStyle="1" w:styleId="171">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autoRedefine/>
    <w:qFormat/>
    <w:uiPriority w:val="0"/>
    <w:rPr>
      <w:rFonts w:ascii="Tahoma" w:hAnsi="Tahoma"/>
      <w:sz w:val="24"/>
      <w:szCs w:val="20"/>
    </w:rPr>
  </w:style>
  <w:style w:type="paragraph" w:customStyle="1" w:styleId="175">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autoRedefine/>
    <w:qFormat/>
    <w:uiPriority w:val="0"/>
    <w:pPr>
      <w:autoSpaceDE w:val="0"/>
      <w:autoSpaceDN w:val="0"/>
      <w:adjustRightInd w:val="0"/>
      <w:jc w:val="left"/>
    </w:pPr>
    <w:rPr>
      <w:kern w:val="0"/>
      <w:sz w:val="24"/>
    </w:rPr>
  </w:style>
  <w:style w:type="paragraph" w:customStyle="1" w:styleId="177">
    <w:name w:val="Char Char Char1"/>
    <w:basedOn w:val="1"/>
    <w:autoRedefine/>
    <w:qFormat/>
    <w:uiPriority w:val="0"/>
    <w:rPr>
      <w:rFonts w:ascii="Tahoma" w:hAnsi="Tahoma"/>
      <w:sz w:val="24"/>
      <w:szCs w:val="20"/>
    </w:rPr>
  </w:style>
  <w:style w:type="paragraph" w:customStyle="1" w:styleId="178">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9">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0"/>
    <w:autoRedefine/>
    <w:qFormat/>
    <w:uiPriority w:val="0"/>
    <w:pPr>
      <w:spacing w:line="360" w:lineRule="auto"/>
      <w:jc w:val="center"/>
    </w:pPr>
    <w:rPr>
      <w:sz w:val="24"/>
    </w:rPr>
  </w:style>
  <w:style w:type="paragraph" w:customStyle="1" w:styleId="181">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autoRedefine/>
    <w:qFormat/>
    <w:uiPriority w:val="0"/>
    <w:pPr>
      <w:widowControl/>
      <w:jc w:val="left"/>
    </w:pPr>
    <w:rPr>
      <w:rFonts w:ascii="楷体_GB2312" w:eastAsia="楷体_GB2312" w:cs="Arial"/>
      <w:kern w:val="0"/>
      <w:sz w:val="24"/>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autoRedefine/>
    <w:qFormat/>
    <w:uiPriority w:val="0"/>
    <w:rPr>
      <w:rFonts w:ascii="Tahoma" w:hAnsi="Tahoma"/>
      <w:sz w:val="24"/>
      <w:szCs w:val="20"/>
    </w:rPr>
  </w:style>
  <w:style w:type="paragraph" w:customStyle="1" w:styleId="186">
    <w:name w:val="列出段落1"/>
    <w:basedOn w:val="1"/>
    <w:autoRedefine/>
    <w:qFormat/>
    <w:uiPriority w:val="0"/>
    <w:pPr>
      <w:ind w:firstLine="420" w:firstLineChars="200"/>
    </w:pPr>
    <w:rPr>
      <w:rFonts w:ascii="Calibri" w:hAnsi="Calibri"/>
      <w:szCs w:val="22"/>
    </w:rPr>
  </w:style>
  <w:style w:type="paragraph" w:customStyle="1" w:styleId="187">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8">
    <w:name w:val="字元 字元1"/>
    <w:basedOn w:val="1"/>
    <w:autoRedefine/>
    <w:qFormat/>
    <w:uiPriority w:val="0"/>
    <w:rPr>
      <w:rFonts w:ascii="Tahoma" w:hAnsi="Tahoma"/>
      <w:sz w:val="24"/>
      <w:szCs w:val="20"/>
    </w:rPr>
  </w:style>
  <w:style w:type="paragraph" w:customStyle="1" w:styleId="189">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0">
    <w:name w:val="项目编号3"/>
    <w:basedOn w:val="151"/>
    <w:autoRedefine/>
    <w:qFormat/>
    <w:uiPriority w:val="0"/>
    <w:pPr>
      <w:numPr>
        <w:ilvl w:val="0"/>
        <w:numId w:val="6"/>
      </w:numPr>
    </w:pPr>
  </w:style>
  <w:style w:type="paragraph" w:customStyle="1" w:styleId="191">
    <w:name w:val="Char21"/>
    <w:basedOn w:val="1"/>
    <w:autoRedefine/>
    <w:qFormat/>
    <w:uiPriority w:val="0"/>
    <w:rPr>
      <w:rFonts w:ascii="Tahoma" w:hAnsi="Tahoma"/>
      <w:sz w:val="24"/>
      <w:szCs w:val="20"/>
    </w:rPr>
  </w:style>
  <w:style w:type="paragraph" w:customStyle="1" w:styleId="192">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autoRedefine/>
    <w:qFormat/>
    <w:uiPriority w:val="0"/>
    <w:rPr>
      <w:rFonts w:ascii="宋体" w:hAnsi="宋体" w:cs="Courier New"/>
      <w:sz w:val="32"/>
      <w:szCs w:val="32"/>
    </w:rPr>
  </w:style>
  <w:style w:type="paragraph" w:customStyle="1" w:styleId="194">
    <w:name w:val="正文文本样式 加粗"/>
    <w:basedOn w:val="151"/>
    <w:autoRedefine/>
    <w:qFormat/>
    <w:uiPriority w:val="0"/>
    <w:rPr>
      <w:b/>
    </w:rPr>
  </w:style>
  <w:style w:type="paragraph" w:customStyle="1" w:styleId="195">
    <w:name w:val="Char2 Char Char Char Char Char Char"/>
    <w:basedOn w:val="1"/>
    <w:autoRedefine/>
    <w:qFormat/>
    <w:uiPriority w:val="0"/>
    <w:pPr>
      <w:widowControl/>
      <w:spacing w:line="400" w:lineRule="exact"/>
      <w:jc w:val="center"/>
    </w:pPr>
  </w:style>
  <w:style w:type="paragraph" w:customStyle="1" w:styleId="196">
    <w:name w:val="Char Char4"/>
    <w:basedOn w:val="1"/>
    <w:autoRedefine/>
    <w:qFormat/>
    <w:uiPriority w:val="0"/>
    <w:pPr>
      <w:widowControl/>
      <w:spacing w:line="400" w:lineRule="exact"/>
      <w:jc w:val="center"/>
    </w:pPr>
  </w:style>
  <w:style w:type="paragraph" w:customStyle="1" w:styleId="197">
    <w:name w:val="Char3 Char Char Char1"/>
    <w:basedOn w:val="1"/>
    <w:autoRedefine/>
    <w:qFormat/>
    <w:uiPriority w:val="0"/>
    <w:rPr>
      <w:rFonts w:ascii="Tahoma" w:hAnsi="Tahoma"/>
      <w:sz w:val="24"/>
      <w:szCs w:val="20"/>
    </w:rPr>
  </w:style>
  <w:style w:type="paragraph" w:styleId="198">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2"/>
    <w:autoRedefine/>
    <w:qFormat/>
    <w:uiPriority w:val="0"/>
    <w:pPr>
      <w:jc w:val="left"/>
    </w:pPr>
    <w:rPr>
      <w:sz w:val="24"/>
      <w:szCs w:val="24"/>
    </w:rPr>
  </w:style>
  <w:style w:type="paragraph" w:customStyle="1" w:styleId="209">
    <w:name w:val="正文小标题"/>
    <w:basedOn w:val="1"/>
    <w:next w:val="12"/>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12"/>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标题 3 字符1"/>
    <w:link w:val="4"/>
    <w:autoRedefine/>
    <w:qFormat/>
    <w:uiPriority w:val="0"/>
    <w:rPr>
      <w:rFonts w:ascii="宋体" w:eastAsia="宋体"/>
      <w:b/>
      <w:sz w:val="24"/>
      <w:u w:val="single"/>
      <w:lang w:val="en-US" w:eastAsia="zh-CN" w:bidi="ar-SA"/>
    </w:rPr>
  </w:style>
  <w:style w:type="character" w:customStyle="1" w:styleId="226">
    <w:name w:val="正文缩进 Char"/>
    <w:autoRedefine/>
    <w:qFormat/>
    <w:uiPriority w:val="0"/>
    <w:rPr>
      <w:rFonts w:ascii="宋体" w:eastAsia="宋体"/>
      <w:kern w:val="2"/>
      <w:sz w:val="24"/>
      <w:szCs w:val="24"/>
      <w:lang w:val="en-US" w:eastAsia="zh-CN" w:bidi="ar-SA"/>
    </w:rPr>
  </w:style>
  <w:style w:type="character" w:customStyle="1" w:styleId="227">
    <w:name w:val="Char Char111"/>
    <w:autoRedefine/>
    <w:qFormat/>
    <w:uiPriority w:val="0"/>
    <w:rPr>
      <w:rFonts w:ascii="宋体" w:eastAsia="宋体"/>
      <w:b/>
      <w:sz w:val="24"/>
      <w:u w:val="single"/>
      <w:lang w:val="en-US" w:eastAsia="zh-CN" w:bidi="ar-SA"/>
    </w:rPr>
  </w:style>
  <w:style w:type="character" w:customStyle="1" w:styleId="228">
    <w:name w:val="正文文本缩进 Char"/>
    <w:autoRedefine/>
    <w:qFormat/>
    <w:uiPriority w:val="0"/>
    <w:rPr>
      <w:rFonts w:eastAsia="宋体"/>
      <w:kern w:val="2"/>
      <w:sz w:val="24"/>
      <w:szCs w:val="24"/>
      <w:lang w:val="en-US" w:eastAsia="zh-CN" w:bidi="ar-SA"/>
    </w:rPr>
  </w:style>
  <w:style w:type="character" w:customStyle="1" w:styleId="229">
    <w:name w:val="列出段落 Char"/>
    <w:autoRedefine/>
    <w:qFormat/>
    <w:uiPriority w:val="0"/>
    <w:rPr>
      <w:rFonts w:ascii="Calibri" w:hAnsi="Calibri" w:eastAsia="宋体"/>
      <w:kern w:val="2"/>
      <w:sz w:val="21"/>
      <w:szCs w:val="22"/>
      <w:lang w:val="en-US" w:eastAsia="zh-CN" w:bidi="ar-SA"/>
    </w:rPr>
  </w:style>
  <w:style w:type="character" w:customStyle="1" w:styleId="230">
    <w:name w:val="页眉 Char"/>
    <w:autoRedefine/>
    <w:qFormat/>
    <w:uiPriority w:val="0"/>
    <w:rPr>
      <w:rFonts w:eastAsia="宋体"/>
      <w:kern w:val="2"/>
      <w:sz w:val="18"/>
      <w:szCs w:val="18"/>
      <w:lang w:val="en-US" w:eastAsia="zh-CN" w:bidi="ar-SA"/>
    </w:rPr>
  </w:style>
  <w:style w:type="character" w:customStyle="1" w:styleId="231">
    <w:name w:val="标题 2 Char"/>
    <w:autoRedefine/>
    <w:qFormat/>
    <w:uiPriority w:val="0"/>
    <w:rPr>
      <w:rFonts w:ascii="Arial" w:hAnsi="Arial" w:eastAsia="黑体"/>
      <w:b/>
      <w:sz w:val="30"/>
      <w:lang w:val="en-US" w:eastAsia="zh-CN" w:bidi="ar-SA"/>
    </w:rPr>
  </w:style>
  <w:style w:type="paragraph" w:customStyle="1" w:styleId="232">
    <w:name w:val="字元 字元2"/>
    <w:basedOn w:val="1"/>
    <w:autoRedefine/>
    <w:qFormat/>
    <w:uiPriority w:val="0"/>
    <w:rPr>
      <w:rFonts w:ascii="Tahoma" w:hAnsi="Tahoma"/>
      <w:sz w:val="24"/>
      <w:szCs w:val="20"/>
    </w:rPr>
  </w:style>
  <w:style w:type="paragraph" w:customStyle="1" w:styleId="233">
    <w:name w:val="Char3 Char Char Char2"/>
    <w:basedOn w:val="1"/>
    <w:autoRedefine/>
    <w:qFormat/>
    <w:uiPriority w:val="0"/>
    <w:rPr>
      <w:rFonts w:ascii="Tahoma" w:hAnsi="Tahoma"/>
      <w:sz w:val="24"/>
      <w:szCs w:val="20"/>
    </w:rPr>
  </w:style>
  <w:style w:type="paragraph" w:customStyle="1" w:styleId="23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5">
    <w:name w:val="Char3"/>
    <w:basedOn w:val="1"/>
    <w:autoRedefine/>
    <w:qFormat/>
    <w:uiPriority w:val="0"/>
    <w:pPr>
      <w:tabs>
        <w:tab w:val="left" w:pos="360"/>
      </w:tabs>
    </w:pPr>
    <w:rPr>
      <w:sz w:val="24"/>
    </w:rPr>
  </w:style>
  <w:style w:type="paragraph" w:customStyle="1" w:styleId="23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autoRedefine/>
    <w:qFormat/>
    <w:uiPriority w:val="0"/>
    <w:pPr>
      <w:ind w:firstLine="420" w:firstLineChars="200"/>
    </w:pPr>
    <w:rPr>
      <w:rFonts w:ascii="Calibri" w:hAnsi="Calibri"/>
      <w:szCs w:val="22"/>
    </w:rPr>
  </w:style>
  <w:style w:type="paragraph" w:customStyle="1" w:styleId="239">
    <w:name w:val="Char Char Char1 Char2"/>
    <w:basedOn w:val="1"/>
    <w:autoRedefine/>
    <w:qFormat/>
    <w:uiPriority w:val="0"/>
    <w:rPr>
      <w:rFonts w:ascii="Tahoma" w:hAnsi="Tahoma"/>
      <w:sz w:val="24"/>
      <w:szCs w:val="20"/>
    </w:rPr>
  </w:style>
  <w:style w:type="paragraph" w:customStyle="1" w:styleId="240">
    <w:name w:val="Char Char Char2"/>
    <w:basedOn w:val="1"/>
    <w:autoRedefine/>
    <w:qFormat/>
    <w:uiPriority w:val="0"/>
    <w:rPr>
      <w:rFonts w:ascii="Tahoma" w:hAnsi="Tahoma"/>
      <w:sz w:val="24"/>
      <w:szCs w:val="20"/>
    </w:rPr>
  </w:style>
  <w:style w:type="paragraph" w:customStyle="1" w:styleId="24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autoRedefine/>
    <w:qFormat/>
    <w:uiPriority w:val="0"/>
    <w:rPr>
      <w:rFonts w:ascii="Tahoma" w:hAnsi="Tahoma"/>
      <w:sz w:val="24"/>
      <w:szCs w:val="20"/>
    </w:rPr>
  </w:style>
  <w:style w:type="paragraph" w:customStyle="1" w:styleId="245">
    <w:name w:val="Char Char Char Char Char Char Char Char Char Char2"/>
    <w:basedOn w:val="1"/>
    <w:autoRedefine/>
    <w:qFormat/>
    <w:uiPriority w:val="0"/>
    <w:rPr>
      <w:rFonts w:ascii="宋体" w:hAnsi="宋体" w:cs="Courier New"/>
      <w:sz w:val="32"/>
      <w:szCs w:val="32"/>
    </w:rPr>
  </w:style>
  <w:style w:type="paragraph" w:customStyle="1" w:styleId="246">
    <w:name w:val="Char2 Char Char Char Char Char Char1"/>
    <w:basedOn w:val="1"/>
    <w:autoRedefine/>
    <w:qFormat/>
    <w:uiPriority w:val="0"/>
    <w:pPr>
      <w:widowControl/>
      <w:spacing w:line="400" w:lineRule="exact"/>
      <w:jc w:val="center"/>
    </w:pPr>
  </w:style>
  <w:style w:type="character" w:customStyle="1" w:styleId="247">
    <w:name w:val="页脚 Char"/>
    <w:autoRedefine/>
    <w:qFormat/>
    <w:uiPriority w:val="0"/>
    <w:rPr>
      <w:rFonts w:ascii="宋体" w:eastAsia="宋体"/>
      <w:sz w:val="18"/>
      <w:lang w:val="en-US" w:eastAsia="zh-CN" w:bidi="ar-SA"/>
    </w:rPr>
  </w:style>
  <w:style w:type="paragraph" w:customStyle="1" w:styleId="248">
    <w:name w:val="Char Char41"/>
    <w:basedOn w:val="1"/>
    <w:autoRedefine/>
    <w:qFormat/>
    <w:uiPriority w:val="0"/>
    <w:pPr>
      <w:widowControl/>
      <w:spacing w:line="400" w:lineRule="exact"/>
      <w:jc w:val="center"/>
    </w:pPr>
  </w:style>
  <w:style w:type="character" w:customStyle="1" w:styleId="249">
    <w:name w:val="批注文字 Char"/>
    <w:autoRedefine/>
    <w:qFormat/>
    <w:uiPriority w:val="99"/>
    <w:rPr>
      <w:kern w:val="2"/>
      <w:sz w:val="21"/>
      <w:szCs w:val="24"/>
    </w:rPr>
  </w:style>
  <w:style w:type="character" w:customStyle="1" w:styleId="250">
    <w:name w:val="标题 Char"/>
    <w:autoRedefine/>
    <w:qFormat/>
    <w:uiPriority w:val="0"/>
    <w:rPr>
      <w:b/>
      <w:kern w:val="2"/>
      <w:sz w:val="32"/>
    </w:rPr>
  </w:style>
  <w:style w:type="paragraph" w:customStyle="1" w:styleId="251">
    <w:name w:val="图例"/>
    <w:basedOn w:val="1"/>
    <w:autoRedefine/>
    <w:qFormat/>
    <w:uiPriority w:val="0"/>
    <w:pPr>
      <w:spacing w:before="120" w:after="120" w:line="360" w:lineRule="auto"/>
      <w:jc w:val="center"/>
    </w:pPr>
    <w:rPr>
      <w:rFonts w:eastAsia="仿宋_GB2312"/>
      <w:b/>
      <w:sz w:val="24"/>
      <w:szCs w:val="20"/>
    </w:rPr>
  </w:style>
  <w:style w:type="table" w:customStyle="1" w:styleId="252">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4">
    <w:name w:val="表格内容"/>
    <w:basedOn w:val="1"/>
    <w:autoRedefine/>
    <w:qFormat/>
    <w:uiPriority w:val="0"/>
    <w:pPr>
      <w:spacing w:line="300" w:lineRule="auto"/>
      <w:ind w:firstLine="50" w:firstLineChars="50"/>
    </w:pPr>
    <w:rPr>
      <w:szCs w:val="21"/>
    </w:rPr>
  </w:style>
  <w:style w:type="paragraph" w:customStyle="1" w:styleId="255">
    <w:name w:val="WW-普通文字"/>
    <w:basedOn w:val="1"/>
    <w:autoRedefine/>
    <w:qFormat/>
    <w:uiPriority w:val="0"/>
    <w:pPr>
      <w:suppressAutoHyphens/>
    </w:pPr>
    <w:rPr>
      <w:rFonts w:ascii="宋体" w:hAnsi="宋体"/>
      <w:kern w:val="1"/>
      <w:szCs w:val="20"/>
      <w:lang w:eastAsia="ar-SA"/>
    </w:rPr>
  </w:style>
  <w:style w:type="paragraph" w:customStyle="1" w:styleId="256">
    <w:name w:val="Body text|1"/>
    <w:basedOn w:val="1"/>
    <w:autoRedefine/>
    <w:qFormat/>
    <w:uiPriority w:val="0"/>
    <w:pPr>
      <w:spacing w:line="432" w:lineRule="auto"/>
      <w:ind w:firstLine="400"/>
    </w:pPr>
    <w:rPr>
      <w:rFonts w:ascii="宋体" w:hAnsi="宋体" w:cs="宋体"/>
      <w:sz w:val="30"/>
      <w:szCs w:val="30"/>
      <w:lang w:val="zh-TW" w:eastAsia="zh-TW" w:bidi="zh-TW"/>
    </w:rPr>
  </w:style>
  <w:style w:type="paragraph" w:customStyle="1" w:styleId="257">
    <w:name w:val="样式 标题 2 + Times New Roman 四号 非加粗 段前: 5 磅 段后: 0 磅 行距: 固定值 20..."/>
    <w:basedOn w:val="3"/>
    <w:autoRedefine/>
    <w:qFormat/>
    <w:uiPriority w:val="0"/>
    <w:pPr>
      <w:spacing w:beforeLines="50" w:afterLines="50" w:line="360" w:lineRule="auto"/>
      <w:jc w:val="both"/>
    </w:pPr>
    <w:rPr>
      <w:rFonts w:hAnsi="Times New Roman" w:cs="宋体"/>
      <w:b w:val="0"/>
      <w:sz w:val="28"/>
    </w:rPr>
  </w:style>
  <w:style w:type="paragraph" w:customStyle="1" w:styleId="258">
    <w:name w:val="样式 标题 3 + (中文) 黑体 小四 非加粗 段前: 7.8 磅 段后: 0 磅 行距: 固定值 20 磅"/>
    <w:basedOn w:val="4"/>
    <w:autoRedefine/>
    <w:qFormat/>
    <w:uiPriority w:val="0"/>
    <w:pPr>
      <w:spacing w:before="0" w:after="0" w:line="400" w:lineRule="exact"/>
      <w:jc w:val="both"/>
    </w:pPr>
    <w:rPr>
      <w:rFonts w:ascii="Times New Roman" w:eastAsia="黑体"/>
      <w:b w:val="0"/>
      <w:lang w:eastAsia="en-US"/>
    </w:rPr>
  </w:style>
  <w:style w:type="paragraph" w:customStyle="1" w:styleId="259">
    <w:name w:val="_Style 6"/>
    <w:basedOn w:val="2"/>
    <w:next w:val="1"/>
    <w:autoRedefine/>
    <w:qFormat/>
    <w:uiPriority w:val="0"/>
    <w:pPr>
      <w:spacing w:before="120"/>
      <w:ind w:firstLine="600" w:firstLineChars="200"/>
      <w:textAlignment w:val="baseline"/>
      <w:outlineLvl w:val="9"/>
    </w:pPr>
    <w:rPr>
      <w:rFonts w:ascii="华文中宋" w:hAnsi="华文中宋" w:eastAsia="华文中宋"/>
      <w:b w:val="0"/>
      <w:color w:val="000000"/>
      <w:szCs w:val="44"/>
    </w:rPr>
  </w:style>
  <w:style w:type="character" w:customStyle="1" w:styleId="260">
    <w:name w:val="font31"/>
    <w:basedOn w:val="48"/>
    <w:autoRedefine/>
    <w:qFormat/>
    <w:uiPriority w:val="0"/>
    <w:rPr>
      <w:rFonts w:hint="eastAsia" w:ascii="宋体" w:hAnsi="宋体" w:eastAsia="宋体" w:cs="宋体"/>
      <w:color w:val="000000"/>
      <w:sz w:val="22"/>
      <w:szCs w:val="22"/>
      <w:u w:val="none"/>
    </w:rPr>
  </w:style>
  <w:style w:type="character" w:customStyle="1" w:styleId="261">
    <w:name w:val="font01"/>
    <w:basedOn w:val="48"/>
    <w:autoRedefine/>
    <w:qFormat/>
    <w:uiPriority w:val="0"/>
    <w:rPr>
      <w:rFonts w:hint="eastAsia" w:ascii="宋体" w:hAnsi="宋体" w:eastAsia="宋体" w:cs="宋体"/>
      <w:color w:val="000000"/>
      <w:sz w:val="22"/>
      <w:szCs w:val="22"/>
      <w:u w:val="none"/>
    </w:rPr>
  </w:style>
  <w:style w:type="character" w:customStyle="1" w:styleId="262">
    <w:name w:val="font61"/>
    <w:basedOn w:val="48"/>
    <w:autoRedefine/>
    <w:qFormat/>
    <w:uiPriority w:val="0"/>
    <w:rPr>
      <w:rFonts w:hint="eastAsia" w:ascii="宋体" w:hAnsi="宋体" w:eastAsia="宋体" w:cs="宋体"/>
      <w:color w:val="000000"/>
      <w:sz w:val="22"/>
      <w:szCs w:val="22"/>
      <w:u w:val="none"/>
    </w:rPr>
  </w:style>
  <w:style w:type="character" w:customStyle="1" w:styleId="263">
    <w:name w:val="font21"/>
    <w:basedOn w:val="48"/>
    <w:autoRedefine/>
    <w:qFormat/>
    <w:uiPriority w:val="0"/>
    <w:rPr>
      <w:rFonts w:hint="eastAsia" w:ascii="宋体" w:hAnsi="宋体" w:eastAsia="宋体" w:cs="宋体"/>
      <w:color w:val="000000"/>
      <w:sz w:val="22"/>
      <w:szCs w:val="22"/>
      <w:u w:val="none"/>
    </w:rPr>
  </w:style>
  <w:style w:type="paragraph" w:customStyle="1" w:styleId="264">
    <w:name w:val="列出段落"/>
    <w:basedOn w:val="1"/>
    <w:autoRedefine/>
    <w:qFormat/>
    <w:uiPriority w:val="34"/>
    <w:pPr>
      <w:ind w:firstLine="420" w:firstLineChars="200"/>
    </w:pPr>
  </w:style>
  <w:style w:type="character" w:customStyle="1" w:styleId="265">
    <w:name w:val="font11"/>
    <w:basedOn w:val="48"/>
    <w:autoRedefine/>
    <w:qFormat/>
    <w:uiPriority w:val="0"/>
    <w:rPr>
      <w:rFonts w:hint="default" w:ascii="Arial" w:hAnsi="Arial" w:cs="Arial"/>
      <w:color w:val="000000"/>
      <w:sz w:val="20"/>
      <w:szCs w:val="20"/>
      <w:u w:val="none"/>
    </w:rPr>
  </w:style>
  <w:style w:type="paragraph" w:customStyle="1" w:styleId="266">
    <w:name w:val="p0"/>
    <w:basedOn w:val="1"/>
    <w:autoRedefine/>
    <w:qFormat/>
    <w:uiPriority w:val="0"/>
    <w:pPr>
      <w:widowControl/>
    </w:pPr>
    <w:rPr>
      <w:rFonts w:ascii="方正仿宋_GBK" w:hAnsi="方正仿宋_GBK" w:cs="宋体"/>
      <w:kern w:val="0"/>
      <w:szCs w:val="21"/>
    </w:rPr>
  </w:style>
  <w:style w:type="character" w:customStyle="1" w:styleId="267">
    <w:name w:val="font71"/>
    <w:basedOn w:val="48"/>
    <w:autoRedefine/>
    <w:qFormat/>
    <w:uiPriority w:val="0"/>
    <w:rPr>
      <w:rFonts w:hint="eastAsia" w:ascii="仿宋_GB2312" w:eastAsia="仿宋_GB2312" w:cs="仿宋_GB2312"/>
      <w:color w:val="000000"/>
      <w:sz w:val="42"/>
      <w:szCs w:val="42"/>
      <w:u w:val="none"/>
    </w:rPr>
  </w:style>
  <w:style w:type="character" w:customStyle="1" w:styleId="268">
    <w:name w:val="font81"/>
    <w:basedOn w:val="48"/>
    <w:autoRedefine/>
    <w:qFormat/>
    <w:uiPriority w:val="0"/>
    <w:rPr>
      <w:rFonts w:hint="eastAsia" w:ascii="仿宋_GB2312" w:eastAsia="仿宋_GB2312" w:cs="仿宋_GB2312"/>
      <w:b/>
      <w:bCs/>
      <w:color w:val="000000"/>
      <w:sz w:val="18"/>
      <w:szCs w:val="18"/>
      <w:u w:val="none"/>
    </w:rPr>
  </w:style>
  <w:style w:type="character" w:customStyle="1" w:styleId="269">
    <w:name w:val="font41"/>
    <w:basedOn w:val="48"/>
    <w:autoRedefine/>
    <w:qFormat/>
    <w:uiPriority w:val="0"/>
    <w:rPr>
      <w:rFonts w:hint="eastAsia" w:ascii="仿宋_GB2312" w:eastAsia="仿宋_GB2312" w:cs="仿宋_GB2312"/>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1.png"/><Relationship Id="rId33" Type="http://schemas.openxmlformats.org/officeDocument/2006/relationships/theme" Target="theme/theme1.xml"/><Relationship Id="rId32" Type="http://schemas.openxmlformats.org/officeDocument/2006/relationships/header" Target="header14.xml"/><Relationship Id="rId31" Type="http://schemas.openxmlformats.org/officeDocument/2006/relationships/footer" Target="footer16.xml"/><Relationship Id="rId30" Type="http://schemas.openxmlformats.org/officeDocument/2006/relationships/footer" Target="footer15.xml"/><Relationship Id="rId3" Type="http://schemas.openxmlformats.org/officeDocument/2006/relationships/header" Target="header1.xml"/><Relationship Id="rId29" Type="http://schemas.openxmlformats.org/officeDocument/2006/relationships/header" Target="header13.xml"/><Relationship Id="rId28" Type="http://schemas.openxmlformats.org/officeDocument/2006/relationships/header" Target="header12.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header" Target="header10.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109</Pages>
  <Words>53837</Words>
  <Characters>56081</Characters>
  <Lines>608</Lines>
  <Paragraphs>171</Paragraphs>
  <TotalTime>0</TotalTime>
  <ScaleCrop>false</ScaleCrop>
  <LinksUpToDate>false</LinksUpToDate>
  <CharactersWithSpaces>82392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    </cp:lastModifiedBy>
  <cp:lastPrinted>2024-04-28T05:31:00Z</cp:lastPrinted>
  <dcterms:modified xsi:type="dcterms:W3CDTF">2024-05-22T08:23:15Z</dcterms:modified>
  <dc:title>02年杜范本稿</dc:title>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A0C404F58B064B5FB32BBBCC94D39B60_13</vt:lpwstr>
  </property>
  <property fmtid="{D5CDD505-2E9C-101B-9397-08002B2CF9AE}" pid="4" name="commondata">
    <vt:lpwstr>eyJoZGlkIjoiMTExMjQ4ZmNjMzM3M2UzMjkzYzFlNmRmNjYwOWFlNWQifQ==</vt:lpwstr>
  </property>
</Properties>
</file>