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360" w:lineRule="auto"/>
        <w:jc w:val="center"/>
        <w:rPr>
          <w:rFonts w:ascii="仿宋" w:hAnsi="仿宋" w:eastAsia="仿宋"/>
        </w:rPr>
      </w:pPr>
      <w:bookmarkStart w:id="0" w:name="_Toc28359022"/>
      <w:bookmarkStart w:id="1" w:name="_Toc35393809"/>
      <w:r>
        <w:rPr>
          <w:rFonts w:hint="eastAsia" w:ascii="仿宋" w:hAnsi="仿宋" w:eastAsia="仿宋"/>
        </w:rPr>
        <w:t>中标</w:t>
      </w:r>
      <w:r>
        <w:rPr>
          <w:rFonts w:hint="eastAsia" w:ascii="仿宋" w:hAnsi="仿宋" w:eastAsia="仿宋"/>
          <w:lang w:val="en-US" w:eastAsia="zh-CN"/>
        </w:rPr>
        <w:t>结果</w:t>
      </w:r>
      <w:r>
        <w:rPr>
          <w:rFonts w:hint="eastAsia" w:ascii="仿宋" w:hAnsi="仿宋" w:eastAsia="仿宋"/>
        </w:rPr>
        <w:t>公告</w:t>
      </w:r>
      <w:bookmarkEnd w:id="0"/>
      <w:bookmarkEnd w:id="1"/>
    </w:p>
    <w:p>
      <w:pPr>
        <w:pStyle w:val="36"/>
        <w:numPr>
          <w:ilvl w:val="0"/>
          <w:numId w:val="1"/>
        </w:numPr>
        <w:adjustRightInd w:val="0"/>
        <w:snapToGrid w:val="0"/>
        <w:spacing w:line="360" w:lineRule="auto"/>
        <w:ind w:firstLineChars="0"/>
        <w:outlineLvl w:val="0"/>
        <w:rPr>
          <w:rFonts w:hint="eastAsia" w:ascii="仿宋" w:hAnsi="仿宋" w:eastAsia="仿宋"/>
          <w:lang w:eastAsia="zh-CN"/>
        </w:rPr>
      </w:pPr>
      <w:r>
        <w:rPr>
          <w:rFonts w:hint="eastAsia" w:ascii="仿宋" w:hAnsi="仿宋" w:eastAsia="仿宋"/>
        </w:rPr>
        <w:t>项目编号：</w:t>
      </w:r>
      <w:r>
        <w:rPr>
          <w:rFonts w:hint="eastAsia" w:ascii="仿宋" w:hAnsi="仿宋" w:eastAsia="仿宋"/>
          <w:lang w:eastAsia="zh-CN"/>
        </w:rPr>
        <w:t>11011524210200016920-XM001</w:t>
      </w:r>
    </w:p>
    <w:p>
      <w:pPr>
        <w:adjustRightInd w:val="0"/>
        <w:snapToGrid w:val="0"/>
        <w:spacing w:line="360" w:lineRule="auto"/>
        <w:outlineLvl w:val="0"/>
        <w:rPr>
          <w:rFonts w:hint="eastAsia" w:ascii="仿宋" w:hAnsi="仿宋" w:eastAsia="仿宋"/>
          <w:lang w:eastAsia="zh-CN"/>
        </w:rPr>
      </w:pPr>
      <w:r>
        <w:rPr>
          <w:rFonts w:hint="eastAsia" w:ascii="仿宋" w:hAnsi="仿宋" w:eastAsia="仿宋"/>
        </w:rPr>
        <w:t>二</w:t>
      </w:r>
      <w:r>
        <w:rPr>
          <w:rFonts w:ascii="仿宋" w:hAnsi="仿宋" w:eastAsia="仿宋"/>
        </w:rPr>
        <w:t>、</w:t>
      </w:r>
      <w:r>
        <w:rPr>
          <w:rFonts w:hint="eastAsia" w:ascii="仿宋" w:hAnsi="仿宋" w:eastAsia="仿宋"/>
        </w:rPr>
        <w:t>项目名称：</w:t>
      </w:r>
      <w:r>
        <w:rPr>
          <w:rFonts w:hint="eastAsia" w:ascii="仿宋" w:hAnsi="仿宋" w:eastAsia="仿宋"/>
          <w:lang w:eastAsia="zh-CN"/>
        </w:rPr>
        <w:t>2024年社区垃圾分类指导员项目</w:t>
      </w:r>
    </w:p>
    <w:p>
      <w:pPr>
        <w:adjustRightInd w:val="0"/>
        <w:snapToGrid w:val="0"/>
        <w:spacing w:line="360" w:lineRule="auto"/>
        <w:outlineLvl w:val="0"/>
        <w:rPr>
          <w:rFonts w:hint="eastAsia" w:ascii="仿宋" w:hAnsi="仿宋" w:eastAsia="仿宋"/>
        </w:rPr>
      </w:pPr>
      <w:r>
        <w:rPr>
          <w:rFonts w:hint="eastAsia" w:ascii="仿宋" w:hAnsi="仿宋" w:eastAsia="仿宋"/>
        </w:rPr>
        <w:t>三、中标（成交）信息</w:t>
      </w:r>
    </w:p>
    <w:p>
      <w:pPr>
        <w:adjustRightInd w:val="0"/>
        <w:snapToGrid w:val="0"/>
        <w:spacing w:line="360" w:lineRule="auto"/>
        <w:ind w:firstLine="420" w:firstLineChars="200"/>
        <w:outlineLvl w:val="0"/>
        <w:rPr>
          <w:rFonts w:hint="eastAsia" w:ascii="仿宋" w:hAnsi="仿宋" w:eastAsia="仿宋"/>
          <w:lang w:eastAsia="zh-CN"/>
        </w:rPr>
      </w:pPr>
      <w:r>
        <w:rPr>
          <w:rFonts w:hint="eastAsia" w:ascii="仿宋" w:hAnsi="仿宋" w:eastAsia="仿宋"/>
          <w:lang w:eastAsia="zh-CN"/>
        </w:rPr>
        <w:t>2024年社区垃圾分类指导员项目第一包</w:t>
      </w:r>
    </w:p>
    <w:p>
      <w:pPr>
        <w:adjustRightInd w:val="0"/>
        <w:snapToGrid w:val="0"/>
        <w:spacing w:line="360" w:lineRule="auto"/>
        <w:ind w:firstLine="420" w:firstLineChars="200"/>
        <w:outlineLvl w:val="0"/>
        <w:rPr>
          <w:rFonts w:hint="default" w:ascii="仿宋" w:hAnsi="仿宋" w:eastAsia="仿宋"/>
          <w:lang w:eastAsia="zh-CN"/>
        </w:rPr>
      </w:pPr>
      <w:r>
        <w:rPr>
          <w:rFonts w:hint="eastAsia" w:ascii="仿宋" w:hAnsi="仿宋" w:eastAsia="仿宋"/>
        </w:rPr>
        <w:t>供应商名称：</w:t>
      </w:r>
      <w:r>
        <w:rPr>
          <w:rFonts w:hint="eastAsia" w:ascii="仿宋" w:hAnsi="仿宋" w:eastAsia="仿宋"/>
          <w:lang w:eastAsia="zh-CN"/>
        </w:rPr>
        <w:t>北京多利洁环保科技有限公司</w:t>
      </w:r>
    </w:p>
    <w:p>
      <w:pPr>
        <w:adjustRightInd w:val="0"/>
        <w:snapToGrid w:val="0"/>
        <w:spacing w:line="360" w:lineRule="auto"/>
        <w:ind w:firstLine="420" w:firstLineChars="200"/>
        <w:rPr>
          <w:rFonts w:hint="default" w:ascii="仿宋" w:hAnsi="仿宋" w:eastAsia="仿宋"/>
          <w:lang w:eastAsia="zh-CN"/>
        </w:rPr>
      </w:pPr>
      <w:r>
        <w:rPr>
          <w:rFonts w:hint="eastAsia" w:ascii="仿宋" w:hAnsi="仿宋" w:eastAsia="仿宋"/>
        </w:rPr>
        <w:t>供应商地址：</w:t>
      </w:r>
      <w:r>
        <w:rPr>
          <w:rFonts w:hint="eastAsia" w:ascii="仿宋" w:hAnsi="仿宋" w:eastAsia="仿宋"/>
          <w:lang w:eastAsia="zh-CN"/>
        </w:rPr>
        <w:t>北京市大兴区滨河街27号16层1608</w:t>
      </w:r>
    </w:p>
    <w:p>
      <w:pPr>
        <w:adjustRightInd w:val="0"/>
        <w:snapToGrid w:val="0"/>
        <w:spacing w:line="360" w:lineRule="auto"/>
        <w:ind w:firstLine="420" w:firstLineChars="200"/>
        <w:rPr>
          <w:rFonts w:hint="eastAsia" w:ascii="仿宋" w:hAnsi="仿宋" w:eastAsia="仿宋"/>
        </w:rPr>
      </w:pPr>
      <w:r>
        <w:rPr>
          <w:rFonts w:hint="eastAsia" w:ascii="仿宋" w:hAnsi="仿宋" w:eastAsia="仿宋"/>
        </w:rPr>
        <w:t>中标（成交）金额：</w:t>
      </w:r>
      <w:r>
        <w:rPr>
          <w:rFonts w:hint="eastAsia" w:ascii="仿宋" w:hAnsi="仿宋" w:eastAsia="仿宋"/>
          <w:lang w:val="en-US" w:eastAsia="zh-CN"/>
        </w:rPr>
        <w:t>2099400</w:t>
      </w:r>
      <w:r>
        <w:rPr>
          <w:rFonts w:hint="eastAsia" w:ascii="仿宋" w:hAnsi="仿宋" w:eastAsia="仿宋"/>
        </w:rPr>
        <w:t>元</w:t>
      </w:r>
    </w:p>
    <w:p>
      <w:pPr>
        <w:adjustRightInd w:val="0"/>
        <w:snapToGrid w:val="0"/>
        <w:spacing w:line="360" w:lineRule="auto"/>
        <w:ind w:firstLine="420" w:firstLineChars="200"/>
        <w:rPr>
          <w:rFonts w:hint="eastAsia" w:ascii="仿宋" w:hAnsi="仿宋" w:eastAsia="仿宋"/>
          <w:lang w:eastAsia="zh-CN"/>
        </w:rPr>
      </w:pPr>
      <w:r>
        <w:rPr>
          <w:rFonts w:hint="eastAsia" w:ascii="仿宋" w:hAnsi="仿宋" w:eastAsia="仿宋"/>
          <w:lang w:eastAsia="zh-CN"/>
        </w:rPr>
        <w:t>2024年社区垃圾分类指导员项目第</w:t>
      </w:r>
      <w:r>
        <w:rPr>
          <w:rFonts w:hint="eastAsia" w:ascii="仿宋" w:hAnsi="仿宋" w:eastAsia="仿宋"/>
          <w:lang w:val="en-US" w:eastAsia="zh-CN"/>
        </w:rPr>
        <w:t>二</w:t>
      </w:r>
      <w:r>
        <w:rPr>
          <w:rFonts w:hint="eastAsia" w:ascii="仿宋" w:hAnsi="仿宋" w:eastAsia="仿宋"/>
          <w:lang w:eastAsia="zh-CN"/>
        </w:rPr>
        <w:t>包</w:t>
      </w:r>
    </w:p>
    <w:p>
      <w:pPr>
        <w:adjustRightInd w:val="0"/>
        <w:snapToGrid w:val="0"/>
        <w:spacing w:line="360" w:lineRule="auto"/>
        <w:ind w:firstLine="420" w:firstLineChars="200"/>
        <w:rPr>
          <w:rFonts w:hint="default" w:ascii="仿宋" w:hAnsi="仿宋" w:eastAsia="仿宋"/>
          <w:lang w:eastAsia="zh-CN"/>
        </w:rPr>
      </w:pPr>
      <w:r>
        <w:rPr>
          <w:rFonts w:hint="eastAsia" w:ascii="仿宋" w:hAnsi="仿宋" w:eastAsia="仿宋"/>
        </w:rPr>
        <w:t>供应商名称：</w:t>
      </w:r>
      <w:r>
        <w:rPr>
          <w:rFonts w:hint="eastAsia" w:ascii="仿宋" w:hAnsi="仿宋" w:eastAsia="仿宋"/>
          <w:lang w:eastAsia="zh-CN"/>
        </w:rPr>
        <w:t>北京新航城物业管理有限公司</w:t>
      </w:r>
    </w:p>
    <w:p>
      <w:pPr>
        <w:adjustRightInd w:val="0"/>
        <w:snapToGrid w:val="0"/>
        <w:spacing w:line="360" w:lineRule="auto"/>
        <w:ind w:firstLine="420" w:firstLineChars="200"/>
        <w:rPr>
          <w:rFonts w:hint="default" w:ascii="仿宋" w:hAnsi="仿宋" w:eastAsia="仿宋"/>
          <w:lang w:eastAsia="zh-CN"/>
        </w:rPr>
      </w:pPr>
      <w:r>
        <w:rPr>
          <w:rFonts w:hint="eastAsia" w:ascii="仿宋" w:hAnsi="仿宋" w:eastAsia="仿宋"/>
        </w:rPr>
        <w:t>供应商地址：</w:t>
      </w:r>
      <w:r>
        <w:rPr>
          <w:rFonts w:hint="eastAsia" w:ascii="仿宋" w:hAnsi="仿宋" w:eastAsia="仿宋"/>
          <w:lang w:eastAsia="zh-CN"/>
        </w:rPr>
        <w:t>北京市大兴区隆华大街49号院21号楼1至2层111</w:t>
      </w:r>
    </w:p>
    <w:p>
      <w:pPr>
        <w:adjustRightInd w:val="0"/>
        <w:snapToGrid w:val="0"/>
        <w:spacing w:line="360" w:lineRule="auto"/>
        <w:ind w:firstLine="420" w:firstLineChars="200"/>
        <w:rPr>
          <w:rFonts w:hint="eastAsia" w:ascii="仿宋" w:hAnsi="仿宋" w:eastAsia="仿宋"/>
        </w:rPr>
      </w:pPr>
      <w:r>
        <w:rPr>
          <w:rFonts w:hint="eastAsia" w:ascii="仿宋" w:hAnsi="仿宋" w:eastAsia="仿宋"/>
        </w:rPr>
        <w:t>中标（成交）金额：</w:t>
      </w:r>
      <w:r>
        <w:rPr>
          <w:rFonts w:hint="eastAsia" w:ascii="仿宋" w:hAnsi="仿宋" w:eastAsia="仿宋"/>
          <w:lang w:val="en-US" w:eastAsia="zh-CN"/>
        </w:rPr>
        <w:t>2056320</w:t>
      </w:r>
      <w:r>
        <w:rPr>
          <w:rFonts w:hint="eastAsia" w:ascii="仿宋" w:hAnsi="仿宋" w:eastAsia="仿宋"/>
        </w:rPr>
        <w:t>元</w:t>
      </w:r>
    </w:p>
    <w:p>
      <w:pPr>
        <w:adjustRightInd w:val="0"/>
        <w:snapToGrid w:val="0"/>
        <w:spacing w:line="360" w:lineRule="auto"/>
        <w:outlineLvl w:val="0"/>
        <w:rPr>
          <w:rFonts w:ascii="仿宋" w:hAnsi="仿宋" w:eastAsia="仿宋"/>
        </w:rPr>
      </w:pPr>
      <w:r>
        <w:rPr>
          <w:rFonts w:hint="eastAsia" w:ascii="仿宋" w:hAnsi="仿宋" w:eastAsia="仿宋"/>
        </w:rPr>
        <w:t>四、主要标的信息</w:t>
      </w:r>
    </w:p>
    <w:p>
      <w:pPr>
        <w:adjustRightInd w:val="0"/>
        <w:snapToGrid w:val="0"/>
        <w:spacing w:line="360" w:lineRule="auto"/>
        <w:ind w:firstLine="420" w:firstLineChars="200"/>
        <w:rPr>
          <w:rFonts w:hint="default" w:ascii="仿宋" w:hAnsi="仿宋" w:eastAsia="仿宋"/>
          <w:lang w:eastAsia="zh-CN"/>
        </w:rPr>
      </w:pPr>
      <w:r>
        <w:rPr>
          <w:rFonts w:hint="eastAsia" w:ascii="仿宋" w:hAnsi="仿宋" w:eastAsia="仿宋"/>
        </w:rPr>
        <w:t>名称：</w:t>
      </w:r>
      <w:r>
        <w:rPr>
          <w:rFonts w:hint="eastAsia" w:ascii="仿宋" w:hAnsi="仿宋" w:eastAsia="仿宋"/>
          <w:lang w:eastAsia="zh-CN"/>
        </w:rPr>
        <w:t>2024年社区垃圾分类指导员项目</w:t>
      </w:r>
    </w:p>
    <w:p>
      <w:pPr>
        <w:jc w:val="left"/>
        <w:rPr>
          <w:rFonts w:hint="eastAsia" w:ascii="仿宋" w:hAnsi="仿宋" w:eastAsia="仿宋"/>
        </w:rPr>
      </w:pPr>
      <w:r>
        <w:rPr>
          <w:rFonts w:hint="eastAsia" w:ascii="仿宋" w:hAnsi="仿宋" w:eastAsia="仿宋"/>
        </w:rPr>
        <w:t>服务范围：</w:t>
      </w:r>
    </w:p>
    <w:p>
      <w:pPr>
        <w:adjustRightInd w:val="0"/>
        <w:snapToGrid w:val="0"/>
        <w:spacing w:line="360" w:lineRule="auto"/>
        <w:ind w:firstLine="420" w:firstLineChars="200"/>
        <w:rPr>
          <w:rFonts w:hint="eastAsia" w:ascii="仿宋" w:hAnsi="仿宋" w:eastAsia="仿宋" w:cs="Times New Roman"/>
          <w:lang w:eastAsia="zh-CN"/>
        </w:rPr>
      </w:pPr>
      <w:r>
        <w:rPr>
          <w:rFonts w:hint="eastAsia" w:ascii="仿宋" w:hAnsi="仿宋" w:eastAsia="仿宋" w:cs="Times New Roman"/>
          <w:lang w:eastAsia="zh-CN"/>
        </w:rPr>
        <w:t>小区内垃圾分类宣传、指导、桶站值守、二次分拣、服务和管理工作，保证服务质量达到国家、北京市及大兴区政府或其他有关部门规定的垃圾分类有关标准和要求。</w:t>
      </w:r>
    </w:p>
    <w:p>
      <w:pPr>
        <w:widowControl/>
        <w:spacing w:line="360" w:lineRule="auto"/>
        <w:ind w:firstLine="420" w:firstLineChars="200"/>
        <w:contextualSpacing/>
        <w:rPr>
          <w:rFonts w:hint="default" w:ascii="仿宋" w:hAnsi="仿宋" w:eastAsia="仿宋"/>
          <w:lang w:val="en-US" w:eastAsia="zh-CN"/>
        </w:rPr>
      </w:pPr>
      <w:r>
        <w:rPr>
          <w:rFonts w:hint="eastAsia" w:ascii="仿宋" w:hAnsi="仿宋" w:eastAsia="仿宋"/>
        </w:rPr>
        <w:t>服务标准：</w:t>
      </w:r>
      <w:r>
        <w:rPr>
          <w:rFonts w:hint="eastAsia" w:ascii="仿宋" w:hAnsi="仿宋" w:eastAsia="仿宋"/>
          <w:lang w:val="en-US" w:eastAsia="zh-CN"/>
        </w:rPr>
        <w:t>详见招标文件</w:t>
      </w:r>
    </w:p>
    <w:p>
      <w:pPr>
        <w:adjustRightInd w:val="0"/>
        <w:snapToGrid w:val="0"/>
        <w:spacing w:line="360" w:lineRule="auto"/>
        <w:ind w:firstLine="420" w:firstLineChars="200"/>
        <w:rPr>
          <w:rFonts w:ascii="仿宋" w:hAnsi="仿宋" w:eastAsia="仿宋"/>
        </w:rPr>
      </w:pPr>
      <w:r>
        <w:rPr>
          <w:rFonts w:hint="eastAsia" w:ascii="仿宋" w:hAnsi="仿宋" w:eastAsia="仿宋"/>
        </w:rPr>
        <w:t>服务要求：详见招标文件</w:t>
      </w:r>
    </w:p>
    <w:p>
      <w:pPr>
        <w:adjustRightInd w:val="0"/>
        <w:snapToGrid w:val="0"/>
        <w:spacing w:line="360" w:lineRule="auto"/>
        <w:ind w:firstLine="420" w:firstLineChars="200"/>
        <w:rPr>
          <w:rFonts w:hint="eastAsia" w:ascii="仿宋" w:hAnsi="仿宋" w:eastAsia="仿宋"/>
          <w:lang w:eastAsia="zh-CN"/>
        </w:rPr>
      </w:pPr>
      <w:r>
        <w:rPr>
          <w:rFonts w:hint="eastAsia" w:ascii="仿宋" w:hAnsi="仿宋" w:eastAsia="仿宋"/>
        </w:rPr>
        <w:t>合同履行期限：</w:t>
      </w:r>
      <w:r>
        <w:rPr>
          <w:rFonts w:hint="eastAsia" w:ascii="仿宋" w:hAnsi="仿宋" w:eastAsia="仿宋"/>
          <w:lang w:eastAsia="zh-CN"/>
        </w:rPr>
        <w:t>一年</w:t>
      </w:r>
    </w:p>
    <w:p>
      <w:pPr>
        <w:adjustRightInd w:val="0"/>
        <w:snapToGrid w:val="0"/>
        <w:spacing w:line="360" w:lineRule="auto"/>
        <w:ind w:firstLine="420" w:firstLineChars="200"/>
        <w:rPr>
          <w:rFonts w:hint="eastAsia" w:ascii="仿宋" w:hAnsi="仿宋" w:eastAsia="仿宋"/>
          <w:lang w:eastAsia="zh-CN"/>
        </w:rPr>
      </w:pPr>
      <w:r>
        <w:rPr>
          <w:rFonts w:hint="eastAsia" w:ascii="仿宋" w:hAnsi="仿宋" w:eastAsia="仿宋"/>
          <w:lang w:eastAsia="zh-CN"/>
        </w:rPr>
        <w:t>项目地点：北京市大兴区高米店街道</w:t>
      </w:r>
    </w:p>
    <w:p>
      <w:pPr>
        <w:adjustRightInd w:val="0"/>
        <w:snapToGrid w:val="0"/>
        <w:spacing w:line="360" w:lineRule="auto"/>
        <w:outlineLvl w:val="0"/>
        <w:rPr>
          <w:rFonts w:ascii="仿宋" w:hAnsi="仿宋" w:eastAsia="仿宋"/>
        </w:rPr>
      </w:pPr>
      <w:r>
        <w:rPr>
          <w:rFonts w:hint="eastAsia" w:ascii="仿宋" w:hAnsi="仿宋" w:eastAsia="仿宋"/>
        </w:rPr>
        <w:t>五、评审专家名单：</w:t>
      </w:r>
      <w:r>
        <w:rPr>
          <w:rFonts w:hint="eastAsia" w:ascii="仿宋" w:hAnsi="仿宋" w:eastAsia="仿宋"/>
          <w:lang w:val="en-US" w:eastAsia="zh-CN"/>
        </w:rPr>
        <w:t>王彦庆、胡昌夏、孙良悦、陈卫强、王立嘉</w:t>
      </w:r>
      <w:r>
        <w:rPr>
          <w:rFonts w:hint="eastAsia" w:ascii="仿宋" w:hAnsi="仿宋" w:eastAsia="仿宋"/>
        </w:rPr>
        <w:t xml:space="preserve"> </w:t>
      </w:r>
    </w:p>
    <w:p>
      <w:pPr>
        <w:adjustRightInd w:val="0"/>
        <w:snapToGrid w:val="0"/>
        <w:spacing w:line="360" w:lineRule="auto"/>
        <w:outlineLvl w:val="0"/>
        <w:rPr>
          <w:rFonts w:ascii="仿宋" w:hAnsi="仿宋" w:eastAsia="仿宋"/>
        </w:rPr>
      </w:pPr>
      <w:r>
        <w:rPr>
          <w:rFonts w:hint="eastAsia" w:ascii="仿宋" w:hAnsi="仿宋" w:eastAsia="仿宋"/>
        </w:rPr>
        <w:t>六、代理服务收费标准及金额：</w:t>
      </w:r>
    </w:p>
    <w:p>
      <w:pPr>
        <w:adjustRightInd w:val="0"/>
        <w:snapToGrid w:val="0"/>
        <w:spacing w:line="360" w:lineRule="auto"/>
        <w:rPr>
          <w:rFonts w:ascii="仿宋" w:hAnsi="仿宋" w:eastAsia="仿宋"/>
        </w:rPr>
      </w:pPr>
      <w:r>
        <w:rPr>
          <w:rFonts w:hint="eastAsia" w:ascii="仿宋" w:hAnsi="仿宋" w:eastAsia="仿宋"/>
        </w:rPr>
        <w:t>本项目代理费总金额：</w:t>
      </w:r>
      <w:r>
        <w:rPr>
          <w:rFonts w:hint="eastAsia" w:ascii="仿宋" w:hAnsi="仿宋" w:eastAsia="仿宋"/>
          <w:lang w:val="en-US" w:eastAsia="zh-CN"/>
        </w:rPr>
        <w:t>4.7246</w:t>
      </w:r>
      <w:r>
        <w:rPr>
          <w:rFonts w:hint="eastAsia" w:ascii="仿宋" w:hAnsi="仿宋" w:eastAsia="仿宋"/>
        </w:rPr>
        <w:t>万元</w:t>
      </w:r>
    </w:p>
    <w:p>
      <w:pPr>
        <w:adjustRightInd w:val="0"/>
        <w:snapToGrid w:val="0"/>
        <w:spacing w:line="360" w:lineRule="auto"/>
        <w:rPr>
          <w:rFonts w:hint="eastAsia" w:ascii="仿宋" w:hAnsi="仿宋" w:eastAsia="仿宋"/>
          <w:lang w:eastAsia="zh-CN"/>
        </w:rPr>
      </w:pPr>
      <w:r>
        <w:rPr>
          <w:rFonts w:hint="eastAsia" w:ascii="仿宋" w:hAnsi="仿宋" w:eastAsia="仿宋"/>
        </w:rPr>
        <w:t>本项目代理费收费标准：</w:t>
      </w:r>
      <w:r>
        <w:rPr>
          <w:rFonts w:hint="eastAsia" w:ascii="仿宋" w:hAnsi="仿宋" w:eastAsia="仿宋"/>
          <w:lang w:eastAsia="zh-CN"/>
        </w:rPr>
        <w:t>参照《招标代理服务收费管理暂行办法》（计价格﹝2002﹞1980号）规定的招标代理服务收费标准，以中标总价为基数按差额定率累进法计算</w:t>
      </w:r>
    </w:p>
    <w:p>
      <w:pPr>
        <w:adjustRightInd w:val="0"/>
        <w:snapToGrid w:val="0"/>
        <w:spacing w:line="360" w:lineRule="auto"/>
        <w:outlineLvl w:val="0"/>
        <w:rPr>
          <w:rFonts w:ascii="仿宋" w:hAnsi="仿宋" w:eastAsia="仿宋"/>
        </w:rPr>
      </w:pPr>
      <w:r>
        <w:rPr>
          <w:rFonts w:hint="eastAsia" w:ascii="仿宋" w:hAnsi="仿宋" w:eastAsia="仿宋"/>
        </w:rPr>
        <w:t>七、公告期限</w:t>
      </w:r>
    </w:p>
    <w:p>
      <w:pPr>
        <w:adjustRightInd w:val="0"/>
        <w:snapToGrid w:val="0"/>
        <w:spacing w:line="360" w:lineRule="auto"/>
        <w:ind w:firstLine="420" w:firstLineChars="200"/>
        <w:rPr>
          <w:rFonts w:ascii="仿宋" w:hAnsi="仿宋" w:eastAsia="仿宋"/>
        </w:rPr>
      </w:pPr>
      <w:r>
        <w:rPr>
          <w:rFonts w:hint="eastAsia" w:ascii="仿宋" w:hAnsi="仿宋" w:eastAsia="仿宋"/>
        </w:rPr>
        <w:t>自本公告发布之日起</w:t>
      </w:r>
      <w:r>
        <w:rPr>
          <w:rFonts w:ascii="仿宋" w:hAnsi="仿宋" w:eastAsia="仿宋"/>
        </w:rPr>
        <w:t>1</w:t>
      </w:r>
      <w:r>
        <w:rPr>
          <w:rFonts w:hint="eastAsia" w:ascii="仿宋" w:hAnsi="仿宋" w:eastAsia="仿宋"/>
        </w:rPr>
        <w:t>个工作日。</w:t>
      </w:r>
    </w:p>
    <w:p>
      <w:pPr>
        <w:adjustRightInd w:val="0"/>
        <w:snapToGrid w:val="0"/>
        <w:spacing w:line="240" w:lineRule="auto"/>
        <w:outlineLvl w:val="0"/>
        <w:rPr>
          <w:rFonts w:ascii="仿宋" w:hAnsi="仿宋" w:eastAsia="仿宋"/>
        </w:rPr>
      </w:pPr>
      <w:r>
        <w:rPr>
          <w:rFonts w:hint="eastAsia" w:ascii="仿宋" w:hAnsi="仿宋" w:eastAsia="仿宋"/>
        </w:rPr>
        <w:t>八、其他补充事宜</w:t>
      </w:r>
    </w:p>
    <w:p>
      <w:pPr>
        <w:pStyle w:val="9"/>
        <w:keepNext w:val="0"/>
        <w:keepLines w:val="0"/>
        <w:widowControl/>
        <w:suppressLineNumbers w:val="0"/>
        <w:spacing w:before="252" w:beforeAutospacing="0" w:after="322" w:afterAutospacing="0" w:line="240" w:lineRule="auto"/>
        <w:ind w:right="150" w:firstLine="420" w:firstLineChars="200"/>
        <w:rPr>
          <w:rFonts w:hint="eastAsia" w:ascii="仿宋" w:hAnsi="仿宋" w:eastAsia="仿宋" w:cs="Times New Roman"/>
          <w:kern w:val="2"/>
          <w:sz w:val="21"/>
          <w:szCs w:val="21"/>
          <w:lang w:val="en-US" w:eastAsia="zh-CN" w:bidi="ar-SA"/>
        </w:rPr>
      </w:pPr>
      <w:r>
        <w:rPr>
          <w:rFonts w:hint="eastAsia" w:ascii="仿宋" w:hAnsi="仿宋" w:eastAsia="仿宋" w:cs="Times New Roman"/>
          <w:kern w:val="2"/>
          <w:sz w:val="21"/>
          <w:szCs w:val="21"/>
          <w:lang w:val="en-US" w:eastAsia="zh-CN" w:bidi="ar-SA"/>
        </w:rPr>
        <w:t>第一包中标供应商评审总得分：94.6分</w:t>
      </w:r>
    </w:p>
    <w:p>
      <w:pPr>
        <w:pStyle w:val="9"/>
        <w:keepNext w:val="0"/>
        <w:keepLines w:val="0"/>
        <w:widowControl/>
        <w:suppressLineNumbers w:val="0"/>
        <w:spacing w:before="252" w:beforeAutospacing="0" w:after="322" w:afterAutospacing="0" w:line="240" w:lineRule="auto"/>
        <w:ind w:right="150" w:firstLine="420" w:firstLineChars="200"/>
        <w:rPr>
          <w:rFonts w:hint="eastAsia" w:ascii="仿宋" w:hAnsi="仿宋" w:eastAsia="仿宋" w:cs="Times New Roman"/>
          <w:kern w:val="2"/>
          <w:sz w:val="21"/>
          <w:szCs w:val="21"/>
          <w:lang w:val="en-US" w:eastAsia="zh-CN" w:bidi="ar-SA"/>
        </w:rPr>
      </w:pPr>
      <w:r>
        <w:rPr>
          <w:rFonts w:hint="eastAsia" w:ascii="仿宋" w:hAnsi="仿宋" w:eastAsia="仿宋" w:cs="Times New Roman"/>
          <w:kern w:val="2"/>
          <w:sz w:val="21"/>
          <w:szCs w:val="21"/>
          <w:lang w:val="en-US" w:eastAsia="zh-CN" w:bidi="ar-SA"/>
        </w:rPr>
        <w:t>第二包中标供应商评审总得分：97</w:t>
      </w:r>
      <w:bookmarkStart w:id="14" w:name="_GoBack"/>
      <w:bookmarkEnd w:id="14"/>
      <w:r>
        <w:rPr>
          <w:rFonts w:hint="eastAsia" w:ascii="仿宋" w:hAnsi="仿宋" w:eastAsia="仿宋" w:cs="Times New Roman"/>
          <w:kern w:val="2"/>
          <w:sz w:val="21"/>
          <w:szCs w:val="21"/>
          <w:lang w:val="en-US" w:eastAsia="zh-CN" w:bidi="ar-SA"/>
        </w:rPr>
        <w:t>分</w:t>
      </w:r>
    </w:p>
    <w:p>
      <w:pPr>
        <w:adjustRightInd w:val="0"/>
        <w:snapToGrid w:val="0"/>
        <w:spacing w:line="360" w:lineRule="auto"/>
        <w:outlineLvl w:val="0"/>
        <w:rPr>
          <w:rFonts w:ascii="仿宋" w:hAnsi="仿宋" w:eastAsia="仿宋"/>
        </w:rPr>
      </w:pPr>
      <w:r>
        <w:rPr>
          <w:rFonts w:hint="eastAsia" w:ascii="仿宋" w:hAnsi="仿宋" w:eastAsia="仿宋"/>
        </w:rPr>
        <w:t>九、凡对本次公告内容提出询问，请按以下方式联系。</w:t>
      </w:r>
    </w:p>
    <w:p>
      <w:pPr>
        <w:pStyle w:val="3"/>
        <w:adjustRightInd w:val="0"/>
        <w:snapToGrid w:val="0"/>
        <w:spacing w:before="0" w:after="0" w:line="360" w:lineRule="auto"/>
        <w:ind w:firstLine="525" w:firstLineChars="250"/>
        <w:outlineLvl w:val="1"/>
        <w:rPr>
          <w:rFonts w:ascii="仿宋" w:hAnsi="仿宋" w:eastAsia="仿宋" w:cs="宋体"/>
          <w:b w:val="0"/>
          <w:sz w:val="21"/>
          <w:szCs w:val="21"/>
        </w:rPr>
      </w:pPr>
      <w:bookmarkStart w:id="2" w:name="_Toc35393641"/>
      <w:bookmarkStart w:id="3" w:name="_Toc28359100"/>
      <w:bookmarkStart w:id="4" w:name="_Toc35393810"/>
      <w:bookmarkStart w:id="5" w:name="_Toc28359023"/>
      <w:r>
        <w:rPr>
          <w:rFonts w:hint="eastAsia" w:ascii="仿宋" w:hAnsi="仿宋" w:eastAsia="仿宋" w:cs="宋体"/>
          <w:b w:val="0"/>
          <w:sz w:val="21"/>
          <w:szCs w:val="21"/>
        </w:rPr>
        <w:t>1.采购人信息</w:t>
      </w:r>
      <w:bookmarkEnd w:id="2"/>
      <w:bookmarkEnd w:id="3"/>
      <w:bookmarkEnd w:id="4"/>
      <w:bookmarkEnd w:id="5"/>
    </w:p>
    <w:p>
      <w:pPr>
        <w:adjustRightInd w:val="0"/>
        <w:snapToGrid w:val="0"/>
        <w:spacing w:line="360" w:lineRule="auto"/>
        <w:ind w:left="1041" w:leftChars="371" w:hanging="262" w:hangingChars="125"/>
        <w:jc w:val="left"/>
        <w:rPr>
          <w:rFonts w:hint="eastAsia" w:ascii="仿宋" w:hAnsi="仿宋" w:eastAsia="仿宋"/>
          <w:lang w:eastAsia="zh-CN"/>
        </w:rPr>
      </w:pPr>
      <w:r>
        <w:rPr>
          <w:rFonts w:hint="eastAsia" w:ascii="仿宋" w:hAnsi="仿宋" w:eastAsia="仿宋"/>
        </w:rPr>
        <w:t>名    称：</w:t>
      </w:r>
      <w:r>
        <w:rPr>
          <w:rFonts w:hint="eastAsia" w:ascii="仿宋" w:hAnsi="仿宋" w:eastAsia="仿宋"/>
          <w:lang w:eastAsia="zh-CN"/>
        </w:rPr>
        <w:t>北京市大兴区高米店街道办事处</w:t>
      </w:r>
    </w:p>
    <w:p>
      <w:pPr>
        <w:adjustRightInd w:val="0"/>
        <w:snapToGrid w:val="0"/>
        <w:spacing w:line="360" w:lineRule="auto"/>
        <w:ind w:left="1041" w:leftChars="371" w:hanging="262" w:hangingChars="125"/>
        <w:jc w:val="left"/>
        <w:rPr>
          <w:rFonts w:ascii="仿宋" w:hAnsi="仿宋" w:eastAsia="仿宋"/>
        </w:rPr>
      </w:pPr>
      <w:r>
        <w:rPr>
          <w:rFonts w:hint="eastAsia" w:ascii="仿宋" w:hAnsi="仿宋" w:eastAsia="仿宋"/>
        </w:rPr>
        <w:t>地    址：</w:t>
      </w:r>
      <w:r>
        <w:rPr>
          <w:rFonts w:hint="eastAsia" w:ascii="仿宋" w:hAnsi="仿宋" w:eastAsia="仿宋" w:cs="宋体"/>
          <w:b w:val="0"/>
          <w:bCs/>
          <w:kern w:val="2"/>
          <w:sz w:val="21"/>
          <w:szCs w:val="21"/>
          <w:lang w:val="en-US" w:eastAsia="zh-CN" w:bidi="ar-SA"/>
        </w:rPr>
        <w:t>北京市大兴区乐园路22号院7号楼</w:t>
      </w:r>
    </w:p>
    <w:p>
      <w:pPr>
        <w:adjustRightInd w:val="0"/>
        <w:snapToGrid w:val="0"/>
        <w:spacing w:line="360" w:lineRule="auto"/>
        <w:ind w:left="1041" w:leftChars="371" w:hanging="262" w:hangingChars="125"/>
        <w:jc w:val="left"/>
        <w:rPr>
          <w:rFonts w:hint="eastAsia" w:ascii="仿宋" w:hAnsi="仿宋" w:eastAsia="仿宋"/>
          <w:lang w:eastAsia="zh-CN"/>
        </w:rPr>
      </w:pPr>
      <w:r>
        <w:rPr>
          <w:rFonts w:hint="eastAsia" w:ascii="仿宋" w:hAnsi="仿宋" w:eastAsia="仿宋"/>
        </w:rPr>
        <w:t>联系方式：</w:t>
      </w:r>
      <w:r>
        <w:rPr>
          <w:rFonts w:hint="eastAsia" w:ascii="仿宋" w:hAnsi="仿宋" w:eastAsia="仿宋"/>
          <w:lang w:eastAsia="zh-CN"/>
        </w:rPr>
        <w:t>王立嘉 010-60208005</w:t>
      </w:r>
    </w:p>
    <w:p>
      <w:pPr>
        <w:pStyle w:val="3"/>
        <w:adjustRightInd w:val="0"/>
        <w:snapToGrid w:val="0"/>
        <w:spacing w:before="0" w:after="0" w:line="360" w:lineRule="auto"/>
        <w:ind w:firstLine="630" w:firstLineChars="300"/>
        <w:outlineLvl w:val="1"/>
        <w:rPr>
          <w:rFonts w:ascii="仿宋" w:hAnsi="仿宋" w:eastAsia="仿宋" w:cs="宋体"/>
          <w:b w:val="0"/>
          <w:sz w:val="21"/>
          <w:szCs w:val="21"/>
        </w:rPr>
      </w:pPr>
      <w:bookmarkStart w:id="6" w:name="_Toc35393811"/>
      <w:bookmarkStart w:id="7" w:name="_Toc35393642"/>
      <w:bookmarkStart w:id="8" w:name="_Toc28359024"/>
      <w:bookmarkStart w:id="9" w:name="_Toc28359101"/>
      <w:r>
        <w:rPr>
          <w:rFonts w:hint="eastAsia" w:ascii="仿宋" w:hAnsi="仿宋" w:eastAsia="仿宋" w:cs="宋体"/>
          <w:b w:val="0"/>
          <w:sz w:val="21"/>
          <w:szCs w:val="21"/>
        </w:rPr>
        <w:t>2.采购代理机构信息</w:t>
      </w:r>
      <w:bookmarkEnd w:id="6"/>
      <w:bookmarkEnd w:id="7"/>
      <w:bookmarkEnd w:id="8"/>
      <w:bookmarkEnd w:id="9"/>
    </w:p>
    <w:p>
      <w:pPr>
        <w:adjustRightInd w:val="0"/>
        <w:snapToGrid w:val="0"/>
        <w:spacing w:line="360" w:lineRule="auto"/>
        <w:ind w:firstLine="630" w:firstLineChars="300"/>
        <w:rPr>
          <w:rFonts w:ascii="仿宋" w:hAnsi="仿宋" w:eastAsia="仿宋"/>
          <w:u w:val="single"/>
        </w:rPr>
      </w:pPr>
      <w:r>
        <w:rPr>
          <w:rFonts w:hint="eastAsia" w:ascii="仿宋" w:hAnsi="仿宋" w:eastAsia="仿宋"/>
        </w:rPr>
        <w:t>名    称：</w:t>
      </w:r>
      <w:r>
        <w:rPr>
          <w:rFonts w:hint="eastAsia" w:ascii="仿宋" w:hAnsi="仿宋" w:eastAsia="仿宋" w:cs="宋体"/>
          <w:u w:val="single"/>
        </w:rPr>
        <w:t>北京正采工程咨询有限公司</w:t>
      </w:r>
    </w:p>
    <w:p>
      <w:pPr>
        <w:adjustRightInd w:val="0"/>
        <w:snapToGrid w:val="0"/>
        <w:spacing w:line="360" w:lineRule="auto"/>
        <w:ind w:firstLine="630" w:firstLineChars="300"/>
        <w:rPr>
          <w:rFonts w:ascii="仿宋" w:hAnsi="仿宋" w:eastAsia="仿宋"/>
        </w:rPr>
      </w:pPr>
      <w:r>
        <w:rPr>
          <w:rFonts w:hint="eastAsia" w:ascii="仿宋" w:hAnsi="仿宋" w:eastAsia="仿宋"/>
        </w:rPr>
        <w:t>地　  址：</w:t>
      </w:r>
      <w:r>
        <w:rPr>
          <w:rFonts w:hint="eastAsia" w:ascii="仿宋" w:hAnsi="仿宋" w:eastAsia="仿宋" w:cs="宋体"/>
          <w:u w:val="single"/>
        </w:rPr>
        <w:t>北京市大兴区清澄名苑北区27号楼B座2003室</w:t>
      </w:r>
    </w:p>
    <w:p>
      <w:pPr>
        <w:adjustRightInd w:val="0"/>
        <w:snapToGrid w:val="0"/>
        <w:spacing w:line="360" w:lineRule="auto"/>
        <w:ind w:firstLine="630" w:firstLineChars="300"/>
        <w:rPr>
          <w:rFonts w:ascii="仿宋" w:hAnsi="仿宋" w:eastAsia="仿宋"/>
          <w:u w:val="single"/>
        </w:rPr>
      </w:pPr>
      <w:r>
        <w:rPr>
          <w:rFonts w:hint="eastAsia" w:ascii="仿宋" w:hAnsi="仿宋" w:eastAsia="仿宋"/>
        </w:rPr>
        <w:t>联系方式：</w:t>
      </w:r>
      <w:r>
        <w:rPr>
          <w:rFonts w:hint="eastAsia" w:ascii="仿宋" w:hAnsi="仿宋" w:eastAsia="仿宋" w:cs="宋体"/>
          <w:u w:val="single"/>
          <w:lang w:val="en-US" w:eastAsia="zh-CN"/>
        </w:rPr>
        <w:t>闫玛娜</w:t>
      </w:r>
      <w:r>
        <w:rPr>
          <w:rFonts w:hint="eastAsia" w:ascii="仿宋" w:hAnsi="仿宋" w:eastAsia="仿宋" w:cs="宋体"/>
          <w:u w:val="single"/>
        </w:rPr>
        <w:t>； 010-61262672</w:t>
      </w:r>
    </w:p>
    <w:p>
      <w:pPr>
        <w:pStyle w:val="3"/>
        <w:adjustRightInd w:val="0"/>
        <w:snapToGrid w:val="0"/>
        <w:spacing w:before="0" w:after="0" w:line="360" w:lineRule="auto"/>
        <w:ind w:firstLine="630" w:firstLineChars="300"/>
        <w:outlineLvl w:val="1"/>
        <w:rPr>
          <w:rFonts w:ascii="仿宋" w:hAnsi="仿宋" w:eastAsia="仿宋" w:cs="宋体"/>
          <w:b w:val="0"/>
          <w:sz w:val="21"/>
          <w:szCs w:val="21"/>
        </w:rPr>
      </w:pPr>
      <w:bookmarkStart w:id="10" w:name="_Toc35393643"/>
      <w:bookmarkStart w:id="11" w:name="_Toc28359025"/>
      <w:bookmarkStart w:id="12" w:name="_Toc28359102"/>
      <w:bookmarkStart w:id="13" w:name="_Toc35393812"/>
      <w:r>
        <w:rPr>
          <w:rFonts w:hint="eastAsia" w:ascii="仿宋" w:hAnsi="仿宋" w:eastAsia="仿宋" w:cs="宋体"/>
          <w:b w:val="0"/>
          <w:sz w:val="21"/>
          <w:szCs w:val="21"/>
        </w:rPr>
        <w:t>3.项目</w:t>
      </w:r>
      <w:r>
        <w:rPr>
          <w:rFonts w:ascii="仿宋" w:hAnsi="仿宋" w:eastAsia="仿宋" w:cs="宋体"/>
          <w:b w:val="0"/>
          <w:sz w:val="21"/>
          <w:szCs w:val="21"/>
        </w:rPr>
        <w:t>联系方式</w:t>
      </w:r>
      <w:bookmarkEnd w:id="10"/>
      <w:bookmarkEnd w:id="11"/>
      <w:bookmarkEnd w:id="12"/>
      <w:bookmarkEnd w:id="13"/>
    </w:p>
    <w:p>
      <w:pPr>
        <w:pStyle w:val="5"/>
        <w:adjustRightInd w:val="0"/>
        <w:snapToGrid w:val="0"/>
        <w:spacing w:line="360" w:lineRule="auto"/>
        <w:ind w:firstLine="630" w:firstLineChars="300"/>
        <w:rPr>
          <w:rFonts w:hint="eastAsia" w:ascii="仿宋" w:hAnsi="仿宋" w:eastAsia="仿宋"/>
          <w:szCs w:val="21"/>
          <w:lang w:eastAsia="zh-CN"/>
        </w:rPr>
      </w:pPr>
      <w:r>
        <w:rPr>
          <w:rFonts w:hint="eastAsia" w:ascii="仿宋" w:hAnsi="仿宋" w:eastAsia="仿宋"/>
          <w:szCs w:val="21"/>
        </w:rPr>
        <w:t>项目联系人：</w:t>
      </w:r>
      <w:r>
        <w:rPr>
          <w:rFonts w:hint="eastAsia" w:ascii="仿宋" w:hAnsi="仿宋" w:eastAsia="仿宋" w:cs="宋体"/>
          <w:u w:val="single"/>
          <w:lang w:val="en-US" w:eastAsia="zh-CN"/>
        </w:rPr>
        <w:t>闫玛娜</w:t>
      </w:r>
    </w:p>
    <w:p>
      <w:pPr>
        <w:adjustRightInd w:val="0"/>
        <w:snapToGrid w:val="0"/>
        <w:spacing w:line="360" w:lineRule="auto"/>
        <w:ind w:firstLine="630" w:firstLineChars="300"/>
        <w:rPr>
          <w:rFonts w:ascii="仿宋" w:hAnsi="仿宋" w:eastAsia="仿宋"/>
          <w:u w:val="single"/>
        </w:rPr>
      </w:pPr>
      <w:r>
        <w:rPr>
          <w:rFonts w:hint="eastAsia" w:ascii="仿宋" w:hAnsi="仿宋" w:eastAsia="仿宋"/>
        </w:rPr>
        <w:t>电　  话：</w:t>
      </w:r>
      <w:r>
        <w:rPr>
          <w:rFonts w:hint="eastAsia" w:ascii="仿宋" w:hAnsi="仿宋" w:eastAsia="仿宋" w:cs="宋体"/>
          <w:u w:val="single"/>
        </w:rPr>
        <w:t>010-61262672</w:t>
      </w:r>
    </w:p>
    <w:p>
      <w:pPr>
        <w:adjustRightInd w:val="0"/>
        <w:snapToGrid w:val="0"/>
        <w:spacing w:line="360" w:lineRule="auto"/>
        <w:ind w:firstLine="630" w:firstLineChars="300"/>
        <w:outlineLvl w:val="0"/>
        <w:rPr>
          <w:rFonts w:ascii="仿宋" w:hAnsi="仿宋" w:eastAsia="仿宋" w:cs="宋体"/>
          <w:kern w:val="0"/>
        </w:rPr>
      </w:pPr>
      <w:r>
        <w:rPr>
          <w:rFonts w:hint="eastAsia" w:ascii="仿宋" w:hAnsi="仿宋" w:eastAsia="仿宋" w:cs="宋体"/>
          <w:kern w:val="0"/>
        </w:rPr>
        <w:t>十、附件</w:t>
      </w:r>
    </w:p>
    <w:p>
      <w:pPr>
        <w:adjustRightInd w:val="0"/>
        <w:snapToGrid w:val="0"/>
        <w:spacing w:line="360" w:lineRule="auto"/>
        <w:ind w:firstLine="420" w:firstLineChars="200"/>
        <w:outlineLvl w:val="0"/>
        <w:rPr>
          <w:rFonts w:ascii="仿宋" w:hAnsi="仿宋" w:eastAsia="仿宋" w:cs="宋体"/>
          <w:kern w:val="0"/>
        </w:rPr>
      </w:pPr>
      <w:r>
        <w:rPr>
          <w:rFonts w:hint="eastAsia" w:ascii="仿宋" w:hAnsi="仿宋" w:eastAsia="仿宋" w:cs="宋体"/>
          <w:kern w:val="0"/>
        </w:rPr>
        <w:t>1.采购文件</w:t>
      </w:r>
    </w:p>
    <w:p>
      <w:pPr>
        <w:ind w:firstLine="420" w:firstLineChars="200"/>
        <w:outlineLvl w:val="0"/>
        <w:rPr>
          <w:rFonts w:hint="eastAsia" w:ascii="仿宋" w:hAnsi="仿宋" w:eastAsia="仿宋" w:cs="宋体"/>
          <w:kern w:val="0"/>
        </w:rPr>
      </w:pPr>
      <w:r>
        <w:rPr>
          <w:rFonts w:hint="eastAsia" w:ascii="仿宋" w:hAnsi="仿宋" w:eastAsia="仿宋" w:cs="宋体"/>
          <w:kern w:val="0"/>
        </w:rPr>
        <w:t>2．中小企业声明函</w:t>
      </w:r>
    </w:p>
    <w:p>
      <w:pPr>
        <w:widowControl/>
        <w:jc w:val="left"/>
        <w:rPr>
          <w:rFonts w:ascii="仿宋" w:hAnsi="仿宋" w:eastAsia="仿宋"/>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nsolas">
    <w:panose1 w:val="020B0609020204030204"/>
    <w:charset w:val="00"/>
    <w:family w:val="auto"/>
    <w:pitch w:val="default"/>
    <w:sig w:usb0="E00006FF" w:usb1="0000FCFF" w:usb2="00000001" w:usb3="00000000" w:csb0="6000019F" w:csb1="DFD70000"/>
  </w:font>
  <w:font w:name="FontAwesome">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C42EAB"/>
    <w:multiLevelType w:val="multilevel"/>
    <w:tmpl w:val="33C42EAB"/>
    <w:lvl w:ilvl="0" w:tentative="0">
      <w:start w:val="1"/>
      <w:numFmt w:val="japaneseCounting"/>
      <w:lvlText w:val="%1、"/>
      <w:lvlJc w:val="left"/>
      <w:pPr>
        <w:ind w:left="432" w:hanging="432"/>
      </w:pPr>
      <w:rPr>
        <w:rFonts w:hint="default" w:ascii="仿宋" w:hAnsi="仿宋" w:eastAsia="仿宋"/>
        <w:sz w:val="21"/>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yODMxYTE0ZTc0ZGU3Y2QwODc3MzYzN2Q1YmNiM2EifQ=="/>
    <w:docVar w:name="KSO_WPS_MARK_KEY" w:val="3bb1ad34-bcf3-422b-8558-05e736464e18"/>
  </w:docVars>
  <w:rsids>
    <w:rsidRoot w:val="004F236F"/>
    <w:rsid w:val="0000296B"/>
    <w:rsid w:val="000108AA"/>
    <w:rsid w:val="000D2196"/>
    <w:rsid w:val="00106C6D"/>
    <w:rsid w:val="00122963"/>
    <w:rsid w:val="0015428A"/>
    <w:rsid w:val="001E54A0"/>
    <w:rsid w:val="00204050"/>
    <w:rsid w:val="00204F2F"/>
    <w:rsid w:val="0021206D"/>
    <w:rsid w:val="00243475"/>
    <w:rsid w:val="00253635"/>
    <w:rsid w:val="00283565"/>
    <w:rsid w:val="00297937"/>
    <w:rsid w:val="002A0F26"/>
    <w:rsid w:val="00304EAB"/>
    <w:rsid w:val="003110D7"/>
    <w:rsid w:val="00323FFD"/>
    <w:rsid w:val="0034345B"/>
    <w:rsid w:val="003751FC"/>
    <w:rsid w:val="00452D6A"/>
    <w:rsid w:val="00491AB3"/>
    <w:rsid w:val="004B080B"/>
    <w:rsid w:val="004C567A"/>
    <w:rsid w:val="004F236F"/>
    <w:rsid w:val="00562534"/>
    <w:rsid w:val="005830F3"/>
    <w:rsid w:val="00591FEC"/>
    <w:rsid w:val="005E2870"/>
    <w:rsid w:val="005E2E89"/>
    <w:rsid w:val="00706EF5"/>
    <w:rsid w:val="007571C0"/>
    <w:rsid w:val="00766E9F"/>
    <w:rsid w:val="00791411"/>
    <w:rsid w:val="008048C7"/>
    <w:rsid w:val="00827406"/>
    <w:rsid w:val="00867631"/>
    <w:rsid w:val="00877958"/>
    <w:rsid w:val="008B5027"/>
    <w:rsid w:val="008F0BB2"/>
    <w:rsid w:val="00905D78"/>
    <w:rsid w:val="009133B6"/>
    <w:rsid w:val="0092458E"/>
    <w:rsid w:val="00A72A2C"/>
    <w:rsid w:val="00AA0BAF"/>
    <w:rsid w:val="00AD2D36"/>
    <w:rsid w:val="00B03312"/>
    <w:rsid w:val="00B552DD"/>
    <w:rsid w:val="00B62263"/>
    <w:rsid w:val="00B66261"/>
    <w:rsid w:val="00B9293C"/>
    <w:rsid w:val="00B96D80"/>
    <w:rsid w:val="00BF4174"/>
    <w:rsid w:val="00BF6BDD"/>
    <w:rsid w:val="00C44F94"/>
    <w:rsid w:val="00CC268C"/>
    <w:rsid w:val="00D16797"/>
    <w:rsid w:val="00D468A8"/>
    <w:rsid w:val="00DD70DD"/>
    <w:rsid w:val="00DF5BDC"/>
    <w:rsid w:val="00E55656"/>
    <w:rsid w:val="00E903F3"/>
    <w:rsid w:val="00E9072F"/>
    <w:rsid w:val="00EA0538"/>
    <w:rsid w:val="00EB7AAF"/>
    <w:rsid w:val="00ED7C2B"/>
    <w:rsid w:val="00FA423E"/>
    <w:rsid w:val="00FC3741"/>
    <w:rsid w:val="08184759"/>
    <w:rsid w:val="0B9572DD"/>
    <w:rsid w:val="10AE621C"/>
    <w:rsid w:val="119F69E6"/>
    <w:rsid w:val="125E5540"/>
    <w:rsid w:val="172F6880"/>
    <w:rsid w:val="17955E3D"/>
    <w:rsid w:val="1A143C62"/>
    <w:rsid w:val="1AA26936"/>
    <w:rsid w:val="20104D96"/>
    <w:rsid w:val="20B62B87"/>
    <w:rsid w:val="23167F74"/>
    <w:rsid w:val="26D2346D"/>
    <w:rsid w:val="2ACE34E8"/>
    <w:rsid w:val="32630A21"/>
    <w:rsid w:val="35CB11E3"/>
    <w:rsid w:val="369006E1"/>
    <w:rsid w:val="465D7A63"/>
    <w:rsid w:val="4DD91737"/>
    <w:rsid w:val="51DB7630"/>
    <w:rsid w:val="5C734A7C"/>
    <w:rsid w:val="671A3D1B"/>
    <w:rsid w:val="6A4C70D2"/>
    <w:rsid w:val="6B014FD4"/>
    <w:rsid w:val="780160FF"/>
    <w:rsid w:val="7B607E0E"/>
    <w:rsid w:val="7B7517F2"/>
    <w:rsid w:val="7D545437"/>
    <w:rsid w:val="7E0328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26"/>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7"/>
    <w:qFormat/>
    <w:uiPriority w:val="0"/>
    <w:pPr>
      <w:keepNext/>
      <w:keepLines/>
      <w:spacing w:before="260" w:after="260" w:line="415" w:lineRule="auto"/>
      <w:outlineLvl w:val="1"/>
    </w:pPr>
    <w:rPr>
      <w:rFonts w:ascii="Arial" w:hAnsi="Arial" w:eastAsia="黑体" w:cs="Arial"/>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semiHidden/>
    <w:unhideWhenUsed/>
    <w:qFormat/>
    <w:uiPriority w:val="99"/>
    <w:pPr>
      <w:jc w:val="left"/>
    </w:pPr>
  </w:style>
  <w:style w:type="paragraph" w:styleId="5">
    <w:name w:val="Plain Text"/>
    <w:basedOn w:val="1"/>
    <w:link w:val="28"/>
    <w:qFormat/>
    <w:uiPriority w:val="0"/>
    <w:rPr>
      <w:rFonts w:ascii="宋体" w:hAnsi="Courier New" w:eastAsiaTheme="minorEastAsia" w:cstheme="minorBidi"/>
      <w:szCs w:val="22"/>
    </w:rPr>
  </w:style>
  <w:style w:type="paragraph" w:styleId="6">
    <w:name w:val="Balloon Text"/>
    <w:basedOn w:val="1"/>
    <w:link w:val="29"/>
    <w:semiHidden/>
    <w:unhideWhenUsed/>
    <w:qFormat/>
    <w:uiPriority w:val="99"/>
    <w:rPr>
      <w:sz w:val="18"/>
      <w:szCs w:val="18"/>
    </w:rPr>
  </w:style>
  <w:style w:type="paragraph" w:styleId="7">
    <w:name w:val="footer"/>
    <w:basedOn w:val="1"/>
    <w:link w:val="25"/>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8">
    <w:name w:val="header"/>
    <w:basedOn w:val="1"/>
    <w:link w:val="24"/>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9">
    <w:name w:val="Normal (Web)"/>
    <w:basedOn w:val="1"/>
    <w:unhideWhenUsed/>
    <w:qFormat/>
    <w:uiPriority w:val="0"/>
    <w:pPr>
      <w:widowControl/>
      <w:spacing w:before="100" w:beforeAutospacing="1" w:after="100" w:afterAutospacing="1"/>
      <w:jc w:val="left"/>
    </w:pPr>
    <w:rPr>
      <w:rFonts w:ascii="宋体" w:hAnsi="宋体" w:cs="宋体"/>
      <w:kern w:val="0"/>
      <w:szCs w:val="24"/>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22"/>
    <w:rPr>
      <w:b/>
      <w:bCs/>
    </w:rPr>
  </w:style>
  <w:style w:type="character" w:styleId="14">
    <w:name w:val="FollowedHyperlink"/>
    <w:basedOn w:val="12"/>
    <w:semiHidden/>
    <w:unhideWhenUsed/>
    <w:qFormat/>
    <w:uiPriority w:val="99"/>
    <w:rPr>
      <w:color w:val="000000"/>
      <w:u w:val="none"/>
    </w:rPr>
  </w:style>
  <w:style w:type="character" w:styleId="15">
    <w:name w:val="Emphasis"/>
    <w:basedOn w:val="12"/>
    <w:qFormat/>
    <w:uiPriority w:val="20"/>
  </w:style>
  <w:style w:type="character" w:styleId="16">
    <w:name w:val="HTML Definition"/>
    <w:basedOn w:val="12"/>
    <w:semiHidden/>
    <w:unhideWhenUsed/>
    <w:qFormat/>
    <w:uiPriority w:val="99"/>
  </w:style>
  <w:style w:type="character" w:styleId="17">
    <w:name w:val="HTML Acronym"/>
    <w:basedOn w:val="12"/>
    <w:semiHidden/>
    <w:unhideWhenUsed/>
    <w:qFormat/>
    <w:uiPriority w:val="99"/>
  </w:style>
  <w:style w:type="character" w:styleId="18">
    <w:name w:val="HTML Variable"/>
    <w:basedOn w:val="12"/>
    <w:semiHidden/>
    <w:unhideWhenUsed/>
    <w:qFormat/>
    <w:uiPriority w:val="99"/>
  </w:style>
  <w:style w:type="character" w:styleId="19">
    <w:name w:val="Hyperlink"/>
    <w:basedOn w:val="12"/>
    <w:semiHidden/>
    <w:unhideWhenUsed/>
    <w:qFormat/>
    <w:uiPriority w:val="99"/>
    <w:rPr>
      <w:color w:val="000000"/>
      <w:u w:val="none"/>
    </w:rPr>
  </w:style>
  <w:style w:type="character" w:styleId="20">
    <w:name w:val="HTML Code"/>
    <w:basedOn w:val="12"/>
    <w:semiHidden/>
    <w:unhideWhenUsed/>
    <w:qFormat/>
    <w:uiPriority w:val="99"/>
    <w:rPr>
      <w:rFonts w:ascii="Courier New" w:hAnsi="Courier New"/>
      <w:sz w:val="20"/>
    </w:rPr>
  </w:style>
  <w:style w:type="character" w:styleId="21">
    <w:name w:val="HTML Cite"/>
    <w:basedOn w:val="12"/>
    <w:semiHidden/>
    <w:unhideWhenUsed/>
    <w:qFormat/>
    <w:uiPriority w:val="99"/>
  </w:style>
  <w:style w:type="character" w:styleId="22">
    <w:name w:val="HTML Keyboard"/>
    <w:basedOn w:val="12"/>
    <w:semiHidden/>
    <w:unhideWhenUsed/>
    <w:qFormat/>
    <w:uiPriority w:val="99"/>
    <w:rPr>
      <w:rFonts w:ascii="Consolas" w:hAnsi="Consolas" w:eastAsia="Consolas" w:cs="Consolas"/>
      <w:color w:val="FFFFFF"/>
      <w:sz w:val="21"/>
      <w:szCs w:val="21"/>
      <w:shd w:val="clear" w:fill="333333"/>
    </w:rPr>
  </w:style>
  <w:style w:type="character" w:styleId="23">
    <w:name w:val="HTML Sample"/>
    <w:basedOn w:val="12"/>
    <w:semiHidden/>
    <w:unhideWhenUsed/>
    <w:qFormat/>
    <w:uiPriority w:val="99"/>
    <w:rPr>
      <w:rFonts w:hint="default" w:ascii="Consolas" w:hAnsi="Consolas" w:eastAsia="Consolas" w:cs="Consolas"/>
      <w:sz w:val="21"/>
      <w:szCs w:val="21"/>
    </w:rPr>
  </w:style>
  <w:style w:type="character" w:customStyle="1" w:styleId="24">
    <w:name w:val="页眉 Char"/>
    <w:basedOn w:val="12"/>
    <w:link w:val="8"/>
    <w:qFormat/>
    <w:uiPriority w:val="99"/>
    <w:rPr>
      <w:sz w:val="18"/>
      <w:szCs w:val="18"/>
    </w:rPr>
  </w:style>
  <w:style w:type="character" w:customStyle="1" w:styleId="25">
    <w:name w:val="页脚 Char"/>
    <w:basedOn w:val="12"/>
    <w:link w:val="7"/>
    <w:qFormat/>
    <w:uiPriority w:val="99"/>
    <w:rPr>
      <w:sz w:val="18"/>
      <w:szCs w:val="18"/>
    </w:rPr>
  </w:style>
  <w:style w:type="character" w:customStyle="1" w:styleId="26">
    <w:name w:val="标题 1 Char"/>
    <w:basedOn w:val="12"/>
    <w:link w:val="2"/>
    <w:qFormat/>
    <w:uiPriority w:val="9"/>
    <w:rPr>
      <w:rFonts w:ascii="Times New Roman" w:hAnsi="Times New Roman" w:eastAsia="宋体" w:cs="Times New Roman"/>
      <w:b/>
      <w:bCs/>
      <w:kern w:val="44"/>
      <w:sz w:val="44"/>
      <w:szCs w:val="44"/>
    </w:rPr>
  </w:style>
  <w:style w:type="character" w:customStyle="1" w:styleId="27">
    <w:name w:val="标题 2 Char"/>
    <w:basedOn w:val="12"/>
    <w:link w:val="3"/>
    <w:qFormat/>
    <w:uiPriority w:val="0"/>
    <w:rPr>
      <w:rFonts w:ascii="Arial" w:hAnsi="Arial" w:eastAsia="黑体" w:cs="Arial"/>
      <w:b/>
      <w:bCs/>
      <w:sz w:val="32"/>
      <w:szCs w:val="32"/>
    </w:rPr>
  </w:style>
  <w:style w:type="character" w:customStyle="1" w:styleId="28">
    <w:name w:val="纯文本 Char"/>
    <w:basedOn w:val="12"/>
    <w:link w:val="5"/>
    <w:qFormat/>
    <w:uiPriority w:val="0"/>
    <w:rPr>
      <w:rFonts w:ascii="宋体" w:hAnsi="Courier New"/>
    </w:rPr>
  </w:style>
  <w:style w:type="character" w:customStyle="1" w:styleId="29">
    <w:name w:val="批注框文本 Char"/>
    <w:basedOn w:val="12"/>
    <w:link w:val="6"/>
    <w:semiHidden/>
    <w:qFormat/>
    <w:uiPriority w:val="99"/>
    <w:rPr>
      <w:rFonts w:ascii="Times New Roman" w:hAnsi="Times New Roman" w:eastAsia="宋体" w:cs="Times New Roman"/>
      <w:sz w:val="18"/>
      <w:szCs w:val="18"/>
    </w:rPr>
  </w:style>
  <w:style w:type="character" w:customStyle="1" w:styleId="30">
    <w:name w:val="margin_right20"/>
    <w:basedOn w:val="12"/>
    <w:qFormat/>
    <w:uiPriority w:val="0"/>
  </w:style>
  <w:style w:type="character" w:customStyle="1" w:styleId="31">
    <w:name w:val="hover4"/>
    <w:basedOn w:val="12"/>
    <w:qFormat/>
    <w:uiPriority w:val="0"/>
    <w:rPr>
      <w:color w:val="0063BA"/>
    </w:rPr>
  </w:style>
  <w:style w:type="character" w:customStyle="1" w:styleId="32">
    <w:name w:val="active6"/>
    <w:basedOn w:val="12"/>
    <w:qFormat/>
    <w:uiPriority w:val="0"/>
    <w:rPr>
      <w:color w:val="FFFFFF"/>
      <w:shd w:val="clear" w:color="auto" w:fill="E22323"/>
    </w:rPr>
  </w:style>
  <w:style w:type="character" w:customStyle="1" w:styleId="33">
    <w:name w:val="before"/>
    <w:basedOn w:val="12"/>
    <w:qFormat/>
    <w:uiPriority w:val="0"/>
    <w:rPr>
      <w:shd w:val="clear" w:color="auto" w:fill="E22323"/>
    </w:rPr>
  </w:style>
  <w:style w:type="character" w:customStyle="1" w:styleId="34">
    <w:name w:val="active2"/>
    <w:basedOn w:val="12"/>
    <w:qFormat/>
    <w:uiPriority w:val="0"/>
    <w:rPr>
      <w:color w:val="FFFFFF"/>
      <w:shd w:val="clear" w:color="auto" w:fill="E22323"/>
    </w:rPr>
  </w:style>
  <w:style w:type="character" w:customStyle="1" w:styleId="35">
    <w:name w:val="hover5"/>
    <w:basedOn w:val="12"/>
    <w:qFormat/>
    <w:uiPriority w:val="0"/>
    <w:rPr>
      <w:color w:val="0063BA"/>
    </w:rPr>
  </w:style>
  <w:style w:type="paragraph" w:styleId="36">
    <w:name w:val="List Paragraph"/>
    <w:basedOn w:val="1"/>
    <w:unhideWhenUsed/>
    <w:qFormat/>
    <w:uiPriority w:val="99"/>
    <w:pPr>
      <w:ind w:firstLine="420" w:firstLineChars="200"/>
    </w:pPr>
  </w:style>
  <w:style w:type="character" w:customStyle="1" w:styleId="37">
    <w:name w:val="layui-this"/>
    <w:basedOn w:val="12"/>
    <w:qFormat/>
    <w:uiPriority w:val="0"/>
    <w:rPr>
      <w:bdr w:val="single" w:color="EEEEEE" w:sz="4" w:space="0"/>
      <w:shd w:val="clear" w:fill="FFFFFF"/>
    </w:rPr>
  </w:style>
  <w:style w:type="character" w:customStyle="1" w:styleId="38">
    <w:name w:val="ui-jqgrid-resize"/>
    <w:basedOn w:val="12"/>
    <w:qFormat/>
    <w:uiPriority w:val="0"/>
  </w:style>
  <w:style w:type="character" w:customStyle="1" w:styleId="39">
    <w:name w:val="before1"/>
    <w:basedOn w:val="12"/>
    <w:qFormat/>
    <w:uiPriority w:val="0"/>
    <w:rPr>
      <w:rFonts w:hint="default" w:ascii="FontAwesome" w:hAnsi="FontAwesome" w:eastAsia="FontAwesome" w:cs="FontAwesome"/>
      <w:color w:val="888888"/>
    </w:rPr>
  </w:style>
  <w:style w:type="character" w:customStyle="1" w:styleId="40">
    <w:name w:val="input-icon"/>
    <w:basedOn w:val="12"/>
    <w:qFormat/>
    <w:uiPriority w:val="0"/>
  </w:style>
  <w:style w:type="character" w:customStyle="1" w:styleId="41">
    <w:name w:val="ui-icon38"/>
    <w:basedOn w:val="12"/>
    <w:qFormat/>
    <w:uiPriority w:val="0"/>
  </w:style>
  <w:style w:type="character" w:customStyle="1" w:styleId="42">
    <w:name w:val="ui-icon39"/>
    <w:basedOn w:val="12"/>
    <w:qFormat/>
    <w:uiPriority w:val="0"/>
  </w:style>
  <w:style w:type="character" w:customStyle="1" w:styleId="43">
    <w:name w:val="ui-icon40"/>
    <w:basedOn w:val="12"/>
    <w:qFormat/>
    <w:uiPriority w:val="0"/>
  </w:style>
  <w:style w:type="character" w:customStyle="1" w:styleId="44">
    <w:name w:val="first-child"/>
    <w:basedOn w:val="12"/>
    <w:qFormat/>
    <w:uiPriority w:val="0"/>
  </w:style>
  <w:style w:type="character" w:customStyle="1" w:styleId="45">
    <w:name w:val="ui-icon32"/>
    <w:basedOn w:val="12"/>
    <w:qFormat/>
    <w:uiPriority w:val="0"/>
  </w:style>
  <w:style w:type="character" w:customStyle="1" w:styleId="46">
    <w:name w:val="ui-icon33"/>
    <w:basedOn w:val="12"/>
    <w:qFormat/>
    <w:uiPriority w:val="0"/>
  </w:style>
  <w:style w:type="character" w:customStyle="1" w:styleId="47">
    <w:name w:val="ui-icon34"/>
    <w:basedOn w:val="12"/>
    <w:qFormat/>
    <w:uiPriority w:val="0"/>
  </w:style>
  <w:style w:type="character" w:customStyle="1" w:styleId="48">
    <w:name w:val="input-icon2"/>
    <w:basedOn w:val="12"/>
    <w:qFormat/>
    <w:uiPriority w:val="0"/>
  </w:style>
  <w:style w:type="character" w:customStyle="1" w:styleId="49">
    <w:name w:val="ui-jqgrid-resize2"/>
    <w:basedOn w:val="12"/>
    <w:qFormat/>
    <w:uiPriority w:val="0"/>
  </w:style>
  <w:style w:type="character" w:customStyle="1" w:styleId="50">
    <w:name w:val="qxdate"/>
    <w:basedOn w:val="12"/>
    <w:uiPriority w:val="0"/>
    <w:rPr>
      <w:color w:val="333333"/>
      <w:sz w:val="12"/>
      <w:szCs w:val="12"/>
    </w:rPr>
  </w:style>
  <w:style w:type="character" w:customStyle="1" w:styleId="51">
    <w:name w:val="redfilenumber"/>
    <w:basedOn w:val="12"/>
    <w:uiPriority w:val="0"/>
    <w:rPr>
      <w:color w:val="BA2636"/>
      <w:sz w:val="12"/>
      <w:szCs w:val="12"/>
    </w:rPr>
  </w:style>
  <w:style w:type="character" w:customStyle="1" w:styleId="52">
    <w:name w:val="gjfg"/>
    <w:basedOn w:val="12"/>
    <w:uiPriority w:val="0"/>
  </w:style>
  <w:style w:type="character" w:customStyle="1" w:styleId="53">
    <w:name w:val="redfilefwwh"/>
    <w:basedOn w:val="12"/>
    <w:uiPriority w:val="0"/>
    <w:rPr>
      <w:color w:val="BA2636"/>
      <w:sz w:val="12"/>
      <w:szCs w:val="12"/>
    </w:rPr>
  </w:style>
  <w:style w:type="character" w:customStyle="1" w:styleId="54">
    <w:name w:val="cfdate"/>
    <w:basedOn w:val="12"/>
    <w:uiPriority w:val="0"/>
    <w:rPr>
      <w:color w:val="333333"/>
      <w:sz w:val="12"/>
      <w:szCs w:val="12"/>
    </w:rPr>
  </w:style>
  <w:style w:type="character" w:customStyle="1" w:styleId="55">
    <w:name w:val="prev"/>
    <w:basedOn w:val="12"/>
    <w:uiPriority w:val="0"/>
    <w:rPr>
      <w:rFonts w:ascii="微软雅黑" w:hAnsi="微软雅黑" w:eastAsia="微软雅黑" w:cs="微软雅黑"/>
      <w:sz w:val="14"/>
      <w:szCs w:val="14"/>
      <w:bdr w:val="none" w:color="auto" w:sz="0" w:space="0"/>
    </w:rPr>
  </w:style>
  <w:style w:type="character" w:customStyle="1" w:styleId="56">
    <w:name w:val="displayarti"/>
    <w:basedOn w:val="12"/>
    <w:uiPriority w:val="0"/>
    <w:rPr>
      <w:color w:val="FFFFFF"/>
      <w:shd w:val="clear" w:fill="A00000"/>
    </w:rPr>
  </w:style>
  <w:style w:type="character" w:customStyle="1" w:styleId="57">
    <w:name w:val="next"/>
    <w:basedOn w:val="12"/>
    <w:uiPriority w:val="0"/>
    <w:rPr>
      <w:rFonts w:hint="eastAsia" w:ascii="微软雅黑" w:hAnsi="微软雅黑" w:eastAsia="微软雅黑" w:cs="微软雅黑"/>
      <w:sz w:val="14"/>
      <w:szCs w:val="14"/>
      <w:bdr w:val="none" w:color="auto" w:sz="0" w:space="0"/>
    </w:rPr>
  </w:style>
  <w:style w:type="character" w:customStyle="1" w:styleId="58">
    <w:name w:val="next1"/>
    <w:basedOn w:val="12"/>
    <w:uiPriority w:val="0"/>
    <w:rPr>
      <w:color w:val="88888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2012dnd.com</Company>
  <Pages>2</Pages>
  <Words>833</Words>
  <Characters>942</Characters>
  <Lines>5</Lines>
  <Paragraphs>1</Paragraphs>
  <TotalTime>11</TotalTime>
  <ScaleCrop>false</ScaleCrop>
  <LinksUpToDate>false</LinksUpToDate>
  <CharactersWithSpaces>963</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2020-05-25T03:03:00Z</dcterms:created>
  <dc:creator>Administrator</dc:creator>
  <cp:lastModifiedBy>晴天儿</cp:lastModifiedBy>
  <dcterms:modified xsi:type="dcterms:W3CDTF">2024-04-28T07:49:54Z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206EDACFB57B4E358319441C659475D0</vt:lpwstr>
  </property>
</Properties>
</file>