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w:t>
      </w:r>
      <w:r>
        <w:rPr>
          <w:rFonts w:hint="eastAsia" w:ascii="宋体" w:hAnsi="宋体" w:eastAsia="宋体" w:cs="宋体"/>
          <w:b/>
          <w:bCs/>
          <w:i w:val="0"/>
          <w:caps w:val="0"/>
          <w:color w:val="auto"/>
          <w:spacing w:val="0"/>
          <w:sz w:val="36"/>
          <w:szCs w:val="36"/>
          <w:u w:val="none"/>
          <w:shd w:val="clear" w:color="auto" w:fill="FFFFFF"/>
        </w:rPr>
        <w:fldChar w:fldCharType="begin"/>
      </w:r>
      <w:r>
        <w:rPr>
          <w:rFonts w:hint="eastAsia" w:ascii="宋体" w:hAnsi="宋体" w:eastAsia="宋体" w:cs="宋体"/>
          <w:b/>
          <w:bCs/>
          <w:i w:val="0"/>
          <w:caps w:val="0"/>
          <w:color w:val="auto"/>
          <w:spacing w:val="0"/>
          <w:sz w:val="36"/>
          <w:szCs w:val="36"/>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bCs/>
          <w:i w:val="0"/>
          <w:caps w:val="0"/>
          <w:color w:val="auto"/>
          <w:spacing w:val="0"/>
          <w:sz w:val="36"/>
          <w:szCs w:val="36"/>
          <w:u w:val="none"/>
          <w:shd w:val="clear" w:color="auto" w:fill="FFFFFF"/>
        </w:rPr>
        <w:fldChar w:fldCharType="separate"/>
      </w:r>
      <w:r>
        <w:rPr>
          <w:rStyle w:val="30"/>
          <w:rFonts w:hint="eastAsia" w:ascii="宋体" w:hAnsi="宋体" w:eastAsia="宋体" w:cs="宋体"/>
          <w:b/>
          <w:bCs/>
          <w:i w:val="0"/>
          <w:caps w:val="0"/>
          <w:color w:val="auto"/>
          <w:spacing w:val="0"/>
          <w:sz w:val="36"/>
          <w:szCs w:val="36"/>
          <w:u w:val="none"/>
          <w:shd w:val="clear" w:color="auto" w:fill="FFFFFF"/>
        </w:rPr>
        <w:t>01072</w:t>
      </w:r>
      <w:r>
        <w:rPr>
          <w:rStyle w:val="30"/>
          <w:rFonts w:hint="eastAsia" w:ascii="宋体" w:hAnsi="宋体" w:eastAsia="宋体" w:cs="宋体"/>
          <w:b/>
          <w:bCs/>
          <w:i w:val="0"/>
          <w:caps w:val="0"/>
          <w:color w:val="auto"/>
          <w:spacing w:val="0"/>
          <w:sz w:val="36"/>
          <w:szCs w:val="36"/>
          <w:u w:val="none"/>
          <w:shd w:val="clear" w:color="auto" w:fill="FFFFFF"/>
          <w:lang w:val="en-US" w:eastAsia="zh-CN"/>
        </w:rPr>
        <w:t>3</w:t>
      </w:r>
      <w:r>
        <w:rPr>
          <w:rStyle w:val="30"/>
          <w:rFonts w:hint="eastAsia" w:ascii="宋体" w:hAnsi="宋体" w:eastAsia="宋体" w:cs="宋体"/>
          <w:b/>
          <w:bCs/>
          <w:i w:val="0"/>
          <w:caps w:val="0"/>
          <w:color w:val="auto"/>
          <w:spacing w:val="0"/>
          <w:sz w:val="36"/>
          <w:szCs w:val="36"/>
          <w:u w:val="none"/>
          <w:shd w:val="clear" w:color="auto" w:fill="FFFFFF"/>
        </w:rPr>
        <w:t>21020000</w:t>
      </w:r>
      <w:r>
        <w:rPr>
          <w:rStyle w:val="30"/>
          <w:rFonts w:hint="eastAsia" w:ascii="宋体" w:hAnsi="宋体" w:cs="宋体"/>
          <w:b/>
          <w:bCs/>
          <w:i w:val="0"/>
          <w:caps w:val="0"/>
          <w:color w:val="auto"/>
          <w:spacing w:val="0"/>
          <w:sz w:val="36"/>
          <w:szCs w:val="36"/>
          <w:u w:val="none"/>
          <w:shd w:val="clear" w:color="auto" w:fill="FFFFFF"/>
          <w:lang w:val="en-US" w:eastAsia="zh-CN"/>
        </w:rPr>
        <w:t>8250</w:t>
      </w:r>
      <w:r>
        <w:rPr>
          <w:rStyle w:val="30"/>
          <w:rFonts w:hint="eastAsia" w:ascii="宋体" w:hAnsi="宋体" w:eastAsia="宋体" w:cs="宋体"/>
          <w:b/>
          <w:bCs/>
          <w:i w:val="0"/>
          <w:caps w:val="0"/>
          <w:color w:val="auto"/>
          <w:spacing w:val="0"/>
          <w:sz w:val="36"/>
          <w:szCs w:val="36"/>
          <w:u w:val="none"/>
          <w:shd w:val="clear" w:color="auto" w:fill="FFFFFF"/>
        </w:rPr>
        <w:t>-XM001</w:t>
      </w:r>
      <w:r>
        <w:rPr>
          <w:rFonts w:hint="eastAsia" w:ascii="宋体" w:hAnsi="宋体" w:eastAsia="宋体" w:cs="宋体"/>
          <w:b/>
          <w:bCs/>
          <w:i w:val="0"/>
          <w:caps w:val="0"/>
          <w:color w:val="auto"/>
          <w:spacing w:val="0"/>
          <w:sz w:val="36"/>
          <w:szCs w:val="36"/>
          <w:u w:val="none"/>
          <w:shd w:val="clear" w:color="auto" w:fill="FFFFFF"/>
        </w:rPr>
        <w:fldChar w:fldCharType="end"/>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北京市石景山区经济和信息化局视图库建设项目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一</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0000FF"/>
          <w:sz w:val="21"/>
          <w:szCs w:val="21"/>
        </w:rPr>
      </w:pPr>
    </w:p>
    <w:p>
      <w:pPr>
        <w:pStyle w:val="19"/>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0"/>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5033262"/>
      <w:bookmarkStart w:id="1" w:name="_Hlt42179902"/>
      <w:bookmarkStart w:id="2" w:name="_Hlt45033263"/>
      <w:r>
        <w:rPr>
          <w:rStyle w:val="30"/>
          <w:rFonts w:hint="eastAsia" w:ascii="宋体" w:hAnsi="宋体"/>
          <w:color w:val="auto"/>
          <w:sz w:val="24"/>
          <w:szCs w:val="24"/>
        </w:rPr>
        <w:t>购</w:t>
      </w:r>
      <w:bookmarkEnd w:id="0"/>
      <w:bookmarkEnd w:id="1"/>
      <w:bookmarkEnd w:id="2"/>
      <w:bookmarkStart w:id="3" w:name="_Hlt42177995"/>
      <w:bookmarkStart w:id="4" w:name="_Hlt42177996"/>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9"/>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8265"/>
      <w:bookmarkStart w:id="7" w:name="_Hlt43452204"/>
      <w:bookmarkStart w:id="8" w:name="_Hlt43458266"/>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3</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8</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55</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27650"/>
      <w:bookmarkStart w:id="10" w:name="_Toc186274096"/>
      <w:bookmarkStart w:id="11" w:name="_Toc46601531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经济和信息化局</w:t>
      </w:r>
      <w:r>
        <w:rPr>
          <w:rFonts w:hint="eastAsia" w:ascii="宋体" w:hAnsi="宋体"/>
          <w:color w:val="auto"/>
          <w:sz w:val="24"/>
          <w:lang w:val="zh-CN"/>
        </w:rPr>
        <w:t>的委托对</w:t>
      </w:r>
      <w:r>
        <w:rPr>
          <w:rFonts w:hint="eastAsia" w:ascii="宋体" w:hAnsi="宋体"/>
          <w:bCs/>
          <w:color w:val="auto"/>
          <w:sz w:val="24"/>
        </w:rPr>
        <w:t>北京市石景山区经济和信息化局视图库建设项目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bookmarkStart w:id="12" w:name="OLE_LINK2"/>
      <w:r>
        <w:rPr>
          <w:rStyle w:val="30"/>
          <w:rFonts w:hint="eastAsia" w:ascii="宋体" w:hAnsi="宋体" w:eastAsia="宋体" w:cs="宋体"/>
          <w:b w:val="0"/>
          <w:bCs w:val="0"/>
          <w:i w:val="0"/>
          <w:caps w:val="0"/>
          <w:color w:val="auto"/>
          <w:spacing w:val="0"/>
          <w:sz w:val="24"/>
          <w:szCs w:val="24"/>
          <w:u w:val="none"/>
          <w:shd w:val="clear" w:color="auto" w:fill="FFFFFF"/>
        </w:rPr>
        <w:t>11</w:t>
      </w:r>
      <w:r>
        <w:rPr>
          <w:rFonts w:hint="eastAsia" w:ascii="宋体" w:hAnsi="宋体" w:eastAsia="宋体" w:cs="宋体"/>
          <w:b w:val="0"/>
          <w:bCs w:val="0"/>
          <w:i w:val="0"/>
          <w:caps w:val="0"/>
          <w:color w:val="auto"/>
          <w:spacing w:val="0"/>
          <w:sz w:val="24"/>
          <w:szCs w:val="24"/>
          <w:u w:val="none"/>
          <w:shd w:val="clear" w:color="auto" w:fill="FFFFFF"/>
        </w:rPr>
        <w:fldChar w:fldCharType="begin"/>
      </w:r>
      <w:r>
        <w:rPr>
          <w:rFonts w:hint="eastAsia" w:ascii="宋体" w:hAnsi="宋体" w:eastAsia="宋体" w:cs="宋体"/>
          <w:b w:val="0"/>
          <w:bCs w:val="0"/>
          <w:i w:val="0"/>
          <w:caps w:val="0"/>
          <w:color w:val="auto"/>
          <w:spacing w:val="0"/>
          <w:sz w:val="24"/>
          <w:szCs w:val="24"/>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val="0"/>
          <w:bCs w:val="0"/>
          <w:i w:val="0"/>
          <w:caps w:val="0"/>
          <w:color w:val="auto"/>
          <w:spacing w:val="0"/>
          <w:sz w:val="24"/>
          <w:szCs w:val="24"/>
          <w:u w:val="none"/>
          <w:shd w:val="clear" w:color="auto" w:fill="FFFFFF"/>
        </w:rPr>
        <w:fldChar w:fldCharType="separate"/>
      </w:r>
      <w:r>
        <w:rPr>
          <w:rStyle w:val="30"/>
          <w:rFonts w:hint="eastAsia" w:ascii="宋体" w:hAnsi="宋体" w:eastAsia="宋体" w:cs="宋体"/>
          <w:b w:val="0"/>
          <w:bCs w:val="0"/>
          <w:i w:val="0"/>
          <w:caps w:val="0"/>
          <w:color w:val="auto"/>
          <w:spacing w:val="0"/>
          <w:sz w:val="24"/>
          <w:szCs w:val="24"/>
          <w:u w:val="none"/>
          <w:shd w:val="clear" w:color="auto" w:fill="FFFFFF"/>
        </w:rPr>
        <w:t>01072</w:t>
      </w:r>
      <w:r>
        <w:rPr>
          <w:rStyle w:val="30"/>
          <w:rFonts w:hint="eastAsia" w:ascii="宋体" w:hAnsi="宋体" w:eastAsia="宋体" w:cs="宋体"/>
          <w:b w:val="0"/>
          <w:bCs w:val="0"/>
          <w:i w:val="0"/>
          <w:caps w:val="0"/>
          <w:color w:val="auto"/>
          <w:spacing w:val="0"/>
          <w:sz w:val="24"/>
          <w:szCs w:val="24"/>
          <w:u w:val="none"/>
          <w:shd w:val="clear" w:color="auto" w:fill="FFFFFF"/>
          <w:lang w:val="en-US" w:eastAsia="zh-CN"/>
        </w:rPr>
        <w:t>3</w:t>
      </w:r>
      <w:r>
        <w:rPr>
          <w:rStyle w:val="30"/>
          <w:rFonts w:hint="eastAsia" w:ascii="宋体" w:hAnsi="宋体" w:eastAsia="宋体" w:cs="宋体"/>
          <w:b w:val="0"/>
          <w:bCs w:val="0"/>
          <w:i w:val="0"/>
          <w:caps w:val="0"/>
          <w:color w:val="auto"/>
          <w:spacing w:val="0"/>
          <w:sz w:val="24"/>
          <w:szCs w:val="24"/>
          <w:u w:val="none"/>
          <w:shd w:val="clear" w:color="auto" w:fill="FFFFFF"/>
        </w:rPr>
        <w:t>21020000</w:t>
      </w:r>
      <w:r>
        <w:rPr>
          <w:rStyle w:val="30"/>
          <w:rFonts w:hint="eastAsia" w:ascii="宋体" w:hAnsi="宋体" w:cs="宋体"/>
          <w:b w:val="0"/>
          <w:bCs w:val="0"/>
          <w:i w:val="0"/>
          <w:caps w:val="0"/>
          <w:color w:val="auto"/>
          <w:spacing w:val="0"/>
          <w:sz w:val="24"/>
          <w:szCs w:val="24"/>
          <w:u w:val="none"/>
          <w:shd w:val="clear" w:color="auto" w:fill="FFFFFF"/>
          <w:lang w:val="en-US" w:eastAsia="zh-CN"/>
        </w:rPr>
        <w:t>8250</w:t>
      </w:r>
      <w:r>
        <w:rPr>
          <w:rStyle w:val="30"/>
          <w:rFonts w:hint="eastAsia" w:ascii="宋体" w:hAnsi="宋体" w:eastAsia="宋体" w:cs="宋体"/>
          <w:b w:val="0"/>
          <w:bCs w:val="0"/>
          <w:i w:val="0"/>
          <w:caps w:val="0"/>
          <w:color w:val="auto"/>
          <w:spacing w:val="0"/>
          <w:sz w:val="24"/>
          <w:szCs w:val="24"/>
          <w:u w:val="none"/>
          <w:shd w:val="clear" w:color="auto" w:fill="FFFFFF"/>
        </w:rPr>
        <w:t>-XM001</w:t>
      </w:r>
      <w:r>
        <w:rPr>
          <w:rFonts w:hint="eastAsia" w:ascii="宋体" w:hAnsi="宋体" w:eastAsia="宋体" w:cs="宋体"/>
          <w:b w:val="0"/>
          <w:bCs w:val="0"/>
          <w:i w:val="0"/>
          <w:caps w:val="0"/>
          <w:color w:val="auto"/>
          <w:spacing w:val="0"/>
          <w:sz w:val="24"/>
          <w:szCs w:val="24"/>
          <w:u w:val="none"/>
          <w:shd w:val="clear" w:color="auto" w:fill="FFFFFF"/>
        </w:rPr>
        <w:fldChar w:fldCharType="end"/>
      </w:r>
      <w:bookmarkEnd w:id="12"/>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北京市石景山区经济和信息化局视图库建设项目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w:t>
      </w:r>
      <w:r>
        <w:rPr>
          <w:rFonts w:hint="eastAsia" w:ascii="宋体" w:hAnsi="宋体"/>
          <w:bCs/>
          <w:color w:val="auto"/>
          <w:sz w:val="24"/>
          <w:lang w:eastAsia="zh-CN"/>
        </w:rPr>
        <w:t>经济和信息化局</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张媛</w:t>
      </w:r>
      <w:r>
        <w:rPr>
          <w:rFonts w:hint="eastAsia" w:ascii="宋体" w:hAnsi="宋体"/>
          <w:b w:val="0"/>
          <w:bCs w:val="0"/>
          <w:color w:val="auto"/>
          <w:sz w:val="24"/>
          <w:lang w:val="en-US" w:eastAsia="zh-CN"/>
        </w:rPr>
        <w:t>88699789</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olor w:val="auto"/>
          <w:sz w:val="24"/>
        </w:rPr>
        <w:t>1、招标内容：</w:t>
      </w:r>
      <w:r>
        <w:rPr>
          <w:rFonts w:hint="eastAsia" w:ascii="宋体" w:hAnsi="宋体"/>
          <w:bCs/>
          <w:color w:val="auto"/>
          <w:sz w:val="24"/>
        </w:rPr>
        <w:t>视图库建设</w:t>
      </w: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3，569，426.8</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9</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15</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3" w:name="_Toc186274097"/>
      <w:bookmarkStart w:id="14" w:name="_Toc180051008"/>
      <w:bookmarkStart w:id="15" w:name="_Toc184013601"/>
      <w:bookmarkStart w:id="16" w:name="_Toc184023100"/>
      <w:bookmarkStart w:id="17" w:name="_Toc174185144"/>
      <w:bookmarkStart w:id="18" w:name="_Toc184013607"/>
      <w:bookmarkStart w:id="19" w:name="_Toc180051014"/>
      <w:bookmarkStart w:id="20" w:name="_Toc184023106"/>
      <w:bookmarkStart w:id="21" w:name="_Toc186274103"/>
      <w:bookmarkStart w:id="22" w:name="_Toc174185151"/>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1</w:t>
      </w:r>
      <w:r>
        <w:rPr>
          <w:rFonts w:hint="eastAsia" w:ascii="宋体" w:hAnsi="宋体"/>
          <w:color w:val="auto"/>
          <w:sz w:val="24"/>
        </w:rPr>
        <w:t>月</w:t>
      </w:r>
      <w:r>
        <w:rPr>
          <w:rFonts w:hint="eastAsia" w:ascii="宋体" w:hAnsi="宋体"/>
          <w:color w:val="auto"/>
          <w:sz w:val="24"/>
          <w:lang w:val="en-US" w:eastAsia="zh-CN"/>
        </w:rPr>
        <w:t>16</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1</w:t>
      </w:r>
      <w:r>
        <w:rPr>
          <w:rFonts w:hint="eastAsia" w:ascii="宋体" w:hAnsi="宋体"/>
          <w:b w:val="0"/>
          <w:bCs/>
          <w:color w:val="auto"/>
          <w:sz w:val="24"/>
        </w:rPr>
        <w:t>月</w:t>
      </w:r>
      <w:r>
        <w:rPr>
          <w:rFonts w:hint="eastAsia" w:ascii="宋体" w:hAnsi="宋体"/>
          <w:b w:val="0"/>
          <w:bCs/>
          <w:color w:val="auto"/>
          <w:sz w:val="24"/>
          <w:lang w:val="en-US" w:eastAsia="zh-CN"/>
        </w:rPr>
        <w:t>29</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29</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3"/>
      <w:bookmarkEnd w:id="14"/>
      <w:bookmarkEnd w:id="15"/>
      <w:bookmarkEnd w:id="16"/>
      <w:bookmarkEnd w:id="17"/>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8"/>
    <w:bookmarkEnd w:id="19"/>
    <w:bookmarkEnd w:id="20"/>
    <w:bookmarkEnd w:id="21"/>
    <w:bookmarkEnd w:id="22"/>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3" w:name="_Toc180051012"/>
      <w:bookmarkStart w:id="24" w:name="_Toc174185149"/>
      <w:bookmarkStart w:id="25" w:name="_Toc186274101"/>
      <w:bookmarkStart w:id="26" w:name="_Toc184023104"/>
      <w:bookmarkStart w:id="27" w:name="_Toc184013605"/>
      <w:r>
        <w:rPr>
          <w:rFonts w:hint="eastAsia" w:ascii="宋体" w:hAnsi="宋体" w:cs="微软雅黑"/>
          <w:b/>
          <w:color w:val="auto"/>
          <w:sz w:val="30"/>
          <w:szCs w:val="30"/>
        </w:rPr>
        <w:t>电子投标文件制作及上传说明</w:t>
      </w:r>
      <w:bookmarkEnd w:id="23"/>
      <w:bookmarkEnd w:id="24"/>
      <w:bookmarkEnd w:id="25"/>
      <w:bookmarkEnd w:id="26"/>
      <w:bookmarkEnd w:id="27"/>
    </w:p>
    <w:p>
      <w:pPr>
        <w:pStyle w:val="11"/>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8" w:name="_Toc466015311"/>
      <w:bookmarkStart w:id="29" w:name="_Toc22558"/>
      <w:bookmarkStart w:id="30" w:name="_Toc186274104"/>
      <w:bookmarkStart w:id="31" w:name="_Toc174185152"/>
      <w:r>
        <w:rPr>
          <w:rFonts w:hint="eastAsia" w:ascii="宋体" w:hAnsi="宋体"/>
          <w:color w:val="auto"/>
        </w:rPr>
        <w:t>投标人须知前附表</w:t>
      </w:r>
      <w:bookmarkEnd w:id="28"/>
      <w:bookmarkEnd w:id="29"/>
      <w:bookmarkEnd w:id="30"/>
      <w:bookmarkEnd w:id="31"/>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技术方案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服务水平</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w:t>
            </w:r>
            <w:r>
              <w:rPr>
                <w:rFonts w:ascii="Arial" w:hAnsi="Arial" w:eastAsia="宋体" w:cs="Arial"/>
                <w:i w:val="0"/>
                <w:caps w:val="0"/>
                <w:color w:val="333333"/>
                <w:spacing w:val="0"/>
                <w:sz w:val="24"/>
                <w:szCs w:val="24"/>
                <w:shd w:val="clear" w:fill="FFFFFF"/>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2" w:name="_Toc466015312"/>
      <w:bookmarkStart w:id="33" w:name="_Toc328815991"/>
      <w:bookmarkStart w:id="34" w:name="_Toc20975"/>
      <w:bookmarkStart w:id="35" w:name="_Toc186274106"/>
      <w:bookmarkStart w:id="36" w:name="_Toc174185153"/>
      <w:bookmarkStart w:id="37" w:name="_Toc86202581"/>
      <w:r>
        <w:rPr>
          <w:rFonts w:hint="eastAsia" w:ascii="宋体" w:hAnsi="宋体"/>
          <w:color w:val="auto"/>
        </w:rPr>
        <w:t>投标人须知</w:t>
      </w:r>
      <w:bookmarkEnd w:id="32"/>
      <w:bookmarkEnd w:id="33"/>
      <w:bookmarkEnd w:id="34"/>
    </w:p>
    <w:bookmarkEnd w:id="35"/>
    <w:bookmarkEnd w:id="36"/>
    <w:p>
      <w:pPr>
        <w:pStyle w:val="54"/>
        <w:numPr>
          <w:ilvl w:val="0"/>
          <w:numId w:val="0"/>
        </w:numPr>
        <w:adjustRightInd/>
        <w:textAlignment w:val="auto"/>
        <w:rPr>
          <w:color w:val="auto"/>
        </w:rPr>
      </w:pPr>
    </w:p>
    <w:bookmarkEnd w:id="37"/>
    <w:p>
      <w:pPr>
        <w:pStyle w:val="5"/>
        <w:spacing w:before="0" w:after="120" w:line="400" w:lineRule="exact"/>
        <w:ind w:left="238"/>
        <w:rPr>
          <w:rFonts w:ascii="宋体" w:hAnsi="宋体" w:eastAsia="宋体" w:cs="微软雅黑"/>
          <w:bCs w:val="0"/>
          <w:color w:val="auto"/>
          <w:sz w:val="24"/>
          <w:szCs w:val="24"/>
        </w:rPr>
      </w:pPr>
      <w:bookmarkStart w:id="38" w:name="_Toc328815992"/>
      <w:r>
        <w:rPr>
          <w:rFonts w:hint="eastAsia" w:ascii="宋体" w:hAnsi="宋体" w:eastAsia="宋体" w:cs="微软雅黑"/>
          <w:bCs w:val="0"/>
          <w:color w:val="auto"/>
          <w:sz w:val="24"/>
          <w:szCs w:val="24"/>
        </w:rPr>
        <w:t>总则</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9" w:name="_Toc328815993"/>
      <w:r>
        <w:rPr>
          <w:rFonts w:hint="eastAsia" w:ascii="宋体" w:hAnsi="宋体" w:eastAsia="宋体" w:cs="微软雅黑"/>
          <w:bCs w:val="0"/>
          <w:color w:val="auto"/>
          <w:sz w:val="24"/>
          <w:szCs w:val="24"/>
        </w:rPr>
        <w:t>招标文件</w:t>
      </w:r>
      <w:bookmarkEnd w:id="39"/>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40" w:name="_Toc328815994"/>
      <w:r>
        <w:rPr>
          <w:rFonts w:hint="eastAsia" w:ascii="宋体" w:hAnsi="宋体" w:eastAsia="宋体" w:cs="微软雅黑"/>
          <w:bCs w:val="0"/>
          <w:color w:val="auto"/>
          <w:sz w:val="24"/>
          <w:szCs w:val="24"/>
        </w:rPr>
        <w:t>电子投标文件</w:t>
      </w:r>
      <w:bookmarkEnd w:id="40"/>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5"/>
        <w:spacing w:before="0" w:after="120" w:line="400" w:lineRule="exact"/>
        <w:ind w:left="238"/>
        <w:rPr>
          <w:rFonts w:ascii="宋体" w:hAnsi="宋体" w:eastAsia="宋体" w:cs="微软雅黑"/>
          <w:bCs w:val="0"/>
          <w:color w:val="auto"/>
          <w:sz w:val="24"/>
          <w:szCs w:val="24"/>
        </w:rPr>
      </w:pPr>
      <w:bookmarkStart w:id="41" w:name="_Toc328815995"/>
      <w:r>
        <w:rPr>
          <w:rFonts w:hint="eastAsia" w:ascii="宋体" w:hAnsi="宋体" w:eastAsia="宋体" w:cs="微软雅黑"/>
          <w:bCs w:val="0"/>
          <w:color w:val="auto"/>
          <w:sz w:val="24"/>
          <w:szCs w:val="24"/>
        </w:rPr>
        <w:t>电子投标文件的</w:t>
      </w:r>
      <w:bookmarkEnd w:id="41"/>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5"/>
        <w:spacing w:before="0" w:after="120" w:line="400" w:lineRule="exact"/>
        <w:ind w:left="238"/>
        <w:rPr>
          <w:rFonts w:ascii="宋体" w:hAnsi="宋体" w:eastAsia="宋体" w:cs="微软雅黑"/>
          <w:bCs w:val="0"/>
          <w:color w:val="auto"/>
          <w:sz w:val="21"/>
          <w:szCs w:val="21"/>
        </w:rPr>
      </w:pPr>
      <w:bookmarkStart w:id="42" w:name="_Toc328815996"/>
      <w:r>
        <w:rPr>
          <w:rFonts w:hint="eastAsia" w:ascii="宋体" w:hAnsi="宋体" w:eastAsia="宋体" w:cs="微软雅黑"/>
          <w:bCs w:val="0"/>
          <w:color w:val="auto"/>
          <w:sz w:val="24"/>
          <w:szCs w:val="24"/>
        </w:rPr>
        <w:t>开标</w:t>
      </w:r>
      <w:bookmarkEnd w:id="42"/>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5"/>
        <w:spacing w:before="0" w:after="120" w:line="400" w:lineRule="exact"/>
        <w:ind w:left="238"/>
        <w:rPr>
          <w:rFonts w:ascii="宋体" w:hAnsi="宋体" w:eastAsia="宋体" w:cs="微软雅黑"/>
          <w:bCs w:val="0"/>
          <w:color w:val="auto"/>
          <w:sz w:val="24"/>
          <w:szCs w:val="24"/>
        </w:rPr>
      </w:pPr>
      <w:bookmarkStart w:id="43" w:name="_Toc328815997"/>
      <w:r>
        <w:rPr>
          <w:rFonts w:hint="eastAsia" w:ascii="宋体" w:hAnsi="宋体" w:eastAsia="宋体" w:cs="微软雅黑"/>
          <w:bCs w:val="0"/>
          <w:color w:val="auto"/>
          <w:sz w:val="24"/>
          <w:szCs w:val="24"/>
        </w:rPr>
        <w:t>评标步骤和要求</w:t>
      </w:r>
      <w:bookmarkEnd w:id="43"/>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5"/>
        <w:spacing w:before="0" w:after="120" w:line="400" w:lineRule="exact"/>
        <w:ind w:left="238"/>
        <w:rPr>
          <w:rFonts w:ascii="宋体" w:hAnsi="宋体" w:eastAsia="宋体" w:cs="微软雅黑"/>
          <w:bCs w:val="0"/>
          <w:color w:val="auto"/>
          <w:sz w:val="24"/>
          <w:szCs w:val="24"/>
        </w:rPr>
      </w:pPr>
      <w:bookmarkStart w:id="44" w:name="_Toc328815998"/>
      <w:r>
        <w:rPr>
          <w:rFonts w:hint="eastAsia" w:ascii="宋体" w:hAnsi="宋体" w:eastAsia="宋体" w:cs="微软雅黑"/>
          <w:bCs w:val="0"/>
          <w:color w:val="auto"/>
          <w:sz w:val="24"/>
          <w:szCs w:val="24"/>
        </w:rPr>
        <w:t>中标、未中标通知</w:t>
      </w:r>
      <w:bookmarkEnd w:id="44"/>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5"/>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5"/>
        <w:spacing w:before="0" w:after="120" w:line="400" w:lineRule="exact"/>
        <w:ind w:left="238"/>
        <w:rPr>
          <w:rFonts w:ascii="宋体" w:hAnsi="宋体" w:eastAsia="宋体" w:cs="微软雅黑"/>
          <w:bCs w:val="0"/>
          <w:color w:val="auto"/>
          <w:sz w:val="24"/>
          <w:szCs w:val="24"/>
        </w:rPr>
      </w:pPr>
      <w:bookmarkStart w:id="45" w:name="_Toc328816000"/>
      <w:r>
        <w:rPr>
          <w:rFonts w:hint="eastAsia" w:ascii="宋体" w:hAnsi="宋体" w:eastAsia="宋体" w:cs="微软雅黑"/>
          <w:bCs w:val="0"/>
          <w:color w:val="auto"/>
          <w:sz w:val="24"/>
          <w:szCs w:val="24"/>
        </w:rPr>
        <w:t>质疑</w:t>
      </w:r>
      <w:bookmarkEnd w:id="45"/>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6"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7" w:name="_Toc356478669"/>
      <w:bookmarkStart w:id="48" w:name="_Toc435828258"/>
      <w:bookmarkStart w:id="49" w:name="_Toc435830560"/>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7"/>
    <w:bookmarkEnd w:id="48"/>
    <w:bookmarkEnd w:id="49"/>
    <w:p>
      <w:pPr>
        <w:pStyle w:val="54"/>
        <w:numPr>
          <w:ilvl w:val="1"/>
          <w:numId w:val="3"/>
        </w:numPr>
        <w:spacing w:line="400" w:lineRule="exact"/>
        <w:rPr>
          <w:rFonts w:cs="微软雅黑"/>
          <w:color w:val="auto"/>
          <w:sz w:val="24"/>
          <w:szCs w:val="24"/>
        </w:rPr>
      </w:pPr>
      <w:bookmarkStart w:id="50" w:name="_Toc435828259"/>
      <w:bookmarkStart w:id="51" w:name="_Toc356478670"/>
      <w:bookmarkStart w:id="52" w:name="_Toc435830561"/>
      <w:r>
        <w:rPr>
          <w:rFonts w:hint="eastAsia" w:cs="微软雅黑"/>
          <w:color w:val="auto"/>
          <w:sz w:val="24"/>
          <w:szCs w:val="24"/>
        </w:rPr>
        <w:t>不符合上述26.2-26.9条规定的质疑函不予受理。</w:t>
      </w:r>
      <w:bookmarkEnd w:id="50"/>
      <w:bookmarkEnd w:id="51"/>
      <w:bookmarkEnd w:id="52"/>
    </w:p>
    <w:p>
      <w:pPr>
        <w:pStyle w:val="54"/>
        <w:numPr>
          <w:ilvl w:val="1"/>
          <w:numId w:val="3"/>
        </w:numPr>
        <w:spacing w:line="400" w:lineRule="exact"/>
        <w:rPr>
          <w:rFonts w:cs="微软雅黑"/>
          <w:color w:val="auto"/>
          <w:sz w:val="24"/>
          <w:szCs w:val="24"/>
        </w:rPr>
      </w:pPr>
      <w:bookmarkStart w:id="53" w:name="_Toc356478671"/>
      <w:bookmarkStart w:id="54" w:name="_Toc435828260"/>
      <w:bookmarkStart w:id="55"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3"/>
      <w:bookmarkEnd w:id="54"/>
      <w:bookmarkEnd w:id="55"/>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6"/>
    </w:p>
    <w:p>
      <w:pPr>
        <w:pStyle w:val="49"/>
        <w:snapToGrid w:val="0"/>
        <w:spacing w:before="0" w:after="0"/>
        <w:ind w:left="0"/>
        <w:rPr>
          <w:rFonts w:ascii="宋体" w:hAnsi="宋体"/>
          <w:color w:val="auto"/>
        </w:rPr>
      </w:pPr>
      <w:bookmarkStart w:id="56" w:name="_Toc5503"/>
      <w:bookmarkEnd w:id="56"/>
      <w:bookmarkStart w:id="57" w:name="_Toc466015313"/>
      <w:r>
        <w:rPr>
          <w:rFonts w:hint="eastAsia" w:ascii="宋体" w:hAnsi="宋体"/>
          <w:color w:val="auto"/>
        </w:rPr>
        <w:t>采购需求</w:t>
      </w:r>
      <w:bookmarkEnd w:id="57"/>
    </w:p>
    <w:p>
      <w:pPr>
        <w:pStyle w:val="10"/>
        <w:ind w:firstLine="220"/>
        <w:rPr>
          <w:rFonts w:hint="eastAsia" w:ascii="宋体" w:eastAsia="宋体" w:cs="宋体"/>
          <w:color w:val="auto"/>
          <w:sz w:val="24"/>
          <w:szCs w:val="24"/>
        </w:rPr>
      </w:pPr>
      <w:bookmarkStart w:id="58" w:name="_Toc13684"/>
      <w:bookmarkStart w:id="59" w:name="_Toc174185168"/>
      <w:bookmarkStart w:id="60" w:name="_Toc184023125"/>
      <w:r>
        <w:rPr>
          <w:rFonts w:hint="eastAsia" w:ascii="宋体" w:eastAsia="宋体" w:cs="宋体"/>
          <w:color w:val="auto"/>
          <w:sz w:val="24"/>
          <w:szCs w:val="24"/>
        </w:rPr>
        <w:t>一、</w:t>
      </w:r>
      <w:r>
        <w:rPr>
          <w:rFonts w:hint="eastAsia" w:ascii="宋体" w:eastAsia="宋体" w:cs="宋体"/>
          <w:b/>
          <w:bCs/>
          <w:color w:val="auto"/>
          <w:sz w:val="24"/>
          <w:szCs w:val="24"/>
        </w:rPr>
        <w:t>项目预算金额</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预算控制金额：3,569,426.8元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二、</w:t>
      </w:r>
      <w:r>
        <w:rPr>
          <w:rFonts w:hint="eastAsia" w:ascii="宋体" w:eastAsia="宋体" w:cs="宋体"/>
          <w:b/>
          <w:bCs/>
          <w:color w:val="auto"/>
          <w:sz w:val="24"/>
          <w:szCs w:val="24"/>
        </w:rPr>
        <w:t>项目背景</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根据石景山区图像建设总体规划和要求，以“共建共享”为思路，结合全区视频图像共享的实际需求，区经济和信息化局牵头于2017年开展建设区级视频共享服务平台，实现各委办局图像资源和公安系统图像资源的全面联网和整合应用。</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三、</w:t>
      </w:r>
      <w:r>
        <w:rPr>
          <w:rFonts w:hint="eastAsia" w:ascii="宋体" w:eastAsia="宋体" w:cs="宋体"/>
          <w:b/>
          <w:bCs/>
          <w:color w:val="auto"/>
          <w:sz w:val="24"/>
          <w:szCs w:val="24"/>
        </w:rPr>
        <w:t>采购清单</w:t>
      </w:r>
    </w:p>
    <w:tbl>
      <w:tblPr>
        <w:tblStyle w:val="32"/>
        <w:tblW w:w="8886" w:type="dxa"/>
        <w:jc w:val="center"/>
        <w:tblInd w:w="0" w:type="dxa"/>
        <w:tblLayout w:type="fixed"/>
        <w:tblCellMar>
          <w:top w:w="0" w:type="dxa"/>
          <w:left w:w="108" w:type="dxa"/>
          <w:bottom w:w="0" w:type="dxa"/>
          <w:right w:w="108" w:type="dxa"/>
        </w:tblCellMar>
      </w:tblPr>
      <w:tblGrid>
        <w:gridCol w:w="1040"/>
        <w:gridCol w:w="3917"/>
        <w:gridCol w:w="1040"/>
        <w:gridCol w:w="1040"/>
        <w:gridCol w:w="1849"/>
      </w:tblGrid>
      <w:tr>
        <w:tblPrEx>
          <w:tblLayout w:type="fixed"/>
          <w:tblCellMar>
            <w:top w:w="0" w:type="dxa"/>
            <w:left w:w="108" w:type="dxa"/>
            <w:bottom w:w="0" w:type="dxa"/>
            <w:right w:w="108" w:type="dxa"/>
          </w:tblCellMar>
        </w:tblPrEx>
        <w:trPr>
          <w:trHeight w:val="350"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pPr>
              <w:spacing w:line="360" w:lineRule="auto"/>
              <w:ind w:leftChars="-28" w:hanging="67" w:hangingChars="28"/>
              <w:jc w:val="center"/>
              <w:rPr>
                <w:rFonts w:hint="eastAsia" w:ascii="宋体" w:hAnsi="宋体" w:eastAsia="宋体" w:cs="宋体"/>
                <w:b/>
                <w:bCs/>
                <w:sz w:val="24"/>
                <w:szCs w:val="24"/>
              </w:rPr>
            </w:pPr>
            <w:bookmarkStart w:id="61" w:name="_Hlk155441718"/>
            <w:r>
              <w:rPr>
                <w:rFonts w:hint="eastAsia" w:ascii="宋体" w:hAnsi="宋体" w:eastAsia="宋体" w:cs="宋体"/>
                <w:b/>
                <w:bCs/>
                <w:sz w:val="24"/>
                <w:szCs w:val="24"/>
              </w:rPr>
              <w:t>序号</w:t>
            </w:r>
          </w:p>
        </w:tc>
        <w:tc>
          <w:tcPr>
            <w:tcW w:w="3917" w:type="dxa"/>
            <w:tcBorders>
              <w:top w:val="single" w:color="auto" w:sz="4" w:space="0"/>
              <w:left w:val="nil"/>
              <w:bottom w:val="single" w:color="auto" w:sz="4" w:space="0"/>
              <w:right w:val="single" w:color="auto" w:sz="4" w:space="0"/>
            </w:tcBorders>
            <w:vAlign w:val="center"/>
          </w:tcPr>
          <w:p>
            <w:pPr>
              <w:spacing w:line="360" w:lineRule="auto"/>
              <w:ind w:leftChars="-28" w:hanging="67" w:hangingChars="28"/>
              <w:jc w:val="center"/>
              <w:rPr>
                <w:rFonts w:hint="eastAsia" w:ascii="宋体" w:hAnsi="宋体" w:eastAsia="宋体" w:cs="宋体"/>
                <w:b/>
                <w:bCs/>
                <w:sz w:val="24"/>
                <w:szCs w:val="24"/>
              </w:rPr>
            </w:pPr>
            <w:r>
              <w:rPr>
                <w:rFonts w:hint="eastAsia" w:ascii="宋体" w:hAnsi="宋体" w:eastAsia="宋体" w:cs="宋体"/>
                <w:b/>
                <w:bCs/>
                <w:sz w:val="24"/>
                <w:szCs w:val="24"/>
              </w:rPr>
              <w:t>名称</w:t>
            </w:r>
          </w:p>
        </w:tc>
        <w:tc>
          <w:tcPr>
            <w:tcW w:w="1040" w:type="dxa"/>
            <w:tcBorders>
              <w:top w:val="single" w:color="auto" w:sz="4" w:space="0"/>
              <w:left w:val="nil"/>
              <w:bottom w:val="single" w:color="auto" w:sz="4" w:space="0"/>
              <w:right w:val="single" w:color="auto" w:sz="4" w:space="0"/>
            </w:tcBorders>
            <w:vAlign w:val="center"/>
          </w:tcPr>
          <w:p>
            <w:pPr>
              <w:spacing w:line="360" w:lineRule="auto"/>
              <w:ind w:leftChars="-28" w:hanging="67" w:hangingChars="28"/>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040" w:type="dxa"/>
            <w:tcBorders>
              <w:top w:val="single" w:color="auto" w:sz="4" w:space="0"/>
              <w:left w:val="nil"/>
              <w:bottom w:val="single" w:color="auto" w:sz="4" w:space="0"/>
              <w:right w:val="single" w:color="auto" w:sz="4" w:space="0"/>
            </w:tcBorders>
            <w:vAlign w:val="center"/>
          </w:tcPr>
          <w:p>
            <w:pPr>
              <w:spacing w:line="360" w:lineRule="auto"/>
              <w:ind w:leftChars="-28" w:hanging="67" w:hangingChars="28"/>
              <w:jc w:val="center"/>
              <w:rPr>
                <w:rFonts w:hint="eastAsia" w:ascii="宋体" w:hAnsi="宋体" w:eastAsia="宋体" w:cs="宋体"/>
                <w:b/>
                <w:bCs/>
                <w:sz w:val="24"/>
                <w:szCs w:val="24"/>
              </w:rPr>
            </w:pPr>
            <w:r>
              <w:rPr>
                <w:rFonts w:hint="eastAsia" w:ascii="宋体" w:hAnsi="宋体" w:eastAsia="宋体" w:cs="宋体"/>
                <w:b/>
                <w:bCs/>
                <w:sz w:val="24"/>
                <w:szCs w:val="24"/>
              </w:rPr>
              <w:t>单位</w:t>
            </w:r>
          </w:p>
        </w:tc>
        <w:tc>
          <w:tcPr>
            <w:tcW w:w="1849" w:type="dxa"/>
            <w:tcBorders>
              <w:top w:val="single" w:color="auto" w:sz="4" w:space="0"/>
              <w:left w:val="nil"/>
              <w:bottom w:val="single" w:color="auto" w:sz="4" w:space="0"/>
              <w:right w:val="single" w:color="auto" w:sz="4" w:space="0"/>
            </w:tcBorders>
            <w:vAlign w:val="center"/>
          </w:tcPr>
          <w:p>
            <w:pPr>
              <w:spacing w:line="360" w:lineRule="auto"/>
              <w:ind w:leftChars="-28" w:hanging="67" w:hangingChars="28"/>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tblPrEx>
          <w:tblLayout w:type="fixed"/>
          <w:tblCellMar>
            <w:top w:w="0" w:type="dxa"/>
            <w:left w:w="108" w:type="dxa"/>
            <w:bottom w:w="0" w:type="dxa"/>
            <w:right w:w="108" w:type="dxa"/>
          </w:tblCellMar>
        </w:tblPrEx>
        <w:trPr>
          <w:trHeight w:val="350" w:hRule="atLeast"/>
          <w:jc w:val="center"/>
        </w:trPr>
        <w:tc>
          <w:tcPr>
            <w:tcW w:w="8886"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一、视频共享服务平台扩容</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平台接入授权</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3000</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路</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w:t>
            </w:r>
          </w:p>
        </w:tc>
      </w:tr>
      <w:tr>
        <w:tblPrEx>
          <w:tblLayout w:type="fixed"/>
          <w:tblCellMar>
            <w:top w:w="0" w:type="dxa"/>
            <w:left w:w="108" w:type="dxa"/>
            <w:bottom w:w="0" w:type="dxa"/>
            <w:right w:w="108" w:type="dxa"/>
          </w:tblCellMar>
        </w:tblPrEx>
        <w:trPr>
          <w:trHeight w:val="350" w:hRule="atLeast"/>
          <w:jc w:val="center"/>
        </w:trPr>
        <w:tc>
          <w:tcPr>
            <w:tcW w:w="8886"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二、区级互联网视频资源汇聚平台</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互联网视频平台软件采购</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平台接入授权</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2000</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路</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视图库网关设备</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台</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数据存储节点设备</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含硬盘</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交换设备</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台</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w:t>
            </w:r>
          </w:p>
        </w:tc>
      </w:tr>
      <w:tr>
        <w:tblPrEx>
          <w:tblLayout w:type="fixed"/>
          <w:tblCellMar>
            <w:top w:w="0" w:type="dxa"/>
            <w:left w:w="108" w:type="dxa"/>
            <w:bottom w:w="0" w:type="dxa"/>
            <w:right w:w="108" w:type="dxa"/>
          </w:tblCellMar>
        </w:tblPrEx>
        <w:trPr>
          <w:trHeight w:val="350" w:hRule="atLeast"/>
          <w:jc w:val="center"/>
        </w:trPr>
        <w:tc>
          <w:tcPr>
            <w:tcW w:w="8886"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三、视频图像智能解析平台</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视频图像智能解析平台软件开发</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w:t>
            </w:r>
          </w:p>
        </w:tc>
      </w:tr>
      <w:tr>
        <w:tblPrEx>
          <w:tblLayout w:type="fixed"/>
          <w:tblCellMar>
            <w:top w:w="0" w:type="dxa"/>
            <w:left w:w="108" w:type="dxa"/>
            <w:bottom w:w="0" w:type="dxa"/>
            <w:right w:w="108" w:type="dxa"/>
          </w:tblCellMar>
        </w:tblPrEx>
        <w:trPr>
          <w:trHeight w:val="350" w:hRule="atLeast"/>
          <w:jc w:val="center"/>
        </w:trPr>
        <w:tc>
          <w:tcPr>
            <w:tcW w:w="8886"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四、视频安全边界系统升级</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安全隔离网闸</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台</w:t>
            </w:r>
          </w:p>
        </w:tc>
        <w:tc>
          <w:tcPr>
            <w:tcW w:w="1849"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w:t>
            </w:r>
          </w:p>
        </w:tc>
      </w:tr>
      <w:tr>
        <w:tblPrEx>
          <w:tblLayout w:type="fixed"/>
          <w:tblCellMar>
            <w:top w:w="0" w:type="dxa"/>
            <w:left w:w="108" w:type="dxa"/>
            <w:bottom w:w="0" w:type="dxa"/>
            <w:right w:w="108" w:type="dxa"/>
          </w:tblCellMar>
        </w:tblPrEx>
        <w:trPr>
          <w:trHeight w:val="350" w:hRule="atLeast"/>
          <w:jc w:val="center"/>
        </w:trPr>
        <w:tc>
          <w:tcPr>
            <w:tcW w:w="1040" w:type="dxa"/>
            <w:tcBorders>
              <w:top w:val="nil"/>
              <w:left w:val="single" w:color="auto" w:sz="4" w:space="0"/>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3917" w:type="dxa"/>
            <w:tcBorders>
              <w:top w:val="nil"/>
              <w:left w:val="nil"/>
              <w:bottom w:val="single" w:color="auto" w:sz="4" w:space="0"/>
              <w:right w:val="single" w:color="auto" w:sz="4" w:space="0"/>
            </w:tcBorders>
            <w:vAlign w:val="center"/>
          </w:tcPr>
          <w:p>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安全视频交换系统</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040" w:type="dxa"/>
            <w:tcBorders>
              <w:top w:val="nil"/>
              <w:left w:val="nil"/>
              <w:bottom w:val="single" w:color="auto" w:sz="4" w:space="0"/>
              <w:right w:val="single" w:color="auto" w:sz="4" w:space="0"/>
            </w:tcBorders>
            <w:vAlign w:val="center"/>
          </w:tcPr>
          <w:p>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849" w:type="dxa"/>
            <w:tcBorders>
              <w:top w:val="nil"/>
              <w:left w:val="nil"/>
              <w:bottom w:val="single" w:color="auto" w:sz="4" w:space="0"/>
              <w:right w:val="single" w:color="auto" w:sz="4" w:space="0"/>
            </w:tcBorders>
            <w:vAlign w:val="center"/>
          </w:tcPr>
          <w:p>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　</w:t>
            </w:r>
          </w:p>
        </w:tc>
      </w:tr>
      <w:bookmarkEnd w:id="61"/>
    </w:tbl>
    <w:p>
      <w:pPr>
        <w:pStyle w:val="10"/>
        <w:ind w:firstLine="220"/>
        <w:rPr>
          <w:rFonts w:hint="eastAsia" w:ascii="宋体" w:eastAsia="宋体" w:cs="宋体"/>
          <w:color w:val="auto"/>
          <w:sz w:val="24"/>
          <w:szCs w:val="24"/>
        </w:rPr>
      </w:pPr>
      <w:r>
        <w:rPr>
          <w:rFonts w:hint="eastAsia" w:ascii="宋体" w:eastAsia="宋体" w:cs="宋体"/>
          <w:color w:val="auto"/>
          <w:sz w:val="24"/>
          <w:szCs w:val="24"/>
        </w:rPr>
        <w:t>四、</w:t>
      </w:r>
      <w:r>
        <w:rPr>
          <w:rFonts w:hint="eastAsia" w:ascii="宋体" w:eastAsia="宋体" w:cs="宋体"/>
          <w:b/>
          <w:bCs/>
          <w:color w:val="auto"/>
          <w:sz w:val="24"/>
          <w:szCs w:val="24"/>
        </w:rPr>
        <w:t>项目需求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（一）项目目标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利用已建设的视频监控资源，横向拓展视频资源的应用范围，纵向提升视频资源对各部门业务的支撑能力，提供视频图像预览、视频图像解析、智能事件检测推送等视频价值挖掘的技术手段，促进视频智能赋能各委办局具体的业务场景，并初步建立起自动化、智能化的预警防范机制，为政府决策指挥提供智慧支持，促进社会治理智慧化水平提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（二）建设内容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1.视频共享服务平台接入能力扩容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区视频共享服务平台在现有视频图像接入基础上增加3000路接入授权。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2.区级互联网视频资源汇聚平台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在区政务云互联网侧部署区级互联网视频资源汇聚平台，统一接入区属委办局、街道以及区专项工作建设的互联网侧视频、数据资源，并与现有区视频共享服务平台对接，实现视频共享服务平台对互联网视频、数据资源的共享与使用。</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3.视频图像智能解析平台软件开发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建设以视频分析服务的集约化共性平台，集技术、服务、管理和设施的高度统一利用，面向多用户、整合各部门、各街道视频算法汇聚到平台进行算法管理，在云端对视频资源抽帧，实现平台对算法任务与视频抽帧任务统一调度管理，构建统一标准进行视频图像智能识别分析并提供服务，为城市的智能化建设提供全面、可靠、开放的技术服务能力。</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4.视频安全边界系统升级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将原有区公安分局视频专网向区大数据中心政务外网视频共享服务平台共享视频图像资源的千兆视频安全边界系统升级为万兆视频安全边界系统。</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（三）需执行的相关标准或规范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《公共安全视频监控联网系统信息传输、交换、控制技术要求》（GB/T28181-2022）</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《公安视频图像信息应用系统》（GA/T1400-2017）</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《安全防范工程技术规范》（GB 50348-2018 ）</w:t>
      </w:r>
      <w:r>
        <w:rPr>
          <w:rFonts w:hint="eastAsia" w:ascii="宋体" w:eastAsia="宋体" w:cs="宋体"/>
          <w:color w:val="auto"/>
          <w:sz w:val="24"/>
          <w:szCs w:val="24"/>
        </w:rPr>
        <w:tab/>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《视频安防监控系统工程设计规范》（GB 50395-2007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《公共安全视频监控数字视音频编解码技术要求》（GB/T 25724-2017）</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《城市监控报警联网系统通用技术要求》（GA/T 669.(1-11)-2008）</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《安全防范系统验收规范》（GA 308-2016）</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《安全防范系统供电技术要求》（GB/T 15408-2011）</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《公安视频图像分析系统 第1部分：通用技术要求》（GAT 1399.1-2017）</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《公安视频图像分析系统 第2部分：视频图像内容分析及描述技术要求》（GAT 1399.2-2017）</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《信息技术应用软件系统技术要求》（GB/T 30882-2014）</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《信息安全技术网络和终端设备隔离部件安全技术要求》（GB/T 20279-2006）</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《信息安全技术网络安全等级保护基本要求》（GB/T 22239-2019）</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《信息安全技术网络安全等级保护测评要求》（GB/T 28448-2019）</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（四）技术参数需求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1．业务性能需求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w:t>
      </w:r>
      <w:r>
        <w:rPr>
          <w:rFonts w:hint="eastAsia" w:ascii="宋体" w:eastAsia="宋体" w:cs="宋体"/>
          <w:color w:val="auto"/>
          <w:sz w:val="24"/>
          <w:szCs w:val="24"/>
        </w:rPr>
        <w:tab/>
      </w:r>
      <w:r>
        <w:rPr>
          <w:rFonts w:hint="eastAsia" w:ascii="宋体" w:eastAsia="宋体" w:cs="宋体"/>
          <w:color w:val="auto"/>
          <w:sz w:val="24"/>
          <w:szCs w:val="24"/>
        </w:rPr>
        <w:t>视频共享服务平台接入能力扩容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原有视频共享服务平台接入能力基础上增加3000路接入授权。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w:t>
      </w:r>
      <w:r>
        <w:rPr>
          <w:rFonts w:hint="eastAsia" w:ascii="宋体" w:eastAsia="宋体" w:cs="宋体"/>
          <w:color w:val="auto"/>
          <w:sz w:val="24"/>
          <w:szCs w:val="24"/>
        </w:rPr>
        <w:tab/>
      </w:r>
      <w:r>
        <w:rPr>
          <w:rFonts w:hint="eastAsia" w:ascii="宋体" w:eastAsia="宋体" w:cs="宋体"/>
          <w:color w:val="auto"/>
          <w:sz w:val="24"/>
          <w:szCs w:val="24"/>
        </w:rPr>
        <w:t>区级互联网视频资源汇聚平台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区级互联网视频资源汇聚平台具备2000路视频和图片资源接入能力，以及288T的存储能力。支持按照GA1400标准协议接入第三方平台的图片资源，视图库网关的数据转发能力不低于300万张/天；4Mbps视频流并发能力不低于200路，图片接入并发能力不低于50张/秒，150KB大小图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3)</w:t>
      </w:r>
      <w:r>
        <w:rPr>
          <w:rFonts w:hint="eastAsia" w:ascii="宋体" w:eastAsia="宋体" w:cs="宋体"/>
          <w:color w:val="auto"/>
          <w:sz w:val="24"/>
          <w:szCs w:val="24"/>
        </w:rPr>
        <w:tab/>
      </w:r>
      <w:r>
        <w:rPr>
          <w:rFonts w:hint="eastAsia" w:ascii="宋体" w:eastAsia="宋体" w:cs="宋体"/>
          <w:color w:val="auto"/>
          <w:sz w:val="24"/>
          <w:szCs w:val="24"/>
        </w:rPr>
        <w:t>视频图像智能解析平台开发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满足100路视频并发；提供不少于6000路图像轮询分析，不可出现漏抽；每路图像轮询间隔不少于1小时；需提供不少于120T图片存储能力。算法分析需及时处理，不可出现积压。在单个节点出现故障时，不能影响整个系统正常运行。需支持系统在存储和计算能力方面线性扩展。每个算法需单独维护其输入图片和输出结果，并能查看执行日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4)</w:t>
      </w:r>
      <w:r>
        <w:rPr>
          <w:rFonts w:hint="eastAsia" w:ascii="宋体" w:eastAsia="宋体" w:cs="宋体"/>
          <w:color w:val="auto"/>
          <w:sz w:val="24"/>
          <w:szCs w:val="24"/>
        </w:rPr>
        <w:tab/>
      </w:r>
      <w:r>
        <w:rPr>
          <w:rFonts w:hint="eastAsia" w:ascii="宋体" w:eastAsia="宋体" w:cs="宋体"/>
          <w:color w:val="auto"/>
          <w:sz w:val="24"/>
          <w:szCs w:val="24"/>
        </w:rPr>
        <w:t>视频安全边界系统设备升级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具备1000路1080p图像传输能力（单路码流6Mbps），支持主流视频平台厂商；支持至少20个系统版本的快速配置接入，无需定制开发；单套设备支持不少于4个视频平台接入，支持GB/T 28181标准平台直接配置接入。</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2．技术指标需求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（1）视频共享服务平台扩容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1)平台接入授权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现有政务外网视频共享服务平台增加3000路视频图像接入授权。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（2）区级互联网视频资源汇聚平台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1)互联网视频平台软件</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视频汇聚功能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平台需支持按照GB/T28181、ONVIF、GA/T1400等标准协议接入前端设备；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支持海康、大华、华为、旷视、紫光华智等主流厂家设备的主动SDK接入能力；</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需支持16C32GB云资源不少于 20000路视频纳管、不少于300路视频流并发管理能力；</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支持按照GA1400标准协议接入第三方平台的图片资源，视图库网关的数据转发能力不低于300万/天；</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4Mbps视频流并发能力不低于200路，图片接入并发能力不低于50张/秒，150KB大小图片；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需将汇聚的视频资源和图片资源通过级联方式接入政务网区级视频共享服务平台；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系统需实现多级多厂商多平台之间基于GB/T28181国标实现级联或互联，实现信令控制、信令交互、信令路由、视频流推送及分发功能；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下级国标视频监控平台通过GB/T28181标准协议接入，下级非标准视频监控平台可通过SDK或API接入，将非国标的信令协议、设备ID、媒体传输协议、数据封装格式、媒体码流进行标准化转换，输出标准信令与标准码流，并无缝接入上级监控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需具备同时对接多个异构平台能力，需支持同时实现对接上级平台和接入下级平台能力。</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实时视频浏览</w:t>
      </w:r>
      <w:r>
        <w:rPr>
          <w:rFonts w:hint="eastAsia" w:ascii="宋体" w:eastAsia="宋体" w:cs="宋体"/>
          <w:color w:val="auto"/>
          <w:sz w:val="24"/>
          <w:szCs w:val="24"/>
        </w:rPr>
        <w:tab/>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需支持显示所有已完成接入汇聚的设备列表，需支持网页端直接在线播放实时视频画面，播放过程中需支持云台控制、预置位管理、分屏播放、视频轮巡、截屏等功能；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需支持对图像实时浏览，支持窗口分割，自定义布局等任务多画面组合模式的监控，对指定视频窗口进实时抓拍，实时录像以及即时回放；</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需支持对所有设备和选看设备进行顺序轮巡与分组轮巡，轮巡时间可设；</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需支持标准RTSP、RTMP、HLS、HTTP-FLV、HTTPS-FLV流媒体协议，第三方平台、工具可以通过标准RTSP URL向平台获取视频流；</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需支持多种码流切换查看，实际情况依据设备能力集的情况而定；</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需支持按照指定设备、指定通道进行图像的实时点播，支持多用户对同一图像资源的同时点播；</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需支持按照指定设备、指定通道进行图像的实时浏览，支持浏览图像的显示、缩放、抓拍和录像，需支持多用户对同一图像资源的同时浏览；</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需支持1/4/6等多个监控画面同时显示，并可实现分屏、全屏显示；</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需支持将用户预先定制好的一组监控点位轮流的在显示设备上进行播放，显示间隔时间可设置；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需支持按实际比例展示视频画面；</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需支持本地抓图、录像，将画面保存备用；</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需支持在地图上查看接入的站点位置信息，并可在地图界面上直接观看点位视频。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音视频数据作为视频监控平台重要的资源，平台需提供存储和管理能力，平台的存储服务需提供录像存储和检索的功能。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支持语音喊话，可任选某一在线设备，支持 MP3 音频/TTS 文本转音频/直接音频输入等多种方式。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支持语音广播，可自定义多路在线设备，支持 MP3 音频/TTS 文本转音频/直接音频输入等多种方式。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录像管理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需支持对中心录像制定录像计划；</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需支持手动录像和任务录像以及报警触发录像；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需支持结合视频图像信息数据库进行事件关联录像；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需支持客户点播录像自动按点位名称缓存；</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需支持录像服务器断电数据自动恢复功能；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需支持存储空间用完时按时间先后自动覆盖方式；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需支持存储空间按天覆盖和按空间大小覆盖的方式。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需支持按时间范围搜索录像。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需支持按存储位置搜索录像。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需支持录像存储在设备上或者存储在服务器上；</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需支持分布式云存存储，并可有存储管理，存储策略的能力，同时也有空间管理，磁盘管理，日志管理，报表管理，告警管能力。</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录像播放控制</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需支持按照指定设备、通道、时间、报警信息等要素检索历史图像资料并回放和下载；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需支持历史视频点播本地缓存，视频点播关闭后自动清理；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回放需支持正常播放、快速播放、慢速播放、画面暂停、图像抓拍等；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需支持回放图像的单画面、多画面回放、缩放显示；</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需支持根据日期、时间、摄像机信息等查询和下载相关的历史视频，并且对历史视频进行播放控制。</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需支持实时观看前端历史视频；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在线回放需支持回放中随意拖放播放进度条进行在线播放的定位；</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需支持回放中抓拍图像；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需支持回放中录像；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需支持回放中暂停，然后重新播放，中间无断点；支持快速，慢速回放；</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回放需提供快速慢速（2，4，8倍速快放，支持慢速）、快进快退、暂停、抓拍、循环播放、多文件连播控制，可以全屏回放、逐帧回放。</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需支持录像联播功能，即将多个录像文件串联起来，以统一的时间标尺来显示历史录像视频的保存情况，并且能够自动连续进行播放。</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数据推送</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需支持按照视图库GA1400标准协议接入前端设备抓拍的图片数据，并可将标准的数据级联推送给上级平台。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需支持GA1400视图库协议推送和接收的数据对象包括采集设备-设备对象、采集设备-设备状态对象、采集系统对象、图像对象等。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需支持查看图片级联网关支持的协议标准，包括协议简称、协议编号、协议类型、发布日期和实施日期等。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需支持设置协议标准推送的机制参数，包括支持静态数据断线重连全量推送，动态数据推送的方式、频率、重推次数等。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用户管理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平台需支持对用户数据进行统一登记与修改，用户数据采用统一数据库管理，供若干子业务调用，实现用户信息同步获取与更新；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需支持管理系统所有用户的添加删除，权限分配等操作；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需支持精细化权限设定，可针对任何一个用户，针对任何一个图像资源进行精细权限设置；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需支持自动同步功能，授权用户对系统进行设置修改后，系统可将自动对全网进行更新；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在角色权限配置中需支持针对功能进行授权，如控制云镜摄像机的权限、查看系统日志权限、设备广播权限等；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需支持对角色的增加、修改及删除；</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需支持门各多个安防系统用户的统一管理；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需支持100级的用户级别划分，满足用户多级别划分的需求；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需支持将设备挂载至自定义监控点。需支持自定义监控点树下的设备针对用户进行赋权。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需支持将设备挂载至行政区域。需支持行政区域下的设备针对用户进行赋权。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需支持设备分享的功能。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数据库模块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需包含1套结构化数据存储和管理软件包括但不限于数据存储模块、数据生命周期管理模块、数据接入模块、数据备份模块、数据流量统计模块；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数据基础PaaS服务软件包括但不限于数据实时接入模块、数据查询模块；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系统容量：单套需支撑不少于25亿条数据量存储和分析，集群可支持PB级数据量的存储。</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视频对接网关模块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需包含不少于2套视频对接网关模块；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需支持直接接入不少于1000路前端相机视频流或通过下级平台接入不少于2000路视频。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通过GB28181等标准协议获取第三方厂家平台的视频数据，主要进行数据级联汇聚；将本级平台视频数据通过GB28181等标准协议推送给第三方；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需支持Web方式访问、配置、管理网关设备；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需支持多平台多层次级联，跨域互联互通与资源共享；</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需符合GB/T 28181-2011、GB/T 28181-2016、公安机关视频监控系统联网标准符合性检测要求；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需支持平台联网管理基本功能，需具备资源共享与同步、实时预览、云台控制、录像检索/回放/下载、设备控制、报警处理等；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需支持至少3级级联部署，最大可支持不少于16个外域的接入；</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需具备高度的开放性与兼容性，需支持国内主流厂商（包括海康、大华、科达、宇视、天地伟业等）视频监控系统的接入。</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图片数据对接网关模块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需包含不少于2套图片数据对接网关模块；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需支持不同协议标准的数据级联推送给上级平台支持查看网关支持的协议标准，包括但不限于协议简称、协议编号、协议类型、发布日期和实施日期等支持设置协议标准推送的机制参数；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需支持静态数据断线重连全量推送，动态数据推送的方式、频率、重推次数等系统默认支持的协议支持部标协议系统默认支持GA1400视图库协议。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单个网关需支持推送消息：≥100个/秒（不含图片），≥50个/秒（600kb图片大小），总集群能力≥1500个/秒（不含图片），≥1000个/秒（600kb图片大小）。</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流媒体服务模块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需配置不少于2套流媒体服务模块；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接入类型需支持不同厂家、不同协议设备接入；</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需支持将设备挂载至自定义监控点。支持自定义监控点树下的设备针对用户进行赋权。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需支持将设备挂载至行政区域。支持行政区域下的设备针对用户进行赋权。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需支持设备分享的功能。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需支持单节点不少于128路（4M码流）媒体转发。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2)平台接入授权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需提供互联网视频资源汇聚平台不少于2000路视频接入授权。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3)视图库网关设备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具备视频图像信息概览界面，包括但不限于过车数据、人脸数据、事件数据、监控点位，卡口点位的存储总量及当日汇聚数量；需支持过车数据、人脸数据、事件数据近10天入库趋势；需支持过车数据、人脸数据、事件数据来源分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订阅通知需支持新增、修改、取消订阅，需符合GAT 1400.3 附录A A.19订阅对象中的要求；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的订阅类别包括但不限于事件目录、采集设备目录、采集设备状态、采集系统目录、采集系统状态、视频卡口目录、车道目录、自动采集的人员信息、自动采集的人脸信息、自动采集的车辆信息、自动采集的非机动车辆信息、自动采集的物品信息、自动采集的文件信息；</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需支持按申请单位、订阅标题、类别、申请人筛选条件查询订阅记录；</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需支持接收主动上报的订阅通知并分类存储信息；</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需支持按申请单位、订阅类别，订阅人，订阅申请单位，订阅开始时间，订阅接收时间筛选条件查询订阅通知记录；</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需支持的布控类别有人、机动车、非机动车和关键字；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需支持按申请单位、布控标题、开始时间、结束时间、申请人筛选条件查询布控记录；</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需支持接收主动上报的布控告警；</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需支持按布控人，申请单位，开始时间，结束时间筛选条件查询布控告警记录；</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需支持在线用户数≥512个；户登录时间≤2s；单服务器并发用户数≥64个；并发接收结构化信息 ≥1400条/s（平均值）；并发接收图像对象≥500条/s（平均值）；采集设备接入数（单台10万）≥20；接入外域数≥4；</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结构化数据级联≥3000万/天；结构化数据级联带图片≥800万/天；</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#需支持上下级视图库联网状态、对接节点状态、联网传输速率通过可视化动态方式实时展示；（需提供公安部检测机构出具的检验报告并加盖制造商公章。）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#需支持统计并展示本级视图库接入下级数据量的数据报表，可按时间段、不同对接下级、数据类型等维度查询数据接入报表；（需提供公安部检测机构出具的检验报告并加盖制造商公章。）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统计并展示本级视图库转出给不同上级数据量的数据报表，可按时间段、不同对接下级、数据类型、消费队列消费数据量、上级拒收数据量、网络异常丢失量、内部服务异常丢失量、内部不规范校验丢失量、推送成功数据量等维度查询数据推送报表；（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支持采集设备对象≥1万；视图库管理的采集系统对象≥128；视图库管理的视频图像信息对象≥10亿；视图库管理的视频分析规则对象≥10万；视图库管理的视频标签对象≥10亿；视图库管理的目标统计信息对象≥10万；（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#支持并发处于布控状态的布控对象≥1024；视图库支持的并发处于订阅状态的订阅对象≥1024；精确查询检索≤3s；（需提供公安部检测机构出具的检验报告并加盖制造商公章。）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4)数据存储节点设备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需支持云基础存储和管理软件服务包括但不限于元数据管理服务、云存储软件服务、文件生命周期管理服务、文件智能恢复服务、图片处理模块、多租户服务；</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需支持云基础PaaS服务模块包括但不限于视频设备接入服务、卡口设备接入服务、视图存储服务、流媒体转发服务。</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需支持多网络平面，在多网络平面具备统一存储命名空间，提供唯一入口IP访问，支持多网映射；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单台服务器设备即可组成云存储系统，服务器内含运维管理，集群管理，存储管理三合一能力，无需额外运维服务器。单台服务器组成的云存储系统需具备硬盘N+M容错功能，支持任意M块硬盘热插拔。（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硬盘进行在线优雅安全下线和上线（先进行指令交互，再进行上下线操作），业务无感知，数据读写无异常，无需触发数据恢复。需支持对异常盘快速搜索，快速定位，支持按照不同类别对硬盘进行排序和关键字搜索，支持按照节点列表快速搜索集群所有节点上的异常硬盘情况。</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网络故障自动发现和隔离，在1秒内感知到故障节点，1秒内进行隔离，提升系统稳可靠性。支持回收站功能，防止数据误删，支持回收时间配置。（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#千兆网络环境下，支持单台数据节点读写能力不低于800MB/s,下载速度不低于900MB/s。（需提供公安部检测机构出具的检验报告并加盖制造商公章。）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#需支持图片生命周期配置，不同类型的图片可设置不同的生命周期，单台数据节点下载20KB图片性能可达到2000张/s。（需提供公安部检测机构出具的检验报告并加盖制造商公章。）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#需支持一路高清4Mbps码流一天的录像，8S内完成下载；单台存储节点，图片存储性能≥1.5Gb/s（需提供公安部检测机构出具的检验报告并加盖制造商公章。）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嵌入式LINUX系统，双路64位多核处理器，单控制器，≥32GB DDR4 主频2666MHz，1+1冗余电源，≥6个千兆数据电口，≥2块M.2 1TB企业级固态硬盘，需支持≥24个2.5"或3.5"的SATA硬盘或者SAS硬盘，单盘支持≥20T。</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单台数据存储节点需包含24块硬盘。</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硬盘类型：企业级硬盘；</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硬盘尺寸：3.5英寸；</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硬盘容量：≥6000G；</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转速：≥7200RPM；</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缓存：≥256M；</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硬盘接口：SATA。</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5)交换设备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应用层级：三层；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背板带宽：≥700Gbps；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包转发率：≥250Mpps；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网络接口：≥48 个10/100/1000Base-T自适应以太网端口，4个万兆SFP+口；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扩展槽位：≥1个扩展插槽；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需支持4K VLAN；</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需支持基于MAC/协议/IP子网/策略/端口的VLAN；</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每台设备需包含2个万兆光模块。</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（3）视频图像智能解析平台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1)视频图像智能解析平台软件开发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a)设备中心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需支持按照GB/T28181标准协议接入视频共享平台和直接入接摄像头设备，整体具备不少于6000路的接入管理能力。</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需支持带宽200M的前提下，4Mbps视频流并发能力不低于200路，图片接入并发能力不低于50张/秒，150KB大小图片；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系统可实现多级多厂商多平台之间基于GB/T28181国标实现级联或互联，实现信令控制、信令交互、信令路由、视频流推送及分发功能。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下级国标视频监控平台通过GB/T28181标准协议接入级联服务器。下级非标准视频监控平台可通过SDK接入级联服务器，通过级联服务器将非国标的信令协议、设备ID、媒体传输协议、数据封装格式、媒体码流进行标准化转换，输出标准信令与标准码流，并无缝接入上级监控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需支持标准RTSP协议，第三方平台、工具可以通过标准RTSP URL向平台获取视频流。</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需支持对摄像头实时画面的调用，监控。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需支持对抽帧图片按时间段的查询，浏览。</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需支持对历史录像的视频回放。</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需支持查看图片级联网关支持的协议标准，包括协议简称、协议编号、协议类型、发布日期和实施日期等。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b)抽帧配置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需支持对任意摄像头的按不同轮询时间、抽帧时长、抽帧频率、优先级来进行灵活配置。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需支持对抽帧任务的实时监控。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需支持对抽帧任务历史日志的查看。</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需支持对抽帧任务的启动、暂停、删除操作。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需支持对抽帧任务的再次编辑，更新操作。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需支持对任务按名称进行查询。</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c)数据中心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需支持配置实时流的数据源。</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需支持配置文件存储的目录源。</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需支持配置数据库做为存储的数据源。</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需支持对上述数据源的编辑更新、删除等操作。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需支持对抽帧结果按设备名称、设备ID查询</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需支持对抽帧结果按时间段查询。</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需支持对抽帧结果的浏览，放大，保存等操作。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d)算法中心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需支持不同厂商算法集成。</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需支持远程算法注册。</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需支持算法任务配置。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需支持算法执行调度。</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需支持算法日志查看。</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e)任务中心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需支持抽帧任务配置。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需支持算法任务配置。</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需支持任务启动、暂停、编辑、删除操作。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需支持任务的手工执行。</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f)管理中心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需支持用户管理。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需支持角色管理。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需支持权限和角色绑定。</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需支持对算法的授权。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需支持对摄像头授权。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需支持对用户身份进行鉴别。</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g)对外服务中心</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需支持接口调用token生成。</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需支持接口调用签名认证。</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需支持抽帧任务配置接口。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需支持抽帧任务远程启停接口。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需支持抽帧任务远程删除接口。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需支持算法注册接口。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需支持算法任务配置接口。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需支持算法任务远程启停接口。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需支持算法任务删除接口。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需支持运行中算法任务强制kill接口。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需支持算法分析结果统一对外服务接口。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需支持二进制流图片请求接口。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需支持异步调用算法接口。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需支持异步返回算法结果接口。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（4）视频安全边界系统升级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1)安全隔离网闸</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标准机架式设备；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需支持不少于6个10/100/1000Mbps（电口），2个万兆光纤口；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使用安全加固的Linux操作系统；配置液晶屏，显示系统状态；</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内部交换带宽：≥10Gbps；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传输率：≥8Gbps；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并发连接数：≥50000；</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开关切换时间：≤5ns；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延时：≤0.1ms；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采用“2+1”的硬件架构；</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需实现内外网安全隔离，保证在隔离条件下的安全数据摆渡；需支持TCP、UDP、HTTP、FTP、POP3、SMTP等应用协议数据识别、过滤、摆渡；</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需支持对网闸普通用户进行身份鉴别，确保只有合法用户和计算机能使用网闸系统传输数据；鉴别方式包括用户名口令、CA数字证书；</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需支持对视频交换设备进行专门优化，提升视频流传输可靠性；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系统需支持提供应用服务代理功能、基于身份认证的消息代理功能，消息服务接口支持C、Java两种类型，同时可跨平台支持多个操作系统；</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数据传输可选SSL加密，链路安全；</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需支持多台设备在统一界面下进行管理，设备配置集中统一导入导出，满足大批量设备批量管理操作，统一策略部署要求；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网闸设备日志需实现集中处理，支持多台设备日志集中管理存储，日志按照类别分别存储，便于检索分析；日志分级处理、审计，可进行导入/导出、过滤操作；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需支持一键还原功能，在系统出现严重配置错误、文件系统损坏时可通过后台管理员操作将系统还原成初始状态；</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需支持双机热备，提供高可靠性支持。</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2)安全视频交换系统</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由视频接入认证服务器和视频用户认证服务器两台软硬一体设备组成，部署于安全隔离网闸前后，用于视频媒体传输和视频协议信令控制。</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硬件需求：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标准机架式设备；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单台服务器需具备不少于4个10/100/1000Mbps（电口），2个万兆光纤口；</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需支持高速固态存储；</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需支持冗余电源；</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应用吞吐量：≥7Gbps；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图像传输性能：≥线性7Gbps，需支持≥1000路1080p图像传输能力（单路码流6Mbps）；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延时：≤50ms；</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并发数：≥2000。</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软件需求：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需支持主流视频平台厂商；需支持不少于20个系统版本的快速配置接入，无需定制开发；单套设备需支持不少于4个视频平台接入；</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需支持GB/T 28181标准平台直接配置接入，同时附带不少于4个非标视频平台现场开发的接入支持服务；</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#需提供基于用户身份的黑白名单过滤，可细化至用户访问源目标IP、时间段；（提供截图证明材料并加盖制造商公章）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#需提供基于控制信令关键字的过滤，关键字过滤条件可叠加正则表达式；（提供截图证明材料并加盖制造商公章）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 xml:space="preserve">#需提供基于源目标IP地址的黑白名单过滤；（提供截图证明材料并加盖制造商公章） </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可对普通视频用户实现基于级别的优先级操作，保证高优先级用户可用性；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系统需支持双机热备，出现单点故障问题时无缝切换，保证视频正常观看；</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不需要负载均衡服务器，系统内部需具备负载均衡功能；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需支持系统在线平滑升级。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为根据网络IP升级需要，安全视频交换系统能够在IPV4和IPV6协议环境下，对视频流使用用户、源端IP地址、目的端IP地址、访问时间进行控制；可对视频流进行丢帧、插帧处理；（提供公安部计算机信息系统安全产品质量监督检验中心报告中的截图并加盖制造商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（五）等保安全需求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视图库建设项目需符合网络安全等级保护二级的相关要求。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（六）区级共性平台使用需求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需使用以下区级共性平台：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1.区电子政务外网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2.区移动政务专网</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3.区政务统一认证系统</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4.石景山政务门户</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5.空间资源服务平台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（七）资源共享需求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中标人需协助招标人向各需求单位进行视频、数据的接收与推送工作。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中标人需协助招标人梳理系统所产生的数据资源目录，并将数据汇聚至区级大数据管理与服务平台。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（八）部署对接需求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视频图像智能解析平台和互联网视频资源汇聚平台需与区视频共享服务平台对接，投标人需在方案中详细描述平台间对接关系、对接方式等。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视频图像智能解析平台和互联网视频资源汇聚平台需部署在石景山区电子政务云平台，投标人需在标书中说明该系统所需的具体资源及部署方案。</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（九）项目保密要求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中标人必须对由招标人提供的所有内部资料、技术文档和网络信息予以保密。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中标人未经招标人书面许可，不得以任何形式向第三方透露本项目标书以及本项目的任何内容。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（十）知识产权要求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应保证在本项目使用的任何产品和服务（包括部分使用）时，不会产生因第三方提出侵犯其专利权、商标权或其它知识产权而引起的法律和经济纠纷，如因专利权、商标权或其它知识产权而引起法律和经济纠纷，由中标人承担所有相关责任的同时不得耽误本项目供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中标人为实施项目而提供的所有资料及定制开发工作成果的知识产权权利归招标人所有，在项目验收时须提供软件开发源代码至招标人。</w:t>
      </w:r>
    </w:p>
    <w:p>
      <w:pPr>
        <w:pStyle w:val="10"/>
        <w:ind w:firstLine="220"/>
        <w:rPr>
          <w:rFonts w:hint="eastAsia" w:ascii="宋体" w:eastAsia="宋体" w:cs="宋体"/>
          <w:b/>
          <w:bCs/>
          <w:color w:val="auto"/>
          <w:sz w:val="24"/>
          <w:szCs w:val="24"/>
        </w:rPr>
      </w:pPr>
      <w:r>
        <w:rPr>
          <w:rFonts w:hint="eastAsia" w:ascii="宋体" w:eastAsia="宋体" w:cs="宋体"/>
          <w:color w:val="auto"/>
          <w:sz w:val="24"/>
          <w:szCs w:val="24"/>
        </w:rPr>
        <w:t>五、</w:t>
      </w:r>
      <w:r>
        <w:rPr>
          <w:rFonts w:hint="eastAsia" w:ascii="宋体" w:eastAsia="宋体" w:cs="宋体"/>
          <w:b/>
          <w:bCs/>
          <w:color w:val="auto"/>
          <w:sz w:val="24"/>
          <w:szCs w:val="24"/>
        </w:rPr>
        <w:t>部署环境描述</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石景山区电子政务云平台由业务区、安全交换区、安全管理区及出口区组成，云平台统一提供主机、存储、网络等硬件资源以及操作系统、统一备份系统等基础软件资源。</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六、</w:t>
      </w:r>
      <w:r>
        <w:rPr>
          <w:rFonts w:hint="eastAsia" w:ascii="宋体" w:eastAsia="宋体" w:cs="宋体"/>
          <w:b/>
          <w:bCs/>
          <w:color w:val="auto"/>
          <w:sz w:val="24"/>
          <w:szCs w:val="24"/>
        </w:rPr>
        <w:t>服务要求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（一）建设期内服务要求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中标人在项目中标后根据实际情况制定详实合理的实施方案、实施计划等方案，经招标人核准后按照实施方案实施。</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中标人应全面考虑本项目建设范围、建设内容、建设进度、建设工作量等因素，合理配置投入本项目的人员及车辆，确保按时、保质、保量完成本项目建设任务。</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建设过程中，中标人拟派人员、车辆发生改变的，需第一时间报招标人知悉，经招标人允许后方可更换，未经招标人允许投标人不得擅自更换。</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负责协助招标人开展固定资产、机房设备管理、IP地址管理工作，详细掌握系统设备型号、数量、安装地点、IP地址等相关信息，并协助招标人及时做好信息变更工作，确保各类信息与系统设备实际情况一致。</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投标人需承诺：中标后，承担与石景山区电子政务云平台运营服务单位所需的协调、手续报批、系统适配等工作，并承担由此产生的全部费用。因投标人所投软硬件功能、性能等原因，不能满足招标人要求的，投标人需无条件调整项目整体方案以满足项目实际需求，并承担由此产生的全部费用。中标人在项目验收阶段提供具备资质的第三方机构出具的互联网视频资源汇聚平台等保测评报告、视频图像智能解析平台等保测评报告和软件测评报告。（投标人应提供承诺函并加盖投标人公章）</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（二）验收后服务要求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1.质保要求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从终验合格之日起，中标人应提供本项目不少于2年的免费质保服务。</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2.服务要求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中标人应对本项目最终用户单位的设备及系统运行情况进行巡检，要求每季度不少于一次现场巡检，现场巡检需经最终用户签字认可。</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每次巡检结束后，需向招标人提供巡检报告，报告内容包括：平台性能、运行状况、稳定程度等，重要保障期间需提前进行巡检。</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在质保期内应提供7×24小时应急服务，负责解决系统故障，针对出现的故障，进行现场故障分析，并在故障解决后两个工作日内向用户单位提交故障处理报告，报告中必须说明故障种类、故障原因、故障处理方法等。同时负责针对引发故障的原因，给出日常运维建议或维护方案，避免同类故障再次发生。</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中标人所提供的软件平台需具备适配国产化环境能力。</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投标人需提出免费售后服务期内容和范围（产品、技术、模块），系统服务范围至少包括运维支持、系统迁移、系统升级、性能调优、设备维修、技术咨询、设备迁移、各种突发事件的应急策略、定期巡检等。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所有保修服务方式均为中标人派人员到现场维护，由此产生的一切费用均由中标人承担。</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（三）培训要求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中标人需提供满足系统建设、管理、维护等要求的免费技术培训服务，并不计次数，达到预订的培训目标。</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中标人需根据系统运行及维护的要求，对设备的运行维护人员、系统操作人员进行培训，使其能够胜任日常技术管理和业务操作工作。</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投标人需根据本次招标文件所制定的目标和范围，针对各类人员的培训计划、培训内容、培训方式、培训地点、培训对象、培训人数、质量保障等提出具体的培训方案，并作为投标文件的一部分。</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必须提供技术水平高、质量高的培训服务，并为被培训人员提供课程资料、培训教材等物品。所有书面资料或电子文档、演示光盘，用中文或者英文书写，授课形式为中文。培训成果应在培训计划及课程中予以明确说明。</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中标人需对相关部门提供应急事件处理培训。</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七、</w:t>
      </w:r>
      <w:r>
        <w:rPr>
          <w:rFonts w:hint="eastAsia" w:ascii="宋体" w:eastAsia="宋体" w:cs="宋体"/>
          <w:b/>
          <w:bCs/>
          <w:color w:val="auto"/>
          <w:sz w:val="24"/>
          <w:szCs w:val="24"/>
        </w:rPr>
        <w:t>项目交付需求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（一）项目交付地点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招标人指定地点。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（二）项目交付时间</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项目自合同签订之日起实施建设期为60个日历日，试运行期为30个日历日。</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（三）项目交付物</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1. 中标人在项目验收阶段应提供完整规范的项目交付文档。</w:t>
      </w:r>
    </w:p>
    <w:tbl>
      <w:tblPr>
        <w:tblStyle w:val="32"/>
        <w:tblW w:w="8100" w:type="dxa"/>
        <w:tblInd w:w="28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860"/>
        <w:gridCol w:w="32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7" w:hRule="atLeast"/>
        </w:trPr>
        <w:tc>
          <w:tcPr>
            <w:tcW w:w="4860" w:type="dxa"/>
            <w:tcBorders>
              <w:top w:val="single" w:color="auto" w:sz="4" w:space="0"/>
              <w:left w:val="single" w:color="auto" w:sz="4" w:space="0"/>
              <w:bottom w:val="single" w:color="auto" w:sz="4" w:space="0"/>
              <w:right w:val="single" w:color="auto" w:sz="4" w:space="0"/>
            </w:tcBorders>
            <w:shd w:val="pct10" w:color="auto" w:fill="auto"/>
            <w:vAlign w:val="top"/>
          </w:tcPr>
          <w:p>
            <w:pPr>
              <w:adjustRightInd w:val="0"/>
              <w:spacing w:before="50" w:after="50"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交付物名称</w:t>
            </w:r>
          </w:p>
        </w:tc>
        <w:tc>
          <w:tcPr>
            <w:tcW w:w="3240" w:type="dxa"/>
            <w:tcBorders>
              <w:top w:val="single" w:color="auto" w:sz="4" w:space="0"/>
              <w:left w:val="single" w:color="auto" w:sz="4" w:space="0"/>
              <w:bottom w:val="single" w:color="auto" w:sz="4" w:space="0"/>
              <w:right w:val="single" w:color="auto" w:sz="4" w:space="0"/>
            </w:tcBorders>
            <w:shd w:val="pct10" w:color="auto" w:fill="auto"/>
            <w:vAlign w:val="top"/>
          </w:tcPr>
          <w:p>
            <w:pPr>
              <w:adjustRightInd w:val="0"/>
              <w:spacing w:before="50" w:after="50"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介质形式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《项目开工申请》</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《项目实施方案》</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《项目计划书》</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《需求规格说明书》</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 xml:space="preserve">电子/纸介质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《系统概要设计说明书》</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《系统详细设计说明书》</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《数据库设计说明书》</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《模块开发卷宗》</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《开发总结报告》</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《测试计划》</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《测试分析报告》</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《系统安装手册》</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《系统培训方案》</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《用户手册》</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《培训材料》</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《项目初验方案》</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《项目初验总结报告》</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《试运行方案》</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《试运行总结报告》</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《项目总结报告》</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电子/纸介质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486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《项目验收报告》</w:t>
            </w:r>
          </w:p>
        </w:tc>
        <w:tc>
          <w:tcPr>
            <w:tcW w:w="3240"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电子/纸介质</w:t>
            </w:r>
          </w:p>
        </w:tc>
      </w:tr>
    </w:tbl>
    <w:p>
      <w:pPr>
        <w:pStyle w:val="10"/>
        <w:ind w:firstLine="220"/>
        <w:rPr>
          <w:rFonts w:hint="eastAsia" w:ascii="宋体" w:eastAsia="宋体" w:cs="宋体"/>
          <w:color w:val="auto"/>
          <w:sz w:val="24"/>
          <w:szCs w:val="24"/>
        </w:rPr>
      </w:pPr>
      <w:r>
        <w:rPr>
          <w:rFonts w:hint="eastAsia" w:ascii="宋体" w:eastAsia="宋体" w:cs="宋体"/>
          <w:color w:val="auto"/>
          <w:sz w:val="24"/>
          <w:szCs w:val="24"/>
        </w:rPr>
        <w:t>2. 中标人在项目验收阶段应提供定制开发的软件源代码，对于软件产品部分应提供完整的软件包。</w:t>
      </w:r>
    </w:p>
    <w:tbl>
      <w:tblPr>
        <w:tblStyle w:val="32"/>
        <w:tblW w:w="8100" w:type="dxa"/>
        <w:tblInd w:w="28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563"/>
        <w:gridCol w:w="453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3563" w:type="dxa"/>
            <w:tcBorders>
              <w:top w:val="single" w:color="auto" w:sz="4" w:space="0"/>
              <w:left w:val="single" w:color="auto" w:sz="4" w:space="0"/>
              <w:bottom w:val="single" w:color="auto" w:sz="4" w:space="0"/>
              <w:right w:val="single" w:color="auto" w:sz="4" w:space="0"/>
            </w:tcBorders>
            <w:shd w:val="pct10" w:color="auto" w:fill="auto"/>
            <w:vAlign w:val="top"/>
          </w:tcPr>
          <w:p>
            <w:pPr>
              <w:adjustRightInd w:val="0"/>
              <w:spacing w:before="50" w:after="50"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交付物名称</w:t>
            </w:r>
          </w:p>
        </w:tc>
        <w:tc>
          <w:tcPr>
            <w:tcW w:w="4537" w:type="dxa"/>
            <w:tcBorders>
              <w:top w:val="single" w:color="auto" w:sz="4" w:space="0"/>
              <w:left w:val="single" w:color="auto" w:sz="4" w:space="0"/>
              <w:bottom w:val="single" w:color="auto" w:sz="4" w:space="0"/>
              <w:right w:val="single" w:color="auto" w:sz="4" w:space="0"/>
            </w:tcBorders>
            <w:shd w:val="pct10" w:color="auto" w:fill="auto"/>
            <w:vAlign w:val="top"/>
          </w:tcPr>
          <w:p>
            <w:pPr>
              <w:adjustRightInd w:val="0"/>
              <w:spacing w:before="50" w:after="50"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介质形式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3563"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开发源代码及安装程序</w:t>
            </w:r>
          </w:p>
        </w:tc>
        <w:tc>
          <w:tcPr>
            <w:tcW w:w="4537" w:type="dxa"/>
            <w:tcBorders>
              <w:top w:val="single" w:color="auto" w:sz="4" w:space="0"/>
              <w:left w:val="single" w:color="auto" w:sz="4" w:space="0"/>
              <w:bottom w:val="single" w:color="auto" w:sz="4" w:space="0"/>
              <w:right w:val="single" w:color="auto" w:sz="4" w:space="0"/>
            </w:tcBorders>
            <w:vAlign w:val="top"/>
          </w:tcPr>
          <w:p>
            <w:pPr>
              <w:adjustRightInd w:val="0"/>
              <w:spacing w:before="50" w:after="5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电子（至少一套）</w:t>
            </w:r>
          </w:p>
        </w:tc>
      </w:tr>
    </w:tbl>
    <w:p>
      <w:pPr>
        <w:pStyle w:val="10"/>
        <w:ind w:firstLine="220"/>
        <w:rPr>
          <w:rFonts w:hint="eastAsia" w:ascii="宋体" w:eastAsia="宋体" w:cs="宋体"/>
          <w:color w:val="auto"/>
          <w:sz w:val="24"/>
          <w:szCs w:val="24"/>
        </w:rPr>
      </w:pPr>
      <w:r>
        <w:rPr>
          <w:rFonts w:hint="eastAsia" w:ascii="宋体" w:eastAsia="宋体" w:cs="宋体"/>
          <w:color w:val="auto"/>
          <w:sz w:val="24"/>
          <w:szCs w:val="24"/>
        </w:rPr>
        <w:t>3. 中标人在项目验收阶段提供具备资质的第三方机构出具的互联网视频资源汇聚平台等保测评报告、视频图像智能解析平台等保测评报告和软件测评报告。</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4. 中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同时，投标人为实施项目而提供的所有资料及工作成果的所有知识产权权利归招标人所有。</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八、</w:t>
      </w:r>
      <w:r>
        <w:rPr>
          <w:rFonts w:hint="eastAsia" w:ascii="宋体" w:eastAsia="宋体" w:cs="宋体"/>
          <w:b/>
          <w:bCs/>
          <w:color w:val="auto"/>
          <w:sz w:val="24"/>
          <w:szCs w:val="24"/>
        </w:rPr>
        <w:t>付款要求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合同签署待财政资金到位，中标人提交支付申请后10个工作日，招标人支付合同总额的50%。</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中标人按照合同规定完成全部建设内容，试运行申请审核通过，提交支付申请后10个工作日，支付合同总额的40%。</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项目竣工验收，提交支付申请后10个工作日，支付合同总额的10%。</w:t>
      </w:r>
    </w:p>
    <w:p>
      <w:pPr>
        <w:pStyle w:val="10"/>
        <w:ind w:firstLine="220"/>
        <w:rPr>
          <w:rFonts w:hint="eastAsia" w:ascii="宋体" w:eastAsia="宋体" w:cs="宋体"/>
          <w:b/>
          <w:bCs/>
          <w:color w:val="auto"/>
          <w:sz w:val="24"/>
          <w:szCs w:val="24"/>
        </w:rPr>
      </w:pPr>
      <w:r>
        <w:rPr>
          <w:rFonts w:hint="eastAsia" w:ascii="宋体" w:eastAsia="宋体" w:cs="宋体"/>
          <w:color w:val="auto"/>
          <w:sz w:val="24"/>
          <w:szCs w:val="24"/>
        </w:rPr>
        <w:t>九、</w:t>
      </w:r>
      <w:r>
        <w:rPr>
          <w:rFonts w:hint="eastAsia" w:ascii="宋体" w:eastAsia="宋体" w:cs="宋体"/>
          <w:b/>
          <w:bCs/>
          <w:color w:val="auto"/>
          <w:sz w:val="24"/>
          <w:szCs w:val="24"/>
        </w:rPr>
        <w:t>验收需求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项目实施完毕试运行之前由中标人向招标人提出申请，经招标人评估认为满足条件后进入试运行，并在试运行期间对所出现的问题完成调整与修改。</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试运行期结束，由中标人向招标人提出申请，经招标人评估认为满足验收条件后，由招标人组织项目终验。</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终验前需对区级互联网视频资源汇聚平台、视频图像智能解析平台进行等保测评，对视频图像智能解析平台进行软件测评，并提供测评报告。</w:t>
      </w:r>
    </w:p>
    <w:p>
      <w:pPr>
        <w:pStyle w:val="10"/>
        <w:ind w:firstLine="220"/>
        <w:rPr>
          <w:rFonts w:hint="eastAsia" w:ascii="宋体" w:eastAsia="宋体" w:cs="宋体"/>
          <w:b/>
          <w:bCs/>
          <w:color w:val="auto"/>
          <w:sz w:val="24"/>
          <w:szCs w:val="24"/>
        </w:rPr>
      </w:pPr>
      <w:r>
        <w:rPr>
          <w:rFonts w:hint="eastAsia" w:ascii="宋体" w:eastAsia="宋体" w:cs="宋体"/>
          <w:color w:val="auto"/>
          <w:sz w:val="24"/>
          <w:szCs w:val="24"/>
        </w:rPr>
        <w:t>十、</w:t>
      </w:r>
      <w:r>
        <w:rPr>
          <w:rFonts w:hint="eastAsia" w:ascii="宋体" w:eastAsia="宋体" w:cs="宋体"/>
          <w:b/>
          <w:bCs/>
          <w:color w:val="auto"/>
          <w:sz w:val="24"/>
          <w:szCs w:val="24"/>
        </w:rPr>
        <w:t>其他要求</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（一）投标人须根据招标文件要求结合本身从业经验，做出方案和说明，详细阐述该方案设计原则、依据、功能、性能及所设计系统的技术先进性、科学性、合理性和操作的便捷性。</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（二）本招标技术需求只是提出了本项目的一些原则性规定和思路，并不是详尽的要求，无论某些需求是否被明细列在招标文件中，投标人均需要完善整个方案设计。</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（三）投标书必须说明该项目团队人员组成情况，项目经理须有两年以上相关经验。</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（四）投标人根据服务要求明确提出相应的人员及技术方案。</w:t>
      </w:r>
    </w:p>
    <w:p>
      <w:pPr>
        <w:pStyle w:val="10"/>
        <w:ind w:firstLine="220"/>
        <w:rPr>
          <w:rFonts w:hint="eastAsia" w:ascii="宋体" w:eastAsia="宋体" w:cs="宋体"/>
          <w:color w:val="auto"/>
          <w:sz w:val="24"/>
          <w:szCs w:val="24"/>
        </w:rPr>
      </w:pPr>
      <w:r>
        <w:rPr>
          <w:rFonts w:hint="eastAsia" w:ascii="宋体" w:eastAsia="宋体" w:cs="宋体"/>
          <w:color w:val="auto"/>
          <w:sz w:val="24"/>
          <w:szCs w:val="24"/>
        </w:rPr>
        <w:t>（五）中标人应根据项目进展和合同要求，按照系统工程、软件工程方法，按时提供相关文档及技术成果。文档必须满足国家标准、行业标准、建设单位和监理单位的要求。</w:t>
      </w:r>
    </w:p>
    <w:p>
      <w:pPr>
        <w:pStyle w:val="25"/>
        <w:ind w:left="480" w:leftChars="200" w:firstLine="0" w:firstLineChars="0"/>
        <w:rPr>
          <w:rFonts w:hint="eastAsia" w:ascii="宋体" w:hAnsi="宋体" w:cs="宋体"/>
          <w:b/>
          <w:bCs/>
          <w:color w:val="000000"/>
        </w:rPr>
      </w:pPr>
      <w:r>
        <w:rPr>
          <w:rFonts w:hint="eastAsia" w:ascii="宋体" w:hAnsi="宋体" w:cs="宋体"/>
          <w:b/>
          <w:bCs/>
          <w:color w:val="000000"/>
          <w:lang w:eastAsia="zh-CN"/>
        </w:rPr>
        <w:t>十一</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政府采购节能产品、环境标志产品</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.1政府采购节能产品、环境标志产品实施品目清单管理。财政部、发展改革委、生态环境部等部门根据产品节能环保性能、技术水平和市场成熟程度等因素， 确定实施政府优先采购和强制采购的产品类别及所依据的相关标准规范，以品目清单的形式发布并适时调整。依据品目清单和认证证书实施政府优先采购和强制采购。</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.3 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lang w:eastAsia="zh-CN"/>
        </w:rPr>
        <w:t>并在投标文件中提供</w:t>
      </w:r>
      <w:r>
        <w:rPr>
          <w:rFonts w:hint="eastAsia" w:ascii="宋体" w:hAnsi="宋体" w:cs="宋体"/>
          <w:color w:val="000000"/>
        </w:rPr>
        <w:t>，否则投标无效；</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.4非政府强制采购的节能产品或环境标志产品，依据品目清单和认证证书实施政府优先采购。优先采购的具体规定见第</w:t>
      </w:r>
      <w:r>
        <w:rPr>
          <w:rFonts w:hint="eastAsia" w:ascii="宋体" w:hAnsi="宋体" w:cs="宋体"/>
          <w:color w:val="000000"/>
          <w:lang w:eastAsia="zh-CN"/>
        </w:rPr>
        <w:t>五部分</w:t>
      </w:r>
      <w:r>
        <w:rPr>
          <w:rFonts w:hint="eastAsia" w:ascii="宋体" w:hAnsi="宋体" w:cs="宋体"/>
          <w:color w:val="000000"/>
        </w:rPr>
        <w:t>《评标标准和评标方法》（如涉及）。</w:t>
      </w:r>
    </w:p>
    <w:p>
      <w:pPr>
        <w:pStyle w:val="2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3.正版软件</w:t>
      </w:r>
    </w:p>
    <w:p>
      <w:pPr>
        <w:pStyle w:val="2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2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4.网络安全专用产品：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5.本项目不接受进口产品的投标。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8"/>
    <w:bookmarkEnd w:id="59"/>
    <w:bookmarkEnd w:id="60"/>
    <w:p>
      <w:pPr>
        <w:pStyle w:val="49"/>
        <w:snapToGrid w:val="0"/>
        <w:spacing w:before="0" w:after="0"/>
        <w:ind w:left="0"/>
        <w:rPr>
          <w:rFonts w:ascii="宋体" w:hAnsi="宋体"/>
          <w:color w:val="auto"/>
        </w:rPr>
      </w:pPr>
      <w:bookmarkStart w:id="62"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2"/>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val="en-US" w:eastAsia="zh-CN" w:bidi="ar"/>
              </w:rPr>
            </w:pPr>
            <w:r>
              <w:rPr>
                <w:rFonts w:hint="eastAsia" w:ascii="宋体" w:hAnsi="宋体" w:cs="宋体"/>
                <w:bCs/>
                <w:color w:val="auto"/>
                <w:kern w:val="0"/>
                <w:sz w:val="24"/>
                <w:szCs w:val="24"/>
                <w:lang w:val="en-US"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投标人按招标文件格式要求提供中小企业声明函，本项目为专门面向小微企业采购。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5"/>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9063" w:type="dxa"/>
        <w:tblInd w:w="113" w:type="dxa"/>
        <w:tblLayout w:type="fixed"/>
        <w:tblCellMar>
          <w:top w:w="0" w:type="dxa"/>
          <w:left w:w="108" w:type="dxa"/>
          <w:bottom w:w="0" w:type="dxa"/>
          <w:right w:w="108" w:type="dxa"/>
        </w:tblCellMar>
      </w:tblPr>
      <w:tblGrid>
        <w:gridCol w:w="1271"/>
        <w:gridCol w:w="1420"/>
        <w:gridCol w:w="5332"/>
        <w:gridCol w:w="1040"/>
      </w:tblGrid>
      <w:tr>
        <w:tblPrEx>
          <w:tblLayout w:type="fixed"/>
          <w:tblCellMar>
            <w:top w:w="0" w:type="dxa"/>
            <w:left w:w="108" w:type="dxa"/>
            <w:bottom w:w="0" w:type="dxa"/>
            <w:right w:w="108" w:type="dxa"/>
          </w:tblCellMar>
        </w:tblPrEx>
        <w:trPr>
          <w:trHeight w:val="600" w:hRule="atLeast"/>
        </w:trPr>
        <w:tc>
          <w:tcPr>
            <w:tcW w:w="12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评审细则</w:t>
            </w:r>
          </w:p>
        </w:tc>
        <w:tc>
          <w:tcPr>
            <w:tcW w:w="6752" w:type="dxa"/>
            <w:gridSpan w:val="2"/>
            <w:tcBorders>
              <w:top w:val="single" w:color="auto" w:sz="4" w:space="0"/>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评分标准</w:t>
            </w: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得分</w:t>
            </w:r>
          </w:p>
        </w:tc>
      </w:tr>
      <w:tr>
        <w:tblPrEx>
          <w:tblLayout w:type="fixed"/>
          <w:tblCellMar>
            <w:top w:w="0" w:type="dxa"/>
            <w:left w:w="108" w:type="dxa"/>
            <w:bottom w:w="0" w:type="dxa"/>
            <w:right w:w="108" w:type="dxa"/>
          </w:tblCellMar>
        </w:tblPrEx>
        <w:trPr>
          <w:trHeight w:val="1570" w:hRule="atLeast"/>
        </w:trPr>
        <w:tc>
          <w:tcPr>
            <w:tcW w:w="1271"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价格</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(10分)</w:t>
            </w: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报价得分</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（1）价格分统一采用低价优先法计算，即满足招标文件要求且投标价格最低的有效投标报价为评标基准价。</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（2）投标报价得分=10*（评标基准价/投标报价）。</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r>
      <w:tr>
        <w:tblPrEx>
          <w:tblLayout w:type="fixed"/>
          <w:tblCellMar>
            <w:top w:w="0" w:type="dxa"/>
            <w:left w:w="108" w:type="dxa"/>
            <w:bottom w:w="0" w:type="dxa"/>
            <w:right w:w="108" w:type="dxa"/>
          </w:tblCellMar>
        </w:tblPrEx>
        <w:trPr>
          <w:trHeight w:val="698" w:hRule="atLeast"/>
        </w:trPr>
        <w:tc>
          <w:tcPr>
            <w:tcW w:w="1271"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技术方案（52分）</w:t>
            </w: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设计方案</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设计方案合理，包含深入透彻的项目概况分析（背景、现状、编制依据）、先进的技术路线、完善的功能模块设计、合理可行的系统框架及设计原则、清晰的业务建设目标。对项目理解清晰全面，技术方案详实，技术架构合理、核心技术先进、产品选型依据充分的，得15分；对项目理解基本合理，技术方案基本完整，但存在部分非关键性响应内容不完整，技术架构合理、核心技术、产品选型依据合理的，得10分；对项目理解基本合理，提供了技术方案但存在关键性内容响应不完整或明显缺乏针对性，核心技术基本满足项目要求，缺乏产品选型依据的，得5分；对项目理解有部分欠缺，技术方案过于简单，响应内容不清晰，得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（2）互联网视频资源汇聚平台、视频图像智能解析平台分别提供国产化适配承诺的，得2分，仅提供单一平台的，得1分，无法提供的，得0分。（需提供承诺函并加投标人公章）</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w:t>
            </w:r>
          </w:p>
        </w:tc>
      </w:tr>
      <w:tr>
        <w:tblPrEx>
          <w:tblLayout w:type="fixed"/>
          <w:tblCellMar>
            <w:top w:w="0" w:type="dxa"/>
            <w:left w:w="108" w:type="dxa"/>
            <w:bottom w:w="0" w:type="dxa"/>
            <w:right w:w="108" w:type="dxa"/>
          </w:tblCellMar>
        </w:tblPrEx>
        <w:trPr>
          <w:trHeight w:val="360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项目实施保障</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进度计划全面详细、合理，符合实际，对完成本项目有详细、合理的时间计划、进度安排、人员分工、质量控制和保障措施，针对性很强，保证措施有力，有详细的时间及进度表、人员分工明细表，能够很好的满足项目需求的得8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项目进度计划较完整、较合理，有针对性，有保证措施，有详细的时间及进度表、人员分工明细表，能够满足项目需求的得4分；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项目进度计划基本完整合理，针对性差，保证措施差，时间及进度表、人员分工明细表不完善，基本满足项目需求的得2分；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无项目进度计划及保证措施的得0分。</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r>
      <w:tr>
        <w:tblPrEx>
          <w:tblLayout w:type="fixed"/>
          <w:tblCellMar>
            <w:top w:w="0" w:type="dxa"/>
            <w:left w:w="108" w:type="dxa"/>
            <w:bottom w:w="0" w:type="dxa"/>
            <w:right w:w="108" w:type="dxa"/>
          </w:tblCellMar>
        </w:tblPrEx>
        <w:trPr>
          <w:trHeight w:val="120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可视化页面设计</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根据项目建设内容，提供资源调度管理、算法汇聚、统一标准服务主题界面设计效果图，每种设计效果图提供不少于4个（总计12个）与本项目用户需求契合的一级页面设计图得</w:t>
            </w:r>
            <w:r>
              <w:rPr>
                <w:rFonts w:hint="eastAsia" w:ascii="宋体" w:hAnsi="宋体" w:eastAsia="宋体" w:cs="宋体"/>
                <w:color w:val="000000"/>
                <w:kern w:val="0"/>
                <w:sz w:val="24"/>
                <w:szCs w:val="24"/>
                <w:lang w:val="en-US" w:eastAsia="zh-CN"/>
              </w:rPr>
              <w:t>9</w:t>
            </w:r>
            <w:r>
              <w:rPr>
                <w:rFonts w:hint="eastAsia" w:ascii="宋体" w:hAnsi="宋体" w:eastAsia="宋体" w:cs="宋体"/>
                <w:color w:val="000000"/>
                <w:kern w:val="0"/>
                <w:sz w:val="24"/>
                <w:szCs w:val="24"/>
              </w:rPr>
              <w:t>分；每少1个设计效果图扣1分，扣完为止。</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r>
      <w:tr>
        <w:tblPrEx>
          <w:tblLayout w:type="fixed"/>
          <w:tblCellMar>
            <w:top w:w="0" w:type="dxa"/>
            <w:left w:w="108" w:type="dxa"/>
            <w:bottom w:w="0" w:type="dxa"/>
            <w:right w:w="108" w:type="dxa"/>
          </w:tblCellMar>
        </w:tblPrEx>
        <w:trPr>
          <w:trHeight w:val="90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技术指标响应</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满足技术需求文件中的全部指标得满分，＃代表重要指标，每有1项“#”号项技术响应负偏离的扣1分，每有1项非“#”号项技术响应负偏离的扣0.5</w:t>
            </w:r>
            <w:r>
              <w:rPr>
                <w:rFonts w:hint="eastAsia" w:ascii="宋体" w:hAnsi="宋体" w:cs="宋体"/>
                <w:color w:val="000000"/>
                <w:kern w:val="0"/>
                <w:sz w:val="24"/>
                <w:szCs w:val="24"/>
                <w:lang w:eastAsia="zh-CN"/>
              </w:rPr>
              <w:t>分</w:t>
            </w:r>
            <w:r>
              <w:rPr>
                <w:rFonts w:hint="eastAsia" w:ascii="宋体" w:hAnsi="宋体" w:eastAsia="宋体" w:cs="宋体"/>
                <w:color w:val="000000"/>
                <w:kern w:val="0"/>
                <w:sz w:val="24"/>
                <w:szCs w:val="24"/>
              </w:rPr>
              <w:t>，扣完为止。</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w:t>
            </w:r>
          </w:p>
        </w:tc>
      </w:tr>
      <w:tr>
        <w:tblPrEx>
          <w:tblLayout w:type="fixed"/>
          <w:tblCellMar>
            <w:top w:w="0" w:type="dxa"/>
            <w:left w:w="108" w:type="dxa"/>
            <w:bottom w:w="0" w:type="dxa"/>
            <w:right w:w="108" w:type="dxa"/>
          </w:tblCellMar>
        </w:tblPrEx>
        <w:trPr>
          <w:trHeight w:val="2100" w:hRule="atLeast"/>
        </w:trPr>
        <w:tc>
          <w:tcPr>
            <w:tcW w:w="1271"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服务水平（11分）</w:t>
            </w: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售后服务</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售后服务方案详细合理，包括有详细的服务目标、服务内容、服务实施方案、应急响应预案和服务质量管理措施，方案内容全面完整、可行、针对性强的，得8分；方案内容完整、可行、针对性一般的，得4分；方案内容有缺失的，或该项不完整、不可行的，得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（2）免费质保期内，能提供不少于1人5*8小时驻场服务的得1分，不提供不得分。</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r>
      <w:tr>
        <w:tblPrEx>
          <w:tblLayout w:type="fixed"/>
          <w:tblCellMar>
            <w:top w:w="0" w:type="dxa"/>
            <w:left w:w="108" w:type="dxa"/>
            <w:bottom w:w="0" w:type="dxa"/>
            <w:right w:w="108" w:type="dxa"/>
          </w:tblCellMar>
        </w:tblPrEx>
        <w:trPr>
          <w:trHeight w:val="90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培训方案</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提供详细的培训方案，可操作性强，具有契合业务实际需求的详细培训计划和培训人员安排得2分；内容过于笼统和简单的得0分。</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Layout w:type="fixed"/>
          <w:tblCellMar>
            <w:top w:w="0" w:type="dxa"/>
            <w:left w:w="108" w:type="dxa"/>
            <w:bottom w:w="0" w:type="dxa"/>
            <w:right w:w="108" w:type="dxa"/>
          </w:tblCellMar>
        </w:tblPrEx>
        <w:trPr>
          <w:trHeight w:val="1200" w:hRule="atLeast"/>
        </w:trPr>
        <w:tc>
          <w:tcPr>
            <w:tcW w:w="1271"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履约能力（27分）</w:t>
            </w: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投标人业绩</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提供2020年</w:t>
            </w:r>
            <w:r>
              <w:rPr>
                <w:rFonts w:hint="eastAsia" w:ascii="宋体" w:hAnsi="宋体" w:cs="宋体"/>
                <w:color w:val="000000"/>
                <w:kern w:val="0"/>
                <w:sz w:val="24"/>
                <w:szCs w:val="24"/>
                <w:lang w:eastAsia="zh-CN"/>
              </w:rPr>
              <w:t>初</w:t>
            </w:r>
            <w:r>
              <w:rPr>
                <w:rFonts w:hint="eastAsia" w:ascii="宋体" w:hAnsi="宋体" w:eastAsia="宋体" w:cs="宋体"/>
                <w:color w:val="000000"/>
                <w:kern w:val="0"/>
                <w:sz w:val="24"/>
                <w:szCs w:val="24"/>
              </w:rPr>
              <w:t>至2023年</w:t>
            </w:r>
            <w:r>
              <w:rPr>
                <w:rFonts w:hint="eastAsia" w:ascii="宋体" w:hAnsi="宋体" w:cs="宋体"/>
                <w:color w:val="000000"/>
                <w:kern w:val="0"/>
                <w:sz w:val="24"/>
                <w:szCs w:val="24"/>
                <w:lang w:eastAsia="zh-CN"/>
              </w:rPr>
              <w:t>底</w:t>
            </w:r>
            <w:bookmarkStart w:id="90" w:name="_GoBack"/>
            <w:bookmarkEnd w:id="90"/>
            <w:r>
              <w:rPr>
                <w:rFonts w:hint="eastAsia" w:ascii="宋体" w:hAnsi="宋体" w:eastAsia="宋体" w:cs="宋体"/>
                <w:color w:val="000000"/>
                <w:kern w:val="0"/>
                <w:sz w:val="24"/>
                <w:szCs w:val="24"/>
              </w:rPr>
              <w:t>承担过相关系统建设的案例。每提供一个案例得1分，最高得3分。（包括但不限于合同首页、金额页、建设内容页和签字盖章页，并加盖投标人公章）</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r>
      <w:tr>
        <w:tblPrEx>
          <w:tblLayout w:type="fixed"/>
          <w:tblCellMar>
            <w:top w:w="0" w:type="dxa"/>
            <w:left w:w="108" w:type="dxa"/>
            <w:bottom w:w="0" w:type="dxa"/>
            <w:right w:w="108" w:type="dxa"/>
          </w:tblCellMar>
        </w:tblPrEx>
        <w:trPr>
          <w:trHeight w:val="300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w:t>
            </w:r>
            <w:r>
              <w:rPr>
                <w:rFonts w:hint="eastAsia" w:ascii="宋体" w:hAnsi="宋体" w:eastAsia="宋体" w:cs="宋体"/>
                <w:color w:val="000000"/>
                <w:kern w:val="0"/>
                <w:sz w:val="24"/>
                <w:szCs w:val="24"/>
                <w:lang w:eastAsia="zh-CN"/>
              </w:rPr>
              <w:t>认证证书</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（1）投标人具有有效期内的CMMI3级或以上资质认证的得1分。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（2）投标人具有有效期内的ISO9001质量管理体系、ISO20000信息技术服务管理体系、ISO27001信息安全管理体系认证，且证书覆盖范围包括计算机应用软件的开发。以上全部提供得2分，缺少任意一个或不提供不得分。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（3）投标人具有有效期内的国家高新技术企业证书，得1分，不提供不得分。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（4）投标人具有有效期内的专精特新中小企业证书，得1分，不提供不得分。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（提供证书复印件并加盖投标人公章）</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r>
      <w:tr>
        <w:tblPrEx>
          <w:tblLayout w:type="fixed"/>
          <w:tblCellMar>
            <w:top w:w="0" w:type="dxa"/>
            <w:left w:w="108" w:type="dxa"/>
            <w:bottom w:w="0" w:type="dxa"/>
            <w:right w:w="108" w:type="dxa"/>
          </w:tblCellMar>
        </w:tblPrEx>
        <w:trPr>
          <w:trHeight w:val="210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实施队伍</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（1）项目经理：具备PMP证书或高级工程师职称的，得2分，其他不得分。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（2）项目人员组成情况：项目人员具备计算机、软件、信息技术相关专业本科及以上学历，能提供8人（含）以上，得3分 ，5（含）-7人（含）以上得2分，4人及以下得0分。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需提供所有人员近六个月内在投标单位的社保缴纳记录及学历证书复印件，不提供不得分。</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r>
      <w:tr>
        <w:tblPrEx>
          <w:tblLayout w:type="fixed"/>
          <w:tblCellMar>
            <w:top w:w="0" w:type="dxa"/>
            <w:left w:w="108" w:type="dxa"/>
            <w:bottom w:w="0" w:type="dxa"/>
            <w:right w:w="108" w:type="dxa"/>
          </w:tblCellMar>
        </w:tblPrEx>
        <w:trPr>
          <w:trHeight w:val="33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硬件设备资质</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（1）视图库网关提供符合《GA/T 1400.4-2017 公安视频图像信息应用系统第4部分：接口协议要求》的公安部检验报告的得2分；（提供检验报告复印件并加盖制造商公章）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（2）安全隔离网闸提供中国网络安全审查技术与认证中心颁发的国家信息安全产品认证证书的得1分；（提供证书复印件并加盖制造商公章）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（3）安全视频交换系统需入围“通过安全测评的视频安全交换产品及厂商目录”，提供厂家证明文件并加盖投标人公章的得1分，不提供得0分；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（4）安全视频交换系统制造厂商具备ISO 9001质量管理体系认证证书，且认证范围包含边界安全产品的软件开发的得1分；（提供证书复印件并加盖制造商公章）</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r>
      <w:tr>
        <w:tblPrEx>
          <w:tblLayout w:type="fixed"/>
          <w:tblCellMar>
            <w:top w:w="0" w:type="dxa"/>
            <w:left w:w="108" w:type="dxa"/>
            <w:bottom w:w="0" w:type="dxa"/>
            <w:right w:w="108" w:type="dxa"/>
          </w:tblCellMar>
        </w:tblPrEx>
        <w:trPr>
          <w:trHeight w:val="2700" w:hRule="atLeast"/>
        </w:trPr>
        <w:tc>
          <w:tcPr>
            <w:tcW w:w="12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ascii="宋体" w:hAnsi="宋体" w:eastAsia="宋体" w:cs="宋体"/>
                <w:color w:val="000000"/>
                <w:kern w:val="0"/>
                <w:sz w:val="24"/>
                <w:szCs w:val="24"/>
              </w:rPr>
            </w:pPr>
          </w:p>
        </w:tc>
        <w:tc>
          <w:tcPr>
            <w:tcW w:w="142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软件资质</w:t>
            </w:r>
          </w:p>
        </w:tc>
        <w:tc>
          <w:tcPr>
            <w:tcW w:w="5332"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提供招标公告发布日期以前，视频分析平台、AI智能平台、物联网数据接入平台方面的计算机软件著作权登记证书，每提供一项得2分。软件著作权登记证书合计最多得6分，同一著作权不重复计分。（提供证书复印件加盖投标人公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（2）互联网视频资源汇聚平台提供市级及以上公安机关出具的有效期内的信息系统安全等级保护二级或以上备案证明的得3分，不提供不得分。（提供证书复印件并加盖投标人公章）</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r>
      <w:tr>
        <w:tblPrEx>
          <w:tblLayout w:type="fixed"/>
          <w:tblCellMar>
            <w:top w:w="0" w:type="dxa"/>
            <w:left w:w="108" w:type="dxa"/>
            <w:bottom w:w="0" w:type="dxa"/>
            <w:right w:w="108" w:type="dxa"/>
          </w:tblCellMar>
        </w:tblPrEx>
        <w:trPr>
          <w:trHeight w:val="300" w:hRule="atLeast"/>
        </w:trPr>
        <w:tc>
          <w:tcPr>
            <w:tcW w:w="802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合计</w:t>
            </w:r>
          </w:p>
        </w:tc>
        <w:tc>
          <w:tcPr>
            <w:tcW w:w="1040" w:type="dxa"/>
            <w:tcBorders>
              <w:top w:val="nil"/>
              <w:left w:val="nil"/>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3" w:name="_Toc466015315"/>
      <w:bookmarkStart w:id="64" w:name="_Toc328816004"/>
      <w:bookmarkStart w:id="65" w:name="_Toc23703"/>
      <w:bookmarkStart w:id="66" w:name="_Toc186274124"/>
      <w:bookmarkStart w:id="67" w:name="_Toc174185201"/>
      <w:r>
        <w:rPr>
          <w:rFonts w:hint="eastAsia" w:ascii="宋体" w:hAnsi="宋体"/>
          <w:color w:val="auto"/>
          <w:lang w:val="en-US" w:eastAsia="zh-CN"/>
        </w:rPr>
        <w:t xml:space="preserve"> </w:t>
      </w:r>
      <w:r>
        <w:rPr>
          <w:rFonts w:hint="eastAsia" w:ascii="宋体" w:hAnsi="宋体"/>
          <w:color w:val="auto"/>
        </w:rPr>
        <w:t>政府采购合同</w:t>
      </w:r>
      <w:bookmarkEnd w:id="63"/>
      <w:bookmarkEnd w:id="64"/>
      <w:bookmarkEnd w:id="65"/>
    </w:p>
    <w:p>
      <w:pPr>
        <w:pStyle w:val="49"/>
        <w:numPr>
          <w:ilvl w:val="0"/>
          <w:numId w:val="0"/>
        </w:numPr>
        <w:snapToGrid w:val="0"/>
        <w:spacing w:before="0" w:after="0"/>
        <w:ind w:left="288" w:leftChars="0"/>
        <w:jc w:val="both"/>
        <w:rPr>
          <w:rFonts w:hint="eastAsia" w:ascii="宋体" w:hAnsi="宋体"/>
          <w:color w:val="auto"/>
        </w:rPr>
      </w:pPr>
    </w:p>
    <w:p>
      <w:pPr>
        <w:pStyle w:val="49"/>
        <w:numPr>
          <w:ilvl w:val="0"/>
          <w:numId w:val="0"/>
        </w:numPr>
        <w:snapToGrid w:val="0"/>
        <w:spacing w:before="0" w:after="0"/>
        <w:ind w:left="288" w:leftChars="0"/>
        <w:jc w:val="both"/>
        <w:rPr>
          <w:rFonts w:hint="eastAsia" w:ascii="宋体" w:hAnsi="宋体"/>
          <w:color w:val="auto"/>
        </w:rPr>
      </w:pPr>
    </w:p>
    <w:p>
      <w:pPr>
        <w:pStyle w:val="49"/>
        <w:numPr>
          <w:ilvl w:val="0"/>
          <w:numId w:val="0"/>
        </w:numPr>
        <w:snapToGrid w:val="0"/>
        <w:spacing w:before="0" w:after="0"/>
        <w:ind w:left="288" w:leftChars="0"/>
        <w:jc w:val="both"/>
        <w:rPr>
          <w:rFonts w:hint="eastAsia" w:ascii="宋体" w:hAnsi="宋体"/>
          <w:color w:val="auto"/>
        </w:rPr>
      </w:pPr>
    </w:p>
    <w:p>
      <w:pPr>
        <w:ind w:left="570" w:firstLine="705"/>
        <w:rPr>
          <w:rFonts w:hint="eastAsia" w:ascii="宋体" w:hAnsi="宋体"/>
          <w:b/>
          <w:bCs/>
          <w:color w:val="auto"/>
          <w:sz w:val="44"/>
        </w:rPr>
      </w:pPr>
      <w:bookmarkStart w:id="68" w:name="_Toc86202632"/>
      <w:bookmarkStart w:id="69" w:name="_Toc15708"/>
      <w:r>
        <w:rPr>
          <w:rFonts w:hint="eastAsia" w:ascii="宋体" w:hAnsi="宋体"/>
          <w:b/>
          <w:bCs/>
          <w:color w:val="auto"/>
          <w:sz w:val="44"/>
        </w:rPr>
        <w:t>政府采购合同（</w:t>
      </w:r>
      <w:r>
        <w:rPr>
          <w:rFonts w:hint="eastAsia" w:ascii="宋体" w:hAnsi="宋体"/>
          <w:b/>
          <w:bCs/>
          <w:color w:val="auto"/>
          <w:sz w:val="44"/>
          <w:lang w:eastAsia="zh-CN"/>
        </w:rPr>
        <w:t>服务</w:t>
      </w:r>
      <w:r>
        <w:rPr>
          <w:rFonts w:hint="eastAsia" w:ascii="宋体" w:hAnsi="宋体"/>
          <w:b/>
          <w:bCs/>
          <w:color w:val="auto"/>
          <w:sz w:val="44"/>
        </w:rPr>
        <w:t>类）</w:t>
      </w:r>
    </w:p>
    <w:p>
      <w:pPr>
        <w:ind w:left="570" w:firstLine="705"/>
        <w:rPr>
          <w:rFonts w:hint="eastAsia" w:ascii="宋体" w:hAnsi="宋体"/>
          <w:color w:val="auto"/>
        </w:rPr>
      </w:pPr>
    </w:p>
    <w:p>
      <w:pPr>
        <w:ind w:left="570" w:firstLine="705"/>
        <w:rPr>
          <w:rFonts w:hint="eastAsia" w:ascii="宋体" w:hAnsi="宋体"/>
          <w:color w:val="auto"/>
        </w:rPr>
      </w:pPr>
      <w:r>
        <w:rPr>
          <w:rFonts w:hint="eastAsia" w:ascii="宋体" w:hAnsi="宋体"/>
          <w:color w:val="auto"/>
        </w:rPr>
        <w:t xml:space="preserve">                                             </w:t>
      </w:r>
    </w:p>
    <w:p>
      <w:pPr>
        <w:ind w:left="6787" w:leftChars="-200" w:hanging="7267" w:hangingChars="3028"/>
        <w:jc w:val="right"/>
        <w:rPr>
          <w:rFonts w:hint="eastAsia" w:ascii="宋体" w:hAnsi="宋体"/>
          <w:color w:val="auto"/>
          <w:sz w:val="28"/>
          <w:szCs w:val="28"/>
        </w:rPr>
      </w:pPr>
      <w:r>
        <w:rPr>
          <w:rFonts w:hint="eastAsia" w:ascii="宋体" w:hAnsi="宋体"/>
          <w:color w:val="auto"/>
        </w:rPr>
        <w:t xml:space="preserve">                                                            </w:t>
      </w:r>
      <w:r>
        <w:rPr>
          <w:rFonts w:hint="eastAsia" w:ascii="宋体" w:hAnsi="宋体"/>
          <w:color w:val="auto"/>
          <w:sz w:val="28"/>
          <w:szCs w:val="28"/>
        </w:rPr>
        <w:t>采购中心已备案</w:t>
      </w:r>
      <w:r>
        <w:rPr>
          <w:rFonts w:hint="eastAsia" w:ascii="宋体" w:hAnsi="宋体"/>
          <w:color w:val="auto"/>
        </w:rPr>
        <w:t xml:space="preserve">                                                     </w:t>
      </w:r>
      <w:r>
        <w:rPr>
          <w:rFonts w:hint="eastAsia" w:ascii="宋体" w:hAnsi="宋体"/>
          <w:color w:val="auto"/>
          <w:sz w:val="28"/>
          <w:szCs w:val="28"/>
        </w:rPr>
        <w:t>年</w:t>
      </w:r>
      <w:r>
        <w:rPr>
          <w:rFonts w:hint="eastAsia" w:ascii="宋体" w:hAnsi="宋体"/>
          <w:color w:val="auto"/>
          <w:sz w:val="28"/>
          <w:szCs w:val="28"/>
          <w:lang w:val="en-US" w:eastAsia="zh-CN"/>
        </w:rPr>
        <w:t xml:space="preserve">  </w:t>
      </w:r>
      <w:r>
        <w:rPr>
          <w:rFonts w:hint="eastAsia" w:ascii="宋体" w:hAnsi="宋体"/>
          <w:color w:val="auto"/>
          <w:sz w:val="28"/>
          <w:szCs w:val="28"/>
        </w:rPr>
        <w:t>月</w:t>
      </w:r>
      <w:r>
        <w:rPr>
          <w:rFonts w:hint="eastAsia" w:ascii="宋体" w:hAnsi="宋体"/>
          <w:color w:val="FF0000"/>
          <w:sz w:val="28"/>
          <w:szCs w:val="28"/>
          <w:lang w:val="en-US" w:eastAsia="zh-CN"/>
        </w:rPr>
        <w:t xml:space="preserve">  </w:t>
      </w:r>
      <w:r>
        <w:rPr>
          <w:rFonts w:hint="eastAsia" w:ascii="宋体" w:hAnsi="宋体"/>
          <w:color w:val="auto"/>
          <w:sz w:val="28"/>
          <w:szCs w:val="28"/>
        </w:rPr>
        <w:t>日</w:t>
      </w:r>
    </w:p>
    <w:p>
      <w:pPr>
        <w:rPr>
          <w:rFonts w:hint="eastAsia" w:ascii="宋体" w:hAnsi="宋体"/>
          <w:color w:val="auto"/>
        </w:rPr>
      </w:pPr>
    </w:p>
    <w:p>
      <w:pPr>
        <w:rPr>
          <w:rFonts w:hint="eastAsia" w:ascii="宋体" w:hAnsi="宋体"/>
          <w:color w:val="auto"/>
          <w:sz w:val="30"/>
          <w:szCs w:val="30"/>
        </w:rPr>
      </w:pPr>
      <w:r>
        <w:rPr>
          <w:rFonts w:hint="eastAsia" w:ascii="宋体" w:hAnsi="宋体"/>
          <w:color w:val="auto"/>
          <w:sz w:val="30"/>
        </w:rPr>
        <w:t>项目编号</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eastAsia="宋体" w:cs="宋体"/>
          <w:b w:val="0"/>
          <w:bCs/>
          <w:color w:val="auto"/>
          <w:sz w:val="30"/>
          <w:szCs w:val="30"/>
        </w:rPr>
      </w:pPr>
      <w:r>
        <w:rPr>
          <w:rFonts w:hint="eastAsia" w:ascii="宋体" w:hAnsi="宋体"/>
          <w:color w:val="auto"/>
          <w:sz w:val="30"/>
          <w:szCs w:val="30"/>
        </w:rPr>
        <w:t>合同编号：</w:t>
      </w:r>
      <w:r>
        <w:rPr>
          <w:rFonts w:hint="eastAsia" w:ascii="宋体" w:hAnsi="宋体"/>
          <w:color w:val="auto"/>
          <w:sz w:val="30"/>
          <w:szCs w:val="30"/>
          <w:u w:val="single"/>
          <w:lang w:val="en-US" w:eastAsia="zh-CN"/>
        </w:rPr>
        <w:t xml:space="preserve">                        </w:t>
      </w:r>
    </w:p>
    <w:p>
      <w:pPr>
        <w:ind w:left="1500" w:hanging="1500" w:hangingChars="500"/>
        <w:rPr>
          <w:rFonts w:hint="eastAsia" w:ascii="宋体" w:hAnsi="宋体"/>
          <w:color w:val="auto"/>
          <w:sz w:val="30"/>
          <w:szCs w:val="30"/>
        </w:rPr>
      </w:pPr>
      <w:r>
        <w:rPr>
          <w:rFonts w:hint="eastAsia" w:ascii="宋体" w:hAnsi="宋体"/>
          <w:color w:val="auto"/>
          <w:sz w:val="30"/>
        </w:rPr>
        <w:t>项目名称：</w:t>
      </w:r>
      <w:r>
        <w:rPr>
          <w:rFonts w:hint="eastAsia" w:ascii="宋体" w:hAnsi="宋体"/>
          <w:color w:val="auto"/>
          <w:sz w:val="30"/>
          <w:u w:val="single"/>
          <w:lang w:val="en-US" w:eastAsia="zh-CN"/>
        </w:rPr>
        <w:t xml:space="preserve">                        </w:t>
      </w:r>
    </w:p>
    <w:p>
      <w:pPr>
        <w:ind w:left="1500" w:right="-382" w:rightChars="-159" w:hanging="1500" w:hangingChars="500"/>
        <w:rPr>
          <w:rFonts w:hint="eastAsia" w:ascii="宋体" w:hAnsi="宋体"/>
          <w:color w:val="auto"/>
          <w:sz w:val="30"/>
          <w:szCs w:val="30"/>
          <w:u w:val="none"/>
        </w:rPr>
      </w:pPr>
      <w:r>
        <w:rPr>
          <w:rFonts w:hint="eastAsia" w:ascii="宋体" w:hAnsi="宋体"/>
          <w:color w:val="auto"/>
          <w:sz w:val="30"/>
          <w:lang w:eastAsia="zh-CN"/>
        </w:rPr>
        <w:t>服务</w:t>
      </w:r>
      <w:r>
        <w:rPr>
          <w:rFonts w:hint="eastAsia" w:ascii="宋体" w:hAnsi="宋体"/>
          <w:color w:val="auto"/>
          <w:sz w:val="30"/>
        </w:rPr>
        <w:t>名称</w:t>
      </w:r>
      <w:r>
        <w:rPr>
          <w:rFonts w:hint="eastAsia" w:ascii="宋体" w:hAnsi="宋体"/>
          <w:b/>
          <w:bCs/>
          <w:color w:val="auto"/>
          <w:sz w:val="30"/>
          <w:szCs w:val="30"/>
          <w:u w:val="none"/>
        </w:rPr>
        <w:t>：</w:t>
      </w:r>
      <w:r>
        <w:rPr>
          <w:rFonts w:hint="eastAsia" w:ascii="宋体" w:hAnsi="宋体"/>
          <w:b/>
          <w:bCs/>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lang w:eastAsia="zh-CN"/>
        </w:rPr>
        <w:t>甲</w:t>
      </w:r>
      <w:r>
        <w:rPr>
          <w:rFonts w:hint="eastAsia" w:ascii="宋体" w:hAnsi="宋体"/>
          <w:color w:val="auto"/>
          <w:sz w:val="30"/>
        </w:rPr>
        <w:t xml:space="preserve">    方：</w:t>
      </w:r>
      <w:r>
        <w:rPr>
          <w:rFonts w:hint="eastAsia" w:ascii="宋体" w:hAnsi="宋体"/>
          <w:color w:val="auto"/>
          <w:sz w:val="30"/>
          <w:u w:val="single"/>
          <w:lang w:val="en-US" w:eastAsia="zh-CN"/>
        </w:rPr>
        <w:t xml:space="preserve">                             </w:t>
      </w:r>
      <w:r>
        <w:rPr>
          <w:rFonts w:hint="eastAsia" w:ascii="宋体" w:hAnsi="宋体"/>
          <w:color w:val="auto"/>
          <w:sz w:val="30"/>
          <w:lang w:val="en-US" w:eastAsia="zh-CN"/>
        </w:rPr>
        <w:t xml:space="preserve">    </w:t>
      </w:r>
    </w:p>
    <w:p>
      <w:pPr>
        <w:rPr>
          <w:rFonts w:hint="eastAsia" w:ascii="宋体" w:hAnsi="宋体"/>
          <w:color w:val="auto"/>
          <w:sz w:val="30"/>
          <w:u w:val="single"/>
        </w:rPr>
      </w:pPr>
    </w:p>
    <w:p>
      <w:pPr>
        <w:rPr>
          <w:rFonts w:hint="eastAsia" w:ascii="宋体" w:hAnsi="宋体"/>
          <w:color w:val="auto"/>
          <w:sz w:val="30"/>
          <w:szCs w:val="30"/>
        </w:rPr>
      </w:pPr>
      <w:r>
        <w:rPr>
          <w:rFonts w:hint="eastAsia" w:ascii="宋体" w:hAnsi="宋体"/>
          <w:color w:val="auto"/>
          <w:sz w:val="30"/>
          <w:lang w:eastAsia="zh-CN"/>
        </w:rPr>
        <w:t>乙</w:t>
      </w:r>
      <w:r>
        <w:rPr>
          <w:rFonts w:hint="eastAsia" w:ascii="宋体" w:hAnsi="宋体"/>
          <w:color w:val="auto"/>
          <w:sz w:val="30"/>
        </w:rPr>
        <w:tab/>
      </w:r>
      <w:r>
        <w:rPr>
          <w:rFonts w:hint="eastAsia" w:ascii="宋体" w:hAnsi="宋体"/>
          <w:color w:val="auto"/>
          <w:sz w:val="30"/>
        </w:rPr>
        <w:t xml:space="preserve">   方</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rPr>
      </w:pPr>
      <w:r>
        <w:rPr>
          <w:rFonts w:hint="eastAsia" w:ascii="宋体" w:hAnsi="宋体"/>
          <w:color w:val="auto"/>
          <w:sz w:val="30"/>
        </w:rPr>
        <w:t>签署日期：</w:t>
      </w:r>
      <w:r>
        <w:rPr>
          <w:rFonts w:hint="eastAsia" w:ascii="宋体" w:hAnsi="宋体"/>
          <w:color w:val="auto"/>
          <w:sz w:val="30"/>
          <w:lang w:val="en-US" w:eastAsia="zh-CN"/>
        </w:rPr>
        <w:t xml:space="preserve">   </w:t>
      </w:r>
      <w:r>
        <w:rPr>
          <w:rFonts w:hint="eastAsia" w:ascii="宋体" w:hAnsi="宋体"/>
          <w:color w:val="auto"/>
          <w:sz w:val="30"/>
        </w:rPr>
        <w:t>年</w:t>
      </w:r>
      <w:r>
        <w:rPr>
          <w:rFonts w:hint="eastAsia" w:ascii="宋体" w:hAnsi="宋体"/>
          <w:color w:val="auto"/>
          <w:sz w:val="30"/>
          <w:lang w:val="en-US" w:eastAsia="zh-CN"/>
        </w:rPr>
        <w:t xml:space="preserve">  </w:t>
      </w:r>
      <w:r>
        <w:rPr>
          <w:rFonts w:hint="eastAsia" w:ascii="宋体" w:hAnsi="宋体"/>
          <w:color w:val="auto"/>
          <w:sz w:val="30"/>
        </w:rPr>
        <w:t>月</w:t>
      </w:r>
      <w:r>
        <w:rPr>
          <w:rFonts w:hint="eastAsia" w:ascii="宋体" w:hAnsi="宋体"/>
          <w:color w:val="auto"/>
          <w:sz w:val="30"/>
          <w:lang w:val="en-US" w:eastAsia="zh-CN"/>
        </w:rPr>
        <w:t xml:space="preserve"> </w:t>
      </w:r>
      <w:r>
        <w:rPr>
          <w:rFonts w:hint="eastAsia" w:ascii="宋体" w:hAnsi="宋体"/>
          <w:color w:val="FF0000"/>
          <w:sz w:val="30"/>
          <w:lang w:val="en-US" w:eastAsia="zh-CN"/>
        </w:rPr>
        <w:t xml:space="preserve"> </w:t>
      </w:r>
      <w:r>
        <w:rPr>
          <w:rFonts w:hint="eastAsia" w:ascii="宋体" w:hAnsi="宋体"/>
          <w:color w:val="auto"/>
          <w:sz w:val="30"/>
        </w:rPr>
        <w:t>日</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   同  书</w:t>
      </w:r>
    </w:p>
    <w:p>
      <w:pPr>
        <w:keepNext w:val="0"/>
        <w:keepLines w:val="0"/>
        <w:pageBreakBefore w:val="0"/>
        <w:widowControl w:val="0"/>
        <w:kinsoku/>
        <w:wordWrap/>
        <w:overflowPunct/>
        <w:topLinePunct w:val="0"/>
        <w:autoSpaceDE/>
        <w:autoSpaceDN/>
        <w:bidi w:val="0"/>
        <w:adjustRightInd/>
        <w:snapToGrid/>
        <w:spacing w:line="360" w:lineRule="auto"/>
        <w:ind w:left="22" w:leftChars="9" w:right="0" w:rightChars="0" w:firstLine="818" w:firstLineChars="341"/>
        <w:textAlignment w:val="auto"/>
        <w:outlineLvl w:val="9"/>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  （甲方）   </w:t>
      </w:r>
      <w:r>
        <w:rPr>
          <w:rFonts w:hint="eastAsia" w:ascii="宋体" w:hAnsi="宋体" w:eastAsia="宋体" w:cs="宋体"/>
          <w:color w:val="auto"/>
          <w:sz w:val="24"/>
          <w:szCs w:val="24"/>
        </w:rPr>
        <w:t>在</w:t>
      </w:r>
      <w:r>
        <w:rPr>
          <w:rFonts w:hint="eastAsia" w:ascii="宋体" w:hAnsi="宋体" w:eastAsia="宋体" w:cs="宋体"/>
          <w:bCs/>
          <w:color w:val="auto"/>
          <w:sz w:val="24"/>
          <w:szCs w:val="24"/>
          <w:u w:val="single"/>
          <w:lang w:val="en-US" w:eastAsia="zh-CN"/>
        </w:rPr>
        <w:t xml:space="preserve">   （项目名称）  </w:t>
      </w:r>
      <w:r>
        <w:rPr>
          <w:rFonts w:hint="eastAsia" w:ascii="宋体" w:hAnsi="宋体" w:eastAsia="宋体" w:cs="宋体"/>
          <w:color w:val="auto"/>
          <w:sz w:val="24"/>
          <w:szCs w:val="24"/>
        </w:rPr>
        <w:t>中所需</w:t>
      </w:r>
      <w:r>
        <w:rPr>
          <w:rFonts w:hint="eastAsia" w:ascii="宋体" w:hAnsi="宋体" w:eastAsia="宋体" w:cs="宋体"/>
          <w:bCs/>
          <w:color w:val="auto"/>
          <w:sz w:val="24"/>
          <w:szCs w:val="24"/>
          <w:u w:val="single"/>
          <w:lang w:val="en-US" w:eastAsia="zh-CN"/>
        </w:rPr>
        <w:t>（服务名称）</w:t>
      </w:r>
      <w:r>
        <w:rPr>
          <w:rFonts w:hint="eastAsia" w:ascii="宋体" w:hAnsi="宋体" w:eastAsia="宋体" w:cs="宋体"/>
          <w:color w:val="auto"/>
          <w:sz w:val="24"/>
          <w:szCs w:val="24"/>
        </w:rPr>
        <w:t>经北京市石景山区政府采购中心以</w:t>
      </w:r>
      <w:r>
        <w:rPr>
          <w:rFonts w:hint="eastAsia" w:ascii="宋体" w:hAnsi="宋体" w:eastAsia="宋体" w:cs="宋体"/>
          <w:color w:val="auto"/>
          <w:sz w:val="24"/>
          <w:szCs w:val="24"/>
          <w:u w:val="single"/>
          <w:lang w:val="en-US" w:eastAsia="zh-CN"/>
        </w:rPr>
        <w:t xml:space="preserve"> （项目编号）</w:t>
      </w:r>
      <w:r>
        <w:rPr>
          <w:rFonts w:hint="eastAsia" w:ascii="宋体" w:hAnsi="宋体" w:eastAsia="宋体" w:cs="宋体"/>
          <w:color w:val="auto"/>
          <w:sz w:val="24"/>
          <w:szCs w:val="24"/>
          <w:u w:val="single"/>
        </w:rPr>
        <w:t>号</w:t>
      </w:r>
      <w:r>
        <w:rPr>
          <w:rFonts w:hint="eastAsia" w:ascii="宋体" w:hAnsi="宋体" w:eastAsia="宋体" w:cs="宋体"/>
          <w:color w:val="auto"/>
          <w:sz w:val="24"/>
          <w:szCs w:val="24"/>
        </w:rPr>
        <w:t>招标文件在国内公开招标。经评标委员会评定</w:t>
      </w:r>
      <w:r>
        <w:rPr>
          <w:rFonts w:hint="eastAsia" w:ascii="宋体" w:hAnsi="宋体" w:eastAsia="宋体" w:cs="宋体"/>
          <w:color w:val="auto"/>
          <w:sz w:val="24"/>
          <w:szCs w:val="24"/>
          <w:u w:val="single"/>
          <w:lang w:val="en-US" w:eastAsia="zh-CN"/>
        </w:rPr>
        <w:t xml:space="preserve">  （乙方）  </w:t>
      </w:r>
      <w:r>
        <w:rPr>
          <w:rFonts w:hint="eastAsia" w:ascii="宋体" w:hAnsi="宋体" w:eastAsia="宋体" w:cs="宋体"/>
          <w:color w:val="auto"/>
          <w:sz w:val="24"/>
          <w:szCs w:val="24"/>
        </w:rPr>
        <w:t>为中标人。</w:t>
      </w:r>
      <w:r>
        <w:rPr>
          <w:rFonts w:hint="eastAsia" w:ascii="宋体" w:hAnsi="宋体" w:eastAsia="宋体" w:cs="宋体"/>
          <w:color w:val="auto"/>
          <w:sz w:val="24"/>
          <w:szCs w:val="24"/>
          <w:lang w:eastAsia="zh-CN"/>
        </w:rPr>
        <w:t>甲、乙</w:t>
      </w:r>
      <w:r>
        <w:rPr>
          <w:rFonts w:hint="eastAsia" w:ascii="宋体" w:hAnsi="宋体" w:eastAsia="宋体" w:cs="宋体"/>
          <w:color w:val="auto"/>
          <w:sz w:val="24"/>
          <w:szCs w:val="24"/>
        </w:rPr>
        <w:t>双方同意按照下面的条款和条件，签署本合同。</w:t>
      </w:r>
    </w:p>
    <w:p>
      <w:pPr>
        <w:spacing w:line="360" w:lineRule="auto"/>
        <w:ind w:left="410" w:leftChars="171" w:firstLine="480" w:firstLineChars="200"/>
        <w:rPr>
          <w:rFonts w:hint="eastAsia" w:ascii="宋体" w:hAnsi="宋体" w:eastAsia="宋体" w:cs="宋体"/>
          <w:color w:val="auto"/>
          <w:sz w:val="24"/>
          <w:szCs w:val="24"/>
        </w:rPr>
      </w:pP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sz w:val="24"/>
          <w:szCs w:val="24"/>
        </w:rPr>
        <w:t>合同文件：</w:t>
      </w:r>
      <w:r>
        <w:rPr>
          <w:rFonts w:hint="eastAsia" w:ascii="宋体" w:hAnsi="宋体" w:eastAsia="宋体" w:cs="宋体"/>
          <w:color w:val="auto"/>
          <w:sz w:val="24"/>
          <w:szCs w:val="24"/>
        </w:rPr>
        <w:t>下列文件构成本合同的组成部分，应该认为是一个整体，彼此相互解释，相互补充。为便于解释，组成合同的多个文件的优先支配地位的次序如下：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补充</w:t>
      </w:r>
      <w:r>
        <w:rPr>
          <w:rFonts w:hint="eastAsia" w:ascii="宋体" w:hAnsi="宋体" w:eastAsia="宋体" w:cs="宋体"/>
          <w:color w:val="auto"/>
          <w:sz w:val="24"/>
          <w:szCs w:val="24"/>
        </w:rPr>
        <w:t>协议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投标文件       （含澄清文件）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招标文件       （含招标文件补充通知）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服务清单</w:t>
      </w:r>
      <w:r>
        <w:rPr>
          <w:rFonts w:hint="eastAsia" w:ascii="宋体" w:hAnsi="宋体" w:eastAsia="宋体" w:cs="宋体"/>
          <w:color w:val="auto"/>
          <w:sz w:val="24"/>
          <w:szCs w:val="24"/>
        </w:rPr>
        <w:t xml:space="preserve">       （附合同后）</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二、定义：本合同中的下列术语应解释为：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1、“合同”系指甲乙双方签署的,合同格式中载明双方所达成的协议,包括构成合同的所有的附件、附录和构成合同的所有文件。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2、“合同价”系指根据合同规定,在乙方正确、完全履行合同义务后，甲方应付的价格。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服务</w:t>
      </w:r>
      <w:r>
        <w:rPr>
          <w:rFonts w:hint="eastAsia" w:ascii="宋体" w:hAnsi="宋体" w:eastAsia="宋体" w:cs="宋体"/>
          <w:sz w:val="24"/>
          <w:szCs w:val="24"/>
        </w:rPr>
        <w:t>”系指乙方根据合同规定须向甲方提供的</w:t>
      </w:r>
      <w:r>
        <w:rPr>
          <w:rFonts w:hint="eastAsia" w:ascii="宋体" w:hAnsi="宋体" w:eastAsia="宋体" w:cs="宋体"/>
          <w:sz w:val="24"/>
          <w:szCs w:val="24"/>
          <w:lang w:eastAsia="zh-CN"/>
        </w:rPr>
        <w:t>本次招标采购</w:t>
      </w:r>
      <w:r>
        <w:rPr>
          <w:rFonts w:hint="eastAsia" w:ascii="宋体" w:hAnsi="宋体" w:eastAsia="宋体" w:cs="宋体"/>
          <w:sz w:val="24"/>
          <w:szCs w:val="24"/>
        </w:rPr>
        <w:t>所有</w:t>
      </w:r>
      <w:r>
        <w:rPr>
          <w:rFonts w:hint="eastAsia" w:ascii="宋体" w:hAnsi="宋体" w:eastAsia="宋体" w:cs="宋体"/>
          <w:sz w:val="24"/>
          <w:szCs w:val="24"/>
          <w:lang w:eastAsia="zh-CN"/>
        </w:rPr>
        <w:t>服务内容</w:t>
      </w:r>
      <w:r>
        <w:rPr>
          <w:rFonts w:hint="eastAsia" w:ascii="宋体" w:hAnsi="宋体" w:eastAsia="宋体" w:cs="宋体"/>
          <w:sz w:val="24"/>
          <w:szCs w:val="24"/>
        </w:rPr>
        <w:t>、技术资料及其它材料。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三、采购</w:t>
      </w:r>
      <w:r>
        <w:rPr>
          <w:rFonts w:hint="eastAsia" w:ascii="宋体" w:hAnsi="宋体" w:eastAsia="宋体" w:cs="宋体"/>
          <w:sz w:val="24"/>
          <w:szCs w:val="24"/>
          <w:lang w:eastAsia="zh-CN"/>
        </w:rPr>
        <w:t>服务内容</w:t>
      </w:r>
      <w:r>
        <w:rPr>
          <w:rFonts w:hint="eastAsia" w:ascii="宋体" w:hAnsi="宋体" w:eastAsia="宋体" w:cs="宋体"/>
          <w:sz w:val="24"/>
          <w:szCs w:val="24"/>
        </w:rPr>
        <w:t>及数量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服务</w:t>
      </w:r>
      <w:r>
        <w:rPr>
          <w:rFonts w:hint="eastAsia" w:ascii="宋体" w:hAnsi="宋体" w:eastAsia="宋体" w:cs="宋体"/>
          <w:sz w:val="24"/>
          <w:szCs w:val="24"/>
        </w:rPr>
        <w:t xml:space="preserve">名称：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u w:val="single"/>
        </w:rPr>
      </w:pPr>
      <w:r>
        <w:rPr>
          <w:rFonts w:hint="eastAsia" w:ascii="宋体" w:hAnsi="宋体" w:eastAsia="宋体" w:cs="宋体"/>
          <w:sz w:val="24"/>
          <w:szCs w:val="24"/>
        </w:rPr>
        <w:t xml:space="preserve">    采购数量：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价格：</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四、技术规格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1、乙方提供的</w:t>
      </w:r>
      <w:r>
        <w:rPr>
          <w:rFonts w:hint="eastAsia" w:ascii="宋体" w:hAnsi="宋体" w:eastAsia="宋体" w:cs="宋体"/>
          <w:sz w:val="24"/>
          <w:szCs w:val="24"/>
          <w:lang w:eastAsia="zh-CN"/>
        </w:rPr>
        <w:t>服务</w:t>
      </w:r>
      <w:r>
        <w:rPr>
          <w:rFonts w:hint="eastAsia" w:ascii="宋体" w:hAnsi="宋体" w:eastAsia="宋体" w:cs="宋体"/>
          <w:sz w:val="24"/>
          <w:szCs w:val="24"/>
        </w:rPr>
        <w:t>的技术规格、功能</w:t>
      </w:r>
      <w:r>
        <w:rPr>
          <w:rFonts w:hint="eastAsia" w:ascii="宋体" w:hAnsi="宋体" w:eastAsia="宋体" w:cs="宋体"/>
          <w:sz w:val="24"/>
          <w:szCs w:val="24"/>
          <w:lang w:eastAsia="zh-CN"/>
        </w:rPr>
        <w:t>架</w:t>
      </w:r>
      <w:r>
        <w:rPr>
          <w:rFonts w:hint="eastAsia" w:ascii="宋体" w:hAnsi="宋体" w:eastAsia="宋体" w:cs="宋体"/>
          <w:sz w:val="24"/>
          <w:szCs w:val="24"/>
        </w:rPr>
        <w:t>构等应与其投标文件中的相关内容及技术资料等相关内容一致。</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2、当所供</w:t>
      </w:r>
      <w:r>
        <w:rPr>
          <w:rFonts w:hint="eastAsia" w:ascii="宋体" w:hAnsi="宋体" w:eastAsia="宋体" w:cs="宋体"/>
          <w:sz w:val="24"/>
          <w:szCs w:val="24"/>
          <w:lang w:eastAsia="zh-CN"/>
        </w:rPr>
        <w:t>服务内容</w:t>
      </w:r>
      <w:r>
        <w:rPr>
          <w:rFonts w:hint="eastAsia" w:ascii="宋体" w:hAnsi="宋体" w:eastAsia="宋体" w:cs="宋体"/>
          <w:sz w:val="24"/>
          <w:szCs w:val="24"/>
        </w:rPr>
        <w:t>、价格、</w:t>
      </w:r>
      <w:r>
        <w:rPr>
          <w:rFonts w:hint="eastAsia" w:ascii="宋体" w:hAnsi="宋体" w:eastAsia="宋体" w:cs="宋体"/>
          <w:sz w:val="24"/>
          <w:szCs w:val="24"/>
          <w:lang w:eastAsia="zh-CN"/>
        </w:rPr>
        <w:t>售后</w:t>
      </w:r>
      <w:r>
        <w:rPr>
          <w:rFonts w:hint="eastAsia" w:ascii="宋体" w:hAnsi="宋体" w:eastAsia="宋体" w:cs="宋体"/>
          <w:sz w:val="24"/>
          <w:szCs w:val="24"/>
        </w:rPr>
        <w:t>服务等与</w:t>
      </w:r>
      <w:r>
        <w:rPr>
          <w:rFonts w:hint="eastAsia" w:ascii="宋体" w:hAnsi="宋体" w:eastAsia="宋体" w:cs="宋体"/>
          <w:sz w:val="24"/>
          <w:szCs w:val="24"/>
          <w:lang w:eastAsia="zh-CN"/>
        </w:rPr>
        <w:t>投标文件</w:t>
      </w:r>
      <w:r>
        <w:rPr>
          <w:rFonts w:hint="eastAsia" w:ascii="宋体" w:hAnsi="宋体" w:eastAsia="宋体" w:cs="宋体"/>
          <w:sz w:val="24"/>
          <w:szCs w:val="24"/>
        </w:rPr>
        <w:t>不一致时,</w:t>
      </w:r>
      <w:r>
        <w:rPr>
          <w:rFonts w:hint="eastAsia" w:ascii="宋体" w:hAnsi="宋体" w:eastAsia="宋体" w:cs="宋体"/>
          <w:color w:val="000000"/>
          <w:sz w:val="24"/>
          <w:szCs w:val="24"/>
          <w:lang w:eastAsia="zh-CN"/>
        </w:rPr>
        <w:t>乙</w:t>
      </w:r>
      <w:r>
        <w:rPr>
          <w:rFonts w:hint="eastAsia" w:ascii="宋体" w:hAnsi="宋体" w:eastAsia="宋体" w:cs="宋体"/>
          <w:color w:val="000000"/>
          <w:sz w:val="24"/>
          <w:szCs w:val="24"/>
        </w:rPr>
        <w:t>方</w:t>
      </w:r>
      <w:r>
        <w:rPr>
          <w:rFonts w:hint="eastAsia" w:ascii="宋体" w:hAnsi="宋体" w:eastAsia="宋体" w:cs="宋体"/>
          <w:sz w:val="24"/>
          <w:szCs w:val="24"/>
        </w:rPr>
        <w:t>应提出书面申请。</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3、乙方承诺投标文件中有关技术资料的正偏离</w:t>
      </w:r>
      <w:r>
        <w:rPr>
          <w:rFonts w:hint="eastAsia" w:ascii="宋体" w:hAnsi="宋体" w:eastAsia="宋体" w:cs="宋体"/>
          <w:sz w:val="24"/>
          <w:szCs w:val="24"/>
          <w:lang w:eastAsia="zh-CN"/>
        </w:rPr>
        <w:t>指标</w:t>
      </w:r>
      <w:r>
        <w:rPr>
          <w:rFonts w:hint="eastAsia" w:ascii="宋体" w:hAnsi="宋体" w:eastAsia="宋体" w:cs="宋体"/>
          <w:sz w:val="24"/>
          <w:szCs w:val="24"/>
        </w:rPr>
        <w:t>具有向下指标的兼容性。</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五、权利保证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1、乙方应保证对其提供的</w:t>
      </w:r>
      <w:r>
        <w:rPr>
          <w:rFonts w:hint="eastAsia" w:ascii="宋体" w:hAnsi="宋体" w:eastAsia="宋体" w:cs="宋体"/>
          <w:sz w:val="24"/>
          <w:szCs w:val="24"/>
          <w:lang w:eastAsia="zh-CN"/>
        </w:rPr>
        <w:t>服务</w:t>
      </w:r>
      <w:r>
        <w:rPr>
          <w:rFonts w:hint="eastAsia" w:ascii="宋体" w:hAnsi="宋体" w:eastAsia="宋体" w:cs="宋体"/>
          <w:sz w:val="24"/>
          <w:szCs w:val="24"/>
        </w:rPr>
        <w:t>拥有合法的所有权。</w:t>
      </w:r>
      <w:r>
        <w:rPr>
          <w:rFonts w:hint="eastAsia" w:ascii="宋体" w:hAnsi="宋体" w:eastAsia="宋体" w:cs="宋体"/>
          <w:color w:val="000000"/>
          <w:sz w:val="24"/>
          <w:szCs w:val="24"/>
        </w:rPr>
        <w:t>若乙</w:t>
      </w:r>
      <w:r>
        <w:rPr>
          <w:rFonts w:hint="eastAsia" w:ascii="宋体" w:hAnsi="宋体" w:eastAsia="宋体" w:cs="宋体"/>
          <w:sz w:val="24"/>
          <w:szCs w:val="24"/>
        </w:rPr>
        <w:t>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包含任何知识产权，乙方应保证不侵犯任何第三方的知识产权。对乙方所交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引起的任何所有权、知识产权纠纷，乙方应以自己的费用解决，同时乙方要赔偿甲方因此而遭受的经济损失（包括但不限于法院诉讼的费用、律师费、损害赔偿费、罚款等）。</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乙方保证在</w:t>
      </w:r>
      <w:r>
        <w:rPr>
          <w:rFonts w:hint="eastAsia" w:ascii="宋体" w:hAnsi="宋体" w:eastAsia="宋体" w:cs="宋体"/>
          <w:color w:val="000000"/>
          <w:sz w:val="24"/>
          <w:szCs w:val="24"/>
          <w:lang w:eastAsia="zh-CN"/>
        </w:rPr>
        <w:t>服务内容</w:t>
      </w:r>
      <w:r>
        <w:rPr>
          <w:rFonts w:hint="eastAsia" w:ascii="宋体" w:hAnsi="宋体" w:eastAsia="宋体" w:cs="宋体"/>
          <w:color w:val="000000"/>
          <w:sz w:val="24"/>
          <w:szCs w:val="24"/>
        </w:rPr>
        <w:t>上不存在其他任何第三人的担保物权。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3、乙方保证</w:t>
      </w:r>
      <w:r>
        <w:rPr>
          <w:rFonts w:hint="eastAsia" w:ascii="宋体" w:hAnsi="宋体" w:eastAsia="宋体" w:cs="宋体"/>
          <w:sz w:val="24"/>
          <w:szCs w:val="24"/>
          <w:lang w:eastAsia="zh-CN"/>
        </w:rPr>
        <w:t>服务内容</w:t>
      </w:r>
      <w:r>
        <w:rPr>
          <w:rFonts w:hint="eastAsia" w:ascii="宋体" w:hAnsi="宋体" w:eastAsia="宋体" w:cs="宋体"/>
          <w:sz w:val="24"/>
          <w:szCs w:val="24"/>
        </w:rPr>
        <w:t>不侵犯任何第三人的姓名权、名称权、肖像权、荣誉权等人身权。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4、如上所述的诉讼或其他法律程序禁止甲方使用</w:t>
      </w:r>
      <w:r>
        <w:rPr>
          <w:rFonts w:hint="eastAsia" w:ascii="宋体" w:hAnsi="宋体" w:eastAsia="宋体" w:cs="宋体"/>
          <w:sz w:val="24"/>
          <w:szCs w:val="24"/>
          <w:lang w:eastAsia="zh-CN"/>
        </w:rPr>
        <w:t>服务内容</w:t>
      </w:r>
      <w:r>
        <w:rPr>
          <w:rFonts w:hint="eastAsia" w:ascii="宋体" w:hAnsi="宋体" w:eastAsia="宋体" w:cs="宋体"/>
          <w:sz w:val="24"/>
          <w:szCs w:val="24"/>
        </w:rPr>
        <w:t>，乙方应赔偿甲方因此而受到的损失。对于甲方购买的</w:t>
      </w:r>
      <w:r>
        <w:rPr>
          <w:rFonts w:hint="eastAsia" w:ascii="宋体" w:hAnsi="宋体" w:eastAsia="宋体" w:cs="宋体"/>
          <w:sz w:val="24"/>
          <w:szCs w:val="24"/>
          <w:lang w:eastAsia="zh-CN"/>
        </w:rPr>
        <w:t>服务</w:t>
      </w:r>
      <w:r>
        <w:rPr>
          <w:rFonts w:hint="eastAsia" w:ascii="宋体" w:hAnsi="宋体" w:eastAsia="宋体" w:cs="宋体"/>
          <w:sz w:val="24"/>
          <w:szCs w:val="24"/>
        </w:rPr>
        <w:t>，乙方应当：</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1）自付费用向销售人取得使用</w:t>
      </w:r>
      <w:r>
        <w:rPr>
          <w:rFonts w:hint="eastAsia" w:ascii="宋体" w:hAnsi="宋体" w:eastAsia="宋体" w:cs="宋体"/>
          <w:sz w:val="24"/>
          <w:szCs w:val="24"/>
          <w:lang w:eastAsia="zh-CN"/>
        </w:rPr>
        <w:t>服务</w:t>
      </w:r>
      <w:r>
        <w:rPr>
          <w:rFonts w:hint="eastAsia" w:ascii="宋体" w:hAnsi="宋体" w:eastAsia="宋体" w:cs="宋体"/>
          <w:sz w:val="24"/>
          <w:szCs w:val="24"/>
        </w:rPr>
        <w:t>的许可。</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2）自负风险及费用并退回甲方已支付的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六、</w:t>
      </w:r>
      <w:r>
        <w:rPr>
          <w:rFonts w:hint="eastAsia" w:ascii="宋体" w:hAnsi="宋体" w:eastAsia="宋体" w:cs="宋体"/>
          <w:sz w:val="24"/>
          <w:szCs w:val="24"/>
          <w:lang w:eastAsia="zh-CN"/>
        </w:rPr>
        <w:t>服务交付</w:t>
      </w:r>
      <w:r>
        <w:rPr>
          <w:rFonts w:hint="eastAsia" w:ascii="宋体" w:hAnsi="宋体" w:eastAsia="宋体" w:cs="宋体"/>
          <w:sz w:val="24"/>
          <w:szCs w:val="24"/>
        </w:rPr>
        <w:t>时间</w:t>
      </w:r>
      <w:r>
        <w:rPr>
          <w:rFonts w:hint="eastAsia" w:ascii="宋体" w:hAnsi="宋体" w:eastAsia="宋体" w:cs="宋体"/>
          <w:sz w:val="24"/>
          <w:szCs w:val="24"/>
          <w:lang w:eastAsia="zh-CN"/>
        </w:rPr>
        <w:t>及交付地点</w:t>
      </w:r>
    </w:p>
    <w:p>
      <w:pPr>
        <w:spacing w:line="360" w:lineRule="auto"/>
        <w:ind w:right="113" w:rightChars="47" w:firstLine="717" w:firstLineChars="299"/>
        <w:rPr>
          <w:rFonts w:hint="eastAsia" w:ascii="宋体" w:hAnsi="宋体" w:eastAsia="宋体" w:cs="宋体"/>
          <w:sz w:val="24"/>
          <w:szCs w:val="24"/>
        </w:rPr>
      </w:pPr>
      <w:r>
        <w:rPr>
          <w:rFonts w:hint="eastAsia" w:ascii="宋体" w:hAnsi="宋体" w:eastAsia="宋体" w:cs="宋体"/>
          <w:sz w:val="24"/>
          <w:szCs w:val="24"/>
          <w:lang w:eastAsia="zh-CN"/>
        </w:rPr>
        <w:t>服务交付</w:t>
      </w:r>
      <w:r>
        <w:rPr>
          <w:rFonts w:hint="eastAsia" w:ascii="宋体" w:hAnsi="宋体" w:eastAsia="宋体" w:cs="宋体"/>
          <w:sz w:val="24"/>
          <w:szCs w:val="24"/>
        </w:rPr>
        <w:t>时间自合同签订之日起不超过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个日历日。供货商应将</w:t>
      </w:r>
      <w:r>
        <w:rPr>
          <w:rFonts w:hint="eastAsia" w:ascii="宋体" w:hAnsi="宋体" w:eastAsia="宋体" w:cs="宋体"/>
          <w:sz w:val="24"/>
          <w:szCs w:val="24"/>
          <w:lang w:eastAsia="zh-CN"/>
        </w:rPr>
        <w:t>所有服务按</w:t>
      </w:r>
      <w:r>
        <w:rPr>
          <w:rFonts w:hint="eastAsia" w:ascii="宋体" w:hAnsi="宋体" w:eastAsia="宋体" w:cs="宋体"/>
          <w:sz w:val="24"/>
          <w:szCs w:val="24"/>
        </w:rPr>
        <w:t>甲方</w:t>
      </w:r>
      <w:r>
        <w:rPr>
          <w:rFonts w:hint="eastAsia" w:ascii="宋体" w:hAnsi="宋体" w:eastAsia="宋体" w:cs="宋体"/>
          <w:sz w:val="24"/>
          <w:szCs w:val="24"/>
          <w:lang w:eastAsia="zh-CN"/>
        </w:rPr>
        <w:t>指定地点交付，</w:t>
      </w:r>
      <w:r>
        <w:rPr>
          <w:rFonts w:hint="eastAsia" w:ascii="宋体" w:hAnsi="宋体" w:eastAsia="宋体" w:cs="宋体"/>
          <w:sz w:val="24"/>
          <w:szCs w:val="24"/>
        </w:rPr>
        <w:t>涉及的全部费用均由乙方承担。</w:t>
      </w:r>
    </w:p>
    <w:p>
      <w:pPr>
        <w:spacing w:line="360" w:lineRule="auto"/>
        <w:ind w:right="113" w:rightChars="47" w:firstLine="477" w:firstLineChars="199"/>
        <w:rPr>
          <w:rFonts w:hint="eastAsia" w:ascii="宋体" w:hAnsi="宋体" w:eastAsia="宋体" w:cs="宋体"/>
          <w:color w:val="FF9900"/>
          <w:sz w:val="24"/>
          <w:szCs w:val="24"/>
        </w:rPr>
      </w:pPr>
      <w:r>
        <w:rPr>
          <w:rFonts w:hint="eastAsia" w:ascii="宋体" w:hAnsi="宋体" w:eastAsia="宋体" w:cs="宋体"/>
          <w:sz w:val="24"/>
          <w:szCs w:val="24"/>
          <w:lang w:eastAsia="zh-CN"/>
        </w:rPr>
        <w:t>七</w:t>
      </w:r>
      <w:r>
        <w:rPr>
          <w:rFonts w:hint="eastAsia" w:ascii="宋体" w:hAnsi="宋体" w:eastAsia="宋体" w:cs="宋体"/>
          <w:sz w:val="24"/>
          <w:szCs w:val="24"/>
        </w:rPr>
        <w:t>、</w:t>
      </w:r>
      <w:r>
        <w:rPr>
          <w:rFonts w:hint="eastAsia" w:ascii="宋体" w:hAnsi="宋体" w:eastAsia="宋体" w:cs="宋体"/>
          <w:sz w:val="24"/>
          <w:szCs w:val="24"/>
          <w:lang w:eastAsia="zh-CN"/>
        </w:rPr>
        <w:t>款项</w:t>
      </w:r>
      <w:r>
        <w:rPr>
          <w:rFonts w:hint="eastAsia" w:ascii="宋体" w:hAnsi="宋体" w:eastAsia="宋体" w:cs="宋体"/>
          <w:sz w:val="24"/>
          <w:szCs w:val="24"/>
        </w:rPr>
        <w:t>支付：</w:t>
      </w:r>
    </w:p>
    <w:p>
      <w:pPr>
        <w:spacing w:line="560" w:lineRule="exact"/>
        <w:ind w:firstLine="480"/>
        <w:rPr>
          <w:rFonts w:hint="eastAsia" w:ascii="宋体" w:hAnsi="宋体"/>
          <w:color w:val="auto"/>
          <w:sz w:val="24"/>
        </w:rPr>
      </w:pPr>
      <w:r>
        <w:rPr>
          <w:rFonts w:hint="eastAsia" w:ascii="宋体" w:hAnsi="宋体"/>
          <w:color w:val="auto"/>
          <w:sz w:val="24"/>
        </w:rPr>
        <w:t>本合同的付款方式为：</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p>
      <w:pPr>
        <w:spacing w:line="360" w:lineRule="auto"/>
        <w:ind w:right="113" w:rightChars="47" w:firstLine="477" w:firstLineChars="19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八</w:t>
      </w:r>
      <w:r>
        <w:rPr>
          <w:rFonts w:hint="eastAsia" w:ascii="宋体" w:hAnsi="宋体" w:eastAsia="宋体" w:cs="宋体"/>
          <w:sz w:val="24"/>
          <w:szCs w:val="24"/>
        </w:rPr>
        <w:t>、技术资料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服务交付</w:t>
      </w:r>
      <w:r>
        <w:rPr>
          <w:rFonts w:hint="eastAsia" w:ascii="宋体" w:hAnsi="宋体" w:eastAsia="宋体" w:cs="宋体"/>
          <w:sz w:val="24"/>
          <w:szCs w:val="24"/>
        </w:rPr>
        <w:t>时，乙方应将</w:t>
      </w:r>
      <w:r>
        <w:rPr>
          <w:rFonts w:hint="eastAsia" w:ascii="宋体" w:hAnsi="宋体" w:eastAsia="宋体" w:cs="宋体"/>
          <w:sz w:val="24"/>
          <w:szCs w:val="24"/>
          <w:lang w:eastAsia="zh-CN"/>
        </w:rPr>
        <w:t>所提供服务</w:t>
      </w:r>
      <w:r>
        <w:rPr>
          <w:rFonts w:hint="eastAsia" w:ascii="宋体" w:hAnsi="宋体" w:eastAsia="宋体" w:cs="宋体"/>
          <w:sz w:val="24"/>
          <w:szCs w:val="24"/>
        </w:rPr>
        <w:t>的完整技术资料、售后服务承诺书等材料交给甲方指定单位，技术资料、售后服务承诺书应该与投标文件相一致。以上材料构成乙方是否正确履行合同的依据之一。</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2、甲方因使用需要，有翻译成其它文字和复印的权利。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九</w:t>
      </w:r>
      <w:r>
        <w:rPr>
          <w:rFonts w:hint="eastAsia" w:ascii="宋体" w:hAnsi="宋体" w:eastAsia="宋体" w:cs="宋体"/>
          <w:sz w:val="24"/>
          <w:szCs w:val="24"/>
        </w:rPr>
        <w:t>、质量保证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w:t>
      </w:r>
      <w:r>
        <w:rPr>
          <w:rFonts w:hint="eastAsia" w:ascii="宋体" w:hAnsi="宋体" w:eastAsia="宋体" w:cs="宋体"/>
          <w:sz w:val="24"/>
          <w:szCs w:val="24"/>
          <w:lang w:eastAsia="zh-CN"/>
        </w:rPr>
        <w:t>所提供的服务</w:t>
      </w:r>
      <w:r>
        <w:rPr>
          <w:rFonts w:hint="eastAsia" w:ascii="宋体" w:hAnsi="宋体" w:eastAsia="宋体" w:cs="宋体"/>
          <w:sz w:val="24"/>
          <w:szCs w:val="24"/>
        </w:rPr>
        <w:t>是完全符合合同规定的规格和性能等要求。在最终验收后的质量保证期之内，乙方应对由于设计</w:t>
      </w:r>
      <w:r>
        <w:rPr>
          <w:rFonts w:hint="eastAsia" w:ascii="宋体" w:hAnsi="宋体" w:eastAsia="宋体" w:cs="宋体"/>
          <w:sz w:val="24"/>
          <w:szCs w:val="24"/>
          <w:lang w:eastAsia="zh-CN"/>
        </w:rPr>
        <w:t>、功能等</w:t>
      </w:r>
      <w:r>
        <w:rPr>
          <w:rFonts w:hint="eastAsia" w:ascii="宋体" w:hAnsi="宋体" w:eastAsia="宋体" w:cs="宋体"/>
          <w:sz w:val="24"/>
          <w:szCs w:val="24"/>
        </w:rPr>
        <w:t>缺陷而产生的任何不足或故障负责，费用由乙方负担。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2、本合同涉及质量保证以招标文件为准。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3、本合同涉及质量保证期以投标</w:t>
      </w:r>
      <w:r>
        <w:rPr>
          <w:rFonts w:hint="eastAsia" w:ascii="宋体" w:hAnsi="宋体" w:eastAsia="宋体" w:cs="宋体"/>
          <w:sz w:val="24"/>
          <w:szCs w:val="24"/>
          <w:lang w:eastAsia="zh-CN"/>
        </w:rPr>
        <w:t>文件</w:t>
      </w:r>
      <w:r>
        <w:rPr>
          <w:rFonts w:hint="eastAsia" w:ascii="宋体" w:hAnsi="宋体" w:eastAsia="宋体" w:cs="宋体"/>
          <w:sz w:val="24"/>
          <w:szCs w:val="24"/>
        </w:rPr>
        <w:t>中“售后服务承诺</w:t>
      </w:r>
      <w:r>
        <w:rPr>
          <w:rFonts w:hint="eastAsia" w:ascii="宋体" w:hAnsi="宋体" w:eastAsia="宋体" w:cs="宋体"/>
          <w:sz w:val="24"/>
          <w:szCs w:val="24"/>
          <w:lang w:eastAsia="zh-CN"/>
        </w:rPr>
        <w:t>书</w:t>
      </w:r>
      <w:r>
        <w:rPr>
          <w:rFonts w:hint="eastAsia" w:ascii="宋体" w:hAnsi="宋体" w:eastAsia="宋体" w:cs="宋体"/>
          <w:sz w:val="24"/>
          <w:szCs w:val="24"/>
        </w:rPr>
        <w:t>”为准。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4、若乙方违反上述担保，</w:t>
      </w:r>
      <w:r>
        <w:rPr>
          <w:rFonts w:hint="eastAsia" w:ascii="宋体" w:hAnsi="宋体" w:eastAsia="宋体" w:cs="宋体"/>
          <w:sz w:val="24"/>
          <w:szCs w:val="24"/>
          <w:lang w:eastAsia="zh-CN"/>
        </w:rPr>
        <w:t>所提供的服务</w:t>
      </w:r>
      <w:r>
        <w:rPr>
          <w:rFonts w:hint="eastAsia" w:ascii="宋体" w:hAnsi="宋体" w:eastAsia="宋体" w:cs="宋体"/>
          <w:sz w:val="24"/>
          <w:szCs w:val="24"/>
        </w:rPr>
        <w:t>被禁止使用，乙方应自负风险和费用</w:t>
      </w:r>
      <w:r>
        <w:rPr>
          <w:rFonts w:hint="eastAsia" w:ascii="宋体" w:hAnsi="宋体" w:eastAsia="宋体" w:cs="宋体"/>
          <w:sz w:val="24"/>
          <w:szCs w:val="24"/>
          <w:lang w:eastAsia="zh-CN"/>
        </w:rPr>
        <w:t>并</w:t>
      </w:r>
      <w:r>
        <w:rPr>
          <w:rFonts w:hint="eastAsia" w:ascii="宋体" w:hAnsi="宋体" w:eastAsia="宋体" w:cs="宋体"/>
          <w:sz w:val="24"/>
          <w:szCs w:val="24"/>
        </w:rPr>
        <w:t>退还甲方已支付的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质量保证期内乙方应</w:t>
      </w:r>
      <w:r>
        <w:rPr>
          <w:rFonts w:hint="eastAsia" w:ascii="宋体" w:hAnsi="宋体" w:cs="宋体"/>
          <w:kern w:val="2"/>
          <w:sz w:val="24"/>
          <w:szCs w:val="24"/>
        </w:rPr>
        <w:t>提供7*24小时远程技术支持服务。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2、质量保证期内乙方应</w:t>
      </w:r>
      <w:r>
        <w:rPr>
          <w:rFonts w:hint="eastAsia" w:ascii="宋体" w:hAnsi="宋体" w:eastAsia="宋体" w:cs="宋体"/>
          <w:sz w:val="24"/>
          <w:szCs w:val="24"/>
          <w:lang w:eastAsia="zh-CN"/>
        </w:rPr>
        <w:t>提供</w:t>
      </w:r>
      <w:r>
        <w:rPr>
          <w:rFonts w:hint="eastAsia" w:ascii="宋体" w:hAnsi="宋体" w:eastAsia="宋体" w:cs="宋体"/>
          <w:sz w:val="24"/>
          <w:szCs w:val="24"/>
        </w:rPr>
        <w:t>免费上门服务。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、乙方应兑现投标文件中“质量保证和售后服务承诺书”中承诺的其它各项售后服务。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一</w:t>
      </w:r>
      <w:r>
        <w:rPr>
          <w:rFonts w:hint="eastAsia" w:ascii="宋体" w:hAnsi="宋体" w:eastAsia="宋体" w:cs="宋体"/>
          <w:sz w:val="24"/>
          <w:szCs w:val="24"/>
        </w:rPr>
        <w:t>、</w:t>
      </w:r>
      <w:r>
        <w:rPr>
          <w:rFonts w:hint="eastAsia" w:ascii="宋体" w:hAnsi="宋体" w:eastAsia="宋体" w:cs="宋体"/>
          <w:sz w:val="24"/>
          <w:szCs w:val="24"/>
          <w:lang w:eastAsia="zh-CN"/>
        </w:rPr>
        <w:t>验收</w:t>
      </w:r>
    </w:p>
    <w:p>
      <w:pPr>
        <w:spacing w:line="360" w:lineRule="auto"/>
        <w:ind w:right="113" w:rightChars="47" w:firstLine="477" w:firstLineChars="199"/>
        <w:rPr>
          <w:rFonts w:hint="eastAsia" w:ascii="宋体" w:hAnsi="宋体" w:eastAsia="宋体" w:cs="宋体"/>
          <w:sz w:val="24"/>
          <w:szCs w:val="24"/>
          <w:lang w:eastAsia="zh-CN"/>
        </w:rPr>
      </w:pPr>
      <w:r>
        <w:rPr>
          <w:rFonts w:hint="eastAsia" w:ascii="宋体" w:hAnsi="宋体" w:eastAsia="宋体" w:cs="宋体"/>
          <w:sz w:val="24"/>
          <w:szCs w:val="24"/>
          <w:lang w:eastAsia="zh-CN"/>
        </w:rPr>
        <w:t>服务交付使用后，按招标文件要求对项目进行验收。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二</w:t>
      </w:r>
      <w:r>
        <w:rPr>
          <w:rFonts w:hint="eastAsia" w:ascii="宋体" w:hAnsi="宋体" w:eastAsia="宋体" w:cs="宋体"/>
          <w:sz w:val="24"/>
          <w:szCs w:val="24"/>
        </w:rPr>
        <w:t>、索赔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1、若验收不合格，延误</w:t>
      </w:r>
      <w:r>
        <w:rPr>
          <w:rFonts w:hint="eastAsia" w:ascii="宋体" w:hAnsi="宋体" w:eastAsia="宋体" w:cs="宋体"/>
          <w:sz w:val="24"/>
          <w:szCs w:val="24"/>
          <w:lang w:eastAsia="zh-CN"/>
        </w:rPr>
        <w:t>工期</w:t>
      </w:r>
      <w:r>
        <w:rPr>
          <w:rFonts w:hint="eastAsia" w:ascii="宋体" w:hAnsi="宋体" w:eastAsia="宋体" w:cs="宋体"/>
          <w:sz w:val="24"/>
          <w:szCs w:val="24"/>
        </w:rPr>
        <w:t>，甲方以书面形式通知乙方，提出索赔。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2、在质量保证期内，如果存在规格、</w:t>
      </w:r>
      <w:r>
        <w:rPr>
          <w:rFonts w:hint="eastAsia" w:ascii="宋体" w:hAnsi="宋体" w:eastAsia="宋体" w:cs="宋体"/>
          <w:sz w:val="24"/>
          <w:szCs w:val="24"/>
          <w:lang w:eastAsia="zh-CN"/>
        </w:rPr>
        <w:t>功</w:t>
      </w:r>
      <w:r>
        <w:rPr>
          <w:rFonts w:hint="eastAsia" w:ascii="宋体" w:hAnsi="宋体" w:eastAsia="宋体" w:cs="宋体"/>
          <w:sz w:val="24"/>
          <w:szCs w:val="24"/>
        </w:rPr>
        <w:t>能等方面与合同不符，或证实是有缺陷的，甲方以书面形式通知乙方，提出索赔。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3、当甲方与乙方对性能和技术</w:t>
      </w:r>
      <w:r>
        <w:rPr>
          <w:rFonts w:hint="eastAsia" w:ascii="宋体" w:hAnsi="宋体" w:eastAsia="宋体" w:cs="宋体"/>
          <w:sz w:val="24"/>
          <w:szCs w:val="24"/>
          <w:lang w:eastAsia="zh-CN"/>
        </w:rPr>
        <w:t>指标</w:t>
      </w:r>
      <w:r>
        <w:rPr>
          <w:rFonts w:hint="eastAsia" w:ascii="宋体" w:hAnsi="宋体" w:eastAsia="宋体" w:cs="宋体"/>
          <w:sz w:val="24"/>
          <w:szCs w:val="24"/>
        </w:rPr>
        <w:t>等存在的问题认知不一致时,可</w:t>
      </w:r>
      <w:r>
        <w:rPr>
          <w:rFonts w:hint="eastAsia" w:ascii="宋体" w:hAnsi="宋体" w:eastAsia="宋体" w:cs="宋体"/>
          <w:sz w:val="24"/>
          <w:szCs w:val="24"/>
          <w:lang w:eastAsia="zh-CN"/>
        </w:rPr>
        <w:t>委托第三方检测机构</w:t>
      </w:r>
      <w:r>
        <w:rPr>
          <w:rFonts w:hint="eastAsia" w:ascii="宋体" w:hAnsi="宋体" w:eastAsia="宋体" w:cs="宋体"/>
          <w:sz w:val="24"/>
          <w:szCs w:val="24"/>
        </w:rPr>
        <w:t>进行检验，并出具检验证书。检验费用由责任方负担。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4、如果乙方对甲方提出的索赔负有责任，乙方应按照甲方同意的下列一种方式解决索赔事宜：</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若检验不合格，乙方承担由此发生的一切损失和费用。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如验收不合格，延误工期，乙方应承担甲方所遭受的一切经济损失。</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如果在甲方发出索赔通知后十天内,乙方未作答复，上述索赔应视为已被乙方接受；如乙方未能在甲方提出索赔通知后十天内或甲方同意的更长时间内，按照合同条款规定的任何的一种方法解决索赔事宜，甲方有权从</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保证金中扣出索赔金额，如果</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保证金不足以补偿给甲方造成的损失或已</w:t>
      </w:r>
      <w:r>
        <w:rPr>
          <w:rFonts w:hint="eastAsia" w:ascii="宋体" w:hAnsi="宋体" w:eastAsia="宋体" w:cs="宋体"/>
          <w:color w:val="000000"/>
          <w:sz w:val="24"/>
          <w:szCs w:val="24"/>
          <w:lang w:eastAsia="zh-CN"/>
        </w:rPr>
        <w:t>支付</w:t>
      </w:r>
      <w:r>
        <w:rPr>
          <w:rFonts w:hint="eastAsia" w:ascii="宋体" w:hAnsi="宋体" w:eastAsia="宋体" w:cs="宋体"/>
          <w:color w:val="000000"/>
          <w:sz w:val="24"/>
          <w:szCs w:val="24"/>
        </w:rPr>
        <w:t>乙方，乙方另外赔偿相应的损失。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、争议解决方式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1、甲乙双方通过友好协商，解决在执行合同中所发生的或与本合同有关的一切争端，如从协商开始十日内仍得不到解决，甲乙方双方将争端提交</w:t>
      </w:r>
      <w:r>
        <w:rPr>
          <w:rFonts w:hint="eastAsia" w:ascii="宋体" w:hAnsi="宋体" w:eastAsia="宋体" w:cs="宋体"/>
          <w:sz w:val="24"/>
          <w:szCs w:val="24"/>
          <w:lang w:eastAsia="zh-CN"/>
        </w:rPr>
        <w:t>石景山区政府采购管理科</w:t>
      </w:r>
      <w:r>
        <w:rPr>
          <w:rFonts w:hint="eastAsia" w:ascii="宋体" w:hAnsi="宋体" w:eastAsia="宋体" w:cs="宋体"/>
          <w:sz w:val="24"/>
          <w:szCs w:val="24"/>
        </w:rPr>
        <w:t>进行调解。</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2、如调解不成，双方可以到合同签署地人民法院提请诉讼。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3、诉讼的费用应由败诉方负担。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4、在诉讼期间，除正在进行诉讼的部分外，本合同其它部分应继续执行。</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四</w:t>
      </w:r>
      <w:r>
        <w:rPr>
          <w:rFonts w:hint="eastAsia" w:ascii="宋体" w:hAnsi="宋体" w:eastAsia="宋体" w:cs="宋体"/>
          <w:sz w:val="24"/>
          <w:szCs w:val="24"/>
        </w:rPr>
        <w:t>、不可抗力</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1、由于自然灾害、社会因素、政府行为及其他经双方同意的原因，导致本合同不能全部或部分履行，甲乙双方互不承担违约责任，善后事宜由双方协商。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2、受事故影响的一方应在事故发生后叁日内以书面形式通知另一方，并将有关部门出具的证明文件提交给另一方。</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五</w:t>
      </w:r>
      <w:r>
        <w:rPr>
          <w:rFonts w:hint="eastAsia" w:ascii="宋体" w:hAnsi="宋体" w:eastAsia="宋体" w:cs="宋体"/>
          <w:sz w:val="24"/>
          <w:szCs w:val="24"/>
        </w:rPr>
        <w:t>、税费</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1、中国政府根据现行税法对甲方征收的与本合同有关的一切税费均由甲方负担。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color w:val="000000"/>
          <w:sz w:val="24"/>
          <w:szCs w:val="24"/>
        </w:rPr>
        <w:t>2、中国政府根据现行税法对乙方征收的与本合同有关的一切税费均由</w:t>
      </w:r>
      <w:r>
        <w:rPr>
          <w:rFonts w:hint="eastAsia" w:ascii="宋体" w:hAnsi="宋体" w:eastAsia="宋体" w:cs="宋体"/>
          <w:sz w:val="24"/>
          <w:szCs w:val="24"/>
        </w:rPr>
        <w:t>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六</w:t>
      </w:r>
      <w:r>
        <w:rPr>
          <w:rFonts w:hint="eastAsia" w:ascii="宋体" w:hAnsi="宋体" w:eastAsia="宋体" w:cs="宋体"/>
          <w:sz w:val="24"/>
          <w:szCs w:val="24"/>
        </w:rPr>
        <w:t>、合同解除和终止</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1、合同解除：</w:t>
      </w:r>
      <w:r>
        <w:rPr>
          <w:rFonts w:hint="eastAsia" w:ascii="宋体" w:hAnsi="宋体" w:eastAsia="宋体" w:cs="宋体"/>
          <w:color w:val="000000"/>
          <w:sz w:val="24"/>
          <w:szCs w:val="24"/>
        </w:rPr>
        <w:t>在甲方对乙方违约而采取的任何补救措施不受影响的情况下，</w:t>
      </w:r>
      <w:r>
        <w:rPr>
          <w:rFonts w:hint="eastAsia" w:ascii="宋体" w:hAnsi="宋体" w:eastAsia="宋体" w:cs="宋体"/>
          <w:sz w:val="24"/>
          <w:szCs w:val="24"/>
        </w:rPr>
        <w:t>出现下列情况，甲方可向乙方发出书面通知，提出解除合同，并要求返款。</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乙方未能在规定的期限或甲方同意延长的期限内交</w:t>
      </w:r>
      <w:r>
        <w:rPr>
          <w:rFonts w:hint="eastAsia" w:ascii="宋体" w:hAnsi="宋体" w:eastAsia="宋体" w:cs="宋体"/>
          <w:sz w:val="24"/>
          <w:szCs w:val="24"/>
          <w:lang w:eastAsia="zh-CN"/>
        </w:rPr>
        <w:t>付</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乙方使用假冒、伪劣产品，或达不到合同规定的质量、性能。</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乙方其它严重违反合同规定的行为。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2、提前终止合同：如果乙方在合同履行期间破产，甲方可在任何时候以书面形式通知乙方即时终止合同，不予退还</w:t>
      </w:r>
      <w:r>
        <w:rPr>
          <w:rFonts w:hint="eastAsia" w:ascii="宋体" w:hAnsi="宋体" w:eastAsia="宋体" w:cs="宋体"/>
          <w:sz w:val="24"/>
          <w:szCs w:val="24"/>
          <w:lang w:eastAsia="zh-CN"/>
        </w:rPr>
        <w:t>质量</w:t>
      </w:r>
      <w:r>
        <w:rPr>
          <w:rFonts w:hint="eastAsia" w:ascii="宋体" w:hAnsi="宋体" w:eastAsia="宋体" w:cs="宋体"/>
          <w:sz w:val="24"/>
          <w:szCs w:val="24"/>
        </w:rPr>
        <w:t>保证金，并保留甲方已经采取或将要采取的补救措施的权利。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七</w:t>
      </w:r>
      <w:r>
        <w:rPr>
          <w:rFonts w:hint="eastAsia" w:ascii="宋体" w:hAnsi="宋体" w:eastAsia="宋体" w:cs="宋体"/>
          <w:sz w:val="24"/>
          <w:szCs w:val="24"/>
        </w:rPr>
        <w:t>、违约责任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1、因乙方原因（包括乙方提供的货物未达到验收标准）使</w:t>
      </w:r>
      <w:r>
        <w:rPr>
          <w:rFonts w:hint="eastAsia" w:ascii="宋体" w:hAnsi="宋体" w:eastAsia="宋体" w:cs="宋体"/>
          <w:sz w:val="24"/>
          <w:szCs w:val="24"/>
          <w:lang w:eastAsia="zh-CN"/>
        </w:rPr>
        <w:t>服务</w:t>
      </w:r>
      <w:r>
        <w:rPr>
          <w:rFonts w:hint="eastAsia" w:ascii="宋体" w:hAnsi="宋体" w:eastAsia="宋体" w:cs="宋体"/>
          <w:sz w:val="24"/>
          <w:szCs w:val="24"/>
        </w:rPr>
        <w:t>未按规定</w:t>
      </w:r>
      <w:r>
        <w:rPr>
          <w:rFonts w:hint="eastAsia" w:ascii="宋体" w:hAnsi="宋体" w:eastAsia="宋体" w:cs="宋体"/>
          <w:sz w:val="24"/>
          <w:szCs w:val="24"/>
          <w:lang w:eastAsia="zh-CN"/>
        </w:rPr>
        <w:t>交付</w:t>
      </w:r>
      <w:r>
        <w:rPr>
          <w:rFonts w:hint="eastAsia" w:ascii="宋体" w:hAnsi="宋体" w:eastAsia="宋体" w:cs="宋体"/>
          <w:sz w:val="24"/>
          <w:szCs w:val="24"/>
        </w:rPr>
        <w:t>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2、乙方所提供的货物质量不符合本合同约定标准时，乙方应负责及时更换、维修，甲方有权拒绝付款，并追究乙方违约责任。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3、因产品缺陷而产生的的直接费用，如检验费、保险费，均由乙方承担。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4、因产品质量缺陷造成第三方损害而要求甲方赔偿的，甲方有权随时向乙方追索费用。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5、如乙方出现严重违反合同条款并给甲方带来损失时，甲方可视情况采取以下一种或多种方式：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在</w:t>
      </w:r>
      <w:r>
        <w:rPr>
          <w:rFonts w:hint="eastAsia" w:ascii="宋体" w:hAnsi="宋体" w:eastAsia="宋体" w:cs="宋体"/>
          <w:sz w:val="24"/>
          <w:szCs w:val="24"/>
          <w:lang w:eastAsia="zh-CN"/>
        </w:rPr>
        <w:t>质量</w:t>
      </w:r>
      <w:r>
        <w:rPr>
          <w:rFonts w:hint="eastAsia" w:ascii="宋体" w:hAnsi="宋体" w:eastAsia="宋体" w:cs="宋体"/>
          <w:sz w:val="24"/>
          <w:szCs w:val="24"/>
        </w:rPr>
        <w:t>保证金中扣除直接损失和间接损失。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解除合同。</w:t>
      </w:r>
    </w:p>
    <w:p>
      <w:pPr>
        <w:tabs>
          <w:tab w:val="left" w:pos="1050"/>
          <w:tab w:val="left" w:pos="1260"/>
        </w:tabs>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将违约行为上报政府采购办公室，由政府采购办公室对违反合同行为做出处理，在政府采购网上公布。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十八</w:t>
      </w:r>
      <w:r>
        <w:rPr>
          <w:rFonts w:hint="eastAsia" w:ascii="宋体" w:hAnsi="宋体" w:eastAsia="宋体" w:cs="宋体"/>
          <w:sz w:val="24"/>
          <w:szCs w:val="24"/>
        </w:rPr>
        <w:t>、转让：未经甲方事先书面同意，乙方不得部分转让或全部转让其应履行的合同义务。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十九</w:t>
      </w:r>
      <w:r>
        <w:rPr>
          <w:rFonts w:hint="eastAsia" w:ascii="宋体" w:hAnsi="宋体" w:eastAsia="宋体" w:cs="宋体"/>
          <w:sz w:val="24"/>
          <w:szCs w:val="24"/>
        </w:rPr>
        <w:t>、适用法律</w:t>
      </w:r>
      <w:r>
        <w:rPr>
          <w:rFonts w:hint="eastAsia" w:ascii="宋体" w:hAnsi="宋体" w:eastAsia="宋体" w:cs="宋体"/>
          <w:sz w:val="24"/>
          <w:szCs w:val="24"/>
          <w:lang w:val="en-US" w:eastAsia="zh-CN"/>
        </w:rPr>
        <w:t>:</w:t>
      </w:r>
      <w:r>
        <w:rPr>
          <w:rFonts w:hint="eastAsia" w:ascii="宋体" w:hAnsi="宋体" w:eastAsia="宋体" w:cs="宋体"/>
          <w:sz w:val="24"/>
          <w:szCs w:val="24"/>
        </w:rPr>
        <w:t>本合同应按照中华人民共和国的相关法律进行解释。</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二十、合同生效及其它：合同在甲乙双方签字盖章后开始生效。本合同一式</w:t>
      </w:r>
      <w:r>
        <w:rPr>
          <w:rFonts w:hint="eastAsia" w:ascii="宋体" w:hAnsi="宋体" w:eastAsia="宋体" w:cs="宋体"/>
          <w:sz w:val="24"/>
          <w:szCs w:val="24"/>
          <w:lang w:eastAsia="zh-CN"/>
        </w:rPr>
        <w:t>三</w:t>
      </w:r>
      <w:r>
        <w:rPr>
          <w:rFonts w:hint="eastAsia" w:ascii="宋体" w:hAnsi="宋体" w:eastAsia="宋体" w:cs="宋体"/>
          <w:sz w:val="24"/>
          <w:szCs w:val="24"/>
        </w:rPr>
        <w:t>份，</w:t>
      </w:r>
      <w:r>
        <w:rPr>
          <w:rFonts w:hint="eastAsia" w:ascii="宋体" w:hAnsi="宋体" w:eastAsia="宋体" w:cs="宋体"/>
          <w:sz w:val="24"/>
          <w:szCs w:val="24"/>
          <w:lang w:eastAsia="zh-CN"/>
        </w:rPr>
        <w:t>甲乙双方各执一份，石景山区政府采购中心备案一份</w:t>
      </w:r>
      <w:r>
        <w:rPr>
          <w:rFonts w:hint="eastAsia" w:ascii="宋体" w:hAnsi="宋体" w:eastAsia="宋体" w:cs="宋体"/>
          <w:sz w:val="24"/>
          <w:szCs w:val="24"/>
        </w:rPr>
        <w:t>。如需修改或补充合同内容，经协商，双方应签署书面修改或补充协议</w:t>
      </w:r>
      <w:r>
        <w:rPr>
          <w:rFonts w:hint="eastAsia" w:ascii="宋体" w:hAnsi="宋体" w:eastAsia="宋体" w:cs="宋体"/>
          <w:sz w:val="24"/>
          <w:szCs w:val="24"/>
          <w:lang w:eastAsia="zh-CN"/>
        </w:rPr>
        <w:t>，</w:t>
      </w:r>
      <w:r>
        <w:rPr>
          <w:rFonts w:hint="eastAsia" w:ascii="宋体" w:hAnsi="宋体" w:eastAsia="宋体" w:cs="宋体"/>
          <w:sz w:val="24"/>
          <w:szCs w:val="24"/>
        </w:rPr>
        <w:t>该协议作为本合同的一个组成部分。</w:t>
      </w:r>
    </w:p>
    <w:p>
      <w:pPr>
        <w:spacing w:line="360" w:lineRule="auto"/>
        <w:ind w:right="113" w:rightChars="47" w:firstLine="477" w:firstLineChars="199"/>
        <w:rPr>
          <w:rFonts w:hint="eastAsia" w:ascii="宋体" w:hAnsi="宋体" w:eastAsia="宋体" w:cs="宋体"/>
          <w:sz w:val="24"/>
          <w:szCs w:val="24"/>
        </w:rPr>
      </w:pPr>
    </w:p>
    <w:p>
      <w:pPr>
        <w:ind w:left="5366" w:leftChars="-114" w:hanging="5640" w:hangingChars="2350"/>
        <w:rPr>
          <w:rFonts w:hint="eastAsia" w:ascii="宋体" w:hAnsi="宋体"/>
          <w:color w:val="auto"/>
          <w:sz w:val="24"/>
        </w:rPr>
      </w:pPr>
    </w:p>
    <w:p>
      <w:pPr>
        <w:ind w:left="5369" w:leftChars="187" w:right="-838" w:rightChars="-349" w:hanging="4920" w:hangingChars="2050"/>
        <w:rPr>
          <w:rFonts w:hint="eastAsia" w:ascii="宋体" w:hAnsi="宋体"/>
          <w:color w:val="auto"/>
          <w:sz w:val="24"/>
        </w:rPr>
      </w:pPr>
      <w:r>
        <w:rPr>
          <w:rFonts w:hint="eastAsia" w:ascii="宋体" w:hAnsi="宋体"/>
          <w:color w:val="auto"/>
          <w:sz w:val="24"/>
          <w:lang w:eastAsia="zh-CN"/>
        </w:rPr>
        <w:t>甲</w:t>
      </w:r>
      <w:r>
        <w:rPr>
          <w:rFonts w:hint="eastAsia" w:ascii="宋体" w:hAnsi="宋体"/>
          <w:color w:val="auto"/>
          <w:sz w:val="24"/>
        </w:rPr>
        <w:t>方</w:t>
      </w:r>
      <w:r>
        <w:rPr>
          <w:rFonts w:hint="eastAsia" w:ascii="宋体" w:hAnsi="宋体"/>
          <w:color w:val="auto"/>
          <w:sz w:val="24"/>
          <w:u w:val="none"/>
        </w:rPr>
        <w:t>：</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lang w:eastAsia="zh-CN"/>
        </w:rPr>
        <w:t>乙</w:t>
      </w:r>
      <w:r>
        <w:rPr>
          <w:rFonts w:hint="eastAsia" w:ascii="宋体" w:hAnsi="宋体"/>
          <w:color w:val="auto"/>
          <w:sz w:val="24"/>
        </w:rPr>
        <w:t>方：</w:t>
      </w:r>
    </w:p>
    <w:p>
      <w:pPr>
        <w:ind w:left="5632" w:leftChars="86" w:hanging="5426" w:hangingChars="2261"/>
        <w:rPr>
          <w:rFonts w:hint="eastAsia" w:ascii="宋体" w:hAnsi="宋体"/>
          <w:color w:val="auto"/>
          <w:sz w:val="24"/>
        </w:rPr>
      </w:pPr>
      <w:r>
        <w:rPr>
          <w:rFonts w:hint="eastAsia" w:ascii="宋体" w:hAnsi="宋体"/>
          <w:color w:val="auto"/>
          <w:sz w:val="24"/>
        </w:rPr>
        <w:t xml:space="preserve">                         </w:t>
      </w:r>
    </w:p>
    <w:p>
      <w:pPr>
        <w:rPr>
          <w:rFonts w:hint="eastAsia" w:ascii="宋体" w:hAnsi="宋体"/>
          <w:color w:val="auto"/>
          <w:sz w:val="24"/>
          <w:u w:val="single"/>
        </w:rPr>
      </w:pPr>
    </w:p>
    <w:p>
      <w:pPr>
        <w:spacing w:before="624" w:beforeLines="200"/>
        <w:ind w:firstLine="573"/>
        <w:rPr>
          <w:rFonts w:hint="eastAsia" w:ascii="宋体" w:hAnsi="宋体"/>
          <w:color w:val="auto"/>
          <w:sz w:val="24"/>
        </w:rPr>
      </w:pPr>
      <w:r>
        <w:rPr>
          <w:rFonts w:hint="eastAsia" w:ascii="宋体" w:hAnsi="宋体"/>
          <w:color w:val="auto"/>
          <w:sz w:val="24"/>
        </w:rPr>
        <w:t>名称：（印章）                        名称：（印章）</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 xml:space="preserve">日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日</w:t>
      </w:r>
    </w:p>
    <w:p>
      <w:pPr>
        <w:spacing w:before="312" w:beforeLines="100"/>
        <w:ind w:firstLine="573"/>
        <w:rPr>
          <w:rFonts w:hint="eastAsia" w:ascii="宋体" w:hAnsi="宋体"/>
          <w:color w:val="auto"/>
          <w:sz w:val="24"/>
          <w:u w:val="single"/>
        </w:rPr>
      </w:pPr>
      <w:r>
        <w:rPr>
          <w:rFonts w:hint="eastAsia" w:ascii="宋体" w:hAnsi="宋体"/>
          <w:color w:val="auto"/>
          <w:sz w:val="24"/>
        </w:rPr>
        <w:t>授权代理（签字）：</w:t>
      </w:r>
      <w:r>
        <w:rPr>
          <w:rFonts w:hint="eastAsia" w:ascii="宋体" w:hAnsi="宋体"/>
          <w:color w:val="auto"/>
          <w:sz w:val="24"/>
          <w:u w:val="single"/>
        </w:rPr>
        <w:t xml:space="preserve">             </w:t>
      </w:r>
      <w:r>
        <w:rPr>
          <w:rFonts w:hint="eastAsia" w:ascii="宋体" w:hAnsi="宋体"/>
          <w:color w:val="auto"/>
          <w:sz w:val="24"/>
        </w:rPr>
        <w:t xml:space="preserve">        授权代理（签字）</w:t>
      </w:r>
      <w:r>
        <w:rPr>
          <w:rFonts w:hint="eastAsia" w:ascii="宋体" w:hAnsi="宋体"/>
          <w:color w:val="auto"/>
          <w:sz w:val="24"/>
          <w:u w:val="single"/>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left="5808" w:leftChars="270" w:hanging="5160" w:hangingChars="2150"/>
        <w:rPr>
          <w:rFonts w:hint="eastAsia" w:ascii="宋体" w:hAnsi="宋体"/>
          <w:color w:val="auto"/>
          <w:sz w:val="24"/>
          <w:u w:val="single"/>
        </w:rPr>
      </w:pPr>
      <w:r>
        <w:rPr>
          <w:rFonts w:hint="eastAsia" w:ascii="宋体" w:hAnsi="宋体"/>
          <w:color w:val="auto"/>
          <w:sz w:val="24"/>
        </w:rPr>
        <w:t xml:space="preserve">地    址：                            地    址： </w:t>
      </w:r>
    </w:p>
    <w:p>
      <w:pPr>
        <w:ind w:firstLine="1680" w:firstLineChars="700"/>
        <w:rPr>
          <w:rFonts w:hint="eastAsia" w:ascii="宋体" w:hAnsi="宋体"/>
          <w:color w:val="auto"/>
          <w:sz w:val="24"/>
          <w:u w:val="single"/>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u w:val="single"/>
        </w:rPr>
      </w:pPr>
      <w:r>
        <w:rPr>
          <w:rFonts w:hint="eastAsia" w:ascii="宋体" w:hAnsi="宋体"/>
          <w:color w:val="auto"/>
          <w:sz w:val="24"/>
        </w:rPr>
        <w:t xml:space="preserve">邮政编码：                            邮政编码：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电    话：                            电     话：  </w:t>
      </w:r>
    </w:p>
    <w:p>
      <w:pPr>
        <w:ind w:firstLine="570"/>
        <w:rPr>
          <w:rFonts w:hint="eastAsia" w:ascii="宋体" w:hAnsi="宋体"/>
          <w:color w:val="auto"/>
          <w:sz w:val="24"/>
        </w:rPr>
      </w:pPr>
    </w:p>
    <w:p>
      <w:pPr>
        <w:ind w:firstLine="570"/>
        <w:rPr>
          <w:rFonts w:hint="eastAsia" w:ascii="宋体" w:hAnsi="宋体"/>
          <w:color w:val="auto"/>
          <w:sz w:val="24"/>
          <w:u w:val="single"/>
        </w:rPr>
      </w:pPr>
      <w:r>
        <w:rPr>
          <w:rFonts w:hint="eastAsia" w:ascii="宋体" w:hAnsi="宋体"/>
          <w:color w:val="auto"/>
          <w:sz w:val="24"/>
        </w:rPr>
        <w:t>开户银行：                            开户银行：</w:t>
      </w:r>
    </w:p>
    <w:p>
      <w:pPr>
        <w:ind w:firstLine="570"/>
        <w:rPr>
          <w:rFonts w:hint="eastAsia" w:ascii="宋体" w:hAnsi="宋体"/>
          <w:color w:val="auto"/>
          <w:sz w:val="24"/>
        </w:rPr>
      </w:pPr>
    </w:p>
    <w:p>
      <w:pPr>
        <w:ind w:firstLine="570"/>
        <w:rPr>
          <w:rFonts w:hint="eastAsia" w:ascii="宋体" w:hAnsi="宋体"/>
          <w:color w:val="auto"/>
          <w:sz w:val="24"/>
        </w:rPr>
      </w:pPr>
      <w:r>
        <w:rPr>
          <w:rFonts w:hint="eastAsia" w:ascii="宋体" w:hAnsi="宋体"/>
          <w:color w:val="auto"/>
          <w:sz w:val="24"/>
        </w:rPr>
        <w:t>帐    号：                            帐     号：</w:t>
      </w:r>
    </w:p>
    <w:p>
      <w:pPr>
        <w:rPr>
          <w:rFonts w:hint="eastAsia" w:ascii="宋体" w:hAnsi="宋体"/>
          <w:color w:val="auto"/>
          <w:sz w:val="24"/>
        </w:rPr>
      </w:pPr>
    </w:p>
    <w:p/>
    <w:p>
      <w:pPr>
        <w:pStyle w:val="6"/>
        <w:tabs>
          <w:tab w:val="left" w:pos="900"/>
          <w:tab w:val="clear" w:pos="1260"/>
        </w:tabs>
        <w:spacing w:before="0" w:after="0" w:line="480" w:lineRule="exact"/>
        <w:ind w:left="720" w:hanging="720"/>
        <w:jc w:val="center"/>
        <w:rPr>
          <w:rFonts w:hint="eastAsia" w:ascii="宋体" w:hAnsi="宋体" w:cs="宋体"/>
          <w:b/>
          <w:color w:val="auto"/>
          <w:sz w:val="21"/>
          <w:szCs w:val="21"/>
        </w:rPr>
      </w:pPr>
    </w:p>
    <w:p>
      <w:pPr>
        <w:adjustRightInd w:val="0"/>
        <w:snapToGrid w:val="0"/>
        <w:rPr>
          <w:rFonts w:hint="eastAsia" w:ascii="宋体" w:hAnsi="宋体"/>
          <w:color w:val="auto"/>
          <w:kern w:val="44"/>
          <w:sz w:val="28"/>
          <w:szCs w:val="28"/>
        </w:rPr>
      </w:pPr>
      <w:r>
        <w:rPr>
          <w:rFonts w:hint="eastAsia" w:ascii="宋体" w:hAnsi="宋体"/>
          <w:color w:val="auto"/>
          <w:kern w:val="44"/>
          <w:sz w:val="28"/>
          <w:szCs w:val="28"/>
        </w:rPr>
        <w:t xml:space="preserve">           </w:t>
      </w: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49"/>
        <w:snapToGrid w:val="0"/>
        <w:spacing w:before="0" w:after="0"/>
        <w:ind w:left="0"/>
        <w:rPr>
          <w:color w:val="auto"/>
        </w:rPr>
      </w:pPr>
      <w:bookmarkStart w:id="70" w:name="_Toc466015317"/>
      <w:r>
        <w:rPr>
          <w:rFonts w:hint="eastAsia" w:ascii="宋体" w:hAnsi="宋体"/>
          <w:color w:val="auto"/>
          <w:lang w:val="en-US" w:eastAsia="zh-CN"/>
        </w:rPr>
        <w:t xml:space="preserve"> </w:t>
      </w:r>
      <w:r>
        <w:rPr>
          <w:rFonts w:hint="eastAsia" w:ascii="宋体" w:hAnsi="宋体"/>
          <w:color w:val="auto"/>
        </w:rPr>
        <w:t>投标文件格式</w:t>
      </w:r>
      <w:bookmarkEnd w:id="66"/>
      <w:bookmarkEnd w:id="67"/>
      <w:bookmarkEnd w:id="68"/>
      <w:bookmarkEnd w:id="69"/>
      <w:bookmarkEnd w:id="70"/>
    </w:p>
    <w:p>
      <w:pPr>
        <w:spacing w:before="312" w:beforeLines="100" w:after="156" w:afterLines="50"/>
        <w:ind w:firstLine="482" w:firstLineChars="200"/>
        <w:outlineLvl w:val="1"/>
        <w:rPr>
          <w:rFonts w:hint="eastAsia" w:ascii="宋体" w:hAnsi="宋体"/>
          <w:b/>
          <w:color w:val="auto"/>
          <w:sz w:val="24"/>
          <w:szCs w:val="24"/>
        </w:rPr>
      </w:pPr>
      <w:bookmarkStart w:id="71" w:name="_Toc129190753"/>
      <w:bookmarkStart w:id="72" w:name="_Toc341716002"/>
      <w:bookmarkStart w:id="73" w:name="_Toc146544227"/>
      <w:bookmarkStart w:id="74" w:name="_Toc192444818"/>
      <w:bookmarkStart w:id="75" w:name="_Toc134067010"/>
      <w:r>
        <w:rPr>
          <w:rFonts w:hint="eastAsia" w:ascii="宋体" w:hAnsi="宋体"/>
          <w:b/>
          <w:color w:val="auto"/>
          <w:sz w:val="24"/>
          <w:szCs w:val="24"/>
        </w:rPr>
        <w:t>一、投标人提交文件须知</w:t>
      </w:r>
      <w:bookmarkEnd w:id="71"/>
      <w:bookmarkEnd w:id="72"/>
      <w:bookmarkEnd w:id="73"/>
      <w:bookmarkEnd w:id="74"/>
      <w:bookmarkEnd w:id="75"/>
    </w:p>
    <w:p>
      <w:pPr>
        <w:numPr>
          <w:ilvl w:val="0"/>
          <w:numId w:val="1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1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1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1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1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1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1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18"/>
        </w:numPr>
        <w:spacing w:before="312" w:beforeLines="100" w:after="156" w:afterLines="50"/>
        <w:ind w:firstLine="482" w:firstLineChars="200"/>
        <w:outlineLvl w:val="1"/>
        <w:rPr>
          <w:rFonts w:hint="eastAsia" w:ascii="宋体" w:hAnsi="宋体"/>
          <w:b/>
          <w:color w:val="auto"/>
          <w:sz w:val="24"/>
          <w:szCs w:val="24"/>
        </w:rPr>
      </w:pPr>
      <w:bookmarkStart w:id="76" w:name="_投标文件组成_1"/>
      <w:bookmarkEnd w:id="76"/>
      <w:bookmarkStart w:id="77" w:name="_Toc146544228"/>
      <w:bookmarkStart w:id="78" w:name="_Toc134067011"/>
      <w:bookmarkStart w:id="79" w:name="_Toc341716003"/>
      <w:bookmarkStart w:id="80" w:name="_Toc129190754"/>
      <w:bookmarkStart w:id="81" w:name="_Toc192444819"/>
      <w:r>
        <w:rPr>
          <w:rFonts w:hint="eastAsia" w:ascii="宋体" w:hAnsi="宋体"/>
          <w:b/>
          <w:color w:val="auto"/>
          <w:sz w:val="24"/>
          <w:szCs w:val="24"/>
        </w:rPr>
        <w:t>投标文件</w:t>
      </w:r>
      <w:bookmarkEnd w:id="77"/>
      <w:bookmarkEnd w:id="78"/>
      <w:bookmarkEnd w:id="79"/>
      <w:bookmarkEnd w:id="80"/>
      <w:bookmarkEnd w:id="81"/>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2"/>
        <w:rPr>
          <w:rFonts w:hint="eastAsia"/>
          <w:color w:val="auto"/>
        </w:rPr>
      </w:pPr>
    </w:p>
    <w:p>
      <w:pPr>
        <w:pStyle w:val="6"/>
        <w:rPr>
          <w:color w:val="auto"/>
        </w:rPr>
      </w:pPr>
    </w:p>
    <w:p>
      <w:pPr>
        <w:jc w:val="center"/>
        <w:rPr>
          <w:rFonts w:hint="eastAsia"/>
          <w:b/>
          <w:color w:val="auto"/>
          <w:sz w:val="72"/>
          <w:szCs w:val="72"/>
        </w:rPr>
      </w:pPr>
      <w:bookmarkStart w:id="82" w:name="_Toc26431"/>
      <w:r>
        <w:rPr>
          <w:rFonts w:hint="eastAsia"/>
          <w:b/>
          <w:color w:val="auto"/>
          <w:sz w:val="72"/>
          <w:szCs w:val="72"/>
        </w:rPr>
        <w:t>投标文件</w:t>
      </w:r>
      <w:bookmarkEnd w:id="82"/>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3"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3"/>
    </w:p>
    <w:p>
      <w:pPr>
        <w:jc w:val="center"/>
        <w:rPr>
          <w:color w:val="auto"/>
        </w:rPr>
      </w:pPr>
    </w:p>
    <w:p>
      <w:pPr>
        <w:pStyle w:val="12"/>
        <w:jc w:val="both"/>
        <w:rPr>
          <w:color w:val="auto"/>
        </w:rPr>
      </w:pPr>
    </w:p>
    <w:p>
      <w:pPr>
        <w:pStyle w:val="12"/>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4" w:name="_Toc12572"/>
      <w:r>
        <w:rPr>
          <w:rFonts w:hint="eastAsia"/>
          <w:b/>
          <w:color w:val="auto"/>
          <w:sz w:val="32"/>
          <w:szCs w:val="32"/>
        </w:rPr>
        <w:t>投标单位（电子签章）：</w:t>
      </w:r>
      <w:bookmarkEnd w:id="84"/>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5" w:name="_Toc32490"/>
      <w:bookmarkStart w:id="86" w:name="_Toc519087074"/>
      <w:bookmarkStart w:id="87" w:name="_Toc492299632"/>
      <w:bookmarkStart w:id="88" w:name="_Toc466014528"/>
      <w:bookmarkStart w:id="89"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5"/>
      <w:bookmarkEnd w:id="86"/>
      <w:bookmarkEnd w:id="87"/>
      <w:bookmarkEnd w:id="88"/>
      <w:bookmarkEnd w:id="89"/>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2"/>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2"/>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2"/>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2"/>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9"/>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19"/>
        </w:numPr>
        <w:spacing w:line="360" w:lineRule="auto"/>
        <w:ind w:left="1134"/>
        <w:rPr>
          <w:sz w:val="24"/>
          <w:szCs w:val="22"/>
        </w:rPr>
      </w:pPr>
      <w:r>
        <w:rPr>
          <w:sz w:val="24"/>
          <w:szCs w:val="22"/>
        </w:rPr>
        <w:t>具有良好的商业信誉和健全的财务会计制度；</w:t>
      </w:r>
    </w:p>
    <w:p>
      <w:pPr>
        <w:numPr>
          <w:ilvl w:val="0"/>
          <w:numId w:val="19"/>
        </w:numPr>
        <w:spacing w:line="360" w:lineRule="auto"/>
        <w:ind w:left="1134"/>
        <w:rPr>
          <w:sz w:val="24"/>
          <w:szCs w:val="22"/>
        </w:rPr>
      </w:pPr>
      <w:r>
        <w:rPr>
          <w:sz w:val="24"/>
          <w:szCs w:val="22"/>
        </w:rPr>
        <w:t>具有履行合同所必需的设备和专业技术能力；</w:t>
      </w:r>
    </w:p>
    <w:p>
      <w:pPr>
        <w:numPr>
          <w:ilvl w:val="0"/>
          <w:numId w:val="19"/>
        </w:numPr>
        <w:spacing w:line="360" w:lineRule="auto"/>
        <w:ind w:left="1134"/>
        <w:rPr>
          <w:sz w:val="24"/>
          <w:szCs w:val="22"/>
        </w:rPr>
      </w:pPr>
      <w:r>
        <w:rPr>
          <w:sz w:val="24"/>
          <w:szCs w:val="22"/>
        </w:rPr>
        <w:t>有依法缴纳税收和社会保障资金的良好记录；</w:t>
      </w:r>
    </w:p>
    <w:p>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0"/>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0"/>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2"/>
              <w:rPr>
                <w:rFonts w:hint="eastAsia"/>
                <w:color w:val="auto"/>
              </w:rPr>
            </w:pPr>
          </w:p>
          <w:p>
            <w:pPr>
              <w:pStyle w:val="2"/>
              <w:rPr>
                <w:rFonts w:hint="eastAsia"/>
                <w:color w:val="auto"/>
              </w:rPr>
            </w:pPr>
          </w:p>
          <w:p>
            <w:pPr>
              <w:pStyle w:val="2"/>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6"/>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9391"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350"/>
        <w:gridCol w:w="2564"/>
        <w:gridCol w:w="1091"/>
        <w:gridCol w:w="818"/>
        <w:gridCol w:w="1153"/>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845" w:type="dxa"/>
            <w:vAlign w:val="center"/>
          </w:tcPr>
          <w:p>
            <w:pPr>
              <w:tabs>
                <w:tab w:val="left" w:pos="970"/>
              </w:tabs>
              <w:spacing w:after="84"/>
              <w:ind w:firstLine="118" w:firstLineChars="49"/>
              <w:jc w:val="center"/>
              <w:rPr>
                <w:b/>
                <w:color w:val="auto"/>
                <w:sz w:val="24"/>
                <w:szCs w:val="24"/>
              </w:rPr>
            </w:pPr>
            <w:r>
              <w:rPr>
                <w:rFonts w:hAnsi="宋体"/>
                <w:b/>
                <w:color w:val="auto"/>
                <w:sz w:val="24"/>
                <w:szCs w:val="24"/>
              </w:rPr>
              <w:t>序号</w:t>
            </w:r>
          </w:p>
        </w:tc>
        <w:tc>
          <w:tcPr>
            <w:tcW w:w="1350" w:type="dxa"/>
            <w:vAlign w:val="center"/>
          </w:tcPr>
          <w:p>
            <w:pPr>
              <w:tabs>
                <w:tab w:val="left" w:pos="970"/>
              </w:tabs>
              <w:spacing w:after="84"/>
              <w:jc w:val="center"/>
              <w:rPr>
                <w:rFonts w:hint="eastAsia"/>
                <w:b/>
                <w:color w:val="auto"/>
                <w:sz w:val="24"/>
                <w:szCs w:val="24"/>
              </w:rPr>
            </w:pPr>
            <w:r>
              <w:rPr>
                <w:rFonts w:hint="eastAsia" w:hAnsi="宋体"/>
                <w:b/>
                <w:color w:val="auto"/>
                <w:sz w:val="24"/>
                <w:szCs w:val="24"/>
              </w:rPr>
              <w:t>货物</w:t>
            </w:r>
            <w:r>
              <w:rPr>
                <w:rFonts w:hint="eastAsia" w:hAnsi="宋体"/>
                <w:b/>
                <w:color w:val="auto"/>
                <w:sz w:val="24"/>
                <w:szCs w:val="24"/>
                <w:lang w:eastAsia="zh-CN"/>
              </w:rPr>
              <w:t>或服务</w:t>
            </w:r>
            <w:r>
              <w:rPr>
                <w:rFonts w:hint="eastAsia" w:hAnsi="宋体"/>
                <w:b/>
                <w:color w:val="auto"/>
                <w:sz w:val="24"/>
                <w:szCs w:val="24"/>
              </w:rPr>
              <w:t>名称</w:t>
            </w:r>
          </w:p>
        </w:tc>
        <w:tc>
          <w:tcPr>
            <w:tcW w:w="2564"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品牌</w:t>
            </w:r>
            <w:r>
              <w:rPr>
                <w:rFonts w:hint="eastAsia" w:hAnsi="宋体"/>
                <w:b/>
                <w:color w:val="auto"/>
                <w:sz w:val="24"/>
                <w:szCs w:val="24"/>
              </w:rPr>
              <w:t>规格型号</w:t>
            </w:r>
          </w:p>
        </w:tc>
        <w:tc>
          <w:tcPr>
            <w:tcW w:w="1091"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制造商名称及</w:t>
            </w:r>
            <w:r>
              <w:rPr>
                <w:rFonts w:hint="eastAsia" w:hAnsi="宋体"/>
                <w:b/>
                <w:color w:val="auto"/>
                <w:sz w:val="24"/>
                <w:szCs w:val="24"/>
              </w:rPr>
              <w:t>产地</w:t>
            </w:r>
          </w:p>
        </w:tc>
        <w:tc>
          <w:tcPr>
            <w:tcW w:w="818" w:type="dxa"/>
            <w:vAlign w:val="center"/>
          </w:tcPr>
          <w:p>
            <w:pPr>
              <w:tabs>
                <w:tab w:val="left" w:pos="970"/>
              </w:tabs>
              <w:spacing w:after="84"/>
              <w:jc w:val="center"/>
              <w:rPr>
                <w:rFonts w:hint="eastAsia"/>
                <w:b/>
                <w:color w:val="auto"/>
                <w:sz w:val="24"/>
                <w:szCs w:val="24"/>
              </w:rPr>
            </w:pPr>
            <w:r>
              <w:rPr>
                <w:rFonts w:hint="eastAsia"/>
                <w:b/>
                <w:color w:val="auto"/>
                <w:sz w:val="24"/>
                <w:szCs w:val="24"/>
              </w:rPr>
              <w:t>数量</w:t>
            </w:r>
            <w:r>
              <w:rPr>
                <w:rFonts w:hint="eastAsia"/>
                <w:b/>
                <w:color w:val="auto"/>
                <w:sz w:val="24"/>
                <w:szCs w:val="24"/>
                <w:lang w:eastAsia="zh-CN"/>
              </w:rPr>
              <w:t>及单位</w:t>
            </w:r>
          </w:p>
        </w:tc>
        <w:tc>
          <w:tcPr>
            <w:tcW w:w="1153" w:type="dxa"/>
            <w:vAlign w:val="center"/>
          </w:tcPr>
          <w:p>
            <w:pPr>
              <w:tabs>
                <w:tab w:val="left" w:pos="970"/>
              </w:tabs>
              <w:spacing w:after="84"/>
              <w:jc w:val="center"/>
              <w:rPr>
                <w:b/>
                <w:color w:val="auto"/>
                <w:sz w:val="24"/>
                <w:szCs w:val="24"/>
              </w:rPr>
            </w:pPr>
            <w:r>
              <w:rPr>
                <w:rFonts w:hint="eastAsia" w:hAnsi="宋体"/>
                <w:b/>
                <w:color w:val="auto"/>
                <w:sz w:val="24"/>
                <w:szCs w:val="24"/>
              </w:rPr>
              <w:t>单价</w:t>
            </w:r>
          </w:p>
        </w:tc>
        <w:tc>
          <w:tcPr>
            <w:tcW w:w="1570" w:type="dxa"/>
            <w:vAlign w:val="center"/>
          </w:tcPr>
          <w:p>
            <w:pPr>
              <w:tabs>
                <w:tab w:val="left" w:pos="970"/>
              </w:tabs>
              <w:spacing w:after="84"/>
              <w:jc w:val="center"/>
              <w:rPr>
                <w:rFonts w:hint="eastAsia" w:hAnsi="宋体"/>
                <w:b/>
                <w:bCs/>
                <w:color w:val="auto"/>
                <w:kern w:val="0"/>
                <w:sz w:val="24"/>
                <w:szCs w:val="24"/>
              </w:rPr>
            </w:pPr>
            <w:r>
              <w:rPr>
                <w:rFonts w:hint="eastAsia" w:hAnsi="宋体"/>
                <w:b/>
                <w:bCs/>
                <w:color w:val="auto"/>
                <w:kern w:val="0"/>
                <w:sz w:val="24"/>
                <w:szCs w:val="24"/>
              </w:rPr>
              <w:t>总价</w:t>
            </w:r>
          </w:p>
          <w:p>
            <w:pPr>
              <w:tabs>
                <w:tab w:val="left" w:pos="970"/>
              </w:tabs>
              <w:spacing w:after="84"/>
              <w:rPr>
                <w:b/>
                <w:color w:val="auto"/>
                <w:sz w:val="24"/>
                <w:szCs w:val="24"/>
              </w:rPr>
            </w:pPr>
            <w:r>
              <w:rPr>
                <w:rFonts w:hAnsi="宋体"/>
                <w:b/>
                <w:bCs/>
                <w:color w:val="auto"/>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bCs/>
                <w:color w:val="auto"/>
                <w:sz w:val="24"/>
                <w:szCs w:val="24"/>
              </w:rPr>
            </w:pPr>
          </w:p>
        </w:tc>
        <w:tc>
          <w:tcPr>
            <w:tcW w:w="2564" w:type="dxa"/>
            <w:vAlign w:val="center"/>
          </w:tcPr>
          <w:p>
            <w:pPr>
              <w:tabs>
                <w:tab w:val="left" w:pos="970"/>
              </w:tabs>
              <w:ind w:firstLine="480"/>
              <w:rPr>
                <w:bCs/>
                <w:color w:val="auto"/>
                <w:sz w:val="24"/>
                <w:szCs w:val="24"/>
              </w:rPr>
            </w:pPr>
          </w:p>
        </w:tc>
        <w:tc>
          <w:tcPr>
            <w:tcW w:w="1091" w:type="dxa"/>
            <w:vAlign w:val="center"/>
          </w:tcPr>
          <w:p>
            <w:pPr>
              <w:tabs>
                <w:tab w:val="left" w:pos="970"/>
              </w:tabs>
              <w:ind w:firstLine="480"/>
              <w:rPr>
                <w:bCs/>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7821" w:type="dxa"/>
            <w:gridSpan w:val="6"/>
            <w:vAlign w:val="center"/>
          </w:tcPr>
          <w:p>
            <w:pPr>
              <w:tabs>
                <w:tab w:val="left" w:pos="970"/>
              </w:tabs>
              <w:spacing w:after="84"/>
              <w:ind w:firstLine="482"/>
              <w:jc w:val="center"/>
              <w:rPr>
                <w:rFonts w:hint="eastAsia"/>
                <w:b/>
                <w:color w:val="auto"/>
                <w:sz w:val="24"/>
                <w:szCs w:val="24"/>
              </w:rPr>
            </w:pPr>
            <w:r>
              <w:rPr>
                <w:rFonts w:hint="eastAsia"/>
                <w:b/>
                <w:color w:val="auto"/>
                <w:sz w:val="24"/>
                <w:szCs w:val="24"/>
              </w:rPr>
              <w:t>投标报价合计</w:t>
            </w:r>
          </w:p>
        </w:tc>
        <w:tc>
          <w:tcPr>
            <w:tcW w:w="1570" w:type="dxa"/>
            <w:vAlign w:val="center"/>
          </w:tcPr>
          <w:p>
            <w:pPr>
              <w:tabs>
                <w:tab w:val="left" w:pos="970"/>
              </w:tabs>
              <w:spacing w:after="84"/>
              <w:ind w:firstLine="482"/>
              <w:jc w:val="center"/>
              <w:rPr>
                <w:b/>
                <w:color w:val="auto"/>
                <w:sz w:val="24"/>
                <w:szCs w:val="24"/>
              </w:rPr>
            </w:pPr>
          </w:p>
        </w:tc>
      </w:tr>
    </w:tbl>
    <w:p>
      <w:pPr>
        <w:pStyle w:val="50"/>
        <w:numPr>
          <w:ilvl w:val="0"/>
          <w:numId w:val="0"/>
        </w:numPr>
        <w:tabs>
          <w:tab w:val="left" w:pos="660"/>
        </w:tabs>
        <w:snapToGrid w:val="0"/>
        <w:spacing w:before="0" w:line="400" w:lineRule="exact"/>
        <w:ind w:left="254"/>
        <w:rPr>
          <w:rFonts w:cs="微软雅黑"/>
          <w:color w:val="auto"/>
          <w:sz w:val="24"/>
          <w:szCs w:val="24"/>
        </w:rPr>
      </w:pPr>
      <w:r>
        <w:rPr>
          <w:rFonts w:hint="eastAsia" w:cs="微软雅黑"/>
          <w:color w:val="auto"/>
          <w:sz w:val="24"/>
          <w:szCs w:val="24"/>
        </w:rPr>
        <w:t>说明：</w:t>
      </w:r>
    </w:p>
    <w:p>
      <w:pPr>
        <w:pStyle w:val="50"/>
        <w:numPr>
          <w:ilvl w:val="0"/>
          <w:numId w:val="0"/>
        </w:numPr>
        <w:tabs>
          <w:tab w:val="left" w:pos="660"/>
        </w:tabs>
        <w:snapToGrid w:val="0"/>
        <w:spacing w:before="0" w:line="400" w:lineRule="exact"/>
        <w:ind w:left="254"/>
        <w:rPr>
          <w:color w:val="auto"/>
          <w:sz w:val="24"/>
          <w:szCs w:val="24"/>
        </w:rPr>
      </w:pPr>
      <w:r>
        <w:rPr>
          <w:rFonts w:hint="eastAsia"/>
          <w:color w:val="auto"/>
          <w:sz w:val="24"/>
          <w:szCs w:val="24"/>
        </w:rPr>
        <w:t>1、投标分项报价表汇总总价须与投标一览表的总价一致。</w:t>
      </w:r>
    </w:p>
    <w:p>
      <w:pPr>
        <w:pStyle w:val="50"/>
        <w:numPr>
          <w:ilvl w:val="0"/>
          <w:numId w:val="0"/>
        </w:numPr>
        <w:tabs>
          <w:tab w:val="left" w:pos="660"/>
        </w:tabs>
        <w:snapToGrid w:val="0"/>
        <w:spacing w:before="0" w:line="400" w:lineRule="exact"/>
        <w:ind w:left="254"/>
        <w:rPr>
          <w:color w:val="auto"/>
          <w:sz w:val="24"/>
          <w:szCs w:val="24"/>
        </w:rPr>
      </w:pPr>
      <w:r>
        <w:rPr>
          <w:rFonts w:hint="eastAsia"/>
          <w:color w:val="auto"/>
          <w:sz w:val="24"/>
          <w:szCs w:val="24"/>
        </w:rPr>
        <w:t>2、投标分项报价表中所填写的货物和服务名称、数量须与</w:t>
      </w:r>
      <w:r>
        <w:rPr>
          <w:rFonts w:hint="eastAsia" w:cs="微软雅黑"/>
          <w:color w:val="auto"/>
          <w:sz w:val="24"/>
          <w:szCs w:val="24"/>
        </w:rPr>
        <w:t>第</w:t>
      </w:r>
      <w:r>
        <w:rPr>
          <w:rFonts w:hint="eastAsia" w:cs="微软雅黑"/>
          <w:color w:val="auto"/>
          <w:sz w:val="24"/>
          <w:szCs w:val="24"/>
          <w:lang w:eastAsia="zh-CN"/>
        </w:rPr>
        <w:t>四</w:t>
      </w:r>
      <w:r>
        <w:rPr>
          <w:rFonts w:hint="eastAsia" w:cs="微软雅黑"/>
          <w:color w:val="auto"/>
          <w:sz w:val="24"/>
          <w:szCs w:val="24"/>
        </w:rPr>
        <w:t>部分采购清单列明的项目、数量一致。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5"/>
        <w:numPr>
          <w:ilvl w:val="-1"/>
          <w:numId w:val="0"/>
        </w:numPr>
        <w:rPr>
          <w:rFonts w:hint="eastAsia" w:ascii="宋体" w:hAnsi="宋体" w:eastAsia="宋体"/>
          <w:color w:val="auto"/>
          <w:sz w:val="24"/>
        </w:rPr>
      </w:pPr>
      <w:r>
        <w:rPr>
          <w:rFonts w:hint="eastAsia" w:ascii="宋体" w:hAnsi="宋体" w:eastAsia="宋体"/>
          <w:color w:val="auto"/>
          <w:sz w:val="24"/>
        </w:rPr>
        <w:t>表5-1：技术规格偏离表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2"/>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60"/>
        <w:gridCol w:w="1278"/>
        <w:gridCol w:w="736"/>
        <w:gridCol w:w="1296"/>
        <w:gridCol w:w="1377"/>
        <w:gridCol w:w="107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center"/>
          </w:tcPr>
          <w:p>
            <w:pPr>
              <w:pStyle w:val="14"/>
              <w:jc w:val="center"/>
              <w:rPr>
                <w:rFonts w:hint="eastAsia" w:hAnsi="宋体"/>
                <w:color w:val="auto"/>
                <w:sz w:val="24"/>
              </w:rPr>
            </w:pPr>
            <w:r>
              <w:rPr>
                <w:rFonts w:hint="eastAsia" w:hAnsi="宋体"/>
                <w:b/>
                <w:color w:val="auto"/>
              </w:rPr>
              <w:t>序 号</w:t>
            </w:r>
          </w:p>
        </w:tc>
        <w:tc>
          <w:tcPr>
            <w:tcW w:w="1260" w:type="dxa"/>
            <w:vAlign w:val="center"/>
          </w:tcPr>
          <w:p>
            <w:pPr>
              <w:pStyle w:val="14"/>
              <w:jc w:val="center"/>
              <w:rPr>
                <w:rFonts w:hint="eastAsia" w:hAnsi="宋体"/>
                <w:color w:val="auto"/>
                <w:sz w:val="24"/>
              </w:rPr>
            </w:pPr>
            <w:r>
              <w:rPr>
                <w:rFonts w:hint="eastAsia" w:hAnsi="宋体"/>
                <w:b/>
                <w:color w:val="auto"/>
              </w:rPr>
              <w:t>货物或服务名称</w:t>
            </w:r>
          </w:p>
        </w:tc>
        <w:tc>
          <w:tcPr>
            <w:tcW w:w="1278" w:type="dxa"/>
            <w:vAlign w:val="center"/>
          </w:tcPr>
          <w:p>
            <w:pPr>
              <w:pStyle w:val="14"/>
              <w:jc w:val="center"/>
              <w:rPr>
                <w:rFonts w:hint="eastAsia" w:hAnsi="宋体"/>
                <w:color w:val="auto"/>
                <w:sz w:val="24"/>
              </w:rPr>
            </w:pPr>
            <w:r>
              <w:rPr>
                <w:rFonts w:hint="eastAsia" w:hAnsi="宋体"/>
                <w:b/>
                <w:color w:val="auto"/>
              </w:rPr>
              <w:t>型号和规格</w:t>
            </w:r>
          </w:p>
        </w:tc>
        <w:tc>
          <w:tcPr>
            <w:tcW w:w="736" w:type="dxa"/>
            <w:vAlign w:val="center"/>
          </w:tcPr>
          <w:p>
            <w:pPr>
              <w:pStyle w:val="14"/>
              <w:jc w:val="center"/>
              <w:rPr>
                <w:rFonts w:hint="eastAsia" w:hAnsi="宋体"/>
                <w:color w:val="auto"/>
                <w:sz w:val="24"/>
              </w:rPr>
            </w:pPr>
            <w:r>
              <w:rPr>
                <w:rFonts w:hint="eastAsia" w:hAnsi="宋体"/>
                <w:b/>
                <w:color w:val="auto"/>
              </w:rPr>
              <w:t>数 量</w:t>
            </w:r>
          </w:p>
        </w:tc>
        <w:tc>
          <w:tcPr>
            <w:tcW w:w="1296" w:type="dxa"/>
            <w:vAlign w:val="center"/>
          </w:tcPr>
          <w:p>
            <w:pPr>
              <w:pStyle w:val="14"/>
              <w:jc w:val="center"/>
              <w:rPr>
                <w:rFonts w:hint="eastAsia" w:hAnsi="宋体"/>
                <w:color w:val="auto"/>
                <w:sz w:val="24"/>
              </w:rPr>
            </w:pPr>
            <w:r>
              <w:rPr>
                <w:rFonts w:hint="eastAsia" w:hAnsi="宋体"/>
                <w:b/>
                <w:color w:val="auto"/>
              </w:rPr>
              <w:t>招标文件技术参数</w:t>
            </w:r>
          </w:p>
        </w:tc>
        <w:tc>
          <w:tcPr>
            <w:tcW w:w="1377" w:type="dxa"/>
            <w:vAlign w:val="center"/>
          </w:tcPr>
          <w:p>
            <w:pPr>
              <w:pStyle w:val="14"/>
              <w:jc w:val="center"/>
              <w:rPr>
                <w:rFonts w:hint="eastAsia" w:hAnsi="宋体"/>
                <w:color w:val="auto"/>
                <w:sz w:val="24"/>
              </w:rPr>
            </w:pPr>
            <w:r>
              <w:rPr>
                <w:rFonts w:hint="eastAsia" w:hAnsi="宋体"/>
                <w:b/>
                <w:color w:val="auto"/>
              </w:rPr>
              <w:t>投标技术参数</w:t>
            </w:r>
          </w:p>
        </w:tc>
        <w:tc>
          <w:tcPr>
            <w:tcW w:w="1073" w:type="dxa"/>
            <w:vAlign w:val="center"/>
          </w:tcPr>
          <w:p>
            <w:pPr>
              <w:pStyle w:val="14"/>
              <w:jc w:val="center"/>
              <w:rPr>
                <w:rFonts w:hAnsi="宋体"/>
                <w:b/>
                <w:color w:val="auto"/>
              </w:rPr>
            </w:pPr>
            <w:r>
              <w:rPr>
                <w:rFonts w:hint="eastAsia" w:hAnsi="宋体"/>
                <w:b/>
                <w:color w:val="auto"/>
              </w:rPr>
              <w:t>偏离情况</w:t>
            </w:r>
          </w:p>
          <w:p>
            <w:pPr>
              <w:pStyle w:val="14"/>
              <w:jc w:val="center"/>
              <w:rPr>
                <w:rFonts w:hint="eastAsia" w:hAnsi="宋体"/>
                <w:color w:val="auto"/>
                <w:sz w:val="24"/>
              </w:rPr>
            </w:pPr>
            <w:r>
              <w:rPr>
                <w:rFonts w:hint="eastAsia" w:hAnsi="宋体"/>
                <w:b/>
                <w:color w:val="auto"/>
              </w:rPr>
              <w:t>（无偏离/正偏离/负偏离）</w:t>
            </w:r>
          </w:p>
        </w:tc>
        <w:tc>
          <w:tcPr>
            <w:tcW w:w="900" w:type="dxa"/>
            <w:vAlign w:val="center"/>
          </w:tcPr>
          <w:p>
            <w:pPr>
              <w:pStyle w:val="14"/>
              <w:jc w:val="center"/>
              <w:rPr>
                <w:rFonts w:hint="eastAsia" w:hAnsi="宋体"/>
                <w:color w:val="auto"/>
                <w:sz w:val="24"/>
              </w:rPr>
            </w:pPr>
            <w:r>
              <w:rPr>
                <w:rFonts w:hint="eastAsia" w:hAnsi="宋体"/>
                <w:b/>
                <w:color w:val="auto"/>
              </w:rPr>
              <w:t>偏离内容说明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278" w:type="dxa"/>
            <w:vAlign w:val="top"/>
          </w:tcPr>
          <w:p>
            <w:pPr>
              <w:pStyle w:val="14"/>
              <w:rPr>
                <w:rFonts w:hint="eastAsia" w:hAnsi="宋体"/>
                <w:color w:val="auto"/>
                <w:sz w:val="24"/>
              </w:rPr>
            </w:pPr>
          </w:p>
        </w:tc>
        <w:tc>
          <w:tcPr>
            <w:tcW w:w="736" w:type="dxa"/>
            <w:vAlign w:val="top"/>
          </w:tcPr>
          <w:p>
            <w:pPr>
              <w:pStyle w:val="14"/>
              <w:rPr>
                <w:rFonts w:hint="eastAsia" w:hAnsi="宋体"/>
                <w:color w:val="auto"/>
                <w:sz w:val="24"/>
              </w:rPr>
            </w:pPr>
          </w:p>
        </w:tc>
        <w:tc>
          <w:tcPr>
            <w:tcW w:w="1296" w:type="dxa"/>
            <w:vAlign w:val="top"/>
          </w:tcPr>
          <w:p>
            <w:pPr>
              <w:pStyle w:val="14"/>
              <w:rPr>
                <w:rFonts w:hint="eastAsia" w:hAnsi="宋体"/>
                <w:color w:val="auto"/>
                <w:sz w:val="24"/>
              </w:rPr>
            </w:pPr>
          </w:p>
        </w:tc>
        <w:tc>
          <w:tcPr>
            <w:tcW w:w="1377" w:type="dxa"/>
            <w:vAlign w:val="top"/>
          </w:tcPr>
          <w:p>
            <w:pPr>
              <w:pStyle w:val="14"/>
              <w:rPr>
                <w:rFonts w:hint="eastAsia" w:hAnsi="宋体"/>
                <w:color w:val="auto"/>
                <w:sz w:val="24"/>
              </w:rPr>
            </w:pPr>
          </w:p>
        </w:tc>
        <w:tc>
          <w:tcPr>
            <w:tcW w:w="1073"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278" w:type="dxa"/>
            <w:vAlign w:val="top"/>
          </w:tcPr>
          <w:p>
            <w:pPr>
              <w:pStyle w:val="14"/>
              <w:rPr>
                <w:rFonts w:hint="eastAsia" w:hAnsi="宋体"/>
                <w:color w:val="auto"/>
                <w:sz w:val="24"/>
              </w:rPr>
            </w:pPr>
          </w:p>
        </w:tc>
        <w:tc>
          <w:tcPr>
            <w:tcW w:w="736" w:type="dxa"/>
            <w:vAlign w:val="top"/>
          </w:tcPr>
          <w:p>
            <w:pPr>
              <w:pStyle w:val="14"/>
              <w:rPr>
                <w:rFonts w:hint="eastAsia" w:hAnsi="宋体"/>
                <w:color w:val="auto"/>
                <w:sz w:val="24"/>
              </w:rPr>
            </w:pPr>
          </w:p>
        </w:tc>
        <w:tc>
          <w:tcPr>
            <w:tcW w:w="1296" w:type="dxa"/>
            <w:vAlign w:val="top"/>
          </w:tcPr>
          <w:p>
            <w:pPr>
              <w:pStyle w:val="14"/>
              <w:rPr>
                <w:rFonts w:hint="eastAsia" w:hAnsi="宋体"/>
                <w:color w:val="auto"/>
                <w:sz w:val="24"/>
              </w:rPr>
            </w:pPr>
          </w:p>
        </w:tc>
        <w:tc>
          <w:tcPr>
            <w:tcW w:w="1377" w:type="dxa"/>
            <w:vAlign w:val="top"/>
          </w:tcPr>
          <w:p>
            <w:pPr>
              <w:pStyle w:val="14"/>
              <w:rPr>
                <w:rFonts w:hint="eastAsia" w:hAnsi="宋体"/>
                <w:color w:val="auto"/>
                <w:sz w:val="24"/>
              </w:rPr>
            </w:pPr>
          </w:p>
        </w:tc>
        <w:tc>
          <w:tcPr>
            <w:tcW w:w="1073"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278" w:type="dxa"/>
            <w:vAlign w:val="top"/>
          </w:tcPr>
          <w:p>
            <w:pPr>
              <w:pStyle w:val="14"/>
              <w:rPr>
                <w:rFonts w:hint="eastAsia" w:hAnsi="宋体"/>
                <w:color w:val="auto"/>
                <w:sz w:val="24"/>
              </w:rPr>
            </w:pPr>
          </w:p>
        </w:tc>
        <w:tc>
          <w:tcPr>
            <w:tcW w:w="736" w:type="dxa"/>
            <w:vAlign w:val="top"/>
          </w:tcPr>
          <w:p>
            <w:pPr>
              <w:pStyle w:val="14"/>
              <w:rPr>
                <w:rFonts w:hint="eastAsia" w:hAnsi="宋体"/>
                <w:color w:val="auto"/>
                <w:sz w:val="24"/>
              </w:rPr>
            </w:pPr>
          </w:p>
        </w:tc>
        <w:tc>
          <w:tcPr>
            <w:tcW w:w="1296" w:type="dxa"/>
            <w:vAlign w:val="top"/>
          </w:tcPr>
          <w:p>
            <w:pPr>
              <w:pStyle w:val="14"/>
              <w:rPr>
                <w:rFonts w:hint="eastAsia" w:hAnsi="宋体"/>
                <w:color w:val="auto"/>
                <w:sz w:val="24"/>
              </w:rPr>
            </w:pPr>
          </w:p>
        </w:tc>
        <w:tc>
          <w:tcPr>
            <w:tcW w:w="1377" w:type="dxa"/>
            <w:vAlign w:val="top"/>
          </w:tcPr>
          <w:p>
            <w:pPr>
              <w:pStyle w:val="14"/>
              <w:rPr>
                <w:rFonts w:hint="eastAsia" w:hAnsi="宋体"/>
                <w:color w:val="auto"/>
                <w:sz w:val="24"/>
              </w:rPr>
            </w:pPr>
          </w:p>
        </w:tc>
        <w:tc>
          <w:tcPr>
            <w:tcW w:w="1073"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278" w:type="dxa"/>
            <w:vAlign w:val="top"/>
          </w:tcPr>
          <w:p>
            <w:pPr>
              <w:pStyle w:val="14"/>
              <w:rPr>
                <w:rFonts w:hint="eastAsia" w:hAnsi="宋体"/>
                <w:color w:val="auto"/>
                <w:sz w:val="24"/>
              </w:rPr>
            </w:pPr>
          </w:p>
        </w:tc>
        <w:tc>
          <w:tcPr>
            <w:tcW w:w="736" w:type="dxa"/>
            <w:vAlign w:val="top"/>
          </w:tcPr>
          <w:p>
            <w:pPr>
              <w:pStyle w:val="14"/>
              <w:rPr>
                <w:rFonts w:hint="eastAsia" w:hAnsi="宋体"/>
                <w:color w:val="auto"/>
                <w:sz w:val="24"/>
              </w:rPr>
            </w:pPr>
          </w:p>
        </w:tc>
        <w:tc>
          <w:tcPr>
            <w:tcW w:w="1296" w:type="dxa"/>
            <w:vAlign w:val="top"/>
          </w:tcPr>
          <w:p>
            <w:pPr>
              <w:pStyle w:val="14"/>
              <w:rPr>
                <w:rFonts w:hint="eastAsia" w:hAnsi="宋体"/>
                <w:color w:val="auto"/>
                <w:sz w:val="24"/>
              </w:rPr>
            </w:pPr>
          </w:p>
        </w:tc>
        <w:tc>
          <w:tcPr>
            <w:tcW w:w="1377" w:type="dxa"/>
            <w:vAlign w:val="top"/>
          </w:tcPr>
          <w:p>
            <w:pPr>
              <w:pStyle w:val="14"/>
              <w:rPr>
                <w:rFonts w:hint="eastAsia" w:hAnsi="宋体"/>
                <w:color w:val="auto"/>
                <w:sz w:val="24"/>
              </w:rPr>
            </w:pPr>
          </w:p>
        </w:tc>
        <w:tc>
          <w:tcPr>
            <w:tcW w:w="1073"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278" w:type="dxa"/>
            <w:vAlign w:val="top"/>
          </w:tcPr>
          <w:p>
            <w:pPr>
              <w:pStyle w:val="14"/>
              <w:rPr>
                <w:rFonts w:hint="eastAsia" w:hAnsi="宋体"/>
                <w:color w:val="auto"/>
                <w:sz w:val="24"/>
              </w:rPr>
            </w:pPr>
          </w:p>
        </w:tc>
        <w:tc>
          <w:tcPr>
            <w:tcW w:w="736" w:type="dxa"/>
            <w:vAlign w:val="top"/>
          </w:tcPr>
          <w:p>
            <w:pPr>
              <w:pStyle w:val="14"/>
              <w:rPr>
                <w:rFonts w:hint="eastAsia" w:hAnsi="宋体"/>
                <w:color w:val="auto"/>
                <w:sz w:val="24"/>
              </w:rPr>
            </w:pPr>
          </w:p>
        </w:tc>
        <w:tc>
          <w:tcPr>
            <w:tcW w:w="1296" w:type="dxa"/>
            <w:vAlign w:val="top"/>
          </w:tcPr>
          <w:p>
            <w:pPr>
              <w:pStyle w:val="14"/>
              <w:rPr>
                <w:rFonts w:hint="eastAsia" w:hAnsi="宋体"/>
                <w:color w:val="auto"/>
                <w:sz w:val="24"/>
              </w:rPr>
            </w:pPr>
          </w:p>
        </w:tc>
        <w:tc>
          <w:tcPr>
            <w:tcW w:w="1377" w:type="dxa"/>
            <w:vAlign w:val="top"/>
          </w:tcPr>
          <w:p>
            <w:pPr>
              <w:pStyle w:val="14"/>
              <w:rPr>
                <w:rFonts w:hint="eastAsia" w:hAnsi="宋体"/>
                <w:color w:val="auto"/>
                <w:sz w:val="24"/>
              </w:rPr>
            </w:pPr>
          </w:p>
        </w:tc>
        <w:tc>
          <w:tcPr>
            <w:tcW w:w="1073"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278" w:type="dxa"/>
            <w:vAlign w:val="top"/>
          </w:tcPr>
          <w:p>
            <w:pPr>
              <w:pStyle w:val="14"/>
              <w:rPr>
                <w:rFonts w:hint="eastAsia" w:hAnsi="宋体"/>
                <w:color w:val="auto"/>
                <w:sz w:val="24"/>
              </w:rPr>
            </w:pPr>
          </w:p>
        </w:tc>
        <w:tc>
          <w:tcPr>
            <w:tcW w:w="736" w:type="dxa"/>
            <w:vAlign w:val="top"/>
          </w:tcPr>
          <w:p>
            <w:pPr>
              <w:pStyle w:val="14"/>
              <w:rPr>
                <w:rFonts w:hint="eastAsia" w:hAnsi="宋体"/>
                <w:color w:val="auto"/>
                <w:sz w:val="24"/>
              </w:rPr>
            </w:pPr>
          </w:p>
        </w:tc>
        <w:tc>
          <w:tcPr>
            <w:tcW w:w="1296" w:type="dxa"/>
            <w:vAlign w:val="top"/>
          </w:tcPr>
          <w:p>
            <w:pPr>
              <w:pStyle w:val="14"/>
              <w:rPr>
                <w:rFonts w:hint="eastAsia" w:hAnsi="宋体"/>
                <w:color w:val="auto"/>
                <w:sz w:val="24"/>
              </w:rPr>
            </w:pPr>
          </w:p>
        </w:tc>
        <w:tc>
          <w:tcPr>
            <w:tcW w:w="1377" w:type="dxa"/>
            <w:vAlign w:val="top"/>
          </w:tcPr>
          <w:p>
            <w:pPr>
              <w:pStyle w:val="14"/>
              <w:rPr>
                <w:rFonts w:hint="eastAsia" w:hAnsi="宋体"/>
                <w:color w:val="auto"/>
                <w:sz w:val="24"/>
              </w:rPr>
            </w:pPr>
          </w:p>
        </w:tc>
        <w:tc>
          <w:tcPr>
            <w:tcW w:w="1073"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rPr>
          <w:rFonts w:ascii="宋体" w:hAnsi="宋体"/>
          <w:b/>
          <w:color w:val="auto"/>
          <w:sz w:val="24"/>
          <w:szCs w:val="24"/>
        </w:rPr>
      </w:pPr>
      <w:r>
        <w:rPr>
          <w:rFonts w:hint="eastAsia" w:ascii="宋体" w:hAnsi="宋体"/>
          <w:b/>
          <w:color w:val="auto"/>
          <w:sz w:val="24"/>
          <w:szCs w:val="24"/>
        </w:rPr>
        <w:t>说明：</w:t>
      </w:r>
    </w:p>
    <w:p>
      <w:pPr>
        <w:rPr>
          <w:rFonts w:ascii="宋体" w:hAnsi="宋体"/>
          <w:b/>
          <w:color w:val="auto"/>
          <w:sz w:val="24"/>
          <w:szCs w:val="24"/>
        </w:rPr>
      </w:pPr>
      <w:r>
        <w:rPr>
          <w:rFonts w:hint="eastAsia" w:ascii="宋体" w:hAnsi="宋体"/>
          <w:b/>
          <w:color w:val="auto"/>
          <w:sz w:val="24"/>
          <w:szCs w:val="24"/>
        </w:rPr>
        <w:t>1、货物说明及技术偏离表中所填写的货物和服务名称、数量须与第</w:t>
      </w:r>
      <w:r>
        <w:rPr>
          <w:rFonts w:hint="eastAsia" w:ascii="宋体" w:hAnsi="宋体"/>
          <w:b/>
          <w:color w:val="auto"/>
          <w:sz w:val="24"/>
          <w:szCs w:val="24"/>
          <w:lang w:eastAsia="zh-CN"/>
        </w:rPr>
        <w:t>四</w:t>
      </w:r>
      <w:r>
        <w:rPr>
          <w:rFonts w:hint="eastAsia" w:ascii="宋体" w:hAnsi="宋体"/>
          <w:b/>
          <w:color w:val="auto"/>
          <w:sz w:val="24"/>
          <w:szCs w:val="24"/>
        </w:rPr>
        <w:t>部分采购清单列明的项目、数量一致。</w:t>
      </w:r>
    </w:p>
    <w:p>
      <w:pPr>
        <w:pStyle w:val="14"/>
        <w:rPr>
          <w:rFonts w:hint="eastAsia" w:ascii="宋体" w:hAnsi="宋体"/>
          <w:b/>
          <w:color w:val="auto"/>
          <w:sz w:val="24"/>
          <w:szCs w:val="24"/>
        </w:rPr>
      </w:pPr>
      <w:r>
        <w:rPr>
          <w:rFonts w:hint="eastAsia" w:ascii="宋体" w:hAnsi="宋体"/>
          <w:b/>
          <w:color w:val="auto"/>
          <w:sz w:val="24"/>
          <w:szCs w:val="24"/>
        </w:rPr>
        <w:t>2、投标人须如实填写其投标产品的</w:t>
      </w:r>
      <w:r>
        <w:rPr>
          <w:rFonts w:hint="eastAsia" w:hAnsi="宋体"/>
          <w:b/>
          <w:color w:val="auto"/>
          <w:sz w:val="24"/>
          <w:szCs w:val="24"/>
          <w:lang w:eastAsia="zh-CN"/>
        </w:rPr>
        <w:t>详细</w:t>
      </w:r>
      <w:r>
        <w:rPr>
          <w:rFonts w:hint="eastAsia" w:ascii="宋体" w:hAnsi="宋体"/>
          <w:b/>
          <w:color w:val="auto"/>
          <w:sz w:val="24"/>
          <w:szCs w:val="24"/>
        </w:rPr>
        <w:t>参数和偏离程度，如发现提供不实情况的，造成的一切后果由投标人承担。</w:t>
      </w:r>
    </w:p>
    <w:p>
      <w:pPr>
        <w:pStyle w:val="14"/>
        <w:rPr>
          <w:rFonts w:hint="eastAsia" w:ascii="宋体" w:hAnsi="宋体"/>
          <w:b/>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14"/>
        <w:tabs>
          <w:tab w:val="left" w:pos="5580"/>
        </w:tabs>
        <w:spacing w:before="120" w:line="22" w:lineRule="atLeast"/>
        <w:rPr>
          <w:rFonts w:hint="eastAsia" w:hAnsi="宋体"/>
          <w:color w:val="auto"/>
          <w:sz w:val="24"/>
          <w:u w:val="single"/>
        </w:rPr>
      </w:pPr>
      <w:r>
        <w:rPr>
          <w:rFonts w:hint="eastAsia" w:hAnsi="宋体"/>
          <w:color w:val="auto"/>
          <w:sz w:val="24"/>
          <w:szCs w:val="24"/>
        </w:rPr>
        <w:t>日    期：</w:t>
      </w:r>
      <w:r>
        <w:rPr>
          <w:rFonts w:hint="eastAsia" w:hAnsi="宋体"/>
          <w:color w:val="auto"/>
          <w:sz w:val="24"/>
          <w:szCs w:val="24"/>
          <w:u w:val="single"/>
        </w:rPr>
        <w:t xml:space="preserve">                         </w:t>
      </w:r>
    </w:p>
    <w:p>
      <w:pPr>
        <w:pStyle w:val="5"/>
        <w:numPr>
          <w:ilvl w:val="-1"/>
          <w:numId w:val="0"/>
        </w:numPr>
        <w:jc w:val="left"/>
        <w:rPr>
          <w:rFonts w:hint="eastAsia" w:ascii="宋体" w:hAnsi="宋体" w:eastAsia="宋体"/>
          <w:color w:val="auto"/>
          <w:sz w:val="24"/>
        </w:rPr>
      </w:pPr>
      <w:r>
        <w:rPr>
          <w:rFonts w:hint="eastAsia" w:ascii="宋体" w:hAnsi="宋体" w:eastAsia="宋体"/>
          <w:color w:val="auto"/>
          <w:sz w:val="24"/>
          <w:lang w:val="en-US" w:eastAsia="zh-CN"/>
        </w:rPr>
        <w:t>5-2</w:t>
      </w: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spacing w:before="156"/>
              <w:rPr>
                <w:rFonts w:hint="eastAsia" w:hAnsi="宋体"/>
                <w:color w:val="auto"/>
                <w:sz w:val="24"/>
              </w:rPr>
            </w:pPr>
            <w:r>
              <w:rPr>
                <w:rFonts w:hint="eastAsia" w:hAnsi="宋体"/>
                <w:color w:val="auto"/>
                <w:sz w:val="24"/>
              </w:rPr>
              <w:t>序号</w:t>
            </w:r>
          </w:p>
        </w:tc>
        <w:tc>
          <w:tcPr>
            <w:tcW w:w="2040" w:type="dxa"/>
            <w:vAlign w:val="top"/>
          </w:tcPr>
          <w:p>
            <w:pPr>
              <w:pStyle w:val="14"/>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4"/>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4"/>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4"/>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jc w:val="center"/>
              <w:rPr>
                <w:rFonts w:hint="eastAsia" w:hAnsi="宋体"/>
                <w:color w:val="auto"/>
                <w:sz w:val="24"/>
              </w:rPr>
            </w:pPr>
          </w:p>
        </w:tc>
        <w:tc>
          <w:tcPr>
            <w:tcW w:w="2520" w:type="dxa"/>
            <w:vAlign w:val="top"/>
          </w:tcPr>
          <w:p>
            <w:pPr>
              <w:pStyle w:val="14"/>
              <w:jc w:val="center"/>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b/>
          <w:color w:val="0000FF"/>
          <w:sz w:val="24"/>
          <w:szCs w:val="24"/>
        </w:rPr>
        <w:t xml:space="preserve"> </w:t>
      </w:r>
      <w:r>
        <w:rPr>
          <w:rFonts w:hint="eastAsia" w:ascii="宋体" w:hAnsi="宋体"/>
          <w:b/>
          <w:color w:val="auto"/>
          <w:sz w:val="24"/>
          <w:szCs w:val="24"/>
          <w:lang w:eastAsia="zh-CN"/>
        </w:rPr>
        <w:t>技术方案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lang w:eastAsia="zh-CN"/>
        </w:rPr>
        <w:t>设计方案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rPr>
        <w:t>项目实施保障</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sz w:val="24"/>
          <w:szCs w:val="24"/>
          <w:u w:val="none"/>
        </w:rPr>
        <w:t>可视化页面设计</w:t>
      </w:r>
      <w:r>
        <w:rPr>
          <w:rStyle w:val="75"/>
          <w:rFonts w:hint="eastAsia" w:ascii="宋体" w:hAnsi="宋体" w:eastAsia="宋体" w:cs="宋体"/>
          <w:b w:val="0"/>
          <w:bCs/>
          <w:color w:val="auto"/>
          <w:sz w:val="24"/>
          <w:szCs w:val="24"/>
          <w:lang w:eastAsia="zh-CN"/>
        </w:rPr>
        <w:t>。</w:t>
      </w:r>
    </w:p>
    <w:p>
      <w:pPr>
        <w:pStyle w:val="10"/>
        <w:rPr>
          <w:rFonts w:hint="eastAsia"/>
        </w:rPr>
      </w:pPr>
    </w:p>
    <w:p>
      <w:pPr>
        <w:pStyle w:val="2"/>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auto"/>
          <w:sz w:val="24"/>
          <w:szCs w:val="24"/>
          <w:lang w:eastAsia="zh-CN"/>
        </w:rPr>
        <w:t>服务水平</w:t>
      </w:r>
      <w:r>
        <w:rPr>
          <w:rFonts w:hint="eastAsia"/>
          <w:b/>
          <w:color w:val="auto"/>
          <w:sz w:val="24"/>
          <w:szCs w:val="24"/>
        </w:rPr>
        <w:t>（应答本招标文件第四部分“采购需求”中的具体要求，格式自拟）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cs="宋体"/>
          <w:b w:val="0"/>
          <w:bCs/>
          <w:color w:val="000000"/>
          <w:sz w:val="24"/>
          <w:szCs w:val="24"/>
          <w:lang w:eastAsia="zh-CN"/>
        </w:rPr>
        <w:t>售后服务方案</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cs="宋体"/>
          <w:b w:val="0"/>
          <w:bCs/>
          <w:color w:val="000000"/>
          <w:sz w:val="24"/>
          <w:szCs w:val="24"/>
          <w:lang w:eastAsia="zh-CN"/>
        </w:rPr>
        <w:t>培训方案。</w:t>
      </w:r>
    </w:p>
    <w:p>
      <w:pPr>
        <w:pStyle w:val="11"/>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1"/>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8.1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合同首页、金额页、建设内容页和签字盖章页，并加盖投标人公章）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4"/>
        <w:tabs>
          <w:tab w:val="left" w:pos="5220"/>
        </w:tabs>
        <w:spacing w:line="360" w:lineRule="auto"/>
        <w:rPr>
          <w:rFonts w:hint="eastAsia" w:hAnsi="宋体"/>
          <w:b w:val="0"/>
          <w:bCs/>
          <w:color w:val="auto"/>
          <w:sz w:val="24"/>
          <w:szCs w:val="24"/>
          <w:lang w:val="en-US" w:eastAsia="zh-CN"/>
        </w:rPr>
      </w:pPr>
      <w:r>
        <w:rPr>
          <w:rFonts w:hint="eastAsia" w:hAnsi="宋体"/>
          <w:b w:val="0"/>
          <w:bCs/>
          <w:color w:val="auto"/>
          <w:sz w:val="24"/>
          <w:szCs w:val="24"/>
          <w:lang w:val="en-US" w:eastAsia="zh-CN"/>
        </w:rPr>
        <w:t>8.2 实施队伍（按招标文件要求提供项目人员的相关材料）</w:t>
      </w:r>
    </w:p>
    <w:p>
      <w:pPr>
        <w:pStyle w:val="14"/>
        <w:tabs>
          <w:tab w:val="left" w:pos="5220"/>
        </w:tabs>
        <w:spacing w:line="360" w:lineRule="auto"/>
        <w:rPr>
          <w:rFonts w:hint="eastAsia" w:hAnsi="宋体"/>
          <w:b w:val="0"/>
          <w:bCs/>
          <w:color w:val="auto"/>
          <w:sz w:val="24"/>
          <w:szCs w:val="24"/>
          <w:lang w:val="en-US" w:eastAsia="zh-CN"/>
        </w:rPr>
      </w:pPr>
      <w:r>
        <w:rPr>
          <w:rFonts w:hint="eastAsia" w:hAnsi="宋体"/>
          <w:b w:val="0"/>
          <w:bCs/>
          <w:color w:val="auto"/>
          <w:sz w:val="24"/>
          <w:szCs w:val="24"/>
          <w:lang w:val="en-US" w:eastAsia="zh-CN"/>
        </w:rPr>
        <w:t>8.3</w:t>
      </w:r>
      <w:r>
        <w:rPr>
          <w:rFonts w:hint="eastAsia" w:ascii="宋体" w:hAnsi="宋体"/>
          <w:b w:val="0"/>
          <w:bCs/>
          <w:color w:val="auto"/>
          <w:sz w:val="24"/>
          <w:szCs w:val="24"/>
          <w:lang w:val="en-US" w:eastAsia="zh-CN"/>
        </w:rPr>
        <w:t>投标人</w:t>
      </w:r>
      <w:r>
        <w:rPr>
          <w:rFonts w:hint="eastAsia" w:hAnsi="宋体"/>
          <w:b w:val="0"/>
          <w:bCs/>
          <w:color w:val="auto"/>
          <w:sz w:val="24"/>
          <w:szCs w:val="24"/>
          <w:lang w:val="en-US" w:eastAsia="zh-CN"/>
        </w:rPr>
        <w:t>认证</w:t>
      </w:r>
      <w:r>
        <w:rPr>
          <w:rFonts w:hint="eastAsia" w:ascii="宋体" w:hAnsi="宋体"/>
          <w:b w:val="0"/>
          <w:bCs/>
          <w:color w:val="auto"/>
          <w:sz w:val="24"/>
          <w:szCs w:val="24"/>
          <w:lang w:val="en-US" w:eastAsia="zh-CN"/>
        </w:rPr>
        <w:t>证书（按</w:t>
      </w:r>
      <w:r>
        <w:rPr>
          <w:rFonts w:hint="eastAsia" w:hAnsi="宋体"/>
          <w:b w:val="0"/>
          <w:bCs/>
          <w:color w:val="auto"/>
          <w:sz w:val="24"/>
          <w:szCs w:val="24"/>
          <w:lang w:val="en-US" w:eastAsia="zh-CN"/>
        </w:rPr>
        <w:t>招标文件</w:t>
      </w:r>
      <w:r>
        <w:rPr>
          <w:rFonts w:hint="eastAsia" w:ascii="宋体" w:hAnsi="宋体"/>
          <w:b w:val="0"/>
          <w:bCs/>
          <w:color w:val="auto"/>
          <w:sz w:val="24"/>
          <w:szCs w:val="24"/>
          <w:lang w:val="en-US" w:eastAsia="zh-CN"/>
        </w:rPr>
        <w:t>要求提供证书复印件并加盖投标人公章）</w:t>
      </w:r>
    </w:p>
    <w:p>
      <w:pPr>
        <w:pStyle w:val="14"/>
        <w:tabs>
          <w:tab w:val="left" w:pos="5220"/>
        </w:tabs>
        <w:spacing w:line="360" w:lineRule="auto"/>
        <w:rPr>
          <w:rFonts w:hint="eastAsia" w:hAnsi="宋体"/>
          <w:b w:val="0"/>
          <w:bCs/>
          <w:color w:val="auto"/>
          <w:sz w:val="24"/>
          <w:szCs w:val="24"/>
          <w:lang w:val="en-US" w:eastAsia="zh-CN"/>
        </w:rPr>
      </w:pPr>
      <w:r>
        <w:rPr>
          <w:rFonts w:hint="eastAsia" w:hAnsi="宋体"/>
          <w:b w:val="0"/>
          <w:bCs/>
          <w:color w:val="auto"/>
          <w:sz w:val="24"/>
          <w:szCs w:val="24"/>
          <w:lang w:val="en-US" w:eastAsia="zh-CN"/>
        </w:rPr>
        <w:t>8.4 硬件设备资质（按招标文件要求提供相关证书复印件并加盖投标人公章）</w:t>
      </w:r>
    </w:p>
    <w:p>
      <w:pPr>
        <w:pStyle w:val="14"/>
        <w:tabs>
          <w:tab w:val="left" w:pos="5220"/>
        </w:tabs>
        <w:spacing w:line="360" w:lineRule="auto"/>
        <w:rPr>
          <w:rFonts w:hint="eastAsia" w:hAnsi="宋体"/>
          <w:b w:val="0"/>
          <w:bCs/>
          <w:color w:val="auto"/>
          <w:sz w:val="24"/>
          <w:szCs w:val="24"/>
          <w:lang w:val="en-US" w:eastAsia="zh-CN"/>
        </w:rPr>
      </w:pPr>
      <w:r>
        <w:rPr>
          <w:rFonts w:hint="eastAsia" w:hAnsi="宋体"/>
          <w:b w:val="0"/>
          <w:bCs/>
          <w:color w:val="auto"/>
          <w:sz w:val="24"/>
          <w:szCs w:val="24"/>
          <w:lang w:val="en-US" w:eastAsia="zh-CN"/>
        </w:rPr>
        <w:t>8.5 软件资质（按招标文件要求提供证书复印件并加盖投标人公章）</w:t>
      </w: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1"/>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pStyle w:val="12"/>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rPr>
          <w:b w:val="0"/>
          <w:color w:val="auto"/>
          <w:szCs w:val="21"/>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4">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5FD1DD5E"/>
    <w:multiLevelType w:val="singleLevel"/>
    <w:tmpl w:val="5FD1DD5E"/>
    <w:lvl w:ilvl="0" w:tentative="0">
      <w:start w:val="2"/>
      <w:numFmt w:val="chineseCounting"/>
      <w:suff w:val="nothing"/>
      <w:lvlText w:val="%1、"/>
      <w:lvlJc w:val="left"/>
    </w:lvl>
  </w:abstractNum>
  <w:abstractNum w:abstractNumId="16">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60D2DDBF"/>
    <w:multiLevelType w:val="singleLevel"/>
    <w:tmpl w:val="60D2DDBF"/>
    <w:lvl w:ilvl="0" w:tentative="0">
      <w:start w:val="1"/>
      <w:numFmt w:val="chineseCounting"/>
      <w:suff w:val="nothing"/>
      <w:lvlText w:val="%1、"/>
      <w:lvlJc w:val="left"/>
    </w:lvl>
  </w:abstractNum>
  <w:abstractNum w:abstractNumId="18">
    <w:nsid w:val="64DB4281"/>
    <w:multiLevelType w:val="singleLevel"/>
    <w:tmpl w:val="64DB4281"/>
    <w:lvl w:ilvl="0" w:tentative="0">
      <w:start w:val="2"/>
      <w:numFmt w:val="chineseCounting"/>
      <w:suff w:val="nothing"/>
      <w:lvlText w:val="%1、"/>
      <w:lvlJc w:val="left"/>
    </w:lvl>
  </w:abstractNum>
  <w:abstractNum w:abstractNumId="19">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1"/>
  </w:num>
  <w:num w:numId="2">
    <w:abstractNumId w:val="6"/>
  </w:num>
  <w:num w:numId="3">
    <w:abstractNumId w:val="4"/>
  </w:num>
  <w:num w:numId="4">
    <w:abstractNumId w:val="2"/>
  </w:num>
  <w:num w:numId="5">
    <w:abstractNumId w:val="9"/>
  </w:num>
  <w:num w:numId="6">
    <w:abstractNumId w:val="7"/>
  </w:num>
  <w:num w:numId="7">
    <w:abstractNumId w:val="5"/>
  </w:num>
  <w:num w:numId="8">
    <w:abstractNumId w:val="0"/>
  </w:num>
  <w:num w:numId="9">
    <w:abstractNumId w:val="13"/>
  </w:num>
  <w:num w:numId="10">
    <w:abstractNumId w:val="8"/>
  </w:num>
  <w:num w:numId="11">
    <w:abstractNumId w:val="14"/>
  </w:num>
  <w:num w:numId="12">
    <w:abstractNumId w:val="19"/>
  </w:num>
  <w:num w:numId="13">
    <w:abstractNumId w:val="11"/>
  </w:num>
  <w:num w:numId="14">
    <w:abstractNumId w:val="16"/>
  </w:num>
  <w:num w:numId="15">
    <w:abstractNumId w:val="18"/>
  </w:num>
  <w:num w:numId="16">
    <w:abstractNumId w:val="17"/>
  </w:num>
  <w:num w:numId="17">
    <w:abstractNumId w:val="3"/>
  </w:num>
  <w:num w:numId="18">
    <w:abstractNumId w:val="15"/>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3C75"/>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41242E"/>
    <w:rsid w:val="02463788"/>
    <w:rsid w:val="024A763D"/>
    <w:rsid w:val="02634F58"/>
    <w:rsid w:val="02713CE9"/>
    <w:rsid w:val="027A0FAC"/>
    <w:rsid w:val="027B0645"/>
    <w:rsid w:val="02937392"/>
    <w:rsid w:val="02986BAE"/>
    <w:rsid w:val="02B822EE"/>
    <w:rsid w:val="02BA1A1C"/>
    <w:rsid w:val="02BC151D"/>
    <w:rsid w:val="02EB7951"/>
    <w:rsid w:val="03313C23"/>
    <w:rsid w:val="034F1857"/>
    <w:rsid w:val="03517B13"/>
    <w:rsid w:val="037E4131"/>
    <w:rsid w:val="03C509B8"/>
    <w:rsid w:val="03CE7532"/>
    <w:rsid w:val="03F1268D"/>
    <w:rsid w:val="03FA653E"/>
    <w:rsid w:val="040855F0"/>
    <w:rsid w:val="043B1FBA"/>
    <w:rsid w:val="044364E6"/>
    <w:rsid w:val="04A079A1"/>
    <w:rsid w:val="04B8684A"/>
    <w:rsid w:val="04BD3082"/>
    <w:rsid w:val="04C95821"/>
    <w:rsid w:val="04D9313E"/>
    <w:rsid w:val="04E20BB2"/>
    <w:rsid w:val="05012442"/>
    <w:rsid w:val="0501271B"/>
    <w:rsid w:val="052517AC"/>
    <w:rsid w:val="052A2F37"/>
    <w:rsid w:val="05577082"/>
    <w:rsid w:val="05675B6F"/>
    <w:rsid w:val="05784ADB"/>
    <w:rsid w:val="059B7190"/>
    <w:rsid w:val="05A932FF"/>
    <w:rsid w:val="05DB66F5"/>
    <w:rsid w:val="05E30809"/>
    <w:rsid w:val="06015038"/>
    <w:rsid w:val="0617564E"/>
    <w:rsid w:val="06586BA0"/>
    <w:rsid w:val="06602E0B"/>
    <w:rsid w:val="06775908"/>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8077D08"/>
    <w:rsid w:val="08237E68"/>
    <w:rsid w:val="08430A88"/>
    <w:rsid w:val="08496751"/>
    <w:rsid w:val="087B3586"/>
    <w:rsid w:val="08AF5928"/>
    <w:rsid w:val="093551A2"/>
    <w:rsid w:val="094B72FF"/>
    <w:rsid w:val="094B7FFD"/>
    <w:rsid w:val="09792C3C"/>
    <w:rsid w:val="09C20B11"/>
    <w:rsid w:val="09E162A4"/>
    <w:rsid w:val="0A0A0F37"/>
    <w:rsid w:val="0A5B6057"/>
    <w:rsid w:val="0AA66820"/>
    <w:rsid w:val="0AA94995"/>
    <w:rsid w:val="0AB013DD"/>
    <w:rsid w:val="0ABE04E2"/>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A36C2"/>
    <w:rsid w:val="0D156991"/>
    <w:rsid w:val="0D4A1A5A"/>
    <w:rsid w:val="0D677F7A"/>
    <w:rsid w:val="0D7D1AB0"/>
    <w:rsid w:val="0DCA36B5"/>
    <w:rsid w:val="0DE41272"/>
    <w:rsid w:val="0E2249CA"/>
    <w:rsid w:val="0E2A5ED5"/>
    <w:rsid w:val="0E2B4ADB"/>
    <w:rsid w:val="0E2C1227"/>
    <w:rsid w:val="0E652AC5"/>
    <w:rsid w:val="0E680D42"/>
    <w:rsid w:val="0E6C0832"/>
    <w:rsid w:val="0E817AE0"/>
    <w:rsid w:val="0E870CBE"/>
    <w:rsid w:val="0F3E1D0C"/>
    <w:rsid w:val="0F3F3AC3"/>
    <w:rsid w:val="0F4E79E1"/>
    <w:rsid w:val="0F563291"/>
    <w:rsid w:val="0F886821"/>
    <w:rsid w:val="0F95677E"/>
    <w:rsid w:val="0FDA6761"/>
    <w:rsid w:val="0FE04855"/>
    <w:rsid w:val="0FF94533"/>
    <w:rsid w:val="101747CE"/>
    <w:rsid w:val="10185130"/>
    <w:rsid w:val="10580897"/>
    <w:rsid w:val="10613C9B"/>
    <w:rsid w:val="10990D12"/>
    <w:rsid w:val="10BA4CBF"/>
    <w:rsid w:val="10CB554B"/>
    <w:rsid w:val="10CC70B6"/>
    <w:rsid w:val="10EF74F9"/>
    <w:rsid w:val="11461138"/>
    <w:rsid w:val="1151259A"/>
    <w:rsid w:val="116A7FC2"/>
    <w:rsid w:val="11765355"/>
    <w:rsid w:val="118A1148"/>
    <w:rsid w:val="118F5C26"/>
    <w:rsid w:val="119E12CC"/>
    <w:rsid w:val="11C049F1"/>
    <w:rsid w:val="11D609D1"/>
    <w:rsid w:val="11E716F3"/>
    <w:rsid w:val="11F0089D"/>
    <w:rsid w:val="11FB7A83"/>
    <w:rsid w:val="120378A4"/>
    <w:rsid w:val="12094873"/>
    <w:rsid w:val="125536E3"/>
    <w:rsid w:val="12617F82"/>
    <w:rsid w:val="127101E3"/>
    <w:rsid w:val="12947744"/>
    <w:rsid w:val="12CD0BFB"/>
    <w:rsid w:val="12EF2557"/>
    <w:rsid w:val="12F41CDD"/>
    <w:rsid w:val="12FF1165"/>
    <w:rsid w:val="13006381"/>
    <w:rsid w:val="13097A34"/>
    <w:rsid w:val="13332CF5"/>
    <w:rsid w:val="134C61E9"/>
    <w:rsid w:val="13663A21"/>
    <w:rsid w:val="137D0D2E"/>
    <w:rsid w:val="13A1778B"/>
    <w:rsid w:val="13AA0B20"/>
    <w:rsid w:val="13B27EDA"/>
    <w:rsid w:val="13B71816"/>
    <w:rsid w:val="13BC5C96"/>
    <w:rsid w:val="13C61423"/>
    <w:rsid w:val="13FC4A12"/>
    <w:rsid w:val="14561C65"/>
    <w:rsid w:val="14C34F24"/>
    <w:rsid w:val="15316BDD"/>
    <w:rsid w:val="15466E04"/>
    <w:rsid w:val="155F756F"/>
    <w:rsid w:val="15A008CA"/>
    <w:rsid w:val="15A36D6C"/>
    <w:rsid w:val="15E41E5C"/>
    <w:rsid w:val="1626204C"/>
    <w:rsid w:val="162A3979"/>
    <w:rsid w:val="164F6D31"/>
    <w:rsid w:val="166C4E7A"/>
    <w:rsid w:val="167509E2"/>
    <w:rsid w:val="16944868"/>
    <w:rsid w:val="16CA41F8"/>
    <w:rsid w:val="16D2320F"/>
    <w:rsid w:val="16D60F60"/>
    <w:rsid w:val="16DD1EB6"/>
    <w:rsid w:val="17356B9A"/>
    <w:rsid w:val="173A0609"/>
    <w:rsid w:val="174C1099"/>
    <w:rsid w:val="17FA4FD2"/>
    <w:rsid w:val="18491501"/>
    <w:rsid w:val="18605D1D"/>
    <w:rsid w:val="18725542"/>
    <w:rsid w:val="1874317C"/>
    <w:rsid w:val="188149DB"/>
    <w:rsid w:val="188F709B"/>
    <w:rsid w:val="18C95438"/>
    <w:rsid w:val="18F72AED"/>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D357F0"/>
    <w:rsid w:val="1AD37387"/>
    <w:rsid w:val="1AFF1EB8"/>
    <w:rsid w:val="1B0336FC"/>
    <w:rsid w:val="1B4B6EDB"/>
    <w:rsid w:val="1B5B0B3A"/>
    <w:rsid w:val="1B821EB6"/>
    <w:rsid w:val="1B83304F"/>
    <w:rsid w:val="1B8F7888"/>
    <w:rsid w:val="1BDA2A75"/>
    <w:rsid w:val="1BDC2E40"/>
    <w:rsid w:val="1BF7712A"/>
    <w:rsid w:val="1BFF54A2"/>
    <w:rsid w:val="1C3E53C4"/>
    <w:rsid w:val="1C797B34"/>
    <w:rsid w:val="1C860CEA"/>
    <w:rsid w:val="1C9D1FFD"/>
    <w:rsid w:val="1CC260CF"/>
    <w:rsid w:val="1CC75B6C"/>
    <w:rsid w:val="1CF606CD"/>
    <w:rsid w:val="1D0243FE"/>
    <w:rsid w:val="1D2771C0"/>
    <w:rsid w:val="1D456CB0"/>
    <w:rsid w:val="1D473AE2"/>
    <w:rsid w:val="1D4B3AF6"/>
    <w:rsid w:val="1D570900"/>
    <w:rsid w:val="1D614A32"/>
    <w:rsid w:val="1D85546D"/>
    <w:rsid w:val="1DED7DA0"/>
    <w:rsid w:val="1E206BFF"/>
    <w:rsid w:val="1E3E04E2"/>
    <w:rsid w:val="1E3E386E"/>
    <w:rsid w:val="1E5921FA"/>
    <w:rsid w:val="1E7E3C6A"/>
    <w:rsid w:val="1E853A13"/>
    <w:rsid w:val="1E945F91"/>
    <w:rsid w:val="1EC743DC"/>
    <w:rsid w:val="1EF328AA"/>
    <w:rsid w:val="1F023CA8"/>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602967"/>
    <w:rsid w:val="21880A85"/>
    <w:rsid w:val="21C73079"/>
    <w:rsid w:val="21D5365F"/>
    <w:rsid w:val="21E4518E"/>
    <w:rsid w:val="21FD64A6"/>
    <w:rsid w:val="2203624D"/>
    <w:rsid w:val="220C3334"/>
    <w:rsid w:val="222D60EE"/>
    <w:rsid w:val="22301A93"/>
    <w:rsid w:val="231006CB"/>
    <w:rsid w:val="23273500"/>
    <w:rsid w:val="23274DB9"/>
    <w:rsid w:val="232E30DA"/>
    <w:rsid w:val="234B21CA"/>
    <w:rsid w:val="236B13B6"/>
    <w:rsid w:val="23836EB2"/>
    <w:rsid w:val="23894B60"/>
    <w:rsid w:val="23942388"/>
    <w:rsid w:val="23D51E75"/>
    <w:rsid w:val="23DF6A26"/>
    <w:rsid w:val="23FE086B"/>
    <w:rsid w:val="243B11DC"/>
    <w:rsid w:val="246E2331"/>
    <w:rsid w:val="246F6B0B"/>
    <w:rsid w:val="24862234"/>
    <w:rsid w:val="2489188E"/>
    <w:rsid w:val="249B304D"/>
    <w:rsid w:val="24A47ECF"/>
    <w:rsid w:val="24E126D5"/>
    <w:rsid w:val="24E63ED3"/>
    <w:rsid w:val="2519615C"/>
    <w:rsid w:val="252A297C"/>
    <w:rsid w:val="254379B8"/>
    <w:rsid w:val="254A22E7"/>
    <w:rsid w:val="256047D1"/>
    <w:rsid w:val="25847246"/>
    <w:rsid w:val="25871511"/>
    <w:rsid w:val="25CF3592"/>
    <w:rsid w:val="25DC5277"/>
    <w:rsid w:val="25E532A9"/>
    <w:rsid w:val="26130B48"/>
    <w:rsid w:val="26241156"/>
    <w:rsid w:val="26786155"/>
    <w:rsid w:val="26B17EFA"/>
    <w:rsid w:val="26B6126A"/>
    <w:rsid w:val="26BE6A18"/>
    <w:rsid w:val="26C86B48"/>
    <w:rsid w:val="26F57C1E"/>
    <w:rsid w:val="26FD7A09"/>
    <w:rsid w:val="27012B4B"/>
    <w:rsid w:val="27091BE1"/>
    <w:rsid w:val="27307041"/>
    <w:rsid w:val="273719DF"/>
    <w:rsid w:val="2741654A"/>
    <w:rsid w:val="278377BB"/>
    <w:rsid w:val="27AE73F2"/>
    <w:rsid w:val="27CD4D3B"/>
    <w:rsid w:val="27E66B3F"/>
    <w:rsid w:val="280A089B"/>
    <w:rsid w:val="281140CC"/>
    <w:rsid w:val="282D2BAB"/>
    <w:rsid w:val="2889743D"/>
    <w:rsid w:val="28B952DF"/>
    <w:rsid w:val="28FD00AC"/>
    <w:rsid w:val="29111B82"/>
    <w:rsid w:val="292B6ADD"/>
    <w:rsid w:val="29361D56"/>
    <w:rsid w:val="2998368C"/>
    <w:rsid w:val="29C9144C"/>
    <w:rsid w:val="29F17D42"/>
    <w:rsid w:val="29F5561A"/>
    <w:rsid w:val="29F6324E"/>
    <w:rsid w:val="29F83EBD"/>
    <w:rsid w:val="2A17701F"/>
    <w:rsid w:val="2A2E12EA"/>
    <w:rsid w:val="2A636507"/>
    <w:rsid w:val="2A7C5C13"/>
    <w:rsid w:val="2A913237"/>
    <w:rsid w:val="2AB43705"/>
    <w:rsid w:val="2B1241B3"/>
    <w:rsid w:val="2B270C0B"/>
    <w:rsid w:val="2B355B0C"/>
    <w:rsid w:val="2B3B6428"/>
    <w:rsid w:val="2B423772"/>
    <w:rsid w:val="2B441109"/>
    <w:rsid w:val="2B6304FF"/>
    <w:rsid w:val="2B6921EB"/>
    <w:rsid w:val="2B915E23"/>
    <w:rsid w:val="2BC85B84"/>
    <w:rsid w:val="2BCE474A"/>
    <w:rsid w:val="2BE0632C"/>
    <w:rsid w:val="2BFE4D84"/>
    <w:rsid w:val="2C0C457B"/>
    <w:rsid w:val="2C3E22B4"/>
    <w:rsid w:val="2C57234B"/>
    <w:rsid w:val="2CD01A89"/>
    <w:rsid w:val="2CD4301B"/>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047D87"/>
    <w:rsid w:val="2F9A178D"/>
    <w:rsid w:val="2F9C209A"/>
    <w:rsid w:val="2FA76C88"/>
    <w:rsid w:val="2FB40DAA"/>
    <w:rsid w:val="2FB71626"/>
    <w:rsid w:val="2FC00586"/>
    <w:rsid w:val="2FC35981"/>
    <w:rsid w:val="2FFD6655"/>
    <w:rsid w:val="300B7014"/>
    <w:rsid w:val="302B275E"/>
    <w:rsid w:val="3037489E"/>
    <w:rsid w:val="30554E29"/>
    <w:rsid w:val="3062616A"/>
    <w:rsid w:val="3063327C"/>
    <w:rsid w:val="30671DB9"/>
    <w:rsid w:val="30684B84"/>
    <w:rsid w:val="30A65EE6"/>
    <w:rsid w:val="30BD6874"/>
    <w:rsid w:val="30EB3AD8"/>
    <w:rsid w:val="310B4D1C"/>
    <w:rsid w:val="310E7433"/>
    <w:rsid w:val="31235BFC"/>
    <w:rsid w:val="31311196"/>
    <w:rsid w:val="313D0E42"/>
    <w:rsid w:val="31484C88"/>
    <w:rsid w:val="315316A2"/>
    <w:rsid w:val="31662AC1"/>
    <w:rsid w:val="31777FE1"/>
    <w:rsid w:val="31927DDB"/>
    <w:rsid w:val="320607E1"/>
    <w:rsid w:val="32246947"/>
    <w:rsid w:val="32276546"/>
    <w:rsid w:val="322F37A1"/>
    <w:rsid w:val="323D6939"/>
    <w:rsid w:val="324C3ABF"/>
    <w:rsid w:val="328F1F00"/>
    <w:rsid w:val="32904F00"/>
    <w:rsid w:val="32A418C0"/>
    <w:rsid w:val="32DF7714"/>
    <w:rsid w:val="32FA6C75"/>
    <w:rsid w:val="330E35C3"/>
    <w:rsid w:val="330E59C5"/>
    <w:rsid w:val="332B21BB"/>
    <w:rsid w:val="3343134C"/>
    <w:rsid w:val="334B181A"/>
    <w:rsid w:val="334F550D"/>
    <w:rsid w:val="335715EB"/>
    <w:rsid w:val="33616C08"/>
    <w:rsid w:val="336976ED"/>
    <w:rsid w:val="33801B76"/>
    <w:rsid w:val="33981AAA"/>
    <w:rsid w:val="33E81489"/>
    <w:rsid w:val="34414D13"/>
    <w:rsid w:val="34430EF3"/>
    <w:rsid w:val="34545604"/>
    <w:rsid w:val="345C0152"/>
    <w:rsid w:val="348646EF"/>
    <w:rsid w:val="34AF4725"/>
    <w:rsid w:val="34B115E8"/>
    <w:rsid w:val="34BD007C"/>
    <w:rsid w:val="34DD4776"/>
    <w:rsid w:val="35042571"/>
    <w:rsid w:val="350E6188"/>
    <w:rsid w:val="35233165"/>
    <w:rsid w:val="35423F62"/>
    <w:rsid w:val="35451B97"/>
    <w:rsid w:val="354C558D"/>
    <w:rsid w:val="355C053A"/>
    <w:rsid w:val="356D0523"/>
    <w:rsid w:val="356F360E"/>
    <w:rsid w:val="357D0C7A"/>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F131B8"/>
    <w:rsid w:val="370449D4"/>
    <w:rsid w:val="37140389"/>
    <w:rsid w:val="371B55C8"/>
    <w:rsid w:val="37326316"/>
    <w:rsid w:val="37456982"/>
    <w:rsid w:val="37494B97"/>
    <w:rsid w:val="374D596A"/>
    <w:rsid w:val="375048D6"/>
    <w:rsid w:val="379428AD"/>
    <w:rsid w:val="380866F8"/>
    <w:rsid w:val="38321D54"/>
    <w:rsid w:val="38384EC4"/>
    <w:rsid w:val="38741F0E"/>
    <w:rsid w:val="387939C8"/>
    <w:rsid w:val="38A04AB1"/>
    <w:rsid w:val="38AB7291"/>
    <w:rsid w:val="38AC120B"/>
    <w:rsid w:val="38CB5C07"/>
    <w:rsid w:val="38D93792"/>
    <w:rsid w:val="38DA44FB"/>
    <w:rsid w:val="38E45351"/>
    <w:rsid w:val="39022F42"/>
    <w:rsid w:val="390E59CE"/>
    <w:rsid w:val="392A4BA7"/>
    <w:rsid w:val="392E07A0"/>
    <w:rsid w:val="396401D4"/>
    <w:rsid w:val="398110EB"/>
    <w:rsid w:val="398C3730"/>
    <w:rsid w:val="398D3D61"/>
    <w:rsid w:val="399C2C96"/>
    <w:rsid w:val="39CB6A59"/>
    <w:rsid w:val="39CD48C1"/>
    <w:rsid w:val="39D1290E"/>
    <w:rsid w:val="39D8285D"/>
    <w:rsid w:val="39E074AA"/>
    <w:rsid w:val="39F07CBA"/>
    <w:rsid w:val="39FC3D96"/>
    <w:rsid w:val="3A0E401B"/>
    <w:rsid w:val="3A5179F7"/>
    <w:rsid w:val="3A8024DE"/>
    <w:rsid w:val="3AAA00CF"/>
    <w:rsid w:val="3ABA0798"/>
    <w:rsid w:val="3ABD59FD"/>
    <w:rsid w:val="3B021C51"/>
    <w:rsid w:val="3B172655"/>
    <w:rsid w:val="3B1D411A"/>
    <w:rsid w:val="3B232C47"/>
    <w:rsid w:val="3B293484"/>
    <w:rsid w:val="3B2C2418"/>
    <w:rsid w:val="3B9F326E"/>
    <w:rsid w:val="3BCD6ABE"/>
    <w:rsid w:val="3BFE7E54"/>
    <w:rsid w:val="3C020661"/>
    <w:rsid w:val="3C0352EF"/>
    <w:rsid w:val="3C096364"/>
    <w:rsid w:val="3C1A5073"/>
    <w:rsid w:val="3C1D503F"/>
    <w:rsid w:val="3C447E49"/>
    <w:rsid w:val="3C4D4764"/>
    <w:rsid w:val="3C850B8E"/>
    <w:rsid w:val="3CB6189E"/>
    <w:rsid w:val="3CC25D1C"/>
    <w:rsid w:val="3CDD2778"/>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7161E"/>
    <w:rsid w:val="3ECA6635"/>
    <w:rsid w:val="3ECE4CD1"/>
    <w:rsid w:val="3EDF7B84"/>
    <w:rsid w:val="3EEE5831"/>
    <w:rsid w:val="3EF36EC9"/>
    <w:rsid w:val="3F214E40"/>
    <w:rsid w:val="3F2A29BD"/>
    <w:rsid w:val="3F3B001F"/>
    <w:rsid w:val="3F6C11FF"/>
    <w:rsid w:val="3F764302"/>
    <w:rsid w:val="3F7F4867"/>
    <w:rsid w:val="3F8F1D2B"/>
    <w:rsid w:val="3FA75447"/>
    <w:rsid w:val="3FAE3DA4"/>
    <w:rsid w:val="3FCD2881"/>
    <w:rsid w:val="3FDB6D34"/>
    <w:rsid w:val="3FDC0160"/>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902204"/>
    <w:rsid w:val="41C0302D"/>
    <w:rsid w:val="41C81F56"/>
    <w:rsid w:val="42270E8D"/>
    <w:rsid w:val="423431D2"/>
    <w:rsid w:val="423C09AD"/>
    <w:rsid w:val="424B1F31"/>
    <w:rsid w:val="42623B80"/>
    <w:rsid w:val="42902103"/>
    <w:rsid w:val="42D11320"/>
    <w:rsid w:val="42D24813"/>
    <w:rsid w:val="431547EF"/>
    <w:rsid w:val="43426B5C"/>
    <w:rsid w:val="434B74D4"/>
    <w:rsid w:val="4376760C"/>
    <w:rsid w:val="43802418"/>
    <w:rsid w:val="43B6698F"/>
    <w:rsid w:val="43BC37E0"/>
    <w:rsid w:val="43C70ADF"/>
    <w:rsid w:val="4411785C"/>
    <w:rsid w:val="44184631"/>
    <w:rsid w:val="442204C4"/>
    <w:rsid w:val="447076CD"/>
    <w:rsid w:val="44811BEB"/>
    <w:rsid w:val="449A2CFC"/>
    <w:rsid w:val="44DD0E93"/>
    <w:rsid w:val="44E00ECB"/>
    <w:rsid w:val="44F10822"/>
    <w:rsid w:val="44F30BFC"/>
    <w:rsid w:val="44F42B6B"/>
    <w:rsid w:val="45207CC0"/>
    <w:rsid w:val="45251A95"/>
    <w:rsid w:val="454B4C1A"/>
    <w:rsid w:val="45611062"/>
    <w:rsid w:val="45924B79"/>
    <w:rsid w:val="45EA1272"/>
    <w:rsid w:val="45F37598"/>
    <w:rsid w:val="46436783"/>
    <w:rsid w:val="46564538"/>
    <w:rsid w:val="466277F0"/>
    <w:rsid w:val="469D73C6"/>
    <w:rsid w:val="46A7188F"/>
    <w:rsid w:val="46C13DE4"/>
    <w:rsid w:val="473E556C"/>
    <w:rsid w:val="474E7DCE"/>
    <w:rsid w:val="47504018"/>
    <w:rsid w:val="47537FBD"/>
    <w:rsid w:val="47664124"/>
    <w:rsid w:val="479E0D55"/>
    <w:rsid w:val="47A763E7"/>
    <w:rsid w:val="47AF714D"/>
    <w:rsid w:val="47C61E5A"/>
    <w:rsid w:val="47E0351C"/>
    <w:rsid w:val="47F738C9"/>
    <w:rsid w:val="4828103B"/>
    <w:rsid w:val="48592A3D"/>
    <w:rsid w:val="48726BB5"/>
    <w:rsid w:val="48D146CB"/>
    <w:rsid w:val="49035AF9"/>
    <w:rsid w:val="493064D3"/>
    <w:rsid w:val="493E65E0"/>
    <w:rsid w:val="495565E9"/>
    <w:rsid w:val="4979120A"/>
    <w:rsid w:val="498D7A6A"/>
    <w:rsid w:val="499E0CB1"/>
    <w:rsid w:val="49AB7605"/>
    <w:rsid w:val="49B72190"/>
    <w:rsid w:val="49B95055"/>
    <w:rsid w:val="49C246BC"/>
    <w:rsid w:val="49D04FF1"/>
    <w:rsid w:val="49DF0FCF"/>
    <w:rsid w:val="49E55D1C"/>
    <w:rsid w:val="4A505137"/>
    <w:rsid w:val="4A653F55"/>
    <w:rsid w:val="4A7D3E3D"/>
    <w:rsid w:val="4A82670C"/>
    <w:rsid w:val="4A886A5A"/>
    <w:rsid w:val="4AA34CB9"/>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2535B"/>
    <w:rsid w:val="4B99115F"/>
    <w:rsid w:val="4BB00ED0"/>
    <w:rsid w:val="4BD31F1D"/>
    <w:rsid w:val="4C203A05"/>
    <w:rsid w:val="4C261ED1"/>
    <w:rsid w:val="4C334DF4"/>
    <w:rsid w:val="4C3C4A99"/>
    <w:rsid w:val="4C420B26"/>
    <w:rsid w:val="4C514FE0"/>
    <w:rsid w:val="4C5C23B6"/>
    <w:rsid w:val="4C891FD4"/>
    <w:rsid w:val="4C9270D5"/>
    <w:rsid w:val="4C9463A6"/>
    <w:rsid w:val="4CAB1D93"/>
    <w:rsid w:val="4CBB5D6E"/>
    <w:rsid w:val="4CC81199"/>
    <w:rsid w:val="4CE74185"/>
    <w:rsid w:val="4D114264"/>
    <w:rsid w:val="4D337EC4"/>
    <w:rsid w:val="4D4B180F"/>
    <w:rsid w:val="4D6950DC"/>
    <w:rsid w:val="4D695C2A"/>
    <w:rsid w:val="4D6B0078"/>
    <w:rsid w:val="4D7F4F8B"/>
    <w:rsid w:val="4D9131BC"/>
    <w:rsid w:val="4D9856DE"/>
    <w:rsid w:val="4D986461"/>
    <w:rsid w:val="4DE8370E"/>
    <w:rsid w:val="4E1711FD"/>
    <w:rsid w:val="4E207C43"/>
    <w:rsid w:val="4E294FBA"/>
    <w:rsid w:val="4E7A5105"/>
    <w:rsid w:val="4E863E1D"/>
    <w:rsid w:val="4EBE3118"/>
    <w:rsid w:val="4EE374B2"/>
    <w:rsid w:val="4EE40A96"/>
    <w:rsid w:val="4EE80B08"/>
    <w:rsid w:val="4EE96DA4"/>
    <w:rsid w:val="4F3C04B1"/>
    <w:rsid w:val="4F624D5E"/>
    <w:rsid w:val="4F936382"/>
    <w:rsid w:val="4F956DDB"/>
    <w:rsid w:val="4FAC0FFA"/>
    <w:rsid w:val="4FC20E0E"/>
    <w:rsid w:val="50157FE1"/>
    <w:rsid w:val="502704A1"/>
    <w:rsid w:val="50397080"/>
    <w:rsid w:val="505375D6"/>
    <w:rsid w:val="50550928"/>
    <w:rsid w:val="5058507B"/>
    <w:rsid w:val="505A6720"/>
    <w:rsid w:val="507549F7"/>
    <w:rsid w:val="50D86394"/>
    <w:rsid w:val="50FA2116"/>
    <w:rsid w:val="511D4DBE"/>
    <w:rsid w:val="51415E36"/>
    <w:rsid w:val="516E79EA"/>
    <w:rsid w:val="517E5064"/>
    <w:rsid w:val="5184095B"/>
    <w:rsid w:val="51CE05B8"/>
    <w:rsid w:val="51DC37C9"/>
    <w:rsid w:val="5268236B"/>
    <w:rsid w:val="526A04AF"/>
    <w:rsid w:val="526C7AA2"/>
    <w:rsid w:val="5281059A"/>
    <w:rsid w:val="52852D73"/>
    <w:rsid w:val="52A46327"/>
    <w:rsid w:val="52B21B59"/>
    <w:rsid w:val="52D14873"/>
    <w:rsid w:val="52D42B8C"/>
    <w:rsid w:val="52EF6AB7"/>
    <w:rsid w:val="52F85837"/>
    <w:rsid w:val="53292404"/>
    <w:rsid w:val="534521C1"/>
    <w:rsid w:val="5371574B"/>
    <w:rsid w:val="538B4884"/>
    <w:rsid w:val="5399127C"/>
    <w:rsid w:val="53A05D2E"/>
    <w:rsid w:val="53B24BD6"/>
    <w:rsid w:val="53C133D7"/>
    <w:rsid w:val="53FE7A79"/>
    <w:rsid w:val="540A18BE"/>
    <w:rsid w:val="541666E0"/>
    <w:rsid w:val="54225499"/>
    <w:rsid w:val="543B2438"/>
    <w:rsid w:val="543C792C"/>
    <w:rsid w:val="54420CBA"/>
    <w:rsid w:val="544805F0"/>
    <w:rsid w:val="54553D43"/>
    <w:rsid w:val="546F4845"/>
    <w:rsid w:val="547E7D82"/>
    <w:rsid w:val="54925294"/>
    <w:rsid w:val="54BF5C62"/>
    <w:rsid w:val="554F40AA"/>
    <w:rsid w:val="555F2FD8"/>
    <w:rsid w:val="555F5CDC"/>
    <w:rsid w:val="55781C89"/>
    <w:rsid w:val="558A6630"/>
    <w:rsid w:val="55A56760"/>
    <w:rsid w:val="55C06E40"/>
    <w:rsid w:val="55C940D8"/>
    <w:rsid w:val="55D933B8"/>
    <w:rsid w:val="55DC7AB5"/>
    <w:rsid w:val="55DE4B1F"/>
    <w:rsid w:val="55E3217E"/>
    <w:rsid w:val="56161787"/>
    <w:rsid w:val="562653EC"/>
    <w:rsid w:val="56441FB7"/>
    <w:rsid w:val="5657557D"/>
    <w:rsid w:val="56777341"/>
    <w:rsid w:val="56855625"/>
    <w:rsid w:val="569D5175"/>
    <w:rsid w:val="569D5512"/>
    <w:rsid w:val="56B0432C"/>
    <w:rsid w:val="56C510F7"/>
    <w:rsid w:val="56CF5706"/>
    <w:rsid w:val="56D82212"/>
    <w:rsid w:val="56E00119"/>
    <w:rsid w:val="56F0341F"/>
    <w:rsid w:val="56F050EB"/>
    <w:rsid w:val="572B3ADE"/>
    <w:rsid w:val="574F7A44"/>
    <w:rsid w:val="575F2037"/>
    <w:rsid w:val="575F5FD7"/>
    <w:rsid w:val="576323B4"/>
    <w:rsid w:val="57AC7C44"/>
    <w:rsid w:val="57B51814"/>
    <w:rsid w:val="57B7759E"/>
    <w:rsid w:val="57C43B5F"/>
    <w:rsid w:val="57C66FF7"/>
    <w:rsid w:val="57CC5DB9"/>
    <w:rsid w:val="57D12A65"/>
    <w:rsid w:val="57D20798"/>
    <w:rsid w:val="57FD7A56"/>
    <w:rsid w:val="582B3688"/>
    <w:rsid w:val="58346E3E"/>
    <w:rsid w:val="585671BF"/>
    <w:rsid w:val="58854D1F"/>
    <w:rsid w:val="589C6BEB"/>
    <w:rsid w:val="58A14500"/>
    <w:rsid w:val="58B207A1"/>
    <w:rsid w:val="58B35F19"/>
    <w:rsid w:val="58BF34C3"/>
    <w:rsid w:val="58C00016"/>
    <w:rsid w:val="58CD3FF3"/>
    <w:rsid w:val="58D63F05"/>
    <w:rsid w:val="58FD32B6"/>
    <w:rsid w:val="590305D1"/>
    <w:rsid w:val="592B7913"/>
    <w:rsid w:val="59344176"/>
    <w:rsid w:val="5935624E"/>
    <w:rsid w:val="59401CC2"/>
    <w:rsid w:val="594B6C47"/>
    <w:rsid w:val="59605FE4"/>
    <w:rsid w:val="59700CFA"/>
    <w:rsid w:val="59A40EA5"/>
    <w:rsid w:val="59A92211"/>
    <w:rsid w:val="59B4474D"/>
    <w:rsid w:val="59D439E0"/>
    <w:rsid w:val="59DA7D20"/>
    <w:rsid w:val="59E7033A"/>
    <w:rsid w:val="59E85E60"/>
    <w:rsid w:val="59F815E4"/>
    <w:rsid w:val="5A144EA7"/>
    <w:rsid w:val="5A330053"/>
    <w:rsid w:val="5A481E8F"/>
    <w:rsid w:val="5A572069"/>
    <w:rsid w:val="5A5F25C6"/>
    <w:rsid w:val="5A900A67"/>
    <w:rsid w:val="5AB93F01"/>
    <w:rsid w:val="5AB9529C"/>
    <w:rsid w:val="5ACC4D62"/>
    <w:rsid w:val="5ADC3C17"/>
    <w:rsid w:val="5B2101A2"/>
    <w:rsid w:val="5B286F6F"/>
    <w:rsid w:val="5B461718"/>
    <w:rsid w:val="5B4C7CDF"/>
    <w:rsid w:val="5B534B96"/>
    <w:rsid w:val="5B796E68"/>
    <w:rsid w:val="5B7D3A5E"/>
    <w:rsid w:val="5BFC56D7"/>
    <w:rsid w:val="5C0D7342"/>
    <w:rsid w:val="5C0F6259"/>
    <w:rsid w:val="5C3D34EF"/>
    <w:rsid w:val="5C585916"/>
    <w:rsid w:val="5C6253C3"/>
    <w:rsid w:val="5C625735"/>
    <w:rsid w:val="5C74581F"/>
    <w:rsid w:val="5CA9400C"/>
    <w:rsid w:val="5CD672FC"/>
    <w:rsid w:val="5D3D7A1C"/>
    <w:rsid w:val="5D454EA7"/>
    <w:rsid w:val="5D4C4FBD"/>
    <w:rsid w:val="5D5E519F"/>
    <w:rsid w:val="5D5F4DAD"/>
    <w:rsid w:val="5D742612"/>
    <w:rsid w:val="5D7A50D8"/>
    <w:rsid w:val="5D7D3450"/>
    <w:rsid w:val="5D8B03FA"/>
    <w:rsid w:val="5D8E455A"/>
    <w:rsid w:val="5D9B3E4D"/>
    <w:rsid w:val="5D9E1711"/>
    <w:rsid w:val="5DB35958"/>
    <w:rsid w:val="5DD201A0"/>
    <w:rsid w:val="5DDB6365"/>
    <w:rsid w:val="5DE60909"/>
    <w:rsid w:val="5DFF0876"/>
    <w:rsid w:val="5E22645A"/>
    <w:rsid w:val="5E557F89"/>
    <w:rsid w:val="5E7A25EA"/>
    <w:rsid w:val="5E7B5886"/>
    <w:rsid w:val="5E7E4934"/>
    <w:rsid w:val="5E860AE0"/>
    <w:rsid w:val="5E9345EC"/>
    <w:rsid w:val="5E9B1B0D"/>
    <w:rsid w:val="5EC92704"/>
    <w:rsid w:val="5EF70414"/>
    <w:rsid w:val="5F062C90"/>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15F18"/>
    <w:rsid w:val="60A97B22"/>
    <w:rsid w:val="60B106B5"/>
    <w:rsid w:val="60B44CEE"/>
    <w:rsid w:val="60B65639"/>
    <w:rsid w:val="60F4434E"/>
    <w:rsid w:val="610220DC"/>
    <w:rsid w:val="610E6A00"/>
    <w:rsid w:val="614167FD"/>
    <w:rsid w:val="61560FED"/>
    <w:rsid w:val="616F0686"/>
    <w:rsid w:val="6183367F"/>
    <w:rsid w:val="61D5109C"/>
    <w:rsid w:val="61E77C15"/>
    <w:rsid w:val="61F23447"/>
    <w:rsid w:val="621039FB"/>
    <w:rsid w:val="62193202"/>
    <w:rsid w:val="62202D17"/>
    <w:rsid w:val="622D6B2A"/>
    <w:rsid w:val="62481B92"/>
    <w:rsid w:val="624E15D7"/>
    <w:rsid w:val="62501E0F"/>
    <w:rsid w:val="62551BDE"/>
    <w:rsid w:val="62B86EE1"/>
    <w:rsid w:val="62C47252"/>
    <w:rsid w:val="62D12FFF"/>
    <w:rsid w:val="62DC0CDB"/>
    <w:rsid w:val="62F301FF"/>
    <w:rsid w:val="62F80320"/>
    <w:rsid w:val="632C670F"/>
    <w:rsid w:val="6349512F"/>
    <w:rsid w:val="637852A4"/>
    <w:rsid w:val="638A51F0"/>
    <w:rsid w:val="63940B27"/>
    <w:rsid w:val="63BB40B1"/>
    <w:rsid w:val="63C01882"/>
    <w:rsid w:val="63D40990"/>
    <w:rsid w:val="63D83E73"/>
    <w:rsid w:val="63DF3CDE"/>
    <w:rsid w:val="63F65D65"/>
    <w:rsid w:val="63FD3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D1C87"/>
    <w:rsid w:val="67A333A9"/>
    <w:rsid w:val="67C353E3"/>
    <w:rsid w:val="67CD227C"/>
    <w:rsid w:val="67F14B3F"/>
    <w:rsid w:val="68017EAB"/>
    <w:rsid w:val="683065F6"/>
    <w:rsid w:val="68603BF5"/>
    <w:rsid w:val="68814BFC"/>
    <w:rsid w:val="68C11E20"/>
    <w:rsid w:val="68CE2DD5"/>
    <w:rsid w:val="68F7216E"/>
    <w:rsid w:val="693D0CC2"/>
    <w:rsid w:val="693E2AFE"/>
    <w:rsid w:val="694E2501"/>
    <w:rsid w:val="695E486A"/>
    <w:rsid w:val="698C4A5A"/>
    <w:rsid w:val="69981A40"/>
    <w:rsid w:val="699D210A"/>
    <w:rsid w:val="69C0056F"/>
    <w:rsid w:val="69E343CF"/>
    <w:rsid w:val="69E976DE"/>
    <w:rsid w:val="6A051875"/>
    <w:rsid w:val="6A0E1F92"/>
    <w:rsid w:val="6A3716E6"/>
    <w:rsid w:val="6A63128D"/>
    <w:rsid w:val="6A68020C"/>
    <w:rsid w:val="6A7A5A50"/>
    <w:rsid w:val="6A903094"/>
    <w:rsid w:val="6AAC513D"/>
    <w:rsid w:val="6AF807A4"/>
    <w:rsid w:val="6B085CCB"/>
    <w:rsid w:val="6B315A3D"/>
    <w:rsid w:val="6B354B1B"/>
    <w:rsid w:val="6B384843"/>
    <w:rsid w:val="6B402768"/>
    <w:rsid w:val="6B774DF2"/>
    <w:rsid w:val="6B90040C"/>
    <w:rsid w:val="6B9561D7"/>
    <w:rsid w:val="6B9D2DD2"/>
    <w:rsid w:val="6BCB6F19"/>
    <w:rsid w:val="6BCE2F01"/>
    <w:rsid w:val="6BFD644C"/>
    <w:rsid w:val="6C055EB0"/>
    <w:rsid w:val="6C101C5E"/>
    <w:rsid w:val="6C337DD6"/>
    <w:rsid w:val="6C45178D"/>
    <w:rsid w:val="6C860F9C"/>
    <w:rsid w:val="6C913029"/>
    <w:rsid w:val="6C9D77EE"/>
    <w:rsid w:val="6CAD79AB"/>
    <w:rsid w:val="6CFD61EB"/>
    <w:rsid w:val="6D2147B0"/>
    <w:rsid w:val="6D4A7767"/>
    <w:rsid w:val="6D56630E"/>
    <w:rsid w:val="6D70263F"/>
    <w:rsid w:val="6D81230A"/>
    <w:rsid w:val="6D9F2594"/>
    <w:rsid w:val="6DA53D56"/>
    <w:rsid w:val="6DAA4153"/>
    <w:rsid w:val="6DB649D1"/>
    <w:rsid w:val="6DC572F5"/>
    <w:rsid w:val="6DF37591"/>
    <w:rsid w:val="6DFA3DB4"/>
    <w:rsid w:val="6DFC6E63"/>
    <w:rsid w:val="6DFE0066"/>
    <w:rsid w:val="6E011A61"/>
    <w:rsid w:val="6E1C4318"/>
    <w:rsid w:val="6E20099F"/>
    <w:rsid w:val="6E5337E0"/>
    <w:rsid w:val="6E7674F5"/>
    <w:rsid w:val="6E865586"/>
    <w:rsid w:val="6EB72579"/>
    <w:rsid w:val="6F1D2ABB"/>
    <w:rsid w:val="6F377B4E"/>
    <w:rsid w:val="6F590C69"/>
    <w:rsid w:val="6F792010"/>
    <w:rsid w:val="6F8B2A39"/>
    <w:rsid w:val="6FF460AD"/>
    <w:rsid w:val="6FF46EB5"/>
    <w:rsid w:val="70402100"/>
    <w:rsid w:val="7057451A"/>
    <w:rsid w:val="705C303D"/>
    <w:rsid w:val="70616804"/>
    <w:rsid w:val="70694180"/>
    <w:rsid w:val="70984EB2"/>
    <w:rsid w:val="710D0F27"/>
    <w:rsid w:val="71514804"/>
    <w:rsid w:val="7179608C"/>
    <w:rsid w:val="718030F6"/>
    <w:rsid w:val="7196011C"/>
    <w:rsid w:val="71A544BB"/>
    <w:rsid w:val="71E23A55"/>
    <w:rsid w:val="71E81C15"/>
    <w:rsid w:val="72173C7E"/>
    <w:rsid w:val="721A0E69"/>
    <w:rsid w:val="721B6C05"/>
    <w:rsid w:val="721F4CE3"/>
    <w:rsid w:val="728173B8"/>
    <w:rsid w:val="729A2A61"/>
    <w:rsid w:val="729A74B7"/>
    <w:rsid w:val="72F17BCD"/>
    <w:rsid w:val="72F35EED"/>
    <w:rsid w:val="73363B4B"/>
    <w:rsid w:val="733817C1"/>
    <w:rsid w:val="736D1576"/>
    <w:rsid w:val="73937A59"/>
    <w:rsid w:val="73A72705"/>
    <w:rsid w:val="73BE04D1"/>
    <w:rsid w:val="73C44F3C"/>
    <w:rsid w:val="73DA135F"/>
    <w:rsid w:val="7408229C"/>
    <w:rsid w:val="741F1C9D"/>
    <w:rsid w:val="74545723"/>
    <w:rsid w:val="7456606E"/>
    <w:rsid w:val="749A6C17"/>
    <w:rsid w:val="74C04CBF"/>
    <w:rsid w:val="74C2573E"/>
    <w:rsid w:val="74DC560A"/>
    <w:rsid w:val="7508356B"/>
    <w:rsid w:val="75294D89"/>
    <w:rsid w:val="752D51CA"/>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1E4C03"/>
    <w:rsid w:val="77263669"/>
    <w:rsid w:val="775D2F89"/>
    <w:rsid w:val="778F750F"/>
    <w:rsid w:val="77BC657E"/>
    <w:rsid w:val="77C41078"/>
    <w:rsid w:val="77CD0717"/>
    <w:rsid w:val="77E459CD"/>
    <w:rsid w:val="77E968C6"/>
    <w:rsid w:val="77F02658"/>
    <w:rsid w:val="78602963"/>
    <w:rsid w:val="78B3424F"/>
    <w:rsid w:val="78C0051C"/>
    <w:rsid w:val="78CC26C0"/>
    <w:rsid w:val="78E7453C"/>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F592F"/>
    <w:rsid w:val="7AB83F98"/>
    <w:rsid w:val="7AC02612"/>
    <w:rsid w:val="7AD2397E"/>
    <w:rsid w:val="7AEA6460"/>
    <w:rsid w:val="7AF67F85"/>
    <w:rsid w:val="7AF7076E"/>
    <w:rsid w:val="7B051D7F"/>
    <w:rsid w:val="7B170708"/>
    <w:rsid w:val="7B1B3593"/>
    <w:rsid w:val="7B2C1BF9"/>
    <w:rsid w:val="7B4A3665"/>
    <w:rsid w:val="7B502250"/>
    <w:rsid w:val="7B8A09CC"/>
    <w:rsid w:val="7BBA79C5"/>
    <w:rsid w:val="7BDB1595"/>
    <w:rsid w:val="7BE67B49"/>
    <w:rsid w:val="7BED6056"/>
    <w:rsid w:val="7BF85632"/>
    <w:rsid w:val="7C072E13"/>
    <w:rsid w:val="7C264E7F"/>
    <w:rsid w:val="7C5623B0"/>
    <w:rsid w:val="7C6953F6"/>
    <w:rsid w:val="7C6A5C8B"/>
    <w:rsid w:val="7C77262C"/>
    <w:rsid w:val="7C8974D7"/>
    <w:rsid w:val="7C9B3CC1"/>
    <w:rsid w:val="7CA929A8"/>
    <w:rsid w:val="7CC557C8"/>
    <w:rsid w:val="7CCB6E79"/>
    <w:rsid w:val="7CF17DE7"/>
    <w:rsid w:val="7D270886"/>
    <w:rsid w:val="7D384DC0"/>
    <w:rsid w:val="7D641B1E"/>
    <w:rsid w:val="7D7B1365"/>
    <w:rsid w:val="7DA261A2"/>
    <w:rsid w:val="7DD722F0"/>
    <w:rsid w:val="7DD81DCF"/>
    <w:rsid w:val="7DF452E9"/>
    <w:rsid w:val="7DFC65B3"/>
    <w:rsid w:val="7E3332A1"/>
    <w:rsid w:val="7EA9551E"/>
    <w:rsid w:val="7EBF4E05"/>
    <w:rsid w:val="7EFA0D73"/>
    <w:rsid w:val="7F083AD9"/>
    <w:rsid w:val="7F0E6ADE"/>
    <w:rsid w:val="7F221E49"/>
    <w:rsid w:val="7F2257ED"/>
    <w:rsid w:val="7F2C4ACE"/>
    <w:rsid w:val="7F3425BD"/>
    <w:rsid w:val="7F3A472C"/>
    <w:rsid w:val="7F426B36"/>
    <w:rsid w:val="7F445629"/>
    <w:rsid w:val="7F5F001A"/>
    <w:rsid w:val="7F68109F"/>
    <w:rsid w:val="7F6D6B3A"/>
    <w:rsid w:val="7F844E8C"/>
    <w:rsid w:val="7F8932DC"/>
    <w:rsid w:val="7FAE52D2"/>
    <w:rsid w:val="7FC5516B"/>
    <w:rsid w:val="7FDB3AF0"/>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4">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5">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6">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7">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3">
    <w:name w:val="Body Text Indent"/>
    <w:basedOn w:val="1"/>
    <w:link w:val="37"/>
    <w:qFormat/>
    <w:uiPriority w:val="0"/>
    <w:pPr>
      <w:spacing w:after="120"/>
      <w:ind w:left="420" w:leftChars="200"/>
    </w:pPr>
  </w:style>
  <w:style w:type="paragraph" w:styleId="8">
    <w:name w:val="annotation subject"/>
    <w:basedOn w:val="9"/>
    <w:next w:val="9"/>
    <w:link w:val="41"/>
    <w:qFormat/>
    <w:uiPriority w:val="0"/>
    <w:rPr>
      <w:b/>
      <w:bCs/>
    </w:rPr>
  </w:style>
  <w:style w:type="paragraph" w:styleId="9">
    <w:name w:val="annotation text"/>
    <w:basedOn w:val="1"/>
    <w:link w:val="35"/>
    <w:qFormat/>
    <w:uiPriority w:val="99"/>
  </w:style>
  <w:style w:type="paragraph" w:styleId="10">
    <w:name w:val="Body Text First Indent"/>
    <w:basedOn w:val="11"/>
    <w:qFormat/>
    <w:uiPriority w:val="0"/>
    <w:pPr>
      <w:ind w:firstLine="420" w:firstLineChars="100"/>
    </w:pPr>
  </w:style>
  <w:style w:type="paragraph" w:styleId="11">
    <w:name w:val="Body Text"/>
    <w:basedOn w:val="1"/>
    <w:link w:val="36"/>
    <w:qFormat/>
    <w:uiPriority w:val="0"/>
    <w:pPr>
      <w:spacing w:after="120"/>
    </w:pPr>
  </w:style>
  <w:style w:type="paragraph" w:styleId="12">
    <w:name w:val="Normal Indent"/>
    <w:basedOn w:val="1"/>
    <w:qFormat/>
    <w:uiPriority w:val="0"/>
    <w:pPr>
      <w:autoSpaceDE w:val="0"/>
      <w:autoSpaceDN w:val="0"/>
      <w:ind w:firstLine="420"/>
    </w:pPr>
    <w:rPr>
      <w:rFonts w:ascii="宋体"/>
    </w:r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9"/>
    <w:qFormat/>
    <w:uiPriority w:val="99"/>
    <w:rPr>
      <w:sz w:val="24"/>
      <w:szCs w:val="22"/>
    </w:rPr>
  </w:style>
  <w:style w:type="character" w:customStyle="1" w:styleId="36">
    <w:name w:val="正文文本 Char"/>
    <w:link w:val="11"/>
    <w:qFormat/>
    <w:uiPriority w:val="0"/>
    <w:rPr>
      <w:sz w:val="24"/>
      <w:szCs w:val="22"/>
    </w:rPr>
  </w:style>
  <w:style w:type="character" w:customStyle="1" w:styleId="37">
    <w:name w:val="正文文本缩进 Char"/>
    <w:link w:val="3"/>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8"/>
    <w:qFormat/>
    <w:uiPriority w:val="0"/>
    <w:rPr>
      <w:b/>
      <w:bCs/>
      <w:sz w:val="24"/>
      <w:szCs w:val="22"/>
    </w:rPr>
  </w:style>
  <w:style w:type="character" w:customStyle="1" w:styleId="42">
    <w:name w:val="正文首行缩进 2 Char"/>
    <w:link w:val="2"/>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5"/>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6"/>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7"/>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4"/>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2024-01-08T07:26:55Z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