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B975077">
      <w:pPr>
        <w:spacing w:line="360" w:lineRule="auto"/>
        <w:ind w:firstLine="300" w:firstLineChars="50"/>
        <w:rPr>
          <w:rFonts w:hint="eastAsia" w:ascii="宋体" w:hAnsi="宋体"/>
          <w:sz w:val="60"/>
          <w:szCs w:val="60"/>
        </w:rPr>
      </w:pPr>
    </w:p>
    <w:p w14:paraId="46F68DB1">
      <w:pPr>
        <w:spacing w:line="360" w:lineRule="auto"/>
        <w:ind w:firstLine="300" w:firstLineChars="50"/>
        <w:rPr>
          <w:rFonts w:hint="eastAsia" w:ascii="宋体" w:hAnsi="宋体"/>
          <w:sz w:val="60"/>
          <w:szCs w:val="60"/>
        </w:rPr>
      </w:pPr>
    </w:p>
    <w:p w14:paraId="7BA69C6F">
      <w:pPr>
        <w:jc w:val="center"/>
        <w:rPr>
          <w:rFonts w:hint="eastAsia" w:ascii="宋体" w:hAnsi="宋体"/>
          <w:b/>
          <w:bCs/>
          <w:sz w:val="60"/>
          <w:szCs w:val="60"/>
        </w:rPr>
      </w:pPr>
      <w:r>
        <w:rPr>
          <w:rFonts w:ascii="宋体" w:hAnsi="宋体"/>
          <w:b/>
          <w:bCs/>
          <w:sz w:val="60"/>
          <w:szCs w:val="60"/>
        </w:rPr>
        <w:t>北京市政府采购项目</w:t>
      </w:r>
    </w:p>
    <w:p w14:paraId="41CC460F">
      <w:pPr>
        <w:jc w:val="center"/>
        <w:rPr>
          <w:rFonts w:hint="eastAsia" w:ascii="宋体" w:hAnsi="宋体"/>
          <w:b/>
          <w:bCs/>
          <w:sz w:val="60"/>
          <w:szCs w:val="60"/>
        </w:rPr>
      </w:pPr>
      <w:r>
        <w:rPr>
          <w:rFonts w:ascii="宋体" w:hAnsi="宋体"/>
          <w:b/>
          <w:bCs/>
          <w:sz w:val="60"/>
          <w:szCs w:val="60"/>
        </w:rPr>
        <w:t>竞争性磋商文件</w:t>
      </w:r>
    </w:p>
    <w:p w14:paraId="54A8917A">
      <w:pPr>
        <w:spacing w:line="360" w:lineRule="auto"/>
        <w:jc w:val="center"/>
        <w:rPr>
          <w:rFonts w:hint="eastAsia" w:ascii="宋体" w:hAnsi="宋体"/>
          <w:b/>
          <w:bCs/>
          <w:sz w:val="60"/>
          <w:szCs w:val="60"/>
        </w:rPr>
      </w:pPr>
    </w:p>
    <w:p w14:paraId="61E1E1F7">
      <w:pPr>
        <w:spacing w:line="360" w:lineRule="auto"/>
        <w:jc w:val="center"/>
        <w:rPr>
          <w:rFonts w:hint="eastAsia" w:ascii="宋体" w:hAnsi="宋体"/>
          <w:b/>
          <w:bCs/>
          <w:sz w:val="60"/>
          <w:szCs w:val="60"/>
        </w:rPr>
      </w:pPr>
    </w:p>
    <w:p w14:paraId="31A6A91B">
      <w:pPr>
        <w:tabs>
          <w:tab w:val="left" w:pos="5609"/>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项目名称：</w:t>
      </w:r>
      <w:r>
        <w:rPr>
          <w:rFonts w:ascii="宋体" w:hAnsi="宋体"/>
          <w:bCs/>
          <w:sz w:val="36"/>
          <w:szCs w:val="36"/>
        </w:rPr>
        <w:tab/>
      </w:r>
      <w:r>
        <w:rPr>
          <w:rFonts w:hint="eastAsia" w:ascii="宋体" w:hAnsi="宋体"/>
          <w:bCs/>
          <w:sz w:val="36"/>
          <w:szCs w:val="36"/>
        </w:rPr>
        <w:t>改善教学保障条件-设备购置-北京开放大学电梯更新购置电梯安装采购项目</w:t>
      </w:r>
    </w:p>
    <w:p w14:paraId="61B24B9F">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项目编号/包号：HCZB-2026-ZB</w:t>
      </w:r>
      <w:r>
        <w:rPr>
          <w:rFonts w:hint="eastAsia" w:ascii="宋体" w:hAnsi="宋体"/>
          <w:bCs/>
          <w:sz w:val="36"/>
          <w:szCs w:val="36"/>
        </w:rPr>
        <w:t>0748</w:t>
      </w:r>
    </w:p>
    <w:p w14:paraId="100BF24C">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采 购 人：</w:t>
      </w:r>
      <w:r>
        <w:rPr>
          <w:rFonts w:hint="eastAsia" w:ascii="宋体" w:hAnsi="宋体"/>
          <w:bCs/>
          <w:sz w:val="36"/>
          <w:szCs w:val="36"/>
        </w:rPr>
        <w:t>北京开放大学</w:t>
      </w:r>
    </w:p>
    <w:p w14:paraId="355B17CA">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采购代理机构：</w:t>
      </w:r>
      <w:r>
        <w:rPr>
          <w:rFonts w:hint="eastAsia" w:ascii="宋体" w:hAnsi="宋体"/>
          <w:bCs/>
          <w:sz w:val="36"/>
          <w:szCs w:val="36"/>
        </w:rPr>
        <w:t>华采招标集团有限公司</w:t>
      </w:r>
    </w:p>
    <w:p w14:paraId="02AC737B">
      <w:pPr>
        <w:widowControl/>
        <w:jc w:val="left"/>
        <w:rPr>
          <w:rFonts w:hint="eastAsia" w:ascii="宋体" w:hAnsi="宋体"/>
        </w:rPr>
        <w:sectPr>
          <w:headerReference r:id="rId3" w:type="default"/>
          <w:type w:val="nextColumn"/>
          <w:pgSz w:w="11906" w:h="16838"/>
          <w:pgMar w:top="1440" w:right="1080" w:bottom="1440" w:left="1080" w:header="851" w:footer="992" w:gutter="0"/>
          <w:cols w:space="425" w:num="1"/>
          <w:docGrid w:linePitch="312" w:charSpace="0"/>
        </w:sectPr>
      </w:pPr>
      <w:r>
        <w:rPr>
          <w:rFonts w:ascii="宋体" w:hAnsi="宋体"/>
          <w:b/>
          <w:bCs/>
          <w:sz w:val="44"/>
        </w:rPr>
        <w:br w:type="page"/>
      </w:r>
    </w:p>
    <w:p w14:paraId="2CD6FA05">
      <w:pPr>
        <w:pStyle w:val="159"/>
        <w:spacing w:line="360" w:lineRule="auto"/>
        <w:rPr>
          <w:rFonts w:hint="eastAsia" w:ascii="宋体" w:hAnsi="宋体" w:cs="Times New Roman"/>
          <w:color w:val="auto"/>
        </w:rPr>
      </w:pPr>
    </w:p>
    <w:p w14:paraId="4E425E78">
      <w:pPr>
        <w:pStyle w:val="159"/>
        <w:spacing w:line="360" w:lineRule="auto"/>
        <w:rPr>
          <w:rFonts w:hint="eastAsia" w:ascii="宋体" w:hAnsi="宋体" w:cs="Times New Roman"/>
          <w:color w:val="auto"/>
        </w:rPr>
      </w:pPr>
    </w:p>
    <w:p w14:paraId="632F0B77">
      <w:pPr>
        <w:spacing w:line="360" w:lineRule="auto"/>
        <w:jc w:val="center"/>
        <w:outlineLvl w:val="0"/>
        <w:rPr>
          <w:rFonts w:hint="eastAsia" w:ascii="宋体" w:hAnsi="宋体"/>
          <w:b/>
          <w:sz w:val="36"/>
          <w:szCs w:val="36"/>
        </w:rPr>
      </w:pPr>
      <w:bookmarkStart w:id="0" w:name="_Toc232493956"/>
      <w:r>
        <w:rPr>
          <w:rFonts w:ascii="宋体" w:hAnsi="宋体"/>
          <w:b/>
          <w:sz w:val="36"/>
          <w:szCs w:val="36"/>
        </w:rPr>
        <w:t>目      录</w:t>
      </w:r>
      <w:bookmarkEnd w:id="0"/>
    </w:p>
    <w:p w14:paraId="1ED7C753">
      <w:pPr>
        <w:rPr>
          <w:rFonts w:hint="eastAsia" w:ascii="宋体" w:hAnsi="宋体"/>
        </w:rPr>
      </w:pPr>
    </w:p>
    <w:p w14:paraId="57066EA1">
      <w:pPr>
        <w:rPr>
          <w:rFonts w:hint="eastAsia" w:ascii="宋体" w:hAnsi="宋体"/>
        </w:rPr>
      </w:pPr>
    </w:p>
    <w:p w14:paraId="2CCEE829">
      <w:pPr>
        <w:rPr>
          <w:rFonts w:hint="eastAsia" w:ascii="宋体" w:hAnsi="宋体"/>
        </w:rPr>
      </w:pPr>
    </w:p>
    <w:p w14:paraId="18AD4649">
      <w:pPr>
        <w:rPr>
          <w:rFonts w:hint="eastAsia" w:ascii="宋体" w:hAnsi="宋体"/>
        </w:rPr>
      </w:pPr>
    </w:p>
    <w:p w14:paraId="4A6E2CBF">
      <w:pPr>
        <w:pStyle w:val="31"/>
        <w:spacing w:line="480" w:lineRule="auto"/>
        <w:rPr>
          <w:rFonts w:asciiTheme="minorHAnsi" w:hAnsiTheme="minorHAnsi" w:eastAsiaTheme="minorEastAsia" w:cstheme="minorBidi"/>
          <w:b w:val="0"/>
          <w:sz w:val="22"/>
          <w14:ligatures w14:val="standardContextual"/>
        </w:rPr>
      </w:pPr>
      <w:r>
        <w:rPr>
          <w:b w:val="0"/>
        </w:rPr>
        <w:fldChar w:fldCharType="begin"/>
      </w:r>
      <w:r>
        <w:rPr>
          <w:b w:val="0"/>
        </w:rPr>
        <w:instrText xml:space="preserve"> TOC \o "1-1" \h \z \u </w:instrText>
      </w:r>
      <w:r>
        <w:rPr>
          <w:b w:val="0"/>
        </w:rPr>
        <w:fldChar w:fldCharType="separate"/>
      </w:r>
    </w:p>
    <w:p w14:paraId="7FB76723">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"_Toc232493957" </w:instrText>
      </w:r>
      <w:r>
        <w:fldChar w:fldCharType="separate"/>
      </w:r>
      <w:r>
        <w:rPr>
          <w:rStyle w:val="52"/>
          <w:rFonts w:hint="eastAsia"/>
          <w:color w:val="auto"/>
        </w:rPr>
        <w:t>第一章   采购邀请</w:t>
      </w:r>
      <w:r>
        <w:rPr>
          <w:rFonts w:hint="eastAsia"/>
        </w:rPr>
        <w:tab/>
      </w:r>
      <w:r>
        <w:rPr>
          <w:rFonts w:hint="eastAsia"/>
        </w:rPr>
        <w:fldChar w:fldCharType="begin"/>
      </w:r>
      <w:r>
        <w:rPr>
          <w:rFonts w:hint="eastAsia"/>
        </w:rPr>
        <w:instrText xml:space="preserve"> </w:instrText>
      </w:r>
      <w:r>
        <w:instrText xml:space="preserve">PAGEREF _Toc232493957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39FC9C0E">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"_Toc232493958" </w:instrText>
      </w:r>
      <w:r>
        <w:fldChar w:fldCharType="separate"/>
      </w:r>
      <w:r>
        <w:rPr>
          <w:rStyle w:val="52"/>
          <w:rFonts w:hint="eastAsia"/>
          <w:color w:val="auto"/>
        </w:rPr>
        <w:t>第二章   供应商须知</w:t>
      </w:r>
      <w:r>
        <w:rPr>
          <w:rFonts w:hint="eastAsia"/>
        </w:rPr>
        <w:tab/>
      </w:r>
      <w:r>
        <w:rPr>
          <w:rFonts w:hint="eastAsia"/>
        </w:rPr>
        <w:fldChar w:fldCharType="begin"/>
      </w:r>
      <w:r>
        <w:rPr>
          <w:rFonts w:hint="eastAsia"/>
        </w:rPr>
        <w:instrText xml:space="preserve"> </w:instrText>
      </w:r>
      <w:r>
        <w:instrText xml:space="preserve">PAGEREF _Toc232493958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2AFBA61F">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"_Toc232493959" </w:instrText>
      </w:r>
      <w:r>
        <w:fldChar w:fldCharType="separate"/>
      </w:r>
      <w:r>
        <w:rPr>
          <w:rStyle w:val="52"/>
          <w:rFonts w:hint="eastAsia"/>
          <w:color w:val="auto"/>
        </w:rPr>
        <w:t>第三章   评审方法和评审标准</w:t>
      </w:r>
      <w:r>
        <w:rPr>
          <w:rFonts w:hint="eastAsia"/>
        </w:rPr>
        <w:tab/>
      </w:r>
      <w:r>
        <w:rPr>
          <w:rFonts w:hint="eastAsia"/>
        </w:rPr>
        <w:fldChar w:fldCharType="begin"/>
      </w:r>
      <w:r>
        <w:rPr>
          <w:rFonts w:hint="eastAsia"/>
        </w:rPr>
        <w:instrText xml:space="preserve"> </w:instrText>
      </w:r>
      <w:r>
        <w:instrText xml:space="preserve">PAGEREF _Toc232493959 \h</w:instrText>
      </w:r>
      <w:r>
        <w:rPr>
          <w:rFonts w:hint="eastAsia"/>
        </w:rPr>
        <w:instrText xml:space="preserve"> </w:instrText>
      </w:r>
      <w:r>
        <w:rPr>
          <w:rFonts w:hint="eastAsia"/>
        </w:rPr>
        <w:fldChar w:fldCharType="separate"/>
      </w:r>
      <w:r>
        <w:rPr>
          <w:rFonts w:hint="eastAsia"/>
        </w:rPr>
        <w:t>23</w:t>
      </w:r>
      <w:r>
        <w:rPr>
          <w:rFonts w:hint="eastAsia"/>
        </w:rPr>
        <w:fldChar w:fldCharType="end"/>
      </w:r>
      <w:r>
        <w:rPr>
          <w:rFonts w:hint="eastAsia"/>
        </w:rPr>
        <w:fldChar w:fldCharType="end"/>
      </w:r>
    </w:p>
    <w:p w14:paraId="1320AF5B">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"_Toc232493960" </w:instrText>
      </w:r>
      <w:r>
        <w:fldChar w:fldCharType="separate"/>
      </w:r>
      <w:r>
        <w:rPr>
          <w:rStyle w:val="52"/>
          <w:rFonts w:hint="eastAsia"/>
          <w:color w:val="auto"/>
        </w:rPr>
        <w:t>第四章   采购需求</w:t>
      </w:r>
      <w:r>
        <w:rPr>
          <w:rFonts w:hint="eastAsia"/>
        </w:rPr>
        <w:tab/>
      </w:r>
      <w:r>
        <w:rPr>
          <w:rFonts w:hint="eastAsia"/>
        </w:rPr>
        <w:fldChar w:fldCharType="begin"/>
      </w:r>
      <w:r>
        <w:rPr>
          <w:rFonts w:hint="eastAsia"/>
        </w:rPr>
        <w:instrText xml:space="preserve"> </w:instrText>
      </w:r>
      <w:r>
        <w:instrText xml:space="preserve">PAGEREF _Toc232493960 \h</w:instrText>
      </w:r>
      <w:r>
        <w:rPr>
          <w:rFonts w:hint="eastAsia"/>
        </w:rPr>
        <w:instrText xml:space="preserve"> </w:instrText>
      </w:r>
      <w:r>
        <w:rPr>
          <w:rFonts w:hint="eastAsia"/>
        </w:rPr>
        <w:fldChar w:fldCharType="separate"/>
      </w:r>
      <w:r>
        <w:rPr>
          <w:rFonts w:hint="eastAsia"/>
        </w:rPr>
        <w:t>38</w:t>
      </w:r>
      <w:r>
        <w:rPr>
          <w:rFonts w:hint="eastAsia"/>
        </w:rPr>
        <w:fldChar w:fldCharType="end"/>
      </w:r>
      <w:r>
        <w:rPr>
          <w:rFonts w:hint="eastAsia"/>
        </w:rPr>
        <w:fldChar w:fldCharType="end"/>
      </w:r>
    </w:p>
    <w:p w14:paraId="67F40375">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"_Toc232493961" </w:instrText>
      </w:r>
      <w:r>
        <w:fldChar w:fldCharType="separate"/>
      </w:r>
      <w:r>
        <w:rPr>
          <w:rStyle w:val="52"/>
          <w:rFonts w:hint="eastAsia"/>
          <w:color w:val="auto"/>
        </w:rPr>
        <w:t>第五章   合同草案条款</w:t>
      </w:r>
      <w:r>
        <w:rPr>
          <w:rFonts w:hint="eastAsia"/>
        </w:rPr>
        <w:tab/>
      </w:r>
      <w:r>
        <w:rPr>
          <w:rFonts w:hint="eastAsia"/>
        </w:rPr>
        <w:fldChar w:fldCharType="begin"/>
      </w:r>
      <w:r>
        <w:rPr>
          <w:rFonts w:hint="eastAsia"/>
        </w:rPr>
        <w:instrText xml:space="preserve"> </w:instrText>
      </w:r>
      <w:r>
        <w:instrText xml:space="preserve">PAGEREF _Toc232493961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173591B3">
      <w:pPr>
        <w:pStyle w:val="31"/>
        <w:spacing w:line="480" w:lineRule="auto"/>
        <w:rPr>
          <w:rFonts w:asciiTheme="minorHAnsi" w:hAnsiTheme="minorHAnsi" w:eastAsiaTheme="minorEastAsia" w:cstheme="minorBidi"/>
          <w:b w:val="0"/>
          <w:sz w:val="22"/>
          <w14:ligatures w14:val="standardContextual"/>
        </w:rPr>
      </w:pPr>
      <w:r>
        <w:fldChar w:fldCharType="begin"/>
      </w:r>
      <w:r>
        <w:instrText xml:space="preserve"> HYPERLINK \l "_Toc232493962" </w:instrText>
      </w:r>
      <w:r>
        <w:fldChar w:fldCharType="separate"/>
      </w:r>
      <w:r>
        <w:rPr>
          <w:rStyle w:val="52"/>
          <w:rFonts w:hint="eastAsia" w:cstheme="minorEastAsia"/>
          <w:color w:val="auto"/>
        </w:rPr>
        <w:t>第六章   响应文件格式</w:t>
      </w:r>
      <w:r>
        <w:rPr>
          <w:rFonts w:hint="eastAsia"/>
        </w:rPr>
        <w:tab/>
      </w:r>
      <w:r>
        <w:rPr>
          <w:rFonts w:hint="eastAsia"/>
        </w:rPr>
        <w:fldChar w:fldCharType="begin"/>
      </w:r>
      <w:r>
        <w:rPr>
          <w:rFonts w:hint="eastAsia"/>
        </w:rPr>
        <w:instrText xml:space="preserve"> </w:instrText>
      </w:r>
      <w:r>
        <w:instrText xml:space="preserve">PAGEREF _Toc232493962 \h</w:instrText>
      </w:r>
      <w:r>
        <w:rPr>
          <w:rFonts w:hint="eastAsia"/>
        </w:rPr>
        <w:instrText xml:space="preserve"> </w:instrText>
      </w:r>
      <w:r>
        <w:rPr>
          <w:rFonts w:hint="eastAsia"/>
        </w:rPr>
        <w:fldChar w:fldCharType="separate"/>
      </w:r>
      <w:r>
        <w:rPr>
          <w:rFonts w:hint="eastAsia"/>
        </w:rPr>
        <w:t>125</w:t>
      </w:r>
      <w:r>
        <w:rPr>
          <w:rFonts w:hint="eastAsia"/>
        </w:rPr>
        <w:fldChar w:fldCharType="end"/>
      </w:r>
      <w:r>
        <w:rPr>
          <w:rFonts w:hint="eastAsia"/>
        </w:rPr>
        <w:fldChar w:fldCharType="end"/>
      </w:r>
    </w:p>
    <w:p w14:paraId="7D232C9B">
      <w:pPr>
        <w:pStyle w:val="31"/>
        <w:spacing w:line="480" w:lineRule="auto"/>
        <w:rPr>
          <w:rFonts w:hint="eastAsia"/>
          <w:b w:val="0"/>
        </w:rPr>
      </w:pPr>
      <w:r>
        <w:fldChar w:fldCharType="end"/>
      </w:r>
    </w:p>
    <w:p w14:paraId="4973396F">
      <w:pPr>
        <w:rPr>
          <w:rFonts w:hint="eastAsia" w:ascii="宋体" w:hAnsi="宋体"/>
        </w:rPr>
      </w:pPr>
    </w:p>
    <w:p w14:paraId="646F2C5E">
      <w:pPr>
        <w:spacing w:line="360" w:lineRule="auto"/>
        <w:rPr>
          <w:rFonts w:hint="eastAsia" w:ascii="宋体" w:hAnsi="宋体"/>
          <w:sz w:val="24"/>
        </w:rPr>
      </w:pPr>
      <w:r>
        <w:rPr>
          <w:rFonts w:hint="eastAsia" w:ascii="宋体" w:hAnsi="宋体"/>
          <w:sz w:val="24"/>
        </w:rPr>
        <w:t>注：采购文件条款中以</w:t>
      </w:r>
      <w:r>
        <w:rPr>
          <w:rFonts w:ascii="宋体" w:hAnsi="宋体"/>
          <w:sz w:val="24"/>
        </w:rPr>
        <w:t xml:space="preserve"> “■”</w:t>
      </w:r>
      <w:r>
        <w:rPr>
          <w:rFonts w:hint="eastAsia" w:ascii="宋体" w:hAnsi="宋体"/>
          <w:sz w:val="24"/>
        </w:rPr>
        <w:t>形式标记的内容适用于本项目，以</w:t>
      </w:r>
      <w:r>
        <w:rPr>
          <w:rFonts w:ascii="宋体" w:hAnsi="宋体"/>
          <w:sz w:val="24"/>
        </w:rPr>
        <w:t>“□”</w:t>
      </w:r>
      <w:r>
        <w:rPr>
          <w:rFonts w:hint="eastAsia" w:ascii="宋体" w:hAnsi="宋体"/>
          <w:sz w:val="24"/>
        </w:rPr>
        <w:t>形式标记的内容不适用于本项目。</w:t>
      </w:r>
    </w:p>
    <w:p w14:paraId="1805F236">
      <w:pPr>
        <w:pStyle w:val="31"/>
        <w:spacing w:line="360" w:lineRule="auto"/>
        <w:rPr>
          <w:rFonts w:hint="eastAsia"/>
          <w:b w:val="0"/>
        </w:rPr>
      </w:pPr>
    </w:p>
    <w:p w14:paraId="3729AFD9">
      <w:pPr>
        <w:pStyle w:val="31"/>
        <w:spacing w:line="360" w:lineRule="auto"/>
        <w:rPr>
          <w:rFonts w:hint="eastAsia"/>
          <w:b w:val="0"/>
          <w:sz w:val="36"/>
          <w:szCs w:val="36"/>
        </w:rPr>
      </w:pPr>
    </w:p>
    <w:p w14:paraId="554BF471">
      <w:pPr>
        <w:spacing w:line="360" w:lineRule="auto"/>
        <w:jc w:val="center"/>
        <w:outlineLvl w:val="0"/>
        <w:rPr>
          <w:rFonts w:hint="eastAsia" w:ascii="宋体" w:hAnsi="宋体"/>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40" w:right="1080" w:bottom="1440" w:left="1080" w:header="851" w:footer="851" w:gutter="0"/>
          <w:pgNumType w:start="1"/>
          <w:cols w:space="720" w:num="1"/>
          <w:titlePg/>
          <w:docGrid w:linePitch="462" w:charSpace="0"/>
        </w:sectPr>
      </w:pPr>
    </w:p>
    <w:p w14:paraId="5DED805F">
      <w:pPr>
        <w:spacing w:line="360" w:lineRule="auto"/>
        <w:jc w:val="center"/>
        <w:outlineLvl w:val="0"/>
        <w:rPr>
          <w:rFonts w:hint="eastAsia" w:ascii="宋体" w:hAnsi="宋体"/>
          <w:b/>
          <w:sz w:val="36"/>
          <w:szCs w:val="36"/>
        </w:rPr>
      </w:pPr>
      <w:bookmarkStart w:id="1" w:name="_Toc232493957"/>
      <w:r>
        <w:rPr>
          <w:rFonts w:ascii="宋体" w:hAnsi="宋体"/>
          <w:b/>
          <w:sz w:val="36"/>
          <w:szCs w:val="36"/>
        </w:rPr>
        <w:t>第一章   采购邀请</w:t>
      </w:r>
      <w:bookmarkEnd w:id="1"/>
      <w:bookmarkStart w:id="2" w:name="_Toc35393621"/>
      <w:bookmarkStart w:id="3" w:name="_Toc28359079"/>
      <w:bookmarkStart w:id="4" w:name="_Toc35393790"/>
      <w:bookmarkStart w:id="5" w:name="_Toc28359002"/>
      <w:bookmarkStart w:id="6" w:name="_Hlk24379207"/>
    </w:p>
    <w:p w14:paraId="7B6296DF">
      <w:pPr>
        <w:spacing w:line="360" w:lineRule="auto"/>
        <w:ind w:firstLine="480" w:firstLineChars="200"/>
        <w:rPr>
          <w:rFonts w:hint="eastAsia" w:ascii="宋体" w:hAnsi="宋体"/>
          <w:sz w:val="24"/>
        </w:rPr>
      </w:pPr>
      <w:bookmarkStart w:id="1068" w:name="_GoBack"/>
      <w:bookmarkEnd w:id="1068"/>
    </w:p>
    <w:p w14:paraId="1042EB77">
      <w:pPr>
        <w:pStyle w:val="3"/>
        <w:spacing w:before="0" w:line="360" w:lineRule="auto"/>
        <w:jc w:val="left"/>
        <w:rPr>
          <w:rFonts w:hint="eastAsia" w:ascii="宋体" w:hAnsi="宋体" w:eastAsia="宋体"/>
          <w:sz w:val="24"/>
          <w:szCs w:val="24"/>
        </w:rPr>
      </w:pPr>
      <w:r>
        <w:rPr>
          <w:rFonts w:ascii="宋体" w:hAnsi="宋体" w:eastAsia="宋体"/>
          <w:sz w:val="24"/>
          <w:szCs w:val="24"/>
        </w:rPr>
        <w:t>一、项目基本情况</w:t>
      </w:r>
      <w:bookmarkEnd w:id="2"/>
      <w:bookmarkEnd w:id="3"/>
      <w:bookmarkEnd w:id="4"/>
      <w:bookmarkEnd w:id="5"/>
    </w:p>
    <w:p w14:paraId="724FF0D8">
      <w:pPr>
        <w:spacing w:line="360" w:lineRule="auto"/>
        <w:ind w:firstLine="480" w:firstLineChars="200"/>
        <w:rPr>
          <w:rFonts w:hint="eastAsia" w:ascii="宋体" w:hAnsi="宋体"/>
          <w:sz w:val="24"/>
        </w:rPr>
      </w:pPr>
      <w:r>
        <w:rPr>
          <w:rFonts w:ascii="宋体" w:hAnsi="宋体"/>
          <w:sz w:val="24"/>
        </w:rPr>
        <w:t>1.项目编号：HCZB-2026-</w:t>
      </w:r>
      <w:r>
        <w:rPr>
          <w:rFonts w:hint="eastAsia" w:ascii="宋体" w:hAnsi="宋体"/>
          <w:sz w:val="24"/>
        </w:rPr>
        <w:t>ZB0748</w:t>
      </w:r>
    </w:p>
    <w:p w14:paraId="7FD78CA5">
      <w:pPr>
        <w:spacing w:line="360" w:lineRule="auto"/>
        <w:ind w:firstLine="480" w:firstLineChars="200"/>
        <w:rPr>
          <w:rFonts w:hint="eastAsia" w:ascii="宋体" w:hAnsi="宋体"/>
          <w:sz w:val="24"/>
        </w:rPr>
      </w:pPr>
      <w:r>
        <w:rPr>
          <w:rFonts w:ascii="宋体" w:hAnsi="宋体"/>
          <w:sz w:val="24"/>
        </w:rPr>
        <w:t>2.项目名称：</w:t>
      </w:r>
      <w:r>
        <w:rPr>
          <w:rFonts w:hint="eastAsia" w:ascii="宋体" w:hAnsi="宋体"/>
          <w:sz w:val="24"/>
        </w:rPr>
        <w:t>改善教学保障条件-设备购置-北京开放大学电梯更新购置电梯安装采购项目</w:t>
      </w:r>
    </w:p>
    <w:p w14:paraId="0B3B91A7">
      <w:pPr>
        <w:spacing w:line="360" w:lineRule="auto"/>
        <w:ind w:firstLine="480" w:firstLineChars="200"/>
        <w:rPr>
          <w:rFonts w:hint="eastAsia" w:ascii="宋体" w:hAnsi="宋体"/>
          <w:sz w:val="24"/>
        </w:rPr>
      </w:pPr>
      <w:r>
        <w:rPr>
          <w:rFonts w:ascii="宋体" w:hAnsi="宋体"/>
          <w:sz w:val="24"/>
        </w:rPr>
        <w:t>3.采购方式：竞争性磋商</w:t>
      </w:r>
    </w:p>
    <w:bookmarkEnd w:id="6"/>
    <w:p w14:paraId="074F62F4">
      <w:pPr>
        <w:spacing w:line="360" w:lineRule="auto"/>
        <w:ind w:firstLine="480" w:firstLineChars="200"/>
        <w:rPr>
          <w:rFonts w:hint="eastAsia" w:ascii="宋体" w:hAnsi="宋体"/>
          <w:sz w:val="24"/>
        </w:rPr>
      </w:pPr>
      <w:r>
        <w:rPr>
          <w:rFonts w:ascii="宋体" w:hAnsi="宋体"/>
          <w:sz w:val="24"/>
        </w:rPr>
        <w:t>4.项目预算金额：122.559419万元、项目最高限价（如有）：122</w:t>
      </w:r>
      <w:r>
        <w:rPr>
          <w:rFonts w:hint="eastAsia" w:ascii="宋体" w:hAnsi="宋体"/>
          <w:sz w:val="24"/>
        </w:rPr>
        <w:t>.</w:t>
      </w:r>
      <w:r>
        <w:rPr>
          <w:rFonts w:ascii="宋体" w:hAnsi="宋体"/>
          <w:sz w:val="24"/>
        </w:rPr>
        <w:t>440268万元</w:t>
      </w:r>
    </w:p>
    <w:p w14:paraId="0B93CF5C">
      <w:pPr>
        <w:spacing w:line="360" w:lineRule="auto"/>
        <w:ind w:firstLine="480" w:firstLineChars="200"/>
        <w:rPr>
          <w:rFonts w:hint="eastAsia" w:ascii="宋体" w:hAnsi="宋体"/>
          <w:sz w:val="24"/>
        </w:rPr>
      </w:pPr>
      <w:r>
        <w:rPr>
          <w:rFonts w:ascii="宋体" w:hAnsi="宋体"/>
          <w:sz w:val="24"/>
        </w:rPr>
        <w:t>5.采购需求：</w:t>
      </w:r>
      <w:r>
        <w:rPr>
          <w:rFonts w:hint="eastAsia" w:ascii="宋体" w:hAnsi="宋体"/>
          <w:sz w:val="24"/>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642"/>
        <w:gridCol w:w="1794"/>
        <w:gridCol w:w="1052"/>
        <w:gridCol w:w="4506"/>
      </w:tblGrid>
      <w:tr w14:paraId="1463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4086B00C">
            <w:pPr>
              <w:adjustRightInd w:val="0"/>
              <w:snapToGrid w:val="0"/>
              <w:spacing w:line="360" w:lineRule="auto"/>
              <w:jc w:val="center"/>
              <w:rPr>
                <w:rFonts w:hint="eastAsia" w:ascii="宋体" w:hAnsi="宋体"/>
                <w:bCs/>
                <w:sz w:val="24"/>
              </w:rPr>
            </w:pPr>
            <w:r>
              <w:rPr>
                <w:rFonts w:ascii="宋体" w:hAnsi="宋体"/>
                <w:bCs/>
                <w:sz w:val="24"/>
              </w:rPr>
              <w:t>包号</w:t>
            </w:r>
          </w:p>
        </w:tc>
        <w:tc>
          <w:tcPr>
            <w:tcW w:w="843" w:type="pct"/>
            <w:vAlign w:val="center"/>
          </w:tcPr>
          <w:p w14:paraId="0A1C9BF9">
            <w:pPr>
              <w:adjustRightInd w:val="0"/>
              <w:snapToGrid w:val="0"/>
              <w:spacing w:line="360" w:lineRule="auto"/>
              <w:jc w:val="center"/>
              <w:rPr>
                <w:rFonts w:hint="eastAsia" w:ascii="宋体" w:hAnsi="宋体"/>
                <w:bCs/>
                <w:sz w:val="24"/>
              </w:rPr>
            </w:pPr>
            <w:r>
              <w:rPr>
                <w:rFonts w:ascii="宋体" w:hAnsi="宋体"/>
                <w:bCs/>
                <w:sz w:val="24"/>
              </w:rPr>
              <w:t>标的名称</w:t>
            </w:r>
          </w:p>
        </w:tc>
        <w:tc>
          <w:tcPr>
            <w:tcW w:w="921" w:type="pct"/>
            <w:vAlign w:val="center"/>
          </w:tcPr>
          <w:p w14:paraId="06984A3F">
            <w:pPr>
              <w:adjustRightInd w:val="0"/>
              <w:snapToGrid w:val="0"/>
              <w:spacing w:line="360" w:lineRule="auto"/>
              <w:jc w:val="center"/>
              <w:rPr>
                <w:rFonts w:hint="eastAsia" w:ascii="宋体" w:hAnsi="宋体"/>
                <w:bCs/>
                <w:sz w:val="24"/>
              </w:rPr>
            </w:pPr>
            <w:r>
              <w:rPr>
                <w:rFonts w:ascii="宋体" w:hAnsi="宋体"/>
                <w:bCs/>
                <w:sz w:val="24"/>
              </w:rPr>
              <w:t>采购包</w:t>
            </w:r>
          </w:p>
          <w:p w14:paraId="1B64FB80">
            <w:pPr>
              <w:adjustRightInd w:val="0"/>
              <w:snapToGrid w:val="0"/>
              <w:spacing w:line="360" w:lineRule="auto"/>
              <w:jc w:val="center"/>
              <w:rPr>
                <w:rFonts w:hint="eastAsia" w:ascii="宋体" w:hAnsi="宋体"/>
                <w:bCs/>
                <w:sz w:val="24"/>
              </w:rPr>
            </w:pPr>
            <w:r>
              <w:rPr>
                <w:rFonts w:ascii="宋体" w:hAnsi="宋体"/>
                <w:bCs/>
                <w:sz w:val="24"/>
              </w:rPr>
              <w:t>预算金额</w:t>
            </w:r>
          </w:p>
          <w:p w14:paraId="0C112236">
            <w:pPr>
              <w:adjustRightInd w:val="0"/>
              <w:snapToGrid w:val="0"/>
              <w:spacing w:line="360" w:lineRule="auto"/>
              <w:jc w:val="center"/>
              <w:rPr>
                <w:rFonts w:hint="eastAsia" w:ascii="宋体" w:hAnsi="宋体"/>
                <w:bCs/>
                <w:sz w:val="24"/>
              </w:rPr>
            </w:pPr>
            <w:r>
              <w:rPr>
                <w:rFonts w:ascii="宋体" w:hAnsi="宋体"/>
                <w:bCs/>
                <w:sz w:val="24"/>
              </w:rPr>
              <w:t>（万元）</w:t>
            </w:r>
          </w:p>
        </w:tc>
        <w:tc>
          <w:tcPr>
            <w:tcW w:w="540" w:type="pct"/>
            <w:vAlign w:val="center"/>
          </w:tcPr>
          <w:p w14:paraId="085A3AC0">
            <w:pPr>
              <w:adjustRightInd w:val="0"/>
              <w:snapToGrid w:val="0"/>
              <w:spacing w:line="360" w:lineRule="auto"/>
              <w:jc w:val="center"/>
              <w:rPr>
                <w:rFonts w:hint="eastAsia" w:ascii="宋体" w:hAnsi="宋体"/>
                <w:bCs/>
                <w:sz w:val="24"/>
              </w:rPr>
            </w:pPr>
            <w:r>
              <w:rPr>
                <w:rFonts w:ascii="宋体" w:hAnsi="宋体"/>
                <w:bCs/>
                <w:sz w:val="24"/>
              </w:rPr>
              <w:t>数量</w:t>
            </w:r>
          </w:p>
        </w:tc>
        <w:tc>
          <w:tcPr>
            <w:tcW w:w="2314" w:type="pct"/>
            <w:vAlign w:val="center"/>
          </w:tcPr>
          <w:p w14:paraId="088C9605">
            <w:pPr>
              <w:adjustRightInd w:val="0"/>
              <w:snapToGrid w:val="0"/>
              <w:spacing w:line="360" w:lineRule="auto"/>
              <w:jc w:val="center"/>
              <w:rPr>
                <w:rFonts w:hint="eastAsia" w:ascii="宋体" w:hAnsi="宋体"/>
                <w:sz w:val="24"/>
              </w:rPr>
            </w:pPr>
            <w:r>
              <w:rPr>
                <w:rFonts w:ascii="宋体" w:hAnsi="宋体"/>
                <w:sz w:val="24"/>
              </w:rPr>
              <w:t>简要技术需求或服务要求</w:t>
            </w:r>
          </w:p>
        </w:tc>
      </w:tr>
      <w:tr w14:paraId="0C3F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82" w:type="pct"/>
            <w:vAlign w:val="center"/>
          </w:tcPr>
          <w:p w14:paraId="58D93FAB">
            <w:pPr>
              <w:adjustRightInd w:val="0"/>
              <w:snapToGrid w:val="0"/>
              <w:spacing w:line="360" w:lineRule="auto"/>
              <w:jc w:val="center"/>
              <w:rPr>
                <w:rFonts w:hint="eastAsia" w:ascii="宋体" w:hAnsi="宋体"/>
                <w:bCs/>
                <w:sz w:val="24"/>
              </w:rPr>
            </w:pPr>
            <w:r>
              <w:rPr>
                <w:rFonts w:ascii="宋体" w:hAnsi="宋体"/>
                <w:bCs/>
                <w:sz w:val="24"/>
              </w:rPr>
              <w:t>0</w:t>
            </w:r>
            <w:r>
              <w:rPr>
                <w:rFonts w:hint="eastAsia" w:ascii="宋体" w:hAnsi="宋体"/>
                <w:bCs/>
                <w:sz w:val="24"/>
              </w:rPr>
              <w:t>1</w:t>
            </w:r>
          </w:p>
        </w:tc>
        <w:tc>
          <w:tcPr>
            <w:tcW w:w="843" w:type="pct"/>
            <w:vAlign w:val="center"/>
          </w:tcPr>
          <w:p w14:paraId="216C60EF">
            <w:pPr>
              <w:adjustRightInd w:val="0"/>
              <w:snapToGrid w:val="0"/>
              <w:spacing w:line="360" w:lineRule="auto"/>
              <w:jc w:val="center"/>
              <w:rPr>
                <w:rFonts w:hint="eastAsia" w:ascii="宋体" w:hAnsi="宋体"/>
                <w:bCs/>
                <w:sz w:val="24"/>
              </w:rPr>
            </w:pPr>
            <w:r>
              <w:rPr>
                <w:rFonts w:hint="eastAsia" w:ascii="宋体" w:hAnsi="宋体"/>
                <w:bCs/>
                <w:sz w:val="24"/>
              </w:rPr>
              <w:t>改善教学保障条件-设备购置-北京开放大学电梯更新购置电梯安装采购项目</w:t>
            </w:r>
          </w:p>
        </w:tc>
        <w:tc>
          <w:tcPr>
            <w:tcW w:w="921" w:type="pct"/>
            <w:vAlign w:val="center"/>
          </w:tcPr>
          <w:p w14:paraId="55CF742F">
            <w:pPr>
              <w:adjustRightInd w:val="0"/>
              <w:snapToGrid w:val="0"/>
              <w:spacing w:line="360" w:lineRule="auto"/>
              <w:jc w:val="center"/>
              <w:rPr>
                <w:rFonts w:hint="eastAsia" w:ascii="宋体" w:hAnsi="宋体"/>
                <w:bCs/>
                <w:sz w:val="24"/>
              </w:rPr>
            </w:pPr>
            <w:r>
              <w:rPr>
                <w:rFonts w:ascii="宋体" w:hAnsi="宋体"/>
                <w:bCs/>
                <w:sz w:val="24"/>
              </w:rPr>
              <w:t>122.559419</w:t>
            </w:r>
          </w:p>
        </w:tc>
        <w:tc>
          <w:tcPr>
            <w:tcW w:w="540" w:type="pct"/>
            <w:vAlign w:val="center"/>
          </w:tcPr>
          <w:p w14:paraId="12A9143B">
            <w:pPr>
              <w:adjustRightInd w:val="0"/>
              <w:snapToGrid w:val="0"/>
              <w:spacing w:line="360" w:lineRule="auto"/>
              <w:jc w:val="center"/>
              <w:rPr>
                <w:rFonts w:hint="eastAsia" w:ascii="宋体" w:hAnsi="宋体"/>
                <w:bCs/>
                <w:sz w:val="24"/>
              </w:rPr>
            </w:pPr>
            <w:r>
              <w:rPr>
                <w:rFonts w:hint="eastAsia" w:ascii="宋体" w:hAnsi="宋体"/>
                <w:bCs/>
                <w:sz w:val="24"/>
              </w:rPr>
              <w:t>1</w:t>
            </w:r>
          </w:p>
        </w:tc>
        <w:tc>
          <w:tcPr>
            <w:tcW w:w="2314" w:type="pct"/>
            <w:vAlign w:val="center"/>
          </w:tcPr>
          <w:p w14:paraId="7B79D726">
            <w:pPr>
              <w:adjustRightInd w:val="0"/>
              <w:snapToGrid w:val="0"/>
              <w:spacing w:line="360" w:lineRule="auto"/>
              <w:jc w:val="center"/>
              <w:rPr>
                <w:rFonts w:hint="eastAsia" w:ascii="宋体" w:hAnsi="宋体"/>
                <w:kern w:val="0"/>
                <w:sz w:val="24"/>
              </w:rPr>
            </w:pPr>
            <w:r>
              <w:rPr>
                <w:rFonts w:hint="eastAsia" w:ascii="宋体" w:hAnsi="宋体"/>
                <w:bCs/>
                <w:sz w:val="24"/>
              </w:rPr>
              <w:t>改善教学保障条件-设备购置-北京开放大学电梯更新购置电梯安装采购项目，详见磋商文件第四章采购需求</w:t>
            </w:r>
          </w:p>
        </w:tc>
      </w:tr>
    </w:tbl>
    <w:p w14:paraId="055286CB">
      <w:pPr>
        <w:spacing w:line="360" w:lineRule="auto"/>
        <w:rPr>
          <w:rFonts w:hint="eastAsia" w:ascii="宋体" w:hAnsi="宋体"/>
          <w:sz w:val="24"/>
        </w:rPr>
      </w:pPr>
    </w:p>
    <w:p w14:paraId="4A09C474">
      <w:pPr>
        <w:spacing w:line="360" w:lineRule="auto"/>
        <w:ind w:firstLine="480" w:firstLineChars="200"/>
        <w:rPr>
          <w:rFonts w:hint="eastAsia" w:ascii="宋体" w:hAnsi="宋体"/>
          <w:sz w:val="24"/>
        </w:rPr>
      </w:pPr>
      <w:r>
        <w:rPr>
          <w:rFonts w:ascii="宋体" w:hAnsi="宋体"/>
          <w:sz w:val="24"/>
        </w:rPr>
        <w:t>6.合同履行期限：</w:t>
      </w:r>
      <w:r>
        <w:rPr>
          <w:rFonts w:hint="eastAsia" w:ascii="宋体" w:hAnsi="宋体"/>
          <w:sz w:val="24"/>
        </w:rPr>
        <w:t>本项目计划工期：90日历天</w:t>
      </w:r>
    </w:p>
    <w:p w14:paraId="73C28482">
      <w:pPr>
        <w:spacing w:line="360" w:lineRule="auto"/>
        <w:ind w:firstLine="480" w:firstLineChars="200"/>
        <w:rPr>
          <w:rFonts w:hint="eastAsia" w:ascii="宋体" w:hAnsi="宋体"/>
          <w:sz w:val="24"/>
        </w:rPr>
      </w:pPr>
      <w:r>
        <w:rPr>
          <w:rFonts w:ascii="宋体" w:hAnsi="宋体"/>
          <w:sz w:val="24"/>
        </w:rPr>
        <w:t>7.本项目是否接受联合体：</w:t>
      </w:r>
      <w:r>
        <w:rPr>
          <w:rFonts w:hint="eastAsia" w:ascii="宋体" w:hAnsi="宋体"/>
          <w:sz w:val="24"/>
        </w:rPr>
        <w:t>□</w:t>
      </w:r>
      <w:r>
        <w:rPr>
          <w:rFonts w:ascii="宋体" w:hAnsi="宋体"/>
          <w:sz w:val="24"/>
        </w:rPr>
        <w:t>是  ■否。</w:t>
      </w:r>
    </w:p>
    <w:p w14:paraId="08625E6D">
      <w:pPr>
        <w:spacing w:line="360" w:lineRule="auto"/>
        <w:ind w:firstLine="480" w:firstLineChars="200"/>
        <w:rPr>
          <w:rFonts w:hint="eastAsia" w:ascii="宋体" w:hAnsi="宋体"/>
          <w:sz w:val="24"/>
        </w:rPr>
      </w:pPr>
    </w:p>
    <w:p w14:paraId="40CD1DFD">
      <w:pPr>
        <w:pStyle w:val="3"/>
        <w:spacing w:before="0" w:line="360" w:lineRule="auto"/>
        <w:jc w:val="left"/>
        <w:rPr>
          <w:rFonts w:hint="eastAsia" w:ascii="宋体" w:hAnsi="宋体" w:eastAsia="宋体"/>
          <w:sz w:val="24"/>
          <w:szCs w:val="24"/>
        </w:rPr>
      </w:pPr>
      <w:bookmarkStart w:id="7" w:name="_Toc35393791"/>
      <w:bookmarkStart w:id="8" w:name="_Toc28359003"/>
      <w:bookmarkStart w:id="9" w:name="_Toc28359080"/>
      <w:bookmarkStart w:id="10" w:name="_Toc35393622"/>
      <w:r>
        <w:rPr>
          <w:rFonts w:ascii="宋体" w:hAnsi="宋体" w:eastAsia="宋体"/>
          <w:sz w:val="24"/>
          <w:szCs w:val="24"/>
        </w:rPr>
        <w:t>二、申请人的资格要求（须同时满足）</w:t>
      </w:r>
      <w:bookmarkEnd w:id="7"/>
      <w:bookmarkEnd w:id="8"/>
      <w:bookmarkEnd w:id="9"/>
      <w:bookmarkEnd w:id="10"/>
    </w:p>
    <w:p w14:paraId="18045B10">
      <w:pPr>
        <w:spacing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7A263AB8">
      <w:pPr>
        <w:spacing w:line="360" w:lineRule="auto"/>
        <w:ind w:firstLine="480" w:firstLineChars="200"/>
        <w:rPr>
          <w:rFonts w:hint="eastAsia" w:ascii="宋体" w:hAnsi="宋体"/>
          <w:sz w:val="24"/>
        </w:rPr>
      </w:pPr>
      <w:bookmarkStart w:id="11" w:name="_Toc28359004"/>
      <w:bookmarkStart w:id="12" w:name="_Toc28359081"/>
      <w:r>
        <w:rPr>
          <w:rFonts w:ascii="宋体" w:hAnsi="宋体"/>
          <w:sz w:val="24"/>
        </w:rPr>
        <w:t>2.落实政府采购政策需满足的资格要求：</w:t>
      </w:r>
    </w:p>
    <w:p w14:paraId="27A790BE">
      <w:pPr>
        <w:spacing w:line="360" w:lineRule="auto"/>
        <w:ind w:firstLine="480" w:firstLineChars="200"/>
        <w:rPr>
          <w:rFonts w:hint="eastAsia" w:ascii="宋体" w:hAnsi="宋体" w:cstheme="minorEastAsia"/>
          <w:sz w:val="24"/>
        </w:rPr>
      </w:pPr>
      <w:r>
        <w:rPr>
          <w:rFonts w:hint="eastAsia" w:ascii="宋体" w:hAnsi="宋体" w:cstheme="minorEastAsia"/>
          <w:sz w:val="24"/>
        </w:rPr>
        <w:t>2.1 中小企业政策</w:t>
      </w:r>
    </w:p>
    <w:p w14:paraId="62689214">
      <w:pPr>
        <w:spacing w:line="360" w:lineRule="auto"/>
        <w:ind w:firstLine="480" w:firstLineChars="200"/>
        <w:rPr>
          <w:rFonts w:hint="eastAsia" w:ascii="宋体" w:hAnsi="宋体" w:cstheme="minorEastAsia"/>
          <w:sz w:val="24"/>
        </w:rPr>
      </w:pPr>
      <w:r>
        <w:rPr>
          <w:rFonts w:ascii="宋体" w:hAnsi="宋体"/>
          <w:sz w:val="24"/>
        </w:rPr>
        <w:t>■</w:t>
      </w:r>
      <w:r>
        <w:rPr>
          <w:rFonts w:hint="eastAsia" w:ascii="宋体" w:hAnsi="宋体" w:cstheme="minorEastAsia"/>
          <w:sz w:val="24"/>
        </w:rPr>
        <w:t>本项目不专门面向中小企业预留采购份额。</w:t>
      </w:r>
    </w:p>
    <w:p w14:paraId="60B8E6ED">
      <w:pPr>
        <w:spacing w:line="360" w:lineRule="auto"/>
        <w:ind w:firstLine="480" w:firstLineChars="200"/>
        <w:rPr>
          <w:rFonts w:hint="eastAsia" w:ascii="宋体" w:hAnsi="宋体" w:cstheme="minorEastAsia"/>
          <w:sz w:val="24"/>
        </w:rPr>
      </w:pPr>
      <w:r>
        <w:rPr>
          <w:rFonts w:hint="eastAsia" w:ascii="宋体" w:hAnsi="宋体" w:cstheme="minorEastAsia"/>
          <w:sz w:val="24"/>
        </w:rPr>
        <w:t>□本项目专门面向  □中小 □小微企业  采购。即：提供的货物全部由符合政策要求的中小/小微企业制造、服务全部由符合政策要求的中小/小微企业承接。</w:t>
      </w:r>
    </w:p>
    <w:p w14:paraId="307FEDE3">
      <w:pPr>
        <w:spacing w:line="360" w:lineRule="auto"/>
        <w:ind w:firstLine="480" w:firstLineChars="200"/>
        <w:rPr>
          <w:rFonts w:hint="eastAsia" w:ascii="宋体" w:hAnsi="宋体" w:cstheme="minorEastAsia"/>
          <w:sz w:val="24"/>
        </w:rPr>
      </w:pPr>
      <w:r>
        <w:rPr>
          <w:rFonts w:hint="eastAsia" w:ascii="宋体" w:hAnsi="宋体" w:cstheme="minorEastAsia"/>
          <w:sz w:val="24"/>
        </w:rPr>
        <w:t>□本项目预留部分采购项目预算专门面向中小企业采购。对于预留份额，提供的货物由符合政策要求的中小企业制造、服务由符合政策要求的中小企业承接。预留份额通过以下措施进行：__</w:t>
      </w:r>
      <w:r>
        <w:rPr>
          <w:rFonts w:hint="eastAsia" w:ascii="宋体" w:hAnsi="宋体" w:cstheme="minorEastAsia"/>
          <w:sz w:val="24"/>
          <w:u w:val="single"/>
        </w:rPr>
        <w:t>/</w:t>
      </w:r>
      <w:r>
        <w:rPr>
          <w:rFonts w:hint="eastAsia" w:ascii="宋体" w:hAnsi="宋体" w:cstheme="minorEastAsia"/>
          <w:sz w:val="24"/>
        </w:rPr>
        <w:t>__。</w:t>
      </w:r>
    </w:p>
    <w:p w14:paraId="36D5E47F">
      <w:pPr>
        <w:spacing w:line="360" w:lineRule="auto"/>
        <w:ind w:firstLine="480" w:firstLineChars="200"/>
        <w:rPr>
          <w:rFonts w:hint="eastAsia" w:ascii="宋体" w:hAnsi="宋体" w:cstheme="minorEastAsia"/>
          <w:sz w:val="24"/>
        </w:rPr>
      </w:pPr>
      <w:r>
        <w:rPr>
          <w:rFonts w:hint="eastAsia" w:ascii="宋体" w:hAnsi="宋体" w:cstheme="minorEastAsia"/>
          <w:sz w:val="24"/>
        </w:rPr>
        <w:t>2.2 其它落实政府采购政策的资格要求（如有）：</w:t>
      </w:r>
      <w:r>
        <w:rPr>
          <w:rFonts w:hint="eastAsia" w:ascii="宋体" w:hAnsi="宋体" w:cstheme="minorEastAsia"/>
          <w:sz w:val="24"/>
          <w:u w:val="single"/>
        </w:rPr>
        <w:t>无</w:t>
      </w:r>
      <w:r>
        <w:rPr>
          <w:rFonts w:hint="eastAsia" w:ascii="宋体" w:hAnsi="宋体" w:cstheme="minorEastAsia"/>
          <w:sz w:val="24"/>
        </w:rPr>
        <w:t>。</w:t>
      </w:r>
    </w:p>
    <w:p w14:paraId="46ABBD78">
      <w:pPr>
        <w:spacing w:line="360" w:lineRule="auto"/>
        <w:ind w:firstLine="480" w:firstLineChars="200"/>
        <w:rPr>
          <w:rFonts w:hint="eastAsia" w:ascii="宋体" w:hAnsi="宋体" w:cstheme="minorEastAsia"/>
          <w:i/>
          <w:iCs/>
          <w:sz w:val="24"/>
          <w:u w:val="single"/>
        </w:rPr>
      </w:pPr>
      <w:r>
        <w:rPr>
          <w:rFonts w:hint="eastAsia" w:ascii="宋体" w:hAnsi="宋体" w:cstheme="minorEastAsia"/>
          <w:sz w:val="24"/>
        </w:rPr>
        <w:t>3.本项目的特定资格要求：</w:t>
      </w:r>
    </w:p>
    <w:p w14:paraId="45907C8F">
      <w:pPr>
        <w:tabs>
          <w:tab w:val="left" w:pos="900"/>
          <w:tab w:val="left" w:pos="1134"/>
          <w:tab w:val="left" w:pos="1589"/>
          <w:tab w:val="left" w:pos="5521"/>
        </w:tabs>
        <w:snapToGrid w:val="0"/>
        <w:spacing w:line="360" w:lineRule="auto"/>
        <w:ind w:firstLine="480" w:firstLineChars="200"/>
        <w:rPr>
          <w:rFonts w:hint="eastAsia" w:ascii="宋体" w:hAnsi="宋体" w:cstheme="minorEastAsia"/>
          <w:sz w:val="24"/>
        </w:rPr>
      </w:pPr>
      <w:r>
        <w:rPr>
          <w:rFonts w:hint="eastAsia" w:ascii="宋体" w:hAnsi="宋体" w:cstheme="minorEastAsia"/>
          <w:sz w:val="24"/>
        </w:rPr>
        <w:t>3.1本项目是否属于政府购买服务：</w:t>
      </w:r>
    </w:p>
    <w:p w14:paraId="53075D3A">
      <w:pPr>
        <w:tabs>
          <w:tab w:val="left" w:pos="900"/>
          <w:tab w:val="left" w:pos="1134"/>
          <w:tab w:val="left" w:pos="1589"/>
          <w:tab w:val="left" w:pos="5521"/>
        </w:tabs>
        <w:snapToGrid w:val="0"/>
        <w:spacing w:line="360" w:lineRule="auto"/>
        <w:ind w:left="991" w:leftChars="472" w:firstLine="2"/>
        <w:rPr>
          <w:rFonts w:hint="eastAsia" w:ascii="宋体" w:hAnsi="宋体" w:cstheme="minorEastAsia"/>
          <w:sz w:val="24"/>
        </w:rPr>
      </w:pPr>
      <w:r>
        <w:rPr>
          <w:rFonts w:hint="eastAsia" w:ascii="宋体" w:hAnsi="宋体" w:cstheme="minorEastAsia"/>
          <w:sz w:val="24"/>
        </w:rPr>
        <w:t>■否</w:t>
      </w:r>
    </w:p>
    <w:p w14:paraId="5C906DC2">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cstheme="minorEastAsia"/>
          <w:sz w:val="24"/>
        </w:rPr>
        <w:t>□是，公益一类事业单位、使用事业编制且由财政拨款保障的群团组织，不得作为承接主体；</w:t>
      </w:r>
    </w:p>
    <w:p w14:paraId="2BCF96B3">
      <w:pPr>
        <w:tabs>
          <w:tab w:val="left" w:pos="880"/>
        </w:tabs>
        <w:wordWrap w:val="0"/>
        <w:spacing w:line="360" w:lineRule="auto"/>
        <w:ind w:left="485"/>
        <w:rPr>
          <w:rFonts w:hint="eastAsia" w:ascii="宋体" w:hAnsi="宋体"/>
          <w:sz w:val="24"/>
        </w:rPr>
      </w:pPr>
      <w:r>
        <w:rPr>
          <w:rFonts w:ascii="宋体" w:hAnsi="宋体"/>
          <w:sz w:val="24"/>
        </w:rPr>
        <w:t>3.2其他特定资格要求：</w:t>
      </w:r>
    </w:p>
    <w:p w14:paraId="55D52818">
      <w:pPr>
        <w:tabs>
          <w:tab w:val="left" w:pos="880"/>
        </w:tabs>
        <w:wordWrap w:val="0"/>
        <w:spacing w:line="360" w:lineRule="auto"/>
        <w:ind w:left="485"/>
        <w:rPr>
          <w:rFonts w:hint="eastAsia" w:ascii="宋体" w:hAnsi="宋体"/>
          <w:sz w:val="24"/>
        </w:rPr>
      </w:pPr>
      <w:r>
        <w:rPr>
          <w:rFonts w:hint="eastAsia" w:ascii="宋体" w:hAnsi="宋体"/>
          <w:sz w:val="24"/>
        </w:rPr>
        <w:t>3.2.</w:t>
      </w:r>
      <w:r>
        <w:rPr>
          <w:rFonts w:hint="eastAsia" w:ascii="宋体" w:hAnsi="宋体" w:cstheme="minorEastAsia"/>
          <w:sz w:val="24"/>
          <w:shd w:val="clear" w:color="auto" w:fill="FFFFFF"/>
        </w:rPr>
        <w:t>1.</w:t>
      </w:r>
      <w:r>
        <w:rPr>
          <w:rFonts w:hint="eastAsia" w:ascii="宋体" w:hAnsi="宋体"/>
          <w:sz w:val="24"/>
        </w:rPr>
        <w:t xml:space="preserve"> 参与本次磋商的供应商可以为制造商或代理商：</w:t>
      </w:r>
    </w:p>
    <w:p w14:paraId="6D6FFD1A">
      <w:pPr>
        <w:tabs>
          <w:tab w:val="left" w:pos="880"/>
        </w:tabs>
        <w:wordWrap w:val="0"/>
        <w:spacing w:line="360" w:lineRule="auto"/>
        <w:ind w:left="485"/>
        <w:rPr>
          <w:rFonts w:hint="eastAsia" w:ascii="宋体" w:hAnsi="宋体"/>
          <w:sz w:val="24"/>
        </w:rPr>
      </w:pPr>
      <w:r>
        <w:rPr>
          <w:rFonts w:hint="eastAsia" w:ascii="宋体" w:hAnsi="宋体"/>
          <w:sz w:val="24"/>
        </w:rPr>
        <w:t>（1）投标人为制造商的，应具备有效期内的《中华人民共和国特种设备制造许可证》（许可范围含无机房客梯A级资质、杂物电梯资质）【旧证】和有效期内的《中华人民共和国特种设备安装改造维修许可证》电梯安装、改造、维修C级及以上【旧证】；或《中华人民共和国特种设备生产许可证》电梯制造（含安装、修理、改造）曳引驱动乘客电梯（含消防员电梯）B级及以上、杂物电梯（含防爆电梯中的杂物电梯）资质【新证】。</w:t>
      </w:r>
    </w:p>
    <w:p w14:paraId="7C4DCD38">
      <w:pPr>
        <w:tabs>
          <w:tab w:val="left" w:pos="880"/>
        </w:tabs>
        <w:wordWrap w:val="0"/>
        <w:spacing w:line="360" w:lineRule="auto"/>
        <w:ind w:left="485"/>
        <w:rPr>
          <w:rFonts w:hint="eastAsia" w:ascii="宋体" w:hAnsi="宋体" w:cstheme="minorEastAsia"/>
          <w:sz w:val="24"/>
          <w:shd w:val="clear" w:color="auto" w:fill="FFFFFF"/>
        </w:rPr>
      </w:pPr>
      <w:r>
        <w:rPr>
          <w:rFonts w:hint="eastAsia" w:ascii="宋体" w:hAnsi="宋体"/>
          <w:sz w:val="24"/>
        </w:rPr>
        <w:t>（2）投标人为代理商的，应具备有效期内的《中华人民共和国特种设备安装改造维修许可证》电梯安装、改造、维修C级及以上【旧证】或《中华人民共和国特种设备生产许可证》电梯安装（含修理）曳引驱动乘客电梯（含消防员电梯）B级及以上、杂物电梯资质【新证】</w:t>
      </w:r>
      <w:r>
        <w:rPr>
          <w:rFonts w:hint="eastAsia" w:ascii="宋体" w:hAnsi="宋体" w:cstheme="minorEastAsia"/>
          <w:sz w:val="24"/>
          <w:shd w:val="clear" w:color="auto" w:fill="FFFFFF"/>
        </w:rPr>
        <w:t>，同时还应满足以下要求：设备制造商应具备</w:t>
      </w:r>
      <w:r>
        <w:rPr>
          <w:rFonts w:hint="eastAsia" w:ascii="宋体" w:hAnsi="宋体"/>
          <w:sz w:val="24"/>
        </w:rPr>
        <w:t>有效期内的《中华人民共和国特种设备制造许可证》（许可范围含无机房客梯A级资质、杂物电梯资质）【旧证】或《中华人民共和国特种设备生产许可证》电梯制造（含安装、修理、改造）曳引驱动乘客电梯（含消防员电梯）B级及以上、杂物电梯（含防爆电梯中的杂物电梯）资质【新证】</w:t>
      </w:r>
      <w:r>
        <w:rPr>
          <w:rFonts w:hint="eastAsia" w:ascii="宋体" w:hAnsi="宋体" w:cstheme="minorEastAsia"/>
          <w:sz w:val="24"/>
          <w:shd w:val="clear" w:color="auto" w:fill="FFFFFF"/>
        </w:rPr>
        <w:t>。</w:t>
      </w:r>
    </w:p>
    <w:p w14:paraId="4FC6EA6F">
      <w:pPr>
        <w:spacing w:line="360" w:lineRule="auto"/>
        <w:ind w:firstLine="480" w:firstLineChars="200"/>
        <w:rPr>
          <w:rFonts w:hint="eastAsia" w:ascii="宋体" w:hAnsi="宋体" w:cstheme="minorEastAsia"/>
          <w:sz w:val="24"/>
          <w:shd w:val="clear" w:color="auto" w:fill="FFFFFF"/>
        </w:rPr>
      </w:pPr>
      <w:r>
        <w:rPr>
          <w:rFonts w:hint="eastAsia" w:ascii="宋体" w:hAnsi="宋体" w:cstheme="minorEastAsia"/>
          <w:sz w:val="24"/>
          <w:shd w:val="clear" w:color="auto" w:fill="FFFFFF"/>
        </w:rPr>
        <w:t>3.2.2.单位负责人为同一人或者存在直接控股、管理关系的不同供应商，不得同时参加本项目同一包的投标。</w:t>
      </w:r>
    </w:p>
    <w:p w14:paraId="1D1C7F5D">
      <w:pPr>
        <w:spacing w:line="360" w:lineRule="auto"/>
        <w:ind w:firstLine="480" w:firstLineChars="200"/>
        <w:rPr>
          <w:rFonts w:hint="eastAsia" w:ascii="宋体" w:hAnsi="宋体" w:cstheme="minorEastAsia"/>
          <w:sz w:val="24"/>
          <w:shd w:val="clear" w:color="auto" w:fill="FFFFFF"/>
        </w:rPr>
      </w:pPr>
      <w:r>
        <w:rPr>
          <w:rFonts w:hint="eastAsia" w:ascii="宋体" w:hAnsi="宋体" w:cstheme="minorEastAsia"/>
          <w:sz w:val="24"/>
          <w:shd w:val="clear" w:color="auto" w:fill="FFFFFF"/>
        </w:rPr>
        <w:t>3.2.3.</w:t>
      </w:r>
      <w:r>
        <w:rPr>
          <w:rFonts w:hint="eastAsia" w:asciiTheme="minorEastAsia" w:hAnsiTheme="minorEastAsia" w:eastAsiaTheme="minorEastAsia" w:cstheme="minorEastAsia"/>
          <w:sz w:val="24"/>
        </w:rPr>
        <w:t>供应商经营状态：在近三年（2023年6月1日至响应文件提交截止时间前）没有骗取中标和严重违约，没有处于被责令停业，投标资格被取消，财产被接管、冻结，破产状态</w:t>
      </w:r>
      <w:r>
        <w:rPr>
          <w:rFonts w:hint="eastAsia" w:ascii="宋体" w:hAnsi="宋体" w:cstheme="minorEastAsia"/>
          <w:sz w:val="24"/>
          <w:shd w:val="clear" w:color="auto" w:fill="FFFFFF"/>
        </w:rPr>
        <w:t>。</w:t>
      </w:r>
    </w:p>
    <w:p w14:paraId="694EE0DC">
      <w:pPr>
        <w:spacing w:line="360" w:lineRule="auto"/>
        <w:ind w:firstLine="480" w:firstLineChars="200"/>
        <w:rPr>
          <w:rFonts w:hint="eastAsia" w:ascii="宋体" w:hAnsi="宋体" w:cstheme="minorEastAsia"/>
          <w:sz w:val="24"/>
          <w:shd w:val="clear" w:color="auto" w:fill="FFFFFF"/>
        </w:rPr>
      </w:pPr>
      <w:r>
        <w:rPr>
          <w:rFonts w:hint="eastAsia" w:ascii="宋体" w:hAnsi="宋体" w:cstheme="minorEastAsia"/>
          <w:sz w:val="24"/>
          <w:shd w:val="clear" w:color="auto" w:fill="FFFFFF"/>
        </w:rPr>
        <w:t>3.2.4投标人未被列入“信用中国”（www.creditchina.gov.cn）及“中国政府采购网”（www.ccgp.gov.cn）失信被执行人、重大税收违法案件当事人名单。</w:t>
      </w:r>
    </w:p>
    <w:bookmarkEnd w:id="11"/>
    <w:bookmarkEnd w:id="12"/>
    <w:p w14:paraId="12153C1B">
      <w:pPr>
        <w:rPr>
          <w:rFonts w:hint="eastAsia" w:ascii="宋体" w:hAnsi="宋体"/>
        </w:rPr>
      </w:pPr>
      <w:bookmarkStart w:id="13" w:name="_Toc35393623"/>
      <w:bookmarkStart w:id="14" w:name="_Toc35393792"/>
    </w:p>
    <w:p w14:paraId="53AF85AA">
      <w:pPr>
        <w:pStyle w:val="3"/>
        <w:widowControl/>
        <w:spacing w:before="0" w:line="360" w:lineRule="auto"/>
        <w:jc w:val="left"/>
        <w:rPr>
          <w:rFonts w:hint="eastAsia" w:ascii="宋体" w:hAnsi="宋体" w:eastAsia="宋体"/>
          <w:sz w:val="24"/>
          <w:szCs w:val="24"/>
        </w:rPr>
      </w:pPr>
      <w:r>
        <w:rPr>
          <w:rFonts w:ascii="宋体" w:hAnsi="宋体" w:eastAsia="宋体"/>
          <w:sz w:val="24"/>
          <w:szCs w:val="24"/>
        </w:rPr>
        <w:t>三、获取采购文件</w:t>
      </w:r>
      <w:bookmarkEnd w:id="13"/>
      <w:bookmarkEnd w:id="14"/>
    </w:p>
    <w:p w14:paraId="0FA7AAE5">
      <w:pPr>
        <w:adjustRightInd w:val="0"/>
        <w:snapToGrid w:val="0"/>
        <w:spacing w:line="360" w:lineRule="auto"/>
        <w:ind w:firstLine="480" w:firstLineChars="200"/>
        <w:rPr>
          <w:rFonts w:hint="eastAsia" w:ascii="宋体" w:hAnsi="宋体"/>
          <w:sz w:val="24"/>
          <w:lang w:bidi="ar"/>
        </w:rPr>
      </w:pPr>
      <w:r>
        <w:rPr>
          <w:rFonts w:ascii="宋体" w:hAnsi="宋体"/>
          <w:sz w:val="24"/>
          <w:lang w:bidi="ar"/>
        </w:rPr>
        <w:t>1.时间：</w:t>
      </w:r>
      <w:r>
        <w:rPr>
          <w:rFonts w:hint="eastAsia" w:ascii="宋体" w:hAnsi="宋体"/>
          <w:sz w:val="24"/>
        </w:rPr>
        <w:t>2026</w:t>
      </w:r>
      <w:r>
        <w:rPr>
          <w:rFonts w:ascii="宋体" w:hAnsi="宋体"/>
          <w:sz w:val="24"/>
          <w:lang w:bidi="ar"/>
        </w:rPr>
        <w:t>年</w:t>
      </w:r>
      <w:r>
        <w:rPr>
          <w:rFonts w:hint="eastAsia" w:ascii="宋体" w:hAnsi="宋体"/>
          <w:sz w:val="24"/>
          <w:lang w:val="en-US" w:eastAsia="zh-CN" w:bidi="ar"/>
        </w:rPr>
        <w:t>07</w:t>
      </w:r>
      <w:r>
        <w:rPr>
          <w:rFonts w:ascii="宋体" w:hAnsi="宋体"/>
          <w:sz w:val="24"/>
          <w:lang w:bidi="ar"/>
        </w:rPr>
        <w:t>月</w:t>
      </w:r>
      <w:r>
        <w:rPr>
          <w:rFonts w:hint="eastAsia" w:ascii="宋体" w:hAnsi="宋体"/>
          <w:sz w:val="24"/>
          <w:lang w:val="en-US" w:eastAsia="zh-CN"/>
        </w:rPr>
        <w:t>10</w:t>
      </w:r>
      <w:r>
        <w:rPr>
          <w:rFonts w:ascii="宋体" w:hAnsi="宋体"/>
          <w:sz w:val="24"/>
          <w:lang w:bidi="ar"/>
        </w:rPr>
        <w:t>日至</w:t>
      </w:r>
      <w:r>
        <w:rPr>
          <w:rFonts w:hint="eastAsia" w:ascii="宋体" w:hAnsi="宋体"/>
          <w:sz w:val="24"/>
        </w:rPr>
        <w:t>2026年07</w:t>
      </w:r>
      <w:r>
        <w:rPr>
          <w:rFonts w:ascii="宋体" w:hAnsi="宋体"/>
          <w:sz w:val="24"/>
          <w:lang w:bidi="ar"/>
        </w:rPr>
        <w:t>月</w:t>
      </w:r>
      <w:r>
        <w:rPr>
          <w:rFonts w:hint="eastAsia" w:ascii="宋体" w:hAnsi="宋体"/>
          <w:sz w:val="24"/>
          <w:lang w:val="en-US" w:eastAsia="zh-CN"/>
        </w:rPr>
        <w:t>17</w:t>
      </w:r>
      <w:r>
        <w:rPr>
          <w:rFonts w:ascii="宋体" w:hAnsi="宋体"/>
          <w:sz w:val="24"/>
          <w:lang w:bidi="ar"/>
        </w:rPr>
        <w:t>日，每天上午</w:t>
      </w:r>
      <w:r>
        <w:rPr>
          <w:rFonts w:hint="eastAsia" w:ascii="宋体" w:hAnsi="宋体"/>
          <w:sz w:val="24"/>
          <w:lang w:bidi="ar"/>
        </w:rPr>
        <w:t>9:00</w:t>
      </w:r>
      <w:r>
        <w:rPr>
          <w:rFonts w:ascii="宋体" w:hAnsi="宋体"/>
          <w:sz w:val="24"/>
          <w:lang w:bidi="ar"/>
        </w:rPr>
        <w:t>至</w:t>
      </w:r>
      <w:r>
        <w:rPr>
          <w:rFonts w:hint="eastAsia" w:ascii="宋体" w:hAnsi="宋体"/>
          <w:sz w:val="24"/>
          <w:lang w:bidi="ar"/>
        </w:rPr>
        <w:t>12:00</w:t>
      </w:r>
      <w:r>
        <w:rPr>
          <w:rFonts w:ascii="宋体" w:hAnsi="宋体"/>
          <w:sz w:val="24"/>
          <w:lang w:bidi="ar"/>
        </w:rPr>
        <w:t>，下午</w:t>
      </w:r>
      <w:r>
        <w:rPr>
          <w:rFonts w:hint="eastAsia" w:ascii="宋体" w:hAnsi="宋体"/>
          <w:sz w:val="24"/>
          <w:lang w:bidi="ar"/>
        </w:rPr>
        <w:t>13:00</w:t>
      </w:r>
      <w:r>
        <w:rPr>
          <w:rFonts w:ascii="宋体" w:hAnsi="宋体"/>
          <w:sz w:val="24"/>
          <w:lang w:bidi="ar"/>
        </w:rPr>
        <w:t>至</w:t>
      </w:r>
      <w:r>
        <w:rPr>
          <w:rFonts w:hint="eastAsia" w:ascii="宋体" w:hAnsi="宋体"/>
          <w:sz w:val="24"/>
          <w:lang w:bidi="ar"/>
        </w:rPr>
        <w:t>17:00</w:t>
      </w:r>
      <w:r>
        <w:rPr>
          <w:rFonts w:ascii="宋体" w:hAnsi="宋体"/>
          <w:sz w:val="24"/>
          <w:lang w:bidi="ar"/>
        </w:rPr>
        <w:t>（北京时间，法定节假日除外）。</w:t>
      </w:r>
    </w:p>
    <w:p w14:paraId="2E53C864">
      <w:pPr>
        <w:adjustRightInd w:val="0"/>
        <w:snapToGrid w:val="0"/>
        <w:spacing w:line="360" w:lineRule="auto"/>
        <w:ind w:firstLine="480" w:firstLineChars="200"/>
        <w:rPr>
          <w:rFonts w:hint="eastAsia" w:ascii="宋体" w:hAnsi="宋体"/>
          <w:sz w:val="24"/>
        </w:rPr>
      </w:pPr>
      <w:r>
        <w:rPr>
          <w:rFonts w:ascii="宋体" w:hAnsi="宋体"/>
          <w:sz w:val="24"/>
          <w:lang w:bidi="ar"/>
        </w:rPr>
        <w:t>2.地点：北京市政府采购电子交易平台</w:t>
      </w:r>
    </w:p>
    <w:p w14:paraId="5F3B7CD1">
      <w:pPr>
        <w:widowControl/>
        <w:adjustRightInd w:val="0"/>
        <w:snapToGrid w:val="0"/>
        <w:spacing w:line="360" w:lineRule="auto"/>
        <w:ind w:firstLine="480" w:firstLineChars="200"/>
        <w:jc w:val="left"/>
        <w:rPr>
          <w:rFonts w:hint="eastAsia" w:ascii="宋体" w:hAnsi="宋体"/>
          <w:sz w:val="24"/>
          <w:lang w:bidi="ar"/>
        </w:rPr>
      </w:pPr>
      <w:r>
        <w:rPr>
          <w:rFonts w:ascii="宋体" w:hAnsi="宋体"/>
          <w:sz w:val="24"/>
          <w:lang w:bidi="ar"/>
        </w:rPr>
        <w:t>3.方式：供应商使用CA数字证书或电子营业执照登录北京市政府采购电子交易平台（http://zbcg-bjzc.zhongcy.com/bjczj-portal-site/index.html#/home）获取电子版竞争性磋商文件。</w:t>
      </w:r>
    </w:p>
    <w:p w14:paraId="08304BA0">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4.售价：0元。</w:t>
      </w:r>
    </w:p>
    <w:p w14:paraId="3FD1E99B">
      <w:pPr>
        <w:tabs>
          <w:tab w:val="left" w:pos="900"/>
          <w:tab w:val="left" w:pos="1980"/>
        </w:tabs>
        <w:snapToGrid w:val="0"/>
        <w:spacing w:line="360" w:lineRule="auto"/>
        <w:ind w:left="840"/>
        <w:rPr>
          <w:rFonts w:hint="eastAsia" w:ascii="宋体" w:hAnsi="宋体"/>
          <w:sz w:val="24"/>
        </w:rPr>
      </w:pPr>
    </w:p>
    <w:p w14:paraId="72FBA6CA">
      <w:pPr>
        <w:pStyle w:val="3"/>
        <w:widowControl/>
        <w:spacing w:before="0" w:line="360" w:lineRule="auto"/>
        <w:jc w:val="left"/>
        <w:rPr>
          <w:rFonts w:hint="eastAsia" w:ascii="宋体" w:hAnsi="宋体" w:eastAsia="宋体"/>
          <w:sz w:val="24"/>
          <w:szCs w:val="24"/>
        </w:rPr>
      </w:pPr>
      <w:bookmarkStart w:id="15" w:name="_Toc28359005"/>
      <w:bookmarkStart w:id="16" w:name="_Toc28359082"/>
      <w:bookmarkStart w:id="17" w:name="_Toc35393793"/>
      <w:bookmarkStart w:id="18" w:name="_Toc35393624"/>
      <w:r>
        <w:rPr>
          <w:rFonts w:ascii="宋体" w:hAnsi="宋体" w:eastAsia="宋体"/>
          <w:sz w:val="24"/>
          <w:szCs w:val="24"/>
        </w:rPr>
        <w:t>四、</w:t>
      </w:r>
      <w:bookmarkEnd w:id="15"/>
      <w:bookmarkEnd w:id="16"/>
      <w:bookmarkEnd w:id="17"/>
      <w:bookmarkEnd w:id="18"/>
      <w:r>
        <w:rPr>
          <w:rFonts w:ascii="宋体" w:hAnsi="宋体" w:eastAsia="宋体"/>
          <w:sz w:val="24"/>
          <w:szCs w:val="24"/>
        </w:rPr>
        <w:t>响应文件提交</w:t>
      </w:r>
    </w:p>
    <w:p w14:paraId="3B3A7829">
      <w:pPr>
        <w:spacing w:line="360" w:lineRule="auto"/>
        <w:ind w:firstLine="480" w:firstLineChars="200"/>
        <w:rPr>
          <w:rFonts w:hint="eastAsia" w:ascii="宋体" w:hAnsi="宋体"/>
          <w:bCs/>
          <w:sz w:val="24"/>
          <w:u w:val="single"/>
        </w:rPr>
      </w:pPr>
      <w:r>
        <w:rPr>
          <w:rFonts w:ascii="宋体" w:hAnsi="宋体"/>
          <w:sz w:val="24"/>
          <w:lang w:bidi="ar"/>
        </w:rPr>
        <w:t>截止时间：</w:t>
      </w:r>
      <w:r>
        <w:rPr>
          <w:rFonts w:hint="eastAsia" w:ascii="宋体" w:hAnsi="宋体"/>
          <w:sz w:val="24"/>
        </w:rPr>
        <w:t>2026</w:t>
      </w:r>
      <w:r>
        <w:rPr>
          <w:rFonts w:ascii="宋体" w:hAnsi="宋体"/>
          <w:sz w:val="24"/>
          <w:lang w:bidi="ar"/>
        </w:rPr>
        <w:t>年</w:t>
      </w:r>
      <w:r>
        <w:rPr>
          <w:rFonts w:hint="eastAsia" w:ascii="宋体" w:hAnsi="宋体"/>
          <w:sz w:val="24"/>
          <w:lang w:eastAsia="zh-CN" w:bidi="ar"/>
        </w:rPr>
        <w:t>07月21日09点30分</w:t>
      </w:r>
      <w:r>
        <w:rPr>
          <w:rFonts w:ascii="宋体" w:hAnsi="宋体"/>
          <w:bCs/>
          <w:sz w:val="24"/>
          <w:lang w:bidi="ar"/>
        </w:rPr>
        <w:t>（北京时间）</w:t>
      </w:r>
      <w:r>
        <w:rPr>
          <w:rFonts w:ascii="宋体" w:hAnsi="宋体"/>
          <w:iCs/>
          <w:sz w:val="24"/>
          <w:lang w:bidi="ar"/>
        </w:rPr>
        <w:t>。</w:t>
      </w:r>
    </w:p>
    <w:p w14:paraId="4D20A292">
      <w:pPr>
        <w:spacing w:line="360" w:lineRule="auto"/>
        <w:ind w:firstLine="480" w:firstLineChars="200"/>
        <w:rPr>
          <w:rFonts w:hint="eastAsia" w:ascii="宋体" w:hAnsi="宋体"/>
          <w:sz w:val="24"/>
          <w:lang w:val="zh-TW" w:bidi="ar"/>
        </w:rPr>
      </w:pPr>
      <w:r>
        <w:rPr>
          <w:rFonts w:ascii="宋体" w:hAnsi="宋体"/>
          <w:sz w:val="24"/>
          <w:lang w:bidi="ar"/>
        </w:rPr>
        <w:t>地点：</w:t>
      </w:r>
      <w:r>
        <w:rPr>
          <w:rFonts w:hint="eastAsia" w:ascii="宋体" w:hAnsi="宋体" w:cs="宋体"/>
          <w:sz w:val="24"/>
        </w:rPr>
        <w:t>北京市丰台区广安路9号国投财富广场6号楼15层第</w:t>
      </w:r>
      <w:r>
        <w:rPr>
          <w:rFonts w:hint="eastAsia" w:ascii="宋体" w:hAnsi="宋体" w:cs="宋体"/>
          <w:sz w:val="24"/>
          <w:lang w:val="en-US" w:eastAsia="zh-CN"/>
        </w:rPr>
        <w:t>二</w:t>
      </w:r>
      <w:r>
        <w:rPr>
          <w:rFonts w:hint="eastAsia" w:ascii="宋体" w:hAnsi="宋体" w:cs="宋体"/>
          <w:sz w:val="24"/>
        </w:rPr>
        <w:t>会议室</w:t>
      </w:r>
      <w:r>
        <w:rPr>
          <w:rFonts w:ascii="宋体" w:hAnsi="宋体"/>
          <w:sz w:val="24"/>
          <w:lang w:val="zh-TW" w:bidi="ar"/>
        </w:rPr>
        <w:t>。</w:t>
      </w:r>
    </w:p>
    <w:p w14:paraId="7809A788">
      <w:pPr>
        <w:spacing w:line="360" w:lineRule="auto"/>
        <w:ind w:firstLine="480" w:firstLineChars="200"/>
        <w:rPr>
          <w:rFonts w:hint="eastAsia" w:ascii="宋体" w:hAnsi="宋体"/>
          <w:sz w:val="24"/>
          <w:lang w:val="zh-TW" w:bidi="ar"/>
        </w:rPr>
      </w:pPr>
    </w:p>
    <w:p w14:paraId="256D0D36">
      <w:pPr>
        <w:pStyle w:val="3"/>
        <w:spacing w:before="0" w:line="360" w:lineRule="auto"/>
        <w:jc w:val="left"/>
        <w:rPr>
          <w:rFonts w:hint="eastAsia" w:ascii="宋体" w:hAnsi="宋体" w:eastAsia="宋体"/>
          <w:sz w:val="24"/>
          <w:szCs w:val="24"/>
        </w:rPr>
      </w:pPr>
      <w:r>
        <w:rPr>
          <w:rFonts w:ascii="宋体" w:hAnsi="宋体" w:eastAsia="宋体"/>
          <w:sz w:val="24"/>
          <w:szCs w:val="24"/>
        </w:rPr>
        <w:t>五、开启</w:t>
      </w:r>
    </w:p>
    <w:p w14:paraId="63A08D62">
      <w:pPr>
        <w:spacing w:line="360" w:lineRule="auto"/>
        <w:ind w:firstLine="480" w:firstLineChars="200"/>
        <w:rPr>
          <w:rFonts w:hint="eastAsia" w:ascii="宋体" w:hAnsi="宋体"/>
          <w:bCs/>
          <w:sz w:val="24"/>
          <w:u w:val="single"/>
        </w:rPr>
      </w:pPr>
      <w:r>
        <w:rPr>
          <w:rFonts w:ascii="宋体" w:hAnsi="宋体"/>
          <w:sz w:val="24"/>
          <w:lang w:bidi="ar"/>
        </w:rPr>
        <w:t>时间：</w:t>
      </w:r>
      <w:r>
        <w:rPr>
          <w:rFonts w:hint="eastAsia" w:ascii="宋体" w:hAnsi="宋体"/>
          <w:sz w:val="24"/>
          <w:lang w:bidi="ar"/>
        </w:rPr>
        <w:t>2026</w:t>
      </w:r>
      <w:r>
        <w:rPr>
          <w:rFonts w:ascii="宋体" w:hAnsi="宋体"/>
          <w:sz w:val="24"/>
          <w:lang w:bidi="ar"/>
        </w:rPr>
        <w:t>年</w:t>
      </w:r>
      <w:r>
        <w:rPr>
          <w:rFonts w:hint="eastAsia" w:ascii="宋体" w:hAnsi="宋体"/>
          <w:sz w:val="24"/>
          <w:lang w:eastAsia="zh-CN" w:bidi="ar"/>
        </w:rPr>
        <w:t>07月21日09点30分</w:t>
      </w:r>
      <w:r>
        <w:rPr>
          <w:rFonts w:ascii="宋体" w:hAnsi="宋体"/>
          <w:bCs/>
          <w:sz w:val="24"/>
          <w:lang w:bidi="ar"/>
        </w:rPr>
        <w:t>（北京时间）</w:t>
      </w:r>
      <w:r>
        <w:rPr>
          <w:rFonts w:ascii="宋体" w:hAnsi="宋体"/>
          <w:iCs/>
          <w:sz w:val="24"/>
          <w:lang w:bidi="ar"/>
        </w:rPr>
        <w:t>。</w:t>
      </w:r>
    </w:p>
    <w:p w14:paraId="215CCE5B">
      <w:pPr>
        <w:spacing w:line="360" w:lineRule="auto"/>
        <w:ind w:firstLine="480" w:firstLineChars="200"/>
        <w:rPr>
          <w:rFonts w:hint="eastAsia" w:ascii="宋体" w:hAnsi="宋体"/>
          <w:sz w:val="24"/>
          <w:lang w:val="zh-TW" w:bidi="ar"/>
        </w:rPr>
      </w:pPr>
      <w:r>
        <w:rPr>
          <w:rFonts w:ascii="宋体" w:hAnsi="宋体"/>
          <w:sz w:val="24"/>
          <w:lang w:bidi="ar"/>
        </w:rPr>
        <w:t>地点：</w:t>
      </w:r>
      <w:r>
        <w:rPr>
          <w:rFonts w:hint="eastAsia" w:ascii="宋体" w:hAnsi="宋体" w:cs="宋体"/>
          <w:sz w:val="24"/>
        </w:rPr>
        <w:t>北京市丰台区广安路9号国投财富广场6号楼15层</w:t>
      </w:r>
      <w:r>
        <w:rPr>
          <w:rFonts w:hint="eastAsia" w:ascii="宋体" w:hAnsi="宋体" w:cs="宋体"/>
          <w:sz w:val="24"/>
          <w:lang w:eastAsia="zh-CN"/>
        </w:rPr>
        <w:t>第二会议室</w:t>
      </w:r>
      <w:r>
        <w:rPr>
          <w:rFonts w:ascii="宋体" w:hAnsi="宋体"/>
          <w:sz w:val="24"/>
          <w:lang w:val="zh-TW" w:bidi="ar"/>
        </w:rPr>
        <w:t>。</w:t>
      </w:r>
    </w:p>
    <w:p w14:paraId="0065462A">
      <w:pPr>
        <w:spacing w:line="360" w:lineRule="auto"/>
        <w:ind w:firstLine="480" w:firstLineChars="200"/>
        <w:rPr>
          <w:rFonts w:hint="eastAsia" w:ascii="宋体" w:hAnsi="宋体"/>
          <w:bCs/>
          <w:sz w:val="24"/>
          <w:u w:val="single"/>
        </w:rPr>
      </w:pPr>
    </w:p>
    <w:p w14:paraId="48416936">
      <w:pPr>
        <w:pStyle w:val="3"/>
        <w:spacing w:before="0" w:line="360" w:lineRule="auto"/>
        <w:jc w:val="left"/>
        <w:rPr>
          <w:rFonts w:hint="eastAsia" w:ascii="宋体" w:hAnsi="宋体" w:eastAsia="宋体"/>
          <w:sz w:val="24"/>
          <w:szCs w:val="24"/>
        </w:rPr>
      </w:pPr>
      <w:bookmarkStart w:id="19" w:name="_Toc35393625"/>
      <w:bookmarkStart w:id="20" w:name="_Toc28359084"/>
      <w:bookmarkStart w:id="21" w:name="_Toc35393794"/>
      <w:bookmarkStart w:id="22" w:name="_Toc28359007"/>
      <w:r>
        <w:rPr>
          <w:rFonts w:ascii="宋体" w:hAnsi="宋体" w:eastAsia="宋体"/>
          <w:sz w:val="24"/>
          <w:szCs w:val="24"/>
        </w:rPr>
        <w:t>六、公告期限</w:t>
      </w:r>
      <w:bookmarkEnd w:id="19"/>
      <w:bookmarkEnd w:id="20"/>
      <w:bookmarkEnd w:id="21"/>
      <w:bookmarkEnd w:id="22"/>
    </w:p>
    <w:p w14:paraId="106E200D">
      <w:pPr>
        <w:spacing w:line="360" w:lineRule="auto"/>
        <w:ind w:firstLine="480" w:firstLineChars="200"/>
        <w:rPr>
          <w:rFonts w:hint="eastAsia" w:ascii="宋体" w:hAnsi="宋体"/>
          <w:kern w:val="0"/>
          <w:sz w:val="24"/>
        </w:rPr>
      </w:pPr>
      <w:r>
        <w:rPr>
          <w:rFonts w:ascii="宋体" w:hAnsi="宋体"/>
          <w:kern w:val="0"/>
          <w:sz w:val="24"/>
        </w:rPr>
        <w:t>自本公告发布之日起3个工作日。</w:t>
      </w:r>
    </w:p>
    <w:p w14:paraId="6BD05602">
      <w:pPr>
        <w:spacing w:line="360" w:lineRule="auto"/>
        <w:ind w:firstLine="480" w:firstLineChars="200"/>
        <w:rPr>
          <w:rFonts w:hint="eastAsia" w:ascii="宋体" w:hAnsi="宋体"/>
          <w:kern w:val="0"/>
          <w:sz w:val="24"/>
        </w:rPr>
      </w:pPr>
    </w:p>
    <w:p w14:paraId="328068EA">
      <w:pPr>
        <w:pStyle w:val="3"/>
        <w:spacing w:before="0" w:line="360" w:lineRule="auto"/>
        <w:jc w:val="left"/>
        <w:rPr>
          <w:rFonts w:hint="eastAsia" w:ascii="宋体" w:hAnsi="宋体" w:eastAsia="宋体"/>
          <w:sz w:val="24"/>
          <w:szCs w:val="24"/>
        </w:rPr>
      </w:pPr>
      <w:bookmarkStart w:id="23" w:name="_Toc35393626"/>
      <w:bookmarkStart w:id="24" w:name="_Toc35393795"/>
      <w:r>
        <w:rPr>
          <w:rFonts w:ascii="宋体" w:hAnsi="宋体" w:eastAsia="宋体"/>
          <w:sz w:val="24"/>
          <w:szCs w:val="24"/>
        </w:rPr>
        <w:t>七、其他补充事宜</w:t>
      </w:r>
      <w:bookmarkEnd w:id="23"/>
      <w:bookmarkEnd w:id="24"/>
    </w:p>
    <w:p w14:paraId="034598ED">
      <w:pPr>
        <w:spacing w:line="360" w:lineRule="auto"/>
        <w:ind w:firstLine="480" w:firstLineChars="200"/>
        <w:rPr>
          <w:rFonts w:hint="eastAsia" w:ascii="宋体" w:hAnsi="宋体"/>
          <w:sz w:val="24"/>
          <w:lang w:bidi="ar"/>
        </w:rPr>
      </w:pPr>
      <w:r>
        <w:rPr>
          <w:rFonts w:ascii="宋体" w:hAnsi="宋体"/>
          <w:sz w:val="24"/>
        </w:rPr>
        <w:t>1.本项目需要落实的政府采购政策：</w:t>
      </w:r>
      <w:r>
        <w:rPr>
          <w:rFonts w:hint="eastAsia" w:ascii="宋体" w:hAnsi="宋体"/>
          <w:sz w:val="24"/>
          <w:lang w:bidi="ar"/>
        </w:rPr>
        <w:t>节能产品强制采购；节能产品、环境标志产品优先采购；政府采购促进中小企业发展；政府采购支持监狱企业、戒毒企业发展；政府采购促进残疾人就业；政府采购信用担保。</w:t>
      </w:r>
    </w:p>
    <w:p w14:paraId="20086D41">
      <w:pPr>
        <w:widowControl/>
        <w:adjustRightInd w:val="0"/>
        <w:snapToGrid w:val="0"/>
        <w:spacing w:line="360" w:lineRule="auto"/>
        <w:ind w:firstLine="480" w:firstLineChars="200"/>
        <w:jc w:val="left"/>
        <w:rPr>
          <w:rFonts w:hint="eastAsia" w:ascii="宋体" w:hAnsi="宋体"/>
          <w:bCs/>
          <w:sz w:val="24"/>
          <w:lang w:bidi="ar"/>
        </w:rPr>
      </w:pPr>
      <w:r>
        <w:rPr>
          <w:rFonts w:ascii="宋体" w:hAnsi="宋体"/>
          <w:sz w:val="24"/>
        </w:rPr>
        <w:t>2.</w:t>
      </w:r>
      <w:r>
        <w:rPr>
          <w:rFonts w:ascii="宋体" w:hAnsi="宋体"/>
          <w:sz w:val="24"/>
          <w:lang w:bidi="ar"/>
        </w:rPr>
        <w:t>本项目采用</w:t>
      </w:r>
      <w:r>
        <w:rPr>
          <w:rFonts w:ascii="宋体" w:hAnsi="宋体"/>
          <w:b/>
          <w:bCs/>
          <w:sz w:val="24"/>
          <w:lang w:bidi="ar"/>
        </w:rPr>
        <w:t>全流程</w:t>
      </w:r>
      <w:r>
        <w:rPr>
          <w:rFonts w:hint="eastAsia" w:ascii="宋体" w:hAnsi="宋体"/>
          <w:b/>
          <w:bCs/>
          <w:sz w:val="24"/>
          <w:lang w:bidi="ar"/>
        </w:rPr>
        <w:t>线上线下相结合</w:t>
      </w:r>
      <w:r>
        <w:rPr>
          <w:rFonts w:ascii="宋体" w:hAnsi="宋体"/>
          <w:sz w:val="24"/>
          <w:lang w:bidi="ar"/>
        </w:rPr>
        <w:t>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宋体" w:hAnsi="宋体"/>
          <w:bCs/>
          <w:sz w:val="24"/>
          <w:lang w:bidi="ar"/>
        </w:rPr>
        <w:t>CA数字证书</w:t>
      </w:r>
      <w:r>
        <w:rPr>
          <w:rFonts w:ascii="宋体" w:hAnsi="宋体"/>
          <w:sz w:val="24"/>
          <w:lang w:bidi="ar"/>
        </w:rPr>
        <w:t>或电子营业执照</w:t>
      </w:r>
      <w:r>
        <w:rPr>
          <w:rFonts w:ascii="宋体" w:hAnsi="宋体"/>
          <w:bCs/>
          <w:sz w:val="24"/>
          <w:lang w:bidi="ar"/>
        </w:rPr>
        <w:t>情况确认是否符合本项目电子化采购流程要求。</w:t>
      </w:r>
    </w:p>
    <w:p w14:paraId="7E541015">
      <w:pPr>
        <w:adjustRightInd w:val="0"/>
        <w:snapToGrid w:val="0"/>
        <w:spacing w:line="360" w:lineRule="auto"/>
        <w:ind w:firstLine="480" w:firstLineChars="200"/>
        <w:rPr>
          <w:rFonts w:hint="eastAsia" w:ascii="宋体" w:hAnsi="宋体"/>
          <w:sz w:val="24"/>
        </w:rPr>
      </w:pPr>
      <w:r>
        <w:rPr>
          <w:rFonts w:ascii="宋体" w:hAnsi="宋体"/>
          <w:sz w:val="24"/>
          <w:lang w:bidi="ar"/>
        </w:rPr>
        <w:t>CA数字证书服务热线 010-58511086</w:t>
      </w:r>
    </w:p>
    <w:p w14:paraId="79F9F2AE">
      <w:pPr>
        <w:adjustRightInd w:val="0"/>
        <w:snapToGrid w:val="0"/>
        <w:spacing w:line="360" w:lineRule="auto"/>
        <w:ind w:firstLine="480" w:firstLineChars="200"/>
        <w:rPr>
          <w:rFonts w:hint="eastAsia" w:ascii="宋体" w:hAnsi="宋体"/>
          <w:sz w:val="24"/>
        </w:rPr>
      </w:pPr>
      <w:r>
        <w:rPr>
          <w:rFonts w:ascii="宋体" w:hAnsi="宋体"/>
          <w:sz w:val="24"/>
          <w:lang w:bidi="ar"/>
        </w:rPr>
        <w:t>电子营业执照服务热线 400-699-7000</w:t>
      </w:r>
    </w:p>
    <w:p w14:paraId="04E00390">
      <w:pPr>
        <w:adjustRightInd w:val="0"/>
        <w:snapToGrid w:val="0"/>
        <w:spacing w:line="360" w:lineRule="auto"/>
        <w:ind w:firstLine="480" w:firstLineChars="200"/>
        <w:rPr>
          <w:rFonts w:hint="eastAsia" w:ascii="宋体" w:hAnsi="宋体"/>
          <w:sz w:val="24"/>
        </w:rPr>
      </w:pPr>
      <w:r>
        <w:rPr>
          <w:rFonts w:ascii="宋体" w:hAnsi="宋体"/>
          <w:sz w:val="24"/>
          <w:lang w:bidi="ar"/>
        </w:rPr>
        <w:t xml:space="preserve">技术支持服务热线    010-86483801    </w:t>
      </w:r>
    </w:p>
    <w:p w14:paraId="20F552A7">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.1办理CA数字证书或电子营业执照</w:t>
      </w:r>
    </w:p>
    <w:p w14:paraId="7E709201">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供应商登录北京市政府采购电子交易平台查阅 “用户指南”—“操作指南”—“市场主体CA办理操作流程指引” /“电子营业执照使用指南”，按照程序要求办理。</w:t>
      </w:r>
    </w:p>
    <w:p w14:paraId="3F9E1930">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.2注册</w:t>
      </w:r>
    </w:p>
    <w:p w14:paraId="2F3924C6">
      <w:pPr>
        <w:adjustRightInd w:val="0"/>
        <w:snapToGrid w:val="0"/>
        <w:spacing w:line="360" w:lineRule="auto"/>
        <w:ind w:firstLine="480" w:firstLineChars="200"/>
        <w:rPr>
          <w:rFonts w:hint="eastAsia" w:ascii="宋体" w:hAnsi="宋体"/>
          <w:sz w:val="24"/>
        </w:rPr>
      </w:pPr>
      <w:r>
        <w:rPr>
          <w:rFonts w:ascii="宋体" w:hAnsi="宋体"/>
          <w:sz w:val="24"/>
          <w:lang w:bidi="ar"/>
        </w:rPr>
        <w:t>供应商登录北京市政府采购电子交易平台“用户指南”—“操作指南”—“市场主体注册入库操作流程指引”进行自助注册绑定。</w:t>
      </w:r>
    </w:p>
    <w:p w14:paraId="3E448DB5">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.3驱动、客户端下载</w:t>
      </w:r>
    </w:p>
    <w:p w14:paraId="66FD210F">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供应商登录北京市政府采购电子交易平台“用户指南”—“工具下载”—“招标采购系统文件驱动安装包”下载相关驱动。</w:t>
      </w:r>
    </w:p>
    <w:p w14:paraId="17EA2128">
      <w:pPr>
        <w:adjustRightInd w:val="0"/>
        <w:snapToGrid w:val="0"/>
        <w:spacing w:line="360" w:lineRule="auto"/>
        <w:ind w:firstLine="480" w:firstLineChars="200"/>
        <w:rPr>
          <w:rFonts w:hint="eastAsia" w:ascii="宋体" w:hAnsi="宋体"/>
          <w:sz w:val="24"/>
          <w:lang w:bidi="ar"/>
        </w:rPr>
      </w:pPr>
      <w:r>
        <w:rPr>
          <w:rFonts w:ascii="宋体" w:hAnsi="宋体"/>
          <w:sz w:val="24"/>
          <w:lang w:bidi="ar"/>
        </w:rPr>
        <w:t>供应商登录北京市政府采购电子交易平台“用户指南”—“工具下载”—“投标文件编制工具”下载相关客户端。</w:t>
      </w:r>
    </w:p>
    <w:p w14:paraId="0C06B3CE">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.4 获取电子竞争性磋商文件</w:t>
      </w:r>
    </w:p>
    <w:p w14:paraId="782CA91E">
      <w:pPr>
        <w:adjustRightInd w:val="0"/>
        <w:snapToGrid w:val="0"/>
        <w:spacing w:line="360" w:lineRule="auto"/>
        <w:ind w:firstLine="480" w:firstLineChars="200"/>
        <w:rPr>
          <w:rFonts w:hint="eastAsia" w:ascii="宋体" w:hAnsi="宋体"/>
          <w:sz w:val="24"/>
          <w:lang w:bidi="ar"/>
        </w:rPr>
      </w:pPr>
      <w:r>
        <w:rPr>
          <w:rFonts w:ascii="宋体" w:hAnsi="宋体"/>
          <w:sz w:val="24"/>
          <w:lang w:bidi="ar"/>
        </w:rPr>
        <w:t>供应商使用CA数字证书或电子营业执照登录北京市政府采购电子交易平台获取电子竞争性磋商文件。</w:t>
      </w:r>
    </w:p>
    <w:p w14:paraId="6460E872">
      <w:pPr>
        <w:adjustRightInd w:val="0"/>
        <w:snapToGrid w:val="0"/>
        <w:spacing w:line="360" w:lineRule="auto"/>
        <w:ind w:firstLine="480" w:firstLineChars="200"/>
        <w:rPr>
          <w:rFonts w:hint="eastAsia" w:ascii="宋体" w:hAnsi="宋体"/>
          <w:sz w:val="24"/>
          <w:lang w:bidi="ar"/>
        </w:rPr>
      </w:pPr>
      <w:r>
        <w:rPr>
          <w:rFonts w:ascii="宋体" w:hAnsi="宋体"/>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4C243B0">
      <w:pPr>
        <w:spacing w:line="360" w:lineRule="auto"/>
        <w:ind w:firstLine="480" w:firstLineChars="200"/>
        <w:rPr>
          <w:rFonts w:hint="eastAsia" w:ascii="宋体" w:hAnsi="宋体"/>
          <w:sz w:val="24"/>
        </w:rPr>
      </w:pPr>
    </w:p>
    <w:p w14:paraId="5BABB4D1">
      <w:pPr>
        <w:pStyle w:val="3"/>
        <w:spacing w:before="0" w:line="360" w:lineRule="auto"/>
        <w:jc w:val="left"/>
        <w:rPr>
          <w:rFonts w:hint="eastAsia" w:ascii="宋体" w:hAnsi="宋体" w:eastAsia="宋体"/>
          <w:sz w:val="24"/>
          <w:szCs w:val="24"/>
        </w:rPr>
      </w:pPr>
      <w:bookmarkStart w:id="25" w:name="_Toc28359008"/>
      <w:bookmarkStart w:id="26" w:name="_Toc35393796"/>
      <w:bookmarkStart w:id="27" w:name="_Toc35393627"/>
      <w:bookmarkStart w:id="28" w:name="_Toc28359085"/>
      <w:r>
        <w:rPr>
          <w:rFonts w:ascii="宋体" w:hAnsi="宋体" w:eastAsia="宋体"/>
          <w:sz w:val="24"/>
          <w:szCs w:val="24"/>
        </w:rPr>
        <w:t>八、对本次采购提出询问，请按以下方式联系。</w:t>
      </w:r>
      <w:bookmarkEnd w:id="25"/>
      <w:bookmarkEnd w:id="26"/>
      <w:bookmarkEnd w:id="27"/>
      <w:bookmarkEnd w:id="28"/>
    </w:p>
    <w:p w14:paraId="654495C2">
      <w:pPr>
        <w:widowControl/>
        <w:spacing w:line="360" w:lineRule="auto"/>
        <w:jc w:val="left"/>
        <w:rPr>
          <w:rFonts w:hint="eastAsia" w:ascii="宋体" w:hAnsi="宋体"/>
          <w:b/>
          <w:sz w:val="24"/>
        </w:rPr>
      </w:pPr>
      <w:r>
        <w:rPr>
          <w:rFonts w:ascii="宋体" w:hAnsi="宋体"/>
          <w:sz w:val="24"/>
        </w:rPr>
        <w:t>　　　</w:t>
      </w:r>
      <w:r>
        <w:rPr>
          <w:rFonts w:ascii="宋体" w:hAnsi="宋体"/>
          <w:b/>
          <w:sz w:val="24"/>
        </w:rPr>
        <w:t>1.采购人信息</w:t>
      </w:r>
    </w:p>
    <w:p w14:paraId="13321988">
      <w:pPr>
        <w:spacing w:line="360" w:lineRule="auto"/>
        <w:ind w:left="1079" w:leftChars="371" w:hanging="300" w:hangingChars="125"/>
        <w:jc w:val="left"/>
        <w:rPr>
          <w:rFonts w:hint="eastAsia" w:ascii="宋体" w:hAnsi="宋体"/>
          <w:sz w:val="24"/>
        </w:rPr>
      </w:pPr>
      <w:bookmarkStart w:id="29" w:name="_Toc28359086"/>
      <w:bookmarkStart w:id="30" w:name="_Toc28359009"/>
      <w:r>
        <w:rPr>
          <w:rFonts w:ascii="宋体" w:hAnsi="宋体"/>
          <w:sz w:val="24"/>
        </w:rPr>
        <w:t>名    称：</w:t>
      </w:r>
      <w:r>
        <w:rPr>
          <w:rFonts w:hint="eastAsia" w:ascii="宋体" w:hAnsi="宋体"/>
          <w:sz w:val="24"/>
        </w:rPr>
        <w:t>北京开放大学</w:t>
      </w:r>
    </w:p>
    <w:p w14:paraId="040A3906">
      <w:pPr>
        <w:spacing w:line="360" w:lineRule="auto"/>
        <w:ind w:left="1079" w:leftChars="371" w:hanging="300" w:hangingChars="125"/>
        <w:jc w:val="left"/>
        <w:rPr>
          <w:rFonts w:hint="eastAsia" w:ascii="宋体" w:hAnsi="宋体"/>
          <w:sz w:val="24"/>
        </w:rPr>
      </w:pPr>
      <w:r>
        <w:rPr>
          <w:rFonts w:ascii="宋体" w:hAnsi="宋体"/>
          <w:sz w:val="24"/>
        </w:rPr>
        <w:t>地    址：</w:t>
      </w:r>
      <w:r>
        <w:rPr>
          <w:rFonts w:hint="eastAsia" w:ascii="宋体" w:hAnsi="宋体"/>
          <w:sz w:val="24"/>
        </w:rPr>
        <w:t>北京市海淀区皂君庙甲4号</w:t>
      </w:r>
    </w:p>
    <w:p w14:paraId="173A3AA7">
      <w:pPr>
        <w:spacing w:line="360" w:lineRule="auto"/>
        <w:ind w:left="1079" w:leftChars="371" w:hanging="300" w:hangingChars="125"/>
        <w:jc w:val="left"/>
        <w:rPr>
          <w:rFonts w:hint="eastAsia" w:ascii="宋体" w:hAnsi="宋体"/>
          <w:sz w:val="24"/>
          <w:u w:val="single"/>
        </w:rPr>
      </w:pPr>
      <w:r>
        <w:rPr>
          <w:rFonts w:ascii="宋体" w:hAnsi="宋体"/>
          <w:sz w:val="24"/>
        </w:rPr>
        <w:t>联系方式：</w:t>
      </w:r>
      <w:r>
        <w:rPr>
          <w:rFonts w:hint="eastAsia" w:ascii="宋体" w:hAnsi="宋体"/>
          <w:sz w:val="24"/>
        </w:rPr>
        <w:t>陈老师：</w:t>
      </w:r>
      <w:r>
        <w:rPr>
          <w:rFonts w:ascii="宋体" w:hAnsi="宋体"/>
          <w:sz w:val="24"/>
        </w:rPr>
        <w:t>010-82192105</w:t>
      </w:r>
    </w:p>
    <w:p w14:paraId="2FE8D73C">
      <w:pPr>
        <w:spacing w:line="360" w:lineRule="auto"/>
        <w:ind w:left="1078" w:leftChars="371" w:hanging="299" w:hangingChars="124"/>
        <w:jc w:val="left"/>
        <w:rPr>
          <w:rFonts w:hint="eastAsia" w:ascii="宋体" w:hAnsi="宋体"/>
          <w:b/>
          <w:sz w:val="24"/>
        </w:rPr>
      </w:pPr>
      <w:r>
        <w:rPr>
          <w:rFonts w:ascii="宋体" w:hAnsi="宋体"/>
          <w:b/>
          <w:sz w:val="24"/>
        </w:rPr>
        <w:t>2.采购代理机构信息</w:t>
      </w:r>
      <w:bookmarkEnd w:id="29"/>
      <w:bookmarkEnd w:id="30"/>
    </w:p>
    <w:p w14:paraId="1295E5FA">
      <w:pPr>
        <w:spacing w:line="360" w:lineRule="auto"/>
        <w:ind w:left="1076" w:leftChars="371" w:hanging="297" w:hangingChars="124"/>
        <w:jc w:val="left"/>
        <w:rPr>
          <w:rFonts w:hint="eastAsia" w:ascii="宋体" w:hAnsi="宋体"/>
          <w:sz w:val="24"/>
        </w:rPr>
      </w:pPr>
      <w:bookmarkStart w:id="31" w:name="_Toc28359010"/>
      <w:bookmarkStart w:id="32" w:name="_Toc28359087"/>
      <w:r>
        <w:rPr>
          <w:rFonts w:ascii="宋体" w:hAnsi="宋体"/>
          <w:sz w:val="24"/>
        </w:rPr>
        <w:t>名    称：</w:t>
      </w:r>
      <w:r>
        <w:rPr>
          <w:rFonts w:hint="eastAsia" w:ascii="宋体" w:hAnsi="宋体"/>
          <w:sz w:val="24"/>
        </w:rPr>
        <w:t>华采招标集团有限公司</w:t>
      </w:r>
    </w:p>
    <w:p w14:paraId="1BA45EBF">
      <w:pPr>
        <w:spacing w:line="360" w:lineRule="auto"/>
        <w:ind w:left="1076" w:leftChars="371" w:hanging="297" w:hangingChars="124"/>
        <w:jc w:val="left"/>
        <w:rPr>
          <w:rFonts w:hint="eastAsia" w:ascii="宋体" w:hAnsi="宋体"/>
          <w:sz w:val="24"/>
        </w:rPr>
      </w:pPr>
      <w:r>
        <w:rPr>
          <w:rFonts w:ascii="宋体" w:hAnsi="宋体"/>
          <w:sz w:val="24"/>
        </w:rPr>
        <w:t>地    址：</w:t>
      </w:r>
      <w:r>
        <w:rPr>
          <w:rFonts w:hint="eastAsia" w:ascii="宋体" w:hAnsi="宋体"/>
          <w:sz w:val="24"/>
        </w:rPr>
        <w:t>北京市丰台区广安路9号国投财富广场6号楼1601室</w:t>
      </w:r>
    </w:p>
    <w:p w14:paraId="0BD37E56">
      <w:pPr>
        <w:spacing w:line="360" w:lineRule="auto"/>
        <w:ind w:left="1076" w:leftChars="371" w:hanging="297" w:hangingChars="124"/>
        <w:jc w:val="left"/>
        <w:rPr>
          <w:rFonts w:hint="eastAsia" w:ascii="宋体" w:hAnsi="宋体"/>
          <w:sz w:val="24"/>
        </w:rPr>
      </w:pPr>
      <w:r>
        <w:rPr>
          <w:rFonts w:ascii="宋体" w:hAnsi="宋体"/>
          <w:sz w:val="24"/>
        </w:rPr>
        <w:t>联系方式：</w:t>
      </w:r>
      <w:r>
        <w:rPr>
          <w:rFonts w:hint="eastAsia" w:ascii="宋体" w:hAnsi="宋体"/>
          <w:sz w:val="24"/>
        </w:rPr>
        <w:t>贾东敏、谭仕宝、崔丽洁、姚冲、金珊、刘金秀、赵娜、</w:t>
      </w:r>
    </w:p>
    <w:p w14:paraId="4BA25E84">
      <w:pPr>
        <w:spacing w:line="360" w:lineRule="auto"/>
        <w:ind w:left="1258" w:leftChars="599" w:firstLine="660" w:firstLineChars="275"/>
        <w:jc w:val="left"/>
        <w:rPr>
          <w:rFonts w:hint="eastAsia" w:ascii="宋体" w:hAnsi="宋体"/>
          <w:sz w:val="24"/>
        </w:rPr>
      </w:pPr>
      <w:r>
        <w:rPr>
          <w:rFonts w:hint="eastAsia" w:ascii="宋体" w:hAnsi="宋体"/>
          <w:sz w:val="24"/>
        </w:rPr>
        <w:t>马凯、白敏娜、闫淑娟18612287807/7813</w:t>
      </w:r>
    </w:p>
    <w:p w14:paraId="2F10CD6A">
      <w:pPr>
        <w:spacing w:line="360" w:lineRule="auto"/>
        <w:ind w:left="1078" w:leftChars="371" w:hanging="299" w:hangingChars="124"/>
        <w:rPr>
          <w:rFonts w:hint="eastAsia" w:ascii="宋体" w:hAnsi="宋体"/>
          <w:b/>
          <w:sz w:val="24"/>
          <w:u w:val="single"/>
        </w:rPr>
      </w:pPr>
      <w:r>
        <w:rPr>
          <w:rFonts w:ascii="宋体" w:hAnsi="宋体"/>
          <w:b/>
          <w:sz w:val="24"/>
        </w:rPr>
        <w:t>3.项目联系方式</w:t>
      </w:r>
      <w:bookmarkEnd w:id="31"/>
      <w:bookmarkEnd w:id="32"/>
    </w:p>
    <w:p w14:paraId="32A51EB8">
      <w:pPr>
        <w:adjustRightInd w:val="0"/>
        <w:snapToGrid w:val="0"/>
        <w:spacing w:line="360" w:lineRule="auto"/>
        <w:ind w:left="2158" w:leftChars="342" w:hanging="1440" w:hangingChars="600"/>
        <w:rPr>
          <w:rFonts w:hint="eastAsia" w:ascii="宋体" w:hAnsi="宋体"/>
          <w:sz w:val="24"/>
        </w:rPr>
      </w:pPr>
      <w:r>
        <w:rPr>
          <w:rFonts w:ascii="宋体" w:hAnsi="宋体"/>
          <w:sz w:val="24"/>
        </w:rPr>
        <w:t>项目联系人：贾东敏、谭仕宝、崔丽洁、姚冲、金珊、刘金秀、赵娜、马凯、白敏娜、闫淑娟</w:t>
      </w:r>
    </w:p>
    <w:p w14:paraId="03985010">
      <w:pPr>
        <w:adjustRightInd w:val="0"/>
        <w:snapToGrid w:val="0"/>
        <w:spacing w:line="360" w:lineRule="auto"/>
        <w:ind w:left="1918" w:leftChars="342" w:hanging="1200" w:hangingChars="500"/>
        <w:rPr>
          <w:rFonts w:hint="eastAsia" w:ascii="宋体" w:hAnsi="宋体"/>
          <w:sz w:val="24"/>
        </w:rPr>
      </w:pPr>
      <w:r>
        <w:rPr>
          <w:rFonts w:ascii="宋体" w:hAnsi="宋体"/>
          <w:sz w:val="24"/>
        </w:rPr>
        <w:t>电      话：</w:t>
      </w:r>
      <w:r>
        <w:rPr>
          <w:rFonts w:hint="eastAsia" w:ascii="宋体" w:hAnsi="宋体"/>
          <w:sz w:val="24"/>
        </w:rPr>
        <w:t>18612287807/7813</w:t>
      </w:r>
    </w:p>
    <w:p w14:paraId="054439C7">
      <w:pPr>
        <w:spacing w:line="360" w:lineRule="auto"/>
        <w:ind w:firstLine="5880" w:firstLineChars="2450"/>
        <w:jc w:val="right"/>
        <w:rPr>
          <w:rFonts w:hint="eastAsia" w:ascii="宋体" w:hAnsi="宋体"/>
          <w:sz w:val="24"/>
        </w:rPr>
      </w:pPr>
    </w:p>
    <w:p w14:paraId="2569311B">
      <w:pPr>
        <w:spacing w:line="360" w:lineRule="auto"/>
        <w:jc w:val="center"/>
        <w:outlineLvl w:val="0"/>
        <w:rPr>
          <w:rFonts w:hint="eastAsia" w:ascii="宋体" w:hAnsi="宋体"/>
          <w:b/>
          <w:sz w:val="32"/>
          <w:szCs w:val="32"/>
        </w:rPr>
      </w:pPr>
      <w:r>
        <w:rPr>
          <w:rFonts w:ascii="宋体" w:hAnsi="宋体"/>
          <w:sz w:val="24"/>
        </w:rPr>
        <w:br w:type="page"/>
      </w:r>
      <w:bookmarkStart w:id="33" w:name="_Toc232493958"/>
      <w:bookmarkStart w:id="34" w:name="_Toc127161488"/>
      <w:bookmarkStart w:id="35" w:name="_Toc353873938"/>
      <w:bookmarkStart w:id="36" w:name="_Toc512937850"/>
      <w:bookmarkStart w:id="37" w:name="_Toc195842950"/>
      <w:bookmarkStart w:id="38" w:name="_Toc353825548"/>
      <w:bookmarkStart w:id="39" w:name="_Toc127151777"/>
      <w:bookmarkStart w:id="40" w:name="_Toc265228423"/>
      <w:bookmarkStart w:id="41" w:name="_Toc305158854"/>
      <w:bookmarkStart w:id="42" w:name="_Toc305158928"/>
      <w:bookmarkStart w:id="43" w:name="_Toc264969275"/>
      <w:bookmarkStart w:id="44" w:name="_Toc150774783"/>
      <w:bookmarkStart w:id="45" w:name="_Toc226965856"/>
      <w:r>
        <w:rPr>
          <w:rFonts w:ascii="宋体" w:hAnsi="宋体"/>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4F8D99EC">
      <w:pPr>
        <w:pStyle w:val="3"/>
        <w:tabs>
          <w:tab w:val="center" w:pos="4592"/>
          <w:tab w:val="left" w:pos="7860"/>
        </w:tabs>
        <w:spacing w:before="0" w:line="360" w:lineRule="auto"/>
        <w:rPr>
          <w:rFonts w:hint="eastAsia" w:ascii="宋体" w:hAnsi="宋体" w:eastAsia="宋体"/>
          <w:b w:val="0"/>
          <w:sz w:val="28"/>
        </w:rPr>
      </w:pPr>
      <w:bookmarkStart w:id="46" w:name="_Toc226965792"/>
      <w:bookmarkStart w:id="47" w:name="_Toc195842884"/>
      <w:bookmarkStart w:id="48" w:name="_Toc164351613"/>
      <w:bookmarkStart w:id="49" w:name="_Toc226337215"/>
      <w:bookmarkStart w:id="50" w:name="_Toc127151519"/>
      <w:bookmarkStart w:id="51" w:name="_Toc149720812"/>
      <w:bookmarkStart w:id="52" w:name="_Toc164229360"/>
      <w:bookmarkStart w:id="53" w:name="_Toc226965709"/>
      <w:bookmarkStart w:id="54" w:name="_Toc150509270"/>
      <w:bookmarkStart w:id="55" w:name="_Toc520356144"/>
      <w:bookmarkStart w:id="56" w:name="_Toc164608788"/>
      <w:bookmarkStart w:id="57" w:name="_Toc151193761"/>
      <w:bookmarkStart w:id="58" w:name="_Toc151193833"/>
      <w:bookmarkStart w:id="59" w:name="_Toc151190146"/>
      <w:bookmarkStart w:id="60" w:name="_Toc151193907"/>
      <w:bookmarkStart w:id="61" w:name="_Toc127161433"/>
      <w:bookmarkStart w:id="62" w:name="_Toc150774724"/>
      <w:bookmarkStart w:id="63" w:name="_Toc164608633"/>
      <w:bookmarkStart w:id="64" w:name="_Toc127151720"/>
      <w:bookmarkStart w:id="65" w:name="_Toc151193689"/>
      <w:bookmarkStart w:id="66" w:name="_Toc150480757"/>
      <w:bookmarkStart w:id="67" w:name="_Toc150774619"/>
      <w:bookmarkStart w:id="68" w:name="_Toc164229214"/>
      <w:bookmarkStart w:id="69" w:name="_Toc151193617"/>
      <w:bookmarkStart w:id="70" w:name="_Toc142311021"/>
      <w:bookmarkStart w:id="71" w:name="_Toc226309763"/>
      <w:r>
        <w:rPr>
          <w:rFonts w:ascii="宋体" w:hAnsi="宋体" w:eastAsia="宋体"/>
          <w:sz w:val="28"/>
        </w:rPr>
        <w:t>供应商须知资料表</w:t>
      </w:r>
    </w:p>
    <w:p w14:paraId="0656C6A8">
      <w:pPr>
        <w:jc w:val="center"/>
        <w:rPr>
          <w:rFonts w:hint="eastAsia" w:ascii="宋体" w:hAnsi="宋体"/>
          <w:b/>
          <w:sz w:val="28"/>
          <w:szCs w:val="28"/>
        </w:rPr>
      </w:pPr>
    </w:p>
    <w:p w14:paraId="4A0FDF4A">
      <w:pPr>
        <w:spacing w:line="360" w:lineRule="auto"/>
        <w:ind w:firstLine="480"/>
        <w:rPr>
          <w:rFonts w:hint="eastAsia" w:ascii="宋体" w:hAnsi="宋体"/>
          <w:sz w:val="24"/>
        </w:rPr>
      </w:pPr>
      <w:r>
        <w:rPr>
          <w:rFonts w:ascii="宋体" w:hAnsi="宋体"/>
          <w:sz w:val="24"/>
        </w:rPr>
        <w:t>本表是对供应商须知的具体补充和修改，如有矛盾，均以本资料表为准。</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14E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DF605EE">
            <w:pPr>
              <w:jc w:val="center"/>
              <w:rPr>
                <w:rFonts w:hint="eastAsia" w:ascii="宋体" w:hAnsi="宋体" w:cstheme="minorEastAsia"/>
                <w:b/>
                <w:bCs/>
                <w:sz w:val="24"/>
              </w:rPr>
            </w:pPr>
            <w:r>
              <w:rPr>
                <w:rFonts w:hint="eastAsia" w:ascii="宋体" w:hAnsi="宋体" w:cstheme="minorEastAsia"/>
                <w:b/>
                <w:sz w:val="24"/>
              </w:rPr>
              <w:t>条款号</w:t>
            </w:r>
          </w:p>
        </w:tc>
        <w:tc>
          <w:tcPr>
            <w:tcW w:w="1701" w:type="dxa"/>
            <w:vAlign w:val="center"/>
          </w:tcPr>
          <w:p w14:paraId="424E5274">
            <w:pPr>
              <w:jc w:val="center"/>
              <w:rPr>
                <w:rFonts w:hint="eastAsia" w:ascii="宋体" w:hAnsi="宋体" w:cstheme="minorEastAsia"/>
                <w:b/>
                <w:bCs/>
                <w:sz w:val="24"/>
              </w:rPr>
            </w:pPr>
            <w:r>
              <w:rPr>
                <w:rFonts w:hint="eastAsia" w:ascii="宋体" w:hAnsi="宋体" w:cstheme="minorEastAsia"/>
                <w:b/>
                <w:bCs/>
                <w:sz w:val="24"/>
              </w:rPr>
              <w:t>条目</w:t>
            </w:r>
          </w:p>
        </w:tc>
        <w:tc>
          <w:tcPr>
            <w:tcW w:w="7253" w:type="dxa"/>
            <w:vAlign w:val="center"/>
          </w:tcPr>
          <w:p w14:paraId="51BE018F">
            <w:pPr>
              <w:jc w:val="center"/>
              <w:rPr>
                <w:rFonts w:hint="eastAsia" w:ascii="宋体" w:hAnsi="宋体" w:cstheme="minorEastAsia"/>
                <w:b/>
                <w:bCs/>
                <w:sz w:val="24"/>
              </w:rPr>
            </w:pPr>
            <w:r>
              <w:rPr>
                <w:rFonts w:hint="eastAsia" w:ascii="宋体" w:hAnsi="宋体" w:cstheme="minorEastAsia"/>
                <w:b/>
                <w:bCs/>
                <w:sz w:val="24"/>
              </w:rPr>
              <w:t>内容</w:t>
            </w:r>
          </w:p>
        </w:tc>
      </w:tr>
      <w:tr w14:paraId="7D93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17C2666">
            <w:pPr>
              <w:pStyle w:val="24"/>
              <w:adjustRightInd w:val="0"/>
              <w:snapToGrid w:val="0"/>
              <w:jc w:val="center"/>
              <w:rPr>
                <w:rFonts w:hAnsi="宋体" w:cstheme="minorEastAsia"/>
                <w:sz w:val="24"/>
                <w:szCs w:val="24"/>
              </w:rPr>
            </w:pPr>
            <w:r>
              <w:rPr>
                <w:rFonts w:hAnsi="宋体" w:cstheme="minorEastAsia"/>
                <w:sz w:val="24"/>
                <w:szCs w:val="24"/>
              </w:rPr>
              <w:t>2.2</w:t>
            </w:r>
          </w:p>
        </w:tc>
        <w:tc>
          <w:tcPr>
            <w:tcW w:w="1701" w:type="dxa"/>
            <w:vAlign w:val="center"/>
          </w:tcPr>
          <w:p w14:paraId="52D9F58A">
            <w:pPr>
              <w:jc w:val="center"/>
              <w:rPr>
                <w:rFonts w:hint="eastAsia" w:ascii="宋体" w:hAnsi="宋体" w:cstheme="minorEastAsia"/>
                <w:sz w:val="24"/>
              </w:rPr>
            </w:pPr>
            <w:r>
              <w:rPr>
                <w:rFonts w:hint="eastAsia" w:ascii="宋体" w:hAnsi="宋体" w:cstheme="minorEastAsia"/>
                <w:sz w:val="24"/>
              </w:rPr>
              <w:t>项目属性</w:t>
            </w:r>
          </w:p>
        </w:tc>
        <w:tc>
          <w:tcPr>
            <w:tcW w:w="7253" w:type="dxa"/>
            <w:vAlign w:val="center"/>
          </w:tcPr>
          <w:p w14:paraId="0EAD9650">
            <w:pPr>
              <w:jc w:val="left"/>
              <w:rPr>
                <w:rFonts w:hint="eastAsia" w:ascii="宋体" w:hAnsi="宋体" w:cstheme="minorEastAsia"/>
                <w:sz w:val="24"/>
              </w:rPr>
            </w:pPr>
            <w:r>
              <w:rPr>
                <w:rFonts w:hint="eastAsia" w:ascii="宋体" w:hAnsi="宋体" w:cstheme="minorEastAsia"/>
                <w:sz w:val="24"/>
              </w:rPr>
              <w:t>项目属性：</w:t>
            </w:r>
          </w:p>
          <w:p w14:paraId="346C331C">
            <w:pPr>
              <w:jc w:val="left"/>
              <w:rPr>
                <w:rFonts w:hint="eastAsia" w:ascii="宋体" w:hAnsi="宋体" w:cstheme="minorEastAsia"/>
                <w:sz w:val="24"/>
              </w:rPr>
            </w:pPr>
            <w:r>
              <w:rPr>
                <w:rFonts w:hint="eastAsia" w:ascii="宋体" w:hAnsi="宋体" w:cstheme="minorEastAsia"/>
                <w:sz w:val="24"/>
              </w:rPr>
              <w:t>□服务</w:t>
            </w:r>
          </w:p>
          <w:p w14:paraId="35F18DEB">
            <w:pPr>
              <w:jc w:val="left"/>
              <w:rPr>
                <w:rFonts w:hint="eastAsia" w:ascii="宋体" w:hAnsi="宋体" w:cstheme="minorEastAsia"/>
                <w:sz w:val="24"/>
              </w:rPr>
            </w:pPr>
            <w:r>
              <w:rPr>
                <w:rFonts w:hint="eastAsia" w:ascii="宋体" w:hAnsi="宋体" w:cstheme="minorEastAsia"/>
                <w:sz w:val="24"/>
              </w:rPr>
              <w:t>□货物</w:t>
            </w:r>
          </w:p>
          <w:p w14:paraId="0EDE348F">
            <w:pPr>
              <w:jc w:val="left"/>
              <w:rPr>
                <w:rFonts w:hint="eastAsia" w:ascii="宋体" w:hAnsi="宋体" w:cstheme="minorEastAsia"/>
                <w:sz w:val="24"/>
              </w:rPr>
            </w:pPr>
            <w:r>
              <w:rPr>
                <w:rFonts w:ascii="宋体" w:hAnsi="宋体"/>
                <w:sz w:val="24"/>
              </w:rPr>
              <w:t>■</w:t>
            </w:r>
            <w:r>
              <w:rPr>
                <w:rFonts w:hint="eastAsia" w:ascii="宋体" w:hAnsi="宋体" w:cstheme="minorEastAsia"/>
                <w:sz w:val="24"/>
              </w:rPr>
              <w:t>工程</w:t>
            </w:r>
          </w:p>
        </w:tc>
      </w:tr>
      <w:tr w14:paraId="2F60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F324E0">
            <w:pPr>
              <w:pStyle w:val="24"/>
              <w:adjustRightInd w:val="0"/>
              <w:snapToGrid w:val="0"/>
              <w:jc w:val="center"/>
              <w:rPr>
                <w:rFonts w:hAnsi="宋体" w:cstheme="minorEastAsia"/>
                <w:sz w:val="24"/>
                <w:szCs w:val="24"/>
              </w:rPr>
            </w:pPr>
            <w:r>
              <w:rPr>
                <w:rFonts w:hAnsi="宋体" w:cstheme="minorEastAsia"/>
                <w:sz w:val="24"/>
                <w:szCs w:val="24"/>
              </w:rPr>
              <w:t>2.3</w:t>
            </w:r>
          </w:p>
        </w:tc>
        <w:tc>
          <w:tcPr>
            <w:tcW w:w="1701" w:type="dxa"/>
            <w:vAlign w:val="center"/>
          </w:tcPr>
          <w:p w14:paraId="43DA540E">
            <w:pPr>
              <w:jc w:val="center"/>
              <w:rPr>
                <w:rFonts w:hint="eastAsia" w:ascii="宋体" w:hAnsi="宋体" w:cstheme="minorEastAsia"/>
                <w:sz w:val="24"/>
              </w:rPr>
            </w:pPr>
            <w:r>
              <w:rPr>
                <w:rFonts w:hint="eastAsia" w:ascii="宋体" w:hAnsi="宋体" w:cstheme="minorEastAsia"/>
                <w:sz w:val="24"/>
              </w:rPr>
              <w:t>科研仪器设备</w:t>
            </w:r>
          </w:p>
        </w:tc>
        <w:tc>
          <w:tcPr>
            <w:tcW w:w="7253" w:type="dxa"/>
            <w:vAlign w:val="center"/>
          </w:tcPr>
          <w:p w14:paraId="29D77D25">
            <w:pPr>
              <w:jc w:val="left"/>
              <w:rPr>
                <w:rFonts w:hint="eastAsia" w:ascii="宋体" w:hAnsi="宋体" w:cstheme="minorEastAsia"/>
                <w:sz w:val="24"/>
              </w:rPr>
            </w:pPr>
            <w:r>
              <w:rPr>
                <w:rFonts w:hint="eastAsia" w:ascii="宋体" w:hAnsi="宋体" w:cstheme="minorEastAsia"/>
                <w:sz w:val="24"/>
              </w:rPr>
              <w:t>是否属于科研仪器设备采购项目：</w:t>
            </w:r>
          </w:p>
          <w:p w14:paraId="4AE8C909">
            <w:pPr>
              <w:jc w:val="left"/>
              <w:rPr>
                <w:rFonts w:hint="eastAsia" w:ascii="宋体" w:hAnsi="宋体" w:cstheme="minorEastAsia"/>
                <w:sz w:val="24"/>
              </w:rPr>
            </w:pPr>
            <w:r>
              <w:rPr>
                <w:rFonts w:hint="eastAsia" w:ascii="宋体" w:hAnsi="宋体" w:cstheme="minorEastAsia"/>
                <w:sz w:val="24"/>
              </w:rPr>
              <w:t>□是</w:t>
            </w:r>
          </w:p>
          <w:p w14:paraId="5F753AE1">
            <w:pPr>
              <w:jc w:val="left"/>
              <w:rPr>
                <w:rFonts w:hint="eastAsia" w:ascii="宋体" w:hAnsi="宋体" w:cstheme="minorEastAsia"/>
                <w:sz w:val="24"/>
              </w:rPr>
            </w:pPr>
            <w:r>
              <w:rPr>
                <w:rFonts w:ascii="宋体" w:hAnsi="宋体"/>
                <w:sz w:val="24"/>
              </w:rPr>
              <w:t>■</w:t>
            </w:r>
            <w:r>
              <w:rPr>
                <w:rFonts w:hint="eastAsia" w:ascii="宋体" w:hAnsi="宋体" w:cstheme="minorEastAsia"/>
                <w:sz w:val="24"/>
              </w:rPr>
              <w:t>否</w:t>
            </w:r>
          </w:p>
        </w:tc>
      </w:tr>
      <w:tr w14:paraId="3E22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C5B94D0">
            <w:pPr>
              <w:pStyle w:val="24"/>
              <w:adjustRightInd w:val="0"/>
              <w:snapToGrid w:val="0"/>
              <w:jc w:val="center"/>
              <w:rPr>
                <w:rFonts w:hAnsi="宋体" w:cstheme="minorEastAsia"/>
                <w:sz w:val="24"/>
                <w:szCs w:val="24"/>
              </w:rPr>
            </w:pPr>
            <w:r>
              <w:rPr>
                <w:rFonts w:hAnsi="宋体" w:cstheme="minorEastAsia"/>
                <w:sz w:val="24"/>
                <w:szCs w:val="24"/>
              </w:rPr>
              <w:t>3.1</w:t>
            </w:r>
          </w:p>
        </w:tc>
        <w:tc>
          <w:tcPr>
            <w:tcW w:w="1701" w:type="dxa"/>
            <w:vAlign w:val="center"/>
          </w:tcPr>
          <w:p w14:paraId="5068CBA6">
            <w:pPr>
              <w:jc w:val="center"/>
              <w:rPr>
                <w:rFonts w:hint="eastAsia" w:ascii="宋体" w:hAnsi="宋体" w:cstheme="minorEastAsia"/>
                <w:sz w:val="24"/>
              </w:rPr>
            </w:pPr>
            <w:r>
              <w:rPr>
                <w:rFonts w:hint="eastAsia" w:ascii="宋体" w:hAnsi="宋体" w:cstheme="minorEastAsia"/>
                <w:sz w:val="24"/>
              </w:rPr>
              <w:t>现场考察</w:t>
            </w:r>
          </w:p>
        </w:tc>
        <w:tc>
          <w:tcPr>
            <w:tcW w:w="7253" w:type="dxa"/>
            <w:vAlign w:val="center"/>
          </w:tcPr>
          <w:p w14:paraId="5F598235">
            <w:pPr>
              <w:jc w:val="left"/>
              <w:rPr>
                <w:rFonts w:hint="eastAsia" w:ascii="宋体" w:hAnsi="宋体" w:cstheme="minorEastAsia"/>
                <w:sz w:val="24"/>
              </w:rPr>
            </w:pPr>
            <w:r>
              <w:rPr>
                <w:rFonts w:ascii="宋体" w:hAnsi="宋体"/>
                <w:sz w:val="24"/>
              </w:rPr>
              <w:t>■</w:t>
            </w:r>
            <w:r>
              <w:rPr>
                <w:rFonts w:hint="eastAsia" w:ascii="宋体" w:hAnsi="宋体" w:cstheme="minorEastAsia"/>
                <w:sz w:val="24"/>
              </w:rPr>
              <w:t>不组织</w:t>
            </w:r>
          </w:p>
          <w:p w14:paraId="07E52278">
            <w:pPr>
              <w:jc w:val="left"/>
              <w:rPr>
                <w:rFonts w:hint="eastAsia" w:ascii="宋体" w:hAnsi="宋体" w:cstheme="minorEastAsia"/>
                <w:bCs/>
                <w:sz w:val="24"/>
              </w:rPr>
            </w:pPr>
            <w:r>
              <w:rPr>
                <w:rFonts w:hint="eastAsia" w:ascii="宋体" w:hAnsi="宋体" w:cstheme="minorEastAsia"/>
                <w:sz w:val="24"/>
              </w:rPr>
              <w:t>□组织，考察时间：___</w:t>
            </w:r>
            <w:r>
              <w:rPr>
                <w:rFonts w:hint="eastAsia" w:ascii="宋体" w:hAnsi="宋体" w:cstheme="minorEastAsia"/>
                <w:sz w:val="24"/>
                <w:lang w:bidi="ar"/>
              </w:rPr>
              <w:t>年</w:t>
            </w:r>
            <w:r>
              <w:rPr>
                <w:rFonts w:hint="eastAsia" w:ascii="宋体" w:hAnsi="宋体" w:cstheme="minorEastAsia"/>
                <w:sz w:val="24"/>
              </w:rPr>
              <w:t>___</w:t>
            </w:r>
            <w:r>
              <w:rPr>
                <w:rFonts w:hint="eastAsia" w:ascii="宋体" w:hAnsi="宋体" w:cstheme="minorEastAsia"/>
                <w:sz w:val="24"/>
                <w:lang w:bidi="ar"/>
              </w:rPr>
              <w:t>月</w:t>
            </w:r>
            <w:r>
              <w:rPr>
                <w:rFonts w:hint="eastAsia" w:ascii="宋体" w:hAnsi="宋体" w:cstheme="minorEastAsia"/>
                <w:sz w:val="24"/>
              </w:rPr>
              <w:t>___</w:t>
            </w:r>
            <w:r>
              <w:rPr>
                <w:rFonts w:hint="eastAsia" w:ascii="宋体" w:hAnsi="宋体" w:cstheme="minorEastAsia"/>
                <w:sz w:val="24"/>
                <w:lang w:bidi="ar"/>
              </w:rPr>
              <w:t>日</w:t>
            </w:r>
            <w:r>
              <w:rPr>
                <w:rFonts w:hint="eastAsia" w:ascii="宋体" w:hAnsi="宋体" w:cstheme="minorEastAsia"/>
                <w:sz w:val="24"/>
              </w:rPr>
              <w:t>___</w:t>
            </w:r>
            <w:r>
              <w:rPr>
                <w:rFonts w:hint="eastAsia" w:ascii="宋体" w:hAnsi="宋体" w:cstheme="minorEastAsia"/>
                <w:sz w:val="24"/>
                <w:lang w:bidi="ar"/>
              </w:rPr>
              <w:t>点</w:t>
            </w:r>
            <w:r>
              <w:rPr>
                <w:rFonts w:hint="eastAsia" w:ascii="宋体" w:hAnsi="宋体" w:cstheme="minorEastAsia"/>
                <w:sz w:val="24"/>
              </w:rPr>
              <w:t>___</w:t>
            </w:r>
            <w:r>
              <w:rPr>
                <w:rFonts w:hint="eastAsia" w:ascii="宋体" w:hAnsi="宋体" w:cstheme="minorEastAsia"/>
                <w:sz w:val="24"/>
                <w:lang w:bidi="ar"/>
              </w:rPr>
              <w:t>分</w:t>
            </w:r>
          </w:p>
          <w:p w14:paraId="7C6808B1">
            <w:pPr>
              <w:pStyle w:val="24"/>
              <w:adjustRightInd w:val="0"/>
              <w:snapToGrid w:val="0"/>
              <w:rPr>
                <w:rFonts w:hAnsi="宋体" w:cstheme="minorEastAsia"/>
                <w:sz w:val="24"/>
                <w:szCs w:val="24"/>
              </w:rPr>
            </w:pPr>
            <w:r>
              <w:rPr>
                <w:rFonts w:hAnsi="宋体" w:cstheme="minorEastAsia"/>
                <w:sz w:val="24"/>
                <w:szCs w:val="24"/>
              </w:rPr>
              <w:t>考察地点：___________。</w:t>
            </w:r>
          </w:p>
        </w:tc>
      </w:tr>
      <w:tr w14:paraId="655D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943E4A1">
            <w:pPr>
              <w:pStyle w:val="24"/>
              <w:adjustRightInd w:val="0"/>
              <w:snapToGrid w:val="0"/>
              <w:jc w:val="center"/>
              <w:rPr>
                <w:rFonts w:hAnsi="宋体" w:cstheme="minorEastAsia"/>
                <w:sz w:val="24"/>
                <w:szCs w:val="24"/>
              </w:rPr>
            </w:pPr>
          </w:p>
        </w:tc>
        <w:tc>
          <w:tcPr>
            <w:tcW w:w="1701" w:type="dxa"/>
            <w:vAlign w:val="center"/>
          </w:tcPr>
          <w:p w14:paraId="4CA6C7CF">
            <w:pPr>
              <w:jc w:val="center"/>
              <w:rPr>
                <w:rFonts w:hint="eastAsia" w:ascii="宋体" w:hAnsi="宋体" w:cstheme="minorEastAsia"/>
                <w:sz w:val="24"/>
              </w:rPr>
            </w:pPr>
            <w:r>
              <w:rPr>
                <w:rFonts w:hint="eastAsia" w:ascii="宋体" w:hAnsi="宋体" w:cstheme="minorEastAsia"/>
                <w:sz w:val="24"/>
              </w:rPr>
              <w:t>磋商前答疑会</w:t>
            </w:r>
          </w:p>
        </w:tc>
        <w:tc>
          <w:tcPr>
            <w:tcW w:w="7253" w:type="dxa"/>
            <w:vAlign w:val="center"/>
          </w:tcPr>
          <w:p w14:paraId="354C2971">
            <w:pPr>
              <w:jc w:val="left"/>
              <w:rPr>
                <w:rFonts w:hint="eastAsia" w:ascii="宋体" w:hAnsi="宋体" w:cstheme="minorEastAsia"/>
                <w:sz w:val="24"/>
              </w:rPr>
            </w:pPr>
            <w:r>
              <w:rPr>
                <w:rFonts w:ascii="宋体" w:hAnsi="宋体"/>
                <w:sz w:val="24"/>
              </w:rPr>
              <w:t>■</w:t>
            </w:r>
            <w:r>
              <w:rPr>
                <w:rFonts w:hint="eastAsia" w:ascii="宋体" w:hAnsi="宋体" w:cstheme="minorEastAsia"/>
                <w:sz w:val="24"/>
              </w:rPr>
              <w:t>不召开</w:t>
            </w:r>
          </w:p>
          <w:p w14:paraId="45DE9457">
            <w:pPr>
              <w:jc w:val="left"/>
              <w:rPr>
                <w:rFonts w:hint="eastAsia" w:ascii="宋体" w:hAnsi="宋体" w:cstheme="minorEastAsia"/>
                <w:sz w:val="24"/>
              </w:rPr>
            </w:pPr>
            <w:r>
              <w:rPr>
                <w:rFonts w:hint="eastAsia" w:ascii="宋体" w:hAnsi="宋体" w:cstheme="minorEastAsia"/>
                <w:sz w:val="24"/>
              </w:rPr>
              <w:t>□召开，召开时间：___</w:t>
            </w:r>
            <w:r>
              <w:rPr>
                <w:rFonts w:hint="eastAsia" w:ascii="宋体" w:hAnsi="宋体" w:cstheme="minorEastAsia"/>
                <w:sz w:val="24"/>
                <w:lang w:bidi="ar"/>
              </w:rPr>
              <w:t>年</w:t>
            </w:r>
            <w:r>
              <w:rPr>
                <w:rFonts w:hint="eastAsia" w:ascii="宋体" w:hAnsi="宋体" w:cstheme="minorEastAsia"/>
                <w:sz w:val="24"/>
              </w:rPr>
              <w:t>___</w:t>
            </w:r>
            <w:r>
              <w:rPr>
                <w:rFonts w:hint="eastAsia" w:ascii="宋体" w:hAnsi="宋体" w:cstheme="minorEastAsia"/>
                <w:sz w:val="24"/>
                <w:lang w:bidi="ar"/>
              </w:rPr>
              <w:t>月</w:t>
            </w:r>
            <w:r>
              <w:rPr>
                <w:rFonts w:hint="eastAsia" w:ascii="宋体" w:hAnsi="宋体" w:cstheme="minorEastAsia"/>
                <w:sz w:val="24"/>
              </w:rPr>
              <w:t>___</w:t>
            </w:r>
            <w:r>
              <w:rPr>
                <w:rFonts w:hint="eastAsia" w:ascii="宋体" w:hAnsi="宋体" w:cstheme="minorEastAsia"/>
                <w:sz w:val="24"/>
                <w:lang w:bidi="ar"/>
              </w:rPr>
              <w:t>日</w:t>
            </w:r>
            <w:r>
              <w:rPr>
                <w:rFonts w:hint="eastAsia" w:ascii="宋体" w:hAnsi="宋体" w:cstheme="minorEastAsia"/>
                <w:sz w:val="24"/>
              </w:rPr>
              <w:t>___</w:t>
            </w:r>
            <w:r>
              <w:rPr>
                <w:rFonts w:hint="eastAsia" w:ascii="宋体" w:hAnsi="宋体" w:cstheme="minorEastAsia"/>
                <w:sz w:val="24"/>
                <w:lang w:bidi="ar"/>
              </w:rPr>
              <w:t>点</w:t>
            </w:r>
            <w:r>
              <w:rPr>
                <w:rFonts w:hint="eastAsia" w:ascii="宋体" w:hAnsi="宋体" w:cstheme="minorEastAsia"/>
                <w:sz w:val="24"/>
              </w:rPr>
              <w:t>___</w:t>
            </w:r>
            <w:r>
              <w:rPr>
                <w:rFonts w:hint="eastAsia" w:ascii="宋体" w:hAnsi="宋体" w:cstheme="minorEastAsia"/>
                <w:sz w:val="24"/>
                <w:lang w:bidi="ar"/>
              </w:rPr>
              <w:t>分</w:t>
            </w:r>
          </w:p>
          <w:p w14:paraId="06EDA19B">
            <w:pPr>
              <w:jc w:val="left"/>
              <w:rPr>
                <w:rFonts w:hint="eastAsia" w:ascii="宋体" w:hAnsi="宋体" w:cstheme="minorEastAsia"/>
                <w:sz w:val="24"/>
              </w:rPr>
            </w:pPr>
            <w:r>
              <w:rPr>
                <w:rFonts w:hint="eastAsia" w:ascii="宋体" w:hAnsi="宋体" w:cstheme="minorEastAsia"/>
                <w:sz w:val="24"/>
              </w:rPr>
              <w:t>召开地点：___________。</w:t>
            </w:r>
          </w:p>
        </w:tc>
      </w:tr>
      <w:tr w14:paraId="6620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9A5EBE9">
            <w:pPr>
              <w:pStyle w:val="24"/>
              <w:adjustRightInd w:val="0"/>
              <w:snapToGrid w:val="0"/>
              <w:jc w:val="center"/>
              <w:rPr>
                <w:rFonts w:hAnsi="宋体" w:cstheme="minorEastAsia"/>
                <w:sz w:val="24"/>
                <w:szCs w:val="24"/>
              </w:rPr>
            </w:pPr>
            <w:r>
              <w:rPr>
                <w:rFonts w:hAnsi="宋体" w:cstheme="minorEastAsia"/>
                <w:sz w:val="24"/>
                <w:szCs w:val="24"/>
              </w:rPr>
              <w:t>4.3.5</w:t>
            </w:r>
          </w:p>
        </w:tc>
        <w:tc>
          <w:tcPr>
            <w:tcW w:w="1701" w:type="dxa"/>
            <w:vAlign w:val="center"/>
          </w:tcPr>
          <w:p w14:paraId="7D582102">
            <w:pPr>
              <w:jc w:val="center"/>
              <w:rPr>
                <w:rFonts w:hint="eastAsia" w:ascii="宋体" w:hAnsi="宋体" w:cstheme="minorEastAsia"/>
                <w:sz w:val="24"/>
              </w:rPr>
            </w:pPr>
            <w:r>
              <w:rPr>
                <w:rFonts w:hint="eastAsia" w:ascii="宋体" w:hAnsi="宋体" w:cstheme="minorEastAsia"/>
                <w:sz w:val="24"/>
              </w:rPr>
              <w:t>标的所属行业</w:t>
            </w:r>
          </w:p>
        </w:tc>
        <w:tc>
          <w:tcPr>
            <w:tcW w:w="7253" w:type="dxa"/>
            <w:vAlign w:val="center"/>
          </w:tcPr>
          <w:p w14:paraId="38F741FD">
            <w:pPr>
              <w:jc w:val="left"/>
              <w:rPr>
                <w:rFonts w:hint="eastAsia" w:ascii="宋体" w:hAnsi="宋体" w:cstheme="minorEastAsia"/>
                <w:sz w:val="24"/>
              </w:rPr>
            </w:pPr>
            <w:r>
              <w:rPr>
                <w:rFonts w:hint="eastAsia" w:ascii="宋体" w:hAnsi="宋体" w:cstheme="minorEastAsia"/>
                <w:sz w:val="24"/>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6A69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0AB4EEC">
                  <w:pPr>
                    <w:jc w:val="center"/>
                    <w:rPr>
                      <w:rFonts w:hint="eastAsia" w:ascii="宋体" w:hAnsi="宋体" w:cstheme="minorEastAsia"/>
                      <w:bCs/>
                      <w:sz w:val="24"/>
                    </w:rPr>
                  </w:pPr>
                  <w:r>
                    <w:rPr>
                      <w:rFonts w:hint="eastAsia" w:ascii="宋体" w:hAnsi="宋体" w:cs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46FF5634">
                  <w:pPr>
                    <w:jc w:val="center"/>
                    <w:rPr>
                      <w:rFonts w:hint="eastAsia" w:ascii="宋体" w:hAnsi="宋体" w:cstheme="minorEastAsia"/>
                      <w:bCs/>
                      <w:sz w:val="24"/>
                    </w:rPr>
                  </w:pPr>
                  <w:r>
                    <w:rPr>
                      <w:rFonts w:hint="eastAsia" w:ascii="宋体" w:hAnsi="宋体" w:cs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4C9AD1A6">
                  <w:pPr>
                    <w:jc w:val="center"/>
                    <w:rPr>
                      <w:rFonts w:hint="eastAsia" w:ascii="宋体" w:hAnsi="宋体" w:cstheme="minorEastAsia"/>
                      <w:sz w:val="24"/>
                    </w:rPr>
                  </w:pPr>
                  <w:r>
                    <w:rPr>
                      <w:rFonts w:hint="eastAsia" w:ascii="宋体" w:hAnsi="宋体" w:cstheme="minorEastAsia"/>
                      <w:sz w:val="24"/>
                    </w:rPr>
                    <w:t>中小企业划分标准所属行业</w:t>
                  </w:r>
                </w:p>
              </w:tc>
            </w:tr>
            <w:tr w14:paraId="186B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05B1DD6">
                  <w:pPr>
                    <w:jc w:val="center"/>
                    <w:rPr>
                      <w:rFonts w:hint="eastAsia" w:ascii="宋体" w:hAnsi="宋体" w:cstheme="minorEastAsia"/>
                      <w:bCs/>
                      <w:sz w:val="24"/>
                    </w:rPr>
                  </w:pPr>
                  <w:r>
                    <w:rPr>
                      <w:rFonts w:hint="eastAsia" w:ascii="宋体" w:hAnsi="宋体" w:cstheme="minorEastAsia"/>
                      <w:b/>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72949C4A">
                  <w:pPr>
                    <w:jc w:val="center"/>
                    <w:rPr>
                      <w:rFonts w:hint="eastAsia" w:ascii="宋体" w:hAnsi="宋体" w:cstheme="minorEastAsia"/>
                      <w:bCs/>
                      <w:sz w:val="24"/>
                    </w:rPr>
                  </w:pPr>
                  <w:r>
                    <w:rPr>
                      <w:rFonts w:hint="eastAsia" w:ascii="宋体" w:hAnsi="宋体" w:cstheme="minorEastAsia"/>
                      <w:bCs/>
                      <w:sz w:val="24"/>
                    </w:rPr>
                    <w:t>改善教学保障条件-设备购置-北京开放大学电梯更新购置电梯安装采购项目</w:t>
                  </w:r>
                </w:p>
              </w:tc>
              <w:tc>
                <w:tcPr>
                  <w:tcW w:w="2382" w:type="pct"/>
                  <w:tcBorders>
                    <w:top w:val="single" w:color="auto" w:sz="4" w:space="0"/>
                    <w:left w:val="single" w:color="auto" w:sz="4" w:space="0"/>
                    <w:bottom w:val="single" w:color="auto" w:sz="4" w:space="0"/>
                    <w:right w:val="single" w:color="auto" w:sz="4" w:space="0"/>
                  </w:tcBorders>
                  <w:vAlign w:val="center"/>
                </w:tcPr>
                <w:p w14:paraId="4A3CC555">
                  <w:pPr>
                    <w:jc w:val="center"/>
                    <w:rPr>
                      <w:rFonts w:hint="eastAsia" w:ascii="宋体" w:hAnsi="宋体" w:cstheme="minorEastAsia"/>
                      <w:kern w:val="0"/>
                      <w:sz w:val="24"/>
                    </w:rPr>
                  </w:pPr>
                  <w:r>
                    <w:rPr>
                      <w:rFonts w:hint="eastAsia" w:ascii="宋体" w:hAnsi="宋体" w:cstheme="minorEastAsia"/>
                      <w:kern w:val="0"/>
                      <w:sz w:val="24"/>
                    </w:rPr>
                    <w:t>建筑业</w:t>
                  </w:r>
                </w:p>
              </w:tc>
            </w:tr>
          </w:tbl>
          <w:p w14:paraId="633E3FBC">
            <w:pPr>
              <w:jc w:val="left"/>
              <w:rPr>
                <w:rFonts w:hint="eastAsia" w:ascii="宋体" w:hAnsi="宋体" w:cstheme="minorEastAsia"/>
                <w:sz w:val="24"/>
              </w:rPr>
            </w:pPr>
          </w:p>
        </w:tc>
      </w:tr>
      <w:tr w14:paraId="697B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652FAEE">
            <w:pPr>
              <w:pStyle w:val="24"/>
              <w:adjustRightInd w:val="0"/>
              <w:snapToGrid w:val="0"/>
              <w:jc w:val="center"/>
              <w:rPr>
                <w:rFonts w:hAnsi="宋体" w:cstheme="minorEastAsia"/>
                <w:sz w:val="24"/>
                <w:szCs w:val="24"/>
              </w:rPr>
            </w:pPr>
            <w:r>
              <w:rPr>
                <w:rFonts w:hAnsi="宋体" w:cstheme="minorEastAsia"/>
                <w:sz w:val="24"/>
                <w:szCs w:val="24"/>
              </w:rPr>
              <w:t>10.2</w:t>
            </w:r>
          </w:p>
        </w:tc>
        <w:tc>
          <w:tcPr>
            <w:tcW w:w="1701" w:type="dxa"/>
            <w:vAlign w:val="center"/>
          </w:tcPr>
          <w:p w14:paraId="687166EF">
            <w:pPr>
              <w:jc w:val="center"/>
              <w:rPr>
                <w:rFonts w:hint="eastAsia" w:ascii="宋体" w:hAnsi="宋体" w:cstheme="minorEastAsia"/>
                <w:sz w:val="24"/>
              </w:rPr>
            </w:pPr>
            <w:r>
              <w:rPr>
                <w:rFonts w:hint="eastAsia" w:ascii="宋体" w:hAnsi="宋体" w:cstheme="minorEastAsia"/>
                <w:sz w:val="24"/>
              </w:rPr>
              <w:t>报价</w:t>
            </w:r>
          </w:p>
        </w:tc>
        <w:tc>
          <w:tcPr>
            <w:tcW w:w="7253" w:type="dxa"/>
            <w:vAlign w:val="center"/>
          </w:tcPr>
          <w:p w14:paraId="6186BD02">
            <w:pPr>
              <w:jc w:val="left"/>
              <w:rPr>
                <w:rFonts w:hint="eastAsia" w:ascii="宋体" w:hAnsi="宋体" w:cstheme="minorEastAsia"/>
                <w:sz w:val="24"/>
              </w:rPr>
            </w:pPr>
            <w:r>
              <w:rPr>
                <w:rFonts w:hint="eastAsia" w:ascii="宋体" w:hAnsi="宋体" w:cstheme="minorEastAsia"/>
                <w:sz w:val="24"/>
              </w:rPr>
              <w:t>报价的特殊规定：</w:t>
            </w:r>
          </w:p>
          <w:p w14:paraId="090DDBEF">
            <w:pPr>
              <w:jc w:val="left"/>
              <w:rPr>
                <w:rFonts w:hint="eastAsia" w:ascii="宋体" w:hAnsi="宋体" w:cstheme="minorEastAsia"/>
                <w:sz w:val="24"/>
              </w:rPr>
            </w:pPr>
            <w:r>
              <w:rPr>
                <w:rFonts w:ascii="宋体" w:hAnsi="宋体"/>
                <w:sz w:val="24"/>
              </w:rPr>
              <w:t>■</w:t>
            </w:r>
            <w:r>
              <w:rPr>
                <w:rFonts w:hint="eastAsia" w:ascii="宋体" w:hAnsi="宋体" w:cstheme="minorEastAsia"/>
                <w:sz w:val="24"/>
              </w:rPr>
              <w:t>无</w:t>
            </w:r>
          </w:p>
          <w:p w14:paraId="73BB0A02">
            <w:pPr>
              <w:jc w:val="left"/>
              <w:rPr>
                <w:rFonts w:hint="eastAsia" w:ascii="宋体" w:hAnsi="宋体" w:cstheme="minorEastAsia"/>
                <w:sz w:val="24"/>
              </w:rPr>
            </w:pPr>
            <w:r>
              <w:rPr>
                <w:rFonts w:hint="eastAsia" w:ascii="宋体" w:hAnsi="宋体" w:cstheme="minorEastAsia"/>
                <w:sz w:val="24"/>
              </w:rPr>
              <w:t>□有，具体情形：___________。</w:t>
            </w:r>
          </w:p>
        </w:tc>
      </w:tr>
      <w:tr w14:paraId="214F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4E430A">
            <w:pPr>
              <w:pStyle w:val="24"/>
              <w:adjustRightInd w:val="0"/>
              <w:snapToGrid w:val="0"/>
              <w:jc w:val="center"/>
              <w:rPr>
                <w:rFonts w:hAnsi="宋体" w:cstheme="minorEastAsia"/>
                <w:sz w:val="24"/>
                <w:szCs w:val="24"/>
              </w:rPr>
            </w:pPr>
            <w:r>
              <w:rPr>
                <w:rFonts w:hAnsi="宋体" w:cstheme="minorEastAsia"/>
                <w:sz w:val="24"/>
                <w:szCs w:val="24"/>
              </w:rPr>
              <w:t>11.1</w:t>
            </w:r>
          </w:p>
        </w:tc>
        <w:tc>
          <w:tcPr>
            <w:tcW w:w="1701" w:type="dxa"/>
            <w:vMerge w:val="restart"/>
            <w:vAlign w:val="center"/>
          </w:tcPr>
          <w:p w14:paraId="2B6EAAB4">
            <w:pPr>
              <w:jc w:val="center"/>
              <w:rPr>
                <w:rFonts w:hint="eastAsia" w:ascii="宋体" w:hAnsi="宋体" w:cstheme="minorEastAsia"/>
                <w:sz w:val="24"/>
              </w:rPr>
            </w:pPr>
            <w:r>
              <w:rPr>
                <w:rFonts w:hint="eastAsia" w:ascii="宋体" w:hAnsi="宋体" w:cstheme="minorEastAsia"/>
                <w:sz w:val="24"/>
              </w:rPr>
              <w:t>磋商保证金</w:t>
            </w:r>
          </w:p>
        </w:tc>
        <w:tc>
          <w:tcPr>
            <w:tcW w:w="7253" w:type="dxa"/>
            <w:vAlign w:val="center"/>
          </w:tcPr>
          <w:p w14:paraId="4F978D96">
            <w:pPr>
              <w:pStyle w:val="24"/>
              <w:adjustRightInd w:val="0"/>
              <w:snapToGrid w:val="0"/>
              <w:rPr>
                <w:rFonts w:hAnsi="宋体" w:cstheme="minorEastAsia"/>
                <w:sz w:val="24"/>
                <w:szCs w:val="24"/>
              </w:rPr>
            </w:pPr>
            <w:r>
              <w:rPr>
                <w:rFonts w:hAnsi="宋体" w:cstheme="minorEastAsia"/>
                <w:sz w:val="24"/>
                <w:szCs w:val="24"/>
              </w:rPr>
              <w:t>磋商保证金金额：</w:t>
            </w:r>
          </w:p>
          <w:p w14:paraId="041F974D">
            <w:pPr>
              <w:pStyle w:val="24"/>
              <w:adjustRightInd w:val="0"/>
              <w:snapToGrid w:val="0"/>
              <w:rPr>
                <w:rFonts w:hAnsi="宋体" w:cstheme="minorEastAsia"/>
                <w:sz w:val="24"/>
                <w:szCs w:val="24"/>
              </w:rPr>
            </w:pPr>
            <w:r>
              <w:rPr>
                <w:rFonts w:hAnsi="宋体" w:cstheme="minorEastAsia"/>
                <w:sz w:val="24"/>
                <w:szCs w:val="24"/>
              </w:rPr>
              <w:t>01包：2000元。</w:t>
            </w:r>
          </w:p>
          <w:p w14:paraId="4AFC165A">
            <w:pPr>
              <w:adjustRightInd w:val="0"/>
              <w:snapToGrid w:val="0"/>
              <w:jc w:val="left"/>
              <w:rPr>
                <w:rFonts w:hint="eastAsia" w:ascii="宋体" w:hAnsi="宋体" w:cstheme="minorEastAsia"/>
                <w:sz w:val="24"/>
              </w:rPr>
            </w:pPr>
            <w:r>
              <w:rPr>
                <w:rFonts w:hint="eastAsia" w:ascii="宋体" w:hAnsi="宋体" w:cstheme="minorEastAsia"/>
                <w:sz w:val="24"/>
              </w:rPr>
              <w:t>磋商保证金收受人信息：</w:t>
            </w:r>
          </w:p>
          <w:p w14:paraId="43F24912">
            <w:pPr>
              <w:adjustRightInd w:val="0"/>
              <w:snapToGrid w:val="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递交时间：同投标文件递交截止时间</w:t>
            </w:r>
          </w:p>
          <w:p w14:paraId="40EA113A">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递交地点：华采招标集团有限公司(北京市丰台区广安路9号国投财富广场6号楼1601室）。</w:t>
            </w:r>
          </w:p>
          <w:p w14:paraId="6EA3C82B">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提交投标保证金形式：支票、汇票、本票或者金融机构、担保机构出具的保函等非现金形式提交</w:t>
            </w:r>
          </w:p>
          <w:p w14:paraId="1C42FB41">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投标保证金汇款账户： </w:t>
            </w:r>
          </w:p>
          <w:p w14:paraId="50ADBA2A">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开户行名称：华采招标集团有限公司</w:t>
            </w:r>
          </w:p>
          <w:p w14:paraId="33CBB706">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开 户 行：建行北京西客站支行（仅限投标保证金）</w:t>
            </w:r>
          </w:p>
          <w:p w14:paraId="29392BE3">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账    号：1105 0165 5100 0000 0292（汇款时请注明：ZB0748保证金）</w:t>
            </w:r>
          </w:p>
          <w:p w14:paraId="11555A9E">
            <w:pPr>
              <w:adjustRightInd w:val="0"/>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行    号：1051 0000 9047</w:t>
            </w:r>
          </w:p>
          <w:p w14:paraId="128206E4">
            <w:pPr>
              <w:jc w:val="left"/>
              <w:rPr>
                <w:rFonts w:hint="eastAsia" w:ascii="宋体" w:hAnsi="宋体" w:cstheme="minorEastAsia"/>
                <w:sz w:val="24"/>
              </w:rPr>
            </w:pPr>
            <w:r>
              <w:rPr>
                <w:rFonts w:hint="eastAsia" w:asciiTheme="minorEastAsia" w:hAnsiTheme="minorEastAsia" w:eastAsiaTheme="minorEastAsia" w:cstheme="minorEastAsia"/>
                <w:b/>
                <w:sz w:val="24"/>
              </w:rPr>
              <w:t>退还投标保证金形式：北京地区单位支票形式、外埠单位电汇形式</w:t>
            </w:r>
            <w:r>
              <w:rPr>
                <w:rFonts w:hint="eastAsia" w:ascii="宋体" w:hAnsi="宋体" w:cstheme="minorEastAsia"/>
                <w:sz w:val="24"/>
              </w:rPr>
              <w:t>。。</w:t>
            </w:r>
          </w:p>
        </w:tc>
      </w:tr>
      <w:tr w14:paraId="68A2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02903D">
            <w:pPr>
              <w:pStyle w:val="24"/>
              <w:adjustRightInd w:val="0"/>
              <w:snapToGrid w:val="0"/>
              <w:jc w:val="center"/>
              <w:rPr>
                <w:rFonts w:hAnsi="宋体" w:cstheme="minorEastAsia"/>
                <w:sz w:val="24"/>
                <w:szCs w:val="24"/>
              </w:rPr>
            </w:pPr>
            <w:r>
              <w:rPr>
                <w:rFonts w:hAnsi="宋体" w:cstheme="minorEastAsia"/>
                <w:sz w:val="24"/>
                <w:szCs w:val="24"/>
              </w:rPr>
              <w:t>11.8.5</w:t>
            </w:r>
          </w:p>
        </w:tc>
        <w:tc>
          <w:tcPr>
            <w:tcW w:w="1701" w:type="dxa"/>
            <w:vMerge w:val="continue"/>
            <w:vAlign w:val="center"/>
          </w:tcPr>
          <w:p w14:paraId="50647988">
            <w:pPr>
              <w:jc w:val="center"/>
              <w:rPr>
                <w:rFonts w:hint="eastAsia" w:ascii="宋体" w:hAnsi="宋体" w:cstheme="minorEastAsia"/>
                <w:sz w:val="24"/>
              </w:rPr>
            </w:pPr>
          </w:p>
        </w:tc>
        <w:tc>
          <w:tcPr>
            <w:tcW w:w="7253" w:type="dxa"/>
            <w:vAlign w:val="center"/>
          </w:tcPr>
          <w:p w14:paraId="39973C89">
            <w:pPr>
              <w:jc w:val="left"/>
              <w:rPr>
                <w:rFonts w:hint="eastAsia" w:ascii="宋体" w:hAnsi="宋体" w:cstheme="minorEastAsia"/>
                <w:sz w:val="24"/>
              </w:rPr>
            </w:pPr>
            <w:r>
              <w:rPr>
                <w:rFonts w:hint="eastAsia" w:ascii="宋体" w:hAnsi="宋体" w:cstheme="minorEastAsia"/>
                <w:sz w:val="24"/>
              </w:rPr>
              <w:t>磋商保证金不予退还的其他情形：</w:t>
            </w:r>
          </w:p>
          <w:p w14:paraId="79FA1D59">
            <w:pPr>
              <w:jc w:val="left"/>
              <w:rPr>
                <w:rFonts w:hint="eastAsia" w:ascii="宋体" w:hAnsi="宋体" w:cstheme="minorEastAsia"/>
                <w:sz w:val="24"/>
              </w:rPr>
            </w:pPr>
            <w:r>
              <w:rPr>
                <w:rFonts w:ascii="宋体" w:hAnsi="宋体"/>
                <w:sz w:val="24"/>
              </w:rPr>
              <w:t>■</w:t>
            </w:r>
            <w:r>
              <w:rPr>
                <w:rFonts w:hint="eastAsia" w:ascii="宋体" w:hAnsi="宋体" w:cstheme="minorEastAsia"/>
                <w:sz w:val="24"/>
              </w:rPr>
              <w:t>无</w:t>
            </w:r>
          </w:p>
          <w:p w14:paraId="0B44C769">
            <w:pPr>
              <w:pStyle w:val="24"/>
              <w:adjustRightInd w:val="0"/>
              <w:snapToGrid w:val="0"/>
              <w:rPr>
                <w:rFonts w:hAnsi="宋体" w:cstheme="minorEastAsia"/>
                <w:sz w:val="24"/>
                <w:szCs w:val="24"/>
              </w:rPr>
            </w:pPr>
            <w:r>
              <w:rPr>
                <w:rFonts w:hAnsi="宋体" w:cstheme="minorEastAsia"/>
                <w:sz w:val="24"/>
                <w:szCs w:val="24"/>
              </w:rPr>
              <w:t>□有，具体情形：___________。</w:t>
            </w:r>
          </w:p>
        </w:tc>
      </w:tr>
      <w:tr w14:paraId="0E66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98E384">
            <w:pPr>
              <w:pStyle w:val="24"/>
              <w:adjustRightInd w:val="0"/>
              <w:snapToGrid w:val="0"/>
              <w:jc w:val="center"/>
              <w:rPr>
                <w:rFonts w:hAnsi="宋体" w:cstheme="minorEastAsia"/>
                <w:sz w:val="24"/>
                <w:szCs w:val="24"/>
              </w:rPr>
            </w:pPr>
            <w:r>
              <w:rPr>
                <w:rFonts w:hAnsi="宋体" w:cstheme="minorEastAsia"/>
                <w:sz w:val="24"/>
                <w:szCs w:val="24"/>
              </w:rPr>
              <w:t>12.1</w:t>
            </w:r>
          </w:p>
        </w:tc>
        <w:tc>
          <w:tcPr>
            <w:tcW w:w="1701" w:type="dxa"/>
            <w:vAlign w:val="center"/>
          </w:tcPr>
          <w:p w14:paraId="4F5D29E0">
            <w:pPr>
              <w:jc w:val="center"/>
              <w:rPr>
                <w:rFonts w:hint="eastAsia" w:ascii="宋体" w:hAnsi="宋体" w:cstheme="minorEastAsia"/>
                <w:sz w:val="24"/>
              </w:rPr>
            </w:pPr>
            <w:r>
              <w:rPr>
                <w:rFonts w:hint="eastAsia" w:ascii="宋体" w:hAnsi="宋体" w:cstheme="minorEastAsia"/>
                <w:sz w:val="24"/>
              </w:rPr>
              <w:t>响应有效期</w:t>
            </w:r>
          </w:p>
        </w:tc>
        <w:tc>
          <w:tcPr>
            <w:tcW w:w="7253" w:type="dxa"/>
            <w:vAlign w:val="center"/>
          </w:tcPr>
          <w:p w14:paraId="441C57EF">
            <w:pPr>
              <w:jc w:val="left"/>
              <w:rPr>
                <w:rFonts w:hint="eastAsia" w:ascii="宋体" w:hAnsi="宋体" w:cstheme="minorEastAsia"/>
                <w:sz w:val="24"/>
              </w:rPr>
            </w:pPr>
            <w:r>
              <w:rPr>
                <w:rFonts w:hint="eastAsia" w:ascii="宋体" w:hAnsi="宋体" w:cstheme="minorEastAsia"/>
                <w:sz w:val="24"/>
              </w:rPr>
              <w:t>自响应文件提交截止之日起算90日历天。</w:t>
            </w:r>
          </w:p>
        </w:tc>
      </w:tr>
      <w:tr w14:paraId="5B67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A5BDCD">
            <w:pPr>
              <w:pStyle w:val="24"/>
              <w:adjustRightInd w:val="0"/>
              <w:snapToGrid w:val="0"/>
              <w:jc w:val="center"/>
              <w:rPr>
                <w:rFonts w:hAnsi="宋体" w:cstheme="minorEastAsia"/>
                <w:sz w:val="24"/>
                <w:szCs w:val="24"/>
              </w:rPr>
            </w:pPr>
            <w:r>
              <w:rPr>
                <w:rFonts w:hAnsi="宋体" w:cstheme="minorEastAsia"/>
                <w:sz w:val="24"/>
                <w:szCs w:val="24"/>
              </w:rPr>
              <w:t>13.1</w:t>
            </w:r>
          </w:p>
        </w:tc>
        <w:tc>
          <w:tcPr>
            <w:tcW w:w="1701" w:type="dxa"/>
            <w:vAlign w:val="center"/>
          </w:tcPr>
          <w:p w14:paraId="4E6F098F">
            <w:pPr>
              <w:jc w:val="center"/>
              <w:rPr>
                <w:rFonts w:hint="eastAsia" w:ascii="宋体" w:hAnsi="宋体" w:cstheme="minorEastAsia"/>
                <w:sz w:val="24"/>
              </w:rPr>
            </w:pPr>
            <w:r>
              <w:rPr>
                <w:rFonts w:hint="eastAsia" w:ascii="宋体" w:hAnsi="宋体" w:cstheme="minorEastAsia"/>
                <w:sz w:val="24"/>
              </w:rPr>
              <w:t>响应文件提交</w:t>
            </w:r>
          </w:p>
        </w:tc>
        <w:tc>
          <w:tcPr>
            <w:tcW w:w="7253" w:type="dxa"/>
            <w:vAlign w:val="center"/>
          </w:tcPr>
          <w:p w14:paraId="14CE939C">
            <w:pPr>
              <w:shd w:val="clear" w:color="auto" w:fill="FFFFFF"/>
              <w:jc w:val="left"/>
              <w:rPr>
                <w:rFonts w:hint="eastAsia" w:ascii="宋体" w:hAnsi="宋体" w:cs="宋体"/>
                <w:b/>
                <w:sz w:val="24"/>
              </w:rPr>
            </w:pPr>
            <w:r>
              <w:rPr>
                <w:rFonts w:hint="eastAsia" w:ascii="宋体" w:hAnsi="宋体" w:cs="宋体"/>
                <w:sz w:val="24"/>
              </w:rPr>
              <w:t>响应文件提交要求：正本1份、副本3份、电子版1份</w:t>
            </w:r>
            <w:r>
              <w:rPr>
                <w:rFonts w:hint="eastAsia" w:ascii="宋体" w:hAnsi="宋体" w:cs="宋体"/>
                <w:b/>
                <w:sz w:val="24"/>
              </w:rPr>
              <w:t>（电子文档为正本的盖章扫面件，须与投标文件正本中的所有文字、图片等内容一致）。</w:t>
            </w:r>
          </w:p>
          <w:p w14:paraId="540192C0">
            <w:pPr>
              <w:jc w:val="left"/>
              <w:rPr>
                <w:rFonts w:hint="eastAsia" w:ascii="宋体" w:hAnsi="宋体" w:cstheme="minorEastAsia"/>
                <w:sz w:val="24"/>
              </w:rPr>
            </w:pPr>
            <w:r>
              <w:rPr>
                <w:rFonts w:ascii="宋体" w:hAnsi="宋体"/>
                <w:sz w:val="24"/>
              </w:rPr>
              <w:t>注：每本响应文件一律采用A4纸（图纸、彩页等除外）左侧装订并附有相关页码。装订应牢固可靠，不易散落，不得采用活页式装订，采购人或采购代理机构对因装订不牢造成的文件散失不负责任。</w:t>
            </w:r>
          </w:p>
        </w:tc>
      </w:tr>
      <w:tr w14:paraId="5C45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2E79745">
            <w:pPr>
              <w:pStyle w:val="24"/>
              <w:adjustRightInd w:val="0"/>
              <w:snapToGrid w:val="0"/>
              <w:jc w:val="center"/>
              <w:rPr>
                <w:rFonts w:hAnsi="宋体" w:cstheme="minorEastAsia"/>
                <w:sz w:val="24"/>
                <w:szCs w:val="24"/>
              </w:rPr>
            </w:pPr>
            <w:r>
              <w:rPr>
                <w:rFonts w:hAnsi="宋体" w:cstheme="minorEastAsia"/>
                <w:sz w:val="24"/>
                <w:szCs w:val="24"/>
              </w:rPr>
              <w:t>20.1</w:t>
            </w:r>
          </w:p>
        </w:tc>
        <w:tc>
          <w:tcPr>
            <w:tcW w:w="1701" w:type="dxa"/>
            <w:vAlign w:val="center"/>
          </w:tcPr>
          <w:p w14:paraId="79A30336">
            <w:pPr>
              <w:jc w:val="center"/>
              <w:rPr>
                <w:rFonts w:hint="eastAsia" w:ascii="宋体" w:hAnsi="宋体" w:cstheme="minorEastAsia"/>
                <w:sz w:val="24"/>
              </w:rPr>
            </w:pPr>
            <w:r>
              <w:rPr>
                <w:rFonts w:hint="eastAsia" w:ascii="宋体" w:hAnsi="宋体" w:cstheme="minorEastAsia"/>
                <w:sz w:val="24"/>
              </w:rPr>
              <w:t>确定成交供应商</w:t>
            </w:r>
          </w:p>
        </w:tc>
        <w:tc>
          <w:tcPr>
            <w:tcW w:w="7253" w:type="dxa"/>
            <w:vAlign w:val="center"/>
          </w:tcPr>
          <w:p w14:paraId="7DBF23F4">
            <w:pPr>
              <w:pStyle w:val="24"/>
              <w:adjustRightInd w:val="0"/>
              <w:snapToGrid w:val="0"/>
              <w:rPr>
                <w:rFonts w:hAnsi="宋体" w:cstheme="minorEastAsia"/>
                <w:sz w:val="24"/>
                <w:szCs w:val="24"/>
              </w:rPr>
            </w:pPr>
            <w:r>
              <w:rPr>
                <w:rFonts w:hAnsi="宋体" w:cstheme="minorEastAsia"/>
                <w:sz w:val="24"/>
                <w:szCs w:val="24"/>
              </w:rPr>
              <w:t>采购人是否授权磋商小组直接确定成交供应商：</w:t>
            </w:r>
          </w:p>
          <w:p w14:paraId="28D332DD">
            <w:pPr>
              <w:pStyle w:val="24"/>
              <w:adjustRightInd w:val="0"/>
              <w:snapToGrid w:val="0"/>
              <w:rPr>
                <w:rFonts w:hAnsi="宋体" w:cstheme="minorEastAsia"/>
                <w:sz w:val="24"/>
                <w:szCs w:val="24"/>
              </w:rPr>
            </w:pPr>
            <w:r>
              <w:rPr>
                <w:rFonts w:hAnsi="宋体"/>
                <w:sz w:val="24"/>
              </w:rPr>
              <w:t>■</w:t>
            </w:r>
            <w:r>
              <w:rPr>
                <w:rFonts w:hAnsi="宋体" w:cstheme="minorEastAsia"/>
                <w:sz w:val="24"/>
                <w:szCs w:val="24"/>
              </w:rPr>
              <w:t>否</w:t>
            </w:r>
          </w:p>
          <w:p w14:paraId="49531F6D">
            <w:pPr>
              <w:jc w:val="left"/>
              <w:rPr>
                <w:rFonts w:hint="eastAsia" w:ascii="宋体" w:hAnsi="宋体" w:cstheme="minorEastAsia"/>
                <w:sz w:val="24"/>
              </w:rPr>
            </w:pPr>
            <w:r>
              <w:rPr>
                <w:rFonts w:hint="eastAsia" w:ascii="宋体" w:hAnsi="宋体" w:cstheme="minorEastAsia"/>
                <w:sz w:val="24"/>
              </w:rPr>
              <w:t>□是</w:t>
            </w:r>
          </w:p>
          <w:p w14:paraId="14E97BF5">
            <w:pPr>
              <w:jc w:val="left"/>
              <w:rPr>
                <w:rFonts w:hint="eastAsia" w:ascii="宋体" w:hAnsi="宋体" w:cstheme="minorEastAsia"/>
                <w:sz w:val="24"/>
                <w:u w:val="single"/>
              </w:rPr>
            </w:pPr>
            <w:r>
              <w:rPr>
                <w:rFonts w:hint="eastAsia" w:ascii="宋体" w:hAnsi="宋体" w:cstheme="minorEastAsia"/>
                <w:sz w:val="24"/>
              </w:rPr>
              <w:t>成交候选人并列的，按照以下方式确定成交供应商：_</w:t>
            </w:r>
            <w:r>
              <w:rPr>
                <w:rFonts w:hint="eastAsia" w:ascii="宋体" w:hAnsi="宋体" w:cstheme="minorEastAsia"/>
                <w:sz w:val="24"/>
                <w:u w:val="single"/>
              </w:rPr>
              <w:t>最后报价低的为成交供应商</w:t>
            </w:r>
            <w:r>
              <w:rPr>
                <w:rFonts w:hint="eastAsia" w:ascii="宋体" w:hAnsi="宋体" w:cstheme="minorEastAsia"/>
                <w:sz w:val="24"/>
              </w:rPr>
              <w:t>_。</w:t>
            </w:r>
          </w:p>
        </w:tc>
      </w:tr>
      <w:tr w14:paraId="039D9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1A9EED">
            <w:pPr>
              <w:pStyle w:val="24"/>
              <w:adjustRightInd w:val="0"/>
              <w:snapToGrid w:val="0"/>
              <w:jc w:val="center"/>
              <w:rPr>
                <w:rFonts w:hAnsi="宋体" w:cstheme="minorEastAsia"/>
                <w:sz w:val="24"/>
                <w:szCs w:val="24"/>
              </w:rPr>
            </w:pPr>
            <w:r>
              <w:rPr>
                <w:rFonts w:hAnsi="宋体" w:cstheme="minorEastAsia"/>
                <w:sz w:val="24"/>
                <w:szCs w:val="24"/>
              </w:rPr>
              <w:t>23.5</w:t>
            </w:r>
          </w:p>
        </w:tc>
        <w:tc>
          <w:tcPr>
            <w:tcW w:w="1701" w:type="dxa"/>
            <w:vAlign w:val="center"/>
          </w:tcPr>
          <w:p w14:paraId="554FC18A">
            <w:pPr>
              <w:jc w:val="center"/>
              <w:rPr>
                <w:rFonts w:hint="eastAsia" w:ascii="宋体" w:hAnsi="宋体" w:cstheme="minorEastAsia"/>
                <w:sz w:val="24"/>
              </w:rPr>
            </w:pPr>
            <w:r>
              <w:rPr>
                <w:rFonts w:hint="eastAsia" w:ascii="宋体" w:hAnsi="宋体" w:cstheme="minorEastAsia"/>
                <w:sz w:val="24"/>
              </w:rPr>
              <w:t>分包</w:t>
            </w:r>
          </w:p>
        </w:tc>
        <w:tc>
          <w:tcPr>
            <w:tcW w:w="7253" w:type="dxa"/>
            <w:vAlign w:val="center"/>
          </w:tcPr>
          <w:p w14:paraId="6FC0A3FF">
            <w:pPr>
              <w:jc w:val="left"/>
              <w:rPr>
                <w:rFonts w:hint="eastAsia" w:ascii="宋体" w:hAnsi="宋体" w:cstheme="minorEastAsia"/>
                <w:sz w:val="24"/>
              </w:rPr>
            </w:pPr>
            <w:r>
              <w:rPr>
                <w:rFonts w:hint="eastAsia" w:ascii="宋体" w:hAnsi="宋体" w:cstheme="minorEastAsia"/>
                <w:sz w:val="24"/>
              </w:rPr>
              <w:t xml:space="preserve">本项目是否允许分包： </w:t>
            </w:r>
          </w:p>
          <w:p w14:paraId="4C6057CF">
            <w:pPr>
              <w:jc w:val="left"/>
              <w:rPr>
                <w:rFonts w:hint="eastAsia" w:ascii="宋体" w:hAnsi="宋体" w:cstheme="minorEastAsia"/>
                <w:sz w:val="24"/>
              </w:rPr>
            </w:pPr>
            <w:r>
              <w:rPr>
                <w:rFonts w:ascii="宋体" w:hAnsi="宋体"/>
                <w:sz w:val="24"/>
              </w:rPr>
              <w:t>■</w:t>
            </w:r>
            <w:r>
              <w:rPr>
                <w:rFonts w:hint="eastAsia" w:ascii="宋体" w:hAnsi="宋体" w:cstheme="minorEastAsia"/>
                <w:sz w:val="24"/>
              </w:rPr>
              <w:t>不允许</w:t>
            </w:r>
          </w:p>
          <w:p w14:paraId="271588E0">
            <w:pPr>
              <w:jc w:val="left"/>
              <w:rPr>
                <w:rFonts w:hint="eastAsia" w:ascii="宋体" w:hAnsi="宋体" w:cstheme="minorEastAsia"/>
                <w:sz w:val="24"/>
              </w:rPr>
            </w:pPr>
            <w:r>
              <w:rPr>
                <w:rFonts w:hint="eastAsia" w:ascii="宋体" w:hAnsi="宋体" w:cstheme="minorEastAsia"/>
                <w:sz w:val="24"/>
              </w:rPr>
              <w:t>□允许，具体要求：_______。</w:t>
            </w:r>
          </w:p>
          <w:p w14:paraId="0030C9B4">
            <w:pPr>
              <w:jc w:val="left"/>
              <w:rPr>
                <w:rFonts w:hint="eastAsia" w:ascii="宋体" w:hAnsi="宋体" w:cstheme="minorEastAsia"/>
                <w:sz w:val="24"/>
              </w:rPr>
            </w:pPr>
            <w:r>
              <w:rPr>
                <w:rFonts w:hint="eastAsia" w:ascii="宋体" w:hAnsi="宋体" w:cstheme="minorEastAsia"/>
                <w:sz w:val="24"/>
              </w:rPr>
              <w:t>（1）可以分包履行的具体内容：_______；</w:t>
            </w:r>
          </w:p>
          <w:p w14:paraId="6AB6A713">
            <w:pPr>
              <w:jc w:val="left"/>
              <w:rPr>
                <w:rFonts w:hint="eastAsia" w:ascii="宋体" w:hAnsi="宋体" w:cstheme="minorEastAsia"/>
                <w:sz w:val="24"/>
              </w:rPr>
            </w:pPr>
            <w:r>
              <w:rPr>
                <w:rFonts w:hint="eastAsia" w:ascii="宋体" w:hAnsi="宋体" w:cstheme="minorEastAsia"/>
                <w:sz w:val="24"/>
              </w:rPr>
              <w:t>（2）允许分包的金额或者比例：_______；</w:t>
            </w:r>
          </w:p>
          <w:p w14:paraId="7C3475F1">
            <w:pPr>
              <w:jc w:val="left"/>
              <w:rPr>
                <w:rFonts w:hint="eastAsia" w:ascii="宋体" w:hAnsi="宋体" w:cstheme="minorEastAsia"/>
                <w:sz w:val="24"/>
                <w:u w:val="single"/>
              </w:rPr>
            </w:pPr>
            <w:r>
              <w:rPr>
                <w:rFonts w:hint="eastAsia" w:ascii="宋体" w:hAnsi="宋体" w:cstheme="minorEastAsia"/>
                <w:sz w:val="24"/>
              </w:rPr>
              <w:t>（3）其他要求：_______。</w:t>
            </w:r>
          </w:p>
        </w:tc>
      </w:tr>
      <w:tr w14:paraId="18C6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E8EEFB">
            <w:pPr>
              <w:pStyle w:val="24"/>
              <w:adjustRightInd w:val="0"/>
              <w:snapToGrid w:val="0"/>
              <w:jc w:val="center"/>
              <w:rPr>
                <w:rFonts w:hAnsi="宋体" w:cstheme="minorEastAsia"/>
                <w:sz w:val="24"/>
                <w:szCs w:val="24"/>
              </w:rPr>
            </w:pPr>
            <w:r>
              <w:rPr>
                <w:rFonts w:hAnsi="宋体" w:cstheme="minorEastAsia"/>
                <w:sz w:val="24"/>
                <w:szCs w:val="24"/>
              </w:rPr>
              <w:t>23.6</w:t>
            </w:r>
          </w:p>
        </w:tc>
        <w:tc>
          <w:tcPr>
            <w:tcW w:w="1701" w:type="dxa"/>
            <w:vAlign w:val="center"/>
          </w:tcPr>
          <w:p w14:paraId="3624FCAF">
            <w:pPr>
              <w:jc w:val="center"/>
              <w:rPr>
                <w:rFonts w:hint="eastAsia" w:ascii="宋体" w:hAnsi="宋体" w:cstheme="minorEastAsia"/>
                <w:sz w:val="24"/>
              </w:rPr>
            </w:pPr>
            <w:r>
              <w:rPr>
                <w:rFonts w:hint="eastAsia" w:ascii="宋体" w:hAnsi="宋体" w:cstheme="minorEastAsia"/>
                <w:sz w:val="24"/>
              </w:rPr>
              <w:t>政采贷</w:t>
            </w:r>
          </w:p>
        </w:tc>
        <w:tc>
          <w:tcPr>
            <w:tcW w:w="7253" w:type="dxa"/>
            <w:vAlign w:val="center"/>
          </w:tcPr>
          <w:p w14:paraId="43FE95D3">
            <w:pPr>
              <w:jc w:val="left"/>
              <w:rPr>
                <w:rFonts w:hint="eastAsia" w:ascii="宋体" w:hAnsi="宋体" w:cstheme="minorEastAsia"/>
                <w:sz w:val="24"/>
              </w:rPr>
            </w:pPr>
            <w:r>
              <w:rPr>
                <w:rFonts w:hint="eastAsia" w:ascii="宋体" w:hAnsi="宋体" w:cs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E11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520719">
            <w:pPr>
              <w:pStyle w:val="24"/>
              <w:adjustRightInd w:val="0"/>
              <w:snapToGrid w:val="0"/>
              <w:jc w:val="center"/>
              <w:rPr>
                <w:rFonts w:hAnsi="宋体" w:cstheme="minorEastAsia"/>
                <w:sz w:val="24"/>
                <w:szCs w:val="24"/>
              </w:rPr>
            </w:pPr>
            <w:r>
              <w:rPr>
                <w:rFonts w:hAnsi="宋体" w:cstheme="minorEastAsia"/>
                <w:sz w:val="24"/>
                <w:szCs w:val="24"/>
              </w:rPr>
              <w:t>24.1.1</w:t>
            </w:r>
          </w:p>
        </w:tc>
        <w:tc>
          <w:tcPr>
            <w:tcW w:w="1701" w:type="dxa"/>
            <w:vAlign w:val="center"/>
          </w:tcPr>
          <w:p w14:paraId="4CE70EB7">
            <w:pPr>
              <w:jc w:val="center"/>
              <w:rPr>
                <w:rFonts w:hint="eastAsia" w:ascii="宋体" w:hAnsi="宋体" w:cstheme="minorEastAsia"/>
                <w:sz w:val="24"/>
              </w:rPr>
            </w:pPr>
            <w:r>
              <w:rPr>
                <w:rFonts w:hint="eastAsia" w:ascii="宋体" w:hAnsi="宋体" w:cstheme="minorEastAsia"/>
                <w:sz w:val="24"/>
              </w:rPr>
              <w:t>询问</w:t>
            </w:r>
          </w:p>
        </w:tc>
        <w:tc>
          <w:tcPr>
            <w:tcW w:w="7253" w:type="dxa"/>
            <w:vAlign w:val="center"/>
          </w:tcPr>
          <w:p w14:paraId="572C6B01">
            <w:pPr>
              <w:jc w:val="left"/>
              <w:rPr>
                <w:rFonts w:hint="eastAsia" w:ascii="宋体" w:hAnsi="宋体" w:cstheme="minorEastAsia"/>
                <w:sz w:val="24"/>
              </w:rPr>
            </w:pPr>
            <w:r>
              <w:rPr>
                <w:rFonts w:hint="eastAsia" w:ascii="宋体" w:hAnsi="宋体" w:cstheme="minorEastAsia"/>
                <w:sz w:val="24"/>
              </w:rPr>
              <w:t>询问提出形式：请与华采招标集团有限公司联系（质疑函请采用政府采购供应商质疑函范本格式，以书面形式在法定质疑期内一次性提出针对同一采购程序环节的质疑）。</w:t>
            </w:r>
          </w:p>
        </w:tc>
      </w:tr>
      <w:tr w14:paraId="5C77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E8A5D3">
            <w:pPr>
              <w:pStyle w:val="24"/>
              <w:adjustRightInd w:val="0"/>
              <w:snapToGrid w:val="0"/>
              <w:jc w:val="center"/>
              <w:rPr>
                <w:rFonts w:hAnsi="宋体" w:cstheme="minorEastAsia"/>
                <w:sz w:val="24"/>
                <w:szCs w:val="24"/>
              </w:rPr>
            </w:pPr>
            <w:r>
              <w:rPr>
                <w:rFonts w:hAnsi="宋体" w:cstheme="minorEastAsia"/>
                <w:sz w:val="24"/>
                <w:szCs w:val="24"/>
              </w:rPr>
              <w:t>24.3</w:t>
            </w:r>
          </w:p>
        </w:tc>
        <w:tc>
          <w:tcPr>
            <w:tcW w:w="1701" w:type="dxa"/>
            <w:vAlign w:val="center"/>
          </w:tcPr>
          <w:p w14:paraId="282E80F2">
            <w:pPr>
              <w:jc w:val="center"/>
              <w:rPr>
                <w:rFonts w:hint="eastAsia" w:ascii="宋体" w:hAnsi="宋体" w:cstheme="minorEastAsia"/>
                <w:sz w:val="24"/>
              </w:rPr>
            </w:pPr>
            <w:r>
              <w:rPr>
                <w:rFonts w:hint="eastAsia" w:ascii="宋体" w:hAnsi="宋体" w:cstheme="minorEastAsia"/>
                <w:sz w:val="24"/>
              </w:rPr>
              <w:t>联系方式</w:t>
            </w:r>
          </w:p>
        </w:tc>
        <w:tc>
          <w:tcPr>
            <w:tcW w:w="7253" w:type="dxa"/>
            <w:vAlign w:val="center"/>
          </w:tcPr>
          <w:p w14:paraId="1B158FF8">
            <w:pPr>
              <w:jc w:val="left"/>
              <w:rPr>
                <w:rFonts w:hint="eastAsia" w:ascii="宋体" w:hAnsi="宋体" w:cstheme="minorEastAsia"/>
                <w:sz w:val="24"/>
              </w:rPr>
            </w:pPr>
            <w:r>
              <w:rPr>
                <w:rFonts w:hint="eastAsia" w:ascii="宋体" w:hAnsi="宋体" w:cstheme="minorEastAsia"/>
                <w:sz w:val="24"/>
              </w:rPr>
              <w:t>接收询问和质疑的联系方式</w:t>
            </w:r>
          </w:p>
          <w:p w14:paraId="2540DE95">
            <w:pPr>
              <w:jc w:val="left"/>
              <w:rPr>
                <w:rFonts w:hint="eastAsia" w:ascii="宋体" w:hAnsi="宋体" w:cstheme="minorEastAsia"/>
                <w:sz w:val="24"/>
              </w:rPr>
            </w:pPr>
            <w:r>
              <w:rPr>
                <w:rFonts w:hint="eastAsia" w:ascii="宋体" w:hAnsi="宋体" w:cstheme="minorEastAsia"/>
                <w:sz w:val="24"/>
              </w:rPr>
              <w:t>联系部门：</w:t>
            </w:r>
            <w:r>
              <w:rPr>
                <w:rFonts w:hint="eastAsia" w:ascii="宋体" w:hAnsi="宋体" w:cstheme="minorEastAsia"/>
                <w:sz w:val="24"/>
                <w:u w:val="single"/>
              </w:rPr>
              <w:t>华采招标集团有限公司-南区招标事业部</w:t>
            </w:r>
            <w:r>
              <w:rPr>
                <w:rFonts w:hint="eastAsia" w:ascii="宋体" w:hAnsi="宋体" w:cstheme="minorEastAsia"/>
                <w:sz w:val="24"/>
              </w:rPr>
              <w:t>；</w:t>
            </w:r>
          </w:p>
          <w:p w14:paraId="44A7CA87">
            <w:pPr>
              <w:jc w:val="left"/>
              <w:rPr>
                <w:rFonts w:hint="eastAsia" w:ascii="宋体" w:hAnsi="宋体" w:cstheme="minorEastAsia"/>
                <w:sz w:val="24"/>
              </w:rPr>
            </w:pPr>
            <w:r>
              <w:rPr>
                <w:rFonts w:hint="eastAsia" w:ascii="宋体" w:hAnsi="宋体" w:cstheme="minorEastAsia"/>
                <w:sz w:val="24"/>
              </w:rPr>
              <w:t>联系电话：</w:t>
            </w:r>
            <w:r>
              <w:rPr>
                <w:rFonts w:hint="eastAsia" w:ascii="宋体" w:hAnsi="宋体" w:cstheme="minorEastAsia"/>
                <w:sz w:val="24"/>
                <w:u w:val="single"/>
              </w:rPr>
              <w:t>18612287807/7813；</w:t>
            </w:r>
          </w:p>
          <w:p w14:paraId="7411730F">
            <w:pPr>
              <w:jc w:val="left"/>
              <w:rPr>
                <w:rFonts w:hint="eastAsia" w:ascii="宋体" w:hAnsi="宋体" w:cstheme="minorEastAsia"/>
                <w:sz w:val="24"/>
              </w:rPr>
            </w:pPr>
            <w:r>
              <w:rPr>
                <w:rFonts w:hint="eastAsia" w:ascii="宋体" w:hAnsi="宋体" w:cstheme="minorEastAsia"/>
                <w:sz w:val="24"/>
              </w:rPr>
              <w:t>通讯地址：</w:t>
            </w:r>
            <w:r>
              <w:rPr>
                <w:rFonts w:hint="eastAsia" w:ascii="宋体" w:hAnsi="宋体" w:cstheme="minorEastAsia"/>
                <w:sz w:val="24"/>
                <w:u w:val="single"/>
              </w:rPr>
              <w:t>北京市丰台区广安路9号国投财富广场6号楼1601室。</w:t>
            </w:r>
          </w:p>
        </w:tc>
      </w:tr>
      <w:tr w14:paraId="1873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88" w:type="dxa"/>
            <w:vAlign w:val="center"/>
          </w:tcPr>
          <w:p w14:paraId="00E6A5F9">
            <w:pPr>
              <w:pStyle w:val="24"/>
              <w:adjustRightInd w:val="0"/>
              <w:snapToGrid w:val="0"/>
              <w:jc w:val="center"/>
              <w:rPr>
                <w:rFonts w:hAnsi="宋体" w:cstheme="minorEastAsia"/>
                <w:sz w:val="24"/>
                <w:szCs w:val="24"/>
              </w:rPr>
            </w:pPr>
            <w:r>
              <w:rPr>
                <w:rFonts w:hAnsi="宋体" w:cstheme="minorEastAsia"/>
                <w:sz w:val="24"/>
                <w:szCs w:val="24"/>
              </w:rPr>
              <w:t>25</w:t>
            </w:r>
          </w:p>
        </w:tc>
        <w:tc>
          <w:tcPr>
            <w:tcW w:w="1701" w:type="dxa"/>
            <w:vAlign w:val="center"/>
          </w:tcPr>
          <w:p w14:paraId="2B7A038C">
            <w:pPr>
              <w:jc w:val="center"/>
              <w:rPr>
                <w:rFonts w:hint="eastAsia" w:ascii="宋体" w:hAnsi="宋体" w:cstheme="minorEastAsia"/>
                <w:sz w:val="24"/>
              </w:rPr>
            </w:pPr>
            <w:r>
              <w:rPr>
                <w:rFonts w:hint="eastAsia" w:ascii="宋体" w:hAnsi="宋体" w:cstheme="minorEastAsia"/>
                <w:sz w:val="24"/>
              </w:rPr>
              <w:t>代理费</w:t>
            </w:r>
          </w:p>
        </w:tc>
        <w:tc>
          <w:tcPr>
            <w:tcW w:w="7253" w:type="dxa"/>
            <w:vAlign w:val="center"/>
          </w:tcPr>
          <w:p w14:paraId="02E6CD48">
            <w:pPr>
              <w:jc w:val="left"/>
              <w:rPr>
                <w:rFonts w:hint="eastAsia" w:ascii="宋体" w:hAnsi="宋体" w:cstheme="minorEastAsia"/>
                <w:sz w:val="24"/>
              </w:rPr>
            </w:pPr>
            <w:r>
              <w:rPr>
                <w:rFonts w:hint="eastAsia" w:ascii="宋体" w:hAnsi="宋体" w:cstheme="minorEastAsia"/>
                <w:sz w:val="24"/>
              </w:rPr>
              <w:t>收费对象：</w:t>
            </w:r>
          </w:p>
          <w:p w14:paraId="6B5E03B4">
            <w:pPr>
              <w:jc w:val="left"/>
              <w:rPr>
                <w:rFonts w:hint="eastAsia" w:ascii="宋体" w:hAnsi="宋体" w:cstheme="minorEastAsia"/>
                <w:sz w:val="24"/>
              </w:rPr>
            </w:pPr>
            <w:r>
              <w:rPr>
                <w:rFonts w:hint="eastAsia" w:ascii="宋体" w:hAnsi="宋体" w:cstheme="minorEastAsia"/>
                <w:sz w:val="24"/>
              </w:rPr>
              <w:t>□采购人</w:t>
            </w:r>
          </w:p>
          <w:p w14:paraId="10C10FF6">
            <w:pPr>
              <w:jc w:val="left"/>
              <w:rPr>
                <w:rFonts w:hint="eastAsia" w:ascii="宋体" w:hAnsi="宋体" w:cstheme="minorEastAsia"/>
                <w:sz w:val="24"/>
              </w:rPr>
            </w:pPr>
            <w:r>
              <w:rPr>
                <w:rFonts w:ascii="宋体" w:hAnsi="宋体"/>
                <w:sz w:val="24"/>
              </w:rPr>
              <w:t>■</w:t>
            </w:r>
            <w:r>
              <w:rPr>
                <w:rFonts w:hint="eastAsia" w:ascii="宋体" w:hAnsi="宋体" w:cstheme="minorEastAsia"/>
                <w:sz w:val="24"/>
              </w:rPr>
              <w:t>成交供应商</w:t>
            </w:r>
          </w:p>
          <w:p w14:paraId="598E1107">
            <w:pPr>
              <w:jc w:val="left"/>
              <w:rPr>
                <w:rFonts w:hint="eastAsia" w:ascii="宋体" w:hAnsi="宋体" w:cstheme="minorEastAsia"/>
                <w:sz w:val="24"/>
              </w:rPr>
            </w:pPr>
            <w:r>
              <w:rPr>
                <w:rFonts w:hint="eastAsia" w:ascii="宋体" w:hAnsi="宋体" w:cstheme="minorEastAsia"/>
                <w:sz w:val="24"/>
              </w:rPr>
              <w:t>收费标准：以成交价为基数计取，参照《国家计委关于印发&lt;招标代理服务收费管理暂行办法&gt;的通知》（计价格[2002]1980号）中对应的服务内容及费率进行收费。招标代理服务费以实际成交价为基数计算最终代理服务费；</w:t>
            </w:r>
          </w:p>
          <w:p w14:paraId="3A303061">
            <w:pPr>
              <w:jc w:val="left"/>
              <w:rPr>
                <w:rFonts w:hint="eastAsia" w:ascii="宋体" w:hAnsi="宋体" w:cstheme="minorEastAsia"/>
                <w:sz w:val="24"/>
              </w:rPr>
            </w:pPr>
            <w:r>
              <w:rPr>
                <w:rFonts w:hint="eastAsia" w:ascii="宋体" w:hAnsi="宋体" w:cstheme="minorEastAsia"/>
                <w:sz w:val="24"/>
              </w:rPr>
              <w:drawing>
                <wp:inline distT="0" distB="0" distL="114300" distR="114300">
                  <wp:extent cx="3540760" cy="2981325"/>
                  <wp:effectExtent l="0" t="0" r="254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9"/>
                          <a:stretch>
                            <a:fillRect/>
                          </a:stretch>
                        </pic:blipFill>
                        <pic:spPr>
                          <a:xfrm>
                            <a:off x="0" y="0"/>
                            <a:ext cx="3540760" cy="2981325"/>
                          </a:xfrm>
                          <a:prstGeom prst="rect">
                            <a:avLst/>
                          </a:prstGeom>
                          <a:noFill/>
                          <a:ln>
                            <a:noFill/>
                          </a:ln>
                        </pic:spPr>
                      </pic:pic>
                    </a:graphicData>
                  </a:graphic>
                </wp:inline>
              </w:drawing>
            </w:r>
          </w:p>
          <w:p w14:paraId="65BCD639">
            <w:pPr>
              <w:jc w:val="left"/>
              <w:rPr>
                <w:rFonts w:hint="eastAsia" w:ascii="宋体" w:hAnsi="宋体" w:cstheme="minorEastAsia"/>
                <w:sz w:val="24"/>
              </w:rPr>
            </w:pPr>
            <w:r>
              <w:rPr>
                <w:rFonts w:hint="eastAsia" w:ascii="宋体" w:hAnsi="宋体" w:cstheme="minorEastAsia"/>
                <w:sz w:val="24"/>
              </w:rPr>
              <w:t>缴纳时间：招标完成后，一次性付清。</w:t>
            </w:r>
          </w:p>
        </w:tc>
      </w:tr>
    </w:tbl>
    <w:p w14:paraId="16656AFD">
      <w:pPr>
        <w:tabs>
          <w:tab w:val="left" w:pos="5580"/>
        </w:tabs>
        <w:adjustRightInd w:val="0"/>
        <w:spacing w:line="360" w:lineRule="auto"/>
        <w:jc w:val="left"/>
        <w:rPr>
          <w:rFonts w:hint="eastAsia" w:ascii="宋体" w:hAnsi="宋体"/>
          <w:sz w:val="24"/>
        </w:rPr>
      </w:pPr>
    </w:p>
    <w:p w14:paraId="4BC62382">
      <w:pPr>
        <w:tabs>
          <w:tab w:val="left" w:pos="5580"/>
        </w:tabs>
        <w:adjustRightInd w:val="0"/>
        <w:spacing w:line="360" w:lineRule="auto"/>
        <w:jc w:val="distribute"/>
        <w:rPr>
          <w:rFonts w:hint="eastAsia" w:ascii="宋体" w:hAnsi="宋体"/>
          <w:sz w:val="24"/>
        </w:rPr>
      </w:pPr>
    </w:p>
    <w:p w14:paraId="0B4D0387">
      <w:pPr>
        <w:tabs>
          <w:tab w:val="left" w:pos="5580"/>
        </w:tabs>
        <w:adjustRightInd w:val="0"/>
        <w:spacing w:line="360" w:lineRule="auto"/>
        <w:jc w:val="distribute"/>
        <w:rPr>
          <w:rFonts w:hint="eastAsia" w:ascii="宋体" w:hAnsi="宋体"/>
          <w:sz w:val="24"/>
        </w:rPr>
        <w:sectPr>
          <w:footerReference r:id="rId10" w:type="first"/>
          <w:footerReference r:id="rId9" w:type="default"/>
          <w:pgSz w:w="11907" w:h="16840"/>
          <w:pgMar w:top="1440" w:right="1080" w:bottom="1440" w:left="1080" w:header="851" w:footer="851" w:gutter="0"/>
          <w:pgNumType w:start="1"/>
          <w:cols w:space="720" w:num="1"/>
          <w:titlePg/>
          <w:docGrid w:linePitch="462" w:charSpace="0"/>
        </w:sectPr>
      </w:pPr>
    </w:p>
    <w:p w14:paraId="248D0898">
      <w:pPr>
        <w:spacing w:before="240" w:beforeLines="100" w:after="240" w:afterLines="100"/>
        <w:jc w:val="center"/>
        <w:rPr>
          <w:rFonts w:hint="eastAsia" w:ascii="宋体" w:hAnsi="宋体" w:cstheme="minorEastAsia"/>
          <w:b/>
          <w:sz w:val="28"/>
          <w:szCs w:val="28"/>
        </w:rPr>
      </w:pPr>
      <w:bookmarkStart w:id="72" w:name="_Toc353825544"/>
      <w:bookmarkStart w:id="73" w:name="_Toc127151554"/>
      <w:bookmarkStart w:id="74" w:name="_Toc142311056"/>
      <w:bookmarkStart w:id="75" w:name="_Toc226337250"/>
      <w:bookmarkStart w:id="76" w:name="_Toc353873934"/>
      <w:bookmarkStart w:id="77" w:name="_Toc305158822"/>
      <w:bookmarkStart w:id="78" w:name="_Toc150774759"/>
      <w:bookmarkStart w:id="79" w:name="_Toc265228392"/>
      <w:bookmarkStart w:id="80" w:name="_Toc226965827"/>
      <w:bookmarkStart w:id="81" w:name="_Toc353873664"/>
      <w:bookmarkStart w:id="82" w:name="_Toc305158896"/>
      <w:bookmarkStart w:id="83" w:name="_Toc150480792"/>
      <w:bookmarkStart w:id="84" w:name="_Toc264969244"/>
      <w:r>
        <w:rPr>
          <w:rFonts w:hint="eastAsia" w:ascii="宋体" w:hAnsi="宋体" w:cstheme="minorEastAsia"/>
          <w:b/>
          <w:sz w:val="28"/>
          <w:szCs w:val="28"/>
        </w:rPr>
        <w:t>供应商须知</w:t>
      </w:r>
    </w:p>
    <w:p w14:paraId="518F6BAF">
      <w:pPr>
        <w:pStyle w:val="3"/>
        <w:tabs>
          <w:tab w:val="center" w:pos="4592"/>
          <w:tab w:val="left" w:pos="7860"/>
        </w:tabs>
        <w:spacing w:before="0" w:line="360" w:lineRule="auto"/>
        <w:jc w:val="left"/>
        <w:rPr>
          <w:rFonts w:hint="eastAsia" w:ascii="宋体" w:hAnsi="宋体" w:eastAsia="宋体" w:cstheme="minorEastAsia"/>
          <w:sz w:val="28"/>
        </w:rPr>
      </w:pPr>
      <w:bookmarkStart w:id="85" w:name="_Toc520356143"/>
      <w:bookmarkStart w:id="86" w:name="_Toc127151518"/>
      <w:r>
        <w:rPr>
          <w:rFonts w:hint="eastAsia" w:ascii="宋体" w:hAnsi="宋体" w:eastAsia="宋体" w:cstheme="minorEastAsia"/>
          <w:sz w:val="28"/>
        </w:rPr>
        <w:tab/>
      </w:r>
      <w:bookmarkStart w:id="87" w:name="_Toc226309762"/>
      <w:bookmarkStart w:id="88" w:name="_Toc195842883"/>
      <w:bookmarkStart w:id="89" w:name="_Toc226337214"/>
      <w:bookmarkStart w:id="90" w:name="_Toc151193688"/>
      <w:bookmarkStart w:id="91" w:name="_Toc150509269"/>
      <w:bookmarkStart w:id="92" w:name="_Toc226965708"/>
      <w:bookmarkStart w:id="93" w:name="_Toc226965791"/>
      <w:bookmarkStart w:id="94" w:name="_Toc151190145"/>
      <w:bookmarkStart w:id="95" w:name="_Toc305158860"/>
      <w:bookmarkStart w:id="96" w:name="_Toc150480756"/>
      <w:bookmarkStart w:id="97" w:name="_Toc151193832"/>
      <w:bookmarkStart w:id="98" w:name="_Toc305158786"/>
      <w:bookmarkStart w:id="99" w:name="_Toc142311020"/>
      <w:bookmarkStart w:id="100" w:name="_Toc151193906"/>
      <w:bookmarkStart w:id="101" w:name="_Toc151193616"/>
      <w:bookmarkStart w:id="102" w:name="_Toc150774618"/>
      <w:bookmarkStart w:id="103" w:name="_Toc265228356"/>
      <w:bookmarkStart w:id="104" w:name="_Toc264969208"/>
      <w:bookmarkStart w:id="105" w:name="_Toc150774723"/>
      <w:bookmarkStart w:id="106" w:name="_Toc151193760"/>
      <w:r>
        <w:rPr>
          <w:rFonts w:hint="eastAsia" w:ascii="宋体" w:hAnsi="宋体" w:eastAsia="宋体" w:cstheme="minorEastAsia"/>
          <w:sz w:val="28"/>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eastAsia="宋体" w:cstheme="minorEastAsia"/>
          <w:sz w:val="28"/>
        </w:rPr>
        <w:tab/>
      </w:r>
    </w:p>
    <w:p w14:paraId="062308D2">
      <w:pPr>
        <w:numPr>
          <w:ilvl w:val="0"/>
          <w:numId w:val="8"/>
        </w:numPr>
        <w:tabs>
          <w:tab w:val="left" w:pos="360"/>
          <w:tab w:val="clear" w:pos="900"/>
        </w:tabs>
        <w:snapToGrid w:val="0"/>
        <w:spacing w:line="360" w:lineRule="auto"/>
        <w:ind w:left="357" w:hanging="357"/>
        <w:outlineLvl w:val="1"/>
        <w:rPr>
          <w:rFonts w:hint="eastAsia" w:ascii="宋体" w:hAnsi="宋体" w:cstheme="minorEastAsia"/>
          <w:sz w:val="24"/>
        </w:rPr>
      </w:pPr>
      <w:bookmarkStart w:id="107" w:name="_Toc264969209"/>
      <w:bookmarkStart w:id="108" w:name="_Toc305158787"/>
      <w:bookmarkStart w:id="109" w:name="_Toc305158861"/>
      <w:bookmarkStart w:id="110" w:name="_Toc265228357"/>
      <w:r>
        <w:rPr>
          <w:rFonts w:hint="eastAsia" w:ascii="宋体" w:hAnsi="宋体" w:cstheme="minorEastAsia"/>
          <w:sz w:val="24"/>
        </w:rPr>
        <w:t>采购人、采购代理机构、供应商</w:t>
      </w:r>
      <w:bookmarkEnd w:id="107"/>
      <w:bookmarkEnd w:id="108"/>
      <w:bookmarkEnd w:id="109"/>
      <w:bookmarkEnd w:id="110"/>
      <w:r>
        <w:rPr>
          <w:rFonts w:hint="eastAsia" w:ascii="宋体" w:hAnsi="宋体" w:cstheme="minorEastAsia"/>
          <w:sz w:val="24"/>
        </w:rPr>
        <w:t>、联合体</w:t>
      </w:r>
    </w:p>
    <w:p w14:paraId="09161784">
      <w:pPr>
        <w:numPr>
          <w:ilvl w:val="1"/>
          <w:numId w:val="8"/>
        </w:numPr>
        <w:tabs>
          <w:tab w:val="left" w:pos="1080"/>
          <w:tab w:val="left" w:pos="2014"/>
          <w:tab w:val="left" w:pos="5521"/>
        </w:tabs>
        <w:snapToGrid w:val="0"/>
        <w:spacing w:line="360" w:lineRule="auto"/>
        <w:ind w:left="1080" w:hanging="720"/>
        <w:rPr>
          <w:rFonts w:hint="eastAsia" w:ascii="宋体" w:hAnsi="宋体" w:cstheme="minorEastAsia"/>
          <w:sz w:val="24"/>
        </w:rPr>
      </w:pPr>
      <w:r>
        <w:rPr>
          <w:rFonts w:hint="eastAsia" w:ascii="宋体" w:hAnsi="宋体" w:cstheme="minorEastAsia"/>
          <w:sz w:val="24"/>
        </w:rPr>
        <w:t>采购人、采购代理机构：指依法进行政府采购的国家机关、事业单位、团体组织，及其委托的采购代理机构。本项目采购人、采购代理机构见第一章《采购邀请》。</w:t>
      </w:r>
    </w:p>
    <w:p w14:paraId="2F90D169">
      <w:pPr>
        <w:numPr>
          <w:ilvl w:val="1"/>
          <w:numId w:val="8"/>
        </w:numPr>
        <w:tabs>
          <w:tab w:val="left" w:pos="1080"/>
          <w:tab w:val="left" w:pos="2014"/>
          <w:tab w:val="left" w:pos="5521"/>
        </w:tabs>
        <w:snapToGrid w:val="0"/>
        <w:spacing w:line="360" w:lineRule="auto"/>
        <w:ind w:left="1080" w:hanging="720"/>
        <w:rPr>
          <w:rFonts w:hint="eastAsia" w:ascii="宋体" w:hAnsi="宋体" w:cstheme="minorEastAsia"/>
          <w:sz w:val="24"/>
        </w:rPr>
      </w:pPr>
      <w:r>
        <w:rPr>
          <w:rFonts w:hint="eastAsia" w:ascii="宋体" w:hAnsi="宋体" w:cstheme="minorEastAsia"/>
          <w:sz w:val="24"/>
        </w:rPr>
        <w:t>供应商（也称“申请人”）：指向采购人提供货物、工程或者服务的法人、其他组织或者自然人。</w:t>
      </w:r>
    </w:p>
    <w:p w14:paraId="61BE744C">
      <w:pPr>
        <w:numPr>
          <w:ilvl w:val="1"/>
          <w:numId w:val="8"/>
        </w:numPr>
        <w:tabs>
          <w:tab w:val="left" w:pos="1080"/>
          <w:tab w:val="left" w:pos="2014"/>
          <w:tab w:val="left" w:pos="5521"/>
        </w:tabs>
        <w:snapToGrid w:val="0"/>
        <w:spacing w:line="360" w:lineRule="auto"/>
        <w:ind w:left="1080" w:hanging="720"/>
        <w:rPr>
          <w:rFonts w:hint="eastAsia" w:ascii="宋体" w:hAnsi="宋体" w:cstheme="minorEastAsia"/>
          <w:sz w:val="24"/>
        </w:rPr>
      </w:pPr>
      <w:r>
        <w:rPr>
          <w:rFonts w:hint="eastAsia" w:ascii="宋体" w:hAnsi="宋体" w:cstheme="minorEastAsia"/>
          <w:sz w:val="24"/>
        </w:rPr>
        <w:t>联合体：指两个以上的自然人、法人或者其他组织组成一个联合体，以一个供应商的身份共同参加政府采购。</w:t>
      </w:r>
    </w:p>
    <w:p w14:paraId="62806891">
      <w:pPr>
        <w:numPr>
          <w:ilvl w:val="0"/>
          <w:numId w:val="8"/>
        </w:numPr>
        <w:tabs>
          <w:tab w:val="left" w:pos="360"/>
          <w:tab w:val="clear" w:pos="900"/>
        </w:tabs>
        <w:snapToGrid w:val="0"/>
        <w:spacing w:line="360" w:lineRule="auto"/>
        <w:ind w:left="357" w:hanging="357"/>
        <w:outlineLvl w:val="1"/>
        <w:rPr>
          <w:rFonts w:hint="eastAsia" w:ascii="宋体" w:hAnsi="宋体" w:cstheme="minorEastAsia"/>
          <w:sz w:val="24"/>
        </w:rPr>
      </w:pPr>
      <w:bookmarkStart w:id="111" w:name="_Toc195842885"/>
      <w:bookmarkStart w:id="112" w:name="_Toc264969210"/>
      <w:bookmarkStart w:id="113" w:name="_Toc164608634"/>
      <w:bookmarkStart w:id="114" w:name="_Toc151190147"/>
      <w:bookmarkStart w:id="115" w:name="_Toc149720813"/>
      <w:bookmarkStart w:id="116" w:name="_Toc151193618"/>
      <w:bookmarkStart w:id="117" w:name="_Toc265228358"/>
      <w:bookmarkStart w:id="118" w:name="_Toc127151721"/>
      <w:bookmarkStart w:id="119" w:name="_Toc150480758"/>
      <w:bookmarkStart w:id="120" w:name="_Toc164608789"/>
      <w:bookmarkStart w:id="121" w:name="_Toc150774725"/>
      <w:bookmarkStart w:id="122" w:name="_Toc164229361"/>
      <w:bookmarkStart w:id="123" w:name="_Toc164229215"/>
      <w:bookmarkStart w:id="124" w:name="_Toc127151520"/>
      <w:bookmarkStart w:id="125" w:name="_Toc305158788"/>
      <w:bookmarkStart w:id="126" w:name="_Toc226309764"/>
      <w:bookmarkStart w:id="127" w:name="_Toc226337216"/>
      <w:bookmarkStart w:id="128" w:name="_Toc127161434"/>
      <w:bookmarkStart w:id="129" w:name="_Toc151193762"/>
      <w:bookmarkStart w:id="130" w:name="_Toc150774620"/>
      <w:bookmarkStart w:id="131" w:name="_Toc305158862"/>
      <w:bookmarkStart w:id="132" w:name="_Toc151193690"/>
      <w:bookmarkStart w:id="133" w:name="_Toc226965710"/>
      <w:bookmarkStart w:id="134" w:name="_Toc151193834"/>
      <w:bookmarkStart w:id="135" w:name="_Toc226965793"/>
      <w:bookmarkStart w:id="136" w:name="_Toc164351614"/>
      <w:bookmarkStart w:id="137" w:name="_Toc142311022"/>
      <w:bookmarkStart w:id="138" w:name="_Toc150509271"/>
      <w:bookmarkStart w:id="139" w:name="_Toc151193908"/>
      <w:r>
        <w:rPr>
          <w:rFonts w:hint="eastAsia" w:ascii="宋体" w:hAnsi="宋体" w:cstheme="minorEastAsia"/>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theme="minorEastAsia"/>
          <w:sz w:val="24"/>
        </w:rPr>
        <w:t>、项目属性、科研仪器设备采购</w:t>
      </w:r>
    </w:p>
    <w:p w14:paraId="73385E29">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资金来源为财政性资金和/或本项目采购中无法与财政性资金分割的非财政性资金。</w:t>
      </w:r>
    </w:p>
    <w:p w14:paraId="548142C7">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项目属性见《供应商须知资料表》。</w:t>
      </w:r>
    </w:p>
    <w:p w14:paraId="7DEBBE1B">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是否属于科研仪器设备采购见《供应商须知资料表》。</w:t>
      </w:r>
    </w:p>
    <w:p w14:paraId="57E90EA3">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现场考察、磋商前答疑会</w:t>
      </w:r>
    </w:p>
    <w:p w14:paraId="22E374BC">
      <w:pPr>
        <w:numPr>
          <w:ilvl w:val="1"/>
          <w:numId w:val="8"/>
        </w:numPr>
        <w:tabs>
          <w:tab w:val="left" w:pos="1080"/>
          <w:tab w:val="left" w:pos="2014"/>
        </w:tabs>
        <w:snapToGrid w:val="0"/>
        <w:spacing w:line="360" w:lineRule="auto"/>
        <w:ind w:left="1080" w:hanging="720"/>
        <w:rPr>
          <w:rFonts w:hint="eastAsia" w:ascii="宋体" w:hAnsi="宋体" w:cstheme="minorEastAsia"/>
          <w:sz w:val="28"/>
        </w:rPr>
      </w:pPr>
      <w:r>
        <w:rPr>
          <w:rFonts w:hint="eastAsia" w:ascii="宋体" w:hAnsi="宋体" w:cstheme="minorEastAsia"/>
          <w:sz w:val="24"/>
        </w:rPr>
        <w:t>若《供应商须知资料表》中规定了组织现场考察、召开磋商前答疑会，则供应商应按要求在规定的时间和地点参加。</w:t>
      </w:r>
      <w:bookmarkStart w:id="140" w:name="_Toc265228360"/>
      <w:bookmarkStart w:id="141" w:name="_Toc142311024"/>
      <w:bookmarkStart w:id="142" w:name="_Toc305158790"/>
      <w:bookmarkStart w:id="143" w:name="_Toc150509273"/>
      <w:bookmarkStart w:id="144" w:name="_Toc226309766"/>
      <w:bookmarkStart w:id="145" w:name="_Toc305158864"/>
      <w:bookmarkStart w:id="146" w:name="_Toc151190149"/>
      <w:bookmarkStart w:id="147" w:name="_Toc150480760"/>
      <w:bookmarkStart w:id="148" w:name="_Toc151193910"/>
      <w:bookmarkStart w:id="149" w:name="_Toc520356146"/>
      <w:bookmarkStart w:id="150" w:name="_Toc264969212"/>
      <w:bookmarkStart w:id="151" w:name="_Toc151193692"/>
      <w:bookmarkStart w:id="152" w:name="_Toc150774727"/>
      <w:bookmarkStart w:id="153" w:name="_Toc151193620"/>
      <w:bookmarkStart w:id="154" w:name="_Toc127151522"/>
      <w:bookmarkStart w:id="155" w:name="_Toc226337218"/>
      <w:bookmarkStart w:id="156" w:name="_Toc226965712"/>
      <w:bookmarkStart w:id="157" w:name="_Toc195842887"/>
      <w:bookmarkStart w:id="158" w:name="_Toc151193764"/>
      <w:bookmarkStart w:id="159" w:name="_Toc151193836"/>
      <w:bookmarkStart w:id="160" w:name="_Toc226965795"/>
      <w:bookmarkStart w:id="161" w:name="_Toc150774622"/>
    </w:p>
    <w:p w14:paraId="0B020AE5">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由于未参加现场考察或磋商前答疑会而导致对项目实际情况不了解，影响响应文件编制、报价准确性、综合因素响应不全面等问题的，由供应商自行承担不利评审后果。</w:t>
      </w:r>
    </w:p>
    <w:p w14:paraId="6868A850">
      <w:pPr>
        <w:numPr>
          <w:ilvl w:val="0"/>
          <w:numId w:val="8"/>
        </w:numPr>
        <w:tabs>
          <w:tab w:val="left" w:pos="360"/>
          <w:tab w:val="clear" w:pos="90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政府采购政策（包括但不限于下列具体政策要求）</w:t>
      </w:r>
    </w:p>
    <w:p w14:paraId="120DFCF3">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采购本国货物、工程和服务</w:t>
      </w:r>
    </w:p>
    <w:p w14:paraId="3DADC1BB">
      <w:pPr>
        <w:numPr>
          <w:ilvl w:val="2"/>
          <w:numId w:val="8"/>
        </w:numPr>
        <w:tabs>
          <w:tab w:val="left" w:pos="2014"/>
        </w:tabs>
        <w:snapToGrid w:val="0"/>
        <w:spacing w:line="360" w:lineRule="auto"/>
        <w:rPr>
          <w:rFonts w:hint="eastAsia" w:ascii="宋体" w:hAnsi="宋体" w:cstheme="minorEastAsia"/>
          <w:sz w:val="24"/>
        </w:rPr>
      </w:pPr>
      <w:r>
        <w:rPr>
          <w:rFonts w:hint="eastAsia" w:ascii="宋体" w:hAnsi="宋体" w:cstheme="minorEastAsia"/>
          <w:kern w:val="0"/>
          <w:sz w:val="24"/>
        </w:rPr>
        <w:t>政府采购应当采购本国货物、工程和服务。但有《</w:t>
      </w:r>
      <w:r>
        <w:rPr>
          <w:rFonts w:hint="eastAsia" w:ascii="宋体" w:hAnsi="宋体" w:cstheme="minorEastAsia"/>
          <w:b/>
          <w:kern w:val="0"/>
          <w:sz w:val="24"/>
        </w:rPr>
        <w:t>中华人民共和国政府采购法</w:t>
      </w:r>
      <w:r>
        <w:rPr>
          <w:rFonts w:hint="eastAsia" w:ascii="宋体" w:hAnsi="宋体" w:cstheme="minorEastAsia"/>
          <w:kern w:val="0"/>
          <w:sz w:val="24"/>
        </w:rPr>
        <w:t>》第十条规定情形的除外。</w:t>
      </w:r>
    </w:p>
    <w:p w14:paraId="4DEDF966">
      <w:pPr>
        <w:numPr>
          <w:ilvl w:val="2"/>
          <w:numId w:val="8"/>
        </w:numPr>
        <w:tabs>
          <w:tab w:val="left" w:pos="2014"/>
        </w:tabs>
        <w:snapToGrid w:val="0"/>
        <w:spacing w:line="360" w:lineRule="auto"/>
        <w:rPr>
          <w:rFonts w:hint="eastAsia" w:ascii="宋体" w:hAnsi="宋体" w:cstheme="minorEastAsia"/>
          <w:sz w:val="24"/>
        </w:rPr>
      </w:pPr>
      <w:r>
        <w:rPr>
          <w:rFonts w:hint="eastAsia" w:ascii="宋体" w:hAnsi="宋体" w:cstheme="minorEastAsia"/>
          <w:sz w:val="24"/>
        </w:rPr>
        <w:t>本项目如接受非本国货物、工程、服务参与响应，则具体要求见第四章《采购需求》。</w:t>
      </w:r>
    </w:p>
    <w:p w14:paraId="3D85AF6C">
      <w:pPr>
        <w:numPr>
          <w:ilvl w:val="2"/>
          <w:numId w:val="8"/>
        </w:numPr>
        <w:tabs>
          <w:tab w:val="left" w:pos="2014"/>
        </w:tabs>
        <w:snapToGrid w:val="0"/>
        <w:spacing w:line="360" w:lineRule="auto"/>
        <w:rPr>
          <w:rFonts w:hint="eastAsia" w:ascii="宋体" w:hAnsi="宋体" w:cstheme="minorEastAsia"/>
          <w:sz w:val="24"/>
        </w:rPr>
      </w:pPr>
      <w:r>
        <w:rPr>
          <w:rFonts w:hint="eastAsia" w:ascii="宋体" w:hAnsi="宋体" w:cs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CA79541">
      <w:pPr>
        <w:numPr>
          <w:ilvl w:val="1"/>
          <w:numId w:val="8"/>
        </w:numPr>
        <w:tabs>
          <w:tab w:val="left" w:pos="1080"/>
        </w:tabs>
        <w:snapToGrid w:val="0"/>
        <w:spacing w:line="360" w:lineRule="auto"/>
        <w:rPr>
          <w:rFonts w:hint="eastAsia" w:ascii="宋体" w:hAnsi="宋体" w:cstheme="minorEastAsia"/>
          <w:sz w:val="24"/>
        </w:rPr>
      </w:pPr>
      <w:r>
        <w:rPr>
          <w:rFonts w:hint="eastAsia" w:ascii="宋体" w:hAnsi="宋体" w:cstheme="minorEastAsia"/>
          <w:sz w:val="24"/>
        </w:rPr>
        <w:t>本国产品</w:t>
      </w:r>
    </w:p>
    <w:p w14:paraId="5415C258">
      <w:pPr>
        <w:tabs>
          <w:tab w:val="left" w:pos="1080"/>
          <w:tab w:val="left" w:pos="2014"/>
        </w:tabs>
        <w:snapToGrid w:val="0"/>
        <w:spacing w:line="360" w:lineRule="auto"/>
        <w:ind w:left="1080"/>
        <w:rPr>
          <w:rFonts w:hint="eastAsia" w:ascii="宋体" w:hAnsi="宋体" w:cstheme="minorEastAsia"/>
          <w:sz w:val="24"/>
        </w:rPr>
      </w:pPr>
      <w:r>
        <w:rPr>
          <w:rFonts w:hint="eastAsia" w:ascii="宋体" w:hAnsi="宋体" w:cstheme="minor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61CD7ABD">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中小企业、监狱企业及残疾人福利性单位</w:t>
      </w:r>
    </w:p>
    <w:p w14:paraId="22EA9D86">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中小企业定义：</w:t>
      </w:r>
    </w:p>
    <w:p w14:paraId="1DA9D0A2">
      <w:pPr>
        <w:pStyle w:val="74"/>
        <w:numPr>
          <w:ilvl w:val="0"/>
          <w:numId w:val="9"/>
        </w:numPr>
        <w:tabs>
          <w:tab w:val="left" w:pos="1589"/>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16B59E1C">
      <w:pPr>
        <w:pStyle w:val="74"/>
        <w:numPr>
          <w:ilvl w:val="0"/>
          <w:numId w:val="9"/>
        </w:numPr>
        <w:tabs>
          <w:tab w:val="left" w:pos="1589"/>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507F680B">
      <w:pPr>
        <w:pStyle w:val="74"/>
        <w:numPr>
          <w:ilvl w:val="0"/>
          <w:numId w:val="9"/>
        </w:numPr>
        <w:tabs>
          <w:tab w:val="left" w:pos="1589"/>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42C75FF6">
      <w:pPr>
        <w:pStyle w:val="74"/>
        <w:numPr>
          <w:ilvl w:val="0"/>
          <w:numId w:val="9"/>
        </w:numPr>
        <w:tabs>
          <w:tab w:val="left" w:pos="1589"/>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75B944C5">
      <w:pPr>
        <w:pStyle w:val="74"/>
        <w:numPr>
          <w:ilvl w:val="1"/>
          <w:numId w:val="9"/>
        </w:numPr>
        <w:tabs>
          <w:tab w:val="left" w:pos="900"/>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5F9022B0">
      <w:pPr>
        <w:pStyle w:val="74"/>
        <w:numPr>
          <w:ilvl w:val="1"/>
          <w:numId w:val="9"/>
        </w:numPr>
        <w:tabs>
          <w:tab w:val="left" w:pos="900"/>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378FB425">
      <w:pPr>
        <w:pStyle w:val="74"/>
        <w:numPr>
          <w:ilvl w:val="1"/>
          <w:numId w:val="9"/>
        </w:numPr>
        <w:tabs>
          <w:tab w:val="left" w:pos="900"/>
          <w:tab w:val="left" w:pos="1980"/>
          <w:tab w:val="left" w:pos="2035"/>
          <w:tab w:val="left" w:pos="2977"/>
        </w:tabs>
        <w:snapToGrid w:val="0"/>
        <w:spacing w:line="360" w:lineRule="auto"/>
        <w:ind w:firstLineChars="0"/>
        <w:rPr>
          <w:rFonts w:hint="eastAsia" w:ascii="宋体" w:hAnsi="宋体" w:cstheme="minorEastAsia"/>
          <w:vanish/>
          <w:sz w:val="24"/>
          <w:szCs w:val="24"/>
        </w:rPr>
      </w:pPr>
    </w:p>
    <w:p w14:paraId="1EFED319">
      <w:pPr>
        <w:pStyle w:val="74"/>
        <w:numPr>
          <w:ilvl w:val="2"/>
          <w:numId w:val="9"/>
        </w:numPr>
        <w:tabs>
          <w:tab w:val="left" w:pos="900"/>
          <w:tab w:val="left" w:pos="1589"/>
          <w:tab w:val="left" w:pos="2035"/>
          <w:tab w:val="left" w:pos="2977"/>
        </w:tabs>
        <w:snapToGrid w:val="0"/>
        <w:spacing w:line="360" w:lineRule="auto"/>
        <w:ind w:firstLineChars="0"/>
        <w:rPr>
          <w:rFonts w:hint="eastAsia" w:ascii="宋体" w:hAnsi="宋体" w:cstheme="minorEastAsia"/>
          <w:vanish/>
          <w:sz w:val="24"/>
          <w:szCs w:val="24"/>
        </w:rPr>
      </w:pPr>
    </w:p>
    <w:p w14:paraId="30F52FE3">
      <w:pPr>
        <w:numPr>
          <w:ilvl w:val="3"/>
          <w:numId w:val="9"/>
        </w:numPr>
        <w:tabs>
          <w:tab w:val="left" w:pos="1589"/>
          <w:tab w:val="left" w:pos="1988"/>
          <w:tab w:val="left" w:pos="2035"/>
          <w:tab w:val="left" w:pos="2977"/>
        </w:tabs>
        <w:snapToGrid w:val="0"/>
        <w:spacing w:line="360" w:lineRule="auto"/>
        <w:ind w:left="2885"/>
        <w:rPr>
          <w:rFonts w:hint="eastAsia" w:ascii="宋体" w:hAnsi="宋体" w:cstheme="minorEastAsia"/>
          <w:sz w:val="24"/>
        </w:rPr>
      </w:pPr>
      <w:r>
        <w:rPr>
          <w:rFonts w:hint="eastAsia" w:ascii="宋体" w:hAnsi="宋体" w:cs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493AEE15">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供应商提供的货物、工程或者服务符合下列情形的，享受中小企业扶持政策：</w:t>
      </w:r>
    </w:p>
    <w:p w14:paraId="74CC7491">
      <w:pPr>
        <w:tabs>
          <w:tab w:val="left" w:pos="1980"/>
        </w:tabs>
        <w:snapToGrid w:val="0"/>
        <w:spacing w:line="360" w:lineRule="auto"/>
        <w:ind w:left="2835" w:leftChars="1350"/>
        <w:rPr>
          <w:rFonts w:hint="eastAsia" w:ascii="宋体" w:hAnsi="宋体" w:cstheme="minorEastAsia"/>
          <w:sz w:val="24"/>
        </w:rPr>
      </w:pPr>
      <w:r>
        <w:rPr>
          <w:rFonts w:hint="eastAsia" w:ascii="宋体" w:hAnsi="宋体" w:cstheme="minorEastAsia"/>
          <w:sz w:val="24"/>
        </w:rPr>
        <w:t>（1）在货物采购项目中，货物由中小企业制造，即货物由中小企业生产且使用该中小企业商号或者注册商标；</w:t>
      </w:r>
    </w:p>
    <w:p w14:paraId="62A0CFD1">
      <w:pPr>
        <w:tabs>
          <w:tab w:val="left" w:pos="1980"/>
        </w:tabs>
        <w:snapToGrid w:val="0"/>
        <w:spacing w:line="360" w:lineRule="auto"/>
        <w:ind w:left="2835" w:leftChars="1350"/>
        <w:rPr>
          <w:rFonts w:hint="eastAsia" w:ascii="宋体" w:hAnsi="宋体" w:cstheme="minorEastAsia"/>
          <w:sz w:val="24"/>
        </w:rPr>
      </w:pPr>
      <w:r>
        <w:rPr>
          <w:rFonts w:hint="eastAsia" w:ascii="宋体" w:hAnsi="宋体" w:cstheme="minorEastAsia"/>
          <w:sz w:val="24"/>
        </w:rPr>
        <w:t>（2）在工程采购项目中，工程由中小企业承建，即工程施工单位为中小企业；</w:t>
      </w:r>
    </w:p>
    <w:p w14:paraId="4E51698E">
      <w:pPr>
        <w:tabs>
          <w:tab w:val="left" w:pos="1980"/>
        </w:tabs>
        <w:snapToGrid w:val="0"/>
        <w:spacing w:line="360" w:lineRule="auto"/>
        <w:ind w:left="2835" w:leftChars="1350"/>
        <w:rPr>
          <w:rFonts w:hint="eastAsia" w:ascii="宋体" w:hAnsi="宋体" w:cstheme="minorEastAsia"/>
          <w:sz w:val="24"/>
        </w:rPr>
      </w:pPr>
      <w:r>
        <w:rPr>
          <w:rFonts w:hint="eastAsia" w:ascii="宋体" w:hAnsi="宋体" w:cstheme="minorEastAsia"/>
          <w:sz w:val="24"/>
        </w:rPr>
        <w:t>（3）在服务采购项目中，服务由中小企业承接，即提供服务的人员为中小企业依照《中华人民共和国劳动合同法》订立劳动合同的从业人员。</w:t>
      </w:r>
    </w:p>
    <w:p w14:paraId="244B4441">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在货物采购项目中，供应商提供的货物既有中小企业制造货物，也有大型企业制造货物的，不享受中小企业扶持政策。</w:t>
      </w:r>
    </w:p>
    <w:p w14:paraId="76863904">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以联合体形式参加政府采购活动，联合体各方均为中小企业的，联合体视同中小企业。其中，联合体各方均为小微企业的，联合体视同小微企业。</w:t>
      </w:r>
    </w:p>
    <w:p w14:paraId="164652A1">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DCADDA">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70642FD">
      <w:pPr>
        <w:pStyle w:val="74"/>
        <w:numPr>
          <w:ilvl w:val="2"/>
          <w:numId w:val="9"/>
        </w:numPr>
        <w:tabs>
          <w:tab w:val="left" w:pos="2035"/>
          <w:tab w:val="left" w:pos="2977"/>
        </w:tabs>
        <w:snapToGrid w:val="0"/>
        <w:spacing w:line="360" w:lineRule="auto"/>
        <w:ind w:firstLineChars="0"/>
        <w:rPr>
          <w:rFonts w:hint="eastAsia" w:ascii="宋体" w:hAnsi="宋体" w:cstheme="minorEastAsia"/>
          <w:vanish/>
          <w:sz w:val="24"/>
          <w:szCs w:val="24"/>
        </w:rPr>
      </w:pPr>
    </w:p>
    <w:p w14:paraId="16449FA2">
      <w:pPr>
        <w:pStyle w:val="74"/>
        <w:numPr>
          <w:ilvl w:val="2"/>
          <w:numId w:val="9"/>
        </w:numPr>
        <w:tabs>
          <w:tab w:val="left" w:pos="2035"/>
          <w:tab w:val="left" w:pos="2977"/>
        </w:tabs>
        <w:snapToGrid w:val="0"/>
        <w:spacing w:line="360" w:lineRule="auto"/>
        <w:ind w:firstLineChars="0"/>
        <w:rPr>
          <w:rFonts w:hint="eastAsia" w:ascii="宋体" w:hAnsi="宋体" w:cstheme="minorEastAsia"/>
          <w:vanish/>
          <w:sz w:val="24"/>
          <w:szCs w:val="24"/>
        </w:rPr>
      </w:pPr>
    </w:p>
    <w:p w14:paraId="61ACB469">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安置的残疾人占本单位在职职工人数的比例不低于25%（含25%），并且安置的残疾人人数不少于10 人（含10 人）；</w:t>
      </w:r>
    </w:p>
    <w:p w14:paraId="39920094">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依法与安置的每位残疾人签订了一年以上（含一年）的劳动合同或服务协议；</w:t>
      </w:r>
    </w:p>
    <w:p w14:paraId="312CFED7">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为安置的每位残疾人按月足额缴纳了基本养老保险、基本医疗保险、失业保险、工伤保险和生育保险等社会保险费；</w:t>
      </w:r>
    </w:p>
    <w:p w14:paraId="2639461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通过银行等金融机构向安置的每位残疾人，按月支付了不低于单位所在区县适用的经省级人民政府批准的月最低工资标准的工资；</w:t>
      </w:r>
    </w:p>
    <w:p w14:paraId="7E438F5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提供本单位制造的货物、承担的工程或者服务（以下简称产品），或者提供其他残疾人福利性单位制造的货物（不包括使用非残疾人福利性单位注册商标的货物）；</w:t>
      </w:r>
    </w:p>
    <w:p w14:paraId="00DFD1E8">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theme="minorEastAsia"/>
          <w:sz w:val="24"/>
        </w:rPr>
      </w:pPr>
      <w:r>
        <w:rPr>
          <w:rFonts w:hint="eastAsia" w:ascii="宋体" w:hAnsi="宋体" w:cs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5847325">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本项目是否专门面向中小企业预留采购份额见第一章《采购邀请》。</w:t>
      </w:r>
    </w:p>
    <w:p w14:paraId="65421F51">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采购标的对应的中小企业划分标准所属行业见《供应商须知资料表》。</w:t>
      </w:r>
    </w:p>
    <w:p w14:paraId="34B859B4">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小微企业价格评审优惠的政策调整：见第三章《评审方法和评审标准》。</w:t>
      </w:r>
    </w:p>
    <w:p w14:paraId="1F562682">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政府采购节能产品、环境标志产品</w:t>
      </w:r>
    </w:p>
    <w:p w14:paraId="47101414">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EDF2EB6">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30FE816">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theme="minorEastAsia"/>
          <w:kern w:val="0"/>
          <w:sz w:val="24"/>
        </w:rPr>
        <w:t>否则</w:t>
      </w:r>
      <w:r>
        <w:rPr>
          <w:rFonts w:hint="eastAsia" w:ascii="宋体" w:hAnsi="宋体" w:cstheme="minorEastAsia"/>
          <w:b/>
          <w:kern w:val="0"/>
          <w:sz w:val="24"/>
        </w:rPr>
        <w:t>响应无效</w:t>
      </w:r>
      <w:r>
        <w:rPr>
          <w:rFonts w:hint="eastAsia" w:ascii="宋体" w:hAnsi="宋体" w:cstheme="minorEastAsia"/>
          <w:sz w:val="24"/>
        </w:rPr>
        <w:t>；</w:t>
      </w:r>
    </w:p>
    <w:p w14:paraId="74478A60">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非政府强制采购的节能产品或环境标志产品，依据品目清单和认证证书实施政府优先采购。优先采购的具体规定见第三章《评审方法和评审标准》（如涉及）。</w:t>
      </w:r>
    </w:p>
    <w:p w14:paraId="779484C6">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正版软件</w:t>
      </w:r>
    </w:p>
    <w:p w14:paraId="17B6A288">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48605F5">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网络安全专用产品</w:t>
      </w:r>
    </w:p>
    <w:p w14:paraId="349F7DF1">
      <w:pPr>
        <w:numPr>
          <w:ilvl w:val="2"/>
          <w:numId w:val="8"/>
        </w:numPr>
        <w:tabs>
          <w:tab w:val="left" w:pos="900"/>
          <w:tab w:val="left" w:pos="2014"/>
        </w:tabs>
        <w:snapToGrid w:val="0"/>
        <w:spacing w:line="360" w:lineRule="auto"/>
        <w:rPr>
          <w:rFonts w:hint="eastAsia" w:ascii="宋体" w:hAnsi="宋体" w:cstheme="minorEastAsia"/>
          <w:sz w:val="24"/>
        </w:rPr>
      </w:pPr>
      <w:r>
        <w:rPr>
          <w:rFonts w:hint="eastAsia" w:ascii="宋体" w:hAnsi="宋体" w:cstheme="minorEastAsia"/>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65AF5CA4">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推广使用低挥发性有机化合物（VOCs）</w:t>
      </w:r>
    </w:p>
    <w:p w14:paraId="1381F478">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theme="minorEastAsia"/>
          <w:kern w:val="0"/>
          <w:sz w:val="24"/>
        </w:rPr>
        <w:t>否则</w:t>
      </w:r>
      <w:r>
        <w:rPr>
          <w:rFonts w:hint="eastAsia" w:ascii="宋体" w:hAnsi="宋体" w:cstheme="minorEastAsia"/>
          <w:b/>
          <w:kern w:val="0"/>
          <w:sz w:val="24"/>
        </w:rPr>
        <w:t>响应无效</w:t>
      </w:r>
      <w:r>
        <w:rPr>
          <w:rFonts w:hint="eastAsia" w:ascii="宋体" w:hAnsi="宋体" w:cstheme="minorEastAsia"/>
          <w:sz w:val="24"/>
        </w:rPr>
        <w:t>；属于推荐性标准的，优先采购，具体见第三章《评审方法和评审标准》。</w:t>
      </w:r>
    </w:p>
    <w:p w14:paraId="7B8C60DA">
      <w:pPr>
        <w:numPr>
          <w:ilvl w:val="1"/>
          <w:numId w:val="8"/>
        </w:numPr>
        <w:tabs>
          <w:tab w:val="left" w:pos="1080"/>
        </w:tabs>
        <w:snapToGrid w:val="0"/>
        <w:spacing w:line="360" w:lineRule="auto"/>
        <w:rPr>
          <w:rFonts w:hint="eastAsia" w:ascii="宋体" w:hAnsi="宋体" w:cstheme="minorEastAsia"/>
          <w:sz w:val="24"/>
        </w:rPr>
      </w:pPr>
      <w:r>
        <w:rPr>
          <w:rFonts w:hint="eastAsia" w:ascii="宋体" w:hAnsi="宋体" w:cstheme="minorEastAsia"/>
          <w:sz w:val="24"/>
        </w:rPr>
        <w:t>采购需求标准</w:t>
      </w:r>
    </w:p>
    <w:p w14:paraId="536C936A">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商品包装、快递包装政府采购需求标准（试行）</w:t>
      </w:r>
    </w:p>
    <w:p w14:paraId="07602C0B">
      <w:pPr>
        <w:tabs>
          <w:tab w:val="left" w:pos="900"/>
          <w:tab w:val="left" w:pos="1980"/>
        </w:tabs>
        <w:snapToGrid w:val="0"/>
        <w:spacing w:line="360" w:lineRule="auto"/>
        <w:ind w:left="1985"/>
        <w:rPr>
          <w:rFonts w:hint="eastAsia" w:ascii="宋体" w:hAnsi="宋体" w:cstheme="minorEastAsia"/>
          <w:sz w:val="24"/>
        </w:rPr>
      </w:pPr>
      <w:r>
        <w:rPr>
          <w:rFonts w:hint="eastAsia" w:ascii="宋体" w:hAnsi="宋体" w:cs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0F865001">
      <w:pPr>
        <w:numPr>
          <w:ilvl w:val="2"/>
          <w:numId w:val="8"/>
        </w:numPr>
        <w:tabs>
          <w:tab w:val="left" w:pos="2014"/>
        </w:tabs>
        <w:snapToGrid w:val="0"/>
        <w:spacing w:line="360" w:lineRule="auto"/>
        <w:rPr>
          <w:rFonts w:hint="eastAsia" w:ascii="宋体" w:hAnsi="宋体" w:cstheme="minorEastAsia"/>
          <w:sz w:val="24"/>
        </w:rPr>
      </w:pPr>
      <w:r>
        <w:rPr>
          <w:rFonts w:hint="eastAsia" w:ascii="宋体" w:hAnsi="宋体" w:cstheme="minorEastAsia"/>
          <w:sz w:val="24"/>
        </w:rPr>
        <w:t xml:space="preserve">其他政府采购需求标准 </w:t>
      </w:r>
    </w:p>
    <w:p w14:paraId="2EB7FE12">
      <w:pPr>
        <w:tabs>
          <w:tab w:val="left" w:pos="900"/>
          <w:tab w:val="left" w:pos="1980"/>
        </w:tabs>
        <w:snapToGrid w:val="0"/>
        <w:spacing w:line="360" w:lineRule="auto"/>
        <w:ind w:left="1980"/>
        <w:rPr>
          <w:rFonts w:hint="eastAsia" w:ascii="宋体" w:hAnsi="宋体" w:cstheme="minorEastAsia"/>
          <w:sz w:val="24"/>
        </w:rPr>
      </w:pPr>
      <w:r>
        <w:rPr>
          <w:rFonts w:hint="eastAsia" w:ascii="宋体" w:hAnsi="宋体" w:cstheme="minorEastAsia"/>
          <w:sz w:val="24"/>
        </w:rPr>
        <w:t>为贯彻落实《深化政府采购制度改革方案》有关要求，推动政府采购需求标准建设，</w:t>
      </w:r>
      <w:bookmarkStart w:id="162" w:name="_Hlk168431650"/>
      <w:r>
        <w:rPr>
          <w:rFonts w:hint="eastAsia" w:ascii="宋体" w:hAnsi="宋体" w:cstheme="minorEastAsia"/>
          <w:sz w:val="24"/>
        </w:rPr>
        <w:t>财政部门会同有关部门制定发布的</w:t>
      </w:r>
      <w:bookmarkEnd w:id="162"/>
      <w:r>
        <w:rPr>
          <w:rFonts w:hint="eastAsia" w:ascii="宋体" w:hAnsi="宋体" w:cstheme="minorEastAsia"/>
          <w:sz w:val="24"/>
        </w:rPr>
        <w:t>其他政府采购需求标准，本项目如涉及，则具体要求见第四章《采购需求》。</w:t>
      </w:r>
    </w:p>
    <w:p w14:paraId="639ACBDC">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响应费用</w:t>
      </w:r>
    </w:p>
    <w:p w14:paraId="448B9029">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供应商应自行承担所有与准备和参加磋商有关的费用，无论磋商的结果如何，采购人或采购代理机构在任何情况下均无承担这些费用的义务和责任。</w:t>
      </w:r>
    </w:p>
    <w:p w14:paraId="39265B8C">
      <w:pPr>
        <w:tabs>
          <w:tab w:val="left" w:pos="1080"/>
        </w:tabs>
        <w:snapToGrid w:val="0"/>
        <w:spacing w:line="360" w:lineRule="auto"/>
        <w:ind w:left="1080"/>
        <w:rPr>
          <w:rFonts w:hint="eastAsia" w:ascii="宋体" w:hAnsi="宋体" w:cstheme="minorEastAsia"/>
          <w:sz w:val="28"/>
        </w:rPr>
      </w:pPr>
      <w:bookmarkStart w:id="163" w:name="_1.8_计量单位"/>
      <w:bookmarkEnd w:id="163"/>
    </w:p>
    <w:p w14:paraId="0F92DDDB">
      <w:pPr>
        <w:pStyle w:val="3"/>
        <w:spacing w:before="0" w:line="360" w:lineRule="auto"/>
        <w:rPr>
          <w:rFonts w:hint="eastAsia" w:ascii="宋体" w:hAnsi="宋体" w:eastAsia="宋体" w:cstheme="minorEastAsia"/>
          <w:sz w:val="28"/>
        </w:rPr>
      </w:pPr>
      <w:r>
        <w:rPr>
          <w:rFonts w:hint="eastAsia" w:ascii="宋体" w:hAnsi="宋体" w:eastAsia="宋体" w:cstheme="minorEastAsia"/>
          <w:sz w:val="28"/>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055E5CA">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164" w:name="_Toc127151724"/>
      <w:bookmarkStart w:id="165" w:name="_Toc265228361"/>
      <w:bookmarkStart w:id="166" w:name="_Toc520356147"/>
      <w:bookmarkStart w:id="167" w:name="_Toc226965796"/>
      <w:bookmarkStart w:id="168" w:name="_Toc151193765"/>
      <w:bookmarkStart w:id="169" w:name="_Toc164608792"/>
      <w:bookmarkStart w:id="170" w:name="_Toc151193837"/>
      <w:bookmarkStart w:id="171" w:name="_Toc195842888"/>
      <w:bookmarkStart w:id="172" w:name="_Toc150480761"/>
      <w:bookmarkStart w:id="173" w:name="_Toc164351617"/>
      <w:bookmarkStart w:id="174" w:name="_Toc264969213"/>
      <w:bookmarkStart w:id="175" w:name="_Toc150509274"/>
      <w:bookmarkStart w:id="176" w:name="_Toc151193693"/>
      <w:bookmarkStart w:id="177" w:name="_Toc150774623"/>
      <w:bookmarkStart w:id="178" w:name="_Toc142311025"/>
      <w:bookmarkStart w:id="179" w:name="_Toc127151523"/>
      <w:bookmarkStart w:id="180" w:name="_Toc164229218"/>
      <w:bookmarkStart w:id="181" w:name="_Toc226309767"/>
      <w:bookmarkStart w:id="182" w:name="_Toc150774728"/>
      <w:bookmarkStart w:id="183" w:name="_Toc226337219"/>
      <w:bookmarkStart w:id="184" w:name="_Toc151193621"/>
      <w:bookmarkStart w:id="185" w:name="_Toc226965713"/>
      <w:bookmarkStart w:id="186" w:name="_Toc305158791"/>
      <w:bookmarkStart w:id="187" w:name="_Toc127161437"/>
      <w:bookmarkStart w:id="188" w:name="_Toc305158865"/>
      <w:bookmarkStart w:id="189" w:name="_Toc151190150"/>
      <w:bookmarkStart w:id="190" w:name="_Toc164229364"/>
      <w:bookmarkStart w:id="191" w:name="_Toc149720816"/>
      <w:bookmarkStart w:id="192" w:name="_Toc151193911"/>
      <w:bookmarkStart w:id="193" w:name="_Toc164608637"/>
      <w:r>
        <w:rPr>
          <w:rFonts w:hint="eastAsia" w:ascii="宋体" w:hAnsi="宋体" w:cstheme="minorEastAsia"/>
          <w:sz w:val="24"/>
        </w:rPr>
        <w:t>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cstheme="minorEastAsia"/>
          <w:sz w:val="24"/>
        </w:rPr>
        <w:t>成</w:t>
      </w:r>
    </w:p>
    <w:p w14:paraId="4A5D37F2">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竞争性磋商文件包括以下部分：</w:t>
      </w:r>
    </w:p>
    <w:p w14:paraId="75381647">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采购邀请</w:t>
      </w:r>
    </w:p>
    <w:p w14:paraId="03BB9A0F">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供应商须知</w:t>
      </w:r>
    </w:p>
    <w:p w14:paraId="4F11D317">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评审方法和评审标准</w:t>
      </w:r>
    </w:p>
    <w:p w14:paraId="79DC088C">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采购需求</w:t>
      </w:r>
    </w:p>
    <w:p w14:paraId="0940D1FB">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合同草案条款</w:t>
      </w:r>
    </w:p>
    <w:p w14:paraId="16C44C0C">
      <w:pPr>
        <w:numPr>
          <w:ilvl w:val="0"/>
          <w:numId w:val="10"/>
        </w:numPr>
        <w:tabs>
          <w:tab w:val="left" w:pos="1980"/>
          <w:tab w:val="left" w:pos="2520"/>
        </w:tabs>
        <w:snapToGrid w:val="0"/>
        <w:spacing w:line="360" w:lineRule="auto"/>
        <w:ind w:left="1440" w:firstLine="5"/>
        <w:rPr>
          <w:rFonts w:hint="eastAsia" w:ascii="宋体" w:hAnsi="宋体" w:cstheme="minorEastAsia"/>
          <w:sz w:val="24"/>
        </w:rPr>
      </w:pPr>
      <w:r>
        <w:rPr>
          <w:rFonts w:hint="eastAsia" w:ascii="宋体" w:hAnsi="宋体" w:cstheme="minorEastAsia"/>
          <w:sz w:val="24"/>
        </w:rPr>
        <w:t>响应文件格式</w:t>
      </w:r>
    </w:p>
    <w:p w14:paraId="03A6353D">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theme="minorEastAsia"/>
          <w:b/>
          <w:sz w:val="24"/>
        </w:rPr>
        <w:t>响应无效</w:t>
      </w:r>
      <w:r>
        <w:rPr>
          <w:rFonts w:hint="eastAsia" w:ascii="宋体" w:hAnsi="宋体" w:cstheme="minorEastAsia"/>
          <w:sz w:val="24"/>
        </w:rPr>
        <w:t>。</w:t>
      </w:r>
    </w:p>
    <w:p w14:paraId="1A552693">
      <w:pPr>
        <w:numPr>
          <w:ilvl w:val="0"/>
          <w:numId w:val="8"/>
        </w:numPr>
        <w:tabs>
          <w:tab w:val="left" w:pos="1080"/>
          <w:tab w:val="left" w:pos="2014"/>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对竞争性磋商文件的澄清或修改</w:t>
      </w:r>
    </w:p>
    <w:p w14:paraId="4FB59ED5">
      <w:pPr>
        <w:numPr>
          <w:ilvl w:val="1"/>
          <w:numId w:val="8"/>
        </w:numPr>
        <w:tabs>
          <w:tab w:val="left" w:pos="1080"/>
          <w:tab w:val="left" w:pos="1561"/>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59B2B86">
      <w:pPr>
        <w:numPr>
          <w:ilvl w:val="1"/>
          <w:numId w:val="8"/>
        </w:numPr>
        <w:tabs>
          <w:tab w:val="left" w:pos="1080"/>
          <w:tab w:val="left" w:pos="1561"/>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上述书面通知，按照获取竞争性磋商文件的潜在供应商提供的联系方式发出，因提供的信息有误导致通知延迟或无法通知的，采购人或采购代理机构不承担责任。</w:t>
      </w:r>
    </w:p>
    <w:p w14:paraId="2CE15480">
      <w:pPr>
        <w:numPr>
          <w:ilvl w:val="1"/>
          <w:numId w:val="8"/>
        </w:numPr>
        <w:tabs>
          <w:tab w:val="left" w:pos="1080"/>
          <w:tab w:val="left" w:pos="1561"/>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cstheme="minorEastAsia"/>
          <w:kern w:val="0"/>
          <w:sz w:val="24"/>
        </w:rPr>
        <w:t>以书面形式通知所有获取磋商文件的供应商</w:t>
      </w:r>
      <w:r>
        <w:rPr>
          <w:rFonts w:hint="eastAsia" w:ascii="宋体" w:hAnsi="宋体" w:cstheme="minorEastAsia"/>
          <w:sz w:val="24"/>
        </w:rPr>
        <w:t>；不足上述时间的，将顺延提交首次响应文件截止时间。</w:t>
      </w:r>
    </w:p>
    <w:p w14:paraId="5B737B67">
      <w:pPr>
        <w:tabs>
          <w:tab w:val="left" w:pos="1080"/>
          <w:tab w:val="left" w:pos="1561"/>
        </w:tabs>
        <w:snapToGrid w:val="0"/>
        <w:spacing w:line="360" w:lineRule="auto"/>
        <w:ind w:left="1080"/>
        <w:rPr>
          <w:rFonts w:hint="eastAsia" w:ascii="宋体" w:hAnsi="宋体" w:cstheme="minorEastAsia"/>
          <w:sz w:val="28"/>
        </w:rPr>
      </w:pPr>
      <w:bookmarkStart w:id="194" w:name="_Toc516367020"/>
      <w:bookmarkStart w:id="195" w:name="_Toc151193696"/>
      <w:bookmarkStart w:id="196" w:name="_Toc142311028"/>
      <w:bookmarkStart w:id="197" w:name="_Toc127151526"/>
      <w:bookmarkStart w:id="198" w:name="_Toc150509277"/>
      <w:bookmarkStart w:id="199" w:name="_Toc195842891"/>
      <w:bookmarkStart w:id="200" w:name="_Toc150774626"/>
      <w:bookmarkStart w:id="201" w:name="_Toc264969216"/>
      <w:bookmarkStart w:id="202" w:name="_Toc151190153"/>
      <w:bookmarkStart w:id="203" w:name="_Toc226337222"/>
      <w:bookmarkStart w:id="204" w:name="_Toc150774731"/>
      <w:bookmarkStart w:id="205" w:name="_Toc150480764"/>
      <w:bookmarkStart w:id="206" w:name="_Toc151193840"/>
      <w:bookmarkStart w:id="207" w:name="_Toc265228364"/>
      <w:bookmarkStart w:id="208" w:name="_Toc305158868"/>
      <w:bookmarkStart w:id="209" w:name="_Toc151193768"/>
      <w:bookmarkStart w:id="210" w:name="_Toc305158794"/>
      <w:bookmarkStart w:id="211" w:name="_Toc226965799"/>
      <w:bookmarkStart w:id="212" w:name="_Toc520356150"/>
      <w:bookmarkStart w:id="213" w:name="_Toc151193624"/>
      <w:bookmarkStart w:id="214" w:name="_Toc226309770"/>
      <w:bookmarkStart w:id="215" w:name="_Toc151193914"/>
      <w:bookmarkStart w:id="216" w:name="_Toc226965716"/>
    </w:p>
    <w:p w14:paraId="78521480">
      <w:pPr>
        <w:pStyle w:val="3"/>
        <w:spacing w:before="0" w:line="360" w:lineRule="auto"/>
        <w:rPr>
          <w:rFonts w:hint="eastAsia" w:ascii="宋体" w:hAnsi="宋体" w:eastAsia="宋体" w:cstheme="minorEastAsia"/>
          <w:sz w:val="28"/>
        </w:rPr>
      </w:pPr>
      <w:r>
        <w:rPr>
          <w:rFonts w:hint="eastAsia" w:ascii="宋体" w:hAnsi="宋体" w:eastAsia="宋体" w:cstheme="minorEastAsia"/>
          <w:sz w:val="28"/>
        </w:rPr>
        <w:t>三   响应文件</w:t>
      </w:r>
      <w:bookmarkEnd w:id="194"/>
      <w:r>
        <w:rPr>
          <w:rFonts w:hint="eastAsia" w:ascii="宋体" w:hAnsi="宋体" w:eastAsia="宋体" w:cstheme="minorEastAsia"/>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FE97CE4">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217" w:name="_Toc305158795"/>
      <w:bookmarkStart w:id="218" w:name="_Toc127161441"/>
      <w:bookmarkStart w:id="219" w:name="_Toc151193841"/>
      <w:bookmarkStart w:id="220" w:name="_Toc151193915"/>
      <w:bookmarkStart w:id="221" w:name="_Toc142311029"/>
      <w:bookmarkStart w:id="222" w:name="_Toc150774732"/>
      <w:bookmarkStart w:id="223" w:name="_Toc164351621"/>
      <w:bookmarkStart w:id="224" w:name="_Toc265228365"/>
      <w:bookmarkStart w:id="225" w:name="_Toc150509278"/>
      <w:bookmarkStart w:id="226" w:name="_Toc164229222"/>
      <w:bookmarkStart w:id="227" w:name="_Toc127151527"/>
      <w:bookmarkStart w:id="228" w:name="_Toc150774627"/>
      <w:bookmarkStart w:id="229" w:name="_Toc164608641"/>
      <w:bookmarkStart w:id="230" w:name="_Toc226337223"/>
      <w:bookmarkStart w:id="231" w:name="_Toc226965800"/>
      <w:bookmarkStart w:id="232" w:name="_Toc164608796"/>
      <w:bookmarkStart w:id="233" w:name="_Toc150480765"/>
      <w:bookmarkStart w:id="234" w:name="_Toc226965717"/>
      <w:bookmarkStart w:id="235" w:name="_Toc164229368"/>
      <w:bookmarkStart w:id="236" w:name="_Toc195842892"/>
      <w:bookmarkStart w:id="237" w:name="_Toc149720820"/>
      <w:bookmarkStart w:id="238" w:name="_Toc226309771"/>
      <w:bookmarkStart w:id="239" w:name="_Toc151190154"/>
      <w:bookmarkStart w:id="240" w:name="_Toc264969217"/>
      <w:bookmarkStart w:id="241" w:name="_Toc151193625"/>
      <w:bookmarkStart w:id="242" w:name="_Toc520356151"/>
      <w:bookmarkStart w:id="243" w:name="_Toc305158869"/>
      <w:bookmarkStart w:id="244" w:name="_Toc151193769"/>
      <w:bookmarkStart w:id="245" w:name="_Toc127151728"/>
      <w:bookmarkStart w:id="246" w:name="_Toc516367021"/>
      <w:bookmarkStart w:id="247" w:name="_Toc151193697"/>
      <w:r>
        <w:rPr>
          <w:rFonts w:hint="eastAsia" w:ascii="宋体" w:hAnsi="宋体" w:cstheme="minorEastAsia"/>
          <w:sz w:val="24"/>
        </w:rPr>
        <w:t>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cstheme="minorEastAsia"/>
          <w:sz w:val="24"/>
        </w:rPr>
        <w:t>及磋商语言</w:t>
      </w:r>
    </w:p>
    <w:p w14:paraId="3B69238D">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theme="minorEastAsia"/>
          <w:b/>
          <w:sz w:val="24"/>
        </w:rPr>
        <w:t>无效响应</w:t>
      </w:r>
      <w:r>
        <w:rPr>
          <w:rFonts w:hint="eastAsia" w:ascii="宋体" w:hAnsi="宋体" w:cstheme="minorEastAsia"/>
          <w:sz w:val="24"/>
        </w:rPr>
        <w:t>。</w:t>
      </w:r>
    </w:p>
    <w:p w14:paraId="4B85A147">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除竞争性磋商文件有特殊要求外，本项目磋商所使用的计量单位，应采用中华人民共和国法定计量单位。</w:t>
      </w:r>
    </w:p>
    <w:p w14:paraId="6088FE74">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29683EF">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248" w:name="_Toc516367022"/>
      <w:bookmarkStart w:id="249" w:name="_Ref467306195"/>
      <w:bookmarkStart w:id="250" w:name="_Ref467306676"/>
      <w:bookmarkStart w:id="251" w:name="_Toc265228366"/>
      <w:bookmarkStart w:id="252" w:name="_Toc520356152"/>
      <w:bookmarkStart w:id="253" w:name="_Toc142311030"/>
      <w:bookmarkStart w:id="254" w:name="_Toc149720821"/>
      <w:bookmarkStart w:id="255" w:name="_Toc151193770"/>
      <w:bookmarkStart w:id="256" w:name="_Toc305158870"/>
      <w:bookmarkStart w:id="257" w:name="_Toc226965801"/>
      <w:bookmarkStart w:id="258" w:name="_Toc150480766"/>
      <w:bookmarkStart w:id="259" w:name="_Toc164229369"/>
      <w:bookmarkStart w:id="260" w:name="_Toc150774628"/>
      <w:bookmarkStart w:id="261" w:name="_Toc127161442"/>
      <w:bookmarkStart w:id="262" w:name="_Toc226965718"/>
      <w:bookmarkStart w:id="263" w:name="_Toc226337224"/>
      <w:bookmarkStart w:id="264" w:name="_Toc127151729"/>
      <w:bookmarkStart w:id="265" w:name="_Toc150509279"/>
      <w:bookmarkStart w:id="266" w:name="_Toc305158796"/>
      <w:bookmarkStart w:id="267" w:name="_Toc150774733"/>
      <w:bookmarkStart w:id="268" w:name="_Toc226309772"/>
      <w:bookmarkStart w:id="269" w:name="_Toc127151528"/>
      <w:bookmarkStart w:id="270" w:name="_Toc264969218"/>
      <w:bookmarkStart w:id="271" w:name="_Toc195842893"/>
      <w:bookmarkStart w:id="272" w:name="_Toc164608797"/>
      <w:bookmarkStart w:id="273" w:name="_Toc151190155"/>
      <w:bookmarkStart w:id="274" w:name="_Toc164229223"/>
      <w:bookmarkStart w:id="275" w:name="_Toc151193916"/>
      <w:bookmarkStart w:id="276" w:name="_Toc151193698"/>
      <w:bookmarkStart w:id="277" w:name="_Toc164351622"/>
      <w:bookmarkStart w:id="278" w:name="_Toc151193842"/>
      <w:bookmarkStart w:id="279" w:name="_Toc151193626"/>
      <w:bookmarkStart w:id="280" w:name="_Toc164608642"/>
      <w:r>
        <w:rPr>
          <w:rFonts w:hint="eastAsia" w:ascii="宋体" w:hAnsi="宋体" w:cstheme="minorEastAsia"/>
          <w:sz w:val="24"/>
        </w:rPr>
        <w:t>响应文件</w:t>
      </w:r>
      <w:bookmarkEnd w:id="248"/>
      <w:bookmarkEnd w:id="249"/>
      <w:bookmarkEnd w:id="250"/>
      <w:r>
        <w:rPr>
          <w:rFonts w:hint="eastAsia" w:ascii="宋体" w:hAnsi="宋体" w:cstheme="minorEastAsia"/>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6350087E">
      <w:pPr>
        <w:numPr>
          <w:ilvl w:val="1"/>
          <w:numId w:val="8"/>
        </w:numPr>
        <w:tabs>
          <w:tab w:val="left" w:pos="1080"/>
          <w:tab w:val="left" w:pos="2014"/>
        </w:tabs>
        <w:snapToGrid w:val="0"/>
        <w:spacing w:line="360" w:lineRule="auto"/>
        <w:ind w:left="1077" w:hanging="720"/>
        <w:rPr>
          <w:rFonts w:hint="eastAsia" w:ascii="宋体" w:hAnsi="宋体" w:cstheme="minorEastAsia"/>
          <w:sz w:val="24"/>
        </w:rPr>
      </w:pPr>
      <w:bookmarkStart w:id="281" w:name="_Ref467052588"/>
      <w:r>
        <w:rPr>
          <w:rFonts w:hint="eastAsia" w:ascii="宋体" w:hAnsi="宋体" w:cstheme="minorEastAsia"/>
          <w:sz w:val="24"/>
        </w:rPr>
        <w:t>供应商应当按照竞争性磋商文件的要求编制响应文件，</w:t>
      </w:r>
      <w:r>
        <w:rPr>
          <w:rFonts w:hint="eastAsia" w:ascii="宋体" w:hAnsi="宋体" w:cstheme="minorEastAsia"/>
          <w:kern w:val="0"/>
          <w:sz w:val="24"/>
        </w:rPr>
        <w:t>并对其提交的响应文件的真实性、合法性承担法律责任</w:t>
      </w:r>
      <w:r>
        <w:rPr>
          <w:rFonts w:hint="eastAsia" w:ascii="宋体" w:hAnsi="宋体" w:cstheme="minorEastAsia"/>
          <w:sz w:val="24"/>
        </w:rPr>
        <w:t>。响应文件的部分格式要求，见第六章《响应文件格式》。</w:t>
      </w:r>
    </w:p>
    <w:p w14:paraId="1062AB1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kern w:val="0"/>
          <w:sz w:val="24"/>
        </w:rPr>
        <w:t>对于竞争性磋商文件中标记了“实质性格式”文件的，</w:t>
      </w:r>
      <w:r>
        <w:rPr>
          <w:rFonts w:hint="eastAsia" w:ascii="宋体" w:hAnsi="宋体" w:cs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theme="minorEastAsia"/>
          <w:b/>
          <w:kern w:val="0"/>
          <w:sz w:val="24"/>
        </w:rPr>
        <w:t>否则响应无效</w:t>
      </w:r>
      <w:r>
        <w:rPr>
          <w:rFonts w:hint="eastAsia" w:ascii="宋体" w:hAnsi="宋体" w:cstheme="minorEastAsia"/>
          <w:kern w:val="0"/>
          <w:sz w:val="24"/>
        </w:rPr>
        <w:t>。未标记“实质性格式”的文件和竞争性磋商文件未提供格式的内容，可由供应商自行编写。</w:t>
      </w:r>
    </w:p>
    <w:p w14:paraId="344B19C7">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第三章《评审方法和评审标准》中涉及的证明文件。</w:t>
      </w:r>
    </w:p>
    <w:p w14:paraId="4028C182">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6946660">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供应商认为应附的其他材料。</w:t>
      </w:r>
      <w:bookmarkEnd w:id="281"/>
    </w:p>
    <w:p w14:paraId="36285C06">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282" w:name="_Toc520356155"/>
      <w:bookmarkStart w:id="283" w:name="_Toc149720823"/>
      <w:bookmarkStart w:id="284" w:name="_Toc127151731"/>
      <w:bookmarkStart w:id="285" w:name="_Toc195842895"/>
      <w:bookmarkStart w:id="286" w:name="_Toc151193772"/>
      <w:bookmarkStart w:id="287" w:name="_Toc164608799"/>
      <w:bookmarkStart w:id="288" w:name="_Toc150774630"/>
      <w:bookmarkStart w:id="289" w:name="_Toc151193700"/>
      <w:bookmarkStart w:id="290" w:name="_Toc142311032"/>
      <w:bookmarkStart w:id="291" w:name="_Toc164229225"/>
      <w:bookmarkStart w:id="292" w:name="_Toc150509281"/>
      <w:bookmarkStart w:id="293" w:name="_Toc151193918"/>
      <w:bookmarkStart w:id="294" w:name="_Toc151190157"/>
      <w:bookmarkStart w:id="295" w:name="_Toc164351624"/>
      <w:bookmarkStart w:id="296" w:name="_Toc150480768"/>
      <w:bookmarkStart w:id="297" w:name="_Toc151193628"/>
      <w:bookmarkStart w:id="298" w:name="_Toc127151530"/>
      <w:bookmarkStart w:id="299" w:name="_Toc127161444"/>
      <w:bookmarkStart w:id="300" w:name="_Toc150774735"/>
      <w:bookmarkStart w:id="301" w:name="_Toc164608644"/>
      <w:bookmarkStart w:id="302" w:name="_Toc164229371"/>
      <w:bookmarkStart w:id="303" w:name="_Toc151193844"/>
      <w:r>
        <w:rPr>
          <w:rFonts w:hint="eastAsia" w:ascii="宋体" w:hAnsi="宋体" w:cstheme="minorEastAsia"/>
          <w:sz w:val="24"/>
        </w:rPr>
        <w:t>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455F226E">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所有响应均以人民币为计价货币。</w:t>
      </w:r>
    </w:p>
    <w:p w14:paraId="6DB89E0A">
      <w:pPr>
        <w:numPr>
          <w:ilvl w:val="1"/>
          <w:numId w:val="8"/>
        </w:numPr>
        <w:tabs>
          <w:tab w:val="left" w:pos="1080"/>
        </w:tabs>
        <w:snapToGrid w:val="0"/>
        <w:spacing w:line="360" w:lineRule="auto"/>
        <w:rPr>
          <w:rFonts w:hint="eastAsia" w:ascii="宋体" w:hAnsi="宋体" w:cstheme="minorEastAsia"/>
          <w:sz w:val="24"/>
        </w:rPr>
      </w:pPr>
      <w:r>
        <w:rPr>
          <w:rFonts w:hint="eastAsia" w:ascii="宋体" w:hAnsi="宋体" w:cs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E93DBCB">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963E5D1">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按照竞争性磋商文件要求完成本项目的全部相关费用。</w:t>
      </w:r>
    </w:p>
    <w:p w14:paraId="3874726B">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采购人不得向供应商索要或者接受其给予的赠品、回扣或者与采购无关的其他商品、服务。</w:t>
      </w:r>
    </w:p>
    <w:p w14:paraId="6656577F">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供应商不能提供任何有选择性或可调整的最后报价（</w:t>
      </w:r>
      <w:r>
        <w:rPr>
          <w:rFonts w:hint="eastAsia" w:ascii="宋体" w:hAnsi="宋体" w:cstheme="minorEastAsia"/>
          <w:kern w:val="0"/>
          <w:sz w:val="24"/>
        </w:rPr>
        <w:t>竞争性磋商文件</w:t>
      </w:r>
      <w:r>
        <w:rPr>
          <w:rFonts w:hint="eastAsia" w:ascii="宋体" w:hAnsi="宋体" w:cstheme="minorEastAsia"/>
          <w:sz w:val="24"/>
        </w:rPr>
        <w:t>另有规定的除外），否则其</w:t>
      </w:r>
      <w:r>
        <w:rPr>
          <w:rFonts w:hint="eastAsia" w:ascii="宋体" w:hAnsi="宋体" w:cstheme="minorEastAsia"/>
          <w:b/>
          <w:sz w:val="24"/>
        </w:rPr>
        <w:t>响应无效</w:t>
      </w:r>
      <w:r>
        <w:rPr>
          <w:rFonts w:hint="eastAsia" w:ascii="宋体" w:hAnsi="宋体" w:cstheme="minorEastAsia"/>
          <w:sz w:val="24"/>
        </w:rPr>
        <w:t>。</w:t>
      </w:r>
    </w:p>
    <w:p w14:paraId="1967A12B">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磋商保证金</w:t>
      </w:r>
    </w:p>
    <w:p w14:paraId="379EB607">
      <w:pPr>
        <w:numPr>
          <w:ilvl w:val="1"/>
          <w:numId w:val="8"/>
        </w:numPr>
        <w:tabs>
          <w:tab w:val="left" w:pos="1080"/>
          <w:tab w:val="left" w:pos="2014"/>
        </w:tabs>
        <w:snapToGrid w:val="0"/>
        <w:spacing w:line="360" w:lineRule="auto"/>
        <w:ind w:left="1077" w:hanging="720"/>
        <w:rPr>
          <w:rFonts w:hint="eastAsia" w:ascii="宋体" w:hAnsi="宋体" w:cstheme="minorEastAsia"/>
          <w:sz w:val="24"/>
        </w:rPr>
      </w:pPr>
      <w:bookmarkStart w:id="304" w:name="_Ref467306302"/>
      <w:r>
        <w:rPr>
          <w:rFonts w:hint="eastAsia" w:ascii="宋体" w:hAnsi="宋体" w:cstheme="minorEastAsia"/>
          <w:sz w:val="24"/>
        </w:rPr>
        <w:t>供应商应按《供应商须知资料表》中规定的金额及要求交纳磋商保证金</w:t>
      </w:r>
      <w:bookmarkEnd w:id="304"/>
      <w:r>
        <w:rPr>
          <w:rFonts w:hint="eastAsia" w:ascii="宋体" w:hAnsi="宋体" w:cstheme="minorEastAsia"/>
          <w:sz w:val="24"/>
        </w:rPr>
        <w:t>。供应商自愿超额缴纳磋商保证金的，响应文件不做无效处理。</w:t>
      </w:r>
    </w:p>
    <w:p w14:paraId="5EBA085A">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交纳磋商保证金可采用的形式：政府采购法律法规接受的支票、汇票、本票、网上银行支付或者金融机构、担保机构出具的保函等非现金形式。</w:t>
      </w:r>
    </w:p>
    <w:p w14:paraId="21DF4E6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w:t>
      </w:r>
      <w:bookmarkStart w:id="305" w:name="_Hlk164959831"/>
      <w:r>
        <w:rPr>
          <w:rFonts w:hint="eastAsia" w:ascii="宋体" w:hAnsi="宋体" w:cstheme="minorEastAsia"/>
          <w:sz w:val="24"/>
        </w:rPr>
        <w:t>以电子保函形式提交磋商保证金的，应在首次响应文件提交截止时间前通过</w:t>
      </w:r>
      <w:r>
        <w:rPr>
          <w:rFonts w:hint="eastAsia" w:ascii="宋体" w:hAnsi="宋体" w:cstheme="minorEastAsia"/>
          <w:sz w:val="24"/>
          <w:lang w:bidi="ar"/>
        </w:rPr>
        <w:t>北京市政府采购电子交易平台完成电子保函在线办理。</w:t>
      </w:r>
      <w:bookmarkEnd w:id="305"/>
      <w:r>
        <w:rPr>
          <w:rFonts w:hint="eastAsia" w:ascii="宋体" w:hAnsi="宋体" w:cstheme="minorEastAsia"/>
          <w:sz w:val="24"/>
        </w:rPr>
        <w:t>未按上述要求缴纳保证金的，其</w:t>
      </w:r>
      <w:r>
        <w:rPr>
          <w:rFonts w:hint="eastAsia" w:ascii="宋体" w:hAnsi="宋体" w:cstheme="minorEastAsia"/>
          <w:b/>
          <w:sz w:val="24"/>
        </w:rPr>
        <w:t>响应无效</w:t>
      </w:r>
      <w:r>
        <w:rPr>
          <w:rFonts w:hint="eastAsia" w:ascii="宋体" w:hAnsi="宋体" w:cstheme="minorEastAsia"/>
          <w:sz w:val="24"/>
        </w:rPr>
        <w:t>。</w:t>
      </w:r>
    </w:p>
    <w:p w14:paraId="0ED04407">
      <w:pPr>
        <w:numPr>
          <w:ilvl w:val="1"/>
          <w:numId w:val="8"/>
        </w:numPr>
        <w:tabs>
          <w:tab w:val="left" w:pos="1080"/>
          <w:tab w:val="left" w:pos="2014"/>
        </w:tabs>
        <w:snapToGrid w:val="0"/>
        <w:spacing w:line="360" w:lineRule="auto"/>
        <w:ind w:left="1077" w:hanging="720"/>
        <w:rPr>
          <w:rFonts w:hint="eastAsia" w:ascii="宋体" w:hAnsi="宋体" w:cstheme="minorEastAsia"/>
          <w:sz w:val="24"/>
        </w:rPr>
      </w:pPr>
      <w:bookmarkStart w:id="306" w:name="_Hlk168432698"/>
      <w:r>
        <w:rPr>
          <w:rFonts w:hint="eastAsia" w:ascii="宋体" w:hAnsi="宋体" w:cstheme="minorEastAsia"/>
          <w:sz w:val="24"/>
        </w:rPr>
        <w:t>供应商除需在响应文件中提供“</w:t>
      </w:r>
      <w:r>
        <w:rPr>
          <w:rFonts w:hint="eastAsia" w:ascii="宋体" w:hAnsi="宋体" w:cstheme="minorEastAsia"/>
          <w:sz w:val="24"/>
          <w:szCs w:val="20"/>
        </w:rPr>
        <w:t>磋商保证金凭证/交款单据电子件</w:t>
      </w:r>
      <w:r>
        <w:rPr>
          <w:rFonts w:hint="eastAsia" w:ascii="宋体" w:hAnsi="宋体" w:cstheme="minorEastAsia"/>
          <w:sz w:val="24"/>
        </w:rPr>
        <w:t>”，还需在首次响应文件提交截止时间前，通过电子交易平台上传“</w:t>
      </w:r>
      <w:r>
        <w:rPr>
          <w:rFonts w:hint="eastAsia" w:ascii="宋体" w:hAnsi="宋体" w:cstheme="minorEastAsia"/>
          <w:sz w:val="24"/>
          <w:szCs w:val="20"/>
        </w:rPr>
        <w:t>磋商保证金凭证/交款单据电子件</w:t>
      </w:r>
      <w:r>
        <w:rPr>
          <w:rFonts w:hint="eastAsia" w:ascii="宋体" w:hAnsi="宋体" w:cstheme="minorEastAsia"/>
          <w:sz w:val="24"/>
        </w:rPr>
        <w:t>”。</w:t>
      </w:r>
    </w:p>
    <w:bookmarkEnd w:id="306"/>
    <w:p w14:paraId="66CE7C42">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磋商保证金有效期同响应有效期。</w:t>
      </w:r>
    </w:p>
    <w:p w14:paraId="1A81E744">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供应商为联合体的，可以由联合体中的一方或者多方共同交纳磋商保证金，其交纳的保证金对联合体各方均具有约束力。</w:t>
      </w:r>
    </w:p>
    <w:p w14:paraId="0491D5C7">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9C2DE00">
      <w:pPr>
        <w:numPr>
          <w:ilvl w:val="2"/>
          <w:numId w:val="8"/>
        </w:numPr>
        <w:snapToGrid w:val="0"/>
        <w:spacing w:line="360" w:lineRule="auto"/>
        <w:rPr>
          <w:rFonts w:hint="eastAsia" w:ascii="宋体" w:hAnsi="宋体" w:cstheme="minorEastAsia"/>
          <w:sz w:val="24"/>
        </w:rPr>
      </w:pPr>
      <w:r>
        <w:rPr>
          <w:rFonts w:hint="eastAsia" w:ascii="宋体" w:hAnsi="宋体" w:cstheme="minorEastAsia"/>
          <w:snapToGrid w:val="0"/>
          <w:kern w:val="0"/>
          <w:sz w:val="24"/>
        </w:rPr>
        <w:t>已提交响应文件的供应商，在提交最后报价之前，可以根据磋商情况退出磋商。采购人、采购代理机构将退还退出磋商的供应商的磋商保证金；</w:t>
      </w:r>
    </w:p>
    <w:p w14:paraId="73CB945E">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成交供应商的磋商保证金，在采购合同签订后5个工作日内退还成交供应商；</w:t>
      </w:r>
    </w:p>
    <w:p w14:paraId="6407C957">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未成交供应商的磋商保证金，在成交通知书发出后5个工作日内退还。</w:t>
      </w:r>
    </w:p>
    <w:p w14:paraId="19C3FDBA">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有下列情形之一的，采购人或采购代理机构不予退还磋商保证金：</w:t>
      </w:r>
    </w:p>
    <w:p w14:paraId="0EE98A5C">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供应商在响应文件提交截止时间后撤回响应文件的；</w:t>
      </w:r>
    </w:p>
    <w:p w14:paraId="306DB155">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供应商在响应文件中提供虚假材料的；</w:t>
      </w:r>
    </w:p>
    <w:p w14:paraId="7B38CF69">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除因不可抗力或磋商文件认可的情形以外，成交供应商不与采购人签订合同的；</w:t>
      </w:r>
    </w:p>
    <w:p w14:paraId="4D79DE90">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供应商与采购人、其他供应商或者采购代理机构恶意串通的；</w:t>
      </w:r>
    </w:p>
    <w:p w14:paraId="575C180C">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《供应商须知资料表》规定的其他情形。</w:t>
      </w:r>
    </w:p>
    <w:p w14:paraId="0313671E">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响应有效期</w:t>
      </w:r>
    </w:p>
    <w:p w14:paraId="1A67ACD0">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响应文件应在本竞争性磋商文件《供应商须知资料表》中规定的响应有效期内保持有效，响应有效期少于竞争性磋商文件规定期限的，其</w:t>
      </w:r>
      <w:r>
        <w:rPr>
          <w:rFonts w:hint="eastAsia" w:ascii="宋体" w:hAnsi="宋体" w:cstheme="minorEastAsia"/>
          <w:b/>
          <w:sz w:val="24"/>
        </w:rPr>
        <w:t>响应无效</w:t>
      </w:r>
      <w:r>
        <w:rPr>
          <w:rFonts w:hint="eastAsia" w:ascii="宋体" w:hAnsi="宋体" w:cstheme="minorEastAsia"/>
          <w:sz w:val="24"/>
        </w:rPr>
        <w:t>。</w:t>
      </w:r>
    </w:p>
    <w:p w14:paraId="165D62E9">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307" w:name="_Toc151193703"/>
      <w:bookmarkStart w:id="308" w:name="_Toc151190160"/>
      <w:bookmarkStart w:id="309" w:name="_Toc150480771"/>
      <w:bookmarkStart w:id="310" w:name="_Toc264969223"/>
      <w:bookmarkStart w:id="311" w:name="_Toc151193631"/>
      <w:bookmarkStart w:id="312" w:name="_Toc164229228"/>
      <w:bookmarkStart w:id="313" w:name="_Toc150774738"/>
      <w:bookmarkStart w:id="314" w:name="_Toc265228371"/>
      <w:bookmarkStart w:id="315" w:name="_Toc164229374"/>
      <w:bookmarkStart w:id="316" w:name="_Toc164608647"/>
      <w:bookmarkStart w:id="317" w:name="_Toc305158875"/>
      <w:bookmarkStart w:id="318" w:name="_Toc520356158"/>
      <w:bookmarkStart w:id="319" w:name="_Toc226965723"/>
      <w:bookmarkStart w:id="320" w:name="_Toc164351627"/>
      <w:bookmarkStart w:id="321" w:name="_Toc226965806"/>
      <w:bookmarkStart w:id="322" w:name="_Toc149720826"/>
      <w:bookmarkStart w:id="323" w:name="_Toc151193847"/>
      <w:bookmarkStart w:id="324" w:name="_Toc305158801"/>
      <w:bookmarkStart w:id="325" w:name="_Toc127161447"/>
      <w:bookmarkStart w:id="326" w:name="_Toc226309777"/>
      <w:bookmarkStart w:id="327" w:name="_Toc150509284"/>
      <w:bookmarkStart w:id="328" w:name="_Toc151193775"/>
      <w:bookmarkStart w:id="329" w:name="_Toc127151734"/>
      <w:bookmarkStart w:id="330" w:name="_Toc150774633"/>
      <w:bookmarkStart w:id="331" w:name="_Toc127151533"/>
      <w:bookmarkStart w:id="332" w:name="_Toc151193921"/>
      <w:bookmarkStart w:id="333" w:name="_Toc164608802"/>
      <w:bookmarkStart w:id="334" w:name="_Toc142311035"/>
      <w:bookmarkStart w:id="335" w:name="_Toc195842898"/>
      <w:bookmarkStart w:id="336" w:name="_Toc226337229"/>
      <w:r>
        <w:rPr>
          <w:rFonts w:hint="eastAsia" w:ascii="宋体" w:hAnsi="宋体" w:cstheme="minorEastAsia"/>
          <w:sz w:val="24"/>
        </w:rPr>
        <w:t>响应文件的签署</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rFonts w:hint="eastAsia" w:ascii="宋体" w:hAnsi="宋体" w:cstheme="minorEastAsia"/>
          <w:sz w:val="24"/>
        </w:rPr>
        <w:t>、盖章</w:t>
      </w:r>
    </w:p>
    <w:p w14:paraId="17A849BB">
      <w:pPr>
        <w:numPr>
          <w:ilvl w:val="1"/>
          <w:numId w:val="8"/>
        </w:numPr>
        <w:shd w:val="clear" w:color="auto" w:fill="FFFFFF"/>
        <w:tabs>
          <w:tab w:val="left" w:pos="1080"/>
          <w:tab w:val="left" w:pos="2014"/>
        </w:tabs>
        <w:snapToGrid w:val="0"/>
        <w:spacing w:line="360" w:lineRule="auto"/>
        <w:rPr>
          <w:rFonts w:hint="eastAsia" w:ascii="宋体" w:hAnsi="宋体" w:cs="宋体"/>
          <w:sz w:val="24"/>
        </w:rPr>
      </w:pPr>
      <w:bookmarkStart w:id="337" w:name="_Toc151193776"/>
      <w:bookmarkStart w:id="338" w:name="_Toc151193922"/>
      <w:bookmarkStart w:id="339" w:name="_Toc264969224"/>
      <w:bookmarkStart w:id="340" w:name="_Toc150509285"/>
      <w:bookmarkStart w:id="341" w:name="_Toc226965724"/>
      <w:bookmarkStart w:id="342" w:name="_Toc150774634"/>
      <w:bookmarkStart w:id="343" w:name="_Toc151193704"/>
      <w:bookmarkStart w:id="344" w:name="_Toc127151534"/>
      <w:bookmarkStart w:id="345" w:name="_Toc195842899"/>
      <w:bookmarkStart w:id="346" w:name="_Toc150774739"/>
      <w:bookmarkStart w:id="347" w:name="_Toc305158802"/>
      <w:bookmarkStart w:id="348" w:name="_Toc142311036"/>
      <w:bookmarkStart w:id="349" w:name="_Toc265228372"/>
      <w:bookmarkStart w:id="350" w:name="_Toc226965807"/>
      <w:bookmarkStart w:id="351" w:name="_Toc305158876"/>
      <w:bookmarkStart w:id="352" w:name="_Toc151193848"/>
      <w:bookmarkStart w:id="353" w:name="_Toc226309778"/>
      <w:bookmarkStart w:id="354" w:name="_Toc151190161"/>
      <w:bookmarkStart w:id="355" w:name="_Toc150480772"/>
      <w:bookmarkStart w:id="356" w:name="_Toc151193632"/>
      <w:bookmarkStart w:id="357" w:name="_Toc520356159"/>
      <w:bookmarkStart w:id="358" w:name="_Toc226337230"/>
      <w:r>
        <w:rPr>
          <w:rFonts w:hint="eastAsia" w:ascii="宋体" w:hAnsi="宋体" w:cs="宋体"/>
          <w:sz w:val="24"/>
        </w:rPr>
        <w:t>供应商应按竞争性磋商文件第二章供应商须知资料表的规定准备响应文件的正本、副本、电子版，每份响应文件须清楚地标明“正本”、“副本”、“电子版”。副本可以为正本的复印件，若正本和副本、电子文件不符，以纸质正本为准。</w:t>
      </w:r>
      <w:r>
        <w:rPr>
          <w:rFonts w:hint="eastAsia" w:ascii="宋体" w:hAnsi="宋体"/>
          <w:sz w:val="24"/>
        </w:rPr>
        <w:t>响应文件可双面打印。</w:t>
      </w:r>
    </w:p>
    <w:p w14:paraId="2E21508B">
      <w:pPr>
        <w:numPr>
          <w:ilvl w:val="1"/>
          <w:numId w:val="8"/>
        </w:numPr>
        <w:shd w:val="clear" w:color="auto" w:fill="FFFFFF"/>
        <w:tabs>
          <w:tab w:val="left" w:pos="1080"/>
          <w:tab w:val="left" w:pos="2014"/>
        </w:tabs>
        <w:snapToGrid w:val="0"/>
        <w:spacing w:line="360" w:lineRule="auto"/>
        <w:rPr>
          <w:rFonts w:hint="eastAsia" w:ascii="宋体" w:hAnsi="宋体" w:cs="宋体"/>
          <w:sz w:val="24"/>
        </w:rPr>
      </w:pPr>
      <w:r>
        <w:rPr>
          <w:rFonts w:hint="eastAsia" w:ascii="宋体" w:hAnsi="宋体" w:cs="宋体"/>
          <w:sz w:val="24"/>
        </w:rPr>
        <w:t>响应文件的正本需打印或用不退色墨水书写；</w:t>
      </w:r>
    </w:p>
    <w:p w14:paraId="4F1BB485">
      <w:pPr>
        <w:numPr>
          <w:ilvl w:val="1"/>
          <w:numId w:val="8"/>
        </w:numPr>
        <w:shd w:val="clear" w:color="auto" w:fill="FFFFFF"/>
        <w:tabs>
          <w:tab w:val="left" w:pos="1080"/>
          <w:tab w:val="left" w:pos="2014"/>
        </w:tabs>
        <w:snapToGrid w:val="0"/>
        <w:spacing w:line="360" w:lineRule="auto"/>
        <w:rPr>
          <w:rFonts w:hint="eastAsia" w:ascii="宋体" w:hAnsi="宋体" w:cs="宋体"/>
          <w:sz w:val="24"/>
        </w:rPr>
      </w:pPr>
      <w:r>
        <w:rPr>
          <w:rFonts w:hint="eastAsia" w:ascii="宋体" w:hAnsi="宋体" w:cs="宋体"/>
          <w:sz w:val="24"/>
        </w:rPr>
        <w:t>任何对响应文件行间插字、涂改和增删，必须由法定代表人或其授权代表签字或加盖本单位公章后有效；</w:t>
      </w:r>
    </w:p>
    <w:p w14:paraId="74E92BDA">
      <w:pPr>
        <w:numPr>
          <w:ilvl w:val="1"/>
          <w:numId w:val="8"/>
        </w:numPr>
        <w:shd w:val="clear" w:color="auto" w:fill="FFFFFF"/>
        <w:tabs>
          <w:tab w:val="left" w:pos="1080"/>
          <w:tab w:val="left" w:pos="2014"/>
        </w:tabs>
        <w:snapToGrid w:val="0"/>
        <w:spacing w:line="360" w:lineRule="auto"/>
        <w:rPr>
          <w:rFonts w:hint="eastAsia" w:ascii="宋体" w:hAnsi="宋体" w:cs="宋体"/>
          <w:sz w:val="24"/>
        </w:rPr>
      </w:pPr>
      <w:r>
        <w:rPr>
          <w:rFonts w:hint="eastAsia" w:ascii="宋体" w:hAnsi="宋体" w:cs="宋体"/>
          <w:sz w:val="24"/>
        </w:rPr>
        <w:t>响应文件因字迹潦草或表达不清所引起的后果由供应商负责；</w:t>
      </w:r>
    </w:p>
    <w:p w14:paraId="30444CB9">
      <w:pPr>
        <w:shd w:val="clear" w:color="auto" w:fill="FFFFFF"/>
        <w:tabs>
          <w:tab w:val="left" w:pos="900"/>
          <w:tab w:val="left" w:pos="1080"/>
        </w:tabs>
        <w:snapToGrid w:val="0"/>
        <w:spacing w:line="360" w:lineRule="auto"/>
        <w:ind w:left="357"/>
        <w:rPr>
          <w:rFonts w:hint="eastAsia" w:ascii="宋体" w:hAnsi="宋体" w:cs="宋体"/>
        </w:rPr>
      </w:pPr>
      <w:r>
        <w:rPr>
          <w:rFonts w:hint="eastAsia" w:ascii="宋体" w:hAnsi="宋体" w:cs="宋体"/>
          <w:sz w:val="24"/>
        </w:rPr>
        <w:t>竞争性磋商文件中所要求加盖的供应商公章是指与供应商名称全称相一致的“行政公章”，不得加盖其它“合同专用章、投标专用章、财务专用章”等非行政公章，否则将被视为无效响应。</w:t>
      </w:r>
    </w:p>
    <w:p w14:paraId="474018DE">
      <w:pPr>
        <w:tabs>
          <w:tab w:val="left" w:pos="900"/>
          <w:tab w:val="left" w:pos="1080"/>
        </w:tabs>
        <w:snapToGrid w:val="0"/>
        <w:spacing w:line="360" w:lineRule="auto"/>
        <w:ind w:left="357"/>
        <w:rPr>
          <w:rFonts w:hint="eastAsia" w:ascii="宋体" w:hAnsi="宋体" w:cstheme="minorEastAsia"/>
        </w:rPr>
      </w:pPr>
    </w:p>
    <w:p w14:paraId="0106D751">
      <w:pPr>
        <w:pStyle w:val="3"/>
        <w:spacing w:before="0" w:line="360" w:lineRule="auto"/>
        <w:rPr>
          <w:rFonts w:hint="eastAsia" w:ascii="宋体" w:hAnsi="宋体" w:eastAsia="宋体" w:cstheme="minorEastAsia"/>
          <w:sz w:val="28"/>
        </w:rPr>
      </w:pPr>
      <w:r>
        <w:rPr>
          <w:rFonts w:hint="eastAsia" w:ascii="宋体" w:hAnsi="宋体" w:eastAsia="宋体" w:cstheme="minorEastAsia"/>
          <w:sz w:val="28"/>
        </w:rPr>
        <w:t>四   响应文件的提交</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7E7EE9A8">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359" w:name="_Toc151193633"/>
      <w:bookmarkStart w:id="360" w:name="_Toc265228373"/>
      <w:bookmarkStart w:id="361" w:name="_Toc305158877"/>
      <w:bookmarkStart w:id="362" w:name="_Toc150774635"/>
      <w:bookmarkStart w:id="363" w:name="_Toc151193849"/>
      <w:bookmarkStart w:id="364" w:name="_Toc150774740"/>
      <w:bookmarkStart w:id="365" w:name="_Toc520356160"/>
      <w:bookmarkStart w:id="366" w:name="_Toc305158803"/>
      <w:bookmarkStart w:id="367" w:name="_Toc164608649"/>
      <w:bookmarkStart w:id="368" w:name="_Toc226337231"/>
      <w:bookmarkStart w:id="369" w:name="_Toc151190162"/>
      <w:bookmarkStart w:id="370" w:name="_Toc164608804"/>
      <w:bookmarkStart w:id="371" w:name="_Toc127151736"/>
      <w:bookmarkStart w:id="372" w:name="_Toc151193923"/>
      <w:bookmarkStart w:id="373" w:name="_Toc226309779"/>
      <w:bookmarkStart w:id="374" w:name="_Toc151193705"/>
      <w:bookmarkStart w:id="375" w:name="_Toc164229230"/>
      <w:bookmarkStart w:id="376" w:name="_Toc195842900"/>
      <w:bookmarkStart w:id="377" w:name="_Toc151193777"/>
      <w:bookmarkStart w:id="378" w:name="_Toc150509286"/>
      <w:bookmarkStart w:id="379" w:name="_Toc226965725"/>
      <w:bookmarkStart w:id="380" w:name="_Toc164351629"/>
      <w:bookmarkStart w:id="381" w:name="_Toc142311037"/>
      <w:bookmarkStart w:id="382" w:name="_Toc226965808"/>
      <w:bookmarkStart w:id="383" w:name="_Toc264969225"/>
      <w:bookmarkStart w:id="384" w:name="_Toc127161449"/>
      <w:bookmarkStart w:id="385" w:name="_Toc150480773"/>
      <w:bookmarkStart w:id="386" w:name="_Toc149720828"/>
      <w:bookmarkStart w:id="387" w:name="_Toc127151535"/>
      <w:bookmarkStart w:id="388" w:name="_Toc164229376"/>
      <w:r>
        <w:rPr>
          <w:rFonts w:hint="eastAsia" w:ascii="宋体" w:hAnsi="宋体" w:cstheme="minorEastAsia"/>
          <w:sz w:val="24"/>
        </w:rPr>
        <w:t>响应文件的</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rFonts w:hint="eastAsia" w:ascii="宋体" w:hAnsi="宋体" w:cstheme="minorEastAsia"/>
          <w:sz w:val="24"/>
        </w:rPr>
        <w:t>提交</w:t>
      </w:r>
    </w:p>
    <w:p w14:paraId="65D6CAD1">
      <w:pPr>
        <w:numPr>
          <w:ilvl w:val="1"/>
          <w:numId w:val="8"/>
        </w:numPr>
        <w:shd w:val="clear" w:color="auto" w:fill="FFFFFF"/>
        <w:tabs>
          <w:tab w:val="left" w:pos="1080"/>
          <w:tab w:val="left" w:pos="2014"/>
        </w:tabs>
        <w:snapToGrid w:val="0"/>
        <w:spacing w:line="360" w:lineRule="auto"/>
        <w:rPr>
          <w:rFonts w:hint="eastAsia" w:ascii="宋体" w:hAnsi="宋体" w:cs="宋体"/>
          <w:sz w:val="24"/>
        </w:rPr>
      </w:pPr>
      <w:r>
        <w:rPr>
          <w:rFonts w:hint="eastAsia" w:ascii="宋体" w:hAnsi="宋体" w:cs="宋体"/>
          <w:b/>
          <w:sz w:val="24"/>
        </w:rPr>
        <w:t>响应文件一律采用A4纸（图纸、彩页等除外）左侧装订。装订应牢固可靠，不易散落，不得采用活页式装订，采购人或采购代理机构对因装订不牢造成的文件散失不负责任。</w:t>
      </w:r>
    </w:p>
    <w:p w14:paraId="7C2F91CF">
      <w:pPr>
        <w:numPr>
          <w:ilvl w:val="1"/>
          <w:numId w:val="8"/>
        </w:numPr>
        <w:tabs>
          <w:tab w:val="left" w:pos="1080"/>
          <w:tab w:val="left" w:pos="2014"/>
        </w:tabs>
        <w:snapToGrid w:val="0"/>
        <w:spacing w:line="360" w:lineRule="auto"/>
        <w:rPr>
          <w:rFonts w:hint="eastAsia" w:ascii="宋体" w:hAnsi="宋体"/>
          <w:sz w:val="24"/>
        </w:rPr>
      </w:pPr>
      <w:r>
        <w:rPr>
          <w:rFonts w:hint="eastAsia" w:ascii="宋体" w:hAnsi="宋体"/>
          <w:sz w:val="24"/>
        </w:rPr>
        <w:t>所有响应文件必须装入密封的信封，并在封口上加盖供应商的公章。响应文件的正本、副本和电子版应分别封装，并在每一信封或包装的封面上写明：</w:t>
      </w:r>
    </w:p>
    <w:p w14:paraId="47F9A2E4">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正本或副本或电子版；</w:t>
      </w:r>
    </w:p>
    <w:p w14:paraId="4EEAE5DC">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采购人名称；</w:t>
      </w:r>
    </w:p>
    <w:p w14:paraId="24810B61">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磋商地点及时间；</w:t>
      </w:r>
    </w:p>
    <w:p w14:paraId="059E55A5">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项目编号；</w:t>
      </w:r>
    </w:p>
    <w:p w14:paraId="26484068">
      <w:pPr>
        <w:tabs>
          <w:tab w:val="left" w:pos="1080"/>
          <w:tab w:val="left" w:pos="1589"/>
          <w:tab w:val="left" w:pos="2014"/>
        </w:tabs>
        <w:snapToGrid w:val="0"/>
        <w:spacing w:line="360" w:lineRule="auto"/>
        <w:ind w:left="1077"/>
        <w:rPr>
          <w:rFonts w:hint="eastAsia" w:ascii="宋体" w:hAnsi="宋体"/>
          <w:sz w:val="24"/>
        </w:rPr>
      </w:pPr>
      <w:r>
        <w:rPr>
          <w:rFonts w:hint="eastAsia" w:ascii="宋体" w:hAnsi="宋体"/>
          <w:sz w:val="24"/>
        </w:rPr>
        <w:t>项目名称；</w:t>
      </w:r>
    </w:p>
    <w:p w14:paraId="3CDBA8BA">
      <w:pPr>
        <w:shd w:val="clear" w:color="auto" w:fill="FFFFFF"/>
        <w:tabs>
          <w:tab w:val="left" w:pos="900"/>
          <w:tab w:val="left" w:pos="1080"/>
          <w:tab w:val="left" w:pos="1589"/>
          <w:tab w:val="left" w:pos="2014"/>
        </w:tabs>
        <w:snapToGrid w:val="0"/>
        <w:spacing w:line="360" w:lineRule="auto"/>
        <w:ind w:firstLine="991" w:firstLineChars="413"/>
        <w:rPr>
          <w:rFonts w:hint="eastAsia" w:ascii="宋体" w:hAnsi="宋体" w:cs="宋体"/>
          <w:sz w:val="24"/>
        </w:rPr>
      </w:pPr>
      <w:r>
        <w:rPr>
          <w:rFonts w:hint="eastAsia" w:ascii="宋体" w:hAnsi="宋体"/>
          <w:sz w:val="24"/>
        </w:rPr>
        <w:t>供应商名称及地址。</w:t>
      </w:r>
    </w:p>
    <w:p w14:paraId="51E4C455">
      <w:pPr>
        <w:numPr>
          <w:ilvl w:val="0"/>
          <w:numId w:val="8"/>
        </w:numPr>
        <w:shd w:val="clear" w:color="auto" w:fill="FFFFFF"/>
        <w:tabs>
          <w:tab w:val="left" w:pos="360"/>
        </w:tabs>
        <w:snapToGrid w:val="0"/>
        <w:spacing w:line="360" w:lineRule="auto"/>
        <w:outlineLvl w:val="2"/>
        <w:rPr>
          <w:rFonts w:hint="eastAsia" w:ascii="宋体" w:hAnsi="宋体" w:cs="宋体"/>
          <w:sz w:val="24"/>
        </w:rPr>
      </w:pPr>
      <w:bookmarkStart w:id="389" w:name="_Toc151190163"/>
      <w:bookmarkStart w:id="390" w:name="_Toc150480774"/>
      <w:bookmarkStart w:id="391" w:name="_Toc226309780"/>
      <w:bookmarkStart w:id="392" w:name="_Toc520356161"/>
      <w:bookmarkStart w:id="393" w:name="_Toc226965809"/>
      <w:bookmarkStart w:id="394" w:name="_Toc150774636"/>
      <w:bookmarkStart w:id="395" w:name="_Toc127161450"/>
      <w:bookmarkStart w:id="396" w:name="_Toc305158804"/>
      <w:bookmarkStart w:id="397" w:name="_Toc264969226"/>
      <w:bookmarkStart w:id="398" w:name="_Toc127151536"/>
      <w:bookmarkStart w:id="399" w:name="_Toc226337232"/>
      <w:bookmarkStart w:id="400" w:name="_Toc150509287"/>
      <w:bookmarkStart w:id="401" w:name="_Toc142311038"/>
      <w:bookmarkStart w:id="402" w:name="_Toc164229377"/>
      <w:bookmarkStart w:id="403" w:name="_Toc164229231"/>
      <w:bookmarkStart w:id="404" w:name="_Toc164608650"/>
      <w:bookmarkStart w:id="405" w:name="_Toc305158878"/>
      <w:bookmarkStart w:id="406" w:name="_Toc151193706"/>
      <w:bookmarkStart w:id="407" w:name="_Toc195842901"/>
      <w:bookmarkStart w:id="408" w:name="_Toc265228374"/>
      <w:bookmarkStart w:id="409" w:name="_Toc150774741"/>
      <w:bookmarkStart w:id="410" w:name="_Toc151193778"/>
      <w:bookmarkStart w:id="411" w:name="_Toc151193924"/>
      <w:bookmarkStart w:id="412" w:name="_Toc151193634"/>
      <w:bookmarkStart w:id="413" w:name="_Toc149720829"/>
      <w:bookmarkStart w:id="414" w:name="_Toc127151737"/>
      <w:bookmarkStart w:id="415" w:name="_Toc226965726"/>
      <w:bookmarkStart w:id="416" w:name="_Toc164608805"/>
      <w:bookmarkStart w:id="417" w:name="_Toc151193850"/>
      <w:bookmarkStart w:id="418" w:name="_Toc164351630"/>
      <w:r>
        <w:rPr>
          <w:rFonts w:hint="eastAsia" w:ascii="宋体" w:hAnsi="宋体" w:cs="宋体"/>
          <w:sz w:val="24"/>
        </w:rPr>
        <w:t>响应文件递交截止</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rFonts w:hint="eastAsia" w:ascii="宋体" w:hAnsi="宋体" w:cs="宋体"/>
          <w:sz w:val="24"/>
        </w:rPr>
        <w:t>时间</w:t>
      </w:r>
    </w:p>
    <w:p w14:paraId="504CC5C6">
      <w:pPr>
        <w:numPr>
          <w:ilvl w:val="1"/>
          <w:numId w:val="8"/>
        </w:numPr>
        <w:shd w:val="clear" w:color="auto" w:fill="FFFFFF"/>
        <w:tabs>
          <w:tab w:val="left" w:pos="1080"/>
          <w:tab w:val="left" w:pos="2014"/>
        </w:tabs>
        <w:snapToGrid w:val="0"/>
        <w:spacing w:line="360" w:lineRule="auto"/>
        <w:rPr>
          <w:rFonts w:hint="eastAsia" w:ascii="宋体" w:hAnsi="宋体" w:cs="宋体"/>
          <w:sz w:val="24"/>
        </w:rPr>
      </w:pPr>
      <w:r>
        <w:rPr>
          <w:rFonts w:hint="eastAsia" w:ascii="宋体" w:hAnsi="宋体" w:cs="宋体"/>
          <w:sz w:val="24"/>
        </w:rPr>
        <w:t>供应商应在竞争性磋商文件要求提交响应文件截止时间前，将响应文件按竞争性磋商邀请中规定的地点递交。</w:t>
      </w:r>
    </w:p>
    <w:p w14:paraId="2C4C0F0D">
      <w:pPr>
        <w:numPr>
          <w:ilvl w:val="0"/>
          <w:numId w:val="8"/>
        </w:numPr>
        <w:shd w:val="clear" w:color="auto" w:fill="FFFFFF"/>
        <w:tabs>
          <w:tab w:val="left" w:pos="360"/>
        </w:tabs>
        <w:snapToGrid w:val="0"/>
        <w:spacing w:line="360" w:lineRule="auto"/>
        <w:outlineLvl w:val="2"/>
        <w:rPr>
          <w:rFonts w:hint="eastAsia" w:ascii="宋体" w:hAnsi="宋体" w:cs="宋体"/>
          <w:sz w:val="24"/>
        </w:rPr>
      </w:pPr>
      <w:bookmarkStart w:id="419" w:name="_Toc151193851"/>
      <w:bookmarkStart w:id="420" w:name="_Toc226309781"/>
      <w:bookmarkStart w:id="421" w:name="_Toc305158805"/>
      <w:bookmarkStart w:id="422" w:name="_Toc150509288"/>
      <w:bookmarkStart w:id="423" w:name="_Toc265228375"/>
      <w:bookmarkStart w:id="424" w:name="_Toc127151537"/>
      <w:bookmarkStart w:id="425" w:name="_Toc127151738"/>
      <w:bookmarkStart w:id="426" w:name="_Toc142311039"/>
      <w:bookmarkStart w:id="427" w:name="_Toc151190164"/>
      <w:bookmarkStart w:id="428" w:name="_Toc127161451"/>
      <w:bookmarkStart w:id="429" w:name="_Toc164229378"/>
      <w:bookmarkStart w:id="430" w:name="_Toc226965727"/>
      <w:bookmarkStart w:id="431" w:name="_Toc164351631"/>
      <w:bookmarkStart w:id="432" w:name="_Toc151193707"/>
      <w:bookmarkStart w:id="433" w:name="_Toc305158879"/>
      <w:bookmarkStart w:id="434" w:name="_Toc195842902"/>
      <w:bookmarkStart w:id="435" w:name="_Toc264969227"/>
      <w:bookmarkStart w:id="436" w:name="_Toc150774742"/>
      <w:bookmarkStart w:id="437" w:name="_Toc150774637"/>
      <w:bookmarkStart w:id="438" w:name="_Toc164608806"/>
      <w:bookmarkStart w:id="439" w:name="_Toc151193779"/>
      <w:bookmarkStart w:id="440" w:name="_Toc164608651"/>
      <w:bookmarkStart w:id="441" w:name="_Toc164229232"/>
      <w:bookmarkStart w:id="442" w:name="_Toc226337233"/>
      <w:bookmarkStart w:id="443" w:name="_Toc151193925"/>
      <w:bookmarkStart w:id="444" w:name="_Toc151193635"/>
      <w:bookmarkStart w:id="445" w:name="_Toc520356162"/>
      <w:bookmarkStart w:id="446" w:name="_Toc149720830"/>
      <w:bookmarkStart w:id="447" w:name="_Toc150480775"/>
      <w:bookmarkStart w:id="448" w:name="_Toc226965810"/>
      <w:r>
        <w:rPr>
          <w:rFonts w:hint="eastAsia" w:ascii="宋体" w:hAnsi="宋体" w:cs="宋体"/>
          <w:sz w:val="24"/>
        </w:rPr>
        <w:t>响应文件的修改与撤回</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7CEA428E">
      <w:pPr>
        <w:tabs>
          <w:tab w:val="left" w:pos="900"/>
          <w:tab w:val="left" w:pos="1080"/>
          <w:tab w:val="left" w:pos="1589"/>
        </w:tabs>
        <w:snapToGrid w:val="0"/>
        <w:spacing w:line="360" w:lineRule="auto"/>
        <w:ind w:left="357"/>
        <w:rPr>
          <w:rFonts w:hint="eastAsia" w:ascii="宋体" w:hAnsi="宋体" w:cs="宋体"/>
          <w:sz w:val="24"/>
        </w:rPr>
      </w:pPr>
      <w:r>
        <w:rPr>
          <w:rFonts w:hint="eastAsia" w:ascii="宋体" w:hAnsi="宋体" w:cs="宋体"/>
          <w:sz w:val="24"/>
        </w:rPr>
        <w:t>16.1 供应商在响应截止时间前，可以对所递交的响应文件进行补充、修改或者撤回，并书面通知采购人或者采购代理机构。补充、修改的内容应当按照磋商文件要求签署、盖章、密封后，作为响应文件的组成部分。</w:t>
      </w:r>
    </w:p>
    <w:p w14:paraId="420843D0">
      <w:pPr>
        <w:tabs>
          <w:tab w:val="left" w:pos="900"/>
          <w:tab w:val="left" w:pos="1080"/>
          <w:tab w:val="left" w:pos="1589"/>
        </w:tabs>
        <w:snapToGrid w:val="0"/>
        <w:spacing w:line="360" w:lineRule="auto"/>
        <w:ind w:left="357"/>
        <w:rPr>
          <w:rFonts w:hint="eastAsia" w:ascii="宋体" w:hAnsi="宋体" w:cs="宋体"/>
          <w:sz w:val="24"/>
        </w:rPr>
      </w:pPr>
      <w:r>
        <w:rPr>
          <w:rFonts w:hint="eastAsia" w:ascii="宋体" w:hAnsi="宋体" w:cs="宋体"/>
          <w:sz w:val="24"/>
        </w:rPr>
        <w:t>16.2 在首次响应文件接收截止时间之后至磋商前，供应商不得对其响应文件做任何修改。</w:t>
      </w:r>
    </w:p>
    <w:p w14:paraId="521E50B6">
      <w:pPr>
        <w:tabs>
          <w:tab w:val="left" w:pos="900"/>
          <w:tab w:val="left" w:pos="1080"/>
          <w:tab w:val="left" w:pos="1589"/>
        </w:tabs>
        <w:snapToGrid w:val="0"/>
        <w:spacing w:line="360" w:lineRule="auto"/>
        <w:ind w:left="357"/>
        <w:rPr>
          <w:rFonts w:hint="eastAsia" w:ascii="宋体" w:hAnsi="宋体" w:cstheme="minorEastAsia"/>
          <w:sz w:val="24"/>
        </w:rPr>
      </w:pPr>
      <w:r>
        <w:rPr>
          <w:rFonts w:hint="eastAsia" w:ascii="宋体" w:hAnsi="宋体" w:cs="宋体"/>
          <w:sz w:val="24"/>
        </w:rPr>
        <w:t>16.3 从提交最后报价后至供应商在响应文件格式中确定的磋商有效期之间，供应商不得修改或撤回其响应文件，否则其磋商保证金将按照本须知的规定不予退回。</w:t>
      </w:r>
    </w:p>
    <w:p w14:paraId="700B4143">
      <w:pPr>
        <w:pStyle w:val="3"/>
        <w:spacing w:before="0" w:line="360" w:lineRule="auto"/>
        <w:rPr>
          <w:rFonts w:hint="eastAsia" w:ascii="宋体" w:hAnsi="宋体" w:eastAsia="宋体" w:cstheme="minorEastAsia"/>
          <w:sz w:val="28"/>
        </w:rPr>
      </w:pPr>
      <w:bookmarkStart w:id="449" w:name="_Toc151193780"/>
      <w:bookmarkStart w:id="450" w:name="_Toc151190165"/>
      <w:bookmarkStart w:id="451" w:name="_Toc151193852"/>
      <w:bookmarkStart w:id="452" w:name="_Toc264969228"/>
      <w:bookmarkStart w:id="453" w:name="_Toc142311040"/>
      <w:bookmarkStart w:id="454" w:name="_Toc150480776"/>
      <w:bookmarkStart w:id="455" w:name="_Toc150774638"/>
      <w:bookmarkStart w:id="456" w:name="_Toc226965811"/>
      <w:bookmarkStart w:id="457" w:name="_Toc226337234"/>
      <w:bookmarkStart w:id="458" w:name="_Toc150509289"/>
      <w:bookmarkStart w:id="459" w:name="_Toc151193708"/>
      <w:bookmarkStart w:id="460" w:name="_Toc305158880"/>
      <w:bookmarkStart w:id="461" w:name="_Toc226965728"/>
      <w:bookmarkStart w:id="462" w:name="_Toc305158806"/>
      <w:bookmarkStart w:id="463" w:name="_Toc265228376"/>
      <w:bookmarkStart w:id="464" w:name="_Toc151193926"/>
      <w:bookmarkStart w:id="465" w:name="_Toc195842903"/>
      <w:bookmarkStart w:id="466" w:name="_Toc127151538"/>
      <w:bookmarkStart w:id="467" w:name="_Toc520356163"/>
      <w:bookmarkStart w:id="468" w:name="_Toc226309782"/>
      <w:bookmarkStart w:id="469" w:name="_Toc150774743"/>
      <w:bookmarkStart w:id="470" w:name="_Toc151193636"/>
      <w:r>
        <w:rPr>
          <w:rFonts w:hint="eastAsia" w:ascii="宋体" w:hAnsi="宋体" w:eastAsia="宋体" w:cstheme="minorEastAsia"/>
          <w:sz w:val="28"/>
        </w:rPr>
        <w:t xml:space="preserve">五   </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hint="eastAsia" w:ascii="宋体" w:hAnsi="宋体" w:eastAsia="宋体" w:cstheme="minorEastAsia"/>
          <w:sz w:val="28"/>
        </w:rPr>
        <w:t>评审</w:t>
      </w:r>
    </w:p>
    <w:p w14:paraId="7AD39DCC">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响应文件的解密与开启</w:t>
      </w:r>
    </w:p>
    <w:p w14:paraId="2359A20F">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采购人或采购代理机构将按竞争性磋商文件的规定，在响应文件提交截止时间的同一时间和竞争性磋商文件预先确定的地点开启响应文件。</w:t>
      </w:r>
    </w:p>
    <w:p w14:paraId="40AAD22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44DA8B7">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供应商不足3家的，不予开启响应文件，磋商文件有特殊要求的除外。</w:t>
      </w:r>
    </w:p>
    <w:p w14:paraId="624E604D">
      <w:pPr>
        <w:numPr>
          <w:ilvl w:val="1"/>
          <w:numId w:val="8"/>
        </w:numPr>
        <w:tabs>
          <w:tab w:val="left" w:pos="1080"/>
          <w:tab w:val="left" w:pos="2014"/>
        </w:tabs>
        <w:snapToGrid w:val="0"/>
        <w:spacing w:line="360" w:lineRule="auto"/>
        <w:ind w:left="1077" w:hanging="720"/>
        <w:rPr>
          <w:rFonts w:hint="eastAsia" w:ascii="宋体" w:hAnsi="宋体" w:cstheme="minorEastAsia"/>
          <w:sz w:val="24"/>
        </w:rPr>
      </w:pPr>
      <w:bookmarkStart w:id="471" w:name="_Toc520356165"/>
      <w:r>
        <w:rPr>
          <w:rFonts w:hint="eastAsia" w:ascii="宋体" w:hAnsi="宋体" w:cstheme="minorEastAsia"/>
          <w:sz w:val="24"/>
        </w:rPr>
        <w:t>本项目不公开报价。</w:t>
      </w:r>
    </w:p>
    <w:bookmarkEnd w:id="471"/>
    <w:p w14:paraId="73D1527F">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磋商小组</w:t>
      </w:r>
    </w:p>
    <w:p w14:paraId="4056BAE3">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磋商小组根据政府采购有关规定和本次采购项目的特点进行组建，并负责具体评审与磋商事务，独立履行职责。</w:t>
      </w:r>
      <w:bookmarkStart w:id="472" w:name="_Toc520356166"/>
    </w:p>
    <w:p w14:paraId="5A4C6DE8">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72"/>
      <w:bookmarkStart w:id="473" w:name="_Toc520356169"/>
    </w:p>
    <w:p w14:paraId="41213625">
      <w:pPr>
        <w:numPr>
          <w:ilvl w:val="0"/>
          <w:numId w:val="8"/>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评审方法和评审标准</w:t>
      </w:r>
    </w:p>
    <w:p w14:paraId="3227139E">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见第三章《评审方法和评审标准》。</w:t>
      </w:r>
    </w:p>
    <w:p w14:paraId="202856A3">
      <w:pPr>
        <w:tabs>
          <w:tab w:val="left" w:pos="360"/>
          <w:tab w:val="left" w:pos="1080"/>
        </w:tabs>
        <w:snapToGrid w:val="0"/>
        <w:spacing w:line="360" w:lineRule="auto"/>
        <w:ind w:left="1080"/>
        <w:rPr>
          <w:rFonts w:hint="eastAsia" w:ascii="宋体" w:hAnsi="宋体" w:cstheme="minorEastAsia"/>
          <w:sz w:val="24"/>
        </w:rPr>
      </w:pPr>
    </w:p>
    <w:p w14:paraId="46907492">
      <w:pPr>
        <w:pStyle w:val="3"/>
        <w:spacing w:before="0" w:line="360" w:lineRule="auto"/>
        <w:rPr>
          <w:rFonts w:hint="eastAsia" w:ascii="宋体" w:hAnsi="宋体" w:eastAsia="宋体" w:cstheme="minorEastAsia"/>
          <w:sz w:val="28"/>
        </w:rPr>
      </w:pPr>
      <w:bookmarkStart w:id="474" w:name="_Toc226337241"/>
      <w:bookmarkStart w:id="475" w:name="_Toc226309789"/>
      <w:bookmarkStart w:id="476" w:name="_Toc151193859"/>
      <w:bookmarkStart w:id="477" w:name="_Toc264969235"/>
      <w:bookmarkStart w:id="478" w:name="_Toc150509296"/>
      <w:bookmarkStart w:id="479" w:name="_Toc195842910"/>
      <w:bookmarkStart w:id="480" w:name="_Toc142311047"/>
      <w:bookmarkStart w:id="481" w:name="_Toc150480783"/>
      <w:bookmarkStart w:id="482" w:name="_Toc127151545"/>
      <w:bookmarkStart w:id="483" w:name="_Toc151190172"/>
      <w:bookmarkStart w:id="484" w:name="_Toc226965818"/>
      <w:bookmarkStart w:id="485" w:name="_Toc151193715"/>
      <w:bookmarkStart w:id="486" w:name="_Toc151193643"/>
      <w:bookmarkStart w:id="487" w:name="_Toc305158887"/>
      <w:bookmarkStart w:id="488" w:name="_Toc305158813"/>
      <w:bookmarkStart w:id="489" w:name="_Toc226965735"/>
      <w:bookmarkStart w:id="490" w:name="_Toc151193787"/>
      <w:bookmarkStart w:id="491" w:name="_Toc265228383"/>
      <w:bookmarkStart w:id="492" w:name="_Toc151193933"/>
      <w:bookmarkStart w:id="493" w:name="_Toc150774750"/>
      <w:bookmarkStart w:id="494" w:name="_Toc150774645"/>
      <w:r>
        <w:rPr>
          <w:rFonts w:hint="eastAsia" w:ascii="宋体" w:hAnsi="宋体" w:eastAsia="宋体" w:cstheme="minorEastAsia"/>
          <w:sz w:val="28"/>
        </w:rPr>
        <w:t xml:space="preserve">六   </w:t>
      </w:r>
      <w:bookmarkEnd w:id="473"/>
      <w:r>
        <w:rPr>
          <w:rFonts w:hint="eastAsia" w:ascii="宋体" w:hAnsi="宋体" w:eastAsia="宋体" w:cstheme="minorEastAsia"/>
          <w:sz w:val="28"/>
        </w:rPr>
        <w:t>确定</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hint="eastAsia" w:ascii="宋体" w:hAnsi="宋体" w:eastAsia="宋体" w:cstheme="minorEastAsia"/>
          <w:sz w:val="28"/>
        </w:rPr>
        <w:t>成交</w:t>
      </w:r>
    </w:p>
    <w:p w14:paraId="2ED4D836">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495" w:name="_Toc150509298"/>
      <w:bookmarkStart w:id="496" w:name="_Toc195842912"/>
      <w:bookmarkStart w:id="497" w:name="_Toc149720840"/>
      <w:bookmarkStart w:id="498" w:name="_Toc164608816"/>
      <w:bookmarkStart w:id="499" w:name="_Toc265228385"/>
      <w:bookmarkStart w:id="500" w:name="_Toc127151547"/>
      <w:bookmarkStart w:id="501" w:name="_Toc226965737"/>
      <w:bookmarkStart w:id="502" w:name="_Toc150774752"/>
      <w:bookmarkStart w:id="503" w:name="_Toc164229388"/>
      <w:bookmarkStart w:id="504" w:name="_Toc151193861"/>
      <w:bookmarkStart w:id="505" w:name="_Toc142311049"/>
      <w:bookmarkStart w:id="506" w:name="_Toc127161461"/>
      <w:bookmarkStart w:id="507" w:name="_Toc164229242"/>
      <w:bookmarkStart w:id="508" w:name="_Toc151193645"/>
      <w:bookmarkStart w:id="509" w:name="_Toc226337243"/>
      <w:bookmarkStart w:id="510" w:name="_Toc127151748"/>
      <w:bookmarkStart w:id="511" w:name="_Toc150774647"/>
      <w:bookmarkStart w:id="512" w:name="_Toc151193935"/>
      <w:bookmarkStart w:id="513" w:name="_Toc150480785"/>
      <w:bookmarkStart w:id="514" w:name="_Toc151190174"/>
      <w:bookmarkStart w:id="515" w:name="_Toc151193789"/>
      <w:bookmarkStart w:id="516" w:name="_Toc164608661"/>
      <w:bookmarkStart w:id="517" w:name="_Toc264969237"/>
      <w:bookmarkStart w:id="518" w:name="_Toc305158815"/>
      <w:bookmarkStart w:id="519" w:name="_Toc151193717"/>
      <w:bookmarkStart w:id="520" w:name="_Toc305158889"/>
      <w:bookmarkStart w:id="521" w:name="_Toc226309791"/>
      <w:bookmarkStart w:id="522" w:name="_Toc164351641"/>
      <w:bookmarkStart w:id="523" w:name="_Toc226965820"/>
      <w:r>
        <w:rPr>
          <w:rFonts w:hint="eastAsia" w:ascii="宋体" w:hAnsi="宋体" w:cstheme="minorEastAsia"/>
          <w:sz w:val="24"/>
        </w:rPr>
        <w:t>确定成交供应商</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36775AE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BE7D844">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524" w:name="_Toc305158891"/>
      <w:bookmarkStart w:id="525" w:name="_Toc305158817"/>
      <w:bookmarkStart w:id="526" w:name="_Toc226965739"/>
      <w:bookmarkStart w:id="527" w:name="_Toc226337245"/>
      <w:bookmarkStart w:id="528" w:name="_Toc127151549"/>
      <w:bookmarkStart w:id="529" w:name="_Toc164608663"/>
      <w:bookmarkStart w:id="530" w:name="_Toc151193937"/>
      <w:bookmarkStart w:id="531" w:name="_Toc164229390"/>
      <w:bookmarkStart w:id="532" w:name="_Toc150480787"/>
      <w:bookmarkStart w:id="533" w:name="_Toc151193719"/>
      <w:bookmarkStart w:id="534" w:name="_Toc127161463"/>
      <w:bookmarkStart w:id="535" w:name="_Toc151193647"/>
      <w:bookmarkStart w:id="536" w:name="_Toc226965822"/>
      <w:bookmarkStart w:id="537" w:name="_Toc164608818"/>
      <w:bookmarkStart w:id="538" w:name="_Toc151193791"/>
      <w:bookmarkStart w:id="539" w:name="_Toc142311051"/>
      <w:bookmarkStart w:id="540" w:name="_Toc151193863"/>
      <w:bookmarkStart w:id="541" w:name="_Toc151190176"/>
      <w:bookmarkStart w:id="542" w:name="_Toc127151750"/>
      <w:bookmarkStart w:id="543" w:name="_Toc195842914"/>
      <w:bookmarkStart w:id="544" w:name="_Toc265228387"/>
      <w:bookmarkStart w:id="545" w:name="_Toc226309793"/>
      <w:bookmarkStart w:id="546" w:name="_Toc150509300"/>
      <w:bookmarkStart w:id="547" w:name="_Toc149720842"/>
      <w:bookmarkStart w:id="548" w:name="_Toc164351643"/>
      <w:bookmarkStart w:id="549" w:name="_Toc150774649"/>
      <w:bookmarkStart w:id="550" w:name="_Toc164229244"/>
      <w:bookmarkStart w:id="551" w:name="_Toc150774754"/>
      <w:bookmarkStart w:id="552" w:name="_Toc264969239"/>
      <w:bookmarkStart w:id="553" w:name="_Toc520356176"/>
      <w:bookmarkStart w:id="554" w:name="_Ref467306425"/>
      <w:bookmarkStart w:id="555" w:name="_Ref467307090"/>
      <w:r>
        <w:rPr>
          <w:rFonts w:hint="eastAsia" w:ascii="宋体" w:hAnsi="宋体" w:cstheme="minorEastAsia"/>
          <w:sz w:val="24"/>
        </w:rPr>
        <w:t>成交公告与成交通知书</w:t>
      </w:r>
      <w:bookmarkEnd w:id="524"/>
      <w:bookmarkEnd w:id="525"/>
    </w:p>
    <w:p w14:paraId="28607BF3">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采购人或采购代理机构将</w:t>
      </w:r>
      <w:r>
        <w:rPr>
          <w:rFonts w:hint="eastAsia" w:ascii="宋体" w:hAnsi="宋体" w:cstheme="minorEastAsia"/>
          <w:kern w:val="0"/>
          <w:sz w:val="24"/>
        </w:rPr>
        <w:t>在成交供应商确定后2个工作日内，在</w:t>
      </w:r>
      <w:r>
        <w:rPr>
          <w:rFonts w:hint="eastAsia" w:ascii="宋体" w:hAnsi="宋体" w:cstheme="minorEastAsia"/>
          <w:sz w:val="24"/>
        </w:rPr>
        <w:t>北京市政府采购网</w:t>
      </w:r>
      <w:r>
        <w:rPr>
          <w:rFonts w:hint="eastAsia" w:ascii="宋体" w:hAnsi="宋体" w:cstheme="minorEastAsia"/>
          <w:kern w:val="0"/>
          <w:sz w:val="24"/>
        </w:rPr>
        <w:t>公告成交结果，同时向成交供应商发出成交通知书，</w:t>
      </w:r>
      <w:r>
        <w:rPr>
          <w:rFonts w:hint="eastAsia" w:ascii="宋体" w:hAnsi="宋体" w:cstheme="minorEastAsia"/>
          <w:sz w:val="24"/>
        </w:rPr>
        <w:t>成交公告期限为1个工作日。</w:t>
      </w:r>
    </w:p>
    <w:p w14:paraId="187FEB8D">
      <w:pPr>
        <w:numPr>
          <w:ilvl w:val="1"/>
          <w:numId w:val="8"/>
        </w:numPr>
        <w:tabs>
          <w:tab w:val="left" w:pos="1080"/>
          <w:tab w:val="left" w:pos="2014"/>
        </w:tabs>
        <w:snapToGrid w:val="0"/>
        <w:spacing w:line="360" w:lineRule="auto"/>
        <w:ind w:left="1080" w:hanging="720"/>
        <w:rPr>
          <w:rFonts w:hint="eastAsia" w:ascii="宋体" w:hAnsi="宋体" w:cstheme="minorEastAsia"/>
          <w:sz w:val="24"/>
        </w:rPr>
      </w:pPr>
      <w:r>
        <w:rPr>
          <w:rFonts w:hint="eastAsia" w:ascii="宋体" w:hAnsi="宋体" w:cstheme="minorEastAsia"/>
          <w:sz w:val="24"/>
        </w:rPr>
        <w:t>成交通知书对采购人和成交供应商均具有法律效力。成交通知书发出后，采购人改变成交结果的，或者成交供应商放弃成交项目的，应当依法承担法律责任。</w:t>
      </w:r>
    </w:p>
    <w:p w14:paraId="7E7C44A1">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终止</w:t>
      </w:r>
    </w:p>
    <w:p w14:paraId="0061CE7A">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出现下列情形之一的，采购人或采购代理机构将终止竞争性磋商采购活动，发布项目终止公告并说明原因，重新开展采购活动：</w:t>
      </w:r>
    </w:p>
    <w:p w14:paraId="433AC6B5">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因情况变化，不再符合规定的竞争性磋商采购方式适用情形的；</w:t>
      </w:r>
    </w:p>
    <w:p w14:paraId="40E5E3EC">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出现影响采购公正的违法、违规行为的；</w:t>
      </w:r>
    </w:p>
    <w:p w14:paraId="4E65B89D">
      <w:pPr>
        <w:numPr>
          <w:ilvl w:val="2"/>
          <w:numId w:val="8"/>
        </w:numPr>
        <w:snapToGrid w:val="0"/>
        <w:spacing w:line="360" w:lineRule="auto"/>
        <w:rPr>
          <w:rFonts w:hint="eastAsia" w:ascii="宋体" w:hAnsi="宋体" w:cstheme="minorEastAsia"/>
          <w:sz w:val="24"/>
        </w:rPr>
      </w:pPr>
      <w:r>
        <w:rPr>
          <w:rFonts w:hint="eastAsia" w:ascii="宋体" w:hAnsi="宋体" w:cs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14:paraId="2F683DBF">
      <w:pPr>
        <w:numPr>
          <w:ilvl w:val="0"/>
          <w:numId w:val="8"/>
        </w:numPr>
        <w:tabs>
          <w:tab w:val="left" w:pos="360"/>
        </w:tabs>
        <w:snapToGrid w:val="0"/>
        <w:spacing w:line="360" w:lineRule="auto"/>
        <w:ind w:left="357" w:hanging="357"/>
        <w:outlineLvl w:val="1"/>
        <w:rPr>
          <w:rFonts w:hint="eastAsia" w:ascii="宋体" w:hAnsi="宋体" w:cstheme="minorEastAsia"/>
          <w:sz w:val="24"/>
        </w:rPr>
      </w:pPr>
      <w:bookmarkStart w:id="556" w:name="_Toc150774755"/>
      <w:bookmarkStart w:id="557" w:name="_Ref467306978"/>
      <w:bookmarkStart w:id="558" w:name="_Toc150774650"/>
      <w:bookmarkStart w:id="559" w:name="_Toc151193938"/>
      <w:bookmarkStart w:id="560" w:name="_Ref467307062"/>
      <w:bookmarkStart w:id="561" w:name="_Toc164229391"/>
      <w:bookmarkStart w:id="562" w:name="_Toc305158892"/>
      <w:bookmarkStart w:id="563" w:name="_Toc265228388"/>
      <w:bookmarkStart w:id="564" w:name="_Toc150480788"/>
      <w:bookmarkStart w:id="565" w:name="_Toc226337246"/>
      <w:bookmarkStart w:id="566" w:name="_Toc142311052"/>
      <w:bookmarkStart w:id="567" w:name="_Toc305158818"/>
      <w:bookmarkStart w:id="568" w:name="_Toc151193720"/>
      <w:bookmarkStart w:id="569" w:name="_Ref467307204"/>
      <w:bookmarkStart w:id="570" w:name="_Toc149720843"/>
      <w:bookmarkStart w:id="571" w:name="_Toc151193648"/>
      <w:bookmarkStart w:id="572" w:name="_Toc226965823"/>
      <w:bookmarkStart w:id="573" w:name="_Toc520356175"/>
      <w:bookmarkStart w:id="574" w:name="_Toc195842915"/>
      <w:bookmarkStart w:id="575" w:name="_Toc164608664"/>
      <w:bookmarkStart w:id="576" w:name="_Toc150509301"/>
      <w:bookmarkStart w:id="577" w:name="_Ref467306377"/>
      <w:bookmarkStart w:id="578" w:name="_Toc127151550"/>
      <w:bookmarkStart w:id="579" w:name="_Toc164229245"/>
      <w:bookmarkStart w:id="580" w:name="_Toc127151751"/>
      <w:bookmarkStart w:id="581" w:name="_Toc151190177"/>
      <w:bookmarkStart w:id="582" w:name="_Toc151193864"/>
      <w:bookmarkStart w:id="583" w:name="_Toc264969240"/>
      <w:bookmarkStart w:id="584" w:name="_Toc164608819"/>
      <w:bookmarkStart w:id="585" w:name="_Toc226309794"/>
      <w:bookmarkStart w:id="586" w:name="_Toc226965740"/>
      <w:bookmarkStart w:id="587" w:name="_Toc127161464"/>
      <w:bookmarkStart w:id="588" w:name="_Toc164351644"/>
      <w:bookmarkStart w:id="589" w:name="_Toc151193792"/>
      <w:r>
        <w:rPr>
          <w:rFonts w:hint="eastAsia" w:ascii="宋体" w:hAnsi="宋体" w:cstheme="minorEastAsia"/>
          <w:sz w:val="24"/>
        </w:rPr>
        <w:t>签订合同</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4D1592A4">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采购人与成交供应商应当在成交通知书发出之日起30日内，按照磋商文件确定的合同文本以及采购标的、规格型号、采购金额、采购数量、技术和服务要求等事项签订政府采购合同。</w:t>
      </w:r>
    </w:p>
    <w:p w14:paraId="4FA777A4">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6A5B527">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联合体成交的，联合体各方应当共同与采购人签订合同，就采购合同约定的事项向采购人承担连带责任。</w:t>
      </w:r>
    </w:p>
    <w:p w14:paraId="7E238C8E">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政府采购合同不能转包。</w:t>
      </w:r>
    </w:p>
    <w:p w14:paraId="34D4194D">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theme="minorEastAsia"/>
          <w:b/>
          <w:sz w:val="24"/>
        </w:rPr>
        <w:t>否则响应无效</w:t>
      </w:r>
      <w:r>
        <w:rPr>
          <w:rFonts w:hint="eastAsia" w:ascii="宋体" w:hAnsi="宋体" w:cstheme="minorEastAsia"/>
          <w:sz w:val="24"/>
        </w:rPr>
        <w:t>。成交供应商就采购项目和分包项目向采购人负责，分包供应商就分包项目承担责任。</w:t>
      </w:r>
    </w:p>
    <w:p w14:paraId="47DB603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“政采贷”融资指引：详见《供应商须知资料表》。</w:t>
      </w:r>
    </w:p>
    <w:bookmarkEnd w:id="553"/>
    <w:bookmarkEnd w:id="554"/>
    <w:bookmarkEnd w:id="555"/>
    <w:p w14:paraId="4607BFA7">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询问与质疑</w:t>
      </w:r>
    </w:p>
    <w:p w14:paraId="32504C0D">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询问</w:t>
      </w:r>
    </w:p>
    <w:p w14:paraId="4D825528">
      <w:pPr>
        <w:numPr>
          <w:ilvl w:val="2"/>
          <w:numId w:val="8"/>
        </w:numPr>
        <w:snapToGrid w:val="0"/>
        <w:spacing w:line="360" w:lineRule="auto"/>
        <w:rPr>
          <w:rFonts w:hint="eastAsia" w:ascii="宋体" w:hAnsi="宋体" w:cstheme="minorEastAsia"/>
          <w:sz w:val="24"/>
        </w:rPr>
      </w:pPr>
      <w:bookmarkStart w:id="590" w:name="_Hlk179293422"/>
      <w:r>
        <w:rPr>
          <w:rFonts w:hint="eastAsia" w:ascii="宋体" w:hAnsi="宋体" w:cstheme="minorEastAsia"/>
          <w:sz w:val="24"/>
        </w:rPr>
        <w:t>供应商对政府采购活动事项有疑问的，可依法向采购人或采购代理机构提出询问，提出形式见《供应商须知资料表》。</w:t>
      </w:r>
      <w:bookmarkEnd w:id="590"/>
    </w:p>
    <w:p w14:paraId="1C09AF7B">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采购人或采购代理机构对供应商依法提出的询问，在3个工作日内作出答复，但答复的内容不得涉及商业秘密。</w:t>
      </w:r>
    </w:p>
    <w:p w14:paraId="3A9DD441">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质疑</w:t>
      </w:r>
    </w:p>
    <w:p w14:paraId="53E4A1E5">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0523B7B2">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64AD18D">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F55D64E">
      <w:pPr>
        <w:numPr>
          <w:ilvl w:val="2"/>
          <w:numId w:val="8"/>
        </w:numPr>
        <w:snapToGrid w:val="0"/>
        <w:spacing w:line="360" w:lineRule="auto"/>
        <w:rPr>
          <w:rFonts w:hint="eastAsia" w:ascii="宋体" w:hAnsi="宋体" w:cstheme="minorEastAsia"/>
          <w:sz w:val="24"/>
        </w:rPr>
      </w:pPr>
      <w:r>
        <w:rPr>
          <w:rFonts w:hint="eastAsia" w:ascii="宋体" w:hAnsi="宋体" w:cstheme="minorEastAsia"/>
          <w:sz w:val="24"/>
        </w:rPr>
        <w:t>供应商应在法定质疑期内一次性提出针对同一采购程序环节的质疑，法定质疑期内针对同一采购程序环节再次提出的质疑，采购人、采购代理机构有权不予答复。</w:t>
      </w:r>
    </w:p>
    <w:p w14:paraId="5B0B3E22">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接收询问和质疑的联系部门、联系电话和通讯地址见《供应商须知资料表》。</w:t>
      </w:r>
    </w:p>
    <w:p w14:paraId="595B8959">
      <w:pPr>
        <w:numPr>
          <w:ilvl w:val="0"/>
          <w:numId w:val="8"/>
        </w:numPr>
        <w:tabs>
          <w:tab w:val="left" w:pos="360"/>
        </w:tabs>
        <w:snapToGrid w:val="0"/>
        <w:spacing w:line="360" w:lineRule="auto"/>
        <w:ind w:left="357" w:hanging="357"/>
        <w:outlineLvl w:val="1"/>
        <w:rPr>
          <w:rFonts w:hint="eastAsia" w:ascii="宋体" w:hAnsi="宋体" w:cstheme="minorEastAsia"/>
          <w:sz w:val="24"/>
        </w:rPr>
      </w:pPr>
      <w:r>
        <w:rPr>
          <w:rFonts w:hint="eastAsia" w:ascii="宋体" w:hAnsi="宋体" w:cstheme="minorEastAsia"/>
          <w:sz w:val="24"/>
        </w:rPr>
        <w:t>代理费</w:t>
      </w:r>
    </w:p>
    <w:p w14:paraId="27B103DC">
      <w:pPr>
        <w:numPr>
          <w:ilvl w:val="1"/>
          <w:numId w:val="8"/>
        </w:numPr>
        <w:tabs>
          <w:tab w:val="left" w:pos="1080"/>
          <w:tab w:val="left" w:pos="2014"/>
        </w:tabs>
        <w:snapToGrid w:val="0"/>
        <w:spacing w:line="360" w:lineRule="auto"/>
        <w:ind w:left="1077" w:hanging="720"/>
        <w:rPr>
          <w:rFonts w:hint="eastAsia" w:ascii="宋体" w:hAnsi="宋体" w:cstheme="minorEastAsia"/>
          <w:sz w:val="24"/>
        </w:rPr>
      </w:pPr>
      <w:r>
        <w:rPr>
          <w:rFonts w:hint="eastAsia" w:ascii="宋体" w:hAnsi="宋体" w:cstheme="minorEastAsia"/>
          <w:sz w:val="24"/>
        </w:rPr>
        <w:t>收费对象、收费标准及缴纳时间见《供应商须知资料表》。由成交供应商支付的，成交供应商须一次性向采购代理机构缴纳代理费，报价应包含代理费用。</w:t>
      </w:r>
    </w:p>
    <w:p w14:paraId="4CEDD14F">
      <w:pPr>
        <w:spacing w:line="360" w:lineRule="auto"/>
        <w:jc w:val="center"/>
        <w:outlineLvl w:val="0"/>
        <w:rPr>
          <w:rFonts w:hint="eastAsia" w:ascii="宋体" w:hAnsi="宋体"/>
          <w:b/>
          <w:sz w:val="36"/>
          <w:szCs w:val="36"/>
        </w:rPr>
      </w:pPr>
      <w:r>
        <w:rPr>
          <w:rFonts w:ascii="宋体" w:hAnsi="宋体"/>
          <w:sz w:val="24"/>
        </w:rPr>
        <w:br w:type="page"/>
      </w:r>
      <w:bookmarkStart w:id="591" w:name="_Toc232493959"/>
      <w:r>
        <w:rPr>
          <w:rFonts w:ascii="宋体" w:hAnsi="宋体"/>
          <w:b/>
          <w:sz w:val="36"/>
          <w:szCs w:val="36"/>
        </w:rPr>
        <w:t xml:space="preserve">第三章   </w:t>
      </w:r>
      <w:bookmarkEnd w:id="72"/>
      <w:bookmarkEnd w:id="73"/>
      <w:bookmarkEnd w:id="74"/>
      <w:bookmarkEnd w:id="75"/>
      <w:bookmarkEnd w:id="76"/>
      <w:bookmarkEnd w:id="77"/>
      <w:bookmarkEnd w:id="78"/>
      <w:bookmarkEnd w:id="79"/>
      <w:bookmarkEnd w:id="80"/>
      <w:bookmarkEnd w:id="81"/>
      <w:bookmarkEnd w:id="82"/>
      <w:bookmarkEnd w:id="83"/>
      <w:bookmarkEnd w:id="84"/>
      <w:r>
        <w:rPr>
          <w:rFonts w:ascii="宋体" w:hAnsi="宋体"/>
          <w:b/>
          <w:sz w:val="36"/>
          <w:szCs w:val="36"/>
        </w:rPr>
        <w:t>评审方法和评审标准</w:t>
      </w:r>
      <w:bookmarkEnd w:id="591"/>
      <w:bookmarkStart w:id="592" w:name="_Toc487900382"/>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2"/>
    <w:p w14:paraId="5A839AFD">
      <w:pPr>
        <w:pStyle w:val="3"/>
        <w:spacing w:before="0" w:line="360" w:lineRule="auto"/>
        <w:rPr>
          <w:rFonts w:hint="eastAsia" w:ascii="宋体" w:hAnsi="宋体" w:eastAsia="宋体" w:cstheme="minorEastAsia"/>
          <w:sz w:val="24"/>
          <w:szCs w:val="24"/>
        </w:rPr>
      </w:pPr>
      <w:bookmarkStart w:id="593" w:name="_Toc226337251"/>
      <w:bookmarkStart w:id="594" w:name="_Toc265228393"/>
      <w:bookmarkStart w:id="595" w:name="_Toc353873665"/>
      <w:bookmarkStart w:id="596" w:name="_Toc305158823"/>
      <w:bookmarkStart w:id="597" w:name="_Toc150480793"/>
      <w:bookmarkStart w:id="598" w:name="_Toc150774760"/>
      <w:bookmarkStart w:id="599" w:name="_Toc305158897"/>
      <w:bookmarkStart w:id="600" w:name="_Toc353825545"/>
      <w:bookmarkStart w:id="601" w:name="_Toc127151555"/>
      <w:bookmarkStart w:id="602" w:name="_Toc142311057"/>
      <w:bookmarkStart w:id="603" w:name="_Toc264969245"/>
      <w:bookmarkStart w:id="604" w:name="_Toc226965828"/>
      <w:bookmarkStart w:id="605" w:name="_Toc353873935"/>
      <w:bookmarkStart w:id="606" w:name="_Toc195842920"/>
      <w:r>
        <w:rPr>
          <w:rFonts w:hint="eastAsia" w:ascii="宋体" w:hAnsi="宋体" w:eastAsia="宋体" w:cstheme="minorEastAsia"/>
          <w:sz w:val="24"/>
          <w:szCs w:val="24"/>
        </w:rPr>
        <w:t>一、评审程序和方法</w:t>
      </w:r>
    </w:p>
    <w:p w14:paraId="05DDCD35">
      <w:pPr>
        <w:tabs>
          <w:tab w:val="left" w:pos="1080"/>
        </w:tabs>
        <w:snapToGrid w:val="0"/>
        <w:jc w:val="left"/>
        <w:rPr>
          <w:rFonts w:hint="eastAsia" w:ascii="宋体" w:hAnsi="宋体" w:cstheme="minorEastAsia"/>
          <w:b/>
          <w:sz w:val="24"/>
        </w:rPr>
      </w:pPr>
      <w:r>
        <w:rPr>
          <w:rFonts w:hint="eastAsia" w:ascii="宋体" w:hAnsi="宋体" w:cstheme="minorEastAsia"/>
          <w:b/>
          <w:sz w:val="24"/>
        </w:rPr>
        <w:tab/>
      </w:r>
    </w:p>
    <w:p w14:paraId="29160FF2">
      <w:pPr>
        <w:numPr>
          <w:ilvl w:val="0"/>
          <w:numId w:val="11"/>
        </w:numPr>
        <w:tabs>
          <w:tab w:val="left" w:pos="360"/>
        </w:tabs>
        <w:snapToGrid w:val="0"/>
        <w:spacing w:line="360" w:lineRule="auto"/>
        <w:outlineLvl w:val="1"/>
        <w:rPr>
          <w:rFonts w:hint="eastAsia" w:ascii="宋体" w:hAnsi="宋体" w:cstheme="minorEastAsia"/>
          <w:sz w:val="24"/>
        </w:rPr>
      </w:pPr>
      <w:bookmarkStart w:id="607" w:name="_Toc164229382"/>
      <w:bookmarkStart w:id="608" w:name="_Toc151193639"/>
      <w:bookmarkStart w:id="609" w:name="_Toc149720834"/>
      <w:bookmarkStart w:id="610" w:name="_Toc164351635"/>
      <w:bookmarkStart w:id="611" w:name="_Toc150774746"/>
      <w:bookmarkStart w:id="612" w:name="_Toc226965814"/>
      <w:bookmarkStart w:id="613" w:name="_Toc226337237"/>
      <w:bookmarkStart w:id="614" w:name="_Toc226309785"/>
      <w:bookmarkStart w:id="615" w:name="_Toc195842906"/>
      <w:bookmarkStart w:id="616" w:name="_Toc151193711"/>
      <w:bookmarkStart w:id="617" w:name="_Toc151193855"/>
      <w:bookmarkStart w:id="618" w:name="_Toc151190168"/>
      <w:bookmarkStart w:id="619" w:name="_Toc151193783"/>
      <w:bookmarkStart w:id="620" w:name="_Toc151193929"/>
      <w:bookmarkStart w:id="621" w:name="_Toc164608655"/>
      <w:bookmarkStart w:id="622" w:name="_Toc127151742"/>
      <w:bookmarkStart w:id="623" w:name="_Toc150480779"/>
      <w:bookmarkStart w:id="624" w:name="_Toc150509292"/>
      <w:bookmarkStart w:id="625" w:name="_Toc127151541"/>
      <w:bookmarkStart w:id="626" w:name="_Toc226965731"/>
      <w:bookmarkStart w:id="627" w:name="_Toc142311043"/>
      <w:bookmarkStart w:id="628" w:name="_Toc164608810"/>
      <w:bookmarkStart w:id="629" w:name="_Toc164229236"/>
      <w:bookmarkStart w:id="630" w:name="_Toc127161455"/>
      <w:bookmarkStart w:id="631" w:name="_Toc150774641"/>
      <w:bookmarkStart w:id="632" w:name="_Toc265228379"/>
      <w:bookmarkStart w:id="633" w:name="_Toc305158883"/>
      <w:bookmarkStart w:id="634" w:name="_Toc264969231"/>
      <w:bookmarkStart w:id="635" w:name="_Toc305158809"/>
      <w:bookmarkStart w:id="636" w:name="_Toc353825551"/>
      <w:bookmarkStart w:id="637" w:name="_Toc353873941"/>
      <w:r>
        <w:rPr>
          <w:rFonts w:hint="eastAsia" w:ascii="宋体" w:hAnsi="宋体" w:cstheme="minorEastAsia"/>
          <w:sz w:val="24"/>
        </w:rPr>
        <w:t>响应文件的</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rPr>
          <w:rFonts w:hint="eastAsia" w:ascii="宋体" w:hAnsi="宋体" w:cstheme="minorEastAsia"/>
          <w:sz w:val="24"/>
        </w:rPr>
        <w:t>资格审查和符合性审查</w:t>
      </w:r>
    </w:p>
    <w:p w14:paraId="4E6E7867">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cstheme="minorEastAsia"/>
          <w:b/>
          <w:sz w:val="24"/>
        </w:rPr>
        <w:t>无效响应</w:t>
      </w:r>
      <w:r>
        <w:rPr>
          <w:rFonts w:hint="eastAsia" w:ascii="宋体" w:hAnsi="宋体" w:cstheme="minorEastAsia"/>
          <w:sz w:val="24"/>
        </w:rPr>
        <w:t>处理，磋商小组应当告知提交响应文件的供应商。</w:t>
      </w:r>
    </w:p>
    <w:p w14:paraId="7F0DD7D0">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《资格审查要求》中对格式有要求的，除竞争性磋商文件另有规定外，均为“实质性格式”文件。</w:t>
      </w:r>
    </w:p>
    <w:p w14:paraId="511D42F1">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《资格审查要求》见下表：</w:t>
      </w:r>
    </w:p>
    <w:p w14:paraId="6A9E0578">
      <w:pPr>
        <w:rPr>
          <w:rFonts w:hint="eastAsia" w:ascii="宋体" w:hAnsi="宋体" w:cstheme="minorEastAsia"/>
          <w:b/>
          <w:sz w:val="24"/>
        </w:rPr>
      </w:pPr>
      <w:r>
        <w:rPr>
          <w:rFonts w:hint="eastAsia" w:ascii="宋体" w:hAnsi="宋体" w:cstheme="minorEastAsia"/>
          <w:b/>
          <w:sz w:val="24"/>
        </w:rPr>
        <w:br w:type="page"/>
      </w:r>
    </w:p>
    <w:p w14:paraId="4B44B857">
      <w:pPr>
        <w:tabs>
          <w:tab w:val="left" w:pos="900"/>
          <w:tab w:val="left" w:pos="1080"/>
        </w:tabs>
        <w:snapToGrid w:val="0"/>
        <w:spacing w:line="360" w:lineRule="auto"/>
        <w:ind w:left="1077" w:firstLine="2650" w:firstLineChars="1100"/>
        <w:rPr>
          <w:rFonts w:hint="eastAsia" w:ascii="宋体" w:hAnsi="宋体" w:cstheme="minorEastAsia"/>
          <w:b/>
          <w:sz w:val="24"/>
        </w:rPr>
      </w:pPr>
      <w:r>
        <w:rPr>
          <w:rFonts w:hint="eastAsia" w:ascii="宋体" w:hAnsi="宋体" w:cstheme="minorEastAsia"/>
          <w:b/>
          <w:sz w:val="24"/>
        </w:rPr>
        <w:t>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556"/>
        <w:gridCol w:w="4279"/>
        <w:gridCol w:w="1706"/>
      </w:tblGrid>
      <w:tr w14:paraId="5C0E0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660C317">
            <w:pPr>
              <w:tabs>
                <w:tab w:val="left" w:pos="1080"/>
              </w:tabs>
              <w:snapToGrid w:val="0"/>
              <w:jc w:val="center"/>
              <w:rPr>
                <w:rFonts w:hint="eastAsia" w:ascii="宋体" w:hAnsi="宋体" w:cstheme="minorEastAsia"/>
                <w:b/>
                <w:sz w:val="24"/>
              </w:rPr>
            </w:pPr>
            <w:bookmarkStart w:id="638" w:name="_Hlt487972895"/>
            <w:bookmarkEnd w:id="638"/>
            <w:r>
              <w:rPr>
                <w:rFonts w:hint="eastAsia" w:ascii="宋体" w:hAnsi="宋体" w:cstheme="minorEastAsia"/>
                <w:b/>
                <w:sz w:val="24"/>
              </w:rPr>
              <w:t>序号</w:t>
            </w:r>
          </w:p>
        </w:tc>
        <w:tc>
          <w:tcPr>
            <w:tcW w:w="938" w:type="pct"/>
            <w:vAlign w:val="center"/>
          </w:tcPr>
          <w:p w14:paraId="692908E4">
            <w:pPr>
              <w:tabs>
                <w:tab w:val="left" w:pos="1080"/>
              </w:tabs>
              <w:snapToGrid w:val="0"/>
              <w:jc w:val="center"/>
              <w:rPr>
                <w:rFonts w:hint="eastAsia" w:ascii="宋体" w:hAnsi="宋体" w:cstheme="minorEastAsia"/>
                <w:b/>
                <w:sz w:val="24"/>
              </w:rPr>
            </w:pPr>
            <w:r>
              <w:rPr>
                <w:rFonts w:hint="eastAsia" w:ascii="宋体" w:hAnsi="宋体" w:cstheme="minorEastAsia"/>
                <w:b/>
                <w:sz w:val="24"/>
              </w:rPr>
              <w:t>检查因素</w:t>
            </w:r>
          </w:p>
        </w:tc>
        <w:tc>
          <w:tcPr>
            <w:tcW w:w="2579" w:type="pct"/>
            <w:vAlign w:val="center"/>
          </w:tcPr>
          <w:p w14:paraId="6647143A">
            <w:pPr>
              <w:tabs>
                <w:tab w:val="left" w:pos="1080"/>
              </w:tabs>
              <w:snapToGrid w:val="0"/>
              <w:jc w:val="center"/>
              <w:rPr>
                <w:rFonts w:hint="eastAsia" w:ascii="宋体" w:hAnsi="宋体" w:cstheme="minorEastAsia"/>
                <w:b/>
                <w:sz w:val="24"/>
              </w:rPr>
            </w:pPr>
            <w:r>
              <w:rPr>
                <w:rFonts w:hint="eastAsia" w:ascii="宋体" w:hAnsi="宋体" w:cstheme="minorEastAsia"/>
                <w:b/>
                <w:sz w:val="24"/>
              </w:rPr>
              <w:t>检查内容</w:t>
            </w:r>
          </w:p>
        </w:tc>
        <w:tc>
          <w:tcPr>
            <w:tcW w:w="1028" w:type="pct"/>
            <w:vAlign w:val="center"/>
          </w:tcPr>
          <w:p w14:paraId="4FDFE982">
            <w:pPr>
              <w:tabs>
                <w:tab w:val="left" w:pos="1080"/>
              </w:tabs>
              <w:snapToGrid w:val="0"/>
              <w:jc w:val="center"/>
              <w:rPr>
                <w:rFonts w:hint="eastAsia" w:ascii="宋体" w:hAnsi="宋体" w:cstheme="minorEastAsia"/>
                <w:b/>
                <w:sz w:val="24"/>
              </w:rPr>
            </w:pPr>
            <w:r>
              <w:rPr>
                <w:rFonts w:hint="eastAsia" w:ascii="宋体" w:hAnsi="宋体" w:cstheme="minorEastAsia"/>
                <w:b/>
                <w:sz w:val="24"/>
              </w:rPr>
              <w:t>格式要求</w:t>
            </w:r>
          </w:p>
        </w:tc>
      </w:tr>
      <w:tr w14:paraId="299F0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CBDE01">
            <w:pPr>
              <w:tabs>
                <w:tab w:val="left" w:pos="1080"/>
              </w:tabs>
              <w:snapToGrid w:val="0"/>
              <w:jc w:val="center"/>
              <w:rPr>
                <w:rFonts w:hint="eastAsia" w:ascii="宋体" w:hAnsi="宋体" w:cstheme="minorEastAsia"/>
                <w:sz w:val="24"/>
              </w:rPr>
            </w:pPr>
            <w:r>
              <w:rPr>
                <w:rFonts w:hint="eastAsia" w:ascii="宋体" w:hAnsi="宋体" w:cstheme="minorEastAsia"/>
                <w:sz w:val="24"/>
              </w:rPr>
              <w:t>1</w:t>
            </w:r>
          </w:p>
        </w:tc>
        <w:tc>
          <w:tcPr>
            <w:tcW w:w="938" w:type="pct"/>
            <w:vAlign w:val="center"/>
          </w:tcPr>
          <w:p w14:paraId="48108622">
            <w:pPr>
              <w:tabs>
                <w:tab w:val="left" w:pos="1080"/>
              </w:tabs>
              <w:snapToGrid w:val="0"/>
              <w:jc w:val="left"/>
              <w:rPr>
                <w:rFonts w:hint="eastAsia" w:ascii="宋体" w:hAnsi="宋体" w:cstheme="minorEastAsia"/>
                <w:sz w:val="24"/>
              </w:rPr>
            </w:pPr>
            <w:r>
              <w:rPr>
                <w:rFonts w:hint="eastAsia" w:ascii="宋体" w:hAnsi="宋体" w:cstheme="minorEastAsia"/>
                <w:sz w:val="24"/>
              </w:rPr>
              <w:t>满足《中华人民共和国政府采购法》第二十二条规定</w:t>
            </w:r>
          </w:p>
        </w:tc>
        <w:tc>
          <w:tcPr>
            <w:tcW w:w="2579" w:type="pct"/>
            <w:vAlign w:val="center"/>
          </w:tcPr>
          <w:p w14:paraId="3CF6A1EA">
            <w:pPr>
              <w:tabs>
                <w:tab w:val="left" w:pos="1080"/>
              </w:tabs>
              <w:snapToGrid w:val="0"/>
              <w:jc w:val="left"/>
              <w:rPr>
                <w:rFonts w:hint="eastAsia" w:ascii="宋体" w:hAnsi="宋体" w:cstheme="minorEastAsia"/>
                <w:sz w:val="24"/>
              </w:rPr>
            </w:pPr>
            <w:r>
              <w:rPr>
                <w:rFonts w:hint="eastAsia" w:ascii="宋体" w:hAnsi="宋体" w:cstheme="minorEastAsia"/>
                <w:sz w:val="24"/>
              </w:rPr>
              <w:t>具体规定见第一章《采购邀请》</w:t>
            </w:r>
          </w:p>
        </w:tc>
        <w:tc>
          <w:tcPr>
            <w:tcW w:w="1028" w:type="pct"/>
            <w:vAlign w:val="center"/>
          </w:tcPr>
          <w:p w14:paraId="5CAE667F">
            <w:pPr>
              <w:tabs>
                <w:tab w:val="left" w:pos="1080"/>
              </w:tabs>
              <w:snapToGrid w:val="0"/>
              <w:jc w:val="left"/>
              <w:rPr>
                <w:rFonts w:hint="eastAsia" w:ascii="宋体" w:hAnsi="宋体" w:cstheme="minorEastAsia"/>
                <w:sz w:val="24"/>
              </w:rPr>
            </w:pPr>
          </w:p>
        </w:tc>
      </w:tr>
      <w:tr w14:paraId="0E49E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62D938">
            <w:pPr>
              <w:tabs>
                <w:tab w:val="left" w:pos="1080"/>
              </w:tabs>
              <w:snapToGrid w:val="0"/>
              <w:jc w:val="center"/>
              <w:rPr>
                <w:rFonts w:hint="eastAsia" w:ascii="宋体" w:hAnsi="宋体" w:cstheme="minorEastAsia"/>
                <w:sz w:val="24"/>
              </w:rPr>
            </w:pPr>
            <w:r>
              <w:rPr>
                <w:rFonts w:hint="eastAsia" w:ascii="宋体" w:hAnsi="宋体" w:cstheme="minorEastAsia"/>
                <w:sz w:val="24"/>
              </w:rPr>
              <w:t>1-1</w:t>
            </w:r>
          </w:p>
        </w:tc>
        <w:tc>
          <w:tcPr>
            <w:tcW w:w="938" w:type="pct"/>
            <w:vAlign w:val="center"/>
          </w:tcPr>
          <w:p w14:paraId="6F342730">
            <w:pPr>
              <w:tabs>
                <w:tab w:val="left" w:pos="1080"/>
              </w:tabs>
              <w:snapToGrid w:val="0"/>
              <w:jc w:val="left"/>
              <w:rPr>
                <w:rFonts w:hint="eastAsia" w:ascii="宋体" w:hAnsi="宋体" w:cstheme="minorEastAsia"/>
                <w:sz w:val="24"/>
              </w:rPr>
            </w:pPr>
            <w:r>
              <w:rPr>
                <w:rFonts w:hint="eastAsia" w:ascii="宋体" w:hAnsi="宋体" w:cstheme="minorEastAsia"/>
                <w:sz w:val="24"/>
              </w:rPr>
              <w:t>营业执照等证明文件</w:t>
            </w:r>
          </w:p>
        </w:tc>
        <w:tc>
          <w:tcPr>
            <w:tcW w:w="2579" w:type="pct"/>
            <w:vAlign w:val="center"/>
          </w:tcPr>
          <w:p w14:paraId="3ED04137">
            <w:pPr>
              <w:tabs>
                <w:tab w:val="left" w:pos="1080"/>
              </w:tabs>
              <w:snapToGrid w:val="0"/>
              <w:jc w:val="left"/>
              <w:rPr>
                <w:rFonts w:hint="eastAsia" w:ascii="宋体" w:hAnsi="宋体" w:cstheme="minorEastAsia"/>
                <w:sz w:val="24"/>
              </w:rPr>
            </w:pPr>
            <w:r>
              <w:rPr>
                <w:rFonts w:hint="eastAsia" w:ascii="宋体" w:hAnsi="宋体" w:cstheme="minorEastAsia"/>
                <w:sz w:val="24"/>
              </w:rPr>
              <w:t>供应商为企业（包括合伙企业）的，应提供有效的“营业执照”；</w:t>
            </w:r>
          </w:p>
          <w:p w14:paraId="5662C0A8">
            <w:pPr>
              <w:tabs>
                <w:tab w:val="left" w:pos="1080"/>
              </w:tabs>
              <w:snapToGrid w:val="0"/>
              <w:jc w:val="left"/>
              <w:rPr>
                <w:rFonts w:hint="eastAsia" w:ascii="宋体" w:hAnsi="宋体" w:cstheme="minorEastAsia"/>
                <w:sz w:val="24"/>
              </w:rPr>
            </w:pPr>
            <w:r>
              <w:rPr>
                <w:rFonts w:hint="eastAsia" w:ascii="宋体" w:hAnsi="宋体" w:cstheme="minorEastAsia"/>
                <w:sz w:val="24"/>
              </w:rPr>
              <w:t>供应商为事业单位的，应提供有效的“事业单位法人证书”；</w:t>
            </w:r>
          </w:p>
          <w:p w14:paraId="2585D988">
            <w:pPr>
              <w:tabs>
                <w:tab w:val="left" w:pos="1080"/>
              </w:tabs>
              <w:snapToGrid w:val="0"/>
              <w:jc w:val="left"/>
              <w:rPr>
                <w:rFonts w:hint="eastAsia" w:ascii="宋体" w:hAnsi="宋体" w:cstheme="minorEastAsia"/>
                <w:sz w:val="24"/>
              </w:rPr>
            </w:pPr>
            <w:r>
              <w:rPr>
                <w:rFonts w:hint="eastAsia" w:ascii="宋体" w:hAnsi="宋体" w:cstheme="minorEastAsia"/>
                <w:sz w:val="24"/>
              </w:rPr>
              <w:t>供应商是非企业机构的，应提供有效的“执业许可证”、“登记证书”等证明文件；</w:t>
            </w:r>
          </w:p>
          <w:p w14:paraId="1AF6EA7C">
            <w:pPr>
              <w:tabs>
                <w:tab w:val="left" w:pos="1080"/>
              </w:tabs>
              <w:snapToGrid w:val="0"/>
              <w:jc w:val="left"/>
              <w:rPr>
                <w:rFonts w:hint="eastAsia" w:ascii="宋体" w:hAnsi="宋体" w:cstheme="minorEastAsia"/>
                <w:sz w:val="24"/>
              </w:rPr>
            </w:pPr>
            <w:r>
              <w:rPr>
                <w:rFonts w:hint="eastAsia" w:ascii="宋体" w:hAnsi="宋体" w:cstheme="minorEastAsia"/>
                <w:sz w:val="24"/>
              </w:rPr>
              <w:t>供应商是个体工商户的，应提供有效的“个体工商户营业执照”；</w:t>
            </w:r>
          </w:p>
          <w:p w14:paraId="0D8E53BE">
            <w:pPr>
              <w:tabs>
                <w:tab w:val="left" w:pos="1080"/>
              </w:tabs>
              <w:snapToGrid w:val="0"/>
              <w:jc w:val="left"/>
              <w:rPr>
                <w:rFonts w:hint="eastAsia" w:ascii="宋体" w:hAnsi="宋体" w:cstheme="minorEastAsia"/>
                <w:sz w:val="24"/>
              </w:rPr>
            </w:pPr>
            <w:r>
              <w:rPr>
                <w:rFonts w:hint="eastAsia" w:ascii="宋体" w:hAnsi="宋体" w:cstheme="minorEastAsia"/>
                <w:sz w:val="24"/>
              </w:rPr>
              <w:t>供应商是自然人的，应提供有效的自然人身份证明。</w:t>
            </w:r>
          </w:p>
          <w:p w14:paraId="282F5872">
            <w:pPr>
              <w:tabs>
                <w:tab w:val="left" w:pos="1080"/>
              </w:tabs>
              <w:snapToGrid w:val="0"/>
              <w:jc w:val="left"/>
              <w:rPr>
                <w:rFonts w:hint="eastAsia" w:ascii="宋体" w:hAnsi="宋体" w:cstheme="minorEastAsia"/>
                <w:sz w:val="24"/>
              </w:rPr>
            </w:pPr>
            <w:r>
              <w:rPr>
                <w:rFonts w:hint="eastAsia" w:ascii="宋体" w:hAnsi="宋体" w:cstheme="minorEastAsia"/>
                <w:sz w:val="24"/>
              </w:rPr>
              <w:t>分支机构参加响应的，应提供该分支机构或其所属法人/其他组织的相应证明文件；同时还应提供其所属法人/其他组织出具的授权其参与本项目的授权书（格式自拟，须加盖其所属法人/其他组织的公章）；对于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cstheme="minorEastAsia"/>
                <w:iCs/>
                <w:sz w:val="24"/>
              </w:rPr>
              <w:t>银行、保险、石油石化、电力、电信等行业的分支机构，可以提供上述</w:t>
            </w:r>
            <w:r>
              <w:rPr>
                <w:rFonts w:hint="eastAsia" w:ascii="宋体" w:hAnsi="宋体" w:cstheme="minorEastAsia"/>
                <w:sz w:val="24"/>
              </w:rPr>
              <w:t>授权，也可以提供其所属法人/其他组织的有关文件或制度等能够证明授权其独立开展业务的证明材料。</w:t>
            </w:r>
          </w:p>
        </w:tc>
        <w:tc>
          <w:tcPr>
            <w:tcW w:w="1028" w:type="pct"/>
            <w:vAlign w:val="center"/>
          </w:tcPr>
          <w:p w14:paraId="3B60DEA3">
            <w:pPr>
              <w:tabs>
                <w:tab w:val="left" w:pos="1080"/>
              </w:tabs>
              <w:snapToGrid w:val="0"/>
              <w:jc w:val="left"/>
              <w:rPr>
                <w:rFonts w:hint="eastAsia" w:ascii="宋体" w:hAnsi="宋体" w:cstheme="minorEastAsia"/>
                <w:sz w:val="24"/>
              </w:rPr>
            </w:pPr>
            <w:r>
              <w:rPr>
                <w:rFonts w:hint="eastAsia" w:ascii="宋体" w:hAnsi="宋体" w:cstheme="minorEastAsia"/>
                <w:sz w:val="24"/>
              </w:rPr>
              <w:t>提供证明文件的电子件或电子证照</w:t>
            </w:r>
          </w:p>
        </w:tc>
      </w:tr>
      <w:tr w14:paraId="5AA11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828A7C">
            <w:pPr>
              <w:tabs>
                <w:tab w:val="left" w:pos="1080"/>
              </w:tabs>
              <w:snapToGrid w:val="0"/>
              <w:jc w:val="center"/>
              <w:rPr>
                <w:rFonts w:hint="eastAsia" w:ascii="宋体" w:hAnsi="宋体" w:cstheme="minorEastAsia"/>
                <w:sz w:val="24"/>
              </w:rPr>
            </w:pPr>
            <w:r>
              <w:rPr>
                <w:rFonts w:hint="eastAsia" w:ascii="宋体" w:hAnsi="宋体" w:cstheme="minorEastAsia"/>
                <w:sz w:val="24"/>
              </w:rPr>
              <w:t>1-2</w:t>
            </w:r>
          </w:p>
        </w:tc>
        <w:tc>
          <w:tcPr>
            <w:tcW w:w="938" w:type="pct"/>
            <w:vAlign w:val="center"/>
          </w:tcPr>
          <w:p w14:paraId="5F07808D">
            <w:pPr>
              <w:tabs>
                <w:tab w:val="left" w:pos="1080"/>
              </w:tabs>
              <w:snapToGrid w:val="0"/>
              <w:jc w:val="left"/>
              <w:rPr>
                <w:rFonts w:hint="eastAsia" w:ascii="宋体" w:hAnsi="宋体" w:cstheme="minorEastAsia"/>
                <w:sz w:val="24"/>
              </w:rPr>
            </w:pPr>
            <w:r>
              <w:rPr>
                <w:rFonts w:hint="eastAsia" w:ascii="宋体" w:hAnsi="宋体" w:cstheme="minorEastAsia"/>
                <w:sz w:val="24"/>
              </w:rPr>
              <w:t>供应商资格声明书</w:t>
            </w:r>
          </w:p>
        </w:tc>
        <w:tc>
          <w:tcPr>
            <w:tcW w:w="2579" w:type="pct"/>
            <w:vAlign w:val="center"/>
          </w:tcPr>
          <w:p w14:paraId="3DDB8255">
            <w:pPr>
              <w:tabs>
                <w:tab w:val="left" w:pos="1080"/>
              </w:tabs>
              <w:snapToGrid w:val="0"/>
              <w:jc w:val="left"/>
              <w:rPr>
                <w:rFonts w:hint="eastAsia" w:ascii="宋体" w:hAnsi="宋体" w:cstheme="minorEastAsia"/>
                <w:sz w:val="24"/>
              </w:rPr>
            </w:pPr>
            <w:r>
              <w:rPr>
                <w:rFonts w:hint="eastAsia" w:ascii="宋体" w:hAnsi="宋体" w:cstheme="minorEastAsia"/>
                <w:sz w:val="24"/>
              </w:rPr>
              <w:t>提供了符合竞争性磋商文件要求的《供应商资格声明书》。</w:t>
            </w:r>
          </w:p>
        </w:tc>
        <w:tc>
          <w:tcPr>
            <w:tcW w:w="1028" w:type="pct"/>
            <w:vAlign w:val="center"/>
          </w:tcPr>
          <w:p w14:paraId="2923B9F1">
            <w:pPr>
              <w:tabs>
                <w:tab w:val="left" w:pos="1080"/>
              </w:tabs>
              <w:snapToGrid w:val="0"/>
              <w:jc w:val="left"/>
              <w:rPr>
                <w:rFonts w:hint="eastAsia" w:ascii="宋体" w:hAnsi="宋体" w:cstheme="minorEastAsia"/>
                <w:sz w:val="24"/>
              </w:rPr>
            </w:pPr>
            <w:r>
              <w:rPr>
                <w:rFonts w:hint="eastAsia" w:ascii="宋体" w:hAnsi="宋体" w:cstheme="minorEastAsia"/>
                <w:sz w:val="24"/>
              </w:rPr>
              <w:t>格式见《响应文件格式》</w:t>
            </w:r>
          </w:p>
        </w:tc>
      </w:tr>
      <w:tr w14:paraId="74064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B58694">
            <w:pPr>
              <w:tabs>
                <w:tab w:val="left" w:pos="1080"/>
              </w:tabs>
              <w:snapToGrid w:val="0"/>
              <w:jc w:val="center"/>
              <w:rPr>
                <w:rFonts w:hint="eastAsia" w:ascii="宋体" w:hAnsi="宋体" w:cstheme="minorEastAsia"/>
                <w:sz w:val="24"/>
              </w:rPr>
            </w:pPr>
            <w:r>
              <w:rPr>
                <w:rFonts w:hint="eastAsia" w:ascii="宋体" w:hAnsi="宋体" w:cstheme="minorEastAsia"/>
                <w:sz w:val="24"/>
              </w:rPr>
              <w:t>1-3</w:t>
            </w:r>
          </w:p>
        </w:tc>
        <w:tc>
          <w:tcPr>
            <w:tcW w:w="938" w:type="pct"/>
            <w:vAlign w:val="center"/>
          </w:tcPr>
          <w:p w14:paraId="5BF8D18D">
            <w:pPr>
              <w:tabs>
                <w:tab w:val="left" w:pos="1080"/>
              </w:tabs>
              <w:snapToGrid w:val="0"/>
              <w:rPr>
                <w:rFonts w:hint="eastAsia" w:ascii="宋体" w:hAnsi="宋体" w:cstheme="minorEastAsia"/>
                <w:sz w:val="24"/>
              </w:rPr>
            </w:pPr>
            <w:r>
              <w:rPr>
                <w:rFonts w:hint="eastAsia" w:ascii="宋体" w:hAnsi="宋体" w:cstheme="minorEastAsia"/>
                <w:sz w:val="24"/>
              </w:rPr>
              <w:t>供应商信用记录</w:t>
            </w:r>
          </w:p>
        </w:tc>
        <w:tc>
          <w:tcPr>
            <w:tcW w:w="2579" w:type="pct"/>
            <w:vAlign w:val="center"/>
          </w:tcPr>
          <w:p w14:paraId="738BFCBD">
            <w:pPr>
              <w:tabs>
                <w:tab w:val="left" w:pos="1080"/>
              </w:tabs>
              <w:snapToGrid w:val="0"/>
              <w:rPr>
                <w:rFonts w:hint="eastAsia" w:ascii="宋体" w:hAnsi="宋体" w:cstheme="minorEastAsia"/>
                <w:sz w:val="24"/>
              </w:rPr>
            </w:pPr>
            <w:r>
              <w:rPr>
                <w:rFonts w:hint="eastAsia" w:ascii="宋体" w:hAnsi="宋体" w:cstheme="minorEastAsia"/>
                <w:sz w:val="24"/>
              </w:rPr>
              <w:t>查询渠道：信用中国网站和中国政府采购网（</w:t>
            </w:r>
            <w:r>
              <w:rPr>
                <w:rFonts w:hint="eastAsia" w:ascii="宋体" w:hAnsi="宋体" w:cstheme="minorEastAsia"/>
              </w:rPr>
              <w:t>www.creditchina.gov.cn</w:t>
            </w:r>
            <w:r>
              <w:rPr>
                <w:rFonts w:hint="eastAsia" w:ascii="宋体" w:hAnsi="宋体" w:cstheme="minorEastAsia"/>
                <w:sz w:val="24"/>
              </w:rPr>
              <w:t>、</w:t>
            </w:r>
            <w:r>
              <w:rPr>
                <w:rFonts w:hint="eastAsia" w:ascii="宋体" w:hAnsi="宋体" w:cstheme="minorEastAsia"/>
              </w:rPr>
              <w:t>www.ccgp.gov.cn</w:t>
            </w:r>
            <w:r>
              <w:rPr>
                <w:rFonts w:hint="eastAsia" w:ascii="宋体" w:hAnsi="宋体" w:cstheme="minorEastAsia"/>
                <w:sz w:val="24"/>
              </w:rPr>
              <w:t>）；</w:t>
            </w:r>
          </w:p>
          <w:p w14:paraId="5C6BDBCA">
            <w:pPr>
              <w:tabs>
                <w:tab w:val="left" w:pos="900"/>
                <w:tab w:val="left" w:pos="1980"/>
              </w:tabs>
              <w:snapToGrid w:val="0"/>
              <w:rPr>
                <w:rFonts w:hint="eastAsia" w:ascii="宋体" w:hAnsi="宋体" w:cstheme="minorEastAsia"/>
                <w:sz w:val="24"/>
              </w:rPr>
            </w:pPr>
            <w:r>
              <w:rPr>
                <w:rFonts w:hint="eastAsia" w:ascii="宋体" w:hAnsi="宋体" w:cstheme="minorEastAsia"/>
                <w:sz w:val="24"/>
              </w:rPr>
              <w:t>截止时点：</w:t>
            </w:r>
            <w:r>
              <w:rPr>
                <w:rFonts w:hint="eastAsia" w:ascii="宋体" w:hAnsi="宋体" w:cstheme="minorEastAsia"/>
                <w:kern w:val="0"/>
                <w:sz w:val="24"/>
                <w:szCs w:val="20"/>
              </w:rPr>
              <w:t>首次响应文件提交截止时间以后</w:t>
            </w:r>
            <w:r>
              <w:rPr>
                <w:rFonts w:hint="eastAsia" w:ascii="宋体" w:hAnsi="宋体" w:cstheme="minorEastAsia"/>
                <w:sz w:val="24"/>
              </w:rPr>
              <w:t>、资格审查阶段采购人或采购代理机构的实际查询时间；</w:t>
            </w:r>
          </w:p>
          <w:p w14:paraId="30DBBB69">
            <w:pPr>
              <w:tabs>
                <w:tab w:val="left" w:pos="900"/>
                <w:tab w:val="left" w:pos="1980"/>
              </w:tabs>
              <w:snapToGrid w:val="0"/>
              <w:rPr>
                <w:rFonts w:hint="eastAsia" w:ascii="宋体" w:hAnsi="宋体" w:cstheme="minorEastAsia"/>
                <w:sz w:val="24"/>
              </w:rPr>
            </w:pPr>
            <w:r>
              <w:rPr>
                <w:rFonts w:hint="eastAsia" w:ascii="宋体" w:hAnsi="宋体" w:cstheme="minorEastAsia"/>
                <w:sz w:val="24"/>
              </w:rPr>
              <w:t>信用信息查询记录和证据留存具体方式：查询结果网页打印页作为查询记录和证据，与其他竞争性磋商文件一并保存；</w:t>
            </w:r>
          </w:p>
          <w:p w14:paraId="78B17B9D">
            <w:pPr>
              <w:tabs>
                <w:tab w:val="left" w:pos="1080"/>
              </w:tabs>
              <w:snapToGrid w:val="0"/>
              <w:rPr>
                <w:rFonts w:hint="eastAsia" w:ascii="宋体" w:hAnsi="宋体" w:cstheme="minorEastAsia"/>
                <w:sz w:val="24"/>
              </w:rPr>
            </w:pPr>
            <w:r>
              <w:rPr>
                <w:rFonts w:hint="eastAsia" w:ascii="宋体" w:hAnsi="宋体" w:cstheme="minorEastAsia"/>
                <w:sz w:val="24"/>
              </w:rPr>
              <w:t>信用信息的使用原则：经认定的被列入失信被执行人、重大税收违法案件当事人名单、政府采购严重违法失信行为记录名单的供应商，其</w:t>
            </w:r>
            <w:r>
              <w:rPr>
                <w:rFonts w:hint="eastAsia" w:ascii="宋体" w:hAnsi="宋体" w:cstheme="minorEastAsia"/>
                <w:b/>
                <w:sz w:val="24"/>
              </w:rPr>
              <w:t>响应无效</w:t>
            </w:r>
            <w:r>
              <w:rPr>
                <w:rFonts w:hint="eastAsia" w:ascii="宋体" w:hAnsi="宋体" w:cstheme="minorEastAsia"/>
                <w:sz w:val="24"/>
              </w:rPr>
              <w:t>。联合体形式磋商的，联合体成员存在不良信用记录，视同联合体存在不良信用记录。</w:t>
            </w:r>
          </w:p>
        </w:tc>
        <w:tc>
          <w:tcPr>
            <w:tcW w:w="1028" w:type="pct"/>
            <w:vAlign w:val="center"/>
          </w:tcPr>
          <w:p w14:paraId="4BE03962">
            <w:pPr>
              <w:tabs>
                <w:tab w:val="left" w:pos="1080"/>
              </w:tabs>
              <w:snapToGrid w:val="0"/>
              <w:rPr>
                <w:rFonts w:hint="eastAsia" w:ascii="宋体" w:hAnsi="宋体" w:cstheme="minorEastAsia"/>
                <w:sz w:val="24"/>
              </w:rPr>
            </w:pPr>
            <w:r>
              <w:rPr>
                <w:rFonts w:hint="eastAsia" w:ascii="宋体" w:hAnsi="宋体" w:cstheme="minorEastAsia"/>
                <w:sz w:val="24"/>
              </w:rPr>
              <w:t>无须供应商提供，由采购人或采购代理机构查询。</w:t>
            </w:r>
          </w:p>
        </w:tc>
      </w:tr>
      <w:tr w14:paraId="0448A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0FD6B0C">
            <w:pPr>
              <w:tabs>
                <w:tab w:val="left" w:pos="1080"/>
              </w:tabs>
              <w:snapToGrid w:val="0"/>
              <w:jc w:val="center"/>
              <w:rPr>
                <w:rFonts w:hint="eastAsia" w:ascii="宋体" w:hAnsi="宋体" w:cstheme="minorEastAsia"/>
                <w:sz w:val="24"/>
              </w:rPr>
            </w:pPr>
            <w:r>
              <w:rPr>
                <w:rFonts w:hint="eastAsia" w:ascii="宋体" w:hAnsi="宋体" w:cstheme="minorEastAsia"/>
                <w:sz w:val="24"/>
              </w:rPr>
              <w:t>1-4</w:t>
            </w:r>
          </w:p>
        </w:tc>
        <w:tc>
          <w:tcPr>
            <w:tcW w:w="938" w:type="pct"/>
            <w:vAlign w:val="center"/>
          </w:tcPr>
          <w:p w14:paraId="05008534">
            <w:pPr>
              <w:tabs>
                <w:tab w:val="left" w:pos="1080"/>
              </w:tabs>
              <w:snapToGrid w:val="0"/>
              <w:rPr>
                <w:rFonts w:hint="eastAsia" w:ascii="宋体" w:hAnsi="宋体" w:cstheme="minorEastAsia"/>
                <w:sz w:val="24"/>
              </w:rPr>
            </w:pPr>
            <w:r>
              <w:rPr>
                <w:rFonts w:hint="eastAsia" w:ascii="宋体" w:hAnsi="宋体" w:cstheme="minorEastAsia"/>
                <w:sz w:val="24"/>
              </w:rPr>
              <w:t>法律、行政法规规定的其他条件</w:t>
            </w:r>
          </w:p>
        </w:tc>
        <w:tc>
          <w:tcPr>
            <w:tcW w:w="2579" w:type="pct"/>
            <w:vAlign w:val="center"/>
          </w:tcPr>
          <w:p w14:paraId="0002C734">
            <w:pPr>
              <w:tabs>
                <w:tab w:val="left" w:pos="1080"/>
              </w:tabs>
              <w:snapToGrid w:val="0"/>
              <w:rPr>
                <w:rFonts w:hint="eastAsia" w:ascii="宋体" w:hAnsi="宋体" w:cstheme="minorEastAsia"/>
                <w:sz w:val="24"/>
              </w:rPr>
            </w:pPr>
            <w:r>
              <w:rPr>
                <w:rFonts w:hint="eastAsia" w:ascii="宋体" w:hAnsi="宋体" w:cstheme="minorEastAsia"/>
                <w:sz w:val="24"/>
              </w:rPr>
              <w:t>法律、行政法规规定的其他条件</w:t>
            </w:r>
          </w:p>
        </w:tc>
        <w:tc>
          <w:tcPr>
            <w:tcW w:w="1028" w:type="pct"/>
            <w:vAlign w:val="center"/>
          </w:tcPr>
          <w:p w14:paraId="05A0C8EC">
            <w:pPr>
              <w:tabs>
                <w:tab w:val="left" w:pos="1080"/>
              </w:tabs>
              <w:snapToGrid w:val="0"/>
              <w:jc w:val="center"/>
              <w:rPr>
                <w:rFonts w:hint="eastAsia" w:ascii="宋体" w:hAnsi="宋体" w:cstheme="minorEastAsia"/>
                <w:sz w:val="24"/>
              </w:rPr>
            </w:pPr>
            <w:r>
              <w:rPr>
                <w:rFonts w:hint="eastAsia" w:ascii="宋体" w:hAnsi="宋体" w:cstheme="minorEastAsia"/>
                <w:sz w:val="24"/>
              </w:rPr>
              <w:t>/</w:t>
            </w:r>
          </w:p>
        </w:tc>
      </w:tr>
      <w:tr w14:paraId="5096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38A02A">
            <w:pPr>
              <w:tabs>
                <w:tab w:val="left" w:pos="1080"/>
              </w:tabs>
              <w:snapToGrid w:val="0"/>
              <w:jc w:val="center"/>
              <w:rPr>
                <w:rFonts w:hint="eastAsia" w:ascii="宋体" w:hAnsi="宋体" w:cstheme="minorEastAsia"/>
                <w:sz w:val="24"/>
              </w:rPr>
            </w:pPr>
            <w:r>
              <w:rPr>
                <w:rFonts w:hint="eastAsia" w:ascii="宋体" w:hAnsi="宋体" w:cstheme="minorEastAsia"/>
                <w:sz w:val="24"/>
              </w:rPr>
              <w:t>2</w:t>
            </w:r>
          </w:p>
        </w:tc>
        <w:tc>
          <w:tcPr>
            <w:tcW w:w="938" w:type="pct"/>
            <w:vAlign w:val="center"/>
          </w:tcPr>
          <w:p w14:paraId="5E656D57">
            <w:pPr>
              <w:tabs>
                <w:tab w:val="left" w:pos="1080"/>
              </w:tabs>
              <w:snapToGrid w:val="0"/>
              <w:jc w:val="left"/>
              <w:rPr>
                <w:rFonts w:hint="eastAsia" w:ascii="宋体" w:hAnsi="宋体" w:cstheme="minorEastAsia"/>
                <w:sz w:val="24"/>
              </w:rPr>
            </w:pPr>
            <w:r>
              <w:rPr>
                <w:rFonts w:hint="eastAsia" w:ascii="宋体" w:hAnsi="宋体" w:cstheme="minorEastAsia"/>
                <w:sz w:val="24"/>
              </w:rPr>
              <w:t>落实政府采购政策需满足的资格要求</w:t>
            </w:r>
          </w:p>
        </w:tc>
        <w:tc>
          <w:tcPr>
            <w:tcW w:w="2579" w:type="pct"/>
            <w:vAlign w:val="center"/>
          </w:tcPr>
          <w:p w14:paraId="74209851">
            <w:pPr>
              <w:tabs>
                <w:tab w:val="left" w:pos="1080"/>
              </w:tabs>
              <w:snapToGrid w:val="0"/>
              <w:jc w:val="left"/>
              <w:rPr>
                <w:rFonts w:hint="eastAsia" w:ascii="宋体" w:hAnsi="宋体" w:cstheme="minorEastAsia"/>
                <w:sz w:val="24"/>
              </w:rPr>
            </w:pPr>
            <w:r>
              <w:rPr>
                <w:rFonts w:hint="eastAsia" w:ascii="宋体" w:hAnsi="宋体" w:cstheme="minorEastAsia"/>
                <w:sz w:val="24"/>
              </w:rPr>
              <w:t>具体要求见第一章《采购邀请》</w:t>
            </w:r>
          </w:p>
        </w:tc>
        <w:tc>
          <w:tcPr>
            <w:tcW w:w="1028" w:type="pct"/>
            <w:vAlign w:val="center"/>
          </w:tcPr>
          <w:p w14:paraId="218042FB">
            <w:pPr>
              <w:tabs>
                <w:tab w:val="left" w:pos="1080"/>
              </w:tabs>
              <w:snapToGrid w:val="0"/>
              <w:jc w:val="left"/>
              <w:rPr>
                <w:rFonts w:hint="eastAsia" w:ascii="宋体" w:hAnsi="宋体" w:cstheme="minorEastAsia"/>
                <w:sz w:val="24"/>
              </w:rPr>
            </w:pPr>
          </w:p>
        </w:tc>
      </w:tr>
      <w:tr w14:paraId="05955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0E90500">
            <w:pPr>
              <w:tabs>
                <w:tab w:val="left" w:pos="1080"/>
              </w:tabs>
              <w:snapToGrid w:val="0"/>
              <w:jc w:val="center"/>
              <w:rPr>
                <w:rFonts w:hint="eastAsia" w:ascii="宋体" w:hAnsi="宋体" w:cstheme="minorEastAsia"/>
                <w:sz w:val="24"/>
              </w:rPr>
            </w:pPr>
            <w:r>
              <w:rPr>
                <w:rFonts w:hint="eastAsia" w:ascii="宋体" w:hAnsi="宋体" w:cstheme="minorEastAsia"/>
                <w:sz w:val="24"/>
              </w:rPr>
              <w:t>2-1</w:t>
            </w:r>
          </w:p>
        </w:tc>
        <w:tc>
          <w:tcPr>
            <w:tcW w:w="938" w:type="pct"/>
            <w:vAlign w:val="center"/>
          </w:tcPr>
          <w:p w14:paraId="76718ED0">
            <w:pPr>
              <w:tabs>
                <w:tab w:val="left" w:pos="1080"/>
              </w:tabs>
              <w:snapToGrid w:val="0"/>
              <w:jc w:val="left"/>
              <w:rPr>
                <w:rFonts w:hint="eastAsia" w:ascii="宋体" w:hAnsi="宋体" w:cstheme="minorEastAsia"/>
                <w:sz w:val="24"/>
              </w:rPr>
            </w:pPr>
            <w:r>
              <w:rPr>
                <w:rFonts w:hint="eastAsia" w:ascii="宋体" w:hAnsi="宋体" w:cstheme="minorEastAsia"/>
                <w:sz w:val="24"/>
              </w:rPr>
              <w:t>中小企业政策证明文件</w:t>
            </w:r>
          </w:p>
        </w:tc>
        <w:tc>
          <w:tcPr>
            <w:tcW w:w="2579" w:type="pct"/>
            <w:vAlign w:val="center"/>
          </w:tcPr>
          <w:p w14:paraId="7D80BC24">
            <w:pPr>
              <w:tabs>
                <w:tab w:val="left" w:pos="1080"/>
              </w:tabs>
              <w:snapToGrid w:val="0"/>
              <w:jc w:val="left"/>
              <w:rPr>
                <w:rFonts w:hint="eastAsia" w:ascii="宋体" w:hAnsi="宋体" w:cstheme="minorEastAsia"/>
                <w:sz w:val="24"/>
              </w:rPr>
            </w:pPr>
            <w:r>
              <w:rPr>
                <w:rFonts w:hint="eastAsia" w:ascii="宋体" w:hAnsi="宋体" w:cstheme="minorEastAsia"/>
                <w:sz w:val="24"/>
              </w:rPr>
              <w:t>具体要求见第一章《采购邀请》</w:t>
            </w:r>
          </w:p>
        </w:tc>
        <w:tc>
          <w:tcPr>
            <w:tcW w:w="1028" w:type="pct"/>
            <w:vAlign w:val="center"/>
          </w:tcPr>
          <w:p w14:paraId="4EBEB793">
            <w:pPr>
              <w:tabs>
                <w:tab w:val="left" w:pos="1080"/>
              </w:tabs>
              <w:snapToGrid w:val="0"/>
              <w:jc w:val="left"/>
              <w:rPr>
                <w:rFonts w:hint="eastAsia" w:ascii="宋体" w:hAnsi="宋体" w:cstheme="minorEastAsia"/>
                <w:sz w:val="24"/>
              </w:rPr>
            </w:pPr>
          </w:p>
        </w:tc>
      </w:tr>
      <w:tr w14:paraId="7D201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E458517">
            <w:pPr>
              <w:tabs>
                <w:tab w:val="left" w:pos="1080"/>
              </w:tabs>
              <w:snapToGrid w:val="0"/>
              <w:jc w:val="center"/>
              <w:rPr>
                <w:rFonts w:hint="eastAsia" w:ascii="宋体" w:hAnsi="宋体" w:cstheme="minorEastAsia"/>
                <w:sz w:val="24"/>
              </w:rPr>
            </w:pPr>
            <w:r>
              <w:rPr>
                <w:rFonts w:hint="eastAsia" w:ascii="宋体" w:hAnsi="宋体" w:cstheme="minorEastAsia"/>
                <w:sz w:val="24"/>
              </w:rPr>
              <w:t>2-1-1</w:t>
            </w:r>
          </w:p>
        </w:tc>
        <w:tc>
          <w:tcPr>
            <w:tcW w:w="938" w:type="pct"/>
            <w:vAlign w:val="center"/>
          </w:tcPr>
          <w:p w14:paraId="5C0FACEE">
            <w:pPr>
              <w:tabs>
                <w:tab w:val="left" w:pos="1080"/>
              </w:tabs>
              <w:snapToGrid w:val="0"/>
              <w:jc w:val="left"/>
              <w:rPr>
                <w:rFonts w:hint="eastAsia" w:ascii="宋体" w:hAnsi="宋体" w:cstheme="minorEastAsia"/>
                <w:sz w:val="24"/>
              </w:rPr>
            </w:pPr>
            <w:r>
              <w:rPr>
                <w:rFonts w:hint="eastAsia" w:ascii="宋体" w:hAnsi="宋体" w:cstheme="minorEastAsia"/>
                <w:sz w:val="24"/>
              </w:rPr>
              <w:t>中小企业证明文件</w:t>
            </w:r>
          </w:p>
        </w:tc>
        <w:tc>
          <w:tcPr>
            <w:tcW w:w="2579" w:type="pct"/>
            <w:vAlign w:val="center"/>
          </w:tcPr>
          <w:p w14:paraId="6069FDAD">
            <w:pPr>
              <w:tabs>
                <w:tab w:val="left" w:pos="1080"/>
              </w:tabs>
              <w:snapToGrid w:val="0"/>
              <w:jc w:val="left"/>
              <w:rPr>
                <w:rFonts w:hint="eastAsia" w:ascii="宋体" w:hAnsi="宋体" w:cstheme="minorEastAsia"/>
                <w:sz w:val="24"/>
              </w:rPr>
            </w:pPr>
            <w:r>
              <w:rPr>
                <w:rFonts w:hint="eastAsia" w:ascii="宋体" w:hAnsi="宋体" w:cstheme="minorEastAsia"/>
                <w:sz w:val="24"/>
              </w:rPr>
              <w:t xml:space="preserve">当本项目（包）涉及预留份额专门面向中小企业采购，提供如下资料： </w:t>
            </w:r>
          </w:p>
          <w:p w14:paraId="5D35C02B">
            <w:pPr>
              <w:tabs>
                <w:tab w:val="left" w:pos="1080"/>
              </w:tabs>
              <w:snapToGrid w:val="0"/>
              <w:jc w:val="left"/>
              <w:rPr>
                <w:rFonts w:hint="eastAsia" w:ascii="宋体" w:hAnsi="宋体" w:cstheme="minorEastAsia"/>
                <w:sz w:val="24"/>
              </w:rPr>
            </w:pPr>
            <w:r>
              <w:rPr>
                <w:rFonts w:hint="eastAsia" w:ascii="宋体" w:hAnsi="宋体" w:cstheme="minorEastAsia"/>
                <w:sz w:val="24"/>
              </w:rPr>
              <w:t>1、供应商单独响应的，应提供《中小企业声明函》或《残疾人福利性单位声明函》或由省级以上监狱管理局、戒毒管理局（含新疆生产建设兵团）出具的属于监狱企业的证明文件。</w:t>
            </w:r>
          </w:p>
          <w:p w14:paraId="721A2828">
            <w:pPr>
              <w:tabs>
                <w:tab w:val="left" w:pos="1080"/>
              </w:tabs>
              <w:snapToGrid w:val="0"/>
              <w:jc w:val="left"/>
              <w:rPr>
                <w:rFonts w:hint="eastAsia" w:ascii="宋体" w:hAnsi="宋体" w:cstheme="minorEastAsia"/>
                <w:sz w:val="24"/>
              </w:rPr>
            </w:pPr>
            <w:r>
              <w:rPr>
                <w:rFonts w:hint="eastAsia" w:ascii="宋体" w:hAnsi="宋体" w:cstheme="minorEastAsia"/>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70836E01">
            <w:pPr>
              <w:tabs>
                <w:tab w:val="left" w:pos="1080"/>
              </w:tabs>
              <w:snapToGrid w:val="0"/>
              <w:jc w:val="left"/>
              <w:rPr>
                <w:rFonts w:hint="eastAsia" w:ascii="宋体" w:hAnsi="宋体" w:cstheme="minorEastAsia"/>
                <w:sz w:val="24"/>
              </w:rPr>
            </w:pPr>
            <w:r>
              <w:rPr>
                <w:rFonts w:hint="eastAsia" w:ascii="宋体" w:hAnsi="宋体" w:cstheme="minorEastAsia"/>
                <w:sz w:val="24"/>
              </w:rPr>
              <w:t>格式见《响应文件格式》</w:t>
            </w:r>
          </w:p>
        </w:tc>
      </w:tr>
      <w:tr w14:paraId="2D353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148282">
            <w:pPr>
              <w:tabs>
                <w:tab w:val="left" w:pos="1080"/>
              </w:tabs>
              <w:snapToGrid w:val="0"/>
              <w:jc w:val="center"/>
              <w:rPr>
                <w:rFonts w:hint="eastAsia" w:ascii="宋体" w:hAnsi="宋体" w:cstheme="minorEastAsia"/>
                <w:sz w:val="24"/>
              </w:rPr>
            </w:pPr>
            <w:r>
              <w:rPr>
                <w:rFonts w:hint="eastAsia" w:ascii="宋体" w:hAnsi="宋体" w:cstheme="minorEastAsia"/>
                <w:sz w:val="24"/>
              </w:rPr>
              <w:t>2-1-2</w:t>
            </w:r>
          </w:p>
        </w:tc>
        <w:tc>
          <w:tcPr>
            <w:tcW w:w="938" w:type="pct"/>
            <w:vAlign w:val="center"/>
          </w:tcPr>
          <w:p w14:paraId="54DFA432">
            <w:pPr>
              <w:tabs>
                <w:tab w:val="left" w:pos="1080"/>
              </w:tabs>
              <w:snapToGrid w:val="0"/>
              <w:jc w:val="left"/>
              <w:rPr>
                <w:rFonts w:hint="eastAsia" w:ascii="宋体" w:hAnsi="宋体" w:cstheme="minorEastAsia"/>
                <w:sz w:val="24"/>
              </w:rPr>
            </w:pPr>
            <w:r>
              <w:rPr>
                <w:rFonts w:hint="eastAsia" w:ascii="宋体" w:hAnsi="宋体" w:cstheme="minorEastAsia"/>
                <w:sz w:val="24"/>
              </w:rPr>
              <w:t>拟分包情况说明及分包意向协议</w:t>
            </w:r>
          </w:p>
        </w:tc>
        <w:tc>
          <w:tcPr>
            <w:tcW w:w="2579" w:type="pct"/>
            <w:vAlign w:val="center"/>
          </w:tcPr>
          <w:p w14:paraId="22AAEC61">
            <w:pPr>
              <w:tabs>
                <w:tab w:val="left" w:pos="1080"/>
              </w:tabs>
              <w:snapToGrid w:val="0"/>
              <w:jc w:val="left"/>
              <w:rPr>
                <w:rFonts w:hint="eastAsia" w:ascii="宋体" w:hAnsi="宋体" w:cstheme="minorEastAsia"/>
                <w:sz w:val="24"/>
              </w:rPr>
            </w:pPr>
            <w:r>
              <w:rPr>
                <w:rFonts w:hint="eastAsia" w:ascii="宋体" w:hAnsi="宋体" w:cstheme="minorEastAsia"/>
                <w:sz w:val="24"/>
              </w:rPr>
              <w:t>如本项目（包）要求通过分包措施预留部分采购份额面向中小企业采购、且供应商因落实政府采购政策拟进行分包的，必须提供；否则无须提供。</w:t>
            </w:r>
          </w:p>
          <w:p w14:paraId="123B1364">
            <w:pPr>
              <w:tabs>
                <w:tab w:val="left" w:pos="1080"/>
              </w:tabs>
              <w:snapToGrid w:val="0"/>
              <w:jc w:val="left"/>
              <w:rPr>
                <w:rFonts w:hint="eastAsia" w:ascii="宋体" w:hAnsi="宋体" w:cstheme="minorEastAsia"/>
                <w:b/>
                <w:sz w:val="24"/>
              </w:rPr>
            </w:pPr>
            <w:r>
              <w:rPr>
                <w:rFonts w:hint="eastAsia" w:ascii="宋体" w:hAnsi="宋体" w:cs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7F63A81C">
            <w:pPr>
              <w:tabs>
                <w:tab w:val="left" w:pos="1080"/>
              </w:tabs>
              <w:snapToGrid w:val="0"/>
              <w:jc w:val="left"/>
              <w:rPr>
                <w:rFonts w:hint="eastAsia" w:ascii="宋体" w:hAnsi="宋体" w:cstheme="minorEastAsia"/>
                <w:sz w:val="24"/>
              </w:rPr>
            </w:pPr>
            <w:r>
              <w:rPr>
                <w:rFonts w:hint="eastAsia" w:ascii="宋体" w:hAnsi="宋体" w:cstheme="minorEastAsia"/>
                <w:sz w:val="24"/>
              </w:rPr>
              <w:t>格式见《响应文件格式》</w:t>
            </w:r>
          </w:p>
        </w:tc>
      </w:tr>
      <w:tr w14:paraId="1E745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97976F">
            <w:pPr>
              <w:tabs>
                <w:tab w:val="left" w:pos="1080"/>
              </w:tabs>
              <w:snapToGrid w:val="0"/>
              <w:jc w:val="center"/>
              <w:rPr>
                <w:rFonts w:hint="eastAsia" w:ascii="宋体" w:hAnsi="宋体" w:cstheme="minorEastAsia"/>
                <w:sz w:val="24"/>
              </w:rPr>
            </w:pPr>
            <w:r>
              <w:rPr>
                <w:rFonts w:hint="eastAsia" w:ascii="宋体" w:hAnsi="宋体" w:cstheme="minorEastAsia"/>
                <w:sz w:val="24"/>
              </w:rPr>
              <w:t>2-2</w:t>
            </w:r>
          </w:p>
        </w:tc>
        <w:tc>
          <w:tcPr>
            <w:tcW w:w="938" w:type="pct"/>
            <w:vAlign w:val="center"/>
          </w:tcPr>
          <w:p w14:paraId="0E995C56">
            <w:pPr>
              <w:tabs>
                <w:tab w:val="left" w:pos="1080"/>
              </w:tabs>
              <w:snapToGrid w:val="0"/>
              <w:jc w:val="left"/>
              <w:rPr>
                <w:rFonts w:hint="eastAsia" w:ascii="宋体" w:hAnsi="宋体" w:cstheme="minorEastAsia"/>
                <w:sz w:val="24"/>
              </w:rPr>
            </w:pPr>
            <w:r>
              <w:rPr>
                <w:rFonts w:hint="eastAsia" w:ascii="宋体" w:hAnsi="宋体" w:cstheme="minorEastAsia"/>
                <w:sz w:val="24"/>
              </w:rPr>
              <w:t>其它落实政府采购政策的资格要求</w:t>
            </w:r>
          </w:p>
        </w:tc>
        <w:tc>
          <w:tcPr>
            <w:tcW w:w="2579" w:type="pct"/>
            <w:vAlign w:val="center"/>
          </w:tcPr>
          <w:p w14:paraId="2C780F02">
            <w:pPr>
              <w:tabs>
                <w:tab w:val="left" w:pos="1080"/>
              </w:tabs>
              <w:snapToGrid w:val="0"/>
              <w:jc w:val="left"/>
              <w:rPr>
                <w:rFonts w:hint="eastAsia" w:ascii="宋体" w:hAnsi="宋体" w:cstheme="minorEastAsia"/>
                <w:sz w:val="24"/>
              </w:rPr>
            </w:pPr>
            <w:r>
              <w:rPr>
                <w:rFonts w:hint="eastAsia" w:ascii="宋体" w:hAnsi="宋体" w:cstheme="minorEastAsia"/>
                <w:sz w:val="24"/>
              </w:rPr>
              <w:t>如有，见第一章《采购邀请》</w:t>
            </w:r>
          </w:p>
        </w:tc>
        <w:tc>
          <w:tcPr>
            <w:tcW w:w="1028" w:type="pct"/>
            <w:vAlign w:val="center"/>
          </w:tcPr>
          <w:p w14:paraId="14E4894F">
            <w:pPr>
              <w:tabs>
                <w:tab w:val="left" w:pos="1080"/>
              </w:tabs>
              <w:snapToGrid w:val="0"/>
              <w:jc w:val="left"/>
              <w:rPr>
                <w:rFonts w:hint="eastAsia" w:ascii="宋体" w:hAnsi="宋体" w:cstheme="minorEastAsia"/>
                <w:sz w:val="24"/>
              </w:rPr>
            </w:pPr>
            <w:r>
              <w:rPr>
                <w:rFonts w:hint="eastAsia" w:ascii="宋体" w:hAnsi="宋体" w:cstheme="minorEastAsia"/>
                <w:sz w:val="24"/>
              </w:rPr>
              <w:t>提供证明文件的电子件或电子证照</w:t>
            </w:r>
          </w:p>
        </w:tc>
      </w:tr>
      <w:tr w14:paraId="60F05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306A72">
            <w:pPr>
              <w:tabs>
                <w:tab w:val="left" w:pos="1080"/>
              </w:tabs>
              <w:snapToGrid w:val="0"/>
              <w:jc w:val="center"/>
              <w:rPr>
                <w:rFonts w:hint="eastAsia" w:ascii="宋体" w:hAnsi="宋体" w:cstheme="minorEastAsia"/>
                <w:sz w:val="24"/>
              </w:rPr>
            </w:pPr>
            <w:r>
              <w:rPr>
                <w:rFonts w:hint="eastAsia" w:ascii="宋体" w:hAnsi="宋体" w:cstheme="minorEastAsia"/>
                <w:sz w:val="24"/>
              </w:rPr>
              <w:t>3</w:t>
            </w:r>
          </w:p>
        </w:tc>
        <w:tc>
          <w:tcPr>
            <w:tcW w:w="938" w:type="pct"/>
            <w:vAlign w:val="center"/>
          </w:tcPr>
          <w:p w14:paraId="6970876E">
            <w:pPr>
              <w:tabs>
                <w:tab w:val="left" w:pos="1080"/>
              </w:tabs>
              <w:snapToGrid w:val="0"/>
              <w:jc w:val="left"/>
              <w:rPr>
                <w:rFonts w:hint="eastAsia" w:ascii="宋体" w:hAnsi="宋体" w:cstheme="minorEastAsia"/>
                <w:sz w:val="24"/>
              </w:rPr>
            </w:pPr>
            <w:r>
              <w:rPr>
                <w:rFonts w:hint="eastAsia" w:ascii="宋体" w:hAnsi="宋体" w:cstheme="minorEastAsia"/>
                <w:sz w:val="24"/>
              </w:rPr>
              <w:t>本项目的特定资格要求</w:t>
            </w:r>
          </w:p>
        </w:tc>
        <w:tc>
          <w:tcPr>
            <w:tcW w:w="2579" w:type="pct"/>
            <w:vAlign w:val="center"/>
          </w:tcPr>
          <w:p w14:paraId="1D087615">
            <w:pPr>
              <w:tabs>
                <w:tab w:val="left" w:pos="1080"/>
              </w:tabs>
              <w:snapToGrid w:val="0"/>
              <w:jc w:val="left"/>
              <w:rPr>
                <w:rFonts w:hint="eastAsia" w:ascii="宋体" w:hAnsi="宋体" w:cstheme="minorEastAsia"/>
                <w:sz w:val="24"/>
              </w:rPr>
            </w:pPr>
            <w:r>
              <w:rPr>
                <w:rFonts w:hint="eastAsia" w:ascii="宋体" w:hAnsi="宋体" w:cstheme="minorEastAsia"/>
                <w:sz w:val="24"/>
              </w:rPr>
              <w:t>如有，见第一章《采购邀请》</w:t>
            </w:r>
          </w:p>
        </w:tc>
        <w:tc>
          <w:tcPr>
            <w:tcW w:w="1028" w:type="pct"/>
            <w:vAlign w:val="center"/>
          </w:tcPr>
          <w:p w14:paraId="68A6C56A">
            <w:pPr>
              <w:tabs>
                <w:tab w:val="left" w:pos="1080"/>
              </w:tabs>
              <w:snapToGrid w:val="0"/>
              <w:jc w:val="left"/>
              <w:rPr>
                <w:rFonts w:hint="eastAsia" w:ascii="宋体" w:hAnsi="宋体" w:cstheme="minorEastAsia"/>
                <w:sz w:val="24"/>
              </w:rPr>
            </w:pPr>
          </w:p>
        </w:tc>
      </w:tr>
      <w:tr w14:paraId="7E8FB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974132">
            <w:pPr>
              <w:tabs>
                <w:tab w:val="left" w:pos="1080"/>
              </w:tabs>
              <w:snapToGrid w:val="0"/>
              <w:jc w:val="center"/>
              <w:rPr>
                <w:rFonts w:hint="eastAsia" w:ascii="宋体" w:hAnsi="宋体" w:cstheme="minorEastAsia"/>
                <w:sz w:val="24"/>
              </w:rPr>
            </w:pPr>
            <w:r>
              <w:rPr>
                <w:rFonts w:hint="eastAsia" w:ascii="宋体" w:hAnsi="宋体" w:cstheme="minorEastAsia"/>
                <w:sz w:val="24"/>
              </w:rPr>
              <w:t>3-1</w:t>
            </w:r>
          </w:p>
        </w:tc>
        <w:tc>
          <w:tcPr>
            <w:tcW w:w="938" w:type="pct"/>
            <w:vAlign w:val="center"/>
          </w:tcPr>
          <w:p w14:paraId="45ACBDDB">
            <w:pPr>
              <w:tabs>
                <w:tab w:val="left" w:pos="1080"/>
              </w:tabs>
              <w:snapToGrid w:val="0"/>
              <w:rPr>
                <w:rFonts w:hint="eastAsia" w:ascii="宋体" w:hAnsi="宋体" w:cstheme="minorEastAsia"/>
                <w:sz w:val="24"/>
              </w:rPr>
            </w:pPr>
            <w:r>
              <w:rPr>
                <w:rFonts w:hint="eastAsia" w:ascii="宋体" w:hAnsi="宋体" w:cstheme="minorEastAsia"/>
                <w:sz w:val="24"/>
              </w:rPr>
              <w:t>本项目对于联合体的要求</w:t>
            </w:r>
          </w:p>
        </w:tc>
        <w:tc>
          <w:tcPr>
            <w:tcW w:w="2579" w:type="pct"/>
            <w:vAlign w:val="center"/>
          </w:tcPr>
          <w:p w14:paraId="0EFC5839">
            <w:pPr>
              <w:tabs>
                <w:tab w:val="left" w:pos="1080"/>
              </w:tabs>
              <w:snapToGrid w:val="0"/>
              <w:rPr>
                <w:rFonts w:hint="eastAsia" w:ascii="宋体" w:hAnsi="宋体" w:cstheme="minorEastAsia"/>
                <w:sz w:val="24"/>
              </w:rPr>
            </w:pPr>
            <w:r>
              <w:rPr>
                <w:rFonts w:hint="eastAsia" w:ascii="宋体" w:hAnsi="宋体" w:cs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1D14399">
            <w:pPr>
              <w:tabs>
                <w:tab w:val="left" w:pos="1080"/>
              </w:tabs>
              <w:snapToGrid w:val="0"/>
              <w:rPr>
                <w:rFonts w:hint="eastAsia" w:ascii="宋体" w:hAnsi="宋体" w:cstheme="minorEastAsia"/>
                <w:sz w:val="24"/>
              </w:rPr>
            </w:pPr>
            <w:r>
              <w:rPr>
                <w:rFonts w:hint="eastAsia" w:ascii="宋体" w:hAnsi="宋体" w:cstheme="minorEastAsia"/>
                <w:sz w:val="24"/>
              </w:rPr>
              <w:t>2、联合体各成员单位均须提供本表中序号1-1、1-2的证明文件。联合体各成员单位均应满足本表3-2项规定。</w:t>
            </w:r>
          </w:p>
          <w:p w14:paraId="541B0399">
            <w:pPr>
              <w:tabs>
                <w:tab w:val="left" w:pos="1080"/>
              </w:tabs>
              <w:snapToGrid w:val="0"/>
              <w:rPr>
                <w:rFonts w:hint="eastAsia" w:ascii="宋体" w:hAnsi="宋体" w:cstheme="minorEastAsia"/>
                <w:sz w:val="24"/>
              </w:rPr>
            </w:pPr>
            <w:r>
              <w:rPr>
                <w:rFonts w:hint="eastAsia" w:ascii="宋体" w:hAnsi="宋体" w:cstheme="minorEastAsia"/>
                <w:sz w:val="24"/>
              </w:rPr>
              <w:t>3、本表序号3-3项规定的其他特定资格要求中的每一小项要求，联合体各方中至少应当有一方符合本表中其他资格要求并提供证明文件。</w:t>
            </w:r>
          </w:p>
          <w:p w14:paraId="2B65D535">
            <w:pPr>
              <w:tabs>
                <w:tab w:val="left" w:pos="1080"/>
              </w:tabs>
              <w:snapToGrid w:val="0"/>
              <w:rPr>
                <w:rFonts w:hint="eastAsia" w:ascii="宋体" w:hAnsi="宋体" w:cstheme="minorEastAsia"/>
                <w:sz w:val="24"/>
              </w:rPr>
            </w:pPr>
            <w:r>
              <w:rPr>
                <w:rFonts w:hint="eastAsia" w:ascii="宋体" w:hAnsi="宋体" w:cstheme="minorEastAsia"/>
                <w:sz w:val="24"/>
              </w:rPr>
              <w:t>4、联合体中有同类资质的供应商按照联合体分工承担相同工作的，应当按照资质等级较低的供应商确定资质等级。</w:t>
            </w:r>
          </w:p>
          <w:p w14:paraId="7CB12DD0">
            <w:pPr>
              <w:tabs>
                <w:tab w:val="left" w:pos="1080"/>
              </w:tabs>
              <w:snapToGrid w:val="0"/>
              <w:rPr>
                <w:rFonts w:hint="eastAsia" w:ascii="宋体" w:hAnsi="宋体" w:cstheme="minorEastAsia"/>
                <w:sz w:val="24"/>
              </w:rPr>
            </w:pPr>
            <w:r>
              <w:rPr>
                <w:rFonts w:hint="eastAsia" w:ascii="宋体" w:hAnsi="宋体" w:cstheme="minorEastAsia"/>
                <w:sz w:val="24"/>
              </w:rPr>
              <w:t>5、以联合体形式参加政府采购活动的，联合体各方不得再单独参加或者与其他供应商另外组成联合体参加同一合同项下的政府采购活动。</w:t>
            </w:r>
          </w:p>
          <w:p w14:paraId="3437836B">
            <w:pPr>
              <w:tabs>
                <w:tab w:val="left" w:pos="1080"/>
              </w:tabs>
              <w:snapToGrid w:val="0"/>
              <w:rPr>
                <w:rFonts w:hint="eastAsia" w:ascii="宋体" w:hAnsi="宋体" w:cstheme="minorEastAsia"/>
                <w:sz w:val="24"/>
              </w:rPr>
            </w:pPr>
            <w:r>
              <w:rPr>
                <w:rFonts w:hint="eastAsia" w:ascii="宋体" w:hAnsi="宋体" w:cstheme="minorEastAsia"/>
                <w:sz w:val="24"/>
              </w:rPr>
              <w:t>6、若联合体中任一成员单位中途退出，则该联合体的</w:t>
            </w:r>
            <w:r>
              <w:rPr>
                <w:rFonts w:hint="eastAsia" w:ascii="宋体" w:hAnsi="宋体" w:cstheme="minorEastAsia"/>
                <w:b/>
                <w:sz w:val="24"/>
              </w:rPr>
              <w:t>响应无效</w:t>
            </w:r>
            <w:r>
              <w:rPr>
                <w:rFonts w:hint="eastAsia" w:ascii="宋体" w:hAnsi="宋体" w:cstheme="minorEastAsia"/>
                <w:sz w:val="24"/>
              </w:rPr>
              <w:t>。</w:t>
            </w:r>
          </w:p>
          <w:p w14:paraId="50B96747">
            <w:pPr>
              <w:tabs>
                <w:tab w:val="left" w:pos="1080"/>
              </w:tabs>
              <w:snapToGrid w:val="0"/>
              <w:rPr>
                <w:rFonts w:hint="eastAsia" w:ascii="宋体" w:hAnsi="宋体" w:cstheme="minorEastAsia"/>
                <w:sz w:val="24"/>
              </w:rPr>
            </w:pPr>
            <w:r>
              <w:rPr>
                <w:rFonts w:hint="eastAsia" w:ascii="宋体" w:hAnsi="宋体" w:cstheme="minorEastAsia"/>
                <w:sz w:val="24"/>
              </w:rPr>
              <w:t xml:space="preserve">7、本项目不接受联合体响应时，供应商不得为联合体。 </w:t>
            </w:r>
          </w:p>
        </w:tc>
        <w:tc>
          <w:tcPr>
            <w:tcW w:w="1028" w:type="pct"/>
            <w:vAlign w:val="center"/>
          </w:tcPr>
          <w:p w14:paraId="73BBEC9A">
            <w:pPr>
              <w:tabs>
                <w:tab w:val="left" w:pos="1080"/>
              </w:tabs>
              <w:snapToGrid w:val="0"/>
              <w:rPr>
                <w:rFonts w:hint="eastAsia" w:ascii="宋体" w:hAnsi="宋体" w:cstheme="minorEastAsia"/>
                <w:sz w:val="24"/>
              </w:rPr>
            </w:pPr>
            <w:r>
              <w:rPr>
                <w:rFonts w:hint="eastAsia" w:ascii="宋体" w:hAnsi="宋体" w:cstheme="minorEastAsia"/>
                <w:sz w:val="24"/>
              </w:rPr>
              <w:t>提供《联合协议》原件的电子件</w:t>
            </w:r>
          </w:p>
          <w:p w14:paraId="0B70B9AC">
            <w:pPr>
              <w:tabs>
                <w:tab w:val="left" w:pos="1080"/>
              </w:tabs>
              <w:snapToGrid w:val="0"/>
              <w:rPr>
                <w:rFonts w:hint="eastAsia" w:ascii="宋体" w:hAnsi="宋体" w:cstheme="minorEastAsia"/>
                <w:sz w:val="24"/>
              </w:rPr>
            </w:pPr>
            <w:r>
              <w:rPr>
                <w:rFonts w:hint="eastAsia" w:ascii="宋体" w:hAnsi="宋体" w:cstheme="minorEastAsia"/>
                <w:sz w:val="24"/>
              </w:rPr>
              <w:t>格式见《响应文件格式》</w:t>
            </w:r>
          </w:p>
        </w:tc>
      </w:tr>
      <w:tr w14:paraId="5FA85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ECD161">
            <w:pPr>
              <w:tabs>
                <w:tab w:val="left" w:pos="1080"/>
              </w:tabs>
              <w:snapToGrid w:val="0"/>
              <w:jc w:val="center"/>
              <w:rPr>
                <w:rFonts w:hint="eastAsia" w:ascii="宋体" w:hAnsi="宋体" w:cstheme="minorEastAsia"/>
                <w:sz w:val="24"/>
              </w:rPr>
            </w:pPr>
            <w:r>
              <w:rPr>
                <w:rFonts w:hint="eastAsia" w:ascii="宋体" w:hAnsi="宋体" w:cstheme="minorEastAsia"/>
                <w:sz w:val="24"/>
              </w:rPr>
              <w:t>3-2</w:t>
            </w:r>
          </w:p>
        </w:tc>
        <w:tc>
          <w:tcPr>
            <w:tcW w:w="938" w:type="pct"/>
            <w:vAlign w:val="center"/>
          </w:tcPr>
          <w:p w14:paraId="1A29698E">
            <w:pPr>
              <w:tabs>
                <w:tab w:val="left" w:pos="1080"/>
              </w:tabs>
              <w:snapToGrid w:val="0"/>
              <w:rPr>
                <w:rFonts w:hint="eastAsia" w:ascii="宋体" w:hAnsi="宋体" w:cstheme="minorEastAsia"/>
                <w:sz w:val="24"/>
              </w:rPr>
            </w:pPr>
            <w:r>
              <w:rPr>
                <w:rFonts w:hint="eastAsia" w:ascii="宋体" w:hAnsi="宋体" w:cstheme="minorEastAsia"/>
                <w:sz w:val="24"/>
              </w:rPr>
              <w:t>政府购买服务承接主体的要求</w:t>
            </w:r>
          </w:p>
        </w:tc>
        <w:tc>
          <w:tcPr>
            <w:tcW w:w="2579" w:type="pct"/>
            <w:vAlign w:val="center"/>
          </w:tcPr>
          <w:p w14:paraId="41C3350B">
            <w:pPr>
              <w:tabs>
                <w:tab w:val="left" w:pos="1080"/>
              </w:tabs>
              <w:snapToGrid w:val="0"/>
              <w:rPr>
                <w:rFonts w:hint="eastAsia" w:ascii="宋体" w:hAnsi="宋体" w:cstheme="minorEastAsia"/>
                <w:sz w:val="24"/>
              </w:rPr>
            </w:pPr>
            <w:r>
              <w:rPr>
                <w:rFonts w:hint="eastAsia" w:ascii="宋体" w:hAnsi="宋体" w:cstheme="minorEastAsia"/>
                <w:sz w:val="24"/>
              </w:rPr>
              <w:t>如本项目属于政府购买服务，供应商不属于公益一类事业单位、使用事业编制且由财政拨款保障的群团组织。</w:t>
            </w:r>
          </w:p>
        </w:tc>
        <w:tc>
          <w:tcPr>
            <w:tcW w:w="1028" w:type="pct"/>
            <w:vAlign w:val="center"/>
          </w:tcPr>
          <w:p w14:paraId="78D6B345">
            <w:pPr>
              <w:tabs>
                <w:tab w:val="left" w:pos="1080"/>
              </w:tabs>
              <w:snapToGrid w:val="0"/>
              <w:rPr>
                <w:rFonts w:hint="eastAsia" w:ascii="宋体" w:hAnsi="宋体" w:cstheme="minorEastAsia"/>
                <w:sz w:val="24"/>
              </w:rPr>
            </w:pPr>
            <w:r>
              <w:rPr>
                <w:rFonts w:hint="eastAsia" w:ascii="宋体" w:hAnsi="宋体" w:cstheme="minorEastAsia"/>
                <w:sz w:val="24"/>
              </w:rPr>
              <w:t>格式见《响应文件格式》“1-2 供应商资格声明书”</w:t>
            </w:r>
          </w:p>
        </w:tc>
      </w:tr>
      <w:tr w14:paraId="70610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B114C3">
            <w:pPr>
              <w:tabs>
                <w:tab w:val="left" w:pos="1080"/>
              </w:tabs>
              <w:snapToGrid w:val="0"/>
              <w:jc w:val="center"/>
              <w:rPr>
                <w:rFonts w:hint="eastAsia" w:ascii="宋体" w:hAnsi="宋体" w:cstheme="minorEastAsia"/>
                <w:sz w:val="24"/>
              </w:rPr>
            </w:pPr>
            <w:r>
              <w:rPr>
                <w:rFonts w:hint="eastAsia" w:ascii="宋体" w:hAnsi="宋体" w:cstheme="minorEastAsia"/>
                <w:sz w:val="24"/>
              </w:rPr>
              <w:t>3-3</w:t>
            </w:r>
          </w:p>
        </w:tc>
        <w:tc>
          <w:tcPr>
            <w:tcW w:w="938" w:type="pct"/>
            <w:vAlign w:val="center"/>
          </w:tcPr>
          <w:p w14:paraId="1C765AF4">
            <w:pPr>
              <w:tabs>
                <w:tab w:val="left" w:pos="1080"/>
              </w:tabs>
              <w:snapToGrid w:val="0"/>
              <w:rPr>
                <w:rFonts w:hint="eastAsia" w:ascii="宋体" w:hAnsi="宋体" w:cstheme="minorEastAsia"/>
                <w:sz w:val="24"/>
              </w:rPr>
            </w:pPr>
            <w:r>
              <w:rPr>
                <w:rFonts w:hint="eastAsia" w:ascii="宋体" w:hAnsi="宋体" w:cstheme="minorEastAsia"/>
                <w:sz w:val="24"/>
              </w:rPr>
              <w:t>其他特定资格要求</w:t>
            </w:r>
          </w:p>
        </w:tc>
        <w:tc>
          <w:tcPr>
            <w:tcW w:w="2579" w:type="pct"/>
            <w:vAlign w:val="center"/>
          </w:tcPr>
          <w:p w14:paraId="038BFB84">
            <w:pPr>
              <w:tabs>
                <w:tab w:val="left" w:pos="1080"/>
              </w:tabs>
              <w:snapToGrid w:val="0"/>
              <w:rPr>
                <w:rFonts w:hint="eastAsia" w:ascii="宋体" w:hAnsi="宋体" w:cstheme="minorEastAsia"/>
                <w:sz w:val="24"/>
              </w:rPr>
            </w:pPr>
            <w:r>
              <w:rPr>
                <w:rFonts w:hint="eastAsia" w:ascii="宋体" w:hAnsi="宋体" w:cstheme="minorEastAsia"/>
                <w:sz w:val="24"/>
              </w:rPr>
              <w:t>如有，见第一章《采购邀请》</w:t>
            </w:r>
          </w:p>
          <w:p w14:paraId="2C3CA543">
            <w:pPr>
              <w:tabs>
                <w:tab w:val="left" w:pos="1080"/>
              </w:tabs>
              <w:snapToGrid w:val="0"/>
              <w:rPr>
                <w:rFonts w:hint="eastAsia" w:ascii="宋体" w:hAnsi="宋体" w:cstheme="minorEastAsia"/>
                <w:sz w:val="24"/>
              </w:rPr>
            </w:pPr>
            <w:r>
              <w:rPr>
                <w:rFonts w:hint="eastAsia" w:ascii="宋体" w:hAnsi="宋体" w:cstheme="minorEastAsia"/>
                <w:sz w:val="24"/>
              </w:rPr>
              <w:t>注：如联合体中有同类资质的供应商按照联合体分工承担相同工作的，均应当提供资质证书电子件或电子证照。</w:t>
            </w:r>
          </w:p>
        </w:tc>
        <w:tc>
          <w:tcPr>
            <w:tcW w:w="1028" w:type="pct"/>
            <w:vAlign w:val="center"/>
          </w:tcPr>
          <w:p w14:paraId="2D9CB88F">
            <w:pPr>
              <w:tabs>
                <w:tab w:val="left" w:pos="1080"/>
              </w:tabs>
              <w:snapToGrid w:val="0"/>
              <w:rPr>
                <w:rFonts w:hint="eastAsia" w:ascii="宋体" w:hAnsi="宋体" w:cstheme="minorEastAsia"/>
                <w:sz w:val="24"/>
              </w:rPr>
            </w:pPr>
            <w:r>
              <w:rPr>
                <w:rFonts w:hint="eastAsia" w:ascii="宋体" w:hAnsi="宋体" w:cstheme="minorEastAsia"/>
                <w:sz w:val="24"/>
              </w:rPr>
              <w:t>提供证明文件的电子件或电子证照</w:t>
            </w:r>
          </w:p>
        </w:tc>
      </w:tr>
      <w:tr w14:paraId="5094C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59AE1C2">
            <w:pPr>
              <w:tabs>
                <w:tab w:val="left" w:pos="1080"/>
              </w:tabs>
              <w:snapToGrid w:val="0"/>
              <w:jc w:val="center"/>
              <w:rPr>
                <w:rFonts w:hint="eastAsia" w:ascii="宋体" w:hAnsi="宋体" w:cstheme="minorEastAsia"/>
                <w:sz w:val="24"/>
              </w:rPr>
            </w:pPr>
            <w:r>
              <w:rPr>
                <w:rFonts w:hint="eastAsia" w:ascii="宋体" w:hAnsi="宋体" w:cstheme="minorEastAsia"/>
                <w:sz w:val="24"/>
              </w:rPr>
              <w:t>4</w:t>
            </w:r>
          </w:p>
        </w:tc>
        <w:tc>
          <w:tcPr>
            <w:tcW w:w="938" w:type="pct"/>
            <w:vAlign w:val="center"/>
          </w:tcPr>
          <w:p w14:paraId="31D3A81E">
            <w:pPr>
              <w:tabs>
                <w:tab w:val="left" w:pos="1080"/>
              </w:tabs>
              <w:snapToGrid w:val="0"/>
              <w:rPr>
                <w:rFonts w:hint="eastAsia" w:ascii="宋体" w:hAnsi="宋体" w:cstheme="minorEastAsia"/>
                <w:sz w:val="24"/>
              </w:rPr>
            </w:pPr>
            <w:r>
              <w:rPr>
                <w:rFonts w:hint="eastAsia" w:ascii="宋体" w:hAnsi="宋体" w:cstheme="minorEastAsia"/>
                <w:kern w:val="0"/>
                <w:sz w:val="24"/>
              </w:rPr>
              <w:t>磋商保证金</w:t>
            </w:r>
          </w:p>
        </w:tc>
        <w:tc>
          <w:tcPr>
            <w:tcW w:w="2579" w:type="pct"/>
            <w:vAlign w:val="center"/>
          </w:tcPr>
          <w:p w14:paraId="1FE55C2B">
            <w:pPr>
              <w:tabs>
                <w:tab w:val="left" w:pos="1080"/>
              </w:tabs>
              <w:snapToGrid w:val="0"/>
              <w:rPr>
                <w:rFonts w:hint="eastAsia" w:ascii="宋体" w:hAnsi="宋体" w:cstheme="minorEastAsia"/>
                <w:sz w:val="24"/>
              </w:rPr>
            </w:pPr>
            <w:r>
              <w:rPr>
                <w:rFonts w:hint="eastAsia" w:ascii="宋体" w:hAnsi="宋体" w:cstheme="minorEastAsia"/>
                <w:kern w:val="0"/>
                <w:sz w:val="24"/>
              </w:rPr>
              <w:t>按照竞争性磋商文件的要求提交磋商保证金。</w:t>
            </w:r>
          </w:p>
        </w:tc>
        <w:tc>
          <w:tcPr>
            <w:tcW w:w="1028" w:type="pct"/>
            <w:vAlign w:val="center"/>
          </w:tcPr>
          <w:p w14:paraId="3D0DAC39">
            <w:pPr>
              <w:tabs>
                <w:tab w:val="left" w:pos="1080"/>
              </w:tabs>
              <w:snapToGrid w:val="0"/>
              <w:rPr>
                <w:rFonts w:hint="eastAsia" w:ascii="宋体" w:hAnsi="宋体" w:cstheme="minorEastAsia"/>
                <w:sz w:val="24"/>
              </w:rPr>
            </w:pPr>
          </w:p>
        </w:tc>
      </w:tr>
      <w:tr w14:paraId="4416F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D3AAEB">
            <w:pPr>
              <w:tabs>
                <w:tab w:val="left" w:pos="1080"/>
              </w:tabs>
              <w:snapToGrid w:val="0"/>
              <w:jc w:val="center"/>
              <w:rPr>
                <w:rFonts w:hint="eastAsia" w:ascii="宋体" w:hAnsi="宋体" w:cstheme="minorEastAsia"/>
                <w:sz w:val="24"/>
              </w:rPr>
            </w:pPr>
            <w:r>
              <w:rPr>
                <w:rFonts w:hint="eastAsia" w:ascii="宋体" w:hAnsi="宋体" w:cstheme="minorEastAsia"/>
                <w:sz w:val="24"/>
              </w:rPr>
              <w:t>5</w:t>
            </w:r>
          </w:p>
        </w:tc>
        <w:tc>
          <w:tcPr>
            <w:tcW w:w="938" w:type="pct"/>
            <w:vAlign w:val="center"/>
          </w:tcPr>
          <w:p w14:paraId="0E51027E">
            <w:pPr>
              <w:tabs>
                <w:tab w:val="left" w:pos="1080"/>
              </w:tabs>
              <w:snapToGrid w:val="0"/>
              <w:rPr>
                <w:rFonts w:hint="eastAsia" w:ascii="宋体" w:hAnsi="宋体" w:cstheme="minorEastAsia"/>
                <w:kern w:val="0"/>
                <w:sz w:val="24"/>
              </w:rPr>
            </w:pPr>
            <w:r>
              <w:rPr>
                <w:rFonts w:hint="eastAsia" w:ascii="宋体" w:hAnsi="宋体" w:cstheme="minorEastAsia"/>
                <w:kern w:val="0"/>
                <w:sz w:val="24"/>
              </w:rPr>
              <w:t>获取磋商文件</w:t>
            </w:r>
          </w:p>
        </w:tc>
        <w:tc>
          <w:tcPr>
            <w:tcW w:w="2579" w:type="pct"/>
            <w:vAlign w:val="center"/>
          </w:tcPr>
          <w:p w14:paraId="54D95ED5">
            <w:pPr>
              <w:tabs>
                <w:tab w:val="left" w:pos="1080"/>
              </w:tabs>
              <w:snapToGrid w:val="0"/>
              <w:rPr>
                <w:rFonts w:hint="eastAsia" w:ascii="宋体" w:hAnsi="宋体" w:cstheme="minorEastAsia"/>
                <w:kern w:val="0"/>
                <w:sz w:val="24"/>
              </w:rPr>
            </w:pPr>
            <w:r>
              <w:rPr>
                <w:rFonts w:hint="eastAsia" w:ascii="宋体" w:hAnsi="宋体" w:cstheme="minorEastAsia"/>
                <w:kern w:val="0"/>
                <w:sz w:val="24"/>
              </w:rPr>
              <w:t>在规定期限内通过北京市政府采购电子交易平台获取所参与包的磋商文件。</w:t>
            </w:r>
          </w:p>
          <w:p w14:paraId="32180106">
            <w:pPr>
              <w:tabs>
                <w:tab w:val="left" w:pos="1080"/>
              </w:tabs>
              <w:snapToGrid w:val="0"/>
              <w:rPr>
                <w:rFonts w:hint="eastAsia" w:ascii="宋体" w:hAnsi="宋体" w:cstheme="minorEastAsia"/>
                <w:kern w:val="0"/>
                <w:sz w:val="24"/>
              </w:rPr>
            </w:pPr>
            <w:r>
              <w:rPr>
                <w:rFonts w:hint="eastAsia" w:ascii="宋体" w:hAnsi="宋体" w:cstheme="minorEastAsia"/>
                <w:kern w:val="0"/>
                <w:sz w:val="24"/>
              </w:rPr>
              <w:t>注：如本项目接受联合体，且供应商为联合体时，联合体中任一成员获取文件即视为满足要求。</w:t>
            </w:r>
          </w:p>
        </w:tc>
        <w:tc>
          <w:tcPr>
            <w:tcW w:w="1028" w:type="pct"/>
            <w:vAlign w:val="center"/>
          </w:tcPr>
          <w:p w14:paraId="5DEC0F61">
            <w:pPr>
              <w:tabs>
                <w:tab w:val="left" w:pos="1080"/>
              </w:tabs>
              <w:snapToGrid w:val="0"/>
              <w:rPr>
                <w:rFonts w:hint="eastAsia" w:ascii="宋体" w:hAnsi="宋体" w:cstheme="minorEastAsia"/>
                <w:sz w:val="24"/>
              </w:rPr>
            </w:pPr>
          </w:p>
        </w:tc>
      </w:tr>
    </w:tbl>
    <w:p w14:paraId="3F4FBEB3">
      <w:pPr>
        <w:widowControl/>
        <w:jc w:val="left"/>
        <w:rPr>
          <w:rFonts w:hint="eastAsia" w:ascii="宋体" w:hAnsi="宋体" w:cstheme="minorEastAsia"/>
          <w:sz w:val="24"/>
        </w:rPr>
      </w:pPr>
    </w:p>
    <w:p w14:paraId="7153AFCB">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《符合性审查要求》见下表：</w:t>
      </w:r>
    </w:p>
    <w:p w14:paraId="328BE5A0">
      <w:pPr>
        <w:widowControl/>
        <w:spacing w:line="360" w:lineRule="auto"/>
        <w:jc w:val="center"/>
        <w:rPr>
          <w:rFonts w:hint="eastAsia" w:ascii="宋体" w:hAnsi="宋体" w:cstheme="minorEastAsia"/>
          <w:b/>
          <w:kern w:val="0"/>
          <w:sz w:val="24"/>
        </w:rPr>
      </w:pPr>
      <w:r>
        <w:rPr>
          <w:rFonts w:hint="eastAsia" w:ascii="宋体" w:hAnsi="宋体" w:cstheme="minorEastAsia"/>
          <w:b/>
          <w:kern w:val="0"/>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1677"/>
        <w:gridCol w:w="4526"/>
        <w:gridCol w:w="1610"/>
      </w:tblGrid>
      <w:tr w14:paraId="39E3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91" w:type="pct"/>
            <w:shd w:val="clear" w:color="000000" w:fill="FFFFFF"/>
            <w:vAlign w:val="center"/>
          </w:tcPr>
          <w:p w14:paraId="3BF4EDBD">
            <w:pPr>
              <w:widowControl/>
              <w:jc w:val="center"/>
              <w:rPr>
                <w:rFonts w:hint="eastAsia" w:ascii="宋体" w:hAnsi="宋体" w:cstheme="minorEastAsia"/>
                <w:b/>
                <w:kern w:val="0"/>
                <w:sz w:val="24"/>
              </w:rPr>
            </w:pPr>
            <w:r>
              <w:rPr>
                <w:rFonts w:hint="eastAsia" w:ascii="宋体" w:hAnsi="宋体" w:cstheme="minorEastAsia"/>
                <w:b/>
                <w:kern w:val="0"/>
                <w:sz w:val="24"/>
              </w:rPr>
              <w:t>序号</w:t>
            </w:r>
          </w:p>
        </w:tc>
        <w:tc>
          <w:tcPr>
            <w:tcW w:w="1010" w:type="pct"/>
            <w:shd w:val="clear" w:color="000000" w:fill="FFFFFF"/>
            <w:vAlign w:val="center"/>
          </w:tcPr>
          <w:p w14:paraId="3E51317E">
            <w:pPr>
              <w:widowControl/>
              <w:jc w:val="center"/>
              <w:rPr>
                <w:rFonts w:hint="eastAsia" w:ascii="宋体" w:hAnsi="宋体" w:cstheme="minorEastAsia"/>
                <w:b/>
                <w:kern w:val="0"/>
                <w:sz w:val="24"/>
              </w:rPr>
            </w:pPr>
            <w:r>
              <w:rPr>
                <w:rFonts w:hint="eastAsia" w:ascii="宋体" w:hAnsi="宋体" w:cstheme="minorEastAsia"/>
                <w:b/>
                <w:sz w:val="24"/>
              </w:rPr>
              <w:t>检查</w:t>
            </w:r>
            <w:r>
              <w:rPr>
                <w:rFonts w:hint="eastAsia" w:ascii="宋体" w:hAnsi="宋体" w:cstheme="minorEastAsia"/>
                <w:b/>
                <w:kern w:val="0"/>
                <w:sz w:val="24"/>
              </w:rPr>
              <w:t>因素</w:t>
            </w:r>
          </w:p>
        </w:tc>
        <w:tc>
          <w:tcPr>
            <w:tcW w:w="2726" w:type="pct"/>
            <w:shd w:val="clear" w:color="000000" w:fill="FFFFFF"/>
            <w:vAlign w:val="center"/>
          </w:tcPr>
          <w:p w14:paraId="4BE493B4">
            <w:pPr>
              <w:widowControl/>
              <w:jc w:val="center"/>
              <w:rPr>
                <w:rFonts w:hint="eastAsia" w:ascii="宋体" w:hAnsi="宋体" w:cstheme="minorEastAsia"/>
                <w:b/>
                <w:kern w:val="0"/>
                <w:sz w:val="24"/>
              </w:rPr>
            </w:pPr>
            <w:r>
              <w:rPr>
                <w:rFonts w:hint="eastAsia" w:ascii="宋体" w:hAnsi="宋体" w:cstheme="minorEastAsia"/>
                <w:b/>
                <w:sz w:val="24"/>
              </w:rPr>
              <w:t>检查</w:t>
            </w:r>
            <w:r>
              <w:rPr>
                <w:rFonts w:hint="eastAsia" w:ascii="宋体" w:hAnsi="宋体" w:cstheme="minorEastAsia"/>
                <w:b/>
                <w:kern w:val="0"/>
                <w:sz w:val="24"/>
              </w:rPr>
              <w:t>内容</w:t>
            </w:r>
          </w:p>
        </w:tc>
        <w:tc>
          <w:tcPr>
            <w:tcW w:w="970" w:type="pct"/>
            <w:shd w:val="clear" w:color="000000" w:fill="FFFFFF"/>
            <w:vAlign w:val="center"/>
          </w:tcPr>
          <w:p w14:paraId="1B032D92">
            <w:pPr>
              <w:widowControl/>
              <w:jc w:val="center"/>
              <w:rPr>
                <w:rFonts w:hint="eastAsia" w:ascii="宋体" w:hAnsi="宋体" w:cstheme="minorEastAsia"/>
                <w:b/>
                <w:kern w:val="0"/>
                <w:sz w:val="24"/>
              </w:rPr>
            </w:pPr>
            <w:r>
              <w:rPr>
                <w:rFonts w:hint="eastAsia" w:ascii="宋体" w:hAnsi="宋体" w:cstheme="minorEastAsia"/>
                <w:b/>
                <w:kern w:val="0"/>
                <w:sz w:val="24"/>
              </w:rPr>
              <w:t>是否允许澄清、</w:t>
            </w:r>
          </w:p>
          <w:p w14:paraId="63F7F0F6">
            <w:pPr>
              <w:widowControl/>
              <w:jc w:val="center"/>
              <w:rPr>
                <w:rFonts w:hint="eastAsia" w:ascii="宋体" w:hAnsi="宋体" w:cstheme="minorEastAsia"/>
                <w:b/>
                <w:kern w:val="0"/>
                <w:sz w:val="24"/>
              </w:rPr>
            </w:pPr>
            <w:r>
              <w:rPr>
                <w:rFonts w:hint="eastAsia" w:ascii="宋体" w:hAnsi="宋体" w:cstheme="minorEastAsia"/>
                <w:b/>
                <w:kern w:val="0"/>
                <w:sz w:val="24"/>
              </w:rPr>
              <w:t>说明或者更正</w:t>
            </w:r>
          </w:p>
        </w:tc>
      </w:tr>
      <w:tr w14:paraId="6FDF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7FB847B">
            <w:pPr>
              <w:widowControl/>
              <w:jc w:val="center"/>
              <w:rPr>
                <w:rFonts w:hint="eastAsia" w:ascii="宋体" w:hAnsi="宋体" w:cstheme="minorEastAsia"/>
                <w:kern w:val="0"/>
                <w:sz w:val="24"/>
              </w:rPr>
            </w:pPr>
            <w:r>
              <w:rPr>
                <w:rFonts w:hint="eastAsia" w:ascii="宋体" w:hAnsi="宋体" w:cstheme="minorEastAsia"/>
                <w:kern w:val="0"/>
                <w:sz w:val="24"/>
              </w:rPr>
              <w:t>1</w:t>
            </w:r>
          </w:p>
        </w:tc>
        <w:tc>
          <w:tcPr>
            <w:tcW w:w="1010" w:type="pct"/>
            <w:shd w:val="clear" w:color="000000" w:fill="FFFFFF"/>
            <w:vAlign w:val="center"/>
          </w:tcPr>
          <w:p w14:paraId="07166882">
            <w:pPr>
              <w:widowControl/>
              <w:jc w:val="center"/>
              <w:rPr>
                <w:rFonts w:hint="eastAsia" w:ascii="宋体" w:hAnsi="宋体" w:cstheme="minorEastAsia"/>
                <w:kern w:val="0"/>
                <w:sz w:val="24"/>
              </w:rPr>
            </w:pPr>
            <w:r>
              <w:rPr>
                <w:rFonts w:hint="eastAsia" w:ascii="宋体" w:hAnsi="宋体" w:cstheme="minorEastAsia"/>
                <w:kern w:val="0"/>
                <w:sz w:val="24"/>
              </w:rPr>
              <w:t>授权委托书</w:t>
            </w:r>
          </w:p>
        </w:tc>
        <w:tc>
          <w:tcPr>
            <w:tcW w:w="2726" w:type="pct"/>
            <w:shd w:val="clear" w:color="000000" w:fill="FFFFFF"/>
            <w:vAlign w:val="center"/>
          </w:tcPr>
          <w:p w14:paraId="01B40697">
            <w:pPr>
              <w:widowControl/>
              <w:jc w:val="left"/>
              <w:rPr>
                <w:rFonts w:hint="eastAsia" w:ascii="宋体" w:hAnsi="宋体" w:cstheme="minorEastAsia"/>
                <w:kern w:val="0"/>
                <w:sz w:val="24"/>
              </w:rPr>
            </w:pPr>
            <w:r>
              <w:rPr>
                <w:rFonts w:hint="eastAsia" w:ascii="宋体" w:hAnsi="宋体" w:cstheme="minorEastAsia"/>
                <w:kern w:val="0"/>
                <w:sz w:val="24"/>
              </w:rPr>
              <w:t>按竞争性磋商文件要求提供授权委托书；</w:t>
            </w:r>
          </w:p>
        </w:tc>
        <w:tc>
          <w:tcPr>
            <w:tcW w:w="970" w:type="pct"/>
            <w:shd w:val="clear" w:color="000000" w:fill="FFFFFF"/>
            <w:vAlign w:val="center"/>
          </w:tcPr>
          <w:p w14:paraId="726D8DA5">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42480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8FC2F1A">
            <w:pPr>
              <w:widowControl/>
              <w:jc w:val="center"/>
              <w:rPr>
                <w:rFonts w:hint="eastAsia" w:ascii="宋体" w:hAnsi="宋体" w:cstheme="minorEastAsia"/>
                <w:kern w:val="0"/>
                <w:sz w:val="24"/>
              </w:rPr>
            </w:pPr>
            <w:r>
              <w:rPr>
                <w:rFonts w:hint="eastAsia" w:ascii="宋体" w:hAnsi="宋体" w:cstheme="minorEastAsia"/>
                <w:kern w:val="0"/>
                <w:sz w:val="24"/>
              </w:rPr>
              <w:t>2</w:t>
            </w:r>
          </w:p>
        </w:tc>
        <w:tc>
          <w:tcPr>
            <w:tcW w:w="1010" w:type="pct"/>
            <w:shd w:val="clear" w:color="000000" w:fill="FFFFFF"/>
            <w:vAlign w:val="center"/>
          </w:tcPr>
          <w:p w14:paraId="7DA7F63F">
            <w:pPr>
              <w:widowControl/>
              <w:jc w:val="center"/>
              <w:rPr>
                <w:rFonts w:hint="eastAsia" w:ascii="宋体" w:hAnsi="宋体" w:cstheme="minorEastAsia"/>
                <w:kern w:val="0"/>
                <w:sz w:val="24"/>
              </w:rPr>
            </w:pPr>
            <w:r>
              <w:rPr>
                <w:rFonts w:hint="eastAsia" w:ascii="宋体" w:hAnsi="宋体" w:cstheme="minorEastAsia"/>
                <w:kern w:val="0"/>
                <w:sz w:val="24"/>
              </w:rPr>
              <w:t>响应完整性</w:t>
            </w:r>
          </w:p>
        </w:tc>
        <w:tc>
          <w:tcPr>
            <w:tcW w:w="2726" w:type="pct"/>
            <w:shd w:val="clear" w:color="000000" w:fill="FFFFFF"/>
            <w:vAlign w:val="center"/>
          </w:tcPr>
          <w:p w14:paraId="2F9ECE31">
            <w:pPr>
              <w:widowControl/>
              <w:jc w:val="left"/>
              <w:rPr>
                <w:rFonts w:hint="eastAsia" w:ascii="宋体" w:hAnsi="宋体" w:cstheme="minorEastAsia"/>
                <w:kern w:val="0"/>
                <w:sz w:val="24"/>
              </w:rPr>
            </w:pPr>
            <w:r>
              <w:rPr>
                <w:rFonts w:hint="eastAsia" w:ascii="宋体" w:hAnsi="宋体" w:cstheme="minorEastAsia"/>
                <w:kern w:val="0"/>
                <w:sz w:val="24"/>
              </w:rPr>
              <w:t>不存在将一个采购包中的内容拆开响应；</w:t>
            </w:r>
          </w:p>
        </w:tc>
        <w:tc>
          <w:tcPr>
            <w:tcW w:w="970" w:type="pct"/>
            <w:shd w:val="clear" w:color="000000" w:fill="FFFFFF"/>
            <w:vAlign w:val="center"/>
          </w:tcPr>
          <w:p w14:paraId="7A58F8A7">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01F99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60B8E6A8">
            <w:pPr>
              <w:widowControl/>
              <w:jc w:val="center"/>
              <w:rPr>
                <w:rFonts w:hint="eastAsia" w:ascii="宋体" w:hAnsi="宋体" w:cstheme="minorEastAsia"/>
                <w:kern w:val="0"/>
                <w:sz w:val="24"/>
              </w:rPr>
            </w:pPr>
            <w:r>
              <w:rPr>
                <w:rFonts w:hint="eastAsia" w:ascii="宋体" w:hAnsi="宋体" w:cstheme="minorEastAsia"/>
                <w:kern w:val="0"/>
                <w:sz w:val="24"/>
              </w:rPr>
              <w:t>3</w:t>
            </w:r>
          </w:p>
        </w:tc>
        <w:tc>
          <w:tcPr>
            <w:tcW w:w="1010" w:type="pct"/>
            <w:shd w:val="clear" w:color="000000" w:fill="FFFFFF"/>
            <w:vAlign w:val="center"/>
          </w:tcPr>
          <w:p w14:paraId="307598FE">
            <w:pPr>
              <w:widowControl/>
              <w:jc w:val="center"/>
              <w:rPr>
                <w:rFonts w:hint="eastAsia" w:ascii="宋体" w:hAnsi="宋体" w:cstheme="minorEastAsia"/>
                <w:kern w:val="0"/>
                <w:sz w:val="24"/>
              </w:rPr>
            </w:pPr>
            <w:r>
              <w:rPr>
                <w:rFonts w:hint="eastAsia" w:ascii="宋体" w:hAnsi="宋体" w:cstheme="minorEastAsia"/>
                <w:kern w:val="0"/>
                <w:sz w:val="24"/>
              </w:rPr>
              <w:t>磋商报价</w:t>
            </w:r>
          </w:p>
        </w:tc>
        <w:tc>
          <w:tcPr>
            <w:tcW w:w="2726" w:type="pct"/>
            <w:shd w:val="clear" w:color="000000" w:fill="FFFFFF"/>
            <w:vAlign w:val="center"/>
          </w:tcPr>
          <w:p w14:paraId="2A7B1993">
            <w:pPr>
              <w:widowControl/>
              <w:jc w:val="left"/>
              <w:rPr>
                <w:rFonts w:hint="eastAsia" w:ascii="宋体" w:hAnsi="宋体" w:cstheme="minorEastAsia"/>
                <w:kern w:val="0"/>
                <w:sz w:val="24"/>
              </w:rPr>
            </w:pPr>
            <w:r>
              <w:rPr>
                <w:rFonts w:hint="eastAsia" w:ascii="宋体" w:hAnsi="宋体" w:cstheme="minorEastAsia"/>
                <w:kern w:val="0"/>
                <w:sz w:val="24"/>
              </w:rPr>
              <w:t>不存在报价超过竞争性磋商文件中规定的项目/采购包预算金额或者项目/采购包最高限价；</w:t>
            </w:r>
          </w:p>
        </w:tc>
        <w:tc>
          <w:tcPr>
            <w:tcW w:w="970" w:type="pct"/>
            <w:shd w:val="clear" w:color="000000" w:fill="FFFFFF"/>
            <w:vAlign w:val="center"/>
          </w:tcPr>
          <w:p w14:paraId="4F90D2F3">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5A89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5F26D70D">
            <w:pPr>
              <w:widowControl/>
              <w:jc w:val="center"/>
              <w:rPr>
                <w:rFonts w:hint="eastAsia" w:ascii="宋体" w:hAnsi="宋体" w:cstheme="minorEastAsia"/>
                <w:kern w:val="0"/>
                <w:sz w:val="24"/>
              </w:rPr>
            </w:pPr>
            <w:r>
              <w:rPr>
                <w:rFonts w:hint="eastAsia" w:ascii="宋体" w:hAnsi="宋体" w:cstheme="minorEastAsia"/>
                <w:kern w:val="0"/>
                <w:sz w:val="24"/>
              </w:rPr>
              <w:t>4</w:t>
            </w:r>
          </w:p>
        </w:tc>
        <w:tc>
          <w:tcPr>
            <w:tcW w:w="1010" w:type="pct"/>
            <w:shd w:val="clear" w:color="000000" w:fill="FFFFFF"/>
            <w:vAlign w:val="center"/>
          </w:tcPr>
          <w:p w14:paraId="7014EB4F">
            <w:pPr>
              <w:widowControl/>
              <w:jc w:val="center"/>
              <w:rPr>
                <w:rFonts w:hint="eastAsia" w:ascii="宋体" w:hAnsi="宋体" w:cstheme="minorEastAsia"/>
                <w:kern w:val="0"/>
                <w:sz w:val="24"/>
              </w:rPr>
            </w:pPr>
            <w:r>
              <w:rPr>
                <w:rFonts w:hint="eastAsia" w:ascii="宋体" w:hAnsi="宋体" w:cstheme="minorEastAsia"/>
                <w:kern w:val="0"/>
                <w:sz w:val="24"/>
                <w:lang w:bidi="ar"/>
              </w:rPr>
              <w:t>报价唯一性</w:t>
            </w:r>
          </w:p>
        </w:tc>
        <w:tc>
          <w:tcPr>
            <w:tcW w:w="2726" w:type="pct"/>
            <w:shd w:val="clear" w:color="000000" w:fill="FFFFFF"/>
            <w:vAlign w:val="center"/>
          </w:tcPr>
          <w:p w14:paraId="6D942185">
            <w:pPr>
              <w:widowControl/>
              <w:jc w:val="left"/>
              <w:rPr>
                <w:rFonts w:hint="eastAsia" w:ascii="宋体" w:hAnsi="宋体" w:cstheme="minorEastAsia"/>
                <w:kern w:val="0"/>
                <w:sz w:val="24"/>
              </w:rPr>
            </w:pPr>
            <w:r>
              <w:rPr>
                <w:rFonts w:hint="eastAsia" w:ascii="宋体" w:hAnsi="宋体" w:cstheme="minorEastAsia"/>
                <w:kern w:val="0"/>
                <w:sz w:val="24"/>
                <w:lang w:bidi="ar"/>
              </w:rPr>
              <w:t>不存在响应文件出现可选择性或可调整的报价（竞争性磋商文件另有规定的除外）；</w:t>
            </w:r>
          </w:p>
        </w:tc>
        <w:tc>
          <w:tcPr>
            <w:tcW w:w="970" w:type="pct"/>
            <w:shd w:val="clear" w:color="000000" w:fill="FFFFFF"/>
            <w:vAlign w:val="center"/>
          </w:tcPr>
          <w:p w14:paraId="66D6D3D7">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7757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2C7D3B8">
            <w:pPr>
              <w:widowControl/>
              <w:jc w:val="center"/>
              <w:rPr>
                <w:rFonts w:hint="eastAsia" w:ascii="宋体" w:hAnsi="宋体" w:cstheme="minorEastAsia"/>
                <w:kern w:val="0"/>
                <w:sz w:val="24"/>
              </w:rPr>
            </w:pPr>
            <w:r>
              <w:rPr>
                <w:rFonts w:hint="eastAsia" w:ascii="宋体" w:hAnsi="宋体" w:cstheme="minorEastAsia"/>
                <w:kern w:val="0"/>
                <w:sz w:val="24"/>
              </w:rPr>
              <w:t>5</w:t>
            </w:r>
          </w:p>
        </w:tc>
        <w:tc>
          <w:tcPr>
            <w:tcW w:w="1010" w:type="pct"/>
            <w:shd w:val="clear" w:color="000000" w:fill="FFFFFF"/>
            <w:vAlign w:val="center"/>
          </w:tcPr>
          <w:p w14:paraId="77122703">
            <w:pPr>
              <w:widowControl/>
              <w:jc w:val="center"/>
              <w:rPr>
                <w:rFonts w:hint="eastAsia" w:ascii="宋体" w:hAnsi="宋体" w:cstheme="minorEastAsia"/>
                <w:kern w:val="0"/>
                <w:sz w:val="24"/>
              </w:rPr>
            </w:pPr>
            <w:r>
              <w:rPr>
                <w:rFonts w:hint="eastAsia" w:ascii="宋体" w:hAnsi="宋体" w:cstheme="minorEastAsia"/>
                <w:kern w:val="0"/>
                <w:sz w:val="24"/>
              </w:rPr>
              <w:t>磋商有效期</w:t>
            </w:r>
          </w:p>
        </w:tc>
        <w:tc>
          <w:tcPr>
            <w:tcW w:w="2726" w:type="pct"/>
            <w:shd w:val="clear" w:color="000000" w:fill="FFFFFF"/>
            <w:vAlign w:val="center"/>
          </w:tcPr>
          <w:p w14:paraId="0E6F90F5">
            <w:pPr>
              <w:widowControl/>
              <w:jc w:val="left"/>
              <w:rPr>
                <w:rFonts w:hint="eastAsia" w:ascii="宋体" w:hAnsi="宋体" w:cstheme="minorEastAsia"/>
                <w:kern w:val="0"/>
                <w:sz w:val="24"/>
              </w:rPr>
            </w:pPr>
            <w:r>
              <w:rPr>
                <w:rFonts w:hint="eastAsia" w:ascii="宋体" w:hAnsi="宋体" w:cstheme="minorEastAsia"/>
                <w:kern w:val="0"/>
                <w:sz w:val="24"/>
              </w:rPr>
              <w:t>不存在响应文件中承诺的有效期少于竞争性磋商文件中载明的有效期的；</w:t>
            </w:r>
          </w:p>
        </w:tc>
        <w:tc>
          <w:tcPr>
            <w:tcW w:w="970" w:type="pct"/>
            <w:shd w:val="clear" w:color="000000" w:fill="FFFFFF"/>
            <w:vAlign w:val="center"/>
          </w:tcPr>
          <w:p w14:paraId="6918CC03">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5F32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10D90DC">
            <w:pPr>
              <w:widowControl/>
              <w:jc w:val="center"/>
              <w:rPr>
                <w:rFonts w:hint="eastAsia" w:ascii="宋体" w:hAnsi="宋体" w:cstheme="minorEastAsia"/>
                <w:kern w:val="0"/>
                <w:sz w:val="24"/>
              </w:rPr>
            </w:pPr>
            <w:r>
              <w:rPr>
                <w:rFonts w:hint="eastAsia" w:ascii="宋体" w:hAnsi="宋体" w:cstheme="minorEastAsia"/>
                <w:kern w:val="0"/>
                <w:sz w:val="24"/>
              </w:rPr>
              <w:t>6</w:t>
            </w:r>
          </w:p>
        </w:tc>
        <w:tc>
          <w:tcPr>
            <w:tcW w:w="1010" w:type="pct"/>
            <w:shd w:val="clear" w:color="000000" w:fill="FFFFFF"/>
            <w:vAlign w:val="center"/>
          </w:tcPr>
          <w:p w14:paraId="307B4787">
            <w:pPr>
              <w:widowControl/>
              <w:jc w:val="center"/>
              <w:rPr>
                <w:rFonts w:hint="eastAsia" w:ascii="宋体" w:hAnsi="宋体" w:cstheme="minorEastAsia"/>
                <w:kern w:val="0"/>
                <w:sz w:val="24"/>
              </w:rPr>
            </w:pPr>
            <w:r>
              <w:rPr>
                <w:rFonts w:hint="eastAsia" w:ascii="宋体" w:hAnsi="宋体" w:cstheme="minorEastAsia"/>
                <w:kern w:val="0"/>
                <w:sz w:val="24"/>
              </w:rPr>
              <w:t>签署、盖章</w:t>
            </w:r>
          </w:p>
        </w:tc>
        <w:tc>
          <w:tcPr>
            <w:tcW w:w="2726" w:type="pct"/>
            <w:shd w:val="clear" w:color="000000" w:fill="FFFFFF"/>
            <w:vAlign w:val="center"/>
          </w:tcPr>
          <w:p w14:paraId="0473C669">
            <w:pPr>
              <w:widowControl/>
              <w:jc w:val="left"/>
              <w:rPr>
                <w:rFonts w:hint="eastAsia" w:ascii="宋体" w:hAnsi="宋体" w:cstheme="minorEastAsia"/>
                <w:kern w:val="0"/>
                <w:sz w:val="24"/>
              </w:rPr>
            </w:pPr>
            <w:r>
              <w:rPr>
                <w:rFonts w:hint="eastAsia" w:ascii="宋体" w:hAnsi="宋体" w:cstheme="minorEastAsia"/>
                <w:kern w:val="0"/>
                <w:sz w:val="24"/>
              </w:rPr>
              <w:t>《商务技术文件》按照竞争性磋商文件要求签署、盖章的；</w:t>
            </w:r>
          </w:p>
        </w:tc>
        <w:tc>
          <w:tcPr>
            <w:tcW w:w="970" w:type="pct"/>
            <w:shd w:val="clear" w:color="000000" w:fill="FFFFFF"/>
            <w:vAlign w:val="center"/>
          </w:tcPr>
          <w:p w14:paraId="688F5EBE">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6BB6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3144A613">
            <w:pPr>
              <w:widowControl/>
              <w:jc w:val="center"/>
              <w:rPr>
                <w:rFonts w:hint="eastAsia" w:ascii="宋体" w:hAnsi="宋体" w:cstheme="minorEastAsia"/>
                <w:kern w:val="0"/>
                <w:sz w:val="24"/>
              </w:rPr>
            </w:pPr>
            <w:r>
              <w:rPr>
                <w:rFonts w:hint="eastAsia" w:ascii="宋体" w:hAnsi="宋体" w:cstheme="minorEastAsia"/>
                <w:kern w:val="0"/>
                <w:sz w:val="24"/>
              </w:rPr>
              <w:t>7</w:t>
            </w:r>
          </w:p>
        </w:tc>
        <w:tc>
          <w:tcPr>
            <w:tcW w:w="1010" w:type="pct"/>
            <w:shd w:val="clear" w:color="000000" w:fill="FFFFFF"/>
            <w:vAlign w:val="center"/>
          </w:tcPr>
          <w:p w14:paraId="31A3FAC0">
            <w:pPr>
              <w:widowControl/>
              <w:jc w:val="center"/>
              <w:rPr>
                <w:rFonts w:hint="eastAsia" w:ascii="宋体" w:hAnsi="宋体" w:cstheme="minorEastAsia"/>
                <w:kern w:val="0"/>
                <w:sz w:val="24"/>
              </w:rPr>
            </w:pPr>
            <w:r>
              <w:rPr>
                <w:rFonts w:hint="eastAsia" w:ascii="宋体" w:hAnsi="宋体" w:cstheme="minorEastAsia"/>
                <w:kern w:val="0"/>
                <w:sz w:val="24"/>
              </w:rPr>
              <w:t>实质性格式</w:t>
            </w:r>
          </w:p>
        </w:tc>
        <w:tc>
          <w:tcPr>
            <w:tcW w:w="2726" w:type="pct"/>
            <w:shd w:val="clear" w:color="000000" w:fill="FFFFFF"/>
            <w:vAlign w:val="center"/>
          </w:tcPr>
          <w:p w14:paraId="7AD7550A">
            <w:pPr>
              <w:widowControl/>
              <w:jc w:val="left"/>
              <w:rPr>
                <w:rFonts w:hint="eastAsia" w:ascii="宋体" w:hAnsi="宋体" w:cstheme="minorEastAsia"/>
                <w:kern w:val="0"/>
                <w:sz w:val="24"/>
              </w:rPr>
            </w:pPr>
            <w:r>
              <w:rPr>
                <w:rFonts w:hint="eastAsia" w:ascii="宋体" w:hAnsi="宋体" w:cstheme="minorEastAsia"/>
                <w:kern w:val="0"/>
                <w:sz w:val="24"/>
              </w:rPr>
              <w:t>按竞争性磋商文件要求提供了标记为“实质性格式”的文件；</w:t>
            </w:r>
          </w:p>
        </w:tc>
        <w:tc>
          <w:tcPr>
            <w:tcW w:w="970" w:type="pct"/>
            <w:shd w:val="clear" w:color="000000" w:fill="FFFFFF"/>
            <w:vAlign w:val="center"/>
          </w:tcPr>
          <w:p w14:paraId="31E650CD">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763B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5804EE2A">
            <w:pPr>
              <w:widowControl/>
              <w:jc w:val="center"/>
              <w:rPr>
                <w:rFonts w:hint="eastAsia" w:ascii="宋体" w:hAnsi="宋体" w:cstheme="minorEastAsia"/>
                <w:kern w:val="0"/>
                <w:sz w:val="24"/>
              </w:rPr>
            </w:pPr>
            <w:r>
              <w:rPr>
                <w:rFonts w:hint="eastAsia" w:ascii="宋体" w:hAnsi="宋体" w:cstheme="minorEastAsia"/>
                <w:kern w:val="0"/>
                <w:sz w:val="24"/>
              </w:rPr>
              <w:t>8</w:t>
            </w:r>
          </w:p>
        </w:tc>
        <w:tc>
          <w:tcPr>
            <w:tcW w:w="1010" w:type="pct"/>
            <w:shd w:val="clear" w:color="000000" w:fill="FFFFFF"/>
            <w:vAlign w:val="center"/>
          </w:tcPr>
          <w:p w14:paraId="5031AE47">
            <w:pPr>
              <w:widowControl/>
              <w:jc w:val="center"/>
              <w:rPr>
                <w:rFonts w:hint="eastAsia" w:ascii="宋体" w:hAnsi="宋体" w:cstheme="minorEastAsia"/>
                <w:kern w:val="0"/>
                <w:sz w:val="24"/>
              </w:rPr>
            </w:pPr>
            <w:r>
              <w:rPr>
                <w:rFonts w:hint="eastAsia" w:ascii="宋体" w:hAnsi="宋体" w:cstheme="minorEastAsia"/>
                <w:kern w:val="0"/>
                <w:sz w:val="24"/>
              </w:rPr>
              <w:t>工期、质量标准</w:t>
            </w:r>
          </w:p>
        </w:tc>
        <w:tc>
          <w:tcPr>
            <w:tcW w:w="2726" w:type="pct"/>
            <w:shd w:val="clear" w:color="000000" w:fill="FFFFFF"/>
            <w:vAlign w:val="center"/>
          </w:tcPr>
          <w:p w14:paraId="1CF7BEA6">
            <w:pPr>
              <w:widowControl/>
              <w:jc w:val="left"/>
              <w:rPr>
                <w:rFonts w:hint="eastAsia" w:ascii="宋体" w:hAnsi="宋体" w:cstheme="minorEastAsia"/>
                <w:kern w:val="0"/>
                <w:sz w:val="24"/>
              </w:rPr>
            </w:pPr>
            <w:r>
              <w:rPr>
                <w:rFonts w:hint="eastAsia" w:ascii="宋体" w:hAnsi="宋体" w:cstheme="minorEastAsia"/>
                <w:kern w:val="0"/>
                <w:sz w:val="24"/>
              </w:rPr>
              <w:t>工期、质量标准满足磋商文件要求。</w:t>
            </w:r>
          </w:p>
        </w:tc>
        <w:tc>
          <w:tcPr>
            <w:tcW w:w="970" w:type="pct"/>
            <w:shd w:val="clear" w:color="000000" w:fill="FFFFFF"/>
            <w:vAlign w:val="center"/>
          </w:tcPr>
          <w:p w14:paraId="6759AC83">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3DFA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6B25B91">
            <w:pPr>
              <w:widowControl/>
              <w:jc w:val="center"/>
              <w:rPr>
                <w:rFonts w:hint="eastAsia" w:ascii="宋体" w:hAnsi="宋体" w:cstheme="minorEastAsia"/>
                <w:kern w:val="0"/>
                <w:sz w:val="24"/>
              </w:rPr>
            </w:pPr>
            <w:r>
              <w:rPr>
                <w:rFonts w:hint="eastAsia" w:ascii="宋体" w:hAnsi="宋体" w:cstheme="minorEastAsia"/>
                <w:kern w:val="0"/>
                <w:sz w:val="24"/>
              </w:rPr>
              <w:t>9</w:t>
            </w:r>
          </w:p>
        </w:tc>
        <w:tc>
          <w:tcPr>
            <w:tcW w:w="1010" w:type="pct"/>
            <w:shd w:val="clear" w:color="000000" w:fill="FFFFFF"/>
            <w:vAlign w:val="center"/>
          </w:tcPr>
          <w:p w14:paraId="336FCF46">
            <w:pPr>
              <w:widowControl/>
              <w:jc w:val="center"/>
              <w:rPr>
                <w:rFonts w:hint="eastAsia" w:ascii="宋体" w:hAnsi="宋体" w:cstheme="minorEastAsia"/>
                <w:kern w:val="0"/>
                <w:sz w:val="24"/>
              </w:rPr>
            </w:pPr>
            <w:r>
              <w:rPr>
                <w:rFonts w:hint="eastAsia" w:ascii="宋体" w:hAnsi="宋体" w:cstheme="minorEastAsia"/>
                <w:kern w:val="0"/>
                <w:sz w:val="24"/>
              </w:rPr>
              <w:t>分包承担主</w:t>
            </w:r>
          </w:p>
          <w:p w14:paraId="636F852C">
            <w:pPr>
              <w:widowControl/>
              <w:jc w:val="center"/>
              <w:rPr>
                <w:rFonts w:hint="eastAsia" w:ascii="宋体" w:hAnsi="宋体" w:cstheme="minorEastAsia"/>
                <w:kern w:val="0"/>
                <w:sz w:val="24"/>
              </w:rPr>
            </w:pPr>
            <w:r>
              <w:rPr>
                <w:rFonts w:hint="eastAsia" w:ascii="宋体" w:hAnsi="宋体" w:cstheme="minorEastAsia"/>
                <w:kern w:val="0"/>
                <w:sz w:val="24"/>
              </w:rPr>
              <w:t>体资质（如有）</w:t>
            </w:r>
          </w:p>
        </w:tc>
        <w:tc>
          <w:tcPr>
            <w:tcW w:w="2726" w:type="pct"/>
            <w:shd w:val="clear" w:color="000000" w:fill="FFFFFF"/>
            <w:vAlign w:val="center"/>
          </w:tcPr>
          <w:p w14:paraId="4854D388">
            <w:pPr>
              <w:widowControl/>
              <w:jc w:val="left"/>
              <w:rPr>
                <w:rFonts w:hint="eastAsia" w:ascii="宋体" w:hAnsi="宋体" w:cstheme="minorEastAsia"/>
                <w:kern w:val="0"/>
                <w:sz w:val="24"/>
              </w:rPr>
            </w:pPr>
            <w:r>
              <w:rPr>
                <w:rFonts w:hint="eastAsia" w:ascii="宋体" w:hAnsi="宋体" w:cstheme="minorEastAsia"/>
                <w:kern w:val="0"/>
                <w:sz w:val="24"/>
              </w:rPr>
              <w:t>分包承担主体具备《供应商须知资料表》载明的资质条件且提供了资质证书电子件(如有)；</w:t>
            </w:r>
          </w:p>
        </w:tc>
        <w:tc>
          <w:tcPr>
            <w:tcW w:w="970" w:type="pct"/>
            <w:shd w:val="clear" w:color="000000" w:fill="FFFFFF"/>
            <w:vAlign w:val="center"/>
          </w:tcPr>
          <w:p w14:paraId="7943ED7B">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082A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4F6CBEF0">
            <w:pPr>
              <w:widowControl/>
              <w:jc w:val="center"/>
              <w:rPr>
                <w:rFonts w:hint="eastAsia" w:ascii="宋体" w:hAnsi="宋体" w:cstheme="minorEastAsia"/>
                <w:kern w:val="0"/>
                <w:sz w:val="24"/>
              </w:rPr>
            </w:pPr>
            <w:r>
              <w:rPr>
                <w:rFonts w:hint="eastAsia" w:ascii="宋体" w:hAnsi="宋体" w:cstheme="minorEastAsia"/>
                <w:kern w:val="0"/>
                <w:sz w:val="24"/>
              </w:rPr>
              <w:t>10</w:t>
            </w:r>
          </w:p>
        </w:tc>
        <w:tc>
          <w:tcPr>
            <w:tcW w:w="1010" w:type="pct"/>
            <w:shd w:val="clear" w:color="000000" w:fill="FFFFFF"/>
            <w:vAlign w:val="center"/>
          </w:tcPr>
          <w:p w14:paraId="19E5DD40">
            <w:pPr>
              <w:widowControl/>
              <w:jc w:val="center"/>
              <w:rPr>
                <w:rFonts w:hint="eastAsia" w:ascii="宋体" w:hAnsi="宋体" w:cstheme="minorEastAsia"/>
                <w:kern w:val="0"/>
                <w:sz w:val="24"/>
              </w:rPr>
            </w:pPr>
            <w:r>
              <w:rPr>
                <w:rFonts w:hint="eastAsia" w:ascii="宋体" w:hAnsi="宋体" w:cstheme="minorEastAsia"/>
                <w:kern w:val="0"/>
                <w:sz w:val="24"/>
              </w:rPr>
              <w:t>分包意向协议（如有）</w:t>
            </w:r>
          </w:p>
        </w:tc>
        <w:tc>
          <w:tcPr>
            <w:tcW w:w="2726" w:type="pct"/>
            <w:shd w:val="clear" w:color="000000" w:fill="FFFFFF"/>
            <w:vAlign w:val="center"/>
          </w:tcPr>
          <w:p w14:paraId="22658E7C">
            <w:pPr>
              <w:widowControl/>
              <w:jc w:val="left"/>
              <w:rPr>
                <w:rFonts w:hint="eastAsia" w:ascii="宋体" w:hAnsi="宋体" w:cstheme="minorEastAsia"/>
                <w:kern w:val="0"/>
                <w:sz w:val="24"/>
              </w:rPr>
            </w:pPr>
            <w:r>
              <w:rPr>
                <w:rFonts w:hint="eastAsia" w:ascii="宋体" w:hAnsi="宋体" w:cstheme="minorEastAsia"/>
                <w:kern w:val="0"/>
                <w:sz w:val="24"/>
              </w:rPr>
              <w:t>按竞争性磋商文件规定签订并提供分包意向协议复印件或扫描件的；（如有）</w:t>
            </w:r>
          </w:p>
        </w:tc>
        <w:tc>
          <w:tcPr>
            <w:tcW w:w="970" w:type="pct"/>
            <w:shd w:val="clear" w:color="000000" w:fill="FFFFFF"/>
            <w:vAlign w:val="center"/>
          </w:tcPr>
          <w:p w14:paraId="2D17E14C">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00211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71028009">
            <w:pPr>
              <w:widowControl/>
              <w:jc w:val="center"/>
              <w:rPr>
                <w:rFonts w:hint="eastAsia" w:ascii="宋体" w:hAnsi="宋体" w:cstheme="minorEastAsia"/>
                <w:kern w:val="0"/>
                <w:sz w:val="24"/>
              </w:rPr>
            </w:pPr>
            <w:r>
              <w:rPr>
                <w:rFonts w:hint="eastAsia" w:ascii="宋体" w:hAnsi="宋体" w:cstheme="minorEastAsia"/>
                <w:kern w:val="0"/>
                <w:sz w:val="24"/>
              </w:rPr>
              <w:t>11</w:t>
            </w:r>
          </w:p>
        </w:tc>
        <w:tc>
          <w:tcPr>
            <w:tcW w:w="1010" w:type="pct"/>
            <w:shd w:val="clear" w:color="000000" w:fill="FFFFFF"/>
            <w:vAlign w:val="center"/>
          </w:tcPr>
          <w:p w14:paraId="07F6DBB9">
            <w:pPr>
              <w:widowControl/>
              <w:jc w:val="center"/>
              <w:rPr>
                <w:rFonts w:hint="eastAsia" w:ascii="宋体" w:hAnsi="宋体" w:cstheme="minorEastAsia"/>
                <w:kern w:val="0"/>
                <w:sz w:val="24"/>
              </w:rPr>
            </w:pPr>
            <w:r>
              <w:rPr>
                <w:rFonts w:hint="eastAsia" w:ascii="宋体" w:hAnsi="宋体" w:cstheme="minorEastAsia"/>
                <w:kern w:val="0"/>
                <w:sz w:val="24"/>
              </w:rPr>
              <w:t>报价的修正</w:t>
            </w:r>
          </w:p>
          <w:p w14:paraId="245804D3">
            <w:pPr>
              <w:widowControl/>
              <w:jc w:val="center"/>
              <w:rPr>
                <w:rFonts w:hint="eastAsia" w:ascii="宋体" w:hAnsi="宋体" w:cstheme="minorEastAsia"/>
                <w:kern w:val="0"/>
                <w:sz w:val="24"/>
              </w:rPr>
            </w:pPr>
            <w:r>
              <w:rPr>
                <w:rFonts w:hint="eastAsia" w:ascii="宋体" w:hAnsi="宋体" w:cstheme="minorEastAsia"/>
                <w:kern w:val="0"/>
                <w:sz w:val="24"/>
              </w:rPr>
              <w:t>（如有）</w:t>
            </w:r>
          </w:p>
        </w:tc>
        <w:tc>
          <w:tcPr>
            <w:tcW w:w="2726" w:type="pct"/>
            <w:shd w:val="clear" w:color="000000" w:fill="FFFFFF"/>
            <w:vAlign w:val="center"/>
          </w:tcPr>
          <w:p w14:paraId="5FBDEA77">
            <w:pPr>
              <w:widowControl/>
              <w:jc w:val="left"/>
              <w:rPr>
                <w:rFonts w:hint="eastAsia" w:ascii="宋体" w:hAnsi="宋体" w:cstheme="minorEastAsia"/>
                <w:kern w:val="0"/>
                <w:sz w:val="24"/>
              </w:rPr>
            </w:pPr>
            <w:r>
              <w:rPr>
                <w:rFonts w:hint="eastAsia" w:ascii="宋体" w:hAnsi="宋体" w:cstheme="minorEastAsia"/>
                <w:kern w:val="0"/>
                <w:sz w:val="24"/>
              </w:rPr>
              <w:t>不存在响应文件报价出现前后不一致，供应商对修正后的报价不予确认的；（如有）</w:t>
            </w:r>
          </w:p>
        </w:tc>
        <w:tc>
          <w:tcPr>
            <w:tcW w:w="970" w:type="pct"/>
            <w:shd w:val="clear" w:color="000000" w:fill="FFFFFF"/>
            <w:vAlign w:val="center"/>
          </w:tcPr>
          <w:p w14:paraId="13D8D2F1">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6C16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shd w:val="clear" w:color="000000" w:fill="FFFFFF"/>
            <w:vAlign w:val="center"/>
          </w:tcPr>
          <w:p w14:paraId="1072D497">
            <w:pPr>
              <w:widowControl/>
              <w:jc w:val="center"/>
              <w:rPr>
                <w:rFonts w:hint="eastAsia" w:ascii="宋体" w:hAnsi="宋体" w:cstheme="minorEastAsia"/>
                <w:kern w:val="0"/>
                <w:sz w:val="24"/>
              </w:rPr>
            </w:pPr>
            <w:r>
              <w:rPr>
                <w:rFonts w:hint="eastAsia" w:ascii="宋体" w:hAnsi="宋体" w:cstheme="minorEastAsia"/>
                <w:kern w:val="0"/>
                <w:sz w:val="24"/>
              </w:rPr>
              <w:t>12</w:t>
            </w:r>
          </w:p>
        </w:tc>
        <w:tc>
          <w:tcPr>
            <w:tcW w:w="1010" w:type="pct"/>
            <w:shd w:val="clear" w:color="000000" w:fill="FFFFFF"/>
            <w:vAlign w:val="center"/>
          </w:tcPr>
          <w:p w14:paraId="20525C9B">
            <w:pPr>
              <w:widowControl/>
              <w:jc w:val="center"/>
              <w:rPr>
                <w:rFonts w:hint="eastAsia" w:ascii="宋体" w:hAnsi="宋体" w:cstheme="minorEastAsia"/>
                <w:kern w:val="0"/>
                <w:sz w:val="24"/>
              </w:rPr>
            </w:pPr>
            <w:r>
              <w:rPr>
                <w:rFonts w:hint="eastAsia" w:ascii="宋体" w:hAnsi="宋体" w:cstheme="minorEastAsia"/>
                <w:kern w:val="0"/>
                <w:sz w:val="24"/>
              </w:rPr>
              <w:t>报价合理性</w:t>
            </w:r>
          </w:p>
        </w:tc>
        <w:tc>
          <w:tcPr>
            <w:tcW w:w="2726" w:type="pct"/>
            <w:shd w:val="clear" w:color="000000" w:fill="FFFFFF"/>
            <w:vAlign w:val="center"/>
          </w:tcPr>
          <w:p w14:paraId="12B76D8D">
            <w:pPr>
              <w:widowControl/>
              <w:jc w:val="left"/>
              <w:rPr>
                <w:rFonts w:hint="eastAsia" w:ascii="宋体" w:hAnsi="宋体" w:cstheme="minorEastAsia"/>
                <w:kern w:val="0"/>
                <w:sz w:val="24"/>
              </w:rPr>
            </w:pPr>
            <w:r>
              <w:rPr>
                <w:rFonts w:hint="eastAsia" w:ascii="宋体" w:hAnsi="宋体" w:cstheme="minorEastAsia"/>
                <w:kern w:val="0"/>
                <w:sz w:val="24"/>
              </w:rPr>
              <w:t>不存在供应商的报价明显低于其他通过符合性审查供应商的报价，有可能影响产品质量或者不能诚信履约的，且未能应评标委员会要求证明其报价合理性的；</w:t>
            </w:r>
          </w:p>
        </w:tc>
        <w:tc>
          <w:tcPr>
            <w:tcW w:w="970" w:type="pct"/>
            <w:shd w:val="clear" w:color="000000" w:fill="FFFFFF"/>
            <w:vAlign w:val="center"/>
          </w:tcPr>
          <w:p w14:paraId="21F26B9A">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481A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vAlign w:val="center"/>
          </w:tcPr>
          <w:p w14:paraId="4003407B">
            <w:pPr>
              <w:widowControl/>
              <w:jc w:val="center"/>
              <w:rPr>
                <w:rFonts w:hint="eastAsia" w:ascii="宋体" w:hAnsi="宋体" w:cstheme="minorEastAsia"/>
                <w:kern w:val="0"/>
                <w:sz w:val="24"/>
              </w:rPr>
            </w:pPr>
            <w:r>
              <w:rPr>
                <w:rFonts w:hint="eastAsia" w:ascii="宋体" w:hAnsi="宋体" w:cstheme="minorEastAsia"/>
                <w:kern w:val="0"/>
                <w:sz w:val="24"/>
              </w:rPr>
              <w:t>13</w:t>
            </w:r>
          </w:p>
        </w:tc>
        <w:tc>
          <w:tcPr>
            <w:tcW w:w="1010" w:type="pct"/>
            <w:vAlign w:val="center"/>
          </w:tcPr>
          <w:p w14:paraId="57CD727E">
            <w:pPr>
              <w:widowControl/>
              <w:jc w:val="center"/>
              <w:rPr>
                <w:rFonts w:hint="eastAsia" w:ascii="宋体" w:hAnsi="宋体" w:cstheme="minorEastAsia"/>
                <w:kern w:val="0"/>
                <w:sz w:val="24"/>
              </w:rPr>
            </w:pPr>
            <w:r>
              <w:rPr>
                <w:rFonts w:hint="eastAsia" w:ascii="宋体" w:hAnsi="宋体" w:cstheme="minorEastAsia"/>
                <w:kern w:val="0"/>
                <w:sz w:val="24"/>
              </w:rPr>
              <w:t>进口产品</w:t>
            </w:r>
          </w:p>
          <w:p w14:paraId="7FAE345F">
            <w:pPr>
              <w:widowControl/>
              <w:jc w:val="center"/>
              <w:rPr>
                <w:rFonts w:hint="eastAsia" w:ascii="宋体" w:hAnsi="宋体" w:cstheme="minorEastAsia"/>
                <w:kern w:val="0"/>
                <w:sz w:val="24"/>
              </w:rPr>
            </w:pPr>
            <w:r>
              <w:rPr>
                <w:rFonts w:hint="eastAsia" w:ascii="宋体" w:hAnsi="宋体" w:cstheme="minorEastAsia"/>
                <w:kern w:val="0"/>
                <w:sz w:val="24"/>
              </w:rPr>
              <w:t>（如有）</w:t>
            </w:r>
          </w:p>
        </w:tc>
        <w:tc>
          <w:tcPr>
            <w:tcW w:w="2726" w:type="pct"/>
          </w:tcPr>
          <w:p w14:paraId="591C103B">
            <w:pPr>
              <w:widowControl/>
              <w:jc w:val="left"/>
              <w:rPr>
                <w:rFonts w:hint="eastAsia" w:ascii="宋体" w:hAnsi="宋体" w:cstheme="minorEastAsia"/>
                <w:kern w:val="0"/>
                <w:sz w:val="24"/>
              </w:rPr>
            </w:pPr>
            <w:r>
              <w:rPr>
                <w:rFonts w:hint="eastAsia" w:ascii="宋体" w:hAnsi="宋体" w:cstheme="minorEastAsia"/>
                <w:kern w:val="0"/>
                <w:sz w:val="24"/>
              </w:rPr>
              <w:t>不存在竞争性磋商文件不接受进口产品响应的内容，供应商所投产品为进口产品的；</w:t>
            </w:r>
          </w:p>
        </w:tc>
        <w:tc>
          <w:tcPr>
            <w:tcW w:w="970" w:type="pct"/>
            <w:shd w:val="clear" w:color="000000" w:fill="FFFFFF"/>
            <w:vAlign w:val="center"/>
          </w:tcPr>
          <w:p w14:paraId="24A77AAE">
            <w:pPr>
              <w:widowControl/>
              <w:rPr>
                <w:rFonts w:hint="eastAsia" w:ascii="宋体" w:hAnsi="宋体" w:cstheme="minorEastAsia"/>
                <w:kern w:val="0"/>
                <w:sz w:val="24"/>
              </w:rPr>
            </w:pPr>
            <w:r>
              <w:rPr>
                <w:rFonts w:hint="eastAsia" w:ascii="宋体" w:hAnsi="宋体" w:cstheme="minorEastAsia"/>
                <w:kern w:val="0"/>
                <w:sz w:val="24"/>
              </w:rPr>
              <w:t>不允许</w:t>
            </w:r>
          </w:p>
        </w:tc>
      </w:tr>
      <w:tr w14:paraId="1CB6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91" w:type="pct"/>
            <w:vAlign w:val="center"/>
          </w:tcPr>
          <w:p w14:paraId="30CF5475">
            <w:pPr>
              <w:widowControl/>
              <w:jc w:val="center"/>
              <w:rPr>
                <w:rFonts w:hint="eastAsia" w:ascii="宋体" w:hAnsi="宋体" w:cstheme="minorEastAsia"/>
                <w:kern w:val="0"/>
                <w:sz w:val="24"/>
              </w:rPr>
            </w:pPr>
            <w:r>
              <w:rPr>
                <w:rFonts w:hint="eastAsia" w:ascii="宋体" w:hAnsi="宋体" w:cstheme="minorEastAsia"/>
                <w:kern w:val="0"/>
                <w:sz w:val="24"/>
              </w:rPr>
              <w:t>14</w:t>
            </w:r>
          </w:p>
        </w:tc>
        <w:tc>
          <w:tcPr>
            <w:tcW w:w="1010" w:type="pct"/>
            <w:vAlign w:val="center"/>
          </w:tcPr>
          <w:p w14:paraId="1CE7E020">
            <w:pPr>
              <w:widowControl/>
              <w:jc w:val="center"/>
              <w:rPr>
                <w:rFonts w:hint="eastAsia" w:ascii="宋体" w:hAnsi="宋体" w:cstheme="minorEastAsia"/>
                <w:kern w:val="0"/>
                <w:sz w:val="24"/>
              </w:rPr>
            </w:pPr>
            <w:r>
              <w:rPr>
                <w:rFonts w:hint="eastAsia" w:ascii="宋体" w:hAnsi="宋体" w:cstheme="minorEastAsia"/>
                <w:kern w:val="0"/>
                <w:sz w:val="24"/>
              </w:rPr>
              <w:t>国家有关部门对供应商的响应产品有强制性规定或要求的（如有）</w:t>
            </w:r>
          </w:p>
        </w:tc>
        <w:tc>
          <w:tcPr>
            <w:tcW w:w="2726" w:type="pct"/>
          </w:tcPr>
          <w:p w14:paraId="068DFA61">
            <w:pPr>
              <w:widowControl/>
              <w:jc w:val="left"/>
              <w:rPr>
                <w:rFonts w:hint="eastAsia" w:ascii="宋体" w:hAnsi="宋体" w:cstheme="minorEastAsia"/>
                <w:kern w:val="0"/>
                <w:sz w:val="24"/>
              </w:rPr>
            </w:pPr>
            <w:r>
              <w:rPr>
                <w:rFonts w:hint="eastAsia" w:ascii="宋体" w:hAnsi="宋体" w:cstheme="minorEastAsia"/>
                <w:kern w:val="0"/>
                <w:sz w:val="24"/>
              </w:rPr>
              <w:t xml:space="preserve">国家有关部门对供应商的响应产品有强制性规定或要求的（如相应技术、安全、节能和环保等），供应商的响应产品应符合相应规定或要求，并提供证明文件电子件： </w:t>
            </w:r>
          </w:p>
          <w:p w14:paraId="0FCB0B0C">
            <w:pPr>
              <w:widowControl/>
              <w:jc w:val="left"/>
              <w:rPr>
                <w:rFonts w:hint="eastAsia" w:ascii="宋体" w:hAnsi="宋体" w:cstheme="minorEastAsia"/>
                <w:kern w:val="0"/>
                <w:sz w:val="24"/>
              </w:rPr>
            </w:pPr>
            <w:r>
              <w:rPr>
                <w:rFonts w:hint="eastAsia" w:ascii="宋体" w:hAnsi="宋体" w:cstheme="minorEastAsia"/>
                <w:kern w:val="0"/>
                <w:sz w:val="24"/>
              </w:rPr>
              <w:t xml:space="preserve">1）采购的产品若属于《节能产品政府采购品目清单》范围中政府强制采购产品，则供应商所报产品必须获得国家确定的认证机构出具的、处于有效期之内的节能产品认证证书； </w:t>
            </w:r>
          </w:p>
          <w:p w14:paraId="7B737A7C">
            <w:pPr>
              <w:widowControl/>
              <w:jc w:val="left"/>
              <w:rPr>
                <w:rFonts w:hint="eastAsia" w:ascii="宋体" w:hAnsi="宋体" w:cstheme="minorEastAsia"/>
                <w:kern w:val="0"/>
                <w:sz w:val="24"/>
              </w:rPr>
            </w:pPr>
            <w:r>
              <w:rPr>
                <w:rFonts w:hint="eastAsia" w:ascii="宋体" w:hAnsi="宋体" w:cstheme="minorEastAsia"/>
                <w:kern w:val="0"/>
                <w:sz w:val="24"/>
              </w:rPr>
              <w:t xml:space="preserve">2）响应产品如涉及计算机信息系统安全专用产品的，须提供公安部颁发的计算机信息系统安全专用产品销售许可证； </w:t>
            </w:r>
          </w:p>
          <w:p w14:paraId="182EF0EB">
            <w:pPr>
              <w:widowControl/>
              <w:jc w:val="left"/>
              <w:rPr>
                <w:rFonts w:hint="eastAsia" w:ascii="宋体" w:hAnsi="宋体" w:cstheme="minorEastAsia"/>
                <w:kern w:val="0"/>
                <w:sz w:val="24"/>
              </w:rPr>
            </w:pPr>
            <w:r>
              <w:rPr>
                <w:rFonts w:hint="eastAsia" w:ascii="宋体" w:hAnsi="宋体" w:cstheme="minorEastAsia"/>
                <w:kern w:val="0"/>
                <w:sz w:val="24"/>
              </w:rPr>
              <w:t xml:space="preserve">3）响应产品如有属于开展国家信息安全产品认证产品范围的，须提供由中国网络安全审查技术与认证中心（原中国信息安全认证中心）按国家标准认证颁发的有效认证证书等）； </w:t>
            </w:r>
          </w:p>
          <w:p w14:paraId="5BDD233D">
            <w:pPr>
              <w:widowControl/>
              <w:jc w:val="left"/>
              <w:rPr>
                <w:rFonts w:hint="eastAsia" w:ascii="宋体" w:hAnsi="宋体" w:cstheme="minorEastAsia"/>
                <w:kern w:val="0"/>
                <w:sz w:val="24"/>
              </w:rPr>
            </w:pPr>
            <w:r>
              <w:rPr>
                <w:rFonts w:hint="eastAsia" w:ascii="宋体" w:hAnsi="宋体" w:cstheme="minorEastAsia"/>
                <w:kern w:val="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 </w:t>
            </w:r>
          </w:p>
          <w:p w14:paraId="4D9DBA05">
            <w:pPr>
              <w:widowControl/>
              <w:jc w:val="left"/>
              <w:rPr>
                <w:rFonts w:hint="eastAsia" w:ascii="宋体" w:hAnsi="宋体" w:cstheme="minorEastAsia"/>
                <w:kern w:val="0"/>
                <w:sz w:val="24"/>
              </w:rPr>
            </w:pPr>
            <w:r>
              <w:rPr>
                <w:rFonts w:hint="eastAsia" w:ascii="宋体" w:hAnsi="宋体" w:cstheme="minorEastAsia"/>
                <w:kern w:val="0"/>
                <w:sz w:val="24"/>
              </w:rPr>
              <w:t>5）项目中涉及涂料、胶黏剂、油墨、清洗剂等挥发性有机物产品，且属于强制性标准的，供应商应执行符合本市和国家的VOCs 含量限制标准。</w:t>
            </w:r>
          </w:p>
        </w:tc>
        <w:tc>
          <w:tcPr>
            <w:tcW w:w="970" w:type="pct"/>
            <w:shd w:val="clear" w:color="000000" w:fill="FFFFFF"/>
            <w:vAlign w:val="center"/>
          </w:tcPr>
          <w:p w14:paraId="36F62A02">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07D5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91" w:type="pct"/>
            <w:vAlign w:val="center"/>
          </w:tcPr>
          <w:p w14:paraId="1BA2C230">
            <w:pPr>
              <w:widowControl/>
              <w:jc w:val="center"/>
              <w:rPr>
                <w:rFonts w:hint="eastAsia" w:ascii="宋体" w:hAnsi="宋体" w:cstheme="minorEastAsia"/>
                <w:kern w:val="0"/>
                <w:sz w:val="24"/>
              </w:rPr>
            </w:pPr>
            <w:r>
              <w:rPr>
                <w:rFonts w:hint="eastAsia" w:ascii="宋体" w:hAnsi="宋体" w:cstheme="minorEastAsia"/>
                <w:kern w:val="0"/>
                <w:sz w:val="24"/>
              </w:rPr>
              <w:t>15</w:t>
            </w:r>
          </w:p>
        </w:tc>
        <w:tc>
          <w:tcPr>
            <w:tcW w:w="1010" w:type="pct"/>
            <w:vAlign w:val="center"/>
          </w:tcPr>
          <w:p w14:paraId="4E00716C">
            <w:pPr>
              <w:widowControl/>
              <w:jc w:val="center"/>
              <w:rPr>
                <w:rFonts w:hint="eastAsia" w:ascii="宋体" w:hAnsi="宋体" w:cstheme="minorEastAsia"/>
                <w:kern w:val="0"/>
                <w:sz w:val="24"/>
              </w:rPr>
            </w:pPr>
            <w:r>
              <w:rPr>
                <w:rFonts w:hint="eastAsia" w:ascii="宋体" w:hAnsi="宋体" w:cstheme="minorEastAsia"/>
                <w:kern w:val="0"/>
                <w:sz w:val="24"/>
              </w:rPr>
              <w:t>公平竞争</w:t>
            </w:r>
          </w:p>
        </w:tc>
        <w:tc>
          <w:tcPr>
            <w:tcW w:w="2726" w:type="pct"/>
          </w:tcPr>
          <w:p w14:paraId="020C08BE">
            <w:pPr>
              <w:widowControl/>
              <w:jc w:val="left"/>
              <w:rPr>
                <w:rFonts w:hint="eastAsia" w:ascii="宋体" w:hAnsi="宋体" w:cstheme="minorEastAsia"/>
                <w:kern w:val="0"/>
                <w:sz w:val="24"/>
              </w:rPr>
            </w:pPr>
            <w:r>
              <w:rPr>
                <w:rFonts w:hint="eastAsia" w:ascii="宋体" w:hAnsi="宋体" w:cstheme="minorEastAsia"/>
                <w:kern w:val="0"/>
                <w:sz w:val="24"/>
              </w:rPr>
              <w:t>供应商遵循公平竞争的原则，不存在恶意串通，妨碍其他供应商的竞争行为，不存在损害采购人或者其他供应商的合法权益情形的；</w:t>
            </w:r>
          </w:p>
        </w:tc>
        <w:tc>
          <w:tcPr>
            <w:tcW w:w="970" w:type="pct"/>
            <w:shd w:val="clear" w:color="000000" w:fill="FFFFFF"/>
            <w:vAlign w:val="center"/>
          </w:tcPr>
          <w:p w14:paraId="22B7FF99">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4093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vAlign w:val="center"/>
          </w:tcPr>
          <w:p w14:paraId="1C41D4E2">
            <w:pPr>
              <w:widowControl/>
              <w:jc w:val="center"/>
              <w:rPr>
                <w:rFonts w:hint="eastAsia" w:ascii="宋体" w:hAnsi="宋体" w:cstheme="minorEastAsia"/>
                <w:kern w:val="0"/>
                <w:sz w:val="24"/>
              </w:rPr>
            </w:pPr>
            <w:r>
              <w:rPr>
                <w:rFonts w:hint="eastAsia" w:ascii="宋体" w:hAnsi="宋体" w:cstheme="minorEastAsia"/>
                <w:kern w:val="0"/>
                <w:sz w:val="24"/>
              </w:rPr>
              <w:t>16</w:t>
            </w:r>
          </w:p>
        </w:tc>
        <w:tc>
          <w:tcPr>
            <w:tcW w:w="1010" w:type="pct"/>
            <w:vAlign w:val="center"/>
          </w:tcPr>
          <w:p w14:paraId="2490B1D4">
            <w:pPr>
              <w:widowControl/>
              <w:jc w:val="center"/>
              <w:rPr>
                <w:rFonts w:hint="eastAsia" w:ascii="宋体" w:hAnsi="宋体" w:cstheme="minorEastAsia"/>
                <w:kern w:val="0"/>
                <w:sz w:val="24"/>
              </w:rPr>
            </w:pPr>
            <w:r>
              <w:rPr>
                <w:rFonts w:hint="eastAsia" w:ascii="宋体" w:hAnsi="宋体" w:cstheme="minorEastAsia"/>
                <w:kern w:val="0"/>
                <w:sz w:val="24"/>
              </w:rPr>
              <w:t>串通响应</w:t>
            </w:r>
          </w:p>
        </w:tc>
        <w:tc>
          <w:tcPr>
            <w:tcW w:w="2726" w:type="pct"/>
          </w:tcPr>
          <w:p w14:paraId="5E02CFAE">
            <w:pPr>
              <w:widowControl/>
              <w:jc w:val="left"/>
              <w:rPr>
                <w:rFonts w:hint="eastAsia" w:ascii="宋体" w:hAnsi="宋体" w:cstheme="minorEastAsia"/>
                <w:kern w:val="0"/>
                <w:sz w:val="24"/>
              </w:rPr>
            </w:pPr>
            <w:r>
              <w:rPr>
                <w:rFonts w:hint="eastAsia" w:ascii="宋体" w:hAnsi="宋体" w:cstheme="minorEastAsia"/>
                <w:kern w:val="0"/>
                <w:sz w:val="24"/>
              </w:rPr>
              <w:t xml:space="preserve">不存在视为供应商串通响应的情形； </w:t>
            </w:r>
          </w:p>
          <w:p w14:paraId="2CE632DC">
            <w:pPr>
              <w:widowControl/>
              <w:jc w:val="left"/>
              <w:rPr>
                <w:rFonts w:hint="eastAsia" w:ascii="宋体" w:hAnsi="宋体" w:cstheme="minorEastAsia"/>
                <w:kern w:val="0"/>
                <w:sz w:val="24"/>
              </w:rPr>
            </w:pPr>
            <w:r>
              <w:rPr>
                <w:rFonts w:hint="eastAsia" w:ascii="宋体" w:hAnsi="宋体" w:cstheme="minorEastAsia"/>
                <w:kern w:val="0"/>
                <w:sz w:val="24"/>
              </w:rPr>
              <w:t xml:space="preserve">（一）不同供应商的响应文件由同一单位或者个人编制； </w:t>
            </w:r>
          </w:p>
          <w:p w14:paraId="1639E3F0">
            <w:pPr>
              <w:widowControl/>
              <w:jc w:val="left"/>
              <w:rPr>
                <w:rFonts w:hint="eastAsia" w:ascii="宋体" w:hAnsi="宋体" w:cstheme="minorEastAsia"/>
                <w:kern w:val="0"/>
                <w:sz w:val="24"/>
              </w:rPr>
            </w:pPr>
            <w:r>
              <w:rPr>
                <w:rFonts w:hint="eastAsia" w:ascii="宋体" w:hAnsi="宋体" w:cstheme="minorEastAsia"/>
                <w:kern w:val="0"/>
                <w:sz w:val="24"/>
              </w:rPr>
              <w:t xml:space="preserve">（二）不同供应商委托同一单位或者个人办理响应事宜； </w:t>
            </w:r>
          </w:p>
          <w:p w14:paraId="45EA22A3">
            <w:pPr>
              <w:widowControl/>
              <w:jc w:val="left"/>
              <w:rPr>
                <w:rFonts w:hint="eastAsia" w:ascii="宋体" w:hAnsi="宋体" w:cstheme="minorEastAsia"/>
                <w:kern w:val="0"/>
                <w:sz w:val="24"/>
              </w:rPr>
            </w:pPr>
            <w:r>
              <w:rPr>
                <w:rFonts w:hint="eastAsia" w:ascii="宋体" w:hAnsi="宋体" w:cstheme="minorEastAsia"/>
                <w:kern w:val="0"/>
                <w:sz w:val="24"/>
              </w:rPr>
              <w:t xml:space="preserve">（三）不同供应商的响应文件载明的项目管理成员或者联系人员为同一人； </w:t>
            </w:r>
          </w:p>
          <w:p w14:paraId="423FA6C0">
            <w:pPr>
              <w:widowControl/>
              <w:jc w:val="left"/>
              <w:rPr>
                <w:rFonts w:hint="eastAsia" w:ascii="宋体" w:hAnsi="宋体" w:cstheme="minorEastAsia"/>
                <w:kern w:val="0"/>
                <w:sz w:val="24"/>
              </w:rPr>
            </w:pPr>
            <w:r>
              <w:rPr>
                <w:rFonts w:hint="eastAsia" w:ascii="宋体" w:hAnsi="宋体" w:cstheme="minorEastAsia"/>
                <w:kern w:val="0"/>
                <w:sz w:val="24"/>
              </w:rPr>
              <w:t xml:space="preserve">（四）不同供应商的响应文件异常一致或者响应报价呈规律性差异； </w:t>
            </w:r>
          </w:p>
          <w:p w14:paraId="1EECDDEE">
            <w:pPr>
              <w:widowControl/>
              <w:jc w:val="left"/>
              <w:rPr>
                <w:rFonts w:hint="eastAsia" w:ascii="宋体" w:hAnsi="宋体" w:cstheme="minorEastAsia"/>
                <w:kern w:val="0"/>
                <w:sz w:val="24"/>
              </w:rPr>
            </w:pPr>
            <w:r>
              <w:rPr>
                <w:rFonts w:hint="eastAsia" w:ascii="宋体" w:hAnsi="宋体" w:cstheme="minorEastAsia"/>
                <w:kern w:val="0"/>
                <w:sz w:val="24"/>
              </w:rPr>
              <w:t>（五）不同供应商的响应文件相互混装；</w:t>
            </w:r>
          </w:p>
          <w:p w14:paraId="000AC690">
            <w:pPr>
              <w:widowControl/>
              <w:jc w:val="left"/>
              <w:rPr>
                <w:rFonts w:hint="eastAsia" w:ascii="宋体" w:hAnsi="宋体" w:cstheme="minorEastAsia"/>
                <w:kern w:val="0"/>
                <w:sz w:val="24"/>
              </w:rPr>
            </w:pPr>
            <w:r>
              <w:rPr>
                <w:rFonts w:hint="eastAsia" w:ascii="宋体" w:hAnsi="宋体" w:cstheme="minorEastAsia"/>
                <w:kern w:val="0"/>
                <w:sz w:val="24"/>
              </w:rPr>
              <w:t>（六）不同供应商的响应保证金从同一单位或者个人的账户转出；</w:t>
            </w:r>
          </w:p>
        </w:tc>
        <w:tc>
          <w:tcPr>
            <w:tcW w:w="970" w:type="pct"/>
            <w:shd w:val="clear" w:color="000000" w:fill="FFFFFF"/>
            <w:vAlign w:val="center"/>
          </w:tcPr>
          <w:p w14:paraId="38702049">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6CCA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vAlign w:val="center"/>
          </w:tcPr>
          <w:p w14:paraId="706A417D">
            <w:pPr>
              <w:widowControl/>
              <w:jc w:val="center"/>
              <w:rPr>
                <w:rFonts w:hint="eastAsia" w:ascii="宋体" w:hAnsi="宋体" w:cstheme="minorEastAsia"/>
                <w:kern w:val="0"/>
                <w:sz w:val="24"/>
              </w:rPr>
            </w:pPr>
            <w:r>
              <w:rPr>
                <w:rFonts w:hint="eastAsia" w:ascii="宋体" w:hAnsi="宋体" w:cstheme="minorEastAsia"/>
                <w:kern w:val="0"/>
                <w:sz w:val="24"/>
              </w:rPr>
              <w:t>17</w:t>
            </w:r>
          </w:p>
        </w:tc>
        <w:tc>
          <w:tcPr>
            <w:tcW w:w="1010" w:type="pct"/>
            <w:vAlign w:val="center"/>
          </w:tcPr>
          <w:p w14:paraId="375F56D1">
            <w:pPr>
              <w:widowControl/>
              <w:jc w:val="center"/>
              <w:rPr>
                <w:rFonts w:hint="eastAsia" w:ascii="宋体" w:hAnsi="宋体" w:cstheme="minorEastAsia"/>
                <w:kern w:val="0"/>
                <w:sz w:val="24"/>
              </w:rPr>
            </w:pPr>
            <w:r>
              <w:rPr>
                <w:rFonts w:hint="eastAsia" w:ascii="宋体" w:hAnsi="宋体" w:cstheme="minorEastAsia"/>
                <w:kern w:val="0"/>
                <w:sz w:val="24"/>
              </w:rPr>
              <w:t>附加条件</w:t>
            </w:r>
          </w:p>
        </w:tc>
        <w:tc>
          <w:tcPr>
            <w:tcW w:w="2726" w:type="pct"/>
          </w:tcPr>
          <w:p w14:paraId="5F9253E2">
            <w:pPr>
              <w:widowControl/>
              <w:jc w:val="left"/>
              <w:rPr>
                <w:rFonts w:hint="eastAsia" w:ascii="宋体" w:hAnsi="宋体" w:cstheme="minorEastAsia"/>
                <w:kern w:val="0"/>
                <w:sz w:val="24"/>
              </w:rPr>
            </w:pPr>
            <w:r>
              <w:rPr>
                <w:rFonts w:hint="eastAsia" w:ascii="宋体" w:hAnsi="宋体" w:cstheme="minorEastAsia"/>
                <w:kern w:val="0"/>
                <w:sz w:val="24"/>
                <w:lang w:bidi="ar"/>
              </w:rPr>
              <w:t>不存在响应文件含有采购人不能接受的附加条件的；</w:t>
            </w:r>
          </w:p>
        </w:tc>
        <w:tc>
          <w:tcPr>
            <w:tcW w:w="970" w:type="pct"/>
            <w:shd w:val="clear" w:color="000000" w:fill="FFFFFF"/>
            <w:vAlign w:val="center"/>
          </w:tcPr>
          <w:p w14:paraId="0BA8FBA4">
            <w:pPr>
              <w:widowControl/>
              <w:jc w:val="left"/>
              <w:rPr>
                <w:rFonts w:hint="eastAsia" w:ascii="宋体" w:hAnsi="宋体" w:cstheme="minorEastAsia"/>
                <w:kern w:val="0"/>
                <w:sz w:val="24"/>
              </w:rPr>
            </w:pPr>
            <w:r>
              <w:rPr>
                <w:rFonts w:hint="eastAsia" w:ascii="宋体" w:hAnsi="宋体" w:cstheme="minorEastAsia"/>
                <w:kern w:val="0"/>
                <w:sz w:val="24"/>
                <w:lang w:bidi="ar"/>
              </w:rPr>
              <w:t>不允许</w:t>
            </w:r>
          </w:p>
        </w:tc>
      </w:tr>
      <w:tr w14:paraId="07BA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vAlign w:val="center"/>
          </w:tcPr>
          <w:p w14:paraId="302AF139">
            <w:pPr>
              <w:widowControl/>
              <w:jc w:val="center"/>
              <w:rPr>
                <w:rFonts w:hint="eastAsia" w:ascii="宋体" w:hAnsi="宋体" w:cstheme="minorEastAsia"/>
                <w:kern w:val="0"/>
                <w:sz w:val="24"/>
              </w:rPr>
            </w:pPr>
            <w:r>
              <w:rPr>
                <w:rFonts w:hint="eastAsia" w:ascii="宋体" w:hAnsi="宋体" w:cstheme="minorEastAsia"/>
                <w:kern w:val="0"/>
                <w:sz w:val="24"/>
              </w:rPr>
              <w:t>18</w:t>
            </w:r>
          </w:p>
        </w:tc>
        <w:tc>
          <w:tcPr>
            <w:tcW w:w="1010" w:type="pct"/>
            <w:vAlign w:val="center"/>
          </w:tcPr>
          <w:p w14:paraId="7A74DBF7">
            <w:pPr>
              <w:widowControl/>
              <w:jc w:val="center"/>
              <w:rPr>
                <w:rFonts w:hint="eastAsia" w:ascii="宋体" w:hAnsi="宋体" w:cstheme="minorEastAsia"/>
                <w:kern w:val="0"/>
                <w:sz w:val="24"/>
              </w:rPr>
            </w:pPr>
            <w:r>
              <w:rPr>
                <w:rFonts w:hint="eastAsia" w:ascii="宋体" w:hAnsi="宋体" w:cstheme="minorEastAsia"/>
                <w:kern w:val="0"/>
                <w:sz w:val="24"/>
              </w:rPr>
              <w:t>其他无效情形</w:t>
            </w:r>
          </w:p>
        </w:tc>
        <w:tc>
          <w:tcPr>
            <w:tcW w:w="2726" w:type="pct"/>
          </w:tcPr>
          <w:p w14:paraId="70277EC6">
            <w:pPr>
              <w:widowControl/>
              <w:jc w:val="left"/>
              <w:rPr>
                <w:rFonts w:hint="eastAsia" w:ascii="宋体" w:hAnsi="宋体" w:cstheme="minorEastAsia"/>
                <w:kern w:val="0"/>
                <w:sz w:val="24"/>
              </w:rPr>
            </w:pPr>
            <w:r>
              <w:rPr>
                <w:rFonts w:hint="eastAsia" w:ascii="宋体" w:hAnsi="宋体" w:cstheme="minorEastAsia"/>
                <w:kern w:val="0"/>
                <w:sz w:val="24"/>
              </w:rPr>
              <w:t>不存在供应商、响应文件不符合法律、法规和竞争性磋商文件规定的其他无效情形。</w:t>
            </w:r>
          </w:p>
        </w:tc>
        <w:tc>
          <w:tcPr>
            <w:tcW w:w="970" w:type="pct"/>
            <w:shd w:val="clear" w:color="000000" w:fill="FFFFFF"/>
            <w:vAlign w:val="center"/>
          </w:tcPr>
          <w:p w14:paraId="36376F6F">
            <w:pPr>
              <w:widowControl/>
              <w:rPr>
                <w:rFonts w:hint="eastAsia" w:ascii="宋体" w:hAnsi="宋体" w:cstheme="minorEastAsia"/>
                <w:kern w:val="0"/>
                <w:sz w:val="24"/>
              </w:rPr>
            </w:pPr>
            <w:r>
              <w:rPr>
                <w:rFonts w:hint="eastAsia" w:ascii="宋体" w:hAnsi="宋体" w:cstheme="minorEastAsia"/>
                <w:kern w:val="0"/>
                <w:sz w:val="24"/>
              </w:rPr>
              <w:t>不允许</w:t>
            </w:r>
          </w:p>
        </w:tc>
      </w:tr>
    </w:tbl>
    <w:p w14:paraId="261A3F61">
      <w:pPr>
        <w:tabs>
          <w:tab w:val="left" w:pos="900"/>
          <w:tab w:val="left" w:pos="1080"/>
          <w:tab w:val="left" w:pos="1589"/>
        </w:tabs>
        <w:snapToGrid w:val="0"/>
        <w:spacing w:line="360" w:lineRule="auto"/>
        <w:rPr>
          <w:rFonts w:hint="eastAsia" w:ascii="宋体" w:hAnsi="宋体" w:cstheme="minorEastAsia"/>
          <w:sz w:val="24"/>
        </w:rPr>
      </w:pPr>
    </w:p>
    <w:p w14:paraId="57FE28DB">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磋商、响应文件有关事项的澄清、说明或者更正和最后报价</w:t>
      </w:r>
    </w:p>
    <w:p w14:paraId="4C723160">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磋商小组所有成员将集中与单一供应商分别进行磋商，并给予所有参加磋商的供应商平等的磋商机会。</w:t>
      </w:r>
    </w:p>
    <w:p w14:paraId="53DD0538">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11E0AE9">
      <w:pPr>
        <w:numPr>
          <w:ilvl w:val="1"/>
          <w:numId w:val="11"/>
        </w:numPr>
        <w:tabs>
          <w:tab w:val="left" w:pos="1080"/>
          <w:tab w:val="left" w:pos="1872"/>
        </w:tabs>
        <w:snapToGrid w:val="0"/>
        <w:spacing w:line="360" w:lineRule="auto"/>
        <w:ind w:left="1077" w:hanging="720"/>
        <w:rPr>
          <w:rFonts w:hint="eastAsia" w:ascii="宋体" w:hAnsi="宋体" w:cstheme="minorEastAsia"/>
          <w:kern w:val="0"/>
          <w:sz w:val="24"/>
        </w:rPr>
      </w:pPr>
      <w:r>
        <w:rPr>
          <w:rFonts w:hint="eastAsia" w:ascii="宋体" w:hAnsi="宋体" w:cstheme="minorEastAsia"/>
          <w:kern w:val="0"/>
          <w:sz w:val="24"/>
        </w:rPr>
        <w:t>对磋商文件作出的实质性变动是磋商文件的有效组成部分，磋商小组应当及时以书面形式同时通知所有参加磋商的供应商。</w:t>
      </w:r>
    </w:p>
    <w:p w14:paraId="5895771E">
      <w:pPr>
        <w:numPr>
          <w:ilvl w:val="1"/>
          <w:numId w:val="11"/>
        </w:numPr>
        <w:tabs>
          <w:tab w:val="left" w:pos="1080"/>
          <w:tab w:val="left" w:pos="1872"/>
        </w:tabs>
        <w:snapToGrid w:val="0"/>
        <w:spacing w:line="360" w:lineRule="auto"/>
        <w:ind w:left="1077" w:hanging="720"/>
        <w:rPr>
          <w:rFonts w:hint="eastAsia" w:ascii="宋体" w:hAnsi="宋体" w:cstheme="minorEastAsia"/>
          <w:kern w:val="0"/>
          <w:sz w:val="24"/>
        </w:rPr>
      </w:pPr>
      <w:r>
        <w:rPr>
          <w:rFonts w:hint="eastAsia" w:ascii="宋体" w:hAnsi="宋体" w:cstheme="minorEastAsia"/>
          <w:kern w:val="0"/>
          <w:sz w:val="24"/>
        </w:rPr>
        <w:t>供应商应当按照磋商文件的变动情况和磋商小组的要求重新提交响应文件，并由其法定代表人（</w:t>
      </w:r>
      <w:r>
        <w:rPr>
          <w:rFonts w:hint="eastAsia" w:ascii="宋体" w:hAnsi="宋体" w:cstheme="minorEastAsia"/>
          <w:sz w:val="24"/>
          <w:szCs w:val="20"/>
        </w:rPr>
        <w:t>若供应商为事业单位或其他组织或分支机构，可为单位负责人</w:t>
      </w:r>
      <w:r>
        <w:rPr>
          <w:rFonts w:hint="eastAsia" w:ascii="宋体" w:hAnsi="宋体" w:cstheme="minorEastAsia"/>
          <w:kern w:val="0"/>
          <w:sz w:val="24"/>
        </w:rPr>
        <w:t>）或授权代表签字或者加盖公章。由授权代表签字的，应当附授权委托书。供应商为自然人的，应当由本人签字并附身份证明。</w:t>
      </w:r>
    </w:p>
    <w:p w14:paraId="79079801">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响应文件的澄清、说明或者更正：</w:t>
      </w:r>
    </w:p>
    <w:p w14:paraId="335F63F6">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D8AA91C">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theme="minorEastAsia"/>
          <w:b/>
          <w:sz w:val="24"/>
        </w:rPr>
        <w:t>无效处理</w:t>
      </w:r>
      <w:r>
        <w:rPr>
          <w:rFonts w:hint="eastAsia" w:ascii="宋体" w:hAnsi="宋体" w:cs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theme="minorEastAsia"/>
          <w:b/>
          <w:sz w:val="24"/>
        </w:rPr>
        <w:t>无效处理</w:t>
      </w:r>
      <w:r>
        <w:rPr>
          <w:rFonts w:hint="eastAsia" w:ascii="宋体" w:hAnsi="宋体" w:cstheme="minorEastAsia"/>
          <w:sz w:val="24"/>
        </w:rPr>
        <w:t>。</w:t>
      </w:r>
    </w:p>
    <w:p w14:paraId="7B8681B7">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theme="minorEastAsia"/>
          <w:kern w:val="0"/>
          <w:sz w:val="24"/>
        </w:rPr>
        <w:t>（</w:t>
      </w:r>
      <w:r>
        <w:rPr>
          <w:rFonts w:hint="eastAsia" w:ascii="宋体" w:hAnsi="宋体" w:cstheme="minorEastAsia"/>
          <w:sz w:val="24"/>
          <w:szCs w:val="20"/>
        </w:rPr>
        <w:t>若供应商为事业单位或其他组织或分支机构，可为单位负责人</w:t>
      </w:r>
      <w:r>
        <w:rPr>
          <w:rFonts w:hint="eastAsia" w:ascii="宋体" w:hAnsi="宋体" w:cstheme="minorEastAsia"/>
          <w:kern w:val="0"/>
          <w:sz w:val="24"/>
        </w:rPr>
        <w:t>）</w:t>
      </w:r>
      <w:r>
        <w:rPr>
          <w:rFonts w:hint="eastAsia" w:ascii="宋体" w:hAnsi="宋体" w:cs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722B5512">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磋商结束后，磋商小组将要求所有实质性响应的供应商在规定时间内提交最后报价。最后报价时间为磋商小组指定的时间，具体时间根据磋商进度另行通知。</w:t>
      </w:r>
    </w:p>
    <w:p w14:paraId="036B7CAB">
      <w:pPr>
        <w:numPr>
          <w:ilvl w:val="1"/>
          <w:numId w:val="11"/>
        </w:numPr>
        <w:tabs>
          <w:tab w:val="left" w:pos="1080"/>
          <w:tab w:val="left" w:pos="1872"/>
        </w:tabs>
        <w:snapToGrid w:val="0"/>
        <w:spacing w:line="360" w:lineRule="auto"/>
        <w:ind w:left="1077" w:hanging="720"/>
        <w:rPr>
          <w:rFonts w:hint="eastAsia" w:ascii="宋体" w:hAnsi="宋体" w:cstheme="minorEastAsia"/>
          <w:snapToGrid w:val="0"/>
          <w:sz w:val="24"/>
        </w:rPr>
      </w:pPr>
      <w:bookmarkStart w:id="639" w:name="_Hlk220085436"/>
      <w:r>
        <w:rPr>
          <w:rFonts w:hint="eastAsia" w:ascii="宋体" w:hAnsi="宋体" w:cstheme="minorEastAsia"/>
          <w:snapToGrid w:val="0"/>
          <w:sz w:val="24"/>
        </w:rPr>
        <w:t>异常低价处理</w:t>
      </w:r>
    </w:p>
    <w:p w14:paraId="4D9A599A">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政府采购评审中出现下列情形之一的，评审委员会应当启动异常低价投标（响应）审查程序：</w:t>
      </w:r>
    </w:p>
    <w:p w14:paraId="356C4C9A">
      <w:pPr>
        <w:snapToGrid w:val="0"/>
        <w:spacing w:line="360" w:lineRule="auto"/>
        <w:ind w:left="1980"/>
        <w:rPr>
          <w:rFonts w:hint="eastAsia" w:ascii="宋体" w:hAnsi="宋体" w:cstheme="minorEastAsia"/>
          <w:sz w:val="24"/>
        </w:rPr>
      </w:pPr>
      <w:r>
        <w:rPr>
          <w:rFonts w:hint="eastAsia" w:ascii="宋体" w:hAnsi="宋体" w:cstheme="minorEastAsia"/>
          <w:sz w:val="24"/>
        </w:rPr>
        <w:t>（1）投标（响应）报价低于全部通过符合性审查供应商投标（响应）报价平均值</w:t>
      </w:r>
      <w:r>
        <w:rPr>
          <w:rFonts w:hint="eastAsia" w:ascii="宋体" w:hAnsi="宋体" w:cstheme="minorEastAsia"/>
          <w:sz w:val="24"/>
          <w:u w:val="single"/>
        </w:rPr>
        <w:t>50</w:t>
      </w:r>
      <w:r>
        <w:rPr>
          <w:rFonts w:hint="eastAsia" w:ascii="宋体" w:hAnsi="宋体" w:cstheme="minorEastAsia"/>
          <w:sz w:val="24"/>
        </w:rPr>
        <w:t>%的，即投标（响应）报价&lt;全部通过符合性审查供应商投标（响应）报价平均值×</w:t>
      </w:r>
      <w:r>
        <w:rPr>
          <w:rFonts w:hint="eastAsia" w:ascii="宋体" w:hAnsi="宋体" w:cstheme="minorEastAsia"/>
          <w:sz w:val="24"/>
          <w:u w:val="single"/>
        </w:rPr>
        <w:t>50</w:t>
      </w:r>
      <w:r>
        <w:rPr>
          <w:rFonts w:hint="eastAsia" w:ascii="宋体" w:hAnsi="宋体" w:cstheme="minorEastAsia"/>
          <w:sz w:val="24"/>
        </w:rPr>
        <w:t>%；</w:t>
      </w:r>
    </w:p>
    <w:p w14:paraId="16C379C1">
      <w:pPr>
        <w:snapToGrid w:val="0"/>
        <w:spacing w:line="360" w:lineRule="auto"/>
        <w:ind w:left="1980"/>
        <w:rPr>
          <w:rFonts w:hint="eastAsia" w:ascii="宋体" w:hAnsi="宋体" w:cstheme="minorEastAsia"/>
          <w:sz w:val="24"/>
        </w:rPr>
      </w:pPr>
      <w:r>
        <w:rPr>
          <w:rFonts w:hint="eastAsia" w:ascii="宋体" w:hAnsi="宋体" w:cstheme="minorEastAsia"/>
          <w:sz w:val="24"/>
        </w:rPr>
        <w:t>（2）投标（响应）报价低于通过符合性审查的次低报价供应商投标（响应）报价</w:t>
      </w:r>
      <w:r>
        <w:rPr>
          <w:rFonts w:hint="eastAsia" w:ascii="宋体" w:hAnsi="宋体" w:cstheme="minorEastAsia"/>
          <w:sz w:val="24"/>
          <w:u w:val="single"/>
        </w:rPr>
        <w:t>50</w:t>
      </w:r>
      <w:r>
        <w:rPr>
          <w:rFonts w:hint="eastAsia" w:ascii="宋体" w:hAnsi="宋体" w:cstheme="minorEastAsia"/>
          <w:sz w:val="24"/>
        </w:rPr>
        <w:t>%的，即投标（响应）报价&lt;通过符合性审查的次低报价供应商投标（响应）报价×</w:t>
      </w:r>
      <w:r>
        <w:rPr>
          <w:rFonts w:hint="eastAsia" w:ascii="宋体" w:hAnsi="宋体" w:cstheme="minorEastAsia"/>
          <w:sz w:val="24"/>
          <w:u w:val="single"/>
        </w:rPr>
        <w:t>50</w:t>
      </w:r>
      <w:r>
        <w:rPr>
          <w:rFonts w:hint="eastAsia" w:ascii="宋体" w:hAnsi="宋体" w:cstheme="minorEastAsia"/>
          <w:sz w:val="24"/>
        </w:rPr>
        <w:t>_%；</w:t>
      </w:r>
    </w:p>
    <w:p w14:paraId="6422915D">
      <w:pPr>
        <w:snapToGrid w:val="0"/>
        <w:spacing w:line="360" w:lineRule="auto"/>
        <w:ind w:left="1980"/>
        <w:rPr>
          <w:rFonts w:hint="eastAsia" w:ascii="宋体" w:hAnsi="宋体" w:cstheme="minorEastAsia"/>
          <w:sz w:val="24"/>
        </w:rPr>
      </w:pPr>
      <w:r>
        <w:rPr>
          <w:rFonts w:hint="eastAsia" w:ascii="宋体" w:hAnsi="宋体" w:cstheme="minorEastAsia"/>
          <w:sz w:val="24"/>
        </w:rPr>
        <w:t>（3）投标（响应）报价低于采购项目最高限价</w:t>
      </w:r>
      <w:r>
        <w:rPr>
          <w:rFonts w:hint="eastAsia" w:ascii="宋体" w:hAnsi="宋体" w:cstheme="minorEastAsia"/>
          <w:sz w:val="24"/>
          <w:u w:val="single"/>
        </w:rPr>
        <w:t>45</w:t>
      </w:r>
      <w:r>
        <w:rPr>
          <w:rFonts w:hint="eastAsia" w:ascii="宋体" w:hAnsi="宋体" w:cstheme="minorEastAsia"/>
          <w:sz w:val="24"/>
        </w:rPr>
        <w:t>%的，即投标（响应）报价&lt;采购项目最高限价×</w:t>
      </w:r>
      <w:r>
        <w:rPr>
          <w:rFonts w:hint="eastAsia" w:ascii="宋体" w:hAnsi="宋体" w:cstheme="minorEastAsia"/>
          <w:sz w:val="24"/>
          <w:u w:val="single"/>
        </w:rPr>
        <w:t>45</w:t>
      </w:r>
      <w:r>
        <w:rPr>
          <w:rFonts w:hint="eastAsia" w:ascii="宋体" w:hAnsi="宋体" w:cstheme="minorEastAsia"/>
          <w:sz w:val="24"/>
        </w:rPr>
        <w:t>%；未设定最高限价的采购项目，以采购项目预算金额作为最高限价；</w:t>
      </w:r>
    </w:p>
    <w:p w14:paraId="1D2F9C17">
      <w:pPr>
        <w:snapToGrid w:val="0"/>
        <w:spacing w:line="360" w:lineRule="auto"/>
        <w:ind w:left="1980"/>
        <w:rPr>
          <w:rFonts w:hint="eastAsia" w:ascii="宋体" w:hAnsi="宋体" w:cstheme="minorEastAsia"/>
          <w:sz w:val="24"/>
        </w:rPr>
      </w:pPr>
      <w:r>
        <w:rPr>
          <w:rFonts w:hint="eastAsia" w:ascii="宋体" w:hAnsi="宋体" w:cstheme="minorEastAsia"/>
          <w:sz w:val="24"/>
        </w:rPr>
        <w:t>（4）评审委员会基于专业判断，认为供应商报价过低，有可能影响产品质量或者不能诚信履约的其他情形。</w:t>
      </w:r>
    </w:p>
    <w:p w14:paraId="4683E922">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93A1D4">
      <w:pPr>
        <w:numPr>
          <w:ilvl w:val="2"/>
          <w:numId w:val="11"/>
        </w:numPr>
        <w:snapToGrid w:val="0"/>
        <w:spacing w:line="360" w:lineRule="auto"/>
        <w:rPr>
          <w:rFonts w:hint="eastAsia" w:ascii="宋体" w:hAnsi="宋体" w:cstheme="minorEastAsia"/>
          <w:sz w:val="24"/>
        </w:rPr>
      </w:pPr>
      <w:r>
        <w:rPr>
          <w:rFonts w:hint="eastAsia" w:ascii="宋体" w:hAnsi="宋体" w:cs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B4321C">
      <w:pPr>
        <w:numPr>
          <w:ilvl w:val="2"/>
          <w:numId w:val="11"/>
        </w:numPr>
        <w:snapToGrid w:val="0"/>
        <w:spacing w:line="360" w:lineRule="auto"/>
        <w:rPr>
          <w:rFonts w:hint="eastAsia" w:ascii="宋体" w:hAnsi="宋体" w:cstheme="minorEastAsia"/>
          <w:sz w:val="24"/>
        </w:rPr>
      </w:pPr>
      <w:bookmarkStart w:id="640" w:name="_Hlk190337965"/>
      <w:r>
        <w:rPr>
          <w:rFonts w:hint="eastAsia" w:ascii="宋体" w:hAnsi="宋体" w:cstheme="minorEastAsia"/>
          <w:sz w:val="24"/>
        </w:rPr>
        <w:t>上述投标（响应）报价指按照本章3.2修正后的报价</w:t>
      </w:r>
      <w:bookmarkEnd w:id="640"/>
      <w:r>
        <w:rPr>
          <w:rFonts w:hint="eastAsia" w:ascii="宋体" w:hAnsi="宋体" w:cstheme="minorEastAsia"/>
          <w:sz w:val="24"/>
        </w:rPr>
        <w:t>。</w:t>
      </w:r>
      <w:bookmarkEnd w:id="639"/>
    </w:p>
    <w:p w14:paraId="22F32BD3">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5E4F459">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最后报价是供应商响应文件的有效组成部分。</w:t>
      </w:r>
    </w:p>
    <w:p w14:paraId="1B7EEB1A">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已提交响应文件的供应商，在提交最后报价之前，可以根据磋商情况退出磋商。</w:t>
      </w:r>
    </w:p>
    <w:p w14:paraId="6F0E0614">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最后报价的算术修正及政策调整</w:t>
      </w:r>
    </w:p>
    <w:p w14:paraId="080C31F8">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theme="minorEastAsia"/>
          <w:b/>
          <w:sz w:val="24"/>
        </w:rPr>
        <w:t>响应无效</w:t>
      </w:r>
      <w:r>
        <w:rPr>
          <w:rFonts w:hint="eastAsia" w:ascii="宋体" w:hAnsi="宋体" w:cstheme="minorEastAsia"/>
          <w:sz w:val="24"/>
        </w:rPr>
        <w:t>。</w:t>
      </w:r>
    </w:p>
    <w:p w14:paraId="56E59E94">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最后报价出现前后不一致的，按照下列规定修正：</w:t>
      </w:r>
    </w:p>
    <w:p w14:paraId="42018967">
      <w:pPr>
        <w:numPr>
          <w:ilvl w:val="2"/>
          <w:numId w:val="11"/>
        </w:numPr>
        <w:tabs>
          <w:tab w:val="left" w:pos="1080"/>
          <w:tab w:val="left" w:pos="1589"/>
          <w:tab w:val="left" w:pos="2035"/>
          <w:tab w:val="left" w:pos="2114"/>
        </w:tabs>
        <w:snapToGrid w:val="0"/>
        <w:spacing w:line="360" w:lineRule="auto"/>
        <w:ind w:left="2035"/>
        <w:rPr>
          <w:rFonts w:hint="eastAsia" w:ascii="宋体" w:hAnsi="宋体" w:cstheme="minorEastAsia"/>
          <w:sz w:val="24"/>
        </w:rPr>
      </w:pPr>
      <w:r>
        <w:rPr>
          <w:rFonts w:hint="eastAsia" w:ascii="宋体" w:hAnsi="宋体" w:cstheme="minorEastAsia"/>
          <w:sz w:val="24"/>
        </w:rPr>
        <w:t>竞争性磋商文件对于报价修正是否另有规定：</w:t>
      </w:r>
    </w:p>
    <w:p w14:paraId="50011500">
      <w:pPr>
        <w:tabs>
          <w:tab w:val="left" w:pos="1080"/>
          <w:tab w:val="left" w:pos="1589"/>
          <w:tab w:val="left" w:pos="2035"/>
          <w:tab w:val="left" w:pos="2114"/>
        </w:tabs>
        <w:snapToGrid w:val="0"/>
        <w:spacing w:line="360" w:lineRule="auto"/>
        <w:ind w:left="2035"/>
        <w:rPr>
          <w:rFonts w:hint="eastAsia" w:ascii="宋体" w:hAnsi="宋体" w:cstheme="minorEastAsia"/>
          <w:sz w:val="24"/>
          <w:u w:val="single"/>
        </w:rPr>
      </w:pPr>
      <w:r>
        <w:rPr>
          <w:rFonts w:hint="eastAsia" w:ascii="宋体" w:hAnsi="宋体" w:cstheme="minorEastAsia"/>
          <w:sz w:val="24"/>
        </w:rPr>
        <w:t>□有，具体规定为：___________</w:t>
      </w:r>
    </w:p>
    <w:p w14:paraId="548F8002">
      <w:pPr>
        <w:tabs>
          <w:tab w:val="left" w:pos="1080"/>
          <w:tab w:val="left" w:pos="1589"/>
          <w:tab w:val="left" w:pos="2035"/>
          <w:tab w:val="left" w:pos="2114"/>
        </w:tabs>
        <w:snapToGrid w:val="0"/>
        <w:spacing w:line="360" w:lineRule="auto"/>
        <w:ind w:left="2035"/>
        <w:rPr>
          <w:rFonts w:hint="eastAsia" w:ascii="宋体" w:hAnsi="宋体" w:cstheme="minorEastAsia"/>
          <w:sz w:val="24"/>
        </w:rPr>
      </w:pPr>
      <w:r>
        <w:rPr>
          <w:rFonts w:hint="eastAsia" w:ascii="宋体" w:hAnsi="宋体" w:cstheme="minorEastAsia"/>
          <w:sz w:val="24"/>
        </w:rPr>
        <w:t>☑无，按下述3.2.2-3.2.5项规定修正。</w:t>
      </w:r>
    </w:p>
    <w:p w14:paraId="202EB2DB">
      <w:pPr>
        <w:numPr>
          <w:ilvl w:val="2"/>
          <w:numId w:val="11"/>
        </w:numPr>
        <w:tabs>
          <w:tab w:val="left" w:pos="2035"/>
          <w:tab w:val="left" w:pos="2114"/>
          <w:tab w:val="left" w:pos="2977"/>
        </w:tabs>
        <w:snapToGrid w:val="0"/>
        <w:spacing w:line="360" w:lineRule="auto"/>
        <w:ind w:left="2035"/>
        <w:rPr>
          <w:rFonts w:hint="eastAsia" w:ascii="宋体" w:hAnsi="宋体" w:cstheme="minorEastAsia"/>
          <w:sz w:val="24"/>
        </w:rPr>
      </w:pPr>
      <w:r>
        <w:rPr>
          <w:rFonts w:hint="eastAsia" w:ascii="宋体" w:hAnsi="宋体" w:cstheme="minorEastAsia"/>
          <w:sz w:val="24"/>
        </w:rPr>
        <w:t>大写金额和小写金额不一致的，以大写金额为准；</w:t>
      </w:r>
    </w:p>
    <w:p w14:paraId="3A904524">
      <w:pPr>
        <w:numPr>
          <w:ilvl w:val="2"/>
          <w:numId w:val="11"/>
        </w:numPr>
        <w:tabs>
          <w:tab w:val="left" w:pos="2035"/>
          <w:tab w:val="left" w:pos="2114"/>
          <w:tab w:val="left" w:pos="2977"/>
        </w:tabs>
        <w:snapToGrid w:val="0"/>
        <w:spacing w:line="360" w:lineRule="auto"/>
        <w:ind w:left="2035"/>
        <w:rPr>
          <w:rFonts w:hint="eastAsia" w:ascii="宋体" w:hAnsi="宋体" w:cstheme="minorEastAsia"/>
          <w:sz w:val="24"/>
        </w:rPr>
      </w:pPr>
      <w:r>
        <w:rPr>
          <w:rFonts w:hint="eastAsia" w:ascii="宋体" w:hAnsi="宋体" w:cstheme="minorEastAsia"/>
          <w:sz w:val="24"/>
        </w:rPr>
        <w:t>单价金额小数点或者百分比有明显错位的，以总价为准，并修改单价；</w:t>
      </w:r>
    </w:p>
    <w:p w14:paraId="4BB937CA">
      <w:pPr>
        <w:numPr>
          <w:ilvl w:val="2"/>
          <w:numId w:val="11"/>
        </w:numPr>
        <w:tabs>
          <w:tab w:val="left" w:pos="2035"/>
          <w:tab w:val="left" w:pos="2114"/>
          <w:tab w:val="left" w:pos="2977"/>
        </w:tabs>
        <w:snapToGrid w:val="0"/>
        <w:spacing w:line="360" w:lineRule="auto"/>
        <w:ind w:left="2035"/>
        <w:rPr>
          <w:rFonts w:hint="eastAsia" w:ascii="宋体" w:hAnsi="宋体" w:cstheme="minorEastAsia"/>
          <w:sz w:val="24"/>
        </w:rPr>
      </w:pPr>
      <w:r>
        <w:rPr>
          <w:rFonts w:hint="eastAsia" w:ascii="宋体" w:hAnsi="宋体" w:cstheme="minorEastAsia"/>
          <w:sz w:val="24"/>
        </w:rPr>
        <w:t>总价金额与按单价汇总金额不一致的，以单价金额计算结果为准。</w:t>
      </w:r>
    </w:p>
    <w:p w14:paraId="1B9E25B0">
      <w:pPr>
        <w:numPr>
          <w:ilvl w:val="2"/>
          <w:numId w:val="11"/>
        </w:numPr>
        <w:tabs>
          <w:tab w:val="left" w:pos="1080"/>
          <w:tab w:val="left" w:pos="1589"/>
          <w:tab w:val="left" w:pos="2035"/>
          <w:tab w:val="left" w:pos="2114"/>
        </w:tabs>
        <w:snapToGrid w:val="0"/>
        <w:spacing w:line="360" w:lineRule="auto"/>
        <w:ind w:left="2035"/>
        <w:rPr>
          <w:rFonts w:hint="eastAsia" w:ascii="宋体" w:hAnsi="宋体" w:cstheme="minorEastAsia"/>
          <w:sz w:val="24"/>
        </w:rPr>
      </w:pPr>
      <w:r>
        <w:rPr>
          <w:rFonts w:hint="eastAsia" w:ascii="宋体" w:hAnsi="宋体" w:cstheme="minorEastAsia"/>
          <w:sz w:val="24"/>
        </w:rPr>
        <w:t>同时出现两种以上不一致的，按照前款规定的顺序修正。</w:t>
      </w:r>
    </w:p>
    <w:p w14:paraId="1D189A98">
      <w:pPr>
        <w:numPr>
          <w:ilvl w:val="2"/>
          <w:numId w:val="11"/>
        </w:numPr>
        <w:tabs>
          <w:tab w:val="left" w:pos="1080"/>
          <w:tab w:val="left" w:pos="1589"/>
          <w:tab w:val="left" w:pos="2035"/>
          <w:tab w:val="left" w:pos="2114"/>
        </w:tabs>
        <w:snapToGrid w:val="0"/>
        <w:spacing w:line="360" w:lineRule="auto"/>
        <w:ind w:left="2035"/>
        <w:rPr>
          <w:rFonts w:hint="eastAsia" w:ascii="宋体" w:hAnsi="宋体" w:cstheme="minorEastAsia"/>
          <w:sz w:val="24"/>
        </w:rPr>
      </w:pPr>
      <w:r>
        <w:rPr>
          <w:rFonts w:hint="eastAsia" w:ascii="宋体" w:hAnsi="宋体" w:cstheme="minorEastAsia"/>
          <w:sz w:val="24"/>
        </w:rPr>
        <w:t>修正后的报价经供应商书面确认后产生约束力，供应商不确认的，</w:t>
      </w:r>
      <w:r>
        <w:rPr>
          <w:rFonts w:hint="eastAsia" w:ascii="宋体" w:hAnsi="宋体" w:cstheme="minorEastAsia"/>
          <w:b/>
          <w:sz w:val="24"/>
        </w:rPr>
        <w:t>其响应无效</w:t>
      </w:r>
      <w:r>
        <w:rPr>
          <w:rFonts w:hint="eastAsia" w:ascii="宋体" w:hAnsi="宋体" w:cstheme="minorEastAsia"/>
          <w:sz w:val="24"/>
        </w:rPr>
        <w:t>。</w:t>
      </w:r>
    </w:p>
    <w:p w14:paraId="53EF81E6">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落实政府采购政策的价格调整：只有符合第二章《供应商须知》4.3条规定情形的，可以享受中小企业扶持政策，用扣除后的价格参加评审；否则，评审时价格不予扣除。</w:t>
      </w:r>
    </w:p>
    <w:p w14:paraId="265735BD">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对于未预留份额专门面向中小企业采购的采购项目，以及预留份额项目中的非预留部分采购包，对小微企业报价给予</w:t>
      </w:r>
      <w:r>
        <w:rPr>
          <w:rFonts w:hint="eastAsia" w:ascii="宋体" w:hAnsi="宋体" w:cstheme="minorEastAsia"/>
          <w:sz w:val="24"/>
          <w:u w:val="single"/>
        </w:rPr>
        <w:t>3</w:t>
      </w:r>
      <w:r>
        <w:rPr>
          <w:rFonts w:hint="eastAsia" w:ascii="宋体" w:hAnsi="宋体" w:cstheme="minorEastAsia"/>
          <w:sz w:val="24"/>
        </w:rPr>
        <w:t>%的扣除，用扣除后的价格参加评审。</w:t>
      </w:r>
    </w:p>
    <w:p w14:paraId="7AB55DB0">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theme="minorEastAsia"/>
          <w:sz w:val="24"/>
          <w:u w:val="single"/>
        </w:rPr>
        <w:t>2</w:t>
      </w:r>
      <w:r>
        <w:rPr>
          <w:rFonts w:hint="eastAsia" w:ascii="宋体" w:hAnsi="宋体" w:cstheme="minorEastAsia"/>
          <w:sz w:val="24"/>
        </w:rPr>
        <w:t>%的扣除，用扣除后的价格参加评审。</w:t>
      </w:r>
    </w:p>
    <w:p w14:paraId="1AD81476">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组成联合体或者接受分包的小微企业与联合体内其他企业、分包企业之间存在直接控股、管理关系的，不享受价格扣除优惠政策。</w:t>
      </w:r>
    </w:p>
    <w:p w14:paraId="6E95BF84">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价格扣除比例对小型企业和微型企业同等对待，不作区分。</w:t>
      </w:r>
    </w:p>
    <w:p w14:paraId="01E12431">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中小企业参加政府采购活动，应当按照竞争性磋商文件给定的格式出具《中小企业声明函》，否则不得享受相关中小企业扶持政策。</w:t>
      </w:r>
    </w:p>
    <w:p w14:paraId="35361B62">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监狱企业提供了由省级以上监狱管理局、戒毒管理局（含新疆生产建设兵团）出具的属于监狱企业的证明文件的，视同小微企业。</w:t>
      </w:r>
    </w:p>
    <w:p w14:paraId="77C53F30">
      <w:pPr>
        <w:numPr>
          <w:ilvl w:val="2"/>
          <w:numId w:val="11"/>
        </w:numPr>
        <w:tabs>
          <w:tab w:val="left" w:pos="1080"/>
          <w:tab w:val="left" w:pos="1589"/>
          <w:tab w:val="left" w:pos="2035"/>
        </w:tabs>
        <w:snapToGrid w:val="0"/>
        <w:spacing w:line="360" w:lineRule="auto"/>
        <w:ind w:left="2035"/>
        <w:rPr>
          <w:rFonts w:hint="eastAsia" w:ascii="宋体" w:hAnsi="宋体" w:cstheme="minorEastAsia"/>
          <w:sz w:val="24"/>
        </w:rPr>
      </w:pPr>
      <w:r>
        <w:rPr>
          <w:rFonts w:hint="eastAsia" w:ascii="宋体" w:hAnsi="宋体" w:cstheme="minorEastAsia"/>
          <w:sz w:val="24"/>
        </w:rPr>
        <w:t>残疾人福利性单位按竞争性磋商文件要求提供了《残疾人福利性单位声明函》的，视同小微企业。</w:t>
      </w:r>
    </w:p>
    <w:p w14:paraId="65161B4E">
      <w:pPr>
        <w:numPr>
          <w:ilvl w:val="2"/>
          <w:numId w:val="11"/>
        </w:numPr>
        <w:tabs>
          <w:tab w:val="left" w:pos="1080"/>
          <w:tab w:val="left" w:pos="1589"/>
          <w:tab w:val="left" w:pos="2014"/>
        </w:tabs>
        <w:snapToGrid w:val="0"/>
        <w:spacing w:line="360" w:lineRule="auto"/>
        <w:ind w:left="2035"/>
        <w:rPr>
          <w:rFonts w:hint="eastAsia" w:ascii="宋体" w:hAnsi="宋体" w:cstheme="minorEastAsia"/>
          <w:sz w:val="24"/>
        </w:rPr>
      </w:pPr>
      <w:r>
        <w:rPr>
          <w:rFonts w:hint="eastAsia" w:ascii="宋体" w:hAnsi="宋体" w:cstheme="minorEastAsia"/>
          <w:sz w:val="24"/>
        </w:rPr>
        <w:t>若供应商同时属于小型或微型企业、监狱企业、残疾人福利性单位中的两种及以上，将不重复享受小微企业价格扣减的优惠政策。</w:t>
      </w:r>
    </w:p>
    <w:p w14:paraId="1C227DBE">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支持本国产品政府采购的价格调整：只有符合第二章《供应商须知》4.2条规定情形的，可以享受本国产品支持政策，用扣除后的价格参加评审；否则，评审时价格不予扣除。</w:t>
      </w:r>
    </w:p>
    <w:p w14:paraId="723EA5E8">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cstheme="minorEastAsia"/>
          <w:sz w:val="24"/>
        </w:rPr>
      </w:pPr>
      <w:r>
        <w:rPr>
          <w:rFonts w:hint="eastAsia" w:ascii="宋体" w:hAnsi="宋体" w:cstheme="minorEastAsia"/>
          <w:sz w:val="24"/>
        </w:rPr>
        <w:t>本项目既有本国产品又有非本国产品参与竞争的，依法对本国产品给予价格评审优惠，对本国产品的报价给予20%的价格扣除，用扣除后的价格参与评审。</w:t>
      </w:r>
    </w:p>
    <w:p w14:paraId="686FA4D9">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cstheme="minorEastAsia"/>
          <w:sz w:val="24"/>
        </w:rPr>
      </w:pPr>
      <w:r>
        <w:rPr>
          <w:rFonts w:hint="eastAsia" w:ascii="宋体" w:hAnsi="宋体" w:cstheme="minor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E140482">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cstheme="minorEastAsia"/>
          <w:sz w:val="24"/>
        </w:rPr>
      </w:pPr>
      <w:r>
        <w:rPr>
          <w:rFonts w:hint="eastAsia" w:ascii="宋体" w:hAnsi="宋体" w:cstheme="minorEastAsia"/>
          <w:sz w:val="24"/>
        </w:rPr>
        <w:t>供应商提供本国产品参加政府采购活动的，应当按照采购文件给定的格式出具《关于符合本国产品标准的声明函》或提供财政部会同有关部门规定的有关证明文件，否则视为非本国产品。</w:t>
      </w:r>
    </w:p>
    <w:p w14:paraId="00FDA361">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磋商环节及提交最后报价后如出现以下情况的，供应商的</w:t>
      </w:r>
      <w:r>
        <w:rPr>
          <w:rFonts w:hint="eastAsia" w:ascii="宋体" w:hAnsi="宋体" w:cstheme="minorEastAsia"/>
          <w:b/>
          <w:sz w:val="24"/>
        </w:rPr>
        <w:t>响应文件无效</w:t>
      </w:r>
      <w:r>
        <w:rPr>
          <w:rFonts w:hint="eastAsia" w:ascii="宋体" w:hAnsi="宋体" w:cstheme="minorEastAsia"/>
          <w:sz w:val="24"/>
        </w:rPr>
        <w:t>：</w:t>
      </w:r>
    </w:p>
    <w:p w14:paraId="1D7183E7">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供应商对实质性变动不予确认的；</w:t>
      </w:r>
    </w:p>
    <w:p w14:paraId="26DDE939">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不满足磋商文件★号条款或磋商文件技术指标超出磋商文件《采购需求》中主要技术参数允许偏差的最大范围的（如有）；</w:t>
      </w:r>
    </w:p>
    <w:p w14:paraId="2A48E672">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未按照磋商小组规定的时间、逾期提交最后报价的；</w:t>
      </w:r>
    </w:p>
    <w:p w14:paraId="49BD5E1F">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如供应商的最后报价超过竞争性磋商文件中规定的项目/采购包预算金额或者项目/采购包最高限价的；</w:t>
      </w:r>
    </w:p>
    <w:p w14:paraId="00D09E06">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响应文件中出现可选择性或可调整的报价的（竞争性磋商文件另有规定的除外）；</w:t>
      </w:r>
    </w:p>
    <w:p w14:paraId="5E4B0460">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最后报价出现前后不一致，供应商对修正后的报价不予确认的；</w:t>
      </w:r>
    </w:p>
    <w:p w14:paraId="7EF3B98E">
      <w:pPr>
        <w:numPr>
          <w:ilvl w:val="1"/>
          <w:numId w:val="11"/>
        </w:numPr>
        <w:tabs>
          <w:tab w:val="left" w:pos="1080"/>
        </w:tabs>
        <w:snapToGrid w:val="0"/>
        <w:spacing w:line="360" w:lineRule="auto"/>
        <w:ind w:left="1077" w:hanging="720"/>
        <w:rPr>
          <w:rFonts w:hint="eastAsia" w:ascii="宋体" w:hAnsi="宋体" w:cstheme="minorEastAsia"/>
          <w:sz w:val="24"/>
        </w:rPr>
      </w:pPr>
      <w:r>
        <w:rPr>
          <w:rFonts w:hint="eastAsia" w:ascii="宋体" w:hAnsi="宋体" w:cstheme="minorEastAsia"/>
          <w:sz w:val="24"/>
        </w:rPr>
        <w:t>其他：</w:t>
      </w:r>
      <w:r>
        <w:rPr>
          <w:rFonts w:hint="eastAsia" w:ascii="宋体" w:hAnsi="宋体" w:cstheme="minorEastAsia"/>
          <w:sz w:val="24"/>
          <w:u w:val="single"/>
        </w:rPr>
        <w:t>无</w:t>
      </w:r>
      <w:r>
        <w:rPr>
          <w:rFonts w:hint="eastAsia" w:ascii="宋体" w:hAnsi="宋体" w:cstheme="minorEastAsia"/>
          <w:sz w:val="24"/>
        </w:rPr>
        <w:t>。</w:t>
      </w:r>
    </w:p>
    <w:bookmarkEnd w:id="636"/>
    <w:bookmarkEnd w:id="637"/>
    <w:p w14:paraId="67226A5B">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评审方法和评审标准</w:t>
      </w:r>
    </w:p>
    <w:p w14:paraId="2E5702F2">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B18C83E">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竞争性磋商文件中没有规定的评审标准不得作为评审依据。</w:t>
      </w:r>
    </w:p>
    <w:p w14:paraId="60C6D38E">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非政府强制采购的节能产品或环境标志产品，依据品目清单和认证证书实施政府优先采购。优先采购的具体规定（如涉及）______。</w:t>
      </w:r>
    </w:p>
    <w:p w14:paraId="46AED10B">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确定</w:t>
      </w:r>
      <w:bookmarkStart w:id="641" w:name="_Toc151193644"/>
      <w:bookmarkStart w:id="642" w:name="_Toc265228384"/>
      <w:bookmarkStart w:id="643" w:name="_Toc150774646"/>
      <w:bookmarkStart w:id="644" w:name="_Toc142311048"/>
      <w:bookmarkStart w:id="645" w:name="_Toc127151747"/>
      <w:bookmarkStart w:id="646" w:name="_Toc164229241"/>
      <w:bookmarkStart w:id="647" w:name="_Toc226337242"/>
      <w:bookmarkStart w:id="648" w:name="_Ref467307010"/>
      <w:bookmarkStart w:id="649" w:name="_Toc164608815"/>
      <w:bookmarkStart w:id="650" w:name="_Toc264969236"/>
      <w:bookmarkStart w:id="651" w:name="_Toc520356170"/>
      <w:bookmarkStart w:id="652" w:name="_Toc127151546"/>
      <w:bookmarkStart w:id="653" w:name="_Toc226965819"/>
      <w:bookmarkStart w:id="654" w:name="_Toc151193934"/>
      <w:bookmarkStart w:id="655" w:name="_Toc164351640"/>
      <w:bookmarkStart w:id="656" w:name="_Toc305158814"/>
      <w:bookmarkStart w:id="657" w:name="_Toc127161460"/>
      <w:bookmarkStart w:id="658" w:name="_Toc151193716"/>
      <w:bookmarkStart w:id="659" w:name="_Toc164608660"/>
      <w:bookmarkStart w:id="660" w:name="_Toc150509297"/>
      <w:bookmarkStart w:id="661" w:name="_Toc164229387"/>
      <w:bookmarkStart w:id="662" w:name="_Toc151190173"/>
      <w:bookmarkStart w:id="663" w:name="_Toc226965736"/>
      <w:bookmarkStart w:id="664" w:name="_Toc150774751"/>
      <w:bookmarkStart w:id="665" w:name="_Toc195842911"/>
      <w:bookmarkStart w:id="666" w:name="_Toc150480784"/>
      <w:bookmarkStart w:id="667" w:name="_Toc149720839"/>
      <w:bookmarkStart w:id="668" w:name="_Toc151193860"/>
      <w:bookmarkStart w:id="669" w:name="_Toc226309790"/>
      <w:bookmarkStart w:id="670" w:name="_Toc305158888"/>
      <w:bookmarkStart w:id="671" w:name="_Toc151193788"/>
      <w:r>
        <w:rPr>
          <w:rFonts w:hint="eastAsia" w:ascii="宋体" w:hAnsi="宋体" w:cstheme="minorEastAsia"/>
          <w:sz w:val="24"/>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3B966066">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2FCF4E3">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kern w:val="0"/>
          <w:sz w:val="24"/>
          <w:szCs w:val="20"/>
        </w:rPr>
        <w:t>磋商小组根据上述供应商排序，依次推荐排序前</w:t>
      </w:r>
      <w:r>
        <w:rPr>
          <w:rFonts w:hint="eastAsia" w:ascii="宋体" w:hAnsi="宋体" w:cstheme="minorEastAsia"/>
          <w:sz w:val="24"/>
          <w:u w:val="single"/>
        </w:rPr>
        <w:t>3</w:t>
      </w:r>
      <w:r>
        <w:rPr>
          <w:rFonts w:hint="eastAsia" w:ascii="宋体" w:hAnsi="宋体" w:cstheme="minorEastAsia"/>
          <w:sz w:val="24"/>
        </w:rPr>
        <w:t>名</w:t>
      </w:r>
      <w:r>
        <w:rPr>
          <w:rFonts w:hint="eastAsia" w:ascii="宋体" w:hAnsi="宋体" w:cstheme="minorEastAsia"/>
          <w:kern w:val="0"/>
          <w:sz w:val="24"/>
          <w:szCs w:val="20"/>
        </w:rPr>
        <w:t>的供应商为</w:t>
      </w:r>
      <w:r>
        <w:rPr>
          <w:rFonts w:hint="eastAsia" w:ascii="宋体" w:hAnsi="宋体" w:cstheme="minorEastAsia"/>
          <w:snapToGrid w:val="0"/>
          <w:kern w:val="0"/>
          <w:sz w:val="24"/>
          <w:szCs w:val="21"/>
        </w:rPr>
        <w:t>成交候选供应商</w:t>
      </w:r>
      <w:r>
        <w:rPr>
          <w:rFonts w:hint="eastAsia" w:ascii="宋体" w:hAnsi="宋体" w:cstheme="minorEastAsia"/>
          <w:kern w:val="0"/>
          <w:sz w:val="24"/>
          <w:szCs w:val="20"/>
        </w:rPr>
        <w:t>（若在磋商文件允许的情形下提交最后报价的供应商为二家，则依次推荐二名供应商为成交候选供应商），并编写评审报告。</w:t>
      </w:r>
    </w:p>
    <w:p w14:paraId="0D4B550D">
      <w:pPr>
        <w:numPr>
          <w:ilvl w:val="1"/>
          <w:numId w:val="11"/>
        </w:numPr>
        <w:tabs>
          <w:tab w:val="left" w:pos="1080"/>
          <w:tab w:val="left" w:pos="1872"/>
        </w:tabs>
        <w:snapToGrid w:val="0"/>
        <w:spacing w:line="360" w:lineRule="auto"/>
        <w:ind w:left="1077" w:hanging="720"/>
        <w:rPr>
          <w:rFonts w:hint="eastAsia" w:ascii="宋体" w:hAnsi="宋体" w:cstheme="minorEastAsia"/>
          <w:sz w:val="24"/>
        </w:rPr>
      </w:pPr>
      <w:r>
        <w:rPr>
          <w:rFonts w:hint="eastAsia" w:ascii="宋体" w:hAnsi="宋体" w:cstheme="minorEastAsia"/>
          <w:sz w:val="24"/>
        </w:rPr>
        <w:t>磋商小组要对评分汇总情况进行复核，特别是对排名第一的、报价最低的、响应文件被认定为无效的情形进行重点复核。</w:t>
      </w:r>
    </w:p>
    <w:p w14:paraId="1E0A8A1F">
      <w:pPr>
        <w:numPr>
          <w:ilvl w:val="0"/>
          <w:numId w:val="11"/>
        </w:num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报告违法行为</w:t>
      </w:r>
    </w:p>
    <w:p w14:paraId="15619C29">
      <w:pPr>
        <w:widowControl/>
        <w:numPr>
          <w:ilvl w:val="1"/>
          <w:numId w:val="11"/>
        </w:numPr>
        <w:tabs>
          <w:tab w:val="left" w:pos="1080"/>
          <w:tab w:val="left" w:pos="1872"/>
        </w:tabs>
        <w:snapToGrid w:val="0"/>
        <w:spacing w:line="360" w:lineRule="auto"/>
        <w:ind w:left="1077" w:hanging="720"/>
        <w:jc w:val="left"/>
        <w:rPr>
          <w:rFonts w:hint="eastAsia" w:ascii="宋体" w:hAnsi="宋体" w:cstheme="minorEastAsia"/>
          <w:b/>
          <w:sz w:val="24"/>
        </w:rPr>
      </w:pPr>
      <w:r>
        <w:rPr>
          <w:rFonts w:hint="eastAsia" w:ascii="宋体" w:hAnsi="宋体" w:cstheme="minorEastAsia"/>
          <w:sz w:val="24"/>
        </w:rPr>
        <w:t>磋商小组在评审过程中发现供应商有行贿、提供虚假材料或者串通等违法行为时，应当及时向财政部门报告。</w:t>
      </w:r>
      <w:r>
        <w:rPr>
          <w:rFonts w:hint="eastAsia" w:ascii="宋体" w:hAnsi="宋体" w:cstheme="minorEastAsia"/>
          <w:b/>
          <w:sz w:val="24"/>
        </w:rPr>
        <w:br w:type="page"/>
      </w:r>
    </w:p>
    <w:p w14:paraId="5CB07CA7">
      <w:pPr>
        <w:pStyle w:val="3"/>
        <w:spacing w:before="0" w:line="360" w:lineRule="auto"/>
        <w:rPr>
          <w:rFonts w:hint="eastAsia" w:ascii="宋体" w:hAnsi="宋体" w:eastAsia="宋体" w:cstheme="minorEastAsia"/>
          <w:sz w:val="24"/>
          <w:szCs w:val="24"/>
        </w:rPr>
      </w:pPr>
      <w:r>
        <w:rPr>
          <w:rFonts w:hint="eastAsia" w:ascii="宋体" w:hAnsi="宋体" w:eastAsia="宋体" w:cstheme="minorEastAsia"/>
          <w:sz w:val="24"/>
          <w:szCs w:val="24"/>
        </w:rPr>
        <w:t>二、评审标准</w:t>
      </w:r>
    </w:p>
    <w:tbl>
      <w:tblPr>
        <w:tblStyle w:val="44"/>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3"/>
        <w:gridCol w:w="613"/>
        <w:gridCol w:w="1267"/>
        <w:gridCol w:w="6608"/>
      </w:tblGrid>
      <w:tr w14:paraId="20F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Align w:val="center"/>
          </w:tcPr>
          <w:p w14:paraId="79AAEF80">
            <w:pPr>
              <w:ind w:firstLine="28"/>
              <w:jc w:val="center"/>
              <w:rPr>
                <w:rFonts w:hint="eastAsia" w:ascii="宋体" w:hAnsi="宋体" w:cstheme="minorEastAsia"/>
                <w:b/>
                <w:sz w:val="24"/>
              </w:rPr>
            </w:pPr>
            <w:r>
              <w:rPr>
                <w:rFonts w:hint="eastAsia" w:ascii="宋体" w:hAnsi="宋体" w:cstheme="minorEastAsia"/>
                <w:b/>
                <w:sz w:val="24"/>
              </w:rPr>
              <w:t>评审内容</w:t>
            </w:r>
          </w:p>
        </w:tc>
        <w:tc>
          <w:tcPr>
            <w:tcW w:w="613" w:type="dxa"/>
            <w:vAlign w:val="center"/>
          </w:tcPr>
          <w:p w14:paraId="2DB303BA">
            <w:pPr>
              <w:ind w:firstLine="28"/>
              <w:jc w:val="center"/>
              <w:rPr>
                <w:rFonts w:hint="eastAsia" w:ascii="宋体" w:hAnsi="宋体" w:cstheme="minorEastAsia"/>
                <w:b/>
                <w:sz w:val="24"/>
              </w:rPr>
            </w:pPr>
            <w:r>
              <w:rPr>
                <w:rFonts w:hint="eastAsia" w:ascii="宋体" w:hAnsi="宋体" w:cstheme="minorEastAsia"/>
                <w:b/>
                <w:sz w:val="24"/>
              </w:rPr>
              <w:t>分值</w:t>
            </w:r>
          </w:p>
        </w:tc>
        <w:tc>
          <w:tcPr>
            <w:tcW w:w="1267" w:type="dxa"/>
            <w:vAlign w:val="center"/>
          </w:tcPr>
          <w:p w14:paraId="47A2C4B8">
            <w:pPr>
              <w:ind w:firstLine="28"/>
              <w:jc w:val="center"/>
              <w:rPr>
                <w:rFonts w:hint="eastAsia" w:ascii="宋体" w:hAnsi="宋体" w:cstheme="minorEastAsia"/>
                <w:b/>
                <w:sz w:val="24"/>
              </w:rPr>
            </w:pPr>
            <w:r>
              <w:rPr>
                <w:rFonts w:hint="eastAsia" w:ascii="宋体" w:hAnsi="宋体" w:cstheme="minorEastAsia"/>
                <w:b/>
                <w:sz w:val="24"/>
              </w:rPr>
              <w:t>明细</w:t>
            </w:r>
          </w:p>
        </w:tc>
        <w:tc>
          <w:tcPr>
            <w:tcW w:w="6608" w:type="dxa"/>
            <w:vAlign w:val="center"/>
          </w:tcPr>
          <w:p w14:paraId="4A61B1FE">
            <w:pPr>
              <w:pStyle w:val="247"/>
              <w:spacing w:before="0" w:after="0" w:line="240" w:lineRule="auto"/>
              <w:rPr>
                <w:rFonts w:hint="eastAsia" w:ascii="宋体" w:hAnsi="宋体" w:eastAsia="宋体" w:cstheme="minorEastAsia"/>
                <w:szCs w:val="24"/>
              </w:rPr>
            </w:pPr>
            <w:r>
              <w:rPr>
                <w:rFonts w:hint="eastAsia" w:ascii="宋体" w:hAnsi="宋体" w:eastAsia="宋体" w:cstheme="minorEastAsia"/>
              </w:rPr>
              <w:t>评分标准</w:t>
            </w:r>
          </w:p>
        </w:tc>
      </w:tr>
      <w:tr w14:paraId="2E30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53" w:type="dxa"/>
            <w:vAlign w:val="center"/>
          </w:tcPr>
          <w:p w14:paraId="1F377606">
            <w:pPr>
              <w:ind w:firstLine="28"/>
              <w:jc w:val="center"/>
              <w:rPr>
                <w:rFonts w:hint="eastAsia" w:ascii="宋体" w:hAnsi="宋体" w:cstheme="minorEastAsia"/>
                <w:b/>
                <w:bCs/>
                <w:sz w:val="24"/>
              </w:rPr>
            </w:pPr>
            <w:r>
              <w:rPr>
                <w:rFonts w:hint="eastAsia" w:ascii="宋体" w:hAnsi="宋体" w:cstheme="minorEastAsia"/>
                <w:b/>
                <w:bCs/>
                <w:sz w:val="24"/>
              </w:rPr>
              <w:t>报价部分</w:t>
            </w:r>
          </w:p>
        </w:tc>
        <w:tc>
          <w:tcPr>
            <w:tcW w:w="613" w:type="dxa"/>
            <w:vAlign w:val="center"/>
          </w:tcPr>
          <w:p w14:paraId="2DB775DC">
            <w:pPr>
              <w:ind w:firstLine="28"/>
              <w:jc w:val="center"/>
              <w:rPr>
                <w:rFonts w:hint="eastAsia" w:ascii="宋体" w:hAnsi="宋体" w:cstheme="minorEastAsia"/>
                <w:sz w:val="24"/>
              </w:rPr>
            </w:pPr>
            <w:r>
              <w:rPr>
                <w:rFonts w:hint="eastAsia" w:ascii="宋体" w:hAnsi="宋体" w:cstheme="minorEastAsia"/>
                <w:sz w:val="24"/>
              </w:rPr>
              <w:t>15</w:t>
            </w:r>
          </w:p>
        </w:tc>
        <w:tc>
          <w:tcPr>
            <w:tcW w:w="1267" w:type="dxa"/>
            <w:shd w:val="clear" w:color="auto" w:fill="auto"/>
            <w:vAlign w:val="center"/>
          </w:tcPr>
          <w:p w14:paraId="72313CCE">
            <w:pPr>
              <w:ind w:firstLine="28"/>
              <w:jc w:val="center"/>
              <w:rPr>
                <w:rFonts w:hint="eastAsia" w:ascii="宋体" w:hAnsi="宋体" w:cstheme="minorEastAsia"/>
                <w:sz w:val="24"/>
              </w:rPr>
            </w:pPr>
            <w:r>
              <w:rPr>
                <w:rFonts w:hint="eastAsia" w:ascii="宋体" w:hAnsi="宋体" w:cstheme="minorEastAsia"/>
                <w:sz w:val="24"/>
              </w:rPr>
              <w:t>报价</w:t>
            </w:r>
          </w:p>
        </w:tc>
        <w:tc>
          <w:tcPr>
            <w:tcW w:w="6608" w:type="dxa"/>
            <w:shd w:val="clear" w:color="auto" w:fill="auto"/>
            <w:vAlign w:val="center"/>
          </w:tcPr>
          <w:p w14:paraId="65F69A67">
            <w:pPr>
              <w:ind w:firstLine="28"/>
              <w:jc w:val="left"/>
              <w:rPr>
                <w:rFonts w:hint="eastAsia" w:ascii="宋体" w:hAnsi="宋体" w:cstheme="minorEastAsia"/>
                <w:sz w:val="24"/>
              </w:rPr>
            </w:pPr>
            <w:r>
              <w:rPr>
                <w:rFonts w:hint="eastAsia" w:ascii="宋体" w:hAnsi="宋体" w:cstheme="minorEastAsia"/>
                <w:sz w:val="24"/>
              </w:rPr>
              <w:t>满足磋商文件要求的最后报价最低的供应商的价格为磋商基准价，其价格分为满分。其他供应商的价格分统一按照下列公式计算：</w:t>
            </w:r>
          </w:p>
          <w:p w14:paraId="408E4D17">
            <w:pPr>
              <w:ind w:left="-38"/>
              <w:rPr>
                <w:rFonts w:hint="eastAsia" w:ascii="宋体" w:hAnsi="宋体" w:cstheme="minorEastAsia"/>
                <w:sz w:val="24"/>
              </w:rPr>
            </w:pPr>
            <w:r>
              <w:rPr>
                <w:rFonts w:hint="eastAsia" w:ascii="宋体" w:hAnsi="宋体" w:cstheme="minorEastAsia"/>
                <w:sz w:val="24"/>
              </w:rPr>
              <w:t>磋商报价得分=（磋商基准价/最后报价）×分值</w:t>
            </w:r>
          </w:p>
        </w:tc>
      </w:tr>
      <w:tr w14:paraId="5871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53" w:type="dxa"/>
            <w:vAlign w:val="center"/>
          </w:tcPr>
          <w:p w14:paraId="0CF53FAD">
            <w:pPr>
              <w:ind w:firstLine="28"/>
              <w:jc w:val="center"/>
              <w:rPr>
                <w:rFonts w:hint="eastAsia" w:ascii="宋体" w:hAnsi="宋体" w:cstheme="minorEastAsia"/>
                <w:b/>
                <w:bCs/>
                <w:sz w:val="24"/>
              </w:rPr>
            </w:pPr>
            <w:r>
              <w:rPr>
                <w:rFonts w:hint="eastAsia" w:ascii="宋体" w:hAnsi="宋体" w:cstheme="minorEastAsia"/>
                <w:b/>
                <w:bCs/>
                <w:sz w:val="24"/>
              </w:rPr>
              <w:t>商务部分</w:t>
            </w:r>
          </w:p>
        </w:tc>
        <w:tc>
          <w:tcPr>
            <w:tcW w:w="613" w:type="dxa"/>
            <w:vAlign w:val="center"/>
          </w:tcPr>
          <w:p w14:paraId="37988426">
            <w:pPr>
              <w:ind w:firstLine="28"/>
              <w:jc w:val="center"/>
              <w:rPr>
                <w:rFonts w:hint="eastAsia" w:ascii="宋体" w:hAnsi="宋体" w:cstheme="minorEastAsia"/>
                <w:sz w:val="24"/>
              </w:rPr>
            </w:pPr>
            <w:r>
              <w:rPr>
                <w:rFonts w:hint="eastAsia" w:ascii="宋体" w:hAnsi="宋体" w:cstheme="minorEastAsia"/>
                <w:sz w:val="24"/>
              </w:rPr>
              <w:t>15</w:t>
            </w:r>
          </w:p>
        </w:tc>
        <w:tc>
          <w:tcPr>
            <w:tcW w:w="1267" w:type="dxa"/>
            <w:vAlign w:val="center"/>
          </w:tcPr>
          <w:p w14:paraId="71127766">
            <w:pPr>
              <w:ind w:firstLine="28"/>
              <w:jc w:val="center"/>
              <w:rPr>
                <w:rFonts w:hint="eastAsia" w:ascii="宋体" w:hAnsi="宋体" w:cstheme="minorEastAsia"/>
                <w:sz w:val="24"/>
              </w:rPr>
            </w:pPr>
            <w:r>
              <w:rPr>
                <w:rFonts w:hint="eastAsia" w:ascii="宋体" w:hAnsi="宋体" w:cstheme="minorEastAsia"/>
                <w:sz w:val="24"/>
              </w:rPr>
              <w:t>项目业绩</w:t>
            </w:r>
          </w:p>
        </w:tc>
        <w:tc>
          <w:tcPr>
            <w:tcW w:w="6608" w:type="dxa"/>
            <w:vAlign w:val="center"/>
          </w:tcPr>
          <w:p w14:paraId="6C7B7CD6">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供应商提供（2023年06月01日至今，以合同签订时间为准）已完成的同类业绩，每提供一份得3分，最高得15分。需提供合同协议书或工程竣工验收证书复印件并加盖单位章。未按要求提供不得分。</w:t>
            </w:r>
          </w:p>
        </w:tc>
      </w:tr>
      <w:tr w14:paraId="3E88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restart"/>
            <w:vAlign w:val="center"/>
          </w:tcPr>
          <w:p w14:paraId="05772B99">
            <w:pPr>
              <w:ind w:firstLine="28"/>
              <w:jc w:val="center"/>
              <w:rPr>
                <w:rFonts w:hint="eastAsia" w:ascii="宋体" w:hAnsi="宋体" w:cstheme="minorEastAsia"/>
                <w:b/>
                <w:bCs/>
                <w:sz w:val="24"/>
              </w:rPr>
            </w:pPr>
            <w:r>
              <w:rPr>
                <w:rFonts w:hint="eastAsia" w:ascii="宋体" w:hAnsi="宋体" w:cstheme="minorEastAsia"/>
                <w:b/>
                <w:bCs/>
                <w:sz w:val="24"/>
              </w:rPr>
              <w:t>技术部分</w:t>
            </w:r>
          </w:p>
        </w:tc>
        <w:tc>
          <w:tcPr>
            <w:tcW w:w="613" w:type="dxa"/>
            <w:vAlign w:val="center"/>
          </w:tcPr>
          <w:p w14:paraId="47D03CB0">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1AB4F6F1">
            <w:pPr>
              <w:ind w:firstLine="28"/>
              <w:jc w:val="center"/>
              <w:rPr>
                <w:rFonts w:hint="eastAsia" w:ascii="宋体" w:hAnsi="宋体" w:cstheme="minorEastAsia"/>
                <w:sz w:val="24"/>
              </w:rPr>
            </w:pPr>
            <w:r>
              <w:rPr>
                <w:rFonts w:hint="eastAsia" w:ascii="宋体" w:hAnsi="宋体" w:cstheme="minorEastAsia"/>
                <w:sz w:val="24"/>
              </w:rPr>
              <w:t>施工方案</w:t>
            </w:r>
          </w:p>
        </w:tc>
        <w:tc>
          <w:tcPr>
            <w:tcW w:w="6608" w:type="dxa"/>
            <w:vAlign w:val="center"/>
          </w:tcPr>
          <w:p w14:paraId="2B724E93">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根据方案内容全面、方案科学、有针对性，合理性打分：施工方案内容全面、方案科学、针对性强：10分；</w:t>
            </w:r>
          </w:p>
          <w:p w14:paraId="5B3D1AC4">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施工方案内容全面、方案科学、针对性较强：7分；</w:t>
            </w:r>
          </w:p>
          <w:p w14:paraId="5238C857">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施工方案内容基本全面、方案科学、针对性一般：4分；</w:t>
            </w:r>
          </w:p>
          <w:p w14:paraId="676A8419">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施工方案内容欠科学合理、针对性一般：1分；</w:t>
            </w:r>
          </w:p>
          <w:p w14:paraId="7C5AB2C2">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7ADF6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1BF25108">
            <w:pPr>
              <w:ind w:firstLine="28"/>
              <w:jc w:val="center"/>
              <w:rPr>
                <w:rFonts w:hint="eastAsia" w:ascii="宋体" w:hAnsi="宋体" w:cstheme="minorEastAsia"/>
                <w:b/>
                <w:bCs/>
                <w:sz w:val="24"/>
              </w:rPr>
            </w:pPr>
          </w:p>
        </w:tc>
        <w:tc>
          <w:tcPr>
            <w:tcW w:w="613" w:type="dxa"/>
            <w:vAlign w:val="center"/>
          </w:tcPr>
          <w:p w14:paraId="3A1B727A">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4A03929A">
            <w:pPr>
              <w:ind w:firstLine="28"/>
              <w:jc w:val="center"/>
              <w:rPr>
                <w:rFonts w:hint="eastAsia" w:ascii="宋体" w:hAnsi="宋体" w:cstheme="minorEastAsia"/>
                <w:sz w:val="24"/>
              </w:rPr>
            </w:pPr>
            <w:r>
              <w:rPr>
                <w:rFonts w:hint="eastAsia" w:ascii="宋体" w:hAnsi="宋体" w:cstheme="minorEastAsia"/>
                <w:sz w:val="24"/>
              </w:rPr>
              <w:t>技术措施</w:t>
            </w:r>
          </w:p>
        </w:tc>
        <w:tc>
          <w:tcPr>
            <w:tcW w:w="6608" w:type="dxa"/>
            <w:vAlign w:val="center"/>
          </w:tcPr>
          <w:p w14:paraId="061C0773">
            <w:pPr>
              <w:widowControl/>
              <w:jc w:val="left"/>
              <w:rPr>
                <w:rFonts w:hint="eastAsia" w:ascii="宋体" w:hAnsi="宋体" w:cstheme="minorEastAsia"/>
                <w:sz w:val="24"/>
              </w:rPr>
            </w:pPr>
            <w:r>
              <w:rPr>
                <w:rFonts w:hint="eastAsia" w:ascii="宋体" w:hAnsi="宋体" w:cstheme="minorEastAsia"/>
                <w:sz w:val="24"/>
              </w:rPr>
              <w:t>技术措施内容全面、方案科学、有针对性，合理性打分：技术措施内容全面、方案科学、针对性强：10分；</w:t>
            </w:r>
          </w:p>
          <w:p w14:paraId="7C5670A9">
            <w:pPr>
              <w:widowControl/>
              <w:jc w:val="left"/>
              <w:rPr>
                <w:rFonts w:hint="eastAsia" w:ascii="宋体" w:hAnsi="宋体" w:cstheme="minorEastAsia"/>
                <w:sz w:val="24"/>
              </w:rPr>
            </w:pPr>
            <w:r>
              <w:rPr>
                <w:rFonts w:hint="eastAsia" w:ascii="宋体" w:hAnsi="宋体" w:cstheme="minorEastAsia"/>
                <w:sz w:val="24"/>
              </w:rPr>
              <w:t>技术措施内容全面、方案科学、针对性较强：7分；</w:t>
            </w:r>
          </w:p>
          <w:p w14:paraId="1B2CF1D7">
            <w:pPr>
              <w:widowControl/>
              <w:jc w:val="left"/>
              <w:rPr>
                <w:rFonts w:hint="eastAsia" w:ascii="宋体" w:hAnsi="宋体" w:cstheme="minorEastAsia"/>
                <w:sz w:val="24"/>
              </w:rPr>
            </w:pPr>
            <w:r>
              <w:rPr>
                <w:rFonts w:hint="eastAsia" w:ascii="宋体" w:hAnsi="宋体" w:cstheme="minorEastAsia"/>
                <w:sz w:val="24"/>
              </w:rPr>
              <w:t>技术措施内容基本全面、方案科学、针对性一般：4分；</w:t>
            </w:r>
          </w:p>
          <w:p w14:paraId="2646950E">
            <w:pPr>
              <w:widowControl/>
              <w:jc w:val="left"/>
              <w:rPr>
                <w:rFonts w:hint="eastAsia" w:ascii="宋体" w:hAnsi="宋体" w:cstheme="minorEastAsia"/>
                <w:sz w:val="24"/>
              </w:rPr>
            </w:pPr>
            <w:r>
              <w:rPr>
                <w:rFonts w:hint="eastAsia" w:ascii="宋体" w:hAnsi="宋体" w:cstheme="minorEastAsia"/>
                <w:sz w:val="24"/>
              </w:rPr>
              <w:t>技术措施内容不科学、不合理、无针对性：1分；</w:t>
            </w:r>
          </w:p>
          <w:p w14:paraId="7CD10CA7">
            <w:pPr>
              <w:widowControl/>
              <w:jc w:val="left"/>
              <w:rPr>
                <w:rFonts w:hint="eastAsia" w:ascii="宋体" w:hAnsi="宋体" w:cstheme="minorEastAsia"/>
                <w:sz w:val="24"/>
              </w:rPr>
            </w:pPr>
            <w:r>
              <w:rPr>
                <w:rFonts w:hint="eastAsia" w:ascii="宋体" w:hAnsi="宋体" w:cstheme="minorEastAsia"/>
                <w:sz w:val="24"/>
              </w:rPr>
              <w:t>未提供0分.</w:t>
            </w:r>
          </w:p>
        </w:tc>
      </w:tr>
      <w:tr w14:paraId="4CFE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67D80BA2">
            <w:pPr>
              <w:ind w:firstLine="28"/>
              <w:jc w:val="center"/>
              <w:rPr>
                <w:rFonts w:hint="eastAsia" w:ascii="宋体" w:hAnsi="宋体" w:cstheme="minorEastAsia"/>
                <w:b/>
                <w:bCs/>
                <w:sz w:val="24"/>
              </w:rPr>
            </w:pPr>
          </w:p>
        </w:tc>
        <w:tc>
          <w:tcPr>
            <w:tcW w:w="613" w:type="dxa"/>
            <w:vAlign w:val="center"/>
          </w:tcPr>
          <w:p w14:paraId="66434381">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3D819D28">
            <w:pPr>
              <w:spacing w:after="14" w:line="276" w:lineRule="auto"/>
              <w:ind w:right="27"/>
              <w:jc w:val="center"/>
              <w:rPr>
                <w:rFonts w:hint="eastAsia" w:ascii="宋体" w:hAnsi="宋体" w:cstheme="minorEastAsia"/>
                <w:sz w:val="24"/>
              </w:rPr>
            </w:pPr>
            <w:r>
              <w:rPr>
                <w:rFonts w:hint="eastAsia" w:ascii="宋体" w:hAnsi="宋体" w:cstheme="minorEastAsia"/>
                <w:sz w:val="24"/>
              </w:rPr>
              <w:t>质量保证措施</w:t>
            </w:r>
          </w:p>
        </w:tc>
        <w:tc>
          <w:tcPr>
            <w:tcW w:w="6608" w:type="dxa"/>
            <w:vAlign w:val="center"/>
          </w:tcPr>
          <w:p w14:paraId="3076D396">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质量保证措施内容全面、方案科学、有针对性，合理性打分：质量保证措施内容全面、方案科学、针对性强：10分；</w:t>
            </w:r>
          </w:p>
          <w:p w14:paraId="599FE2FA">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质量保证措施内容全面、方案科学、针对性较强：7分；</w:t>
            </w:r>
          </w:p>
          <w:p w14:paraId="65D38794">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质量保证措施内容基本全面、方案科学、针对性一般：4分；</w:t>
            </w:r>
          </w:p>
          <w:p w14:paraId="7F053525">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质量保证措施内容不科学、不合理、无针对性：1分；</w:t>
            </w:r>
          </w:p>
          <w:p w14:paraId="05D4BA5D">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02612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51FFFDF9">
            <w:pPr>
              <w:ind w:firstLine="28"/>
              <w:jc w:val="center"/>
              <w:rPr>
                <w:rFonts w:hint="eastAsia" w:ascii="宋体" w:hAnsi="宋体" w:cstheme="minorEastAsia"/>
                <w:b/>
                <w:bCs/>
                <w:sz w:val="24"/>
              </w:rPr>
            </w:pPr>
          </w:p>
        </w:tc>
        <w:tc>
          <w:tcPr>
            <w:tcW w:w="613" w:type="dxa"/>
            <w:vAlign w:val="center"/>
          </w:tcPr>
          <w:p w14:paraId="64BF1B3D">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1284CE93">
            <w:pPr>
              <w:spacing w:after="14" w:line="276" w:lineRule="auto"/>
              <w:ind w:right="27"/>
              <w:jc w:val="center"/>
              <w:rPr>
                <w:rFonts w:hint="eastAsia" w:ascii="宋体" w:hAnsi="宋体" w:cstheme="minorEastAsia"/>
                <w:sz w:val="24"/>
              </w:rPr>
            </w:pPr>
            <w:r>
              <w:rPr>
                <w:rFonts w:hint="eastAsia" w:ascii="宋体" w:hAnsi="宋体" w:cstheme="minorEastAsia"/>
                <w:sz w:val="24"/>
              </w:rPr>
              <w:t>安全生产、文明施工措施</w:t>
            </w:r>
          </w:p>
          <w:p w14:paraId="0BF5A7F6">
            <w:pPr>
              <w:spacing w:after="14" w:line="276" w:lineRule="auto"/>
              <w:ind w:right="27"/>
              <w:jc w:val="center"/>
              <w:rPr>
                <w:rFonts w:hint="eastAsia" w:ascii="宋体" w:hAnsi="宋体" w:cstheme="minorEastAsia"/>
                <w:sz w:val="24"/>
              </w:rPr>
            </w:pPr>
          </w:p>
        </w:tc>
        <w:tc>
          <w:tcPr>
            <w:tcW w:w="6608" w:type="dxa"/>
            <w:vAlign w:val="center"/>
          </w:tcPr>
          <w:p w14:paraId="6A393193">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安全生产、文明施工措施内容全面、方案科学、有针对性，合理性打分：安全生产、文明施工措施内容全面、方案科学、针对性强：10分；</w:t>
            </w:r>
          </w:p>
          <w:p w14:paraId="2F2FD0DC">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安全生产、文明施工措施内容全面、方案科学、针对性较强：7分；</w:t>
            </w:r>
          </w:p>
          <w:p w14:paraId="586C5672">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安全生产、文明施工措施内容基本全面、方案科学、针对性一般：4分；</w:t>
            </w:r>
          </w:p>
          <w:p w14:paraId="4F3D3B0A">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安全生产、文明施工措施内容不科学、不合理、无针对性：1分；</w:t>
            </w:r>
          </w:p>
          <w:p w14:paraId="7B0ED07C">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0AA9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65268B40">
            <w:pPr>
              <w:ind w:firstLine="28"/>
              <w:jc w:val="center"/>
              <w:rPr>
                <w:rFonts w:hint="eastAsia" w:ascii="宋体" w:hAnsi="宋体" w:cstheme="minorEastAsia"/>
                <w:b/>
                <w:bCs/>
                <w:sz w:val="24"/>
              </w:rPr>
            </w:pPr>
          </w:p>
        </w:tc>
        <w:tc>
          <w:tcPr>
            <w:tcW w:w="613" w:type="dxa"/>
            <w:vAlign w:val="center"/>
          </w:tcPr>
          <w:p w14:paraId="12B91389">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612F2DDC">
            <w:pPr>
              <w:spacing w:after="14" w:line="276" w:lineRule="auto"/>
              <w:ind w:right="27"/>
              <w:jc w:val="center"/>
              <w:rPr>
                <w:rFonts w:hint="eastAsia" w:ascii="宋体" w:hAnsi="宋体" w:cstheme="minorEastAsia"/>
                <w:sz w:val="24"/>
              </w:rPr>
            </w:pPr>
            <w:r>
              <w:rPr>
                <w:rFonts w:hint="eastAsia" w:ascii="宋体" w:hAnsi="宋体" w:cstheme="minorEastAsia"/>
                <w:sz w:val="24"/>
              </w:rPr>
              <w:t>进度计划及保证措施</w:t>
            </w:r>
          </w:p>
          <w:p w14:paraId="69FF2883">
            <w:pPr>
              <w:spacing w:after="14" w:line="276" w:lineRule="auto"/>
              <w:ind w:right="27"/>
              <w:jc w:val="center"/>
              <w:rPr>
                <w:rFonts w:hint="eastAsia" w:ascii="宋体" w:hAnsi="宋体" w:cstheme="minorEastAsia"/>
                <w:sz w:val="24"/>
              </w:rPr>
            </w:pPr>
          </w:p>
        </w:tc>
        <w:tc>
          <w:tcPr>
            <w:tcW w:w="6608" w:type="dxa"/>
            <w:vAlign w:val="center"/>
          </w:tcPr>
          <w:p w14:paraId="7CC21063">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进度计划及保证措施内容全面、方案科学、有针对性，合理性打分：进度计划及保证措施内容全面、方案科学、针对性强：10分；</w:t>
            </w:r>
          </w:p>
          <w:p w14:paraId="3BFBAE43">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进度计划及保证措施内容全面、方案科学、针对性较强：7分；</w:t>
            </w:r>
          </w:p>
          <w:p w14:paraId="41590367">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进度计划及保证措施内容基本全面、方案科学、针对性一般：4分；</w:t>
            </w:r>
          </w:p>
          <w:p w14:paraId="0EE44FB3">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进度计划及保证措施内容不科学、不合理、无针对性：1分；</w:t>
            </w:r>
          </w:p>
          <w:p w14:paraId="67D2523A">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0E2D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215B7014">
            <w:pPr>
              <w:ind w:firstLine="28"/>
              <w:jc w:val="center"/>
              <w:rPr>
                <w:rFonts w:hint="eastAsia" w:ascii="宋体" w:hAnsi="宋体" w:cstheme="minorEastAsia"/>
                <w:b/>
                <w:bCs/>
                <w:sz w:val="24"/>
              </w:rPr>
            </w:pPr>
          </w:p>
        </w:tc>
        <w:tc>
          <w:tcPr>
            <w:tcW w:w="613" w:type="dxa"/>
            <w:vAlign w:val="center"/>
          </w:tcPr>
          <w:p w14:paraId="4BE78608">
            <w:pPr>
              <w:ind w:firstLine="28"/>
              <w:jc w:val="center"/>
              <w:rPr>
                <w:rFonts w:hint="eastAsia" w:ascii="宋体" w:hAnsi="宋体" w:cstheme="minorEastAsia"/>
                <w:sz w:val="24"/>
              </w:rPr>
            </w:pPr>
            <w:r>
              <w:rPr>
                <w:rFonts w:hint="eastAsia" w:ascii="宋体" w:hAnsi="宋体" w:cstheme="minorEastAsia"/>
                <w:sz w:val="24"/>
              </w:rPr>
              <w:t>10</w:t>
            </w:r>
          </w:p>
        </w:tc>
        <w:tc>
          <w:tcPr>
            <w:tcW w:w="1267" w:type="dxa"/>
            <w:vAlign w:val="center"/>
          </w:tcPr>
          <w:p w14:paraId="0C0DC7C9">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紧急情况 </w:t>
            </w:r>
          </w:p>
          <w:p w14:paraId="07B62C8F">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的处理措 </w:t>
            </w:r>
          </w:p>
          <w:p w14:paraId="72D828D0">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施、预案 </w:t>
            </w:r>
          </w:p>
          <w:p w14:paraId="69A29C9C">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以及安全 </w:t>
            </w:r>
          </w:p>
          <w:p w14:paraId="1E5EFFFD">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管理的措 </w:t>
            </w:r>
          </w:p>
          <w:p w14:paraId="3D8F554B">
            <w:pPr>
              <w:spacing w:after="14" w:line="276" w:lineRule="auto"/>
              <w:ind w:right="27"/>
              <w:jc w:val="center"/>
              <w:rPr>
                <w:rFonts w:hint="eastAsia" w:ascii="宋体" w:hAnsi="宋体" w:cstheme="minorEastAsia"/>
                <w:sz w:val="24"/>
              </w:rPr>
            </w:pPr>
            <w:r>
              <w:rPr>
                <w:rFonts w:hint="eastAsia" w:ascii="宋体" w:hAnsi="宋体" w:cstheme="minorEastAsia"/>
                <w:sz w:val="24"/>
              </w:rPr>
              <w:t>施</w:t>
            </w:r>
          </w:p>
        </w:tc>
        <w:tc>
          <w:tcPr>
            <w:tcW w:w="6608" w:type="dxa"/>
            <w:vAlign w:val="center"/>
          </w:tcPr>
          <w:p w14:paraId="3EC7E38E">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紧急情况的处理措施、预案以及安全管理的措施科学、可行、针对性强：10分；</w:t>
            </w:r>
          </w:p>
          <w:p w14:paraId="1571991A">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紧急情况的处理措施、预案以及安全管理的措施较合理、较可行、细节待完善：7分；</w:t>
            </w:r>
          </w:p>
          <w:p w14:paraId="420B3E1B">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紧急情况的处理措施、预案以及安全管理的措施欠合理，基本可行，基本满足工程需要：4分；</w:t>
            </w:r>
          </w:p>
          <w:p w14:paraId="445A6C79">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紧急情况的处理措施、预案以及安全管理的措施不满足工程需要：1分；</w:t>
            </w:r>
          </w:p>
          <w:p w14:paraId="5C002F8D">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5268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Merge w:val="continue"/>
            <w:vAlign w:val="center"/>
          </w:tcPr>
          <w:p w14:paraId="76247812">
            <w:pPr>
              <w:ind w:firstLine="28"/>
              <w:jc w:val="center"/>
              <w:rPr>
                <w:rFonts w:hint="eastAsia" w:ascii="宋体" w:hAnsi="宋体" w:cstheme="minorEastAsia"/>
                <w:b/>
                <w:bCs/>
                <w:sz w:val="24"/>
              </w:rPr>
            </w:pPr>
          </w:p>
        </w:tc>
        <w:tc>
          <w:tcPr>
            <w:tcW w:w="613" w:type="dxa"/>
            <w:vAlign w:val="center"/>
          </w:tcPr>
          <w:p w14:paraId="701F3C47">
            <w:pPr>
              <w:ind w:firstLine="28"/>
              <w:jc w:val="center"/>
              <w:rPr>
                <w:rFonts w:hint="eastAsia" w:ascii="宋体" w:hAnsi="宋体" w:cstheme="minorEastAsia"/>
                <w:sz w:val="24"/>
              </w:rPr>
            </w:pPr>
            <w:r>
              <w:rPr>
                <w:rFonts w:hint="eastAsia" w:ascii="宋体" w:hAnsi="宋体" w:cstheme="minorEastAsia"/>
                <w:sz w:val="24"/>
              </w:rPr>
              <w:t>9.5</w:t>
            </w:r>
          </w:p>
        </w:tc>
        <w:tc>
          <w:tcPr>
            <w:tcW w:w="1267" w:type="dxa"/>
            <w:vAlign w:val="center"/>
          </w:tcPr>
          <w:p w14:paraId="795865CD">
            <w:pPr>
              <w:spacing w:after="14" w:line="276" w:lineRule="auto"/>
              <w:ind w:right="27"/>
              <w:jc w:val="center"/>
              <w:rPr>
                <w:rFonts w:hint="eastAsia" w:ascii="宋体" w:hAnsi="宋体" w:cstheme="minorEastAsia"/>
                <w:sz w:val="24"/>
              </w:rPr>
            </w:pPr>
            <w:r>
              <w:rPr>
                <w:rFonts w:hint="eastAsia" w:ascii="宋体" w:hAnsi="宋体" w:cstheme="minorEastAsia"/>
                <w:sz w:val="24"/>
              </w:rPr>
              <w:t xml:space="preserve">拟投入本项目施工设备、人员及劳动力配置 </w:t>
            </w:r>
          </w:p>
        </w:tc>
        <w:tc>
          <w:tcPr>
            <w:tcW w:w="6608" w:type="dxa"/>
            <w:vAlign w:val="center"/>
          </w:tcPr>
          <w:p w14:paraId="4F466CF9">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本项目施工设备、人员及劳动力配置计划方案合理：</w:t>
            </w:r>
          </w:p>
          <w:p w14:paraId="5BCF5DE7">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施工设备、人员及劳动力配置计划方案全面、针对性强：9.5分；</w:t>
            </w:r>
          </w:p>
          <w:p w14:paraId="3D5251C4">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施工设备、人员及劳动力配置计划方案较全面科学、针对性较强：7分；</w:t>
            </w:r>
          </w:p>
          <w:p w14:paraId="1A17A6CB">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施工设备、人员及劳动力配置计划方案基本合理、针对性一般：4分；</w:t>
            </w:r>
          </w:p>
          <w:p w14:paraId="18668461">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施工设备、人员及劳动力配置计划方案不科学、不合理、无针对性：1分；</w:t>
            </w:r>
          </w:p>
          <w:p w14:paraId="2FF12D6B">
            <w:pPr>
              <w:pStyle w:val="247"/>
              <w:spacing w:before="0" w:after="0" w:line="240" w:lineRule="auto"/>
              <w:jc w:val="left"/>
              <w:rPr>
                <w:rFonts w:hint="eastAsia" w:ascii="宋体" w:hAnsi="宋体" w:eastAsia="宋体" w:cstheme="minorEastAsia"/>
                <w:b w:val="0"/>
                <w:szCs w:val="24"/>
              </w:rPr>
            </w:pPr>
            <w:r>
              <w:rPr>
                <w:rFonts w:hint="eastAsia" w:ascii="宋体" w:hAnsi="宋体" w:eastAsia="宋体" w:cstheme="minorEastAsia"/>
                <w:b w:val="0"/>
                <w:szCs w:val="24"/>
              </w:rPr>
              <w:t>未提供0分.</w:t>
            </w:r>
          </w:p>
        </w:tc>
      </w:tr>
      <w:tr w14:paraId="7300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3" w:type="dxa"/>
            <w:vAlign w:val="center"/>
          </w:tcPr>
          <w:p w14:paraId="0299B45F">
            <w:pPr>
              <w:ind w:firstLine="28"/>
              <w:jc w:val="center"/>
              <w:rPr>
                <w:rFonts w:hint="eastAsia" w:ascii="宋体" w:hAnsi="宋体" w:cstheme="minorEastAsia"/>
                <w:b/>
                <w:bCs/>
                <w:sz w:val="24"/>
              </w:rPr>
            </w:pPr>
            <w:r>
              <w:rPr>
                <w:rFonts w:hint="eastAsia" w:ascii="宋体" w:hAnsi="宋体" w:cstheme="minorEastAsia"/>
                <w:b/>
                <w:bCs/>
                <w:sz w:val="24"/>
              </w:rPr>
              <w:t>政策性得分</w:t>
            </w:r>
          </w:p>
        </w:tc>
        <w:tc>
          <w:tcPr>
            <w:tcW w:w="613" w:type="dxa"/>
            <w:vAlign w:val="center"/>
          </w:tcPr>
          <w:p w14:paraId="5DA95E40">
            <w:pPr>
              <w:ind w:firstLine="28"/>
              <w:jc w:val="center"/>
              <w:rPr>
                <w:rFonts w:hint="eastAsia" w:ascii="宋体" w:hAnsi="宋体" w:cstheme="minorEastAsia"/>
                <w:sz w:val="24"/>
              </w:rPr>
            </w:pPr>
            <w:r>
              <w:rPr>
                <w:rFonts w:hint="eastAsia" w:ascii="宋体" w:hAnsi="宋体" w:cstheme="minorEastAsia"/>
                <w:sz w:val="24"/>
              </w:rPr>
              <w:t>0.5</w:t>
            </w:r>
          </w:p>
        </w:tc>
        <w:tc>
          <w:tcPr>
            <w:tcW w:w="1267" w:type="dxa"/>
            <w:vAlign w:val="center"/>
          </w:tcPr>
          <w:p w14:paraId="4591B0DE">
            <w:pPr>
              <w:ind w:firstLine="28"/>
              <w:jc w:val="center"/>
              <w:rPr>
                <w:rFonts w:hint="eastAsia" w:ascii="宋体" w:hAnsi="宋体" w:cstheme="minorEastAsia"/>
                <w:sz w:val="24"/>
              </w:rPr>
            </w:pPr>
            <w:r>
              <w:rPr>
                <w:rFonts w:hint="eastAsia" w:ascii="宋体" w:hAnsi="宋体" w:cstheme="minorEastAsia"/>
                <w:sz w:val="24"/>
              </w:rPr>
              <w:t>节能环保</w:t>
            </w:r>
          </w:p>
        </w:tc>
        <w:tc>
          <w:tcPr>
            <w:tcW w:w="6608" w:type="dxa"/>
            <w:vAlign w:val="center"/>
          </w:tcPr>
          <w:p w14:paraId="013B098C">
            <w:pPr>
              <w:ind w:left="-38"/>
              <w:rPr>
                <w:rFonts w:hint="eastAsia" w:ascii="宋体" w:hAnsi="宋体" w:cstheme="minorEastAsia"/>
                <w:sz w:val="24"/>
              </w:rPr>
            </w:pPr>
            <w:r>
              <w:rPr>
                <w:rFonts w:hint="eastAsia" w:ascii="宋体" w:hAnsi="宋体" w:cstheme="minorEastAsia"/>
                <w:sz w:val="24"/>
              </w:rPr>
              <w:t>1、环境标志产品：投标人所投货物列入财政部、生态环境部发布的“环境标志产品政府采购品目清单”，具有中国环境标志产品认证证书（有效期内），每有一类货物得0.1分，最高得0.2分（投标人提供相关证明材料）。</w:t>
            </w:r>
          </w:p>
          <w:p w14:paraId="50E9EB9E">
            <w:pPr>
              <w:ind w:left="-38"/>
              <w:rPr>
                <w:rFonts w:hint="eastAsia" w:ascii="宋体" w:hAnsi="宋体" w:cstheme="minorEastAsia"/>
                <w:sz w:val="24"/>
              </w:rPr>
            </w:pPr>
            <w:r>
              <w:rPr>
                <w:rFonts w:hint="eastAsia" w:ascii="宋体" w:hAnsi="宋体" w:cstheme="minorEastAsia"/>
                <w:sz w:val="24"/>
              </w:rPr>
              <w:t>2、节能产品：投标人所投货物列入财政部、发展改革委发布的“节能产品政府采购品目清单”，且认证证书在有效截止日期内，每有一类货物得0.1分，最高得0.3分（投标人提供相关证明材料）。</w:t>
            </w:r>
          </w:p>
          <w:p w14:paraId="3900E93D">
            <w:pPr>
              <w:ind w:left="-38"/>
              <w:rPr>
                <w:rFonts w:hint="eastAsia" w:ascii="宋体" w:hAnsi="宋体" w:cstheme="minorEastAsia"/>
                <w:sz w:val="24"/>
              </w:rPr>
            </w:pPr>
            <w:r>
              <w:rPr>
                <w:rFonts w:hint="eastAsia" w:ascii="宋体" w:hAnsi="宋体" w:cstheme="minorEastAsia"/>
                <w:sz w:val="24"/>
              </w:rPr>
              <w:t>属于政府采购强制节能的产品除外。</w:t>
            </w:r>
          </w:p>
        </w:tc>
      </w:tr>
      <w:tr w14:paraId="6966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76BFB39B">
            <w:pPr>
              <w:ind w:firstLine="28"/>
              <w:jc w:val="center"/>
              <w:rPr>
                <w:rFonts w:hint="eastAsia" w:ascii="宋体" w:hAnsi="宋体" w:cstheme="minorEastAsia"/>
                <w:sz w:val="24"/>
              </w:rPr>
            </w:pPr>
            <w:r>
              <w:rPr>
                <w:rFonts w:hint="eastAsia" w:ascii="宋体" w:hAnsi="宋体" w:cstheme="minorEastAsia"/>
                <w:sz w:val="24"/>
              </w:rPr>
              <w:t>合计</w:t>
            </w:r>
          </w:p>
        </w:tc>
        <w:tc>
          <w:tcPr>
            <w:tcW w:w="1267" w:type="dxa"/>
            <w:vAlign w:val="center"/>
          </w:tcPr>
          <w:p w14:paraId="335A3453">
            <w:pPr>
              <w:ind w:firstLine="28"/>
              <w:jc w:val="center"/>
              <w:rPr>
                <w:rFonts w:hint="eastAsia" w:ascii="宋体" w:hAnsi="宋体" w:cstheme="minorEastAsia"/>
                <w:sz w:val="24"/>
              </w:rPr>
            </w:pPr>
            <w:r>
              <w:rPr>
                <w:rFonts w:hint="eastAsia" w:ascii="宋体" w:hAnsi="宋体" w:cstheme="minorEastAsia"/>
                <w:sz w:val="24"/>
              </w:rPr>
              <w:t>100</w:t>
            </w:r>
          </w:p>
        </w:tc>
        <w:tc>
          <w:tcPr>
            <w:tcW w:w="6608" w:type="dxa"/>
            <w:vAlign w:val="center"/>
          </w:tcPr>
          <w:p w14:paraId="2696271A">
            <w:pPr>
              <w:rPr>
                <w:rFonts w:hint="eastAsia" w:ascii="宋体" w:hAnsi="宋体" w:cstheme="minorEastAsia"/>
                <w:sz w:val="24"/>
              </w:rPr>
            </w:pPr>
          </w:p>
        </w:tc>
      </w:tr>
    </w:tbl>
    <w:p w14:paraId="26E7215D">
      <w:pPr>
        <w:tabs>
          <w:tab w:val="left" w:pos="360"/>
          <w:tab w:val="left" w:pos="1080"/>
        </w:tabs>
        <w:snapToGrid w:val="0"/>
        <w:spacing w:line="360" w:lineRule="auto"/>
        <w:ind w:left="1080"/>
        <w:rPr>
          <w:rFonts w:hint="eastAsia" w:ascii="宋体" w:hAnsi="宋体"/>
          <w:sz w:val="24"/>
        </w:rPr>
      </w:pPr>
    </w:p>
    <w:p w14:paraId="0BF7BEE9">
      <w:pPr>
        <w:spacing w:line="360" w:lineRule="auto"/>
        <w:jc w:val="center"/>
        <w:outlineLvl w:val="0"/>
        <w:rPr>
          <w:rFonts w:hint="eastAsia" w:asciiTheme="minorEastAsia" w:hAnsiTheme="minorEastAsia" w:eastAsiaTheme="minorEastAsia"/>
          <w:b/>
          <w:sz w:val="36"/>
          <w:szCs w:val="36"/>
        </w:rPr>
      </w:pPr>
      <w:r>
        <w:rPr>
          <w:rFonts w:ascii="宋体" w:hAnsi="宋体"/>
          <w:b/>
          <w:sz w:val="36"/>
          <w:szCs w:val="36"/>
        </w:rPr>
        <w:br w:type="page"/>
      </w:r>
      <w:bookmarkStart w:id="672" w:name="_Toc232493960"/>
      <w:r>
        <w:rPr>
          <w:rFonts w:asciiTheme="minorEastAsia" w:hAnsiTheme="minorEastAsia" w:eastAsiaTheme="minorEastAsia"/>
          <w:b/>
          <w:sz w:val="36"/>
          <w:szCs w:val="36"/>
        </w:rPr>
        <w:t>第四章   采购需求</w:t>
      </w:r>
      <w:bookmarkEnd w:id="672"/>
    </w:p>
    <w:p w14:paraId="3A63A71E">
      <w:pPr>
        <w:rPr>
          <w:rFonts w:hint="eastAsia" w:asciiTheme="minorEastAsia" w:hAnsiTheme="minorEastAsia" w:eastAsiaTheme="minorEastAsia"/>
        </w:rPr>
      </w:pPr>
      <w:r>
        <w:rPr>
          <w:rFonts w:hint="eastAsia" w:asciiTheme="minorEastAsia" w:hAnsiTheme="minorEastAsia" w:eastAsiaTheme="minorEastAsia"/>
        </w:rPr>
        <w:t>一、技术要求</w:t>
      </w:r>
    </w:p>
    <w:p w14:paraId="1C0F05C3">
      <w:pPr>
        <w:pStyle w:val="251"/>
        <w:widowControl w:val="0"/>
        <w:spacing w:before="120" w:beforeLines="50" w:line="276" w:lineRule="auto"/>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b/>
          <w:bCs/>
          <w:sz w:val="24"/>
          <w:szCs w:val="24"/>
          <w:lang w:eastAsia="zh-CN"/>
        </w:rPr>
        <w:t>1、</w:t>
      </w:r>
      <w:r>
        <w:rPr>
          <w:rFonts w:cs="Arial" w:asciiTheme="minorEastAsia" w:hAnsiTheme="minorEastAsia" w:eastAsiaTheme="minorEastAsia"/>
          <w:b/>
          <w:bCs/>
          <w:sz w:val="24"/>
          <w:szCs w:val="24"/>
          <w:lang w:eastAsia="zh-CN"/>
        </w:rPr>
        <w:t>技术规格（电梯</w:t>
      </w:r>
      <w:r>
        <w:rPr>
          <w:rFonts w:hint="eastAsia" w:cs="Arial" w:asciiTheme="minorEastAsia" w:hAnsiTheme="minorEastAsia" w:eastAsiaTheme="minorEastAsia"/>
          <w:b/>
          <w:bCs/>
          <w:sz w:val="24"/>
          <w:szCs w:val="24"/>
          <w:lang w:eastAsia="zh-CN"/>
        </w:rPr>
        <w:t>1</w:t>
      </w:r>
      <w:r>
        <w:rPr>
          <w:rFonts w:cs="Arial" w:asciiTheme="minorEastAsia" w:hAnsiTheme="minorEastAsia" w:eastAsiaTheme="minorEastAsia"/>
          <w:b/>
          <w:bCs/>
          <w:sz w:val="24"/>
          <w:szCs w:val="24"/>
          <w:lang w:eastAsia="zh-CN"/>
        </w:rPr>
        <w:t>）</w:t>
      </w:r>
    </w:p>
    <w:tbl>
      <w:tblPr>
        <w:tblStyle w:val="44"/>
        <w:tblW w:w="9356"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2400"/>
        <w:gridCol w:w="5756"/>
      </w:tblGrid>
      <w:tr w14:paraId="542E1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075CD7D8">
            <w:pPr>
              <w:pStyle w:val="251"/>
              <w:jc w:val="center"/>
              <w:rPr>
                <w:rFonts w:hint="eastAsia" w:cs="Arial" w:asciiTheme="minorEastAsia" w:hAnsiTheme="minorEastAsia" w:eastAsiaTheme="minorEastAsia"/>
                <w:b/>
                <w:bCs/>
                <w:sz w:val="24"/>
                <w:szCs w:val="24"/>
                <w:u w:val="single"/>
                <w:lang w:eastAsia="zh-CN"/>
              </w:rPr>
            </w:pPr>
            <w:r>
              <w:rPr>
                <w:rFonts w:cs="Arial" w:asciiTheme="minorEastAsia" w:hAnsiTheme="minorEastAsia" w:eastAsiaTheme="minorEastAsia"/>
                <w:b/>
                <w:bCs/>
                <w:sz w:val="24"/>
                <w:szCs w:val="24"/>
                <w:u w:val="single"/>
                <w:lang w:eastAsia="zh-CN"/>
              </w:rPr>
              <w:t>一般规格</w:t>
            </w:r>
          </w:p>
        </w:tc>
        <w:tc>
          <w:tcPr>
            <w:tcW w:w="2400" w:type="dxa"/>
            <w:tcBorders>
              <w:top w:val="single" w:color="auto" w:sz="4" w:space="0"/>
              <w:left w:val="nil"/>
              <w:bottom w:val="single" w:color="auto" w:sz="4" w:space="0"/>
              <w:right w:val="single" w:color="auto" w:sz="4" w:space="0"/>
            </w:tcBorders>
            <w:noWrap/>
            <w:vAlign w:val="center"/>
          </w:tcPr>
          <w:p w14:paraId="0FD1305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电梯编号</w:t>
            </w:r>
          </w:p>
        </w:tc>
        <w:tc>
          <w:tcPr>
            <w:tcW w:w="5756" w:type="dxa"/>
            <w:tcBorders>
              <w:top w:val="single" w:color="auto" w:sz="4" w:space="0"/>
              <w:left w:val="nil"/>
              <w:bottom w:val="single" w:color="auto" w:sz="4" w:space="0"/>
              <w:right w:val="single" w:color="auto" w:sz="4" w:space="0"/>
            </w:tcBorders>
            <w:noWrap/>
            <w:vAlign w:val="center"/>
          </w:tcPr>
          <w:p w14:paraId="67376BC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南1#</w:t>
            </w:r>
          </w:p>
        </w:tc>
      </w:tr>
      <w:tr w14:paraId="0024D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840457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4B539E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产品名称</w:t>
            </w:r>
          </w:p>
        </w:tc>
        <w:tc>
          <w:tcPr>
            <w:tcW w:w="5756" w:type="dxa"/>
            <w:tcBorders>
              <w:top w:val="nil"/>
              <w:left w:val="nil"/>
              <w:bottom w:val="single" w:color="auto" w:sz="4" w:space="0"/>
              <w:right w:val="single" w:color="auto" w:sz="4" w:space="0"/>
            </w:tcBorders>
            <w:noWrap/>
            <w:vAlign w:val="center"/>
          </w:tcPr>
          <w:p w14:paraId="577A0BD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无机房乘客电梯</w:t>
            </w:r>
          </w:p>
        </w:tc>
      </w:tr>
      <w:tr w14:paraId="7AF6F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FB8F0C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4FA9D8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型号/规格/数量</w:t>
            </w:r>
          </w:p>
        </w:tc>
        <w:tc>
          <w:tcPr>
            <w:tcW w:w="5756" w:type="dxa"/>
            <w:tcBorders>
              <w:top w:val="nil"/>
              <w:left w:val="nil"/>
              <w:bottom w:val="single" w:color="auto" w:sz="4" w:space="0"/>
              <w:right w:val="single" w:color="auto" w:sz="4" w:space="0"/>
            </w:tcBorders>
            <w:noWrap/>
            <w:vAlign w:val="center"/>
          </w:tcPr>
          <w:p w14:paraId="6D79F69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1台</w:t>
            </w:r>
          </w:p>
        </w:tc>
      </w:tr>
      <w:tr w14:paraId="5A888E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0"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0431EC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9FFF69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额定载重量</w:t>
            </w:r>
          </w:p>
        </w:tc>
        <w:tc>
          <w:tcPr>
            <w:tcW w:w="5756" w:type="dxa"/>
            <w:tcBorders>
              <w:top w:val="nil"/>
              <w:left w:val="nil"/>
              <w:bottom w:val="single" w:color="auto" w:sz="4" w:space="0"/>
              <w:right w:val="single" w:color="auto" w:sz="4" w:space="0"/>
            </w:tcBorders>
            <w:noWrap/>
            <w:vAlign w:val="center"/>
          </w:tcPr>
          <w:p w14:paraId="4BA3809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1050公斤</w:t>
            </w:r>
          </w:p>
        </w:tc>
      </w:tr>
      <w:tr w14:paraId="1C66EF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3CCAB3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DD118A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额定速度</w:t>
            </w:r>
          </w:p>
        </w:tc>
        <w:tc>
          <w:tcPr>
            <w:tcW w:w="5756" w:type="dxa"/>
            <w:tcBorders>
              <w:top w:val="nil"/>
              <w:left w:val="nil"/>
              <w:bottom w:val="single" w:color="auto" w:sz="4" w:space="0"/>
              <w:right w:val="single" w:color="auto" w:sz="4" w:space="0"/>
            </w:tcBorders>
            <w:noWrap/>
            <w:vAlign w:val="center"/>
          </w:tcPr>
          <w:p w14:paraId="79AA7C1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1.0米/秒</w:t>
            </w:r>
          </w:p>
        </w:tc>
      </w:tr>
      <w:tr w14:paraId="29D42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40B1C2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943442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行程</w:t>
            </w:r>
          </w:p>
        </w:tc>
        <w:tc>
          <w:tcPr>
            <w:tcW w:w="5756" w:type="dxa"/>
            <w:tcBorders>
              <w:top w:val="nil"/>
              <w:left w:val="nil"/>
              <w:bottom w:val="single" w:color="auto" w:sz="4" w:space="0"/>
              <w:right w:val="single" w:color="auto" w:sz="4" w:space="0"/>
            </w:tcBorders>
            <w:noWrap/>
            <w:vAlign w:val="center"/>
          </w:tcPr>
          <w:p w14:paraId="149B6DE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15.58米</w:t>
            </w:r>
          </w:p>
        </w:tc>
      </w:tr>
      <w:tr w14:paraId="397659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A98F15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87033C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总楼层/服务楼层/门</w:t>
            </w:r>
          </w:p>
        </w:tc>
        <w:tc>
          <w:tcPr>
            <w:tcW w:w="5756" w:type="dxa"/>
            <w:tcBorders>
              <w:top w:val="nil"/>
              <w:left w:val="nil"/>
              <w:bottom w:val="single" w:color="auto" w:sz="4" w:space="0"/>
              <w:right w:val="single" w:color="auto" w:sz="4" w:space="0"/>
            </w:tcBorders>
            <w:noWrap/>
            <w:vAlign w:val="center"/>
          </w:tcPr>
          <w:p w14:paraId="337F65E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5 / 5 / 5</w:t>
            </w:r>
          </w:p>
        </w:tc>
      </w:tr>
      <w:tr w14:paraId="159C7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C4E3E7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0BE34B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轿厢类型    </w:t>
            </w:r>
          </w:p>
        </w:tc>
        <w:tc>
          <w:tcPr>
            <w:tcW w:w="5756" w:type="dxa"/>
            <w:tcBorders>
              <w:top w:val="nil"/>
              <w:left w:val="nil"/>
              <w:bottom w:val="single" w:color="auto" w:sz="4" w:space="0"/>
              <w:right w:val="single" w:color="auto" w:sz="4" w:space="0"/>
            </w:tcBorders>
            <w:noWrap/>
            <w:vAlign w:val="center"/>
          </w:tcPr>
          <w:p w14:paraId="0BFA1FA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单开门</w:t>
            </w:r>
          </w:p>
        </w:tc>
      </w:tr>
      <w:tr w14:paraId="6FAC06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E698F4A">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操作系统</w:t>
            </w:r>
          </w:p>
        </w:tc>
        <w:tc>
          <w:tcPr>
            <w:tcW w:w="2400" w:type="dxa"/>
            <w:tcBorders>
              <w:top w:val="nil"/>
              <w:left w:val="nil"/>
              <w:bottom w:val="single" w:color="auto" w:sz="4" w:space="0"/>
              <w:right w:val="single" w:color="auto" w:sz="4" w:space="0"/>
            </w:tcBorders>
            <w:noWrap/>
            <w:vAlign w:val="center"/>
          </w:tcPr>
          <w:p w14:paraId="22AAD71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控制系统</w:t>
            </w:r>
          </w:p>
        </w:tc>
        <w:tc>
          <w:tcPr>
            <w:tcW w:w="5756" w:type="dxa"/>
            <w:tcBorders>
              <w:top w:val="nil"/>
              <w:left w:val="nil"/>
              <w:bottom w:val="single" w:color="auto" w:sz="4" w:space="0"/>
              <w:right w:val="single" w:color="auto" w:sz="4" w:space="0"/>
            </w:tcBorders>
            <w:noWrap/>
            <w:vAlign w:val="center"/>
          </w:tcPr>
          <w:p w14:paraId="0F0937B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电脑智能控制，串行传输系统</w:t>
            </w:r>
          </w:p>
        </w:tc>
      </w:tr>
      <w:tr w14:paraId="503A2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58643F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AE97A7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控制方式</w:t>
            </w:r>
          </w:p>
        </w:tc>
        <w:tc>
          <w:tcPr>
            <w:tcW w:w="5756" w:type="dxa"/>
            <w:tcBorders>
              <w:top w:val="nil"/>
              <w:left w:val="nil"/>
              <w:bottom w:val="single" w:color="auto" w:sz="4" w:space="0"/>
              <w:right w:val="single" w:color="auto" w:sz="4" w:space="0"/>
            </w:tcBorders>
            <w:noWrap/>
            <w:vAlign w:val="center"/>
          </w:tcPr>
          <w:p w14:paraId="6A0B57F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集选</w:t>
            </w:r>
          </w:p>
        </w:tc>
      </w:tr>
      <w:tr w14:paraId="672BF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61B3DA85">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机械规格</w:t>
            </w:r>
          </w:p>
        </w:tc>
        <w:tc>
          <w:tcPr>
            <w:tcW w:w="2400" w:type="dxa"/>
            <w:tcBorders>
              <w:top w:val="nil"/>
              <w:left w:val="nil"/>
              <w:bottom w:val="single" w:color="auto" w:sz="4" w:space="0"/>
              <w:right w:val="single" w:color="auto" w:sz="4" w:space="0"/>
            </w:tcBorders>
            <w:noWrap/>
            <w:vAlign w:val="center"/>
          </w:tcPr>
          <w:p w14:paraId="4BD30B1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驱动系统</w:t>
            </w:r>
          </w:p>
        </w:tc>
        <w:tc>
          <w:tcPr>
            <w:tcW w:w="5756" w:type="dxa"/>
            <w:tcBorders>
              <w:top w:val="nil"/>
              <w:left w:val="nil"/>
              <w:bottom w:val="single" w:color="auto" w:sz="4" w:space="0"/>
              <w:right w:val="single" w:color="auto" w:sz="4" w:space="0"/>
            </w:tcBorders>
            <w:noWrap/>
            <w:vAlign w:val="center"/>
          </w:tcPr>
          <w:p w14:paraId="7A5D44F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交流调频调压驱动</w:t>
            </w:r>
          </w:p>
        </w:tc>
      </w:tr>
      <w:tr w14:paraId="0113E9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D122C49">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D39A29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曳引系统</w:t>
            </w:r>
          </w:p>
        </w:tc>
        <w:tc>
          <w:tcPr>
            <w:tcW w:w="5756" w:type="dxa"/>
            <w:tcBorders>
              <w:top w:val="nil"/>
              <w:left w:val="nil"/>
              <w:bottom w:val="single" w:color="auto" w:sz="4" w:space="0"/>
              <w:right w:val="single" w:color="auto" w:sz="4" w:space="0"/>
            </w:tcBorders>
            <w:noWrap/>
            <w:vAlign w:val="center"/>
          </w:tcPr>
          <w:p w14:paraId="072066C9">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无齿曳引机</w:t>
            </w:r>
          </w:p>
        </w:tc>
      </w:tr>
      <w:tr w14:paraId="417EC9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3E88AA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B1CF8C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机械位置</w:t>
            </w:r>
          </w:p>
        </w:tc>
        <w:tc>
          <w:tcPr>
            <w:tcW w:w="5756" w:type="dxa"/>
            <w:tcBorders>
              <w:top w:val="nil"/>
              <w:left w:val="nil"/>
              <w:bottom w:val="single" w:color="auto" w:sz="4" w:space="0"/>
              <w:right w:val="single" w:color="auto" w:sz="4" w:space="0"/>
            </w:tcBorders>
            <w:noWrap/>
            <w:vAlign w:val="center"/>
          </w:tcPr>
          <w:p w14:paraId="6181895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井道顶部</w:t>
            </w:r>
          </w:p>
        </w:tc>
      </w:tr>
      <w:tr w14:paraId="7E166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380A55CC">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建筑尺寸</w:t>
            </w:r>
          </w:p>
        </w:tc>
        <w:tc>
          <w:tcPr>
            <w:tcW w:w="2400" w:type="dxa"/>
            <w:tcBorders>
              <w:top w:val="nil"/>
              <w:left w:val="nil"/>
              <w:bottom w:val="single" w:color="auto" w:sz="4" w:space="0"/>
              <w:right w:val="single" w:color="auto" w:sz="4" w:space="0"/>
            </w:tcBorders>
            <w:noWrap/>
            <w:vAlign w:val="center"/>
          </w:tcPr>
          <w:p w14:paraId="7F8A35F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井道尺寸</w:t>
            </w:r>
          </w:p>
        </w:tc>
        <w:tc>
          <w:tcPr>
            <w:tcW w:w="5756" w:type="dxa"/>
            <w:tcBorders>
              <w:top w:val="nil"/>
              <w:left w:val="nil"/>
              <w:bottom w:val="single" w:color="auto" w:sz="4" w:space="0"/>
              <w:right w:val="single" w:color="auto" w:sz="4" w:space="0"/>
            </w:tcBorders>
            <w:noWrap/>
            <w:vAlign w:val="center"/>
          </w:tcPr>
          <w:p w14:paraId="74445FA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2550毫米(宽) X 1765毫米(深)</w:t>
            </w:r>
          </w:p>
        </w:tc>
      </w:tr>
      <w:tr w14:paraId="7B6A1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BC6460B">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079E9A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顶层高度</w:t>
            </w:r>
          </w:p>
        </w:tc>
        <w:tc>
          <w:tcPr>
            <w:tcW w:w="5756" w:type="dxa"/>
            <w:tcBorders>
              <w:top w:val="nil"/>
              <w:left w:val="nil"/>
              <w:bottom w:val="single" w:color="auto" w:sz="4" w:space="0"/>
              <w:right w:val="single" w:color="auto" w:sz="4" w:space="0"/>
            </w:tcBorders>
            <w:noWrap/>
            <w:vAlign w:val="center"/>
          </w:tcPr>
          <w:p w14:paraId="200503A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3780毫米</w:t>
            </w:r>
          </w:p>
        </w:tc>
      </w:tr>
      <w:tr w14:paraId="349D1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10E856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52177B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地坑深度</w:t>
            </w:r>
          </w:p>
        </w:tc>
        <w:tc>
          <w:tcPr>
            <w:tcW w:w="5756" w:type="dxa"/>
            <w:tcBorders>
              <w:top w:val="nil"/>
              <w:left w:val="nil"/>
              <w:bottom w:val="single" w:color="auto" w:sz="4" w:space="0"/>
              <w:right w:val="single" w:color="auto" w:sz="4" w:space="0"/>
            </w:tcBorders>
            <w:noWrap/>
            <w:vAlign w:val="center"/>
          </w:tcPr>
          <w:p w14:paraId="3FFBA95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1460毫米</w:t>
            </w:r>
          </w:p>
        </w:tc>
      </w:tr>
      <w:tr w14:paraId="293C8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09E7E645">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入口尺寸</w:t>
            </w:r>
          </w:p>
        </w:tc>
        <w:tc>
          <w:tcPr>
            <w:tcW w:w="2400" w:type="dxa"/>
            <w:tcBorders>
              <w:top w:val="nil"/>
              <w:left w:val="nil"/>
              <w:bottom w:val="single" w:color="auto" w:sz="4" w:space="0"/>
              <w:right w:val="single" w:color="auto" w:sz="4" w:space="0"/>
            </w:tcBorders>
            <w:noWrap/>
            <w:vAlign w:val="center"/>
          </w:tcPr>
          <w:p w14:paraId="2079A35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类型</w:t>
            </w:r>
          </w:p>
        </w:tc>
        <w:tc>
          <w:tcPr>
            <w:tcW w:w="5756" w:type="dxa"/>
            <w:tcBorders>
              <w:top w:val="nil"/>
              <w:left w:val="nil"/>
              <w:bottom w:val="single" w:color="auto" w:sz="4" w:space="0"/>
              <w:right w:val="single" w:color="auto" w:sz="4" w:space="0"/>
            </w:tcBorders>
            <w:noWrap/>
            <w:vAlign w:val="center"/>
          </w:tcPr>
          <w:p w14:paraId="757BCB8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2扇中分自动门</w:t>
            </w:r>
          </w:p>
        </w:tc>
      </w:tr>
      <w:tr w14:paraId="66D34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137EB9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955CA3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尺寸</w:t>
            </w:r>
          </w:p>
        </w:tc>
        <w:tc>
          <w:tcPr>
            <w:tcW w:w="5756" w:type="dxa"/>
            <w:tcBorders>
              <w:top w:val="nil"/>
              <w:left w:val="nil"/>
              <w:bottom w:val="single" w:color="auto" w:sz="4" w:space="0"/>
              <w:right w:val="single" w:color="auto" w:sz="4" w:space="0"/>
            </w:tcBorders>
            <w:noWrap/>
            <w:vAlign w:val="center"/>
          </w:tcPr>
          <w:p w14:paraId="5B3A4E1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900毫米(宽) X 2100毫米(高)</w:t>
            </w:r>
          </w:p>
        </w:tc>
      </w:tr>
      <w:tr w14:paraId="61C88A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51EEB21A">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候梯厅门</w:t>
            </w:r>
          </w:p>
        </w:tc>
        <w:tc>
          <w:tcPr>
            <w:tcW w:w="2400" w:type="dxa"/>
            <w:tcBorders>
              <w:top w:val="nil"/>
              <w:left w:val="nil"/>
              <w:bottom w:val="single" w:color="auto" w:sz="4" w:space="0"/>
              <w:right w:val="single" w:color="auto" w:sz="4" w:space="0"/>
            </w:tcBorders>
            <w:noWrap/>
            <w:vAlign w:val="center"/>
          </w:tcPr>
          <w:p w14:paraId="4D3381A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厅门、门框装修</w:t>
            </w:r>
          </w:p>
        </w:tc>
        <w:tc>
          <w:tcPr>
            <w:tcW w:w="5756" w:type="dxa"/>
            <w:tcBorders>
              <w:top w:val="nil"/>
              <w:left w:val="nil"/>
              <w:bottom w:val="single" w:color="auto" w:sz="4" w:space="0"/>
              <w:right w:val="single" w:color="auto" w:sz="4" w:space="0"/>
            </w:tcBorders>
            <w:noWrap/>
            <w:vAlign w:val="center"/>
          </w:tcPr>
          <w:p w14:paraId="4C011D2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银色发纹不锈钢材质厅门5个</w:t>
            </w:r>
          </w:p>
        </w:tc>
      </w:tr>
      <w:tr w14:paraId="1BA892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57C23E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67B0D3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门框</w:t>
            </w:r>
          </w:p>
        </w:tc>
        <w:tc>
          <w:tcPr>
            <w:tcW w:w="5756" w:type="dxa"/>
            <w:tcBorders>
              <w:top w:val="nil"/>
              <w:left w:val="nil"/>
              <w:bottom w:val="single" w:color="auto" w:sz="4" w:space="0"/>
              <w:right w:val="single" w:color="auto" w:sz="4" w:space="0"/>
            </w:tcBorders>
            <w:noWrap/>
            <w:vAlign w:val="center"/>
          </w:tcPr>
          <w:p w14:paraId="19B6FA2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所有层标准门框</w:t>
            </w:r>
          </w:p>
        </w:tc>
      </w:tr>
      <w:tr w14:paraId="4A31C3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D0BDF6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B864FA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厅外显示</w:t>
            </w:r>
          </w:p>
        </w:tc>
        <w:tc>
          <w:tcPr>
            <w:tcW w:w="5756" w:type="dxa"/>
            <w:tcBorders>
              <w:top w:val="nil"/>
              <w:left w:val="nil"/>
              <w:bottom w:val="single" w:color="auto" w:sz="4" w:space="0"/>
              <w:right w:val="single" w:color="auto" w:sz="4" w:space="0"/>
            </w:tcBorders>
            <w:noWrap/>
            <w:vAlign w:val="center"/>
          </w:tcPr>
          <w:p w14:paraId="2AA9ABD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一体式层站召唤，段码液晶显示，银色发丝不锈钢抗指纹</w:t>
            </w:r>
          </w:p>
        </w:tc>
      </w:tr>
      <w:tr w14:paraId="72D5E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2306203">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轿厢</w:t>
            </w:r>
          </w:p>
        </w:tc>
        <w:tc>
          <w:tcPr>
            <w:tcW w:w="2400" w:type="dxa"/>
            <w:tcBorders>
              <w:top w:val="nil"/>
              <w:left w:val="nil"/>
              <w:bottom w:val="single" w:color="auto" w:sz="4" w:space="0"/>
              <w:right w:val="single" w:color="auto" w:sz="4" w:space="0"/>
            </w:tcBorders>
            <w:noWrap/>
            <w:vAlign w:val="center"/>
          </w:tcPr>
          <w:p w14:paraId="452CFA2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轿厢尺寸</w:t>
            </w:r>
          </w:p>
        </w:tc>
        <w:tc>
          <w:tcPr>
            <w:tcW w:w="5756" w:type="dxa"/>
            <w:tcBorders>
              <w:top w:val="nil"/>
              <w:left w:val="nil"/>
              <w:bottom w:val="single" w:color="auto" w:sz="4" w:space="0"/>
              <w:right w:val="single" w:color="auto" w:sz="4" w:space="0"/>
            </w:tcBorders>
            <w:noWrap/>
            <w:vAlign w:val="center"/>
          </w:tcPr>
          <w:p w14:paraId="6986C8E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1600毫米(宽) X 1440毫米(深) X 2400毫米(高)</w:t>
            </w:r>
          </w:p>
        </w:tc>
      </w:tr>
      <w:tr w14:paraId="089847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23E325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71ECEE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轿门材质</w:t>
            </w:r>
          </w:p>
        </w:tc>
        <w:tc>
          <w:tcPr>
            <w:tcW w:w="5756" w:type="dxa"/>
            <w:tcBorders>
              <w:top w:val="nil"/>
              <w:left w:val="nil"/>
              <w:bottom w:val="single" w:color="auto" w:sz="4" w:space="0"/>
              <w:right w:val="single" w:color="auto" w:sz="4" w:space="0"/>
            </w:tcBorders>
            <w:noWrap/>
            <w:vAlign w:val="center"/>
          </w:tcPr>
          <w:p w14:paraId="73F4922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银色发纹不锈钢</w:t>
            </w:r>
          </w:p>
        </w:tc>
      </w:tr>
      <w:tr w14:paraId="737F5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4EB7A7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8C5396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轿壁装潢</w:t>
            </w:r>
          </w:p>
        </w:tc>
        <w:tc>
          <w:tcPr>
            <w:tcW w:w="5756" w:type="dxa"/>
            <w:tcBorders>
              <w:top w:val="nil"/>
              <w:left w:val="nil"/>
              <w:bottom w:val="single" w:color="auto" w:sz="4" w:space="0"/>
              <w:right w:val="single" w:color="auto" w:sz="4" w:space="0"/>
            </w:tcBorders>
            <w:noWrap/>
            <w:vAlign w:val="center"/>
          </w:tcPr>
          <w:p w14:paraId="713759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前壁：银色发纹不锈钢，侧壁：银色发纹不锈钢，后壁中板： 银色镜面不锈钢，后壁侧板：银色发纹不锈钢</w:t>
            </w:r>
          </w:p>
        </w:tc>
      </w:tr>
      <w:tr w14:paraId="51A6B1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748649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F47661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轿顶类型</w:t>
            </w:r>
          </w:p>
        </w:tc>
        <w:tc>
          <w:tcPr>
            <w:tcW w:w="5756" w:type="dxa"/>
            <w:tcBorders>
              <w:top w:val="nil"/>
              <w:left w:val="nil"/>
              <w:bottom w:val="single" w:color="auto" w:sz="4" w:space="0"/>
              <w:right w:val="single" w:color="auto" w:sz="4" w:space="0"/>
            </w:tcBorders>
            <w:noWrap/>
            <w:vAlign w:val="center"/>
          </w:tcPr>
          <w:p w14:paraId="612488F3">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银色发纹不锈钢(有空调出风口)型</w:t>
            </w:r>
          </w:p>
        </w:tc>
      </w:tr>
      <w:tr w14:paraId="777F5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2E663E9">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B938D1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轿厢操作面板</w:t>
            </w:r>
          </w:p>
        </w:tc>
        <w:tc>
          <w:tcPr>
            <w:tcW w:w="5756" w:type="dxa"/>
            <w:tcBorders>
              <w:top w:val="nil"/>
              <w:left w:val="nil"/>
              <w:bottom w:val="single" w:color="auto" w:sz="4" w:space="0"/>
              <w:right w:val="single" w:color="auto" w:sz="4" w:space="0"/>
            </w:tcBorders>
            <w:noWrap/>
            <w:vAlign w:val="center"/>
          </w:tcPr>
          <w:p w14:paraId="469905C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标准COP带检修盒，9英寸STN段码液晶显示（黑色背景），银色发丝不锈钢抗指纹</w:t>
            </w:r>
          </w:p>
        </w:tc>
      </w:tr>
      <w:tr w14:paraId="34B99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BA94FC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9677DF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盲文按钮</w:t>
            </w:r>
          </w:p>
        </w:tc>
        <w:tc>
          <w:tcPr>
            <w:tcW w:w="5756" w:type="dxa"/>
            <w:tcBorders>
              <w:top w:val="nil"/>
              <w:left w:val="nil"/>
              <w:bottom w:val="single" w:color="auto" w:sz="4" w:space="0"/>
              <w:right w:val="single" w:color="auto" w:sz="4" w:space="0"/>
            </w:tcBorders>
            <w:noWrap/>
            <w:vAlign w:val="center"/>
          </w:tcPr>
          <w:p w14:paraId="7257FE0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有</w:t>
            </w:r>
          </w:p>
        </w:tc>
      </w:tr>
      <w:tr w14:paraId="5A1025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FEB597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2D527E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地板类型</w:t>
            </w:r>
          </w:p>
        </w:tc>
        <w:tc>
          <w:tcPr>
            <w:tcW w:w="5756" w:type="dxa"/>
            <w:tcBorders>
              <w:top w:val="nil"/>
              <w:left w:val="nil"/>
              <w:bottom w:val="single" w:color="auto" w:sz="4" w:space="0"/>
              <w:right w:val="single" w:color="auto" w:sz="4" w:space="0"/>
            </w:tcBorders>
            <w:noWrap/>
            <w:vAlign w:val="center"/>
          </w:tcPr>
          <w:p w14:paraId="1669207D">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岩石灰单色PVC</w:t>
            </w:r>
          </w:p>
        </w:tc>
      </w:tr>
      <w:tr w14:paraId="63E7A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86DA5BA">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17BADA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装潢重量</w:t>
            </w:r>
          </w:p>
        </w:tc>
        <w:tc>
          <w:tcPr>
            <w:tcW w:w="5756" w:type="dxa"/>
            <w:tcBorders>
              <w:top w:val="nil"/>
              <w:left w:val="nil"/>
              <w:bottom w:val="single" w:color="auto" w:sz="4" w:space="0"/>
              <w:right w:val="single" w:color="auto" w:sz="4" w:space="0"/>
            </w:tcBorders>
            <w:noWrap/>
            <w:vAlign w:val="center"/>
          </w:tcPr>
          <w:p w14:paraId="60C0EA4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0公斤</w:t>
            </w:r>
          </w:p>
        </w:tc>
      </w:tr>
      <w:tr w14:paraId="0C654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vAlign w:val="center"/>
          </w:tcPr>
          <w:p w14:paraId="4916105F">
            <w:pPr>
              <w:pStyle w:val="251"/>
              <w:rPr>
                <w:rFonts w:hint="eastAsia" w:cs="Arial" w:asciiTheme="minorEastAsia" w:hAnsiTheme="minorEastAsia" w:eastAsiaTheme="minorEastAsia"/>
                <w:b/>
                <w:sz w:val="24"/>
                <w:szCs w:val="24"/>
                <w:u w:val="single"/>
                <w:lang w:eastAsia="zh-CN"/>
              </w:rPr>
            </w:pPr>
            <w:r>
              <w:rPr>
                <w:rFonts w:cs="Arial" w:asciiTheme="minorEastAsia" w:hAnsiTheme="minorEastAsia" w:eastAsiaTheme="minorEastAsia"/>
                <w:b/>
                <w:sz w:val="24"/>
                <w:szCs w:val="24"/>
                <w:u w:val="single"/>
                <w:lang w:eastAsia="zh-CN"/>
              </w:rPr>
              <w:t>规范及标准</w:t>
            </w:r>
          </w:p>
        </w:tc>
        <w:tc>
          <w:tcPr>
            <w:tcW w:w="8156" w:type="dxa"/>
            <w:gridSpan w:val="2"/>
            <w:tcBorders>
              <w:top w:val="single" w:color="auto" w:sz="4" w:space="0"/>
              <w:left w:val="nil"/>
              <w:bottom w:val="single" w:color="auto" w:sz="4" w:space="0"/>
              <w:right w:val="single" w:color="auto" w:sz="4" w:space="0"/>
            </w:tcBorders>
            <w:noWrap/>
            <w:vAlign w:val="center"/>
          </w:tcPr>
          <w:p w14:paraId="6E7EDA49">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《电梯制造与安装安全规范》（企业标准Q/KOS 000326-2022）</w:t>
            </w:r>
          </w:p>
          <w:p w14:paraId="13891131">
            <w:pPr>
              <w:pStyle w:val="251"/>
              <w:rPr>
                <w:rFonts w:hint="eastAsia" w:asciiTheme="minorEastAsia" w:hAnsiTheme="minorEastAsia" w:eastAsiaTheme="minorEastAsia"/>
                <w:sz w:val="24"/>
                <w:szCs w:val="24"/>
              </w:rPr>
            </w:pPr>
            <w:r>
              <w:rPr>
                <w:rFonts w:cs="黑体" w:asciiTheme="minorEastAsia" w:hAnsiTheme="minorEastAsia" w:eastAsiaTheme="minorEastAsia"/>
                <w:sz w:val="24"/>
                <w:szCs w:val="24"/>
              </w:rPr>
              <w:t>注：完整内容请登录https://www.qybz.org.cn/进行查询。</w:t>
            </w:r>
          </w:p>
        </w:tc>
      </w:tr>
      <w:tr w14:paraId="40298A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3D07A96">
            <w:pPr>
              <w:pStyle w:val="251"/>
              <w:rPr>
                <w:rFonts w:hint="eastAsia" w:cs="Arial" w:asciiTheme="minorEastAsia" w:hAnsiTheme="minorEastAsia" w:eastAsiaTheme="minorEastAsia"/>
                <w:b/>
                <w:sz w:val="24"/>
                <w:szCs w:val="24"/>
                <w:u w:val="single"/>
                <w:lang w:eastAsia="zh-CN"/>
              </w:rPr>
            </w:pPr>
          </w:p>
        </w:tc>
        <w:tc>
          <w:tcPr>
            <w:tcW w:w="8156" w:type="dxa"/>
            <w:gridSpan w:val="2"/>
            <w:tcBorders>
              <w:top w:val="single" w:color="auto" w:sz="4" w:space="0"/>
              <w:left w:val="nil"/>
              <w:bottom w:val="single" w:color="auto" w:sz="4" w:space="0"/>
              <w:right w:val="single" w:color="auto" w:sz="4" w:space="0"/>
            </w:tcBorders>
            <w:noWrap/>
            <w:vAlign w:val="center"/>
          </w:tcPr>
          <w:p w14:paraId="0FFB8BA9">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《电梯监督检验和定期检验规则》 （TSG_T7001-2023）</w:t>
            </w:r>
          </w:p>
        </w:tc>
      </w:tr>
    </w:tbl>
    <w:p w14:paraId="14B6A58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ab/>
      </w:r>
    </w:p>
    <w:p w14:paraId="3DF95B13">
      <w:pPr>
        <w:pStyle w:val="251"/>
        <w:spacing w:line="252" w:lineRule="auto"/>
        <w:ind w:firstLine="460" w:firstLineChars="20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注：所有尺寸以确认图纸为准，若涉及价格变化由双方协商解决。</w:t>
      </w:r>
    </w:p>
    <w:p w14:paraId="2227CDBB">
      <w:pPr>
        <w:pStyle w:val="251"/>
        <w:spacing w:line="252" w:lineRule="auto"/>
        <w:ind w:firstLine="460" w:firstLineChars="200"/>
        <w:rPr>
          <w:rFonts w:hint="eastAsia" w:cs="Arial" w:asciiTheme="minorEastAsia" w:hAnsiTheme="minorEastAsia" w:eastAsiaTheme="minorEastAsia"/>
          <w:sz w:val="24"/>
          <w:szCs w:val="24"/>
          <w:lang w:eastAsia="zh-CN"/>
        </w:rPr>
      </w:pPr>
    </w:p>
    <w:p w14:paraId="6C0C5300">
      <w:pPr>
        <w:pStyle w:val="251"/>
        <w:pageBreakBefore/>
        <w:widowControl w:val="0"/>
        <w:spacing w:before="120" w:beforeLines="50" w:line="276" w:lineRule="auto"/>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b/>
          <w:bCs/>
          <w:sz w:val="24"/>
          <w:szCs w:val="24"/>
          <w:lang w:eastAsia="zh-CN"/>
        </w:rPr>
        <w:t>2、</w:t>
      </w:r>
      <w:r>
        <w:rPr>
          <w:rFonts w:cs="Arial" w:asciiTheme="minorEastAsia" w:hAnsiTheme="minorEastAsia" w:eastAsiaTheme="minorEastAsia"/>
          <w:b/>
          <w:bCs/>
          <w:sz w:val="24"/>
          <w:szCs w:val="24"/>
          <w:lang w:eastAsia="zh-CN"/>
        </w:rPr>
        <w:t>技术规格（电梯</w:t>
      </w:r>
      <w:r>
        <w:rPr>
          <w:rFonts w:hint="eastAsia" w:cs="Arial" w:asciiTheme="minorEastAsia" w:hAnsiTheme="minorEastAsia" w:eastAsiaTheme="minorEastAsia"/>
          <w:b/>
          <w:bCs/>
          <w:sz w:val="24"/>
          <w:szCs w:val="24"/>
          <w:lang w:eastAsia="zh-CN"/>
        </w:rPr>
        <w:t>2</w:t>
      </w:r>
      <w:r>
        <w:rPr>
          <w:rFonts w:cs="Arial" w:asciiTheme="minorEastAsia" w:hAnsiTheme="minorEastAsia" w:eastAsiaTheme="minorEastAsia"/>
          <w:b/>
          <w:bCs/>
          <w:sz w:val="24"/>
          <w:szCs w:val="24"/>
          <w:lang w:eastAsia="zh-CN"/>
        </w:rPr>
        <w:t>）</w:t>
      </w:r>
    </w:p>
    <w:tbl>
      <w:tblPr>
        <w:tblStyle w:val="44"/>
        <w:tblW w:w="9356"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2400"/>
        <w:gridCol w:w="5756"/>
      </w:tblGrid>
      <w:tr w14:paraId="49C61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FD91F90">
            <w:pPr>
              <w:pStyle w:val="251"/>
              <w:jc w:val="center"/>
              <w:rPr>
                <w:rFonts w:hint="eastAsia" w:cs="Arial" w:asciiTheme="minorEastAsia" w:hAnsiTheme="minorEastAsia" w:eastAsiaTheme="minorEastAsia"/>
                <w:b/>
                <w:bCs/>
                <w:sz w:val="24"/>
                <w:szCs w:val="24"/>
                <w:u w:val="single"/>
                <w:lang w:eastAsia="zh-CN"/>
              </w:rPr>
            </w:pPr>
            <w:r>
              <w:rPr>
                <w:rFonts w:cs="Arial" w:asciiTheme="minorEastAsia" w:hAnsiTheme="minorEastAsia" w:eastAsiaTheme="minorEastAsia"/>
                <w:b/>
                <w:bCs/>
                <w:sz w:val="24"/>
                <w:szCs w:val="24"/>
                <w:u w:val="single"/>
                <w:lang w:eastAsia="zh-CN"/>
              </w:rPr>
              <w:t>一般规格</w:t>
            </w:r>
          </w:p>
        </w:tc>
        <w:tc>
          <w:tcPr>
            <w:tcW w:w="2400" w:type="dxa"/>
            <w:tcBorders>
              <w:top w:val="single" w:color="auto" w:sz="4" w:space="0"/>
              <w:left w:val="nil"/>
              <w:bottom w:val="single" w:color="auto" w:sz="4" w:space="0"/>
              <w:right w:val="single" w:color="auto" w:sz="4" w:space="0"/>
            </w:tcBorders>
            <w:noWrap/>
            <w:vAlign w:val="center"/>
          </w:tcPr>
          <w:p w14:paraId="379C94D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电梯编号</w:t>
            </w:r>
          </w:p>
        </w:tc>
        <w:tc>
          <w:tcPr>
            <w:tcW w:w="5756" w:type="dxa"/>
            <w:tcBorders>
              <w:top w:val="single" w:color="auto" w:sz="4" w:space="0"/>
              <w:left w:val="nil"/>
              <w:bottom w:val="single" w:color="auto" w:sz="4" w:space="0"/>
              <w:right w:val="single" w:color="auto" w:sz="4" w:space="0"/>
            </w:tcBorders>
            <w:noWrap/>
            <w:vAlign w:val="center"/>
          </w:tcPr>
          <w:p w14:paraId="0D0667B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南4#</w:t>
            </w:r>
          </w:p>
        </w:tc>
      </w:tr>
      <w:tr w14:paraId="4AAF4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F19BCB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9699F0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产品名称</w:t>
            </w:r>
          </w:p>
        </w:tc>
        <w:tc>
          <w:tcPr>
            <w:tcW w:w="5756" w:type="dxa"/>
            <w:tcBorders>
              <w:top w:val="nil"/>
              <w:left w:val="nil"/>
              <w:bottom w:val="single" w:color="auto" w:sz="4" w:space="0"/>
              <w:right w:val="single" w:color="auto" w:sz="4" w:space="0"/>
            </w:tcBorders>
            <w:noWrap/>
            <w:vAlign w:val="center"/>
          </w:tcPr>
          <w:p w14:paraId="5407CF7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无机房乘客电梯</w:t>
            </w:r>
          </w:p>
        </w:tc>
      </w:tr>
      <w:tr w14:paraId="16668C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1D069A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372C65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型号/规格/数量</w:t>
            </w:r>
          </w:p>
        </w:tc>
        <w:tc>
          <w:tcPr>
            <w:tcW w:w="5756" w:type="dxa"/>
            <w:tcBorders>
              <w:top w:val="nil"/>
              <w:left w:val="nil"/>
              <w:bottom w:val="single" w:color="auto" w:sz="4" w:space="0"/>
              <w:right w:val="single" w:color="auto" w:sz="4" w:space="0"/>
            </w:tcBorders>
            <w:noWrap/>
            <w:vAlign w:val="center"/>
          </w:tcPr>
          <w:p w14:paraId="1531110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1台</w:t>
            </w:r>
          </w:p>
        </w:tc>
      </w:tr>
      <w:tr w14:paraId="15A01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0"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729510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71793A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额定载重量</w:t>
            </w:r>
          </w:p>
        </w:tc>
        <w:tc>
          <w:tcPr>
            <w:tcW w:w="5756" w:type="dxa"/>
            <w:tcBorders>
              <w:top w:val="nil"/>
              <w:left w:val="nil"/>
              <w:bottom w:val="single" w:color="auto" w:sz="4" w:space="0"/>
              <w:right w:val="single" w:color="auto" w:sz="4" w:space="0"/>
            </w:tcBorders>
            <w:noWrap/>
            <w:vAlign w:val="center"/>
          </w:tcPr>
          <w:p w14:paraId="2E873F9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1050公斤</w:t>
            </w:r>
          </w:p>
        </w:tc>
      </w:tr>
      <w:tr w14:paraId="138123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AE0D90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EF2C6F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额定速度</w:t>
            </w:r>
          </w:p>
        </w:tc>
        <w:tc>
          <w:tcPr>
            <w:tcW w:w="5756" w:type="dxa"/>
            <w:tcBorders>
              <w:top w:val="nil"/>
              <w:left w:val="nil"/>
              <w:bottom w:val="single" w:color="auto" w:sz="4" w:space="0"/>
              <w:right w:val="single" w:color="auto" w:sz="4" w:space="0"/>
            </w:tcBorders>
            <w:noWrap/>
            <w:vAlign w:val="center"/>
          </w:tcPr>
          <w:p w14:paraId="22C8FC3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w:t>
            </w:r>
            <w:r>
              <w:rPr>
                <w:rFonts w:hint="eastAsia" w:cs="Arial" w:asciiTheme="minorEastAsia" w:hAnsiTheme="minorEastAsia" w:eastAsiaTheme="minorEastAsia"/>
                <w:sz w:val="24"/>
                <w:szCs w:val="24"/>
                <w:lang w:eastAsia="zh-CN"/>
              </w:rPr>
              <w:t>6</w:t>
            </w:r>
            <w:r>
              <w:rPr>
                <w:rFonts w:cs="Arial" w:asciiTheme="minorEastAsia" w:hAnsiTheme="minorEastAsia" w:eastAsiaTheme="minorEastAsia"/>
                <w:sz w:val="24"/>
                <w:szCs w:val="24"/>
                <w:lang w:eastAsia="zh-CN"/>
              </w:rPr>
              <w:t>米/秒</w:t>
            </w:r>
          </w:p>
        </w:tc>
      </w:tr>
      <w:tr w14:paraId="21414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C4A03F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E861DE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行程</w:t>
            </w:r>
          </w:p>
        </w:tc>
        <w:tc>
          <w:tcPr>
            <w:tcW w:w="5756" w:type="dxa"/>
            <w:tcBorders>
              <w:top w:val="nil"/>
              <w:left w:val="nil"/>
              <w:bottom w:val="single" w:color="auto" w:sz="4" w:space="0"/>
              <w:right w:val="single" w:color="auto" w:sz="4" w:space="0"/>
            </w:tcBorders>
            <w:noWrap/>
            <w:vAlign w:val="center"/>
          </w:tcPr>
          <w:p w14:paraId="1A35E93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15.37米</w:t>
            </w:r>
          </w:p>
        </w:tc>
      </w:tr>
      <w:tr w14:paraId="42570F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12A7D8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61E6FB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总楼层/服务楼层/门</w:t>
            </w:r>
          </w:p>
        </w:tc>
        <w:tc>
          <w:tcPr>
            <w:tcW w:w="5756" w:type="dxa"/>
            <w:tcBorders>
              <w:top w:val="nil"/>
              <w:left w:val="nil"/>
              <w:bottom w:val="single" w:color="auto" w:sz="4" w:space="0"/>
              <w:right w:val="single" w:color="auto" w:sz="4" w:space="0"/>
            </w:tcBorders>
            <w:noWrap/>
            <w:vAlign w:val="center"/>
          </w:tcPr>
          <w:p w14:paraId="48B0D13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5 / 5 / 5</w:t>
            </w:r>
          </w:p>
        </w:tc>
      </w:tr>
      <w:tr w14:paraId="5B2D1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10D0AB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C60017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轿厢类型    </w:t>
            </w:r>
          </w:p>
        </w:tc>
        <w:tc>
          <w:tcPr>
            <w:tcW w:w="5756" w:type="dxa"/>
            <w:tcBorders>
              <w:top w:val="nil"/>
              <w:left w:val="nil"/>
              <w:bottom w:val="single" w:color="auto" w:sz="4" w:space="0"/>
              <w:right w:val="single" w:color="auto" w:sz="4" w:space="0"/>
            </w:tcBorders>
            <w:noWrap/>
            <w:vAlign w:val="center"/>
          </w:tcPr>
          <w:p w14:paraId="5A2511E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单开门</w:t>
            </w:r>
          </w:p>
        </w:tc>
      </w:tr>
      <w:tr w14:paraId="5BEF7C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6BB6947A">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操作系统</w:t>
            </w:r>
          </w:p>
        </w:tc>
        <w:tc>
          <w:tcPr>
            <w:tcW w:w="2400" w:type="dxa"/>
            <w:tcBorders>
              <w:top w:val="nil"/>
              <w:left w:val="nil"/>
              <w:bottom w:val="single" w:color="auto" w:sz="4" w:space="0"/>
              <w:right w:val="single" w:color="auto" w:sz="4" w:space="0"/>
            </w:tcBorders>
            <w:noWrap/>
            <w:vAlign w:val="center"/>
          </w:tcPr>
          <w:p w14:paraId="566AF7C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控制系统</w:t>
            </w:r>
          </w:p>
        </w:tc>
        <w:tc>
          <w:tcPr>
            <w:tcW w:w="5756" w:type="dxa"/>
            <w:tcBorders>
              <w:top w:val="nil"/>
              <w:left w:val="nil"/>
              <w:bottom w:val="single" w:color="auto" w:sz="4" w:space="0"/>
              <w:right w:val="single" w:color="auto" w:sz="4" w:space="0"/>
            </w:tcBorders>
            <w:noWrap/>
            <w:vAlign w:val="center"/>
          </w:tcPr>
          <w:p w14:paraId="60B0065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电脑智能控制，串行传输系统</w:t>
            </w:r>
          </w:p>
        </w:tc>
      </w:tr>
      <w:tr w14:paraId="436AB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D7935D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E13094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控制方式</w:t>
            </w:r>
          </w:p>
        </w:tc>
        <w:tc>
          <w:tcPr>
            <w:tcW w:w="5756" w:type="dxa"/>
            <w:tcBorders>
              <w:top w:val="nil"/>
              <w:left w:val="nil"/>
              <w:bottom w:val="single" w:color="auto" w:sz="4" w:space="0"/>
              <w:right w:val="single" w:color="auto" w:sz="4" w:space="0"/>
            </w:tcBorders>
            <w:noWrap/>
            <w:vAlign w:val="center"/>
          </w:tcPr>
          <w:p w14:paraId="3B583EB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集选</w:t>
            </w:r>
          </w:p>
        </w:tc>
      </w:tr>
      <w:tr w14:paraId="08CAA1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0CBD2E0">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机械规格</w:t>
            </w:r>
          </w:p>
        </w:tc>
        <w:tc>
          <w:tcPr>
            <w:tcW w:w="2400" w:type="dxa"/>
            <w:tcBorders>
              <w:top w:val="nil"/>
              <w:left w:val="nil"/>
              <w:bottom w:val="single" w:color="auto" w:sz="4" w:space="0"/>
              <w:right w:val="single" w:color="auto" w:sz="4" w:space="0"/>
            </w:tcBorders>
            <w:noWrap/>
            <w:vAlign w:val="center"/>
          </w:tcPr>
          <w:p w14:paraId="5665D26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驱动系统</w:t>
            </w:r>
          </w:p>
        </w:tc>
        <w:tc>
          <w:tcPr>
            <w:tcW w:w="5756" w:type="dxa"/>
            <w:tcBorders>
              <w:top w:val="nil"/>
              <w:left w:val="nil"/>
              <w:bottom w:val="single" w:color="auto" w:sz="4" w:space="0"/>
              <w:right w:val="single" w:color="auto" w:sz="4" w:space="0"/>
            </w:tcBorders>
            <w:noWrap/>
            <w:vAlign w:val="center"/>
          </w:tcPr>
          <w:p w14:paraId="1B46DE4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交流调频调压驱动</w:t>
            </w:r>
          </w:p>
        </w:tc>
      </w:tr>
      <w:tr w14:paraId="02946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09A56A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BFACBB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曳引系统</w:t>
            </w:r>
          </w:p>
        </w:tc>
        <w:tc>
          <w:tcPr>
            <w:tcW w:w="5756" w:type="dxa"/>
            <w:tcBorders>
              <w:top w:val="nil"/>
              <w:left w:val="nil"/>
              <w:bottom w:val="single" w:color="auto" w:sz="4" w:space="0"/>
              <w:right w:val="single" w:color="auto" w:sz="4" w:space="0"/>
            </w:tcBorders>
            <w:noWrap/>
            <w:vAlign w:val="center"/>
          </w:tcPr>
          <w:p w14:paraId="7F65E1CD">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无齿曳引机</w:t>
            </w:r>
          </w:p>
        </w:tc>
      </w:tr>
      <w:tr w14:paraId="208DB0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2AA341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69CE61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机械位置</w:t>
            </w:r>
          </w:p>
        </w:tc>
        <w:tc>
          <w:tcPr>
            <w:tcW w:w="5756" w:type="dxa"/>
            <w:tcBorders>
              <w:top w:val="nil"/>
              <w:left w:val="nil"/>
              <w:bottom w:val="single" w:color="auto" w:sz="4" w:space="0"/>
              <w:right w:val="single" w:color="auto" w:sz="4" w:space="0"/>
            </w:tcBorders>
            <w:noWrap/>
            <w:vAlign w:val="center"/>
          </w:tcPr>
          <w:p w14:paraId="6C33F6B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井道顶部</w:t>
            </w:r>
          </w:p>
        </w:tc>
      </w:tr>
      <w:tr w14:paraId="61195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6BB608C">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建筑尺寸</w:t>
            </w:r>
          </w:p>
        </w:tc>
        <w:tc>
          <w:tcPr>
            <w:tcW w:w="2400" w:type="dxa"/>
            <w:tcBorders>
              <w:top w:val="nil"/>
              <w:left w:val="nil"/>
              <w:bottom w:val="single" w:color="auto" w:sz="4" w:space="0"/>
              <w:right w:val="single" w:color="auto" w:sz="4" w:space="0"/>
            </w:tcBorders>
            <w:noWrap/>
            <w:vAlign w:val="center"/>
          </w:tcPr>
          <w:p w14:paraId="0D73CBB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井道尺寸</w:t>
            </w:r>
          </w:p>
        </w:tc>
        <w:tc>
          <w:tcPr>
            <w:tcW w:w="5756" w:type="dxa"/>
            <w:tcBorders>
              <w:top w:val="nil"/>
              <w:left w:val="nil"/>
              <w:bottom w:val="single" w:color="auto" w:sz="4" w:space="0"/>
              <w:right w:val="single" w:color="auto" w:sz="4" w:space="0"/>
            </w:tcBorders>
            <w:noWrap/>
            <w:vAlign w:val="center"/>
          </w:tcPr>
          <w:p w14:paraId="2E5A812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2350毫米(宽) X 1780毫米(深)</w:t>
            </w:r>
          </w:p>
        </w:tc>
      </w:tr>
      <w:tr w14:paraId="2E9F12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3359D2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AD9C08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顶层高度</w:t>
            </w:r>
          </w:p>
        </w:tc>
        <w:tc>
          <w:tcPr>
            <w:tcW w:w="5756" w:type="dxa"/>
            <w:tcBorders>
              <w:top w:val="nil"/>
              <w:left w:val="nil"/>
              <w:bottom w:val="single" w:color="auto" w:sz="4" w:space="0"/>
              <w:right w:val="single" w:color="auto" w:sz="4" w:space="0"/>
            </w:tcBorders>
            <w:noWrap/>
            <w:vAlign w:val="center"/>
          </w:tcPr>
          <w:p w14:paraId="6EBB9DB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3780毫米</w:t>
            </w:r>
          </w:p>
        </w:tc>
      </w:tr>
      <w:tr w14:paraId="45CA4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7A71CF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10E1E8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地坑深度</w:t>
            </w:r>
          </w:p>
        </w:tc>
        <w:tc>
          <w:tcPr>
            <w:tcW w:w="5756" w:type="dxa"/>
            <w:tcBorders>
              <w:top w:val="nil"/>
              <w:left w:val="nil"/>
              <w:bottom w:val="single" w:color="auto" w:sz="4" w:space="0"/>
              <w:right w:val="single" w:color="auto" w:sz="4" w:space="0"/>
            </w:tcBorders>
            <w:noWrap/>
            <w:vAlign w:val="center"/>
          </w:tcPr>
          <w:p w14:paraId="25B5AD6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1400毫米</w:t>
            </w:r>
          </w:p>
        </w:tc>
      </w:tr>
      <w:tr w14:paraId="65AAB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C25AF5F">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入口尺寸</w:t>
            </w:r>
          </w:p>
        </w:tc>
        <w:tc>
          <w:tcPr>
            <w:tcW w:w="2400" w:type="dxa"/>
            <w:tcBorders>
              <w:top w:val="nil"/>
              <w:left w:val="nil"/>
              <w:bottom w:val="single" w:color="auto" w:sz="4" w:space="0"/>
              <w:right w:val="single" w:color="auto" w:sz="4" w:space="0"/>
            </w:tcBorders>
            <w:noWrap/>
            <w:vAlign w:val="center"/>
          </w:tcPr>
          <w:p w14:paraId="4CC5C05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类型</w:t>
            </w:r>
          </w:p>
        </w:tc>
        <w:tc>
          <w:tcPr>
            <w:tcW w:w="5756" w:type="dxa"/>
            <w:tcBorders>
              <w:top w:val="nil"/>
              <w:left w:val="nil"/>
              <w:bottom w:val="single" w:color="auto" w:sz="4" w:space="0"/>
              <w:right w:val="single" w:color="auto" w:sz="4" w:space="0"/>
            </w:tcBorders>
            <w:noWrap/>
            <w:vAlign w:val="center"/>
          </w:tcPr>
          <w:p w14:paraId="59712BD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2扇中分自动门</w:t>
            </w:r>
          </w:p>
        </w:tc>
      </w:tr>
      <w:tr w14:paraId="232AA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096DC6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691AD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尺寸</w:t>
            </w:r>
          </w:p>
        </w:tc>
        <w:tc>
          <w:tcPr>
            <w:tcW w:w="5756" w:type="dxa"/>
            <w:tcBorders>
              <w:top w:val="nil"/>
              <w:left w:val="nil"/>
              <w:bottom w:val="single" w:color="auto" w:sz="4" w:space="0"/>
              <w:right w:val="single" w:color="auto" w:sz="4" w:space="0"/>
            </w:tcBorders>
            <w:noWrap/>
            <w:vAlign w:val="center"/>
          </w:tcPr>
          <w:p w14:paraId="6DC7C05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900毫米(宽) X 2100毫米(高)</w:t>
            </w:r>
          </w:p>
        </w:tc>
      </w:tr>
      <w:tr w14:paraId="2DCA24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365FB7A4">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候梯厅门</w:t>
            </w:r>
          </w:p>
        </w:tc>
        <w:tc>
          <w:tcPr>
            <w:tcW w:w="2400" w:type="dxa"/>
            <w:tcBorders>
              <w:top w:val="nil"/>
              <w:left w:val="nil"/>
              <w:bottom w:val="single" w:color="auto" w:sz="4" w:space="0"/>
              <w:right w:val="single" w:color="auto" w:sz="4" w:space="0"/>
            </w:tcBorders>
            <w:noWrap/>
            <w:vAlign w:val="center"/>
          </w:tcPr>
          <w:p w14:paraId="1114E38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厅门、门框装修</w:t>
            </w:r>
          </w:p>
        </w:tc>
        <w:tc>
          <w:tcPr>
            <w:tcW w:w="5756" w:type="dxa"/>
            <w:tcBorders>
              <w:top w:val="nil"/>
              <w:left w:val="nil"/>
              <w:bottom w:val="single" w:color="auto" w:sz="4" w:space="0"/>
              <w:right w:val="single" w:color="auto" w:sz="4" w:space="0"/>
            </w:tcBorders>
            <w:noWrap/>
            <w:vAlign w:val="center"/>
          </w:tcPr>
          <w:p w14:paraId="696A4AF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银色发纹不锈钢材质厅门5个</w:t>
            </w:r>
          </w:p>
        </w:tc>
      </w:tr>
      <w:tr w14:paraId="1706E0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EFA008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7F26C1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门框</w:t>
            </w:r>
          </w:p>
        </w:tc>
        <w:tc>
          <w:tcPr>
            <w:tcW w:w="5756" w:type="dxa"/>
            <w:tcBorders>
              <w:top w:val="nil"/>
              <w:left w:val="nil"/>
              <w:bottom w:val="single" w:color="auto" w:sz="4" w:space="0"/>
              <w:right w:val="single" w:color="auto" w:sz="4" w:space="0"/>
            </w:tcBorders>
            <w:noWrap/>
            <w:vAlign w:val="center"/>
          </w:tcPr>
          <w:p w14:paraId="4A28B72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所有层标准门框</w:t>
            </w:r>
          </w:p>
        </w:tc>
      </w:tr>
      <w:tr w14:paraId="3F585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DE55B2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2E7DED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厅外显示</w:t>
            </w:r>
          </w:p>
        </w:tc>
        <w:tc>
          <w:tcPr>
            <w:tcW w:w="5756" w:type="dxa"/>
            <w:tcBorders>
              <w:top w:val="nil"/>
              <w:left w:val="nil"/>
              <w:bottom w:val="single" w:color="auto" w:sz="4" w:space="0"/>
              <w:right w:val="single" w:color="auto" w:sz="4" w:space="0"/>
            </w:tcBorders>
            <w:noWrap/>
            <w:vAlign w:val="center"/>
          </w:tcPr>
          <w:p w14:paraId="745D6E2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一体式层站召唤，段码液晶显示，银色发丝不锈钢抗指纹</w:t>
            </w:r>
          </w:p>
        </w:tc>
      </w:tr>
      <w:tr w14:paraId="78D834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3AEA9A20">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轿厢</w:t>
            </w:r>
          </w:p>
        </w:tc>
        <w:tc>
          <w:tcPr>
            <w:tcW w:w="2400" w:type="dxa"/>
            <w:tcBorders>
              <w:top w:val="nil"/>
              <w:left w:val="nil"/>
              <w:bottom w:val="single" w:color="auto" w:sz="4" w:space="0"/>
              <w:right w:val="single" w:color="auto" w:sz="4" w:space="0"/>
            </w:tcBorders>
            <w:noWrap/>
            <w:vAlign w:val="center"/>
          </w:tcPr>
          <w:p w14:paraId="5527903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轿厢尺寸</w:t>
            </w:r>
          </w:p>
        </w:tc>
        <w:tc>
          <w:tcPr>
            <w:tcW w:w="5756" w:type="dxa"/>
            <w:tcBorders>
              <w:top w:val="nil"/>
              <w:left w:val="nil"/>
              <w:bottom w:val="single" w:color="auto" w:sz="4" w:space="0"/>
              <w:right w:val="single" w:color="auto" w:sz="4" w:space="0"/>
            </w:tcBorders>
            <w:noWrap/>
            <w:vAlign w:val="center"/>
          </w:tcPr>
          <w:p w14:paraId="69D3AE7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1600毫米(宽) X 1440毫米(深) X 2400毫米(高)</w:t>
            </w:r>
          </w:p>
        </w:tc>
      </w:tr>
      <w:tr w14:paraId="77FE1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972C54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3063D2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轿门材质</w:t>
            </w:r>
          </w:p>
        </w:tc>
        <w:tc>
          <w:tcPr>
            <w:tcW w:w="5756" w:type="dxa"/>
            <w:tcBorders>
              <w:top w:val="nil"/>
              <w:left w:val="nil"/>
              <w:bottom w:val="single" w:color="auto" w:sz="4" w:space="0"/>
              <w:right w:val="single" w:color="auto" w:sz="4" w:space="0"/>
            </w:tcBorders>
            <w:noWrap/>
            <w:vAlign w:val="center"/>
          </w:tcPr>
          <w:p w14:paraId="0164181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银色发纹不锈钢</w:t>
            </w:r>
          </w:p>
        </w:tc>
      </w:tr>
      <w:tr w14:paraId="554CF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AC91DD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08A3EC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轿壁装潢</w:t>
            </w:r>
          </w:p>
        </w:tc>
        <w:tc>
          <w:tcPr>
            <w:tcW w:w="5756" w:type="dxa"/>
            <w:tcBorders>
              <w:top w:val="nil"/>
              <w:left w:val="nil"/>
              <w:bottom w:val="single" w:color="auto" w:sz="4" w:space="0"/>
              <w:right w:val="single" w:color="auto" w:sz="4" w:space="0"/>
            </w:tcBorders>
            <w:noWrap/>
            <w:vAlign w:val="center"/>
          </w:tcPr>
          <w:p w14:paraId="129766B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前壁：银色发纹不锈钢，侧壁：银色发纹不锈钢，后壁中板：银色镜面不锈钢，后壁侧板：银色发纹不锈钢</w:t>
            </w:r>
          </w:p>
        </w:tc>
      </w:tr>
      <w:tr w14:paraId="59ADC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50262D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795B49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轿顶类型</w:t>
            </w:r>
          </w:p>
        </w:tc>
        <w:tc>
          <w:tcPr>
            <w:tcW w:w="5756" w:type="dxa"/>
            <w:tcBorders>
              <w:top w:val="nil"/>
              <w:left w:val="nil"/>
              <w:bottom w:val="single" w:color="auto" w:sz="4" w:space="0"/>
              <w:right w:val="single" w:color="auto" w:sz="4" w:space="0"/>
            </w:tcBorders>
            <w:noWrap/>
            <w:vAlign w:val="center"/>
          </w:tcPr>
          <w:p w14:paraId="553E7F7D">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银色发纹不锈钢(有空调出风口)型</w:t>
            </w:r>
          </w:p>
        </w:tc>
      </w:tr>
      <w:tr w14:paraId="2F6C7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BE379F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0CBF83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轿厢操作面板</w:t>
            </w:r>
          </w:p>
        </w:tc>
        <w:tc>
          <w:tcPr>
            <w:tcW w:w="5756" w:type="dxa"/>
            <w:tcBorders>
              <w:top w:val="nil"/>
              <w:left w:val="nil"/>
              <w:bottom w:val="single" w:color="auto" w:sz="4" w:space="0"/>
              <w:right w:val="single" w:color="auto" w:sz="4" w:space="0"/>
            </w:tcBorders>
            <w:noWrap/>
            <w:vAlign w:val="center"/>
          </w:tcPr>
          <w:p w14:paraId="0BFE220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标准COP带检修盒，9英寸STN段码液晶显示（黑色背景），银色发丝不锈钢抗指纹</w:t>
            </w:r>
          </w:p>
        </w:tc>
      </w:tr>
      <w:tr w14:paraId="6C085B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EC806D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ABC956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盲文按钮</w:t>
            </w:r>
          </w:p>
        </w:tc>
        <w:tc>
          <w:tcPr>
            <w:tcW w:w="5756" w:type="dxa"/>
            <w:tcBorders>
              <w:top w:val="nil"/>
              <w:left w:val="nil"/>
              <w:bottom w:val="single" w:color="auto" w:sz="4" w:space="0"/>
              <w:right w:val="single" w:color="auto" w:sz="4" w:space="0"/>
            </w:tcBorders>
            <w:noWrap/>
            <w:vAlign w:val="center"/>
          </w:tcPr>
          <w:p w14:paraId="7FBC0B3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有</w:t>
            </w:r>
          </w:p>
        </w:tc>
      </w:tr>
      <w:tr w14:paraId="520A7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7B0377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E4D5D9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地板类型</w:t>
            </w:r>
          </w:p>
        </w:tc>
        <w:tc>
          <w:tcPr>
            <w:tcW w:w="5756" w:type="dxa"/>
            <w:tcBorders>
              <w:top w:val="nil"/>
              <w:left w:val="nil"/>
              <w:bottom w:val="single" w:color="auto" w:sz="4" w:space="0"/>
              <w:right w:val="single" w:color="auto" w:sz="4" w:space="0"/>
            </w:tcBorders>
            <w:noWrap/>
            <w:vAlign w:val="center"/>
          </w:tcPr>
          <w:p w14:paraId="590C9058">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岩石灰单色PVC</w:t>
            </w:r>
          </w:p>
        </w:tc>
      </w:tr>
      <w:tr w14:paraId="551196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59F43C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9F81D8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装潢重量</w:t>
            </w:r>
          </w:p>
        </w:tc>
        <w:tc>
          <w:tcPr>
            <w:tcW w:w="5756" w:type="dxa"/>
            <w:tcBorders>
              <w:top w:val="nil"/>
              <w:left w:val="nil"/>
              <w:bottom w:val="single" w:color="auto" w:sz="4" w:space="0"/>
              <w:right w:val="single" w:color="auto" w:sz="4" w:space="0"/>
            </w:tcBorders>
            <w:noWrap/>
            <w:vAlign w:val="center"/>
          </w:tcPr>
          <w:p w14:paraId="3E90D39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0公斤</w:t>
            </w:r>
          </w:p>
        </w:tc>
      </w:tr>
      <w:tr w14:paraId="5BD04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vAlign w:val="center"/>
          </w:tcPr>
          <w:p w14:paraId="1EB56C67">
            <w:pPr>
              <w:pStyle w:val="251"/>
              <w:rPr>
                <w:rFonts w:hint="eastAsia" w:cs="Arial" w:asciiTheme="minorEastAsia" w:hAnsiTheme="minorEastAsia" w:eastAsiaTheme="minorEastAsia"/>
                <w:b/>
                <w:sz w:val="24"/>
                <w:szCs w:val="24"/>
                <w:u w:val="single"/>
                <w:lang w:eastAsia="zh-CN"/>
              </w:rPr>
            </w:pPr>
            <w:r>
              <w:rPr>
                <w:rFonts w:cs="Arial" w:asciiTheme="minorEastAsia" w:hAnsiTheme="minorEastAsia" w:eastAsiaTheme="minorEastAsia"/>
                <w:b/>
                <w:sz w:val="24"/>
                <w:szCs w:val="24"/>
                <w:u w:val="single"/>
                <w:lang w:eastAsia="zh-CN"/>
              </w:rPr>
              <w:t>规范及标准</w:t>
            </w:r>
          </w:p>
        </w:tc>
        <w:tc>
          <w:tcPr>
            <w:tcW w:w="8156" w:type="dxa"/>
            <w:gridSpan w:val="2"/>
            <w:tcBorders>
              <w:top w:val="single" w:color="auto" w:sz="4" w:space="0"/>
              <w:left w:val="nil"/>
              <w:bottom w:val="single" w:color="auto" w:sz="4" w:space="0"/>
              <w:right w:val="single" w:color="auto" w:sz="4" w:space="0"/>
            </w:tcBorders>
            <w:noWrap/>
            <w:vAlign w:val="center"/>
          </w:tcPr>
          <w:p w14:paraId="310C6770">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《电梯制造与安装安全规范》（企业标准Q/KOS 000326-2022）</w:t>
            </w:r>
          </w:p>
          <w:p w14:paraId="43E8FA1F">
            <w:pPr>
              <w:pStyle w:val="251"/>
              <w:rPr>
                <w:rFonts w:hint="eastAsia" w:asciiTheme="minorEastAsia" w:hAnsiTheme="minorEastAsia" w:eastAsiaTheme="minorEastAsia"/>
                <w:sz w:val="24"/>
                <w:szCs w:val="24"/>
              </w:rPr>
            </w:pPr>
            <w:r>
              <w:rPr>
                <w:rFonts w:cs="黑体" w:asciiTheme="minorEastAsia" w:hAnsiTheme="minorEastAsia" w:eastAsiaTheme="minorEastAsia"/>
                <w:sz w:val="24"/>
                <w:szCs w:val="24"/>
              </w:rPr>
              <w:t>注：完整内容请登录https://www.qybz.org.cn/进行查询。</w:t>
            </w:r>
          </w:p>
        </w:tc>
      </w:tr>
      <w:tr w14:paraId="3DAFC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048B530">
            <w:pPr>
              <w:pStyle w:val="251"/>
              <w:rPr>
                <w:rFonts w:hint="eastAsia" w:cs="Arial" w:asciiTheme="minorEastAsia" w:hAnsiTheme="minorEastAsia" w:eastAsiaTheme="minorEastAsia"/>
                <w:b/>
                <w:sz w:val="24"/>
                <w:szCs w:val="24"/>
                <w:u w:val="single"/>
                <w:lang w:eastAsia="zh-CN"/>
              </w:rPr>
            </w:pPr>
          </w:p>
        </w:tc>
        <w:tc>
          <w:tcPr>
            <w:tcW w:w="8156" w:type="dxa"/>
            <w:gridSpan w:val="2"/>
            <w:tcBorders>
              <w:top w:val="single" w:color="auto" w:sz="4" w:space="0"/>
              <w:left w:val="nil"/>
              <w:bottom w:val="single" w:color="auto" w:sz="4" w:space="0"/>
              <w:right w:val="single" w:color="auto" w:sz="4" w:space="0"/>
            </w:tcBorders>
            <w:noWrap/>
            <w:vAlign w:val="center"/>
          </w:tcPr>
          <w:p w14:paraId="605BD2B8">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《电梯监督检验和定期检验规则》 （TSG_T7001-2023）</w:t>
            </w:r>
          </w:p>
        </w:tc>
      </w:tr>
    </w:tbl>
    <w:p w14:paraId="1B58EE3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ab/>
      </w:r>
    </w:p>
    <w:p w14:paraId="3DB7A26D">
      <w:pPr>
        <w:pStyle w:val="251"/>
        <w:spacing w:line="252" w:lineRule="auto"/>
        <w:ind w:firstLine="460" w:firstLineChars="20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注：所有尺寸以确认图纸为准，若涉及价格变化由双方协商解决。</w:t>
      </w:r>
    </w:p>
    <w:p w14:paraId="48DEFF65">
      <w:pPr>
        <w:pStyle w:val="251"/>
        <w:pageBreakBefore/>
        <w:widowControl w:val="0"/>
        <w:spacing w:before="120" w:beforeLines="50" w:line="276" w:lineRule="auto"/>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b/>
          <w:bCs/>
          <w:sz w:val="24"/>
          <w:szCs w:val="24"/>
          <w:lang w:eastAsia="zh-CN"/>
        </w:rPr>
        <w:t>3、</w:t>
      </w:r>
      <w:r>
        <w:rPr>
          <w:rFonts w:cs="Arial" w:asciiTheme="minorEastAsia" w:hAnsiTheme="minorEastAsia" w:eastAsiaTheme="minorEastAsia"/>
          <w:b/>
          <w:bCs/>
          <w:sz w:val="24"/>
          <w:szCs w:val="24"/>
          <w:lang w:eastAsia="zh-CN"/>
        </w:rPr>
        <w:t>技术规格（电梯</w:t>
      </w:r>
      <w:r>
        <w:rPr>
          <w:rFonts w:hint="eastAsia" w:cs="Arial" w:asciiTheme="minorEastAsia" w:hAnsiTheme="minorEastAsia" w:eastAsiaTheme="minorEastAsia"/>
          <w:b/>
          <w:bCs/>
          <w:sz w:val="24"/>
          <w:szCs w:val="24"/>
          <w:lang w:eastAsia="zh-CN"/>
        </w:rPr>
        <w:t>3</w:t>
      </w:r>
      <w:r>
        <w:rPr>
          <w:rFonts w:cs="Arial" w:asciiTheme="minorEastAsia" w:hAnsiTheme="minorEastAsia" w:eastAsiaTheme="minorEastAsia"/>
          <w:b/>
          <w:bCs/>
          <w:sz w:val="24"/>
          <w:szCs w:val="24"/>
          <w:lang w:eastAsia="zh-CN"/>
        </w:rPr>
        <w:t>）</w:t>
      </w:r>
    </w:p>
    <w:tbl>
      <w:tblPr>
        <w:tblStyle w:val="44"/>
        <w:tblW w:w="9356"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2400"/>
        <w:gridCol w:w="5756"/>
      </w:tblGrid>
      <w:tr w14:paraId="49065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DF8B0B1">
            <w:pPr>
              <w:pStyle w:val="251"/>
              <w:jc w:val="center"/>
              <w:rPr>
                <w:rFonts w:hint="eastAsia" w:cs="Arial" w:asciiTheme="minorEastAsia" w:hAnsiTheme="minorEastAsia" w:eastAsiaTheme="minorEastAsia"/>
                <w:b/>
                <w:bCs/>
                <w:sz w:val="24"/>
                <w:szCs w:val="24"/>
                <w:u w:val="single"/>
                <w:lang w:eastAsia="zh-CN"/>
              </w:rPr>
            </w:pPr>
            <w:r>
              <w:rPr>
                <w:rFonts w:cs="Arial" w:asciiTheme="minorEastAsia" w:hAnsiTheme="minorEastAsia" w:eastAsiaTheme="minorEastAsia"/>
                <w:b/>
                <w:bCs/>
                <w:sz w:val="24"/>
                <w:szCs w:val="24"/>
                <w:u w:val="single"/>
                <w:lang w:eastAsia="zh-CN"/>
              </w:rPr>
              <w:t>一般规格</w:t>
            </w:r>
          </w:p>
        </w:tc>
        <w:tc>
          <w:tcPr>
            <w:tcW w:w="2400" w:type="dxa"/>
            <w:tcBorders>
              <w:top w:val="single" w:color="auto" w:sz="4" w:space="0"/>
              <w:left w:val="nil"/>
              <w:bottom w:val="single" w:color="auto" w:sz="4" w:space="0"/>
              <w:right w:val="single" w:color="auto" w:sz="4" w:space="0"/>
            </w:tcBorders>
            <w:noWrap/>
            <w:vAlign w:val="center"/>
          </w:tcPr>
          <w:p w14:paraId="389F387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电梯编号</w:t>
            </w:r>
          </w:p>
        </w:tc>
        <w:tc>
          <w:tcPr>
            <w:tcW w:w="5756" w:type="dxa"/>
            <w:tcBorders>
              <w:top w:val="single" w:color="auto" w:sz="4" w:space="0"/>
              <w:left w:val="nil"/>
              <w:bottom w:val="single" w:color="auto" w:sz="4" w:space="0"/>
              <w:right w:val="single" w:color="auto" w:sz="4" w:space="0"/>
            </w:tcBorders>
            <w:noWrap/>
            <w:vAlign w:val="center"/>
          </w:tcPr>
          <w:p w14:paraId="4F45EF9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南5#</w:t>
            </w:r>
          </w:p>
        </w:tc>
      </w:tr>
      <w:tr w14:paraId="0995E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35EEC3B">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B995F7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产品名称</w:t>
            </w:r>
          </w:p>
        </w:tc>
        <w:tc>
          <w:tcPr>
            <w:tcW w:w="5756" w:type="dxa"/>
            <w:tcBorders>
              <w:top w:val="nil"/>
              <w:left w:val="nil"/>
              <w:bottom w:val="single" w:color="auto" w:sz="4" w:space="0"/>
              <w:right w:val="single" w:color="auto" w:sz="4" w:space="0"/>
            </w:tcBorders>
            <w:noWrap/>
            <w:vAlign w:val="center"/>
          </w:tcPr>
          <w:p w14:paraId="05F0FFE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无机房乘客电梯</w:t>
            </w:r>
          </w:p>
        </w:tc>
      </w:tr>
      <w:tr w14:paraId="3D0B7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76368A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BB2E2F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型号/规格/数量</w:t>
            </w:r>
          </w:p>
        </w:tc>
        <w:tc>
          <w:tcPr>
            <w:tcW w:w="5756" w:type="dxa"/>
            <w:tcBorders>
              <w:top w:val="nil"/>
              <w:left w:val="nil"/>
              <w:bottom w:val="single" w:color="auto" w:sz="4" w:space="0"/>
              <w:right w:val="single" w:color="auto" w:sz="4" w:space="0"/>
            </w:tcBorders>
            <w:noWrap/>
            <w:vAlign w:val="center"/>
          </w:tcPr>
          <w:p w14:paraId="38B9700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1台</w:t>
            </w:r>
          </w:p>
        </w:tc>
      </w:tr>
      <w:tr w14:paraId="2FF575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0"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BFA744B">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24C62A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额定载重量</w:t>
            </w:r>
          </w:p>
        </w:tc>
        <w:tc>
          <w:tcPr>
            <w:tcW w:w="5756" w:type="dxa"/>
            <w:tcBorders>
              <w:top w:val="nil"/>
              <w:left w:val="nil"/>
              <w:bottom w:val="single" w:color="auto" w:sz="4" w:space="0"/>
              <w:right w:val="single" w:color="auto" w:sz="4" w:space="0"/>
            </w:tcBorders>
            <w:noWrap/>
            <w:vAlign w:val="center"/>
          </w:tcPr>
          <w:p w14:paraId="5771487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1050公斤</w:t>
            </w:r>
          </w:p>
        </w:tc>
      </w:tr>
      <w:tr w14:paraId="02E74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6A167FA">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91EE8B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额定速度</w:t>
            </w:r>
          </w:p>
        </w:tc>
        <w:tc>
          <w:tcPr>
            <w:tcW w:w="5756" w:type="dxa"/>
            <w:tcBorders>
              <w:top w:val="nil"/>
              <w:left w:val="nil"/>
              <w:bottom w:val="single" w:color="auto" w:sz="4" w:space="0"/>
              <w:right w:val="single" w:color="auto" w:sz="4" w:space="0"/>
            </w:tcBorders>
            <w:noWrap/>
            <w:vAlign w:val="center"/>
          </w:tcPr>
          <w:p w14:paraId="21D1A65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w:t>
            </w:r>
            <w:r>
              <w:rPr>
                <w:rFonts w:hint="eastAsia" w:cs="Arial" w:asciiTheme="minorEastAsia" w:hAnsiTheme="minorEastAsia" w:eastAsiaTheme="minorEastAsia"/>
                <w:sz w:val="24"/>
                <w:szCs w:val="24"/>
                <w:lang w:eastAsia="zh-CN"/>
              </w:rPr>
              <w:t>6</w:t>
            </w:r>
            <w:r>
              <w:rPr>
                <w:rFonts w:cs="Arial" w:asciiTheme="minorEastAsia" w:hAnsiTheme="minorEastAsia" w:eastAsiaTheme="minorEastAsia"/>
                <w:sz w:val="24"/>
                <w:szCs w:val="24"/>
                <w:lang w:eastAsia="zh-CN"/>
              </w:rPr>
              <w:t>米/秒</w:t>
            </w:r>
          </w:p>
        </w:tc>
      </w:tr>
      <w:tr w14:paraId="4A4620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CD637C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1261F7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行程</w:t>
            </w:r>
          </w:p>
        </w:tc>
        <w:tc>
          <w:tcPr>
            <w:tcW w:w="5756" w:type="dxa"/>
            <w:tcBorders>
              <w:top w:val="nil"/>
              <w:left w:val="nil"/>
              <w:bottom w:val="single" w:color="auto" w:sz="4" w:space="0"/>
              <w:right w:val="single" w:color="auto" w:sz="4" w:space="0"/>
            </w:tcBorders>
            <w:noWrap/>
            <w:vAlign w:val="center"/>
          </w:tcPr>
          <w:p w14:paraId="6E90F64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16米</w:t>
            </w:r>
          </w:p>
        </w:tc>
      </w:tr>
      <w:tr w14:paraId="4AEA82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F63168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7641C6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总楼层/服务楼层/门</w:t>
            </w:r>
          </w:p>
        </w:tc>
        <w:tc>
          <w:tcPr>
            <w:tcW w:w="5756" w:type="dxa"/>
            <w:tcBorders>
              <w:top w:val="nil"/>
              <w:left w:val="nil"/>
              <w:bottom w:val="single" w:color="auto" w:sz="4" w:space="0"/>
              <w:right w:val="single" w:color="auto" w:sz="4" w:space="0"/>
            </w:tcBorders>
            <w:noWrap/>
            <w:vAlign w:val="center"/>
          </w:tcPr>
          <w:p w14:paraId="76A2497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6 / 6 / 6</w:t>
            </w:r>
          </w:p>
        </w:tc>
      </w:tr>
      <w:tr w14:paraId="520AF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190C7B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A49DF3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轿厢类型    </w:t>
            </w:r>
          </w:p>
        </w:tc>
        <w:tc>
          <w:tcPr>
            <w:tcW w:w="5756" w:type="dxa"/>
            <w:tcBorders>
              <w:top w:val="nil"/>
              <w:left w:val="nil"/>
              <w:bottom w:val="single" w:color="auto" w:sz="4" w:space="0"/>
              <w:right w:val="single" w:color="auto" w:sz="4" w:space="0"/>
            </w:tcBorders>
            <w:noWrap/>
            <w:vAlign w:val="center"/>
          </w:tcPr>
          <w:p w14:paraId="0F051BD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单开门</w:t>
            </w:r>
          </w:p>
        </w:tc>
      </w:tr>
      <w:tr w14:paraId="071BAA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0A2B703B">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操作系统</w:t>
            </w:r>
          </w:p>
        </w:tc>
        <w:tc>
          <w:tcPr>
            <w:tcW w:w="2400" w:type="dxa"/>
            <w:tcBorders>
              <w:top w:val="nil"/>
              <w:left w:val="nil"/>
              <w:bottom w:val="single" w:color="auto" w:sz="4" w:space="0"/>
              <w:right w:val="single" w:color="auto" w:sz="4" w:space="0"/>
            </w:tcBorders>
            <w:noWrap/>
            <w:vAlign w:val="center"/>
          </w:tcPr>
          <w:p w14:paraId="3F7D348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控制系统</w:t>
            </w:r>
          </w:p>
        </w:tc>
        <w:tc>
          <w:tcPr>
            <w:tcW w:w="5756" w:type="dxa"/>
            <w:tcBorders>
              <w:top w:val="nil"/>
              <w:left w:val="nil"/>
              <w:bottom w:val="single" w:color="auto" w:sz="4" w:space="0"/>
              <w:right w:val="single" w:color="auto" w:sz="4" w:space="0"/>
            </w:tcBorders>
            <w:noWrap/>
            <w:vAlign w:val="center"/>
          </w:tcPr>
          <w:p w14:paraId="4155794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电脑智能控制，串行传输系统</w:t>
            </w:r>
          </w:p>
        </w:tc>
      </w:tr>
      <w:tr w14:paraId="08144B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B59C8EA">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E7DA38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控制方式</w:t>
            </w:r>
          </w:p>
        </w:tc>
        <w:tc>
          <w:tcPr>
            <w:tcW w:w="5756" w:type="dxa"/>
            <w:tcBorders>
              <w:top w:val="nil"/>
              <w:left w:val="nil"/>
              <w:bottom w:val="single" w:color="auto" w:sz="4" w:space="0"/>
              <w:right w:val="single" w:color="auto" w:sz="4" w:space="0"/>
            </w:tcBorders>
            <w:noWrap/>
            <w:vAlign w:val="center"/>
          </w:tcPr>
          <w:p w14:paraId="44F863A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集选</w:t>
            </w:r>
          </w:p>
        </w:tc>
      </w:tr>
      <w:tr w14:paraId="4B3711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0DAF7F0F">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机械规格</w:t>
            </w:r>
          </w:p>
        </w:tc>
        <w:tc>
          <w:tcPr>
            <w:tcW w:w="2400" w:type="dxa"/>
            <w:tcBorders>
              <w:top w:val="nil"/>
              <w:left w:val="nil"/>
              <w:bottom w:val="single" w:color="auto" w:sz="4" w:space="0"/>
              <w:right w:val="single" w:color="auto" w:sz="4" w:space="0"/>
            </w:tcBorders>
            <w:noWrap/>
            <w:vAlign w:val="center"/>
          </w:tcPr>
          <w:p w14:paraId="20AA1C2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驱动系统</w:t>
            </w:r>
          </w:p>
        </w:tc>
        <w:tc>
          <w:tcPr>
            <w:tcW w:w="5756" w:type="dxa"/>
            <w:tcBorders>
              <w:top w:val="nil"/>
              <w:left w:val="nil"/>
              <w:bottom w:val="single" w:color="auto" w:sz="4" w:space="0"/>
              <w:right w:val="single" w:color="auto" w:sz="4" w:space="0"/>
            </w:tcBorders>
            <w:noWrap/>
            <w:vAlign w:val="center"/>
          </w:tcPr>
          <w:p w14:paraId="39068C0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交流调频调压驱动</w:t>
            </w:r>
          </w:p>
        </w:tc>
      </w:tr>
      <w:tr w14:paraId="361B0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AB5D210">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C4863D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曳引系统</w:t>
            </w:r>
          </w:p>
        </w:tc>
        <w:tc>
          <w:tcPr>
            <w:tcW w:w="5756" w:type="dxa"/>
            <w:tcBorders>
              <w:top w:val="nil"/>
              <w:left w:val="nil"/>
              <w:bottom w:val="single" w:color="auto" w:sz="4" w:space="0"/>
              <w:right w:val="single" w:color="auto" w:sz="4" w:space="0"/>
            </w:tcBorders>
            <w:noWrap/>
            <w:vAlign w:val="center"/>
          </w:tcPr>
          <w:p w14:paraId="1029FEA7">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无齿曳引机</w:t>
            </w:r>
          </w:p>
        </w:tc>
      </w:tr>
      <w:tr w14:paraId="5A941B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63D2D7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40607B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机械位置</w:t>
            </w:r>
          </w:p>
        </w:tc>
        <w:tc>
          <w:tcPr>
            <w:tcW w:w="5756" w:type="dxa"/>
            <w:tcBorders>
              <w:top w:val="nil"/>
              <w:left w:val="nil"/>
              <w:bottom w:val="single" w:color="auto" w:sz="4" w:space="0"/>
              <w:right w:val="single" w:color="auto" w:sz="4" w:space="0"/>
            </w:tcBorders>
            <w:noWrap/>
            <w:vAlign w:val="center"/>
          </w:tcPr>
          <w:p w14:paraId="66620CD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井道顶部</w:t>
            </w:r>
          </w:p>
        </w:tc>
      </w:tr>
      <w:tr w14:paraId="48F07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EF1E2EF">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建筑尺寸</w:t>
            </w:r>
          </w:p>
        </w:tc>
        <w:tc>
          <w:tcPr>
            <w:tcW w:w="2400" w:type="dxa"/>
            <w:tcBorders>
              <w:top w:val="nil"/>
              <w:left w:val="nil"/>
              <w:bottom w:val="single" w:color="auto" w:sz="4" w:space="0"/>
              <w:right w:val="single" w:color="auto" w:sz="4" w:space="0"/>
            </w:tcBorders>
            <w:noWrap/>
            <w:vAlign w:val="center"/>
          </w:tcPr>
          <w:p w14:paraId="209BEE8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井道尺寸</w:t>
            </w:r>
          </w:p>
        </w:tc>
        <w:tc>
          <w:tcPr>
            <w:tcW w:w="5756" w:type="dxa"/>
            <w:tcBorders>
              <w:top w:val="nil"/>
              <w:left w:val="nil"/>
              <w:bottom w:val="single" w:color="auto" w:sz="4" w:space="0"/>
              <w:right w:val="single" w:color="auto" w:sz="4" w:space="0"/>
            </w:tcBorders>
            <w:noWrap/>
            <w:vAlign w:val="center"/>
          </w:tcPr>
          <w:p w14:paraId="191B574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2280毫米(宽) X 1900毫米(深)</w:t>
            </w:r>
          </w:p>
        </w:tc>
      </w:tr>
      <w:tr w14:paraId="62417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B2AD80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5AF2B2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顶层高度</w:t>
            </w:r>
          </w:p>
        </w:tc>
        <w:tc>
          <w:tcPr>
            <w:tcW w:w="5756" w:type="dxa"/>
            <w:tcBorders>
              <w:top w:val="nil"/>
              <w:left w:val="nil"/>
              <w:bottom w:val="single" w:color="auto" w:sz="4" w:space="0"/>
              <w:right w:val="single" w:color="auto" w:sz="4" w:space="0"/>
            </w:tcBorders>
            <w:noWrap/>
            <w:vAlign w:val="center"/>
          </w:tcPr>
          <w:p w14:paraId="6C17A5D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3780毫米</w:t>
            </w:r>
          </w:p>
        </w:tc>
      </w:tr>
      <w:tr w14:paraId="4A93E6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4CBDDD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C09C5E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地坑深度</w:t>
            </w:r>
          </w:p>
        </w:tc>
        <w:tc>
          <w:tcPr>
            <w:tcW w:w="5756" w:type="dxa"/>
            <w:tcBorders>
              <w:top w:val="nil"/>
              <w:left w:val="nil"/>
              <w:bottom w:val="single" w:color="auto" w:sz="4" w:space="0"/>
              <w:right w:val="single" w:color="auto" w:sz="4" w:space="0"/>
            </w:tcBorders>
            <w:noWrap/>
            <w:vAlign w:val="center"/>
          </w:tcPr>
          <w:p w14:paraId="3DFA68D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1450毫米</w:t>
            </w:r>
          </w:p>
        </w:tc>
      </w:tr>
      <w:tr w14:paraId="223B9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6F8EF07">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入口尺寸</w:t>
            </w:r>
          </w:p>
        </w:tc>
        <w:tc>
          <w:tcPr>
            <w:tcW w:w="2400" w:type="dxa"/>
            <w:tcBorders>
              <w:top w:val="nil"/>
              <w:left w:val="nil"/>
              <w:bottom w:val="single" w:color="auto" w:sz="4" w:space="0"/>
              <w:right w:val="single" w:color="auto" w:sz="4" w:space="0"/>
            </w:tcBorders>
            <w:noWrap/>
            <w:vAlign w:val="center"/>
          </w:tcPr>
          <w:p w14:paraId="36F69B5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类型</w:t>
            </w:r>
          </w:p>
        </w:tc>
        <w:tc>
          <w:tcPr>
            <w:tcW w:w="5756" w:type="dxa"/>
            <w:tcBorders>
              <w:top w:val="nil"/>
              <w:left w:val="nil"/>
              <w:bottom w:val="single" w:color="auto" w:sz="4" w:space="0"/>
              <w:right w:val="single" w:color="auto" w:sz="4" w:space="0"/>
            </w:tcBorders>
            <w:noWrap/>
            <w:vAlign w:val="center"/>
          </w:tcPr>
          <w:p w14:paraId="2DB20A2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2扇中分自动门</w:t>
            </w:r>
          </w:p>
        </w:tc>
      </w:tr>
      <w:tr w14:paraId="1CF3C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30FC93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FA6BAB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尺寸</w:t>
            </w:r>
          </w:p>
        </w:tc>
        <w:tc>
          <w:tcPr>
            <w:tcW w:w="5756" w:type="dxa"/>
            <w:tcBorders>
              <w:top w:val="nil"/>
              <w:left w:val="nil"/>
              <w:bottom w:val="single" w:color="auto" w:sz="4" w:space="0"/>
              <w:right w:val="single" w:color="auto" w:sz="4" w:space="0"/>
            </w:tcBorders>
            <w:noWrap/>
            <w:vAlign w:val="center"/>
          </w:tcPr>
          <w:p w14:paraId="6A56BF3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900毫米(宽) X 2100毫米(高)</w:t>
            </w:r>
          </w:p>
        </w:tc>
      </w:tr>
      <w:tr w14:paraId="592FC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4ED7A227">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候梯厅门</w:t>
            </w:r>
          </w:p>
        </w:tc>
        <w:tc>
          <w:tcPr>
            <w:tcW w:w="2400" w:type="dxa"/>
            <w:tcBorders>
              <w:top w:val="nil"/>
              <w:left w:val="nil"/>
              <w:bottom w:val="single" w:color="auto" w:sz="4" w:space="0"/>
              <w:right w:val="single" w:color="auto" w:sz="4" w:space="0"/>
            </w:tcBorders>
            <w:noWrap/>
            <w:vAlign w:val="center"/>
          </w:tcPr>
          <w:p w14:paraId="4174800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厅门、门框装修</w:t>
            </w:r>
          </w:p>
        </w:tc>
        <w:tc>
          <w:tcPr>
            <w:tcW w:w="5756" w:type="dxa"/>
            <w:tcBorders>
              <w:top w:val="nil"/>
              <w:left w:val="nil"/>
              <w:bottom w:val="single" w:color="auto" w:sz="4" w:space="0"/>
              <w:right w:val="single" w:color="auto" w:sz="4" w:space="0"/>
            </w:tcBorders>
            <w:noWrap/>
            <w:vAlign w:val="center"/>
          </w:tcPr>
          <w:p w14:paraId="2D600F1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银色发纹不锈钢材质厅门6个</w:t>
            </w:r>
          </w:p>
        </w:tc>
      </w:tr>
      <w:tr w14:paraId="2A083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8C9673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188CF4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门框</w:t>
            </w:r>
          </w:p>
        </w:tc>
        <w:tc>
          <w:tcPr>
            <w:tcW w:w="5756" w:type="dxa"/>
            <w:tcBorders>
              <w:top w:val="nil"/>
              <w:left w:val="nil"/>
              <w:bottom w:val="single" w:color="auto" w:sz="4" w:space="0"/>
              <w:right w:val="single" w:color="auto" w:sz="4" w:space="0"/>
            </w:tcBorders>
            <w:noWrap/>
            <w:vAlign w:val="center"/>
          </w:tcPr>
          <w:p w14:paraId="788539D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所有层标准门框</w:t>
            </w:r>
          </w:p>
        </w:tc>
      </w:tr>
      <w:tr w14:paraId="64A38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8E83F7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0D86DF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厅外显示</w:t>
            </w:r>
          </w:p>
        </w:tc>
        <w:tc>
          <w:tcPr>
            <w:tcW w:w="5756" w:type="dxa"/>
            <w:tcBorders>
              <w:top w:val="nil"/>
              <w:left w:val="nil"/>
              <w:bottom w:val="single" w:color="auto" w:sz="4" w:space="0"/>
              <w:right w:val="single" w:color="auto" w:sz="4" w:space="0"/>
            </w:tcBorders>
            <w:noWrap/>
            <w:vAlign w:val="center"/>
          </w:tcPr>
          <w:p w14:paraId="2A0032A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一体式层站召唤，段码液晶显示，银色发丝不锈钢抗指纹</w:t>
            </w:r>
          </w:p>
        </w:tc>
      </w:tr>
      <w:tr w14:paraId="5DD5B1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142A912">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轿厢</w:t>
            </w:r>
          </w:p>
        </w:tc>
        <w:tc>
          <w:tcPr>
            <w:tcW w:w="2400" w:type="dxa"/>
            <w:tcBorders>
              <w:top w:val="nil"/>
              <w:left w:val="nil"/>
              <w:bottom w:val="single" w:color="auto" w:sz="4" w:space="0"/>
              <w:right w:val="single" w:color="auto" w:sz="4" w:space="0"/>
            </w:tcBorders>
            <w:noWrap/>
            <w:vAlign w:val="center"/>
          </w:tcPr>
          <w:p w14:paraId="255CF96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轿厢尺寸</w:t>
            </w:r>
          </w:p>
        </w:tc>
        <w:tc>
          <w:tcPr>
            <w:tcW w:w="5756" w:type="dxa"/>
            <w:tcBorders>
              <w:top w:val="nil"/>
              <w:left w:val="nil"/>
              <w:bottom w:val="single" w:color="auto" w:sz="4" w:space="0"/>
              <w:right w:val="single" w:color="auto" w:sz="4" w:space="0"/>
            </w:tcBorders>
            <w:noWrap/>
            <w:vAlign w:val="center"/>
          </w:tcPr>
          <w:p w14:paraId="7AD87A3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1600毫米(宽) X 1500毫米(深) X 2400毫米(高)</w:t>
            </w:r>
          </w:p>
        </w:tc>
      </w:tr>
      <w:tr w14:paraId="127BE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9F7141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6CBCA8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轿门材质</w:t>
            </w:r>
          </w:p>
        </w:tc>
        <w:tc>
          <w:tcPr>
            <w:tcW w:w="5756" w:type="dxa"/>
            <w:tcBorders>
              <w:top w:val="nil"/>
              <w:left w:val="nil"/>
              <w:bottom w:val="single" w:color="auto" w:sz="4" w:space="0"/>
              <w:right w:val="single" w:color="auto" w:sz="4" w:space="0"/>
            </w:tcBorders>
            <w:noWrap/>
            <w:vAlign w:val="center"/>
          </w:tcPr>
          <w:p w14:paraId="1325215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银色发纹不锈钢</w:t>
            </w:r>
          </w:p>
        </w:tc>
      </w:tr>
      <w:tr w14:paraId="51C685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5855F2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8A1567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轿壁装潢</w:t>
            </w:r>
          </w:p>
        </w:tc>
        <w:tc>
          <w:tcPr>
            <w:tcW w:w="5756" w:type="dxa"/>
            <w:tcBorders>
              <w:top w:val="nil"/>
              <w:left w:val="nil"/>
              <w:bottom w:val="single" w:color="auto" w:sz="4" w:space="0"/>
              <w:right w:val="single" w:color="auto" w:sz="4" w:space="0"/>
            </w:tcBorders>
            <w:noWrap/>
            <w:vAlign w:val="center"/>
          </w:tcPr>
          <w:p w14:paraId="407E8BD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前壁：银色发纹不锈钢，侧壁： 银色发纹不锈钢，后壁中板：银色镜面不锈钢，后壁侧板： 银色发纹不锈钢</w:t>
            </w:r>
          </w:p>
        </w:tc>
      </w:tr>
      <w:tr w14:paraId="66B36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7EC13E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6C545C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轿顶类型</w:t>
            </w:r>
          </w:p>
        </w:tc>
        <w:tc>
          <w:tcPr>
            <w:tcW w:w="5756" w:type="dxa"/>
            <w:tcBorders>
              <w:top w:val="nil"/>
              <w:left w:val="nil"/>
              <w:bottom w:val="single" w:color="auto" w:sz="4" w:space="0"/>
              <w:right w:val="single" w:color="auto" w:sz="4" w:space="0"/>
            </w:tcBorders>
            <w:noWrap/>
            <w:vAlign w:val="center"/>
          </w:tcPr>
          <w:p w14:paraId="19121B71">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 银色发纹不锈钢(有空调出风口)型</w:t>
            </w:r>
          </w:p>
        </w:tc>
      </w:tr>
      <w:tr w14:paraId="37AE0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BFA868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50767B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轿厢操作面板</w:t>
            </w:r>
          </w:p>
        </w:tc>
        <w:tc>
          <w:tcPr>
            <w:tcW w:w="5756" w:type="dxa"/>
            <w:tcBorders>
              <w:top w:val="nil"/>
              <w:left w:val="nil"/>
              <w:bottom w:val="single" w:color="auto" w:sz="4" w:space="0"/>
              <w:right w:val="single" w:color="auto" w:sz="4" w:space="0"/>
            </w:tcBorders>
            <w:noWrap/>
            <w:vAlign w:val="center"/>
          </w:tcPr>
          <w:p w14:paraId="2821E72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标准COP带检修盒，9英寸STN段码液晶显示（黑色背景），银色发丝不锈钢抗指纹</w:t>
            </w:r>
          </w:p>
        </w:tc>
      </w:tr>
      <w:tr w14:paraId="51B134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A115340">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5B37F2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盲文按钮</w:t>
            </w:r>
          </w:p>
        </w:tc>
        <w:tc>
          <w:tcPr>
            <w:tcW w:w="5756" w:type="dxa"/>
            <w:tcBorders>
              <w:top w:val="nil"/>
              <w:left w:val="nil"/>
              <w:bottom w:val="single" w:color="auto" w:sz="4" w:space="0"/>
              <w:right w:val="single" w:color="auto" w:sz="4" w:space="0"/>
            </w:tcBorders>
            <w:noWrap/>
            <w:vAlign w:val="center"/>
          </w:tcPr>
          <w:p w14:paraId="0221471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有</w:t>
            </w:r>
          </w:p>
        </w:tc>
      </w:tr>
      <w:tr w14:paraId="18F67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634B86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F93157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地板类型</w:t>
            </w:r>
          </w:p>
        </w:tc>
        <w:tc>
          <w:tcPr>
            <w:tcW w:w="5756" w:type="dxa"/>
            <w:tcBorders>
              <w:top w:val="nil"/>
              <w:left w:val="nil"/>
              <w:bottom w:val="single" w:color="auto" w:sz="4" w:space="0"/>
              <w:right w:val="single" w:color="auto" w:sz="4" w:space="0"/>
            </w:tcBorders>
            <w:noWrap/>
            <w:vAlign w:val="center"/>
          </w:tcPr>
          <w:p w14:paraId="48AC66F4">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岩石灰单色PVC</w:t>
            </w:r>
          </w:p>
        </w:tc>
      </w:tr>
      <w:tr w14:paraId="1667E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1A421E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0B6588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装潢重量</w:t>
            </w:r>
          </w:p>
        </w:tc>
        <w:tc>
          <w:tcPr>
            <w:tcW w:w="5756" w:type="dxa"/>
            <w:tcBorders>
              <w:top w:val="nil"/>
              <w:left w:val="nil"/>
              <w:bottom w:val="single" w:color="auto" w:sz="4" w:space="0"/>
              <w:right w:val="single" w:color="auto" w:sz="4" w:space="0"/>
            </w:tcBorders>
            <w:noWrap/>
            <w:vAlign w:val="center"/>
          </w:tcPr>
          <w:p w14:paraId="7E6F7EF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0公斤</w:t>
            </w:r>
          </w:p>
        </w:tc>
      </w:tr>
      <w:tr w14:paraId="56E93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vAlign w:val="center"/>
          </w:tcPr>
          <w:p w14:paraId="2B0E7BE0">
            <w:pPr>
              <w:pStyle w:val="251"/>
              <w:rPr>
                <w:rFonts w:hint="eastAsia" w:cs="Arial" w:asciiTheme="minorEastAsia" w:hAnsiTheme="minorEastAsia" w:eastAsiaTheme="minorEastAsia"/>
                <w:b/>
                <w:sz w:val="24"/>
                <w:szCs w:val="24"/>
                <w:u w:val="single"/>
                <w:lang w:eastAsia="zh-CN"/>
              </w:rPr>
            </w:pPr>
            <w:r>
              <w:rPr>
                <w:rFonts w:cs="Arial" w:asciiTheme="minorEastAsia" w:hAnsiTheme="minorEastAsia" w:eastAsiaTheme="minorEastAsia"/>
                <w:b/>
                <w:sz w:val="24"/>
                <w:szCs w:val="24"/>
                <w:u w:val="single"/>
                <w:lang w:eastAsia="zh-CN"/>
              </w:rPr>
              <w:t>规范及标准</w:t>
            </w:r>
          </w:p>
        </w:tc>
        <w:tc>
          <w:tcPr>
            <w:tcW w:w="8156" w:type="dxa"/>
            <w:gridSpan w:val="2"/>
            <w:tcBorders>
              <w:top w:val="single" w:color="auto" w:sz="4" w:space="0"/>
              <w:left w:val="nil"/>
              <w:bottom w:val="single" w:color="auto" w:sz="4" w:space="0"/>
              <w:right w:val="single" w:color="auto" w:sz="4" w:space="0"/>
            </w:tcBorders>
            <w:noWrap/>
            <w:vAlign w:val="center"/>
          </w:tcPr>
          <w:p w14:paraId="65B310B2">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《电梯制造与安装安全规范》（企业标准Q/KOS 000326-2022）</w:t>
            </w:r>
          </w:p>
          <w:p w14:paraId="21947214">
            <w:pPr>
              <w:pStyle w:val="251"/>
              <w:rPr>
                <w:rFonts w:hint="eastAsia" w:asciiTheme="minorEastAsia" w:hAnsiTheme="minorEastAsia" w:eastAsiaTheme="minorEastAsia"/>
                <w:sz w:val="24"/>
                <w:szCs w:val="24"/>
              </w:rPr>
            </w:pPr>
            <w:r>
              <w:rPr>
                <w:rFonts w:cs="黑体" w:asciiTheme="minorEastAsia" w:hAnsiTheme="minorEastAsia" w:eastAsiaTheme="minorEastAsia"/>
                <w:sz w:val="24"/>
                <w:szCs w:val="24"/>
              </w:rPr>
              <w:t>注：完整内容请登录https://www.qybz.org.cn/进行查询。</w:t>
            </w:r>
          </w:p>
        </w:tc>
      </w:tr>
      <w:tr w14:paraId="69126C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BA0ECEC">
            <w:pPr>
              <w:pStyle w:val="251"/>
              <w:rPr>
                <w:rFonts w:hint="eastAsia" w:cs="Arial" w:asciiTheme="minorEastAsia" w:hAnsiTheme="minorEastAsia" w:eastAsiaTheme="minorEastAsia"/>
                <w:b/>
                <w:sz w:val="24"/>
                <w:szCs w:val="24"/>
                <w:u w:val="single"/>
                <w:lang w:eastAsia="zh-CN"/>
              </w:rPr>
            </w:pPr>
          </w:p>
        </w:tc>
        <w:tc>
          <w:tcPr>
            <w:tcW w:w="8156" w:type="dxa"/>
            <w:gridSpan w:val="2"/>
            <w:tcBorders>
              <w:top w:val="single" w:color="auto" w:sz="4" w:space="0"/>
              <w:left w:val="nil"/>
              <w:bottom w:val="single" w:color="auto" w:sz="4" w:space="0"/>
              <w:right w:val="single" w:color="auto" w:sz="4" w:space="0"/>
            </w:tcBorders>
            <w:noWrap/>
            <w:vAlign w:val="center"/>
          </w:tcPr>
          <w:p w14:paraId="77ADFEBC">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《电梯监督检验和定期检验规则》 （TSG_T7001-2023）</w:t>
            </w:r>
          </w:p>
        </w:tc>
      </w:tr>
    </w:tbl>
    <w:p w14:paraId="02E4F41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ab/>
      </w:r>
    </w:p>
    <w:p w14:paraId="2474638E">
      <w:pPr>
        <w:pStyle w:val="251"/>
        <w:spacing w:line="252" w:lineRule="auto"/>
        <w:ind w:firstLine="460" w:firstLineChars="20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注：所有尺寸以确认图纸为准，若涉及价格变化由双方协商解决。</w:t>
      </w:r>
    </w:p>
    <w:p w14:paraId="201C1296">
      <w:pPr>
        <w:pStyle w:val="251"/>
        <w:pageBreakBefore/>
        <w:widowControl w:val="0"/>
        <w:spacing w:before="120" w:beforeLines="50" w:line="276" w:lineRule="auto"/>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b/>
          <w:bCs/>
          <w:sz w:val="24"/>
          <w:szCs w:val="24"/>
          <w:lang w:eastAsia="zh-CN"/>
        </w:rPr>
        <w:t>4、</w:t>
      </w:r>
      <w:r>
        <w:rPr>
          <w:rFonts w:cs="Arial" w:asciiTheme="minorEastAsia" w:hAnsiTheme="minorEastAsia" w:eastAsiaTheme="minorEastAsia"/>
          <w:b/>
          <w:bCs/>
          <w:sz w:val="24"/>
          <w:szCs w:val="24"/>
          <w:lang w:eastAsia="zh-CN"/>
        </w:rPr>
        <w:t>技术规格（电梯</w:t>
      </w:r>
      <w:r>
        <w:rPr>
          <w:rFonts w:hint="eastAsia" w:cs="Arial" w:asciiTheme="minorEastAsia" w:hAnsiTheme="minorEastAsia" w:eastAsiaTheme="minorEastAsia"/>
          <w:b/>
          <w:bCs/>
          <w:sz w:val="24"/>
          <w:szCs w:val="24"/>
          <w:lang w:eastAsia="zh-CN"/>
        </w:rPr>
        <w:t>4</w:t>
      </w:r>
      <w:r>
        <w:rPr>
          <w:rFonts w:cs="Arial" w:asciiTheme="minorEastAsia" w:hAnsiTheme="minorEastAsia" w:eastAsiaTheme="minorEastAsia"/>
          <w:b/>
          <w:bCs/>
          <w:sz w:val="24"/>
          <w:szCs w:val="24"/>
          <w:lang w:eastAsia="zh-CN"/>
        </w:rPr>
        <w:t>）</w:t>
      </w:r>
    </w:p>
    <w:tbl>
      <w:tblPr>
        <w:tblStyle w:val="44"/>
        <w:tblW w:w="9356"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2400"/>
        <w:gridCol w:w="5756"/>
      </w:tblGrid>
      <w:tr w14:paraId="10C06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001C05B">
            <w:pPr>
              <w:pStyle w:val="251"/>
              <w:jc w:val="center"/>
              <w:rPr>
                <w:rFonts w:hint="eastAsia" w:cs="Arial" w:asciiTheme="minorEastAsia" w:hAnsiTheme="minorEastAsia" w:eastAsiaTheme="minorEastAsia"/>
                <w:b/>
                <w:bCs/>
                <w:sz w:val="24"/>
                <w:szCs w:val="24"/>
                <w:u w:val="single"/>
                <w:lang w:eastAsia="zh-CN"/>
              </w:rPr>
            </w:pPr>
            <w:r>
              <w:rPr>
                <w:rFonts w:cs="Arial" w:asciiTheme="minorEastAsia" w:hAnsiTheme="minorEastAsia" w:eastAsiaTheme="minorEastAsia"/>
                <w:b/>
                <w:bCs/>
                <w:sz w:val="24"/>
                <w:szCs w:val="24"/>
                <w:u w:val="single"/>
                <w:lang w:eastAsia="zh-CN"/>
              </w:rPr>
              <w:t>一般规格</w:t>
            </w:r>
          </w:p>
        </w:tc>
        <w:tc>
          <w:tcPr>
            <w:tcW w:w="2400" w:type="dxa"/>
            <w:tcBorders>
              <w:top w:val="single" w:color="auto" w:sz="4" w:space="0"/>
              <w:left w:val="nil"/>
              <w:bottom w:val="single" w:color="auto" w:sz="4" w:space="0"/>
              <w:right w:val="single" w:color="auto" w:sz="4" w:space="0"/>
            </w:tcBorders>
            <w:noWrap/>
            <w:vAlign w:val="center"/>
          </w:tcPr>
          <w:p w14:paraId="0E3D684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电梯编号</w:t>
            </w:r>
          </w:p>
        </w:tc>
        <w:tc>
          <w:tcPr>
            <w:tcW w:w="5756" w:type="dxa"/>
            <w:tcBorders>
              <w:top w:val="single" w:color="auto" w:sz="4" w:space="0"/>
              <w:left w:val="nil"/>
              <w:bottom w:val="single" w:color="auto" w:sz="4" w:space="0"/>
              <w:right w:val="single" w:color="auto" w:sz="4" w:space="0"/>
            </w:tcBorders>
            <w:noWrap/>
            <w:vAlign w:val="center"/>
          </w:tcPr>
          <w:p w14:paraId="64D66A7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北4#</w:t>
            </w:r>
          </w:p>
        </w:tc>
      </w:tr>
      <w:tr w14:paraId="2D81F9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0AB554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7F34B8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产品名称</w:t>
            </w:r>
          </w:p>
        </w:tc>
        <w:tc>
          <w:tcPr>
            <w:tcW w:w="5756" w:type="dxa"/>
            <w:tcBorders>
              <w:top w:val="nil"/>
              <w:left w:val="nil"/>
              <w:bottom w:val="single" w:color="auto" w:sz="4" w:space="0"/>
              <w:right w:val="single" w:color="auto" w:sz="4" w:space="0"/>
            </w:tcBorders>
            <w:noWrap/>
            <w:vAlign w:val="center"/>
          </w:tcPr>
          <w:p w14:paraId="1BA53F8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无机房乘客电梯</w:t>
            </w:r>
          </w:p>
        </w:tc>
      </w:tr>
      <w:tr w14:paraId="57F97E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E5EC10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42137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型号/规格/数量</w:t>
            </w:r>
          </w:p>
        </w:tc>
        <w:tc>
          <w:tcPr>
            <w:tcW w:w="5756" w:type="dxa"/>
            <w:tcBorders>
              <w:top w:val="nil"/>
              <w:left w:val="nil"/>
              <w:bottom w:val="single" w:color="auto" w:sz="4" w:space="0"/>
              <w:right w:val="single" w:color="auto" w:sz="4" w:space="0"/>
            </w:tcBorders>
            <w:noWrap/>
            <w:vAlign w:val="center"/>
          </w:tcPr>
          <w:p w14:paraId="4968E3D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1台</w:t>
            </w:r>
          </w:p>
        </w:tc>
      </w:tr>
      <w:tr w14:paraId="14533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0"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97DAF4E">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5BB11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额定载重量</w:t>
            </w:r>
          </w:p>
        </w:tc>
        <w:tc>
          <w:tcPr>
            <w:tcW w:w="5756" w:type="dxa"/>
            <w:tcBorders>
              <w:top w:val="nil"/>
              <w:left w:val="nil"/>
              <w:bottom w:val="single" w:color="auto" w:sz="4" w:space="0"/>
              <w:right w:val="single" w:color="auto" w:sz="4" w:space="0"/>
            </w:tcBorders>
            <w:noWrap/>
            <w:vAlign w:val="center"/>
          </w:tcPr>
          <w:p w14:paraId="74A90C8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1050公斤</w:t>
            </w:r>
          </w:p>
        </w:tc>
      </w:tr>
      <w:tr w14:paraId="3489BA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7B3A70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21AF27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额定速度</w:t>
            </w:r>
          </w:p>
        </w:tc>
        <w:tc>
          <w:tcPr>
            <w:tcW w:w="5756" w:type="dxa"/>
            <w:tcBorders>
              <w:top w:val="nil"/>
              <w:left w:val="nil"/>
              <w:bottom w:val="single" w:color="auto" w:sz="4" w:space="0"/>
              <w:right w:val="single" w:color="auto" w:sz="4" w:space="0"/>
            </w:tcBorders>
            <w:noWrap/>
            <w:vAlign w:val="center"/>
          </w:tcPr>
          <w:p w14:paraId="7ED4609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w:t>
            </w:r>
            <w:r>
              <w:rPr>
                <w:rFonts w:hint="eastAsia" w:cs="Arial" w:asciiTheme="minorEastAsia" w:hAnsiTheme="minorEastAsia" w:eastAsiaTheme="minorEastAsia"/>
                <w:sz w:val="24"/>
                <w:szCs w:val="24"/>
                <w:lang w:eastAsia="zh-CN"/>
              </w:rPr>
              <w:t>6</w:t>
            </w:r>
            <w:r>
              <w:rPr>
                <w:rFonts w:cs="Arial" w:asciiTheme="minorEastAsia" w:hAnsiTheme="minorEastAsia" w:eastAsiaTheme="minorEastAsia"/>
                <w:sz w:val="24"/>
                <w:szCs w:val="24"/>
                <w:lang w:eastAsia="zh-CN"/>
              </w:rPr>
              <w:t>米/秒</w:t>
            </w:r>
          </w:p>
        </w:tc>
      </w:tr>
      <w:tr w14:paraId="47A1D3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2CD2473">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2FC101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行程</w:t>
            </w:r>
          </w:p>
        </w:tc>
        <w:tc>
          <w:tcPr>
            <w:tcW w:w="5756" w:type="dxa"/>
            <w:tcBorders>
              <w:top w:val="nil"/>
              <w:left w:val="nil"/>
              <w:bottom w:val="single" w:color="auto" w:sz="4" w:space="0"/>
              <w:right w:val="single" w:color="auto" w:sz="4" w:space="0"/>
            </w:tcBorders>
            <w:noWrap/>
            <w:vAlign w:val="center"/>
          </w:tcPr>
          <w:p w14:paraId="0B01302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18.62米</w:t>
            </w:r>
          </w:p>
        </w:tc>
      </w:tr>
      <w:tr w14:paraId="1CB58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630A68B">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371F9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总楼层/服务楼层/门</w:t>
            </w:r>
          </w:p>
        </w:tc>
        <w:tc>
          <w:tcPr>
            <w:tcW w:w="5756" w:type="dxa"/>
            <w:tcBorders>
              <w:top w:val="nil"/>
              <w:left w:val="nil"/>
              <w:bottom w:val="single" w:color="auto" w:sz="4" w:space="0"/>
              <w:right w:val="single" w:color="auto" w:sz="4" w:space="0"/>
            </w:tcBorders>
            <w:noWrap/>
            <w:vAlign w:val="center"/>
          </w:tcPr>
          <w:p w14:paraId="368B652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6 / 6 / 6</w:t>
            </w:r>
          </w:p>
        </w:tc>
      </w:tr>
      <w:tr w14:paraId="12018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A96029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7EE27B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轿厢类型    </w:t>
            </w:r>
          </w:p>
        </w:tc>
        <w:tc>
          <w:tcPr>
            <w:tcW w:w="5756" w:type="dxa"/>
            <w:tcBorders>
              <w:top w:val="nil"/>
              <w:left w:val="nil"/>
              <w:bottom w:val="single" w:color="auto" w:sz="4" w:space="0"/>
              <w:right w:val="single" w:color="auto" w:sz="4" w:space="0"/>
            </w:tcBorders>
            <w:noWrap/>
            <w:vAlign w:val="center"/>
          </w:tcPr>
          <w:p w14:paraId="367718D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单开门</w:t>
            </w:r>
          </w:p>
        </w:tc>
      </w:tr>
      <w:tr w14:paraId="792778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FAFF3C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C28079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对重安全钳</w:t>
            </w:r>
          </w:p>
        </w:tc>
        <w:tc>
          <w:tcPr>
            <w:tcW w:w="5756" w:type="dxa"/>
            <w:tcBorders>
              <w:top w:val="nil"/>
              <w:left w:val="nil"/>
              <w:bottom w:val="single" w:color="auto" w:sz="4" w:space="0"/>
              <w:right w:val="single" w:color="auto" w:sz="4" w:space="0"/>
            </w:tcBorders>
            <w:noWrap/>
            <w:vAlign w:val="center"/>
          </w:tcPr>
          <w:p w14:paraId="26B7EDB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有</w:t>
            </w:r>
          </w:p>
        </w:tc>
      </w:tr>
      <w:tr w14:paraId="4E40D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A51F27D">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操作系统</w:t>
            </w:r>
          </w:p>
        </w:tc>
        <w:tc>
          <w:tcPr>
            <w:tcW w:w="2400" w:type="dxa"/>
            <w:tcBorders>
              <w:top w:val="nil"/>
              <w:left w:val="nil"/>
              <w:bottom w:val="single" w:color="auto" w:sz="4" w:space="0"/>
              <w:right w:val="single" w:color="auto" w:sz="4" w:space="0"/>
            </w:tcBorders>
            <w:noWrap/>
            <w:vAlign w:val="center"/>
          </w:tcPr>
          <w:p w14:paraId="34D0913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控制系统</w:t>
            </w:r>
          </w:p>
        </w:tc>
        <w:tc>
          <w:tcPr>
            <w:tcW w:w="5756" w:type="dxa"/>
            <w:tcBorders>
              <w:top w:val="nil"/>
              <w:left w:val="nil"/>
              <w:bottom w:val="single" w:color="auto" w:sz="4" w:space="0"/>
              <w:right w:val="single" w:color="auto" w:sz="4" w:space="0"/>
            </w:tcBorders>
            <w:noWrap/>
            <w:vAlign w:val="center"/>
          </w:tcPr>
          <w:p w14:paraId="40606CF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电脑智能控制，串行传输系统</w:t>
            </w:r>
          </w:p>
        </w:tc>
      </w:tr>
      <w:tr w14:paraId="03ADDD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93B526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3D52AB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控制方式</w:t>
            </w:r>
          </w:p>
        </w:tc>
        <w:tc>
          <w:tcPr>
            <w:tcW w:w="5756" w:type="dxa"/>
            <w:tcBorders>
              <w:top w:val="nil"/>
              <w:left w:val="nil"/>
              <w:bottom w:val="single" w:color="auto" w:sz="4" w:space="0"/>
              <w:right w:val="single" w:color="auto" w:sz="4" w:space="0"/>
            </w:tcBorders>
            <w:noWrap/>
            <w:vAlign w:val="center"/>
          </w:tcPr>
          <w:p w14:paraId="03D4542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集选</w:t>
            </w:r>
          </w:p>
        </w:tc>
      </w:tr>
      <w:tr w14:paraId="20F07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40163B5B">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机械规格</w:t>
            </w:r>
          </w:p>
        </w:tc>
        <w:tc>
          <w:tcPr>
            <w:tcW w:w="2400" w:type="dxa"/>
            <w:tcBorders>
              <w:top w:val="nil"/>
              <w:left w:val="nil"/>
              <w:bottom w:val="single" w:color="auto" w:sz="4" w:space="0"/>
              <w:right w:val="single" w:color="auto" w:sz="4" w:space="0"/>
            </w:tcBorders>
            <w:noWrap/>
            <w:vAlign w:val="center"/>
          </w:tcPr>
          <w:p w14:paraId="2FEFE81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驱动系统</w:t>
            </w:r>
          </w:p>
        </w:tc>
        <w:tc>
          <w:tcPr>
            <w:tcW w:w="5756" w:type="dxa"/>
            <w:tcBorders>
              <w:top w:val="nil"/>
              <w:left w:val="nil"/>
              <w:bottom w:val="single" w:color="auto" w:sz="4" w:space="0"/>
              <w:right w:val="single" w:color="auto" w:sz="4" w:space="0"/>
            </w:tcBorders>
            <w:noWrap/>
            <w:vAlign w:val="center"/>
          </w:tcPr>
          <w:p w14:paraId="21A70ED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交流调频调压驱动</w:t>
            </w:r>
          </w:p>
        </w:tc>
      </w:tr>
      <w:tr w14:paraId="1B47A9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4868CC0">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8D287A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曳引系统</w:t>
            </w:r>
          </w:p>
        </w:tc>
        <w:tc>
          <w:tcPr>
            <w:tcW w:w="5756" w:type="dxa"/>
            <w:tcBorders>
              <w:top w:val="nil"/>
              <w:left w:val="nil"/>
              <w:bottom w:val="single" w:color="auto" w:sz="4" w:space="0"/>
              <w:right w:val="single" w:color="auto" w:sz="4" w:space="0"/>
            </w:tcBorders>
            <w:noWrap/>
            <w:vAlign w:val="center"/>
          </w:tcPr>
          <w:p w14:paraId="3FAAECB5">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无齿曳引机</w:t>
            </w:r>
          </w:p>
        </w:tc>
      </w:tr>
      <w:tr w14:paraId="74EC7A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74DEE1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3B2D24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机械位置</w:t>
            </w:r>
          </w:p>
        </w:tc>
        <w:tc>
          <w:tcPr>
            <w:tcW w:w="5756" w:type="dxa"/>
            <w:tcBorders>
              <w:top w:val="nil"/>
              <w:left w:val="nil"/>
              <w:bottom w:val="single" w:color="auto" w:sz="4" w:space="0"/>
              <w:right w:val="single" w:color="auto" w:sz="4" w:space="0"/>
            </w:tcBorders>
            <w:noWrap/>
            <w:vAlign w:val="center"/>
          </w:tcPr>
          <w:p w14:paraId="2E39A7F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井道顶部</w:t>
            </w:r>
          </w:p>
        </w:tc>
      </w:tr>
      <w:tr w14:paraId="25250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F19ED52">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建筑尺寸</w:t>
            </w:r>
          </w:p>
        </w:tc>
        <w:tc>
          <w:tcPr>
            <w:tcW w:w="2400" w:type="dxa"/>
            <w:tcBorders>
              <w:top w:val="nil"/>
              <w:left w:val="nil"/>
              <w:bottom w:val="single" w:color="auto" w:sz="4" w:space="0"/>
              <w:right w:val="single" w:color="auto" w:sz="4" w:space="0"/>
            </w:tcBorders>
            <w:noWrap/>
            <w:vAlign w:val="center"/>
          </w:tcPr>
          <w:p w14:paraId="10B22C2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井道尺寸</w:t>
            </w:r>
          </w:p>
        </w:tc>
        <w:tc>
          <w:tcPr>
            <w:tcW w:w="5756" w:type="dxa"/>
            <w:tcBorders>
              <w:top w:val="nil"/>
              <w:left w:val="nil"/>
              <w:bottom w:val="single" w:color="auto" w:sz="4" w:space="0"/>
              <w:right w:val="single" w:color="auto" w:sz="4" w:space="0"/>
            </w:tcBorders>
            <w:noWrap/>
            <w:vAlign w:val="center"/>
          </w:tcPr>
          <w:p w14:paraId="1E545A9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2320毫米(宽) X 2300毫米(深)</w:t>
            </w:r>
          </w:p>
        </w:tc>
      </w:tr>
      <w:tr w14:paraId="244DA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824462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2A37FF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顶层高度</w:t>
            </w:r>
          </w:p>
        </w:tc>
        <w:tc>
          <w:tcPr>
            <w:tcW w:w="5756" w:type="dxa"/>
            <w:tcBorders>
              <w:top w:val="nil"/>
              <w:left w:val="nil"/>
              <w:bottom w:val="single" w:color="auto" w:sz="4" w:space="0"/>
              <w:right w:val="single" w:color="auto" w:sz="4" w:space="0"/>
            </w:tcBorders>
            <w:noWrap/>
            <w:vAlign w:val="center"/>
          </w:tcPr>
          <w:p w14:paraId="1570D2A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3990毫米</w:t>
            </w:r>
          </w:p>
        </w:tc>
      </w:tr>
      <w:tr w14:paraId="4BC27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14C3A8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46E422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地坑深度</w:t>
            </w:r>
          </w:p>
        </w:tc>
        <w:tc>
          <w:tcPr>
            <w:tcW w:w="5756" w:type="dxa"/>
            <w:tcBorders>
              <w:top w:val="nil"/>
              <w:left w:val="nil"/>
              <w:bottom w:val="single" w:color="auto" w:sz="4" w:space="0"/>
              <w:right w:val="single" w:color="auto" w:sz="4" w:space="0"/>
            </w:tcBorders>
            <w:noWrap/>
            <w:vAlign w:val="center"/>
          </w:tcPr>
          <w:p w14:paraId="44ECCEB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1550毫米</w:t>
            </w:r>
          </w:p>
        </w:tc>
      </w:tr>
      <w:tr w14:paraId="645C3B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F82578F">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入口尺寸</w:t>
            </w:r>
          </w:p>
        </w:tc>
        <w:tc>
          <w:tcPr>
            <w:tcW w:w="2400" w:type="dxa"/>
            <w:tcBorders>
              <w:top w:val="nil"/>
              <w:left w:val="nil"/>
              <w:bottom w:val="single" w:color="auto" w:sz="4" w:space="0"/>
              <w:right w:val="single" w:color="auto" w:sz="4" w:space="0"/>
            </w:tcBorders>
            <w:noWrap/>
            <w:vAlign w:val="center"/>
          </w:tcPr>
          <w:p w14:paraId="4666094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类型</w:t>
            </w:r>
          </w:p>
        </w:tc>
        <w:tc>
          <w:tcPr>
            <w:tcW w:w="5756" w:type="dxa"/>
            <w:tcBorders>
              <w:top w:val="nil"/>
              <w:left w:val="nil"/>
              <w:bottom w:val="single" w:color="auto" w:sz="4" w:space="0"/>
              <w:right w:val="single" w:color="auto" w:sz="4" w:space="0"/>
            </w:tcBorders>
            <w:noWrap/>
            <w:vAlign w:val="center"/>
          </w:tcPr>
          <w:p w14:paraId="537FAEA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2扇中分自动门</w:t>
            </w:r>
          </w:p>
        </w:tc>
      </w:tr>
      <w:tr w14:paraId="070C6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155EBA9">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83E777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尺寸</w:t>
            </w:r>
          </w:p>
        </w:tc>
        <w:tc>
          <w:tcPr>
            <w:tcW w:w="5756" w:type="dxa"/>
            <w:tcBorders>
              <w:top w:val="nil"/>
              <w:left w:val="nil"/>
              <w:bottom w:val="single" w:color="auto" w:sz="4" w:space="0"/>
              <w:right w:val="single" w:color="auto" w:sz="4" w:space="0"/>
            </w:tcBorders>
            <w:noWrap/>
            <w:vAlign w:val="center"/>
          </w:tcPr>
          <w:p w14:paraId="2F7A6F4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1000毫米(宽) X 2100毫米(高)</w:t>
            </w:r>
          </w:p>
        </w:tc>
      </w:tr>
      <w:tr w14:paraId="59979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00D6109C">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候梯厅门</w:t>
            </w:r>
          </w:p>
        </w:tc>
        <w:tc>
          <w:tcPr>
            <w:tcW w:w="2400" w:type="dxa"/>
            <w:tcBorders>
              <w:top w:val="nil"/>
              <w:left w:val="nil"/>
              <w:bottom w:val="single" w:color="auto" w:sz="4" w:space="0"/>
              <w:right w:val="single" w:color="auto" w:sz="4" w:space="0"/>
            </w:tcBorders>
            <w:noWrap/>
            <w:vAlign w:val="center"/>
          </w:tcPr>
          <w:p w14:paraId="2F47E67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厅门、门框装修</w:t>
            </w:r>
          </w:p>
        </w:tc>
        <w:tc>
          <w:tcPr>
            <w:tcW w:w="5756" w:type="dxa"/>
            <w:tcBorders>
              <w:top w:val="nil"/>
              <w:left w:val="nil"/>
              <w:bottom w:val="single" w:color="auto" w:sz="4" w:space="0"/>
              <w:right w:val="single" w:color="auto" w:sz="4" w:space="0"/>
            </w:tcBorders>
            <w:noWrap/>
            <w:vAlign w:val="center"/>
          </w:tcPr>
          <w:p w14:paraId="7461737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银色发纹不锈钢材质厅门6个</w:t>
            </w:r>
          </w:p>
        </w:tc>
      </w:tr>
      <w:tr w14:paraId="258FBF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81B52D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B44DE5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门框</w:t>
            </w:r>
          </w:p>
        </w:tc>
        <w:tc>
          <w:tcPr>
            <w:tcW w:w="5756" w:type="dxa"/>
            <w:tcBorders>
              <w:top w:val="nil"/>
              <w:left w:val="nil"/>
              <w:bottom w:val="single" w:color="auto" w:sz="4" w:space="0"/>
              <w:right w:val="single" w:color="auto" w:sz="4" w:space="0"/>
            </w:tcBorders>
            <w:noWrap/>
            <w:vAlign w:val="center"/>
          </w:tcPr>
          <w:p w14:paraId="5C117A5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所有层标准门框</w:t>
            </w:r>
          </w:p>
        </w:tc>
      </w:tr>
      <w:tr w14:paraId="5FB358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6C518F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25B7D3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厅外显示</w:t>
            </w:r>
          </w:p>
        </w:tc>
        <w:tc>
          <w:tcPr>
            <w:tcW w:w="5756" w:type="dxa"/>
            <w:tcBorders>
              <w:top w:val="nil"/>
              <w:left w:val="nil"/>
              <w:bottom w:val="single" w:color="auto" w:sz="4" w:space="0"/>
              <w:right w:val="single" w:color="auto" w:sz="4" w:space="0"/>
            </w:tcBorders>
            <w:noWrap/>
            <w:vAlign w:val="center"/>
          </w:tcPr>
          <w:p w14:paraId="2ADF9DB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一体式层站召唤，段码液晶显示，银色发丝不锈钢抗指纹</w:t>
            </w:r>
          </w:p>
        </w:tc>
      </w:tr>
      <w:tr w14:paraId="3BD31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E45658D">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轿厢</w:t>
            </w:r>
          </w:p>
        </w:tc>
        <w:tc>
          <w:tcPr>
            <w:tcW w:w="2400" w:type="dxa"/>
            <w:tcBorders>
              <w:top w:val="nil"/>
              <w:left w:val="nil"/>
              <w:bottom w:val="single" w:color="auto" w:sz="4" w:space="0"/>
              <w:right w:val="single" w:color="auto" w:sz="4" w:space="0"/>
            </w:tcBorders>
            <w:noWrap/>
            <w:vAlign w:val="center"/>
          </w:tcPr>
          <w:p w14:paraId="4755BDF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轿厢尺寸</w:t>
            </w:r>
          </w:p>
        </w:tc>
        <w:tc>
          <w:tcPr>
            <w:tcW w:w="5756" w:type="dxa"/>
            <w:tcBorders>
              <w:top w:val="nil"/>
              <w:left w:val="nil"/>
              <w:bottom w:val="single" w:color="auto" w:sz="4" w:space="0"/>
              <w:right w:val="single" w:color="auto" w:sz="4" w:space="0"/>
            </w:tcBorders>
            <w:noWrap/>
            <w:vAlign w:val="center"/>
          </w:tcPr>
          <w:p w14:paraId="3F65B4B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1600毫米(宽) X 1500毫米(深) X 2400毫米(高)</w:t>
            </w:r>
          </w:p>
        </w:tc>
      </w:tr>
      <w:tr w14:paraId="5C79C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B41CC2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641E95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轿门材质</w:t>
            </w:r>
          </w:p>
        </w:tc>
        <w:tc>
          <w:tcPr>
            <w:tcW w:w="5756" w:type="dxa"/>
            <w:tcBorders>
              <w:top w:val="nil"/>
              <w:left w:val="nil"/>
              <w:bottom w:val="single" w:color="auto" w:sz="4" w:space="0"/>
              <w:right w:val="single" w:color="auto" w:sz="4" w:space="0"/>
            </w:tcBorders>
            <w:noWrap/>
            <w:vAlign w:val="center"/>
          </w:tcPr>
          <w:p w14:paraId="79A2253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银色发纹不锈钢</w:t>
            </w:r>
          </w:p>
        </w:tc>
      </w:tr>
      <w:tr w14:paraId="71DA5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5DC2BC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A891DC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轿壁装潢</w:t>
            </w:r>
          </w:p>
        </w:tc>
        <w:tc>
          <w:tcPr>
            <w:tcW w:w="5756" w:type="dxa"/>
            <w:tcBorders>
              <w:top w:val="nil"/>
              <w:left w:val="nil"/>
              <w:bottom w:val="single" w:color="auto" w:sz="4" w:space="0"/>
              <w:right w:val="single" w:color="auto" w:sz="4" w:space="0"/>
            </w:tcBorders>
            <w:noWrap/>
            <w:vAlign w:val="center"/>
          </w:tcPr>
          <w:p w14:paraId="69475D7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前壁：银色发纹不锈钢，侧壁： 银色发纹不锈钢，后壁中板： 银色镜面不锈钢，后壁侧板：银色发纹不锈钢</w:t>
            </w:r>
          </w:p>
        </w:tc>
      </w:tr>
      <w:tr w14:paraId="1BF85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183ED3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D312DC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轿顶类型</w:t>
            </w:r>
          </w:p>
        </w:tc>
        <w:tc>
          <w:tcPr>
            <w:tcW w:w="5756" w:type="dxa"/>
            <w:tcBorders>
              <w:top w:val="nil"/>
              <w:left w:val="nil"/>
              <w:bottom w:val="single" w:color="auto" w:sz="4" w:space="0"/>
              <w:right w:val="single" w:color="auto" w:sz="4" w:space="0"/>
            </w:tcBorders>
            <w:noWrap/>
            <w:vAlign w:val="center"/>
          </w:tcPr>
          <w:p w14:paraId="02B6055C">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银色发纹不锈钢(有空调出风口)型</w:t>
            </w:r>
          </w:p>
        </w:tc>
      </w:tr>
      <w:tr w14:paraId="42637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1B9EC3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4A8ECD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轿厢操作面板</w:t>
            </w:r>
          </w:p>
        </w:tc>
        <w:tc>
          <w:tcPr>
            <w:tcW w:w="5756" w:type="dxa"/>
            <w:tcBorders>
              <w:top w:val="nil"/>
              <w:left w:val="nil"/>
              <w:bottom w:val="single" w:color="auto" w:sz="4" w:space="0"/>
              <w:right w:val="single" w:color="auto" w:sz="4" w:space="0"/>
            </w:tcBorders>
            <w:noWrap/>
            <w:vAlign w:val="center"/>
          </w:tcPr>
          <w:p w14:paraId="0F942B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标准COP带检修盒，9英寸STN段码液晶显示（黑色背景），银色发丝不锈钢抗指纹</w:t>
            </w:r>
          </w:p>
        </w:tc>
      </w:tr>
      <w:tr w14:paraId="441A9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C347725">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3CBCE2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盲文按钮</w:t>
            </w:r>
          </w:p>
        </w:tc>
        <w:tc>
          <w:tcPr>
            <w:tcW w:w="5756" w:type="dxa"/>
            <w:tcBorders>
              <w:top w:val="nil"/>
              <w:left w:val="nil"/>
              <w:bottom w:val="single" w:color="auto" w:sz="4" w:space="0"/>
              <w:right w:val="single" w:color="auto" w:sz="4" w:space="0"/>
            </w:tcBorders>
            <w:noWrap/>
            <w:vAlign w:val="center"/>
          </w:tcPr>
          <w:p w14:paraId="3CAFECC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有</w:t>
            </w:r>
          </w:p>
        </w:tc>
      </w:tr>
      <w:tr w14:paraId="2859D0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A6DC2F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FDE4F8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地板类型</w:t>
            </w:r>
          </w:p>
        </w:tc>
        <w:tc>
          <w:tcPr>
            <w:tcW w:w="5756" w:type="dxa"/>
            <w:tcBorders>
              <w:top w:val="nil"/>
              <w:left w:val="nil"/>
              <w:bottom w:val="single" w:color="auto" w:sz="4" w:space="0"/>
              <w:right w:val="single" w:color="auto" w:sz="4" w:space="0"/>
            </w:tcBorders>
            <w:noWrap/>
            <w:vAlign w:val="center"/>
          </w:tcPr>
          <w:p w14:paraId="3E9D01C6">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岩石灰单色PVC</w:t>
            </w:r>
          </w:p>
        </w:tc>
      </w:tr>
      <w:tr w14:paraId="3849CB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18AB904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8CAC4C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装潢重量</w:t>
            </w:r>
          </w:p>
        </w:tc>
        <w:tc>
          <w:tcPr>
            <w:tcW w:w="5756" w:type="dxa"/>
            <w:tcBorders>
              <w:top w:val="nil"/>
              <w:left w:val="nil"/>
              <w:bottom w:val="single" w:color="auto" w:sz="4" w:space="0"/>
              <w:right w:val="single" w:color="auto" w:sz="4" w:space="0"/>
            </w:tcBorders>
            <w:noWrap/>
            <w:vAlign w:val="center"/>
          </w:tcPr>
          <w:p w14:paraId="65EC60C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0公斤</w:t>
            </w:r>
          </w:p>
        </w:tc>
      </w:tr>
      <w:tr w14:paraId="004E4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vAlign w:val="center"/>
          </w:tcPr>
          <w:p w14:paraId="0222D7D8">
            <w:pPr>
              <w:pStyle w:val="251"/>
              <w:rPr>
                <w:rFonts w:hint="eastAsia" w:cs="Arial" w:asciiTheme="minorEastAsia" w:hAnsiTheme="minorEastAsia" w:eastAsiaTheme="minorEastAsia"/>
                <w:b/>
                <w:sz w:val="24"/>
                <w:szCs w:val="24"/>
                <w:u w:val="single"/>
                <w:lang w:eastAsia="zh-CN"/>
              </w:rPr>
            </w:pPr>
            <w:r>
              <w:rPr>
                <w:rFonts w:cs="Arial" w:asciiTheme="minorEastAsia" w:hAnsiTheme="minorEastAsia" w:eastAsiaTheme="minorEastAsia"/>
                <w:b/>
                <w:sz w:val="24"/>
                <w:szCs w:val="24"/>
                <w:u w:val="single"/>
                <w:lang w:eastAsia="zh-CN"/>
              </w:rPr>
              <w:t>规范及标准</w:t>
            </w:r>
          </w:p>
        </w:tc>
        <w:tc>
          <w:tcPr>
            <w:tcW w:w="8156" w:type="dxa"/>
            <w:gridSpan w:val="2"/>
            <w:tcBorders>
              <w:top w:val="single" w:color="auto" w:sz="4" w:space="0"/>
              <w:left w:val="nil"/>
              <w:bottom w:val="single" w:color="auto" w:sz="4" w:space="0"/>
              <w:right w:val="single" w:color="auto" w:sz="4" w:space="0"/>
            </w:tcBorders>
            <w:noWrap/>
            <w:vAlign w:val="center"/>
          </w:tcPr>
          <w:p w14:paraId="0DBF186B">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《电梯制造与安装安全规范》（企业标准Q/KOS 000326-2022）</w:t>
            </w:r>
          </w:p>
          <w:p w14:paraId="77187505">
            <w:pPr>
              <w:pStyle w:val="251"/>
              <w:rPr>
                <w:rFonts w:hint="eastAsia" w:asciiTheme="minorEastAsia" w:hAnsiTheme="minorEastAsia" w:eastAsiaTheme="minorEastAsia"/>
                <w:sz w:val="24"/>
                <w:szCs w:val="24"/>
              </w:rPr>
            </w:pPr>
            <w:r>
              <w:rPr>
                <w:rFonts w:cs="黑体" w:asciiTheme="minorEastAsia" w:hAnsiTheme="minorEastAsia" w:eastAsiaTheme="minorEastAsia"/>
                <w:sz w:val="24"/>
                <w:szCs w:val="24"/>
              </w:rPr>
              <w:t>注：完整内容请登录https://www.qybz.org.cn/进行查询。</w:t>
            </w:r>
          </w:p>
        </w:tc>
      </w:tr>
      <w:tr w14:paraId="4E73BD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540CD37">
            <w:pPr>
              <w:pStyle w:val="251"/>
              <w:rPr>
                <w:rFonts w:hint="eastAsia" w:cs="Arial" w:asciiTheme="minorEastAsia" w:hAnsiTheme="minorEastAsia" w:eastAsiaTheme="minorEastAsia"/>
                <w:b/>
                <w:sz w:val="24"/>
                <w:szCs w:val="24"/>
                <w:u w:val="single"/>
                <w:lang w:eastAsia="zh-CN"/>
              </w:rPr>
            </w:pPr>
          </w:p>
        </w:tc>
        <w:tc>
          <w:tcPr>
            <w:tcW w:w="8156" w:type="dxa"/>
            <w:gridSpan w:val="2"/>
            <w:tcBorders>
              <w:top w:val="single" w:color="auto" w:sz="4" w:space="0"/>
              <w:left w:val="nil"/>
              <w:bottom w:val="single" w:color="auto" w:sz="4" w:space="0"/>
              <w:right w:val="single" w:color="auto" w:sz="4" w:space="0"/>
            </w:tcBorders>
            <w:noWrap/>
            <w:vAlign w:val="center"/>
          </w:tcPr>
          <w:p w14:paraId="320D9757">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《电梯监督检验和定期检验规则》 （TSG_T7001-2023）</w:t>
            </w:r>
          </w:p>
        </w:tc>
      </w:tr>
    </w:tbl>
    <w:p w14:paraId="492A2F6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ab/>
      </w:r>
    </w:p>
    <w:p w14:paraId="7269CC59">
      <w:pPr>
        <w:pStyle w:val="251"/>
        <w:spacing w:line="252" w:lineRule="auto"/>
        <w:ind w:firstLine="460" w:firstLineChars="20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注：所有尺寸以确认图纸为准，若涉及价格变化由双方协商解决。</w:t>
      </w:r>
    </w:p>
    <w:p w14:paraId="5FD1602D">
      <w:pPr>
        <w:pStyle w:val="251"/>
        <w:spacing w:line="252" w:lineRule="auto"/>
        <w:ind w:firstLine="460" w:firstLineChars="200"/>
        <w:rPr>
          <w:rFonts w:hint="eastAsia" w:cs="Arial" w:asciiTheme="minorEastAsia" w:hAnsiTheme="minorEastAsia" w:eastAsiaTheme="minorEastAsia"/>
          <w:sz w:val="24"/>
          <w:szCs w:val="24"/>
          <w:lang w:eastAsia="zh-CN"/>
        </w:rPr>
      </w:pPr>
    </w:p>
    <w:p w14:paraId="7E638346">
      <w:pPr>
        <w:pStyle w:val="251"/>
        <w:pageBreakBefore/>
        <w:widowControl w:val="0"/>
        <w:spacing w:before="120" w:beforeLines="50" w:line="276" w:lineRule="auto"/>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b/>
          <w:bCs/>
          <w:sz w:val="24"/>
          <w:szCs w:val="24"/>
          <w:lang w:eastAsia="zh-CN"/>
        </w:rPr>
        <w:t>5、</w:t>
      </w:r>
      <w:r>
        <w:rPr>
          <w:rFonts w:cs="Arial" w:asciiTheme="minorEastAsia" w:hAnsiTheme="minorEastAsia" w:eastAsiaTheme="minorEastAsia"/>
          <w:b/>
          <w:bCs/>
          <w:sz w:val="24"/>
          <w:szCs w:val="24"/>
          <w:lang w:eastAsia="zh-CN"/>
        </w:rPr>
        <w:t>技术规格（电梯</w:t>
      </w:r>
      <w:r>
        <w:rPr>
          <w:rFonts w:hint="eastAsia" w:cs="Arial" w:asciiTheme="minorEastAsia" w:hAnsiTheme="minorEastAsia" w:eastAsiaTheme="minorEastAsia"/>
          <w:b/>
          <w:bCs/>
          <w:sz w:val="24"/>
          <w:szCs w:val="24"/>
          <w:lang w:eastAsia="zh-CN"/>
        </w:rPr>
        <w:t>5</w:t>
      </w:r>
      <w:r>
        <w:rPr>
          <w:rFonts w:cs="Arial" w:asciiTheme="minorEastAsia" w:hAnsiTheme="minorEastAsia" w:eastAsiaTheme="minorEastAsia"/>
          <w:b/>
          <w:bCs/>
          <w:sz w:val="24"/>
          <w:szCs w:val="24"/>
          <w:lang w:eastAsia="zh-CN"/>
        </w:rPr>
        <w:t>）</w:t>
      </w:r>
    </w:p>
    <w:tbl>
      <w:tblPr>
        <w:tblStyle w:val="44"/>
        <w:tblW w:w="9356"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2400"/>
        <w:gridCol w:w="5756"/>
      </w:tblGrid>
      <w:tr w14:paraId="246E14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4AB007F8">
            <w:pPr>
              <w:pStyle w:val="251"/>
              <w:jc w:val="center"/>
              <w:rPr>
                <w:rFonts w:hint="eastAsia" w:cs="Arial" w:asciiTheme="minorEastAsia" w:hAnsiTheme="minorEastAsia" w:eastAsiaTheme="minorEastAsia"/>
                <w:b/>
                <w:bCs/>
                <w:sz w:val="24"/>
                <w:szCs w:val="24"/>
                <w:u w:val="single"/>
                <w:lang w:eastAsia="zh-CN"/>
              </w:rPr>
            </w:pPr>
            <w:r>
              <w:rPr>
                <w:rFonts w:cs="Arial" w:asciiTheme="minorEastAsia" w:hAnsiTheme="minorEastAsia" w:eastAsiaTheme="minorEastAsia"/>
                <w:b/>
                <w:bCs/>
                <w:sz w:val="24"/>
                <w:szCs w:val="24"/>
                <w:u w:val="single"/>
                <w:lang w:eastAsia="zh-CN"/>
              </w:rPr>
              <w:t>一般规格</w:t>
            </w:r>
          </w:p>
        </w:tc>
        <w:tc>
          <w:tcPr>
            <w:tcW w:w="2400" w:type="dxa"/>
            <w:tcBorders>
              <w:top w:val="single" w:color="auto" w:sz="4" w:space="0"/>
              <w:left w:val="nil"/>
              <w:bottom w:val="single" w:color="auto" w:sz="4" w:space="0"/>
              <w:right w:val="single" w:color="auto" w:sz="4" w:space="0"/>
            </w:tcBorders>
            <w:noWrap/>
            <w:vAlign w:val="center"/>
          </w:tcPr>
          <w:p w14:paraId="5E2E928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电梯编号</w:t>
            </w:r>
          </w:p>
        </w:tc>
        <w:tc>
          <w:tcPr>
            <w:tcW w:w="5756" w:type="dxa"/>
            <w:tcBorders>
              <w:top w:val="single" w:color="auto" w:sz="4" w:space="0"/>
              <w:left w:val="nil"/>
              <w:bottom w:val="single" w:color="auto" w:sz="4" w:space="0"/>
              <w:right w:val="single" w:color="auto" w:sz="4" w:space="0"/>
            </w:tcBorders>
            <w:noWrap/>
            <w:vAlign w:val="center"/>
          </w:tcPr>
          <w:p w14:paraId="3BB8324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北2#</w:t>
            </w:r>
          </w:p>
        </w:tc>
      </w:tr>
      <w:tr w14:paraId="7C903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E0CC801">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B618A8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产品名称</w:t>
            </w:r>
          </w:p>
        </w:tc>
        <w:tc>
          <w:tcPr>
            <w:tcW w:w="5756" w:type="dxa"/>
            <w:tcBorders>
              <w:top w:val="nil"/>
              <w:left w:val="nil"/>
              <w:bottom w:val="single" w:color="auto" w:sz="4" w:space="0"/>
              <w:right w:val="single" w:color="auto" w:sz="4" w:space="0"/>
            </w:tcBorders>
            <w:noWrap/>
            <w:vAlign w:val="center"/>
          </w:tcPr>
          <w:p w14:paraId="280C57C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无机房乘客电梯</w:t>
            </w:r>
          </w:p>
        </w:tc>
      </w:tr>
      <w:tr w14:paraId="3FF178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34E1452">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56E670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型号/规格/数量</w:t>
            </w:r>
          </w:p>
        </w:tc>
        <w:tc>
          <w:tcPr>
            <w:tcW w:w="5756" w:type="dxa"/>
            <w:tcBorders>
              <w:top w:val="nil"/>
              <w:left w:val="nil"/>
              <w:bottom w:val="single" w:color="auto" w:sz="4" w:space="0"/>
              <w:right w:val="single" w:color="auto" w:sz="4" w:space="0"/>
            </w:tcBorders>
            <w:noWrap/>
            <w:vAlign w:val="center"/>
          </w:tcPr>
          <w:p w14:paraId="17735E3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1台</w:t>
            </w:r>
          </w:p>
        </w:tc>
      </w:tr>
      <w:tr w14:paraId="51CCF5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0"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D9B8820">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2C1F53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额定载重量</w:t>
            </w:r>
          </w:p>
        </w:tc>
        <w:tc>
          <w:tcPr>
            <w:tcW w:w="5756" w:type="dxa"/>
            <w:tcBorders>
              <w:top w:val="nil"/>
              <w:left w:val="nil"/>
              <w:bottom w:val="single" w:color="auto" w:sz="4" w:space="0"/>
              <w:right w:val="single" w:color="auto" w:sz="4" w:space="0"/>
            </w:tcBorders>
            <w:noWrap/>
            <w:vAlign w:val="center"/>
          </w:tcPr>
          <w:p w14:paraId="25E809C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1050公斤</w:t>
            </w:r>
          </w:p>
        </w:tc>
      </w:tr>
      <w:tr w14:paraId="6846D6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EFBF53A">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2FB9A4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额定速度</w:t>
            </w:r>
          </w:p>
        </w:tc>
        <w:tc>
          <w:tcPr>
            <w:tcW w:w="5756" w:type="dxa"/>
            <w:tcBorders>
              <w:top w:val="nil"/>
              <w:left w:val="nil"/>
              <w:bottom w:val="single" w:color="auto" w:sz="4" w:space="0"/>
              <w:right w:val="single" w:color="auto" w:sz="4" w:space="0"/>
            </w:tcBorders>
            <w:noWrap/>
            <w:vAlign w:val="center"/>
          </w:tcPr>
          <w:p w14:paraId="695B227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w:t>
            </w:r>
            <w:r>
              <w:rPr>
                <w:rFonts w:hint="eastAsia" w:cs="Arial" w:asciiTheme="minorEastAsia" w:hAnsiTheme="minorEastAsia" w:eastAsiaTheme="minorEastAsia"/>
                <w:sz w:val="24"/>
                <w:szCs w:val="24"/>
                <w:lang w:eastAsia="zh-CN"/>
              </w:rPr>
              <w:t>6</w:t>
            </w:r>
            <w:r>
              <w:rPr>
                <w:rFonts w:cs="Arial" w:asciiTheme="minorEastAsia" w:hAnsiTheme="minorEastAsia" w:eastAsiaTheme="minorEastAsia"/>
                <w:sz w:val="24"/>
                <w:szCs w:val="24"/>
                <w:lang w:eastAsia="zh-CN"/>
              </w:rPr>
              <w:t>米/秒</w:t>
            </w:r>
          </w:p>
        </w:tc>
      </w:tr>
      <w:tr w14:paraId="63AE2B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0AC261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73DCDC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行程</w:t>
            </w:r>
          </w:p>
        </w:tc>
        <w:tc>
          <w:tcPr>
            <w:tcW w:w="5756" w:type="dxa"/>
            <w:tcBorders>
              <w:top w:val="nil"/>
              <w:left w:val="nil"/>
              <w:bottom w:val="single" w:color="auto" w:sz="4" w:space="0"/>
              <w:right w:val="single" w:color="auto" w:sz="4" w:space="0"/>
            </w:tcBorders>
            <w:noWrap/>
            <w:vAlign w:val="center"/>
          </w:tcPr>
          <w:p w14:paraId="490BC5C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15.86米</w:t>
            </w:r>
          </w:p>
        </w:tc>
      </w:tr>
      <w:tr w14:paraId="399951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BB90BF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50CFC69">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总楼层/服务楼层/门</w:t>
            </w:r>
          </w:p>
        </w:tc>
        <w:tc>
          <w:tcPr>
            <w:tcW w:w="5756" w:type="dxa"/>
            <w:tcBorders>
              <w:top w:val="nil"/>
              <w:left w:val="nil"/>
              <w:bottom w:val="single" w:color="auto" w:sz="4" w:space="0"/>
              <w:right w:val="single" w:color="auto" w:sz="4" w:space="0"/>
            </w:tcBorders>
            <w:noWrap/>
            <w:vAlign w:val="center"/>
          </w:tcPr>
          <w:p w14:paraId="0E3C47C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6 / 6 / 6</w:t>
            </w:r>
          </w:p>
        </w:tc>
      </w:tr>
      <w:tr w14:paraId="59390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2"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9C9A07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71F159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轿厢类型    </w:t>
            </w:r>
          </w:p>
        </w:tc>
        <w:tc>
          <w:tcPr>
            <w:tcW w:w="5756" w:type="dxa"/>
            <w:tcBorders>
              <w:top w:val="nil"/>
              <w:left w:val="nil"/>
              <w:bottom w:val="single" w:color="auto" w:sz="4" w:space="0"/>
              <w:right w:val="single" w:color="auto" w:sz="4" w:space="0"/>
            </w:tcBorders>
            <w:noWrap/>
            <w:vAlign w:val="center"/>
          </w:tcPr>
          <w:p w14:paraId="5E8CC39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单开门</w:t>
            </w:r>
          </w:p>
        </w:tc>
      </w:tr>
      <w:tr w14:paraId="1596E2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C7BAA9B">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操作系统</w:t>
            </w:r>
          </w:p>
        </w:tc>
        <w:tc>
          <w:tcPr>
            <w:tcW w:w="2400" w:type="dxa"/>
            <w:tcBorders>
              <w:top w:val="nil"/>
              <w:left w:val="nil"/>
              <w:bottom w:val="single" w:color="auto" w:sz="4" w:space="0"/>
              <w:right w:val="single" w:color="auto" w:sz="4" w:space="0"/>
            </w:tcBorders>
            <w:noWrap/>
            <w:vAlign w:val="center"/>
          </w:tcPr>
          <w:p w14:paraId="2F4CEC7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控制系统</w:t>
            </w:r>
          </w:p>
        </w:tc>
        <w:tc>
          <w:tcPr>
            <w:tcW w:w="5756" w:type="dxa"/>
            <w:tcBorders>
              <w:top w:val="nil"/>
              <w:left w:val="nil"/>
              <w:bottom w:val="single" w:color="auto" w:sz="4" w:space="0"/>
              <w:right w:val="single" w:color="auto" w:sz="4" w:space="0"/>
            </w:tcBorders>
            <w:noWrap/>
            <w:vAlign w:val="center"/>
          </w:tcPr>
          <w:p w14:paraId="3518DB0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电脑智能控制，串行传输系统</w:t>
            </w:r>
          </w:p>
        </w:tc>
      </w:tr>
      <w:tr w14:paraId="509EC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868E0A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A7F71E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控制方式</w:t>
            </w:r>
          </w:p>
        </w:tc>
        <w:tc>
          <w:tcPr>
            <w:tcW w:w="5756" w:type="dxa"/>
            <w:tcBorders>
              <w:top w:val="nil"/>
              <w:left w:val="nil"/>
              <w:bottom w:val="single" w:color="auto" w:sz="4" w:space="0"/>
              <w:right w:val="single" w:color="auto" w:sz="4" w:space="0"/>
            </w:tcBorders>
            <w:noWrap/>
            <w:vAlign w:val="center"/>
          </w:tcPr>
          <w:p w14:paraId="1640D7A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集选</w:t>
            </w:r>
          </w:p>
        </w:tc>
      </w:tr>
      <w:tr w14:paraId="48A45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75A783C2">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机械规格</w:t>
            </w:r>
          </w:p>
        </w:tc>
        <w:tc>
          <w:tcPr>
            <w:tcW w:w="2400" w:type="dxa"/>
            <w:tcBorders>
              <w:top w:val="nil"/>
              <w:left w:val="nil"/>
              <w:bottom w:val="single" w:color="auto" w:sz="4" w:space="0"/>
              <w:right w:val="single" w:color="auto" w:sz="4" w:space="0"/>
            </w:tcBorders>
            <w:noWrap/>
            <w:vAlign w:val="center"/>
          </w:tcPr>
          <w:p w14:paraId="3676AF0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驱动系统</w:t>
            </w:r>
          </w:p>
        </w:tc>
        <w:tc>
          <w:tcPr>
            <w:tcW w:w="5756" w:type="dxa"/>
            <w:tcBorders>
              <w:top w:val="nil"/>
              <w:left w:val="nil"/>
              <w:bottom w:val="single" w:color="auto" w:sz="4" w:space="0"/>
              <w:right w:val="single" w:color="auto" w:sz="4" w:space="0"/>
            </w:tcBorders>
            <w:noWrap/>
            <w:vAlign w:val="center"/>
          </w:tcPr>
          <w:p w14:paraId="022460D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交流调频调压驱动</w:t>
            </w:r>
          </w:p>
        </w:tc>
      </w:tr>
      <w:tr w14:paraId="28ABC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6"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42F8E2D">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F6E4A5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曳引系统</w:t>
            </w:r>
          </w:p>
        </w:tc>
        <w:tc>
          <w:tcPr>
            <w:tcW w:w="5756" w:type="dxa"/>
            <w:tcBorders>
              <w:top w:val="nil"/>
              <w:left w:val="nil"/>
              <w:bottom w:val="single" w:color="auto" w:sz="4" w:space="0"/>
              <w:right w:val="single" w:color="auto" w:sz="4" w:space="0"/>
            </w:tcBorders>
            <w:noWrap/>
            <w:vAlign w:val="center"/>
          </w:tcPr>
          <w:p w14:paraId="1527887C">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无齿曳引机</w:t>
            </w:r>
          </w:p>
        </w:tc>
      </w:tr>
      <w:tr w14:paraId="3886C5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10F6EC7">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2819A6A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机械位置</w:t>
            </w:r>
          </w:p>
        </w:tc>
        <w:tc>
          <w:tcPr>
            <w:tcW w:w="5756" w:type="dxa"/>
            <w:tcBorders>
              <w:top w:val="nil"/>
              <w:left w:val="nil"/>
              <w:bottom w:val="single" w:color="auto" w:sz="4" w:space="0"/>
              <w:right w:val="single" w:color="auto" w:sz="4" w:space="0"/>
            </w:tcBorders>
            <w:noWrap/>
            <w:vAlign w:val="center"/>
          </w:tcPr>
          <w:p w14:paraId="7B1A3C4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井道顶部</w:t>
            </w:r>
          </w:p>
        </w:tc>
      </w:tr>
      <w:tr w14:paraId="19E2D7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540C282">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建筑尺寸</w:t>
            </w:r>
          </w:p>
        </w:tc>
        <w:tc>
          <w:tcPr>
            <w:tcW w:w="2400" w:type="dxa"/>
            <w:tcBorders>
              <w:top w:val="nil"/>
              <w:left w:val="nil"/>
              <w:bottom w:val="single" w:color="auto" w:sz="4" w:space="0"/>
              <w:right w:val="single" w:color="auto" w:sz="4" w:space="0"/>
            </w:tcBorders>
            <w:noWrap/>
            <w:vAlign w:val="center"/>
          </w:tcPr>
          <w:p w14:paraId="4072B477">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井道尺寸</w:t>
            </w:r>
          </w:p>
        </w:tc>
        <w:tc>
          <w:tcPr>
            <w:tcW w:w="5756" w:type="dxa"/>
            <w:tcBorders>
              <w:top w:val="nil"/>
              <w:left w:val="nil"/>
              <w:bottom w:val="single" w:color="auto" w:sz="4" w:space="0"/>
              <w:right w:val="single" w:color="auto" w:sz="4" w:space="0"/>
            </w:tcBorders>
            <w:noWrap/>
            <w:vAlign w:val="center"/>
          </w:tcPr>
          <w:p w14:paraId="0B821EC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2700毫米(宽) X 1850毫米(深)</w:t>
            </w:r>
          </w:p>
        </w:tc>
      </w:tr>
      <w:tr w14:paraId="31559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E6056F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0F48A9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顶层高度</w:t>
            </w:r>
          </w:p>
        </w:tc>
        <w:tc>
          <w:tcPr>
            <w:tcW w:w="5756" w:type="dxa"/>
            <w:tcBorders>
              <w:top w:val="nil"/>
              <w:left w:val="nil"/>
              <w:bottom w:val="single" w:color="auto" w:sz="4" w:space="0"/>
              <w:right w:val="single" w:color="auto" w:sz="4" w:space="0"/>
            </w:tcBorders>
            <w:noWrap/>
            <w:vAlign w:val="center"/>
          </w:tcPr>
          <w:p w14:paraId="00755BF6">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3990毫米</w:t>
            </w:r>
          </w:p>
        </w:tc>
      </w:tr>
      <w:tr w14:paraId="2261F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C049D1A">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80BB764">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地坑深度</w:t>
            </w:r>
          </w:p>
        </w:tc>
        <w:tc>
          <w:tcPr>
            <w:tcW w:w="5756" w:type="dxa"/>
            <w:tcBorders>
              <w:top w:val="nil"/>
              <w:left w:val="nil"/>
              <w:bottom w:val="single" w:color="auto" w:sz="4" w:space="0"/>
              <w:right w:val="single" w:color="auto" w:sz="4" w:space="0"/>
            </w:tcBorders>
            <w:noWrap/>
            <w:vAlign w:val="center"/>
          </w:tcPr>
          <w:p w14:paraId="1487375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1450毫米</w:t>
            </w:r>
          </w:p>
        </w:tc>
      </w:tr>
      <w:tr w14:paraId="42A783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430525C">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入口尺寸</w:t>
            </w:r>
          </w:p>
        </w:tc>
        <w:tc>
          <w:tcPr>
            <w:tcW w:w="2400" w:type="dxa"/>
            <w:tcBorders>
              <w:top w:val="nil"/>
              <w:left w:val="nil"/>
              <w:bottom w:val="single" w:color="auto" w:sz="4" w:space="0"/>
              <w:right w:val="single" w:color="auto" w:sz="4" w:space="0"/>
            </w:tcBorders>
            <w:noWrap/>
            <w:vAlign w:val="center"/>
          </w:tcPr>
          <w:p w14:paraId="6CD4537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类型</w:t>
            </w:r>
          </w:p>
        </w:tc>
        <w:tc>
          <w:tcPr>
            <w:tcW w:w="5756" w:type="dxa"/>
            <w:tcBorders>
              <w:top w:val="nil"/>
              <w:left w:val="nil"/>
              <w:bottom w:val="single" w:color="auto" w:sz="4" w:space="0"/>
              <w:right w:val="single" w:color="auto" w:sz="4" w:space="0"/>
            </w:tcBorders>
            <w:noWrap/>
            <w:vAlign w:val="center"/>
          </w:tcPr>
          <w:p w14:paraId="2893A18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2扇中分自动门</w:t>
            </w:r>
          </w:p>
        </w:tc>
      </w:tr>
      <w:tr w14:paraId="36869D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F62AFE6">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802E43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尺寸</w:t>
            </w:r>
          </w:p>
        </w:tc>
        <w:tc>
          <w:tcPr>
            <w:tcW w:w="5756" w:type="dxa"/>
            <w:tcBorders>
              <w:top w:val="nil"/>
              <w:left w:val="nil"/>
              <w:bottom w:val="single" w:color="auto" w:sz="4" w:space="0"/>
              <w:right w:val="single" w:color="auto" w:sz="4" w:space="0"/>
            </w:tcBorders>
            <w:noWrap/>
            <w:vAlign w:val="center"/>
          </w:tcPr>
          <w:p w14:paraId="21FB08A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1100毫米(宽) X 2100毫米(高)</w:t>
            </w:r>
          </w:p>
        </w:tc>
      </w:tr>
      <w:tr w14:paraId="6BFCE5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6550F92A">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候梯厅门</w:t>
            </w:r>
          </w:p>
        </w:tc>
        <w:tc>
          <w:tcPr>
            <w:tcW w:w="2400" w:type="dxa"/>
            <w:tcBorders>
              <w:top w:val="nil"/>
              <w:left w:val="nil"/>
              <w:bottom w:val="single" w:color="auto" w:sz="4" w:space="0"/>
              <w:right w:val="single" w:color="auto" w:sz="4" w:space="0"/>
            </w:tcBorders>
            <w:noWrap/>
            <w:vAlign w:val="center"/>
          </w:tcPr>
          <w:p w14:paraId="6E73B96A">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厅门、门框装修</w:t>
            </w:r>
          </w:p>
        </w:tc>
        <w:tc>
          <w:tcPr>
            <w:tcW w:w="5756" w:type="dxa"/>
            <w:tcBorders>
              <w:top w:val="nil"/>
              <w:left w:val="nil"/>
              <w:bottom w:val="single" w:color="auto" w:sz="4" w:space="0"/>
              <w:right w:val="single" w:color="auto" w:sz="4" w:space="0"/>
            </w:tcBorders>
            <w:noWrap/>
            <w:vAlign w:val="center"/>
          </w:tcPr>
          <w:p w14:paraId="689D0CB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银色发纹不锈钢材质厅门6个</w:t>
            </w:r>
          </w:p>
        </w:tc>
      </w:tr>
      <w:tr w14:paraId="31BCF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008BAD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9F4D47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门框</w:t>
            </w:r>
          </w:p>
        </w:tc>
        <w:tc>
          <w:tcPr>
            <w:tcW w:w="5756" w:type="dxa"/>
            <w:tcBorders>
              <w:top w:val="nil"/>
              <w:left w:val="nil"/>
              <w:bottom w:val="single" w:color="auto" w:sz="4" w:space="0"/>
              <w:right w:val="single" w:color="auto" w:sz="4" w:space="0"/>
            </w:tcBorders>
            <w:noWrap/>
            <w:vAlign w:val="center"/>
          </w:tcPr>
          <w:p w14:paraId="5088F8C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所有层标准门框</w:t>
            </w:r>
          </w:p>
        </w:tc>
      </w:tr>
      <w:tr w14:paraId="3B2C0E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39AA82B8">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5D65AC60">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厅外显示</w:t>
            </w:r>
          </w:p>
        </w:tc>
        <w:tc>
          <w:tcPr>
            <w:tcW w:w="5756" w:type="dxa"/>
            <w:tcBorders>
              <w:top w:val="nil"/>
              <w:left w:val="nil"/>
              <w:bottom w:val="single" w:color="auto" w:sz="4" w:space="0"/>
              <w:right w:val="single" w:color="auto" w:sz="4" w:space="0"/>
            </w:tcBorders>
            <w:noWrap/>
            <w:vAlign w:val="center"/>
          </w:tcPr>
          <w:p w14:paraId="2092CF6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一体式层站召唤，段码液晶显示，银色发丝不锈钢抗指纹</w:t>
            </w:r>
          </w:p>
        </w:tc>
      </w:tr>
      <w:tr w14:paraId="79428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noWrap/>
            <w:vAlign w:val="center"/>
          </w:tcPr>
          <w:p w14:paraId="2447046E">
            <w:pPr>
              <w:pStyle w:val="251"/>
              <w:jc w:val="center"/>
              <w:rPr>
                <w:rFonts w:hint="eastAsia" w:cs="Arial" w:asciiTheme="minorEastAsia" w:hAnsiTheme="minorEastAsia" w:eastAsiaTheme="minorEastAsia"/>
                <w:bCs/>
                <w:sz w:val="24"/>
                <w:szCs w:val="24"/>
                <w:u w:val="single"/>
                <w:lang w:eastAsia="zh-CN"/>
              </w:rPr>
            </w:pPr>
            <w:r>
              <w:rPr>
                <w:rFonts w:cs="Arial" w:asciiTheme="minorEastAsia" w:hAnsiTheme="minorEastAsia" w:eastAsiaTheme="minorEastAsia"/>
                <w:b/>
                <w:bCs/>
                <w:sz w:val="24"/>
                <w:szCs w:val="24"/>
                <w:u w:val="single"/>
                <w:lang w:eastAsia="zh-CN"/>
              </w:rPr>
              <w:t>轿厢</w:t>
            </w:r>
          </w:p>
        </w:tc>
        <w:tc>
          <w:tcPr>
            <w:tcW w:w="2400" w:type="dxa"/>
            <w:tcBorders>
              <w:top w:val="nil"/>
              <w:left w:val="nil"/>
              <w:bottom w:val="single" w:color="auto" w:sz="4" w:space="0"/>
              <w:right w:val="single" w:color="auto" w:sz="4" w:space="0"/>
            </w:tcBorders>
            <w:noWrap/>
            <w:vAlign w:val="center"/>
          </w:tcPr>
          <w:p w14:paraId="5381BC9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轿厢尺寸</w:t>
            </w:r>
          </w:p>
        </w:tc>
        <w:tc>
          <w:tcPr>
            <w:tcW w:w="5756" w:type="dxa"/>
            <w:tcBorders>
              <w:top w:val="nil"/>
              <w:left w:val="nil"/>
              <w:bottom w:val="single" w:color="auto" w:sz="4" w:space="0"/>
              <w:right w:val="single" w:color="auto" w:sz="4" w:space="0"/>
            </w:tcBorders>
            <w:noWrap/>
            <w:vAlign w:val="center"/>
          </w:tcPr>
          <w:p w14:paraId="332DA5E8">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1600毫米(宽) X 1500毫米(深) X 2400毫米(高)</w:t>
            </w:r>
          </w:p>
        </w:tc>
      </w:tr>
      <w:tr w14:paraId="5CB33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08DE30E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4F07791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轿门材质</w:t>
            </w:r>
          </w:p>
        </w:tc>
        <w:tc>
          <w:tcPr>
            <w:tcW w:w="5756" w:type="dxa"/>
            <w:tcBorders>
              <w:top w:val="nil"/>
              <w:left w:val="nil"/>
              <w:bottom w:val="single" w:color="auto" w:sz="4" w:space="0"/>
              <w:right w:val="single" w:color="auto" w:sz="4" w:space="0"/>
            </w:tcBorders>
            <w:noWrap/>
            <w:vAlign w:val="center"/>
          </w:tcPr>
          <w:p w14:paraId="6CBE544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银色发纹不锈钢</w:t>
            </w:r>
          </w:p>
        </w:tc>
      </w:tr>
      <w:tr w14:paraId="3C23C6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1951BD4">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305989CE">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轿壁装潢</w:t>
            </w:r>
          </w:p>
        </w:tc>
        <w:tc>
          <w:tcPr>
            <w:tcW w:w="5756" w:type="dxa"/>
            <w:tcBorders>
              <w:top w:val="nil"/>
              <w:left w:val="nil"/>
              <w:bottom w:val="single" w:color="auto" w:sz="4" w:space="0"/>
              <w:right w:val="single" w:color="auto" w:sz="4" w:space="0"/>
            </w:tcBorders>
            <w:noWrap/>
            <w:vAlign w:val="center"/>
          </w:tcPr>
          <w:p w14:paraId="76086BF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前壁：银色发纹不锈钢，侧壁：银色发纹不锈钢，后壁中板：银色镜面不锈钢，后壁侧板：银色发纹不锈钢</w:t>
            </w:r>
          </w:p>
        </w:tc>
      </w:tr>
      <w:tr w14:paraId="006C4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437154A9">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DC9A7D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轿顶类型</w:t>
            </w:r>
          </w:p>
        </w:tc>
        <w:tc>
          <w:tcPr>
            <w:tcW w:w="5756" w:type="dxa"/>
            <w:tcBorders>
              <w:top w:val="nil"/>
              <w:left w:val="nil"/>
              <w:bottom w:val="single" w:color="auto" w:sz="4" w:space="0"/>
              <w:right w:val="single" w:color="auto" w:sz="4" w:space="0"/>
            </w:tcBorders>
            <w:noWrap/>
            <w:vAlign w:val="center"/>
          </w:tcPr>
          <w:p w14:paraId="6C39CCA2">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 银色发纹不锈钢(有空调出风口)型</w:t>
            </w:r>
          </w:p>
        </w:tc>
      </w:tr>
      <w:tr w14:paraId="1B353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5C8485F">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7F8D4551">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轿厢操作面板</w:t>
            </w:r>
          </w:p>
        </w:tc>
        <w:tc>
          <w:tcPr>
            <w:tcW w:w="5756" w:type="dxa"/>
            <w:tcBorders>
              <w:top w:val="nil"/>
              <w:left w:val="nil"/>
              <w:bottom w:val="single" w:color="auto" w:sz="4" w:space="0"/>
              <w:right w:val="single" w:color="auto" w:sz="4" w:space="0"/>
            </w:tcBorders>
            <w:noWrap/>
            <w:vAlign w:val="center"/>
          </w:tcPr>
          <w:p w14:paraId="69A933CD">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信号系统 标准COP带检修盒，9英寸STN段码液晶显示（黑色背景），银色发丝不锈钢抗指纹</w:t>
            </w:r>
          </w:p>
        </w:tc>
      </w:tr>
      <w:tr w14:paraId="7BB10A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63A22F7C">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60049883">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盲文按钮</w:t>
            </w:r>
          </w:p>
        </w:tc>
        <w:tc>
          <w:tcPr>
            <w:tcW w:w="5756" w:type="dxa"/>
            <w:tcBorders>
              <w:top w:val="nil"/>
              <w:left w:val="nil"/>
              <w:bottom w:val="single" w:color="auto" w:sz="4" w:space="0"/>
              <w:right w:val="single" w:color="auto" w:sz="4" w:space="0"/>
            </w:tcBorders>
            <w:noWrap/>
            <w:vAlign w:val="center"/>
          </w:tcPr>
          <w:p w14:paraId="2B5BCC15">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有</w:t>
            </w:r>
          </w:p>
        </w:tc>
      </w:tr>
      <w:tr w14:paraId="23C2A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51DCBA45">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1BE2BF9C">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地板类型</w:t>
            </w:r>
          </w:p>
        </w:tc>
        <w:tc>
          <w:tcPr>
            <w:tcW w:w="5756" w:type="dxa"/>
            <w:tcBorders>
              <w:top w:val="nil"/>
              <w:left w:val="nil"/>
              <w:bottom w:val="single" w:color="auto" w:sz="4" w:space="0"/>
              <w:right w:val="single" w:color="auto" w:sz="4" w:space="0"/>
            </w:tcBorders>
            <w:noWrap/>
            <w:vAlign w:val="center"/>
          </w:tcPr>
          <w:p w14:paraId="64DD95A4">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岩石灰单色PVC</w:t>
            </w:r>
          </w:p>
        </w:tc>
      </w:tr>
      <w:tr w14:paraId="1E4E69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7DFA8135">
            <w:pPr>
              <w:pStyle w:val="251"/>
              <w:rPr>
                <w:rFonts w:hint="eastAsia" w:cs="Arial" w:asciiTheme="minorEastAsia" w:hAnsiTheme="minorEastAsia" w:eastAsiaTheme="minorEastAsia"/>
                <w:bCs/>
                <w:sz w:val="24"/>
                <w:szCs w:val="24"/>
                <w:u w:val="single"/>
                <w:lang w:eastAsia="zh-CN"/>
              </w:rPr>
            </w:pPr>
          </w:p>
        </w:tc>
        <w:tc>
          <w:tcPr>
            <w:tcW w:w="2400" w:type="dxa"/>
            <w:tcBorders>
              <w:top w:val="nil"/>
              <w:left w:val="nil"/>
              <w:bottom w:val="single" w:color="auto" w:sz="4" w:space="0"/>
              <w:right w:val="single" w:color="auto" w:sz="4" w:space="0"/>
            </w:tcBorders>
            <w:noWrap/>
            <w:vAlign w:val="center"/>
          </w:tcPr>
          <w:p w14:paraId="0E3BC1DF">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装潢重量</w:t>
            </w:r>
          </w:p>
        </w:tc>
        <w:tc>
          <w:tcPr>
            <w:tcW w:w="5756" w:type="dxa"/>
            <w:tcBorders>
              <w:top w:val="nil"/>
              <w:left w:val="nil"/>
              <w:bottom w:val="single" w:color="auto" w:sz="4" w:space="0"/>
              <w:right w:val="single" w:color="auto" w:sz="4" w:space="0"/>
            </w:tcBorders>
            <w:noWrap/>
            <w:vAlign w:val="center"/>
          </w:tcPr>
          <w:p w14:paraId="258945FB">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0公斤</w:t>
            </w:r>
          </w:p>
        </w:tc>
      </w:tr>
      <w:tr w14:paraId="28FA6A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restart"/>
            <w:tcBorders>
              <w:top w:val="single" w:color="auto" w:sz="0" w:space="0"/>
              <w:left w:val="single" w:color="auto" w:sz="4" w:space="0"/>
              <w:bottom w:val="single" w:color="auto" w:sz="0" w:space="0"/>
              <w:right w:val="single" w:color="auto" w:sz="4" w:space="0"/>
            </w:tcBorders>
            <w:vAlign w:val="center"/>
          </w:tcPr>
          <w:p w14:paraId="414473B6">
            <w:pPr>
              <w:pStyle w:val="251"/>
              <w:rPr>
                <w:rFonts w:hint="eastAsia" w:cs="Arial" w:asciiTheme="minorEastAsia" w:hAnsiTheme="minorEastAsia" w:eastAsiaTheme="minorEastAsia"/>
                <w:b/>
                <w:sz w:val="24"/>
                <w:szCs w:val="24"/>
                <w:u w:val="single"/>
                <w:lang w:eastAsia="zh-CN"/>
              </w:rPr>
            </w:pPr>
            <w:r>
              <w:rPr>
                <w:rFonts w:cs="Arial" w:asciiTheme="minorEastAsia" w:hAnsiTheme="minorEastAsia" w:eastAsiaTheme="minorEastAsia"/>
                <w:b/>
                <w:sz w:val="24"/>
                <w:szCs w:val="24"/>
                <w:u w:val="single"/>
                <w:lang w:eastAsia="zh-CN"/>
              </w:rPr>
              <w:t>规范及标准</w:t>
            </w:r>
          </w:p>
        </w:tc>
        <w:tc>
          <w:tcPr>
            <w:tcW w:w="8156" w:type="dxa"/>
            <w:gridSpan w:val="2"/>
            <w:tcBorders>
              <w:top w:val="single" w:color="auto" w:sz="4" w:space="0"/>
              <w:left w:val="nil"/>
              <w:bottom w:val="single" w:color="auto" w:sz="4" w:space="0"/>
              <w:right w:val="single" w:color="auto" w:sz="4" w:space="0"/>
            </w:tcBorders>
            <w:noWrap/>
            <w:vAlign w:val="center"/>
          </w:tcPr>
          <w:p w14:paraId="7A17E96D">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《电梯制造与安装安全规范》（企业标准Q/KOS 000326-2022）</w:t>
            </w:r>
          </w:p>
          <w:p w14:paraId="0262F269">
            <w:pPr>
              <w:pStyle w:val="251"/>
              <w:rPr>
                <w:rFonts w:hint="eastAsia" w:asciiTheme="minorEastAsia" w:hAnsiTheme="minorEastAsia" w:eastAsiaTheme="minorEastAsia"/>
                <w:sz w:val="24"/>
                <w:szCs w:val="24"/>
              </w:rPr>
            </w:pPr>
            <w:r>
              <w:rPr>
                <w:rFonts w:cs="黑体" w:asciiTheme="minorEastAsia" w:hAnsiTheme="minorEastAsia" w:eastAsiaTheme="minorEastAsia"/>
                <w:sz w:val="24"/>
                <w:szCs w:val="24"/>
              </w:rPr>
              <w:t>注：完整内容请登录https://www.qybz.org.cn/进行查询。</w:t>
            </w:r>
          </w:p>
        </w:tc>
      </w:tr>
      <w:tr w14:paraId="7E8C1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8" w:hRule="atLeast"/>
        </w:trPr>
        <w:tc>
          <w:tcPr>
            <w:tcW w:w="1200" w:type="dxa"/>
            <w:vMerge w:val="continue"/>
            <w:tcBorders>
              <w:top w:val="single" w:color="auto" w:sz="0" w:space="0"/>
              <w:left w:val="single" w:color="auto" w:sz="4" w:space="0"/>
              <w:bottom w:val="single" w:color="auto" w:sz="0" w:space="0"/>
              <w:right w:val="single" w:color="auto" w:sz="4" w:space="0"/>
            </w:tcBorders>
            <w:vAlign w:val="center"/>
          </w:tcPr>
          <w:p w14:paraId="29DC5CF4">
            <w:pPr>
              <w:pStyle w:val="251"/>
              <w:rPr>
                <w:rFonts w:hint="eastAsia" w:cs="Arial" w:asciiTheme="minorEastAsia" w:hAnsiTheme="minorEastAsia" w:eastAsiaTheme="minorEastAsia"/>
                <w:b/>
                <w:sz w:val="24"/>
                <w:szCs w:val="24"/>
                <w:u w:val="single"/>
                <w:lang w:eastAsia="zh-CN"/>
              </w:rPr>
            </w:pPr>
          </w:p>
        </w:tc>
        <w:tc>
          <w:tcPr>
            <w:tcW w:w="8156" w:type="dxa"/>
            <w:gridSpan w:val="2"/>
            <w:tcBorders>
              <w:top w:val="single" w:color="auto" w:sz="4" w:space="0"/>
              <w:left w:val="nil"/>
              <w:bottom w:val="single" w:color="auto" w:sz="4" w:space="0"/>
              <w:right w:val="single" w:color="auto" w:sz="4" w:space="0"/>
            </w:tcBorders>
            <w:noWrap/>
            <w:vAlign w:val="center"/>
          </w:tcPr>
          <w:p w14:paraId="05E6B3CB">
            <w:pPr>
              <w:pStyle w:val="251"/>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《电梯监督检验和定期检验规则》 （TSG_T7001-2023）</w:t>
            </w:r>
          </w:p>
        </w:tc>
      </w:tr>
    </w:tbl>
    <w:p w14:paraId="5FD73F12">
      <w:pPr>
        <w:pStyle w:val="251"/>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ab/>
      </w:r>
    </w:p>
    <w:p w14:paraId="5F9B7645">
      <w:pPr>
        <w:pStyle w:val="251"/>
        <w:spacing w:line="252" w:lineRule="auto"/>
        <w:ind w:firstLine="460" w:firstLineChars="20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注：所有尺寸以确认图纸为准，若涉及价格变化由双方协商解决。</w:t>
      </w:r>
    </w:p>
    <w:p w14:paraId="6A152203">
      <w:pPr>
        <w:pStyle w:val="251"/>
        <w:pageBreakBefore/>
        <w:spacing w:after="160" w:line="259" w:lineRule="auto"/>
        <w:rPr>
          <w:rFonts w:hint="eastAsia" w:cs="Arial" w:asciiTheme="minorEastAsia" w:hAnsiTheme="minorEastAsia" w:eastAsiaTheme="minorEastAsia"/>
          <w:b/>
          <w:bCs/>
          <w:sz w:val="24"/>
          <w:szCs w:val="24"/>
          <w:lang w:eastAsia="zh-CN"/>
        </w:rPr>
      </w:pPr>
      <w:r>
        <w:rPr>
          <w:rFonts w:cs="Arial" w:asciiTheme="minorEastAsia" w:hAnsiTheme="minorEastAsia" w:eastAsiaTheme="minorEastAsia"/>
          <w:b/>
          <w:bCs/>
          <w:sz w:val="24"/>
          <w:szCs w:val="24"/>
          <w:lang w:eastAsia="zh-CN"/>
        </w:rPr>
        <w:t xml:space="preserve"> 辅助设备综合表（标准）</w:t>
      </w:r>
    </w:p>
    <w:tbl>
      <w:tblPr>
        <w:tblStyle w:val="44"/>
        <w:tblW w:w="9758" w:type="dxa"/>
        <w:tblInd w:w="0" w:type="dxa"/>
        <w:tblLayout w:type="autofit"/>
        <w:tblCellMar>
          <w:top w:w="0" w:type="dxa"/>
          <w:left w:w="108" w:type="dxa"/>
          <w:bottom w:w="0" w:type="dxa"/>
          <w:right w:w="108" w:type="dxa"/>
        </w:tblCellMar>
      </w:tblPr>
      <w:tblGrid>
        <w:gridCol w:w="3238"/>
        <w:gridCol w:w="3118"/>
        <w:gridCol w:w="3402"/>
      </w:tblGrid>
      <w:tr w14:paraId="5FBB5932">
        <w:tblPrEx>
          <w:tblCellMar>
            <w:top w:w="0" w:type="dxa"/>
            <w:left w:w="108" w:type="dxa"/>
            <w:bottom w:w="0" w:type="dxa"/>
            <w:right w:w="108" w:type="dxa"/>
          </w:tblCellMar>
        </w:tblPrEx>
        <w:trPr>
          <w:trHeight w:val="315" w:hRule="atLeast"/>
        </w:trPr>
        <w:tc>
          <w:tcPr>
            <w:tcW w:w="3238" w:type="dxa"/>
            <w:tcBorders>
              <w:top w:val="double" w:color="auto" w:sz="6" w:space="0"/>
              <w:left w:val="double" w:color="auto" w:sz="6" w:space="0"/>
              <w:bottom w:val="single" w:color="auto" w:sz="4" w:space="0"/>
              <w:right w:val="double" w:color="auto" w:sz="6" w:space="0"/>
            </w:tcBorders>
            <w:shd w:val="clear" w:color="auto" w:fill="auto"/>
            <w:vAlign w:val="center"/>
          </w:tcPr>
          <w:p w14:paraId="47C6AAFA">
            <w:pPr>
              <w:pStyle w:val="251"/>
              <w:rPr>
                <w:rFonts w:hint="eastAsia" w:cs="黑体" w:asciiTheme="minorEastAsia" w:hAnsiTheme="minorEastAsia" w:eastAsiaTheme="minorEastAsia"/>
                <w:b/>
                <w:bCs/>
                <w:sz w:val="24"/>
                <w:szCs w:val="24"/>
                <w:u w:val="single"/>
                <w:lang w:eastAsia="zh-CN"/>
              </w:rPr>
            </w:pPr>
            <w:r>
              <w:rPr>
                <w:rFonts w:hint="eastAsia" w:cs="黑体" w:asciiTheme="minorEastAsia" w:hAnsiTheme="minorEastAsia" w:eastAsiaTheme="minorEastAsia"/>
                <w:b/>
                <w:bCs/>
                <w:sz w:val="24"/>
                <w:szCs w:val="24"/>
                <w:u w:val="single"/>
                <w:lang w:eastAsia="zh-CN"/>
              </w:rPr>
              <w:t>安全功能</w:t>
            </w:r>
          </w:p>
        </w:tc>
        <w:tc>
          <w:tcPr>
            <w:tcW w:w="3118" w:type="dxa"/>
            <w:tcBorders>
              <w:top w:val="double" w:color="auto" w:sz="6" w:space="0"/>
              <w:left w:val="nil"/>
              <w:bottom w:val="single" w:color="auto" w:sz="4" w:space="0"/>
              <w:right w:val="double" w:color="auto" w:sz="6" w:space="0"/>
            </w:tcBorders>
            <w:shd w:val="clear" w:color="auto" w:fill="auto"/>
            <w:vAlign w:val="center"/>
          </w:tcPr>
          <w:p w14:paraId="2B9A0327">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禁止开门开关，控制柜内</w:t>
            </w:r>
          </w:p>
        </w:tc>
        <w:tc>
          <w:tcPr>
            <w:tcW w:w="3402" w:type="dxa"/>
            <w:tcBorders>
              <w:top w:val="double" w:color="auto" w:sz="6" w:space="0"/>
              <w:left w:val="nil"/>
              <w:bottom w:val="single" w:color="auto" w:sz="4" w:space="0"/>
              <w:right w:val="double" w:color="auto" w:sz="6" w:space="0"/>
            </w:tcBorders>
            <w:shd w:val="clear" w:color="auto" w:fill="auto"/>
            <w:vAlign w:val="center"/>
          </w:tcPr>
          <w:p w14:paraId="4E77A9D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轿厢照明自动控制</w:t>
            </w:r>
          </w:p>
        </w:tc>
      </w:tr>
      <w:tr w14:paraId="750DCAC6">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3159C6EE">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拯救及故障监测</w:t>
            </w:r>
          </w:p>
        </w:tc>
        <w:tc>
          <w:tcPr>
            <w:tcW w:w="3118" w:type="dxa"/>
            <w:tcBorders>
              <w:top w:val="nil"/>
              <w:left w:val="nil"/>
              <w:bottom w:val="single" w:color="auto" w:sz="4" w:space="0"/>
              <w:right w:val="double" w:color="auto" w:sz="6" w:space="0"/>
            </w:tcBorders>
            <w:shd w:val="clear" w:color="auto" w:fill="auto"/>
            <w:vAlign w:val="center"/>
          </w:tcPr>
          <w:p w14:paraId="5C316449">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井道急停开关，一个开关</w:t>
            </w:r>
          </w:p>
        </w:tc>
        <w:tc>
          <w:tcPr>
            <w:tcW w:w="3402" w:type="dxa"/>
            <w:tcBorders>
              <w:top w:val="nil"/>
              <w:left w:val="nil"/>
              <w:bottom w:val="single" w:color="auto" w:sz="4" w:space="0"/>
              <w:right w:val="double" w:color="auto" w:sz="6" w:space="0"/>
            </w:tcBorders>
            <w:shd w:val="clear" w:color="auto" w:fill="auto"/>
            <w:vAlign w:val="center"/>
          </w:tcPr>
          <w:p w14:paraId="6DE13DD3">
            <w:pPr>
              <w:pStyle w:val="251"/>
              <w:rPr>
                <w:rFonts w:hint="eastAsia" w:cs="黑体" w:asciiTheme="minorEastAsia" w:hAnsiTheme="minorEastAsia" w:eastAsiaTheme="minorEastAsia"/>
                <w:b/>
                <w:bCs/>
                <w:sz w:val="24"/>
                <w:szCs w:val="24"/>
                <w:u w:val="single"/>
                <w:lang w:eastAsia="zh-CN"/>
              </w:rPr>
            </w:pPr>
            <w:r>
              <w:rPr>
                <w:rFonts w:hint="eastAsia" w:cs="黑体" w:asciiTheme="minorEastAsia" w:hAnsiTheme="minorEastAsia" w:eastAsiaTheme="minorEastAsia"/>
                <w:b/>
                <w:bCs/>
                <w:sz w:val="24"/>
                <w:szCs w:val="24"/>
                <w:u w:val="single"/>
                <w:lang w:eastAsia="zh-CN"/>
              </w:rPr>
              <w:t>控制功能</w:t>
            </w:r>
          </w:p>
        </w:tc>
      </w:tr>
      <w:tr w14:paraId="243D6F2E">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2D290957">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上行轿厢超速防护</w:t>
            </w:r>
          </w:p>
        </w:tc>
        <w:tc>
          <w:tcPr>
            <w:tcW w:w="3118" w:type="dxa"/>
            <w:tcBorders>
              <w:top w:val="nil"/>
              <w:left w:val="nil"/>
              <w:bottom w:val="single" w:color="auto" w:sz="4" w:space="0"/>
              <w:right w:val="double" w:color="auto" w:sz="6" w:space="0"/>
            </w:tcBorders>
            <w:shd w:val="clear" w:color="auto" w:fill="auto"/>
            <w:vAlign w:val="center"/>
          </w:tcPr>
          <w:p w14:paraId="1A580861">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轿顶急停开关</w:t>
            </w:r>
          </w:p>
        </w:tc>
        <w:tc>
          <w:tcPr>
            <w:tcW w:w="3402" w:type="dxa"/>
            <w:tcBorders>
              <w:top w:val="nil"/>
              <w:left w:val="nil"/>
              <w:bottom w:val="single" w:color="auto" w:sz="4" w:space="0"/>
              <w:right w:val="double" w:color="auto" w:sz="6" w:space="0"/>
            </w:tcBorders>
            <w:shd w:val="clear" w:color="auto" w:fill="auto"/>
            <w:vAlign w:val="center"/>
          </w:tcPr>
          <w:p w14:paraId="3E462670">
            <w:pPr>
              <w:pStyle w:val="251"/>
              <w:rPr>
                <w:rFonts w:hint="eastAsia" w:cs="黑体" w:asciiTheme="minorEastAsia" w:hAnsiTheme="minorEastAsia" w:eastAsiaTheme="minorEastAsia"/>
                <w:b/>
                <w:bCs/>
                <w:sz w:val="24"/>
                <w:szCs w:val="24"/>
                <w:u w:val="single"/>
                <w:lang w:eastAsia="zh-CN"/>
              </w:rPr>
            </w:pPr>
            <w:r>
              <w:rPr>
                <w:rFonts w:hint="eastAsia" w:cs="黑体" w:asciiTheme="minorEastAsia" w:hAnsiTheme="minorEastAsia" w:eastAsiaTheme="minorEastAsia"/>
                <w:b/>
                <w:bCs/>
                <w:sz w:val="24"/>
                <w:szCs w:val="24"/>
                <w:lang w:eastAsia="zh-CN"/>
              </w:rPr>
              <w:t>大楼适应功能</w:t>
            </w:r>
          </w:p>
        </w:tc>
      </w:tr>
      <w:tr w14:paraId="73D4596B">
        <w:tblPrEx>
          <w:tblCellMar>
            <w:top w:w="0" w:type="dxa"/>
            <w:left w:w="108" w:type="dxa"/>
            <w:bottom w:w="0" w:type="dxa"/>
            <w:right w:w="108" w:type="dxa"/>
          </w:tblCellMar>
        </w:tblPrEx>
        <w:trPr>
          <w:trHeight w:val="45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3DEFF0A">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缓冲器开关</w:t>
            </w:r>
          </w:p>
        </w:tc>
        <w:tc>
          <w:tcPr>
            <w:tcW w:w="3118" w:type="dxa"/>
            <w:tcBorders>
              <w:top w:val="nil"/>
              <w:left w:val="nil"/>
              <w:bottom w:val="single" w:color="auto" w:sz="4" w:space="0"/>
              <w:right w:val="double" w:color="auto" w:sz="6" w:space="0"/>
            </w:tcBorders>
            <w:shd w:val="clear" w:color="auto" w:fill="auto"/>
            <w:vAlign w:val="center"/>
          </w:tcPr>
          <w:p w14:paraId="7CEB1FD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禁止外呼开关</w:t>
            </w:r>
          </w:p>
        </w:tc>
        <w:tc>
          <w:tcPr>
            <w:tcW w:w="3402" w:type="dxa"/>
            <w:tcBorders>
              <w:top w:val="nil"/>
              <w:left w:val="nil"/>
              <w:bottom w:val="single" w:color="auto" w:sz="4" w:space="0"/>
              <w:right w:val="double" w:color="auto" w:sz="6" w:space="0"/>
            </w:tcBorders>
            <w:shd w:val="clear" w:color="auto" w:fill="auto"/>
            <w:vAlign w:val="center"/>
          </w:tcPr>
          <w:p w14:paraId="6331429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轿厢照明熔丝及轿厢照明电源主开关位置在控制柜内</w:t>
            </w:r>
          </w:p>
        </w:tc>
      </w:tr>
      <w:tr w14:paraId="3AD5CB7C">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34775169">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修正运行功能</w:t>
            </w:r>
          </w:p>
        </w:tc>
        <w:tc>
          <w:tcPr>
            <w:tcW w:w="3118" w:type="dxa"/>
            <w:tcBorders>
              <w:top w:val="nil"/>
              <w:left w:val="nil"/>
              <w:bottom w:val="single" w:color="auto" w:sz="4" w:space="0"/>
              <w:right w:val="double" w:color="auto" w:sz="6" w:space="0"/>
            </w:tcBorders>
            <w:shd w:val="clear" w:color="auto" w:fill="auto"/>
            <w:vAlign w:val="center"/>
          </w:tcPr>
          <w:p w14:paraId="607B0694">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轿厢限速器在井道里</w:t>
            </w:r>
          </w:p>
        </w:tc>
        <w:tc>
          <w:tcPr>
            <w:tcW w:w="3402" w:type="dxa"/>
            <w:tcBorders>
              <w:top w:val="nil"/>
              <w:left w:val="nil"/>
              <w:bottom w:val="single" w:color="auto" w:sz="4" w:space="0"/>
              <w:right w:val="double" w:color="auto" w:sz="6" w:space="0"/>
            </w:tcBorders>
            <w:shd w:val="clear" w:color="auto" w:fill="auto"/>
            <w:vAlign w:val="center"/>
          </w:tcPr>
          <w:p w14:paraId="6AB84902">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主熔丝，控制柜</w:t>
            </w:r>
          </w:p>
        </w:tc>
      </w:tr>
      <w:tr w14:paraId="7B131A44">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36EC3441">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双速度监控</w:t>
            </w:r>
          </w:p>
        </w:tc>
        <w:tc>
          <w:tcPr>
            <w:tcW w:w="3118" w:type="dxa"/>
            <w:tcBorders>
              <w:top w:val="nil"/>
              <w:left w:val="nil"/>
              <w:bottom w:val="single" w:color="auto" w:sz="4" w:space="0"/>
              <w:right w:val="double" w:color="auto" w:sz="6" w:space="0"/>
            </w:tcBorders>
            <w:shd w:val="clear" w:color="auto" w:fill="auto"/>
            <w:vAlign w:val="center"/>
          </w:tcPr>
          <w:p w14:paraId="1E9D8425">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限速器试验装置</w:t>
            </w:r>
          </w:p>
        </w:tc>
        <w:tc>
          <w:tcPr>
            <w:tcW w:w="3402" w:type="dxa"/>
            <w:tcBorders>
              <w:top w:val="nil"/>
              <w:left w:val="nil"/>
              <w:bottom w:val="single" w:color="auto" w:sz="4" w:space="0"/>
              <w:right w:val="double" w:color="auto" w:sz="6" w:space="0"/>
            </w:tcBorders>
            <w:shd w:val="clear" w:color="auto" w:fill="auto"/>
            <w:vAlign w:val="center"/>
          </w:tcPr>
          <w:p w14:paraId="1BE353D0">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主开关位于控制柜内</w:t>
            </w:r>
          </w:p>
        </w:tc>
      </w:tr>
      <w:tr w14:paraId="762D687D">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26E39C6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运行时间监控</w:t>
            </w:r>
          </w:p>
        </w:tc>
        <w:tc>
          <w:tcPr>
            <w:tcW w:w="3118" w:type="dxa"/>
            <w:tcBorders>
              <w:top w:val="nil"/>
              <w:left w:val="nil"/>
              <w:bottom w:val="single" w:color="auto" w:sz="4" w:space="0"/>
              <w:right w:val="double" w:color="auto" w:sz="6" w:space="0"/>
            </w:tcBorders>
            <w:shd w:val="clear" w:color="auto" w:fill="auto"/>
            <w:vAlign w:val="center"/>
          </w:tcPr>
          <w:p w14:paraId="04F35B35">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轿厢限速器张紧块安全触点</w:t>
            </w:r>
          </w:p>
        </w:tc>
        <w:tc>
          <w:tcPr>
            <w:tcW w:w="3402" w:type="dxa"/>
            <w:tcBorders>
              <w:top w:val="nil"/>
              <w:left w:val="nil"/>
              <w:bottom w:val="single" w:color="auto" w:sz="4" w:space="0"/>
              <w:right w:val="double" w:color="auto" w:sz="6" w:space="0"/>
            </w:tcBorders>
            <w:shd w:val="clear" w:color="auto" w:fill="auto"/>
            <w:vAlign w:val="center"/>
          </w:tcPr>
          <w:p w14:paraId="06FEC08C">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故障电流开关，一个相位用于照明</w:t>
            </w:r>
          </w:p>
        </w:tc>
      </w:tr>
      <w:tr w14:paraId="638E5E20">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470E7500">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门区指示灯，无蜂鸣</w:t>
            </w:r>
          </w:p>
        </w:tc>
        <w:tc>
          <w:tcPr>
            <w:tcW w:w="3118" w:type="dxa"/>
            <w:tcBorders>
              <w:top w:val="nil"/>
              <w:left w:val="nil"/>
              <w:bottom w:val="single" w:color="auto" w:sz="4" w:space="0"/>
              <w:right w:val="double" w:color="auto" w:sz="6" w:space="0"/>
            </w:tcBorders>
            <w:shd w:val="clear" w:color="auto" w:fill="auto"/>
            <w:vAlign w:val="center"/>
          </w:tcPr>
          <w:p w14:paraId="10AB68E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检修运行</w:t>
            </w:r>
          </w:p>
        </w:tc>
        <w:tc>
          <w:tcPr>
            <w:tcW w:w="3402" w:type="dxa"/>
            <w:tcBorders>
              <w:top w:val="nil"/>
              <w:left w:val="nil"/>
              <w:bottom w:val="single" w:color="auto" w:sz="4" w:space="0"/>
              <w:right w:val="double" w:color="auto" w:sz="6" w:space="0"/>
            </w:tcBorders>
            <w:shd w:val="clear" w:color="auto" w:fill="auto"/>
            <w:vAlign w:val="center"/>
          </w:tcPr>
          <w:p w14:paraId="1AE52377">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优先和特殊服务功能</w:t>
            </w:r>
          </w:p>
        </w:tc>
      </w:tr>
      <w:tr w14:paraId="6F4DB46D">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7BDDFE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轿顶闭锁装置开关</w:t>
            </w:r>
          </w:p>
        </w:tc>
        <w:tc>
          <w:tcPr>
            <w:tcW w:w="3118" w:type="dxa"/>
            <w:tcBorders>
              <w:top w:val="nil"/>
              <w:left w:val="nil"/>
              <w:bottom w:val="single" w:color="auto" w:sz="4" w:space="0"/>
              <w:right w:val="double" w:color="auto" w:sz="6" w:space="0"/>
            </w:tcBorders>
            <w:shd w:val="clear" w:color="auto" w:fill="auto"/>
            <w:vAlign w:val="center"/>
          </w:tcPr>
          <w:p w14:paraId="7A442298">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安全钳触点</w:t>
            </w:r>
          </w:p>
        </w:tc>
        <w:tc>
          <w:tcPr>
            <w:tcW w:w="3402" w:type="dxa"/>
            <w:tcBorders>
              <w:top w:val="nil"/>
              <w:left w:val="nil"/>
              <w:bottom w:val="single" w:color="auto" w:sz="4" w:space="0"/>
              <w:right w:val="double" w:color="auto" w:sz="6" w:space="0"/>
            </w:tcBorders>
            <w:shd w:val="clear" w:color="auto" w:fill="auto"/>
            <w:vAlign w:val="center"/>
          </w:tcPr>
          <w:p w14:paraId="22F0147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层站退出服务开关，门关，灯熄灭</w:t>
            </w:r>
          </w:p>
        </w:tc>
      </w:tr>
      <w:tr w14:paraId="2E5181B2">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130FB755">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轿厢安全出口触点</w:t>
            </w:r>
          </w:p>
        </w:tc>
        <w:tc>
          <w:tcPr>
            <w:tcW w:w="3118" w:type="dxa"/>
            <w:tcBorders>
              <w:top w:val="nil"/>
              <w:left w:val="nil"/>
              <w:bottom w:val="single" w:color="auto" w:sz="4" w:space="0"/>
              <w:right w:val="double" w:color="auto" w:sz="6" w:space="0"/>
            </w:tcBorders>
            <w:shd w:val="clear" w:color="auto" w:fill="auto"/>
            <w:vAlign w:val="center"/>
          </w:tcPr>
          <w:p w14:paraId="5CF8E390">
            <w:pPr>
              <w:pStyle w:val="251"/>
              <w:rPr>
                <w:rFonts w:hint="eastAsia" w:cs="黑体" w:asciiTheme="minorEastAsia" w:hAnsiTheme="minorEastAsia" w:eastAsiaTheme="minorEastAsia"/>
                <w:b/>
                <w:bCs/>
                <w:sz w:val="24"/>
                <w:szCs w:val="24"/>
                <w:u w:val="single"/>
                <w:lang w:eastAsia="zh-CN"/>
              </w:rPr>
            </w:pPr>
            <w:r>
              <w:rPr>
                <w:rFonts w:hint="eastAsia" w:cs="黑体" w:asciiTheme="minorEastAsia" w:hAnsiTheme="minorEastAsia" w:eastAsiaTheme="minorEastAsia"/>
                <w:b/>
                <w:bCs/>
                <w:sz w:val="24"/>
                <w:szCs w:val="24"/>
                <w:u w:val="single"/>
                <w:lang w:eastAsia="zh-CN"/>
              </w:rPr>
              <w:t>乘客舒适功能</w:t>
            </w:r>
          </w:p>
        </w:tc>
        <w:tc>
          <w:tcPr>
            <w:tcW w:w="3402" w:type="dxa"/>
            <w:tcBorders>
              <w:top w:val="nil"/>
              <w:left w:val="nil"/>
              <w:bottom w:val="single" w:color="auto" w:sz="4" w:space="0"/>
              <w:right w:val="double" w:color="auto" w:sz="6" w:space="0"/>
            </w:tcBorders>
            <w:shd w:val="clear" w:color="auto" w:fill="auto"/>
            <w:vAlign w:val="center"/>
          </w:tcPr>
          <w:p w14:paraId="533EE12E">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空闲轿厢分配</w:t>
            </w:r>
          </w:p>
        </w:tc>
      </w:tr>
      <w:tr w14:paraId="4934E412">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07E9574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马达过热保护</w:t>
            </w:r>
          </w:p>
        </w:tc>
        <w:tc>
          <w:tcPr>
            <w:tcW w:w="3118" w:type="dxa"/>
            <w:tcBorders>
              <w:top w:val="nil"/>
              <w:left w:val="nil"/>
              <w:bottom w:val="single" w:color="auto" w:sz="4" w:space="0"/>
              <w:right w:val="double" w:color="auto" w:sz="6" w:space="0"/>
            </w:tcBorders>
            <w:shd w:val="clear" w:color="auto" w:fill="auto"/>
            <w:vAlign w:val="center"/>
          </w:tcPr>
          <w:p w14:paraId="1DC6929E">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出入轿厢</w:t>
            </w:r>
          </w:p>
        </w:tc>
        <w:tc>
          <w:tcPr>
            <w:tcW w:w="3402" w:type="dxa"/>
            <w:tcBorders>
              <w:top w:val="nil"/>
              <w:left w:val="nil"/>
              <w:bottom w:val="single" w:color="auto" w:sz="4" w:space="0"/>
              <w:right w:val="double" w:color="auto" w:sz="6" w:space="0"/>
            </w:tcBorders>
            <w:shd w:val="clear" w:color="auto" w:fill="auto"/>
            <w:vAlign w:val="center"/>
          </w:tcPr>
          <w:p w14:paraId="65F37DF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主楼层停靠，门关</w:t>
            </w:r>
          </w:p>
        </w:tc>
      </w:tr>
      <w:tr w14:paraId="244F0B86">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0D1E50DF">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相位故障检测</w:t>
            </w:r>
          </w:p>
        </w:tc>
        <w:tc>
          <w:tcPr>
            <w:tcW w:w="3118" w:type="dxa"/>
            <w:tcBorders>
              <w:top w:val="nil"/>
              <w:left w:val="nil"/>
              <w:bottom w:val="single" w:color="auto" w:sz="4" w:space="0"/>
              <w:right w:val="double" w:color="auto" w:sz="6" w:space="0"/>
            </w:tcBorders>
            <w:shd w:val="clear" w:color="auto" w:fill="auto"/>
            <w:vAlign w:val="center"/>
          </w:tcPr>
          <w:p w14:paraId="5F1135A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精确再平层，自动，门开和关</w:t>
            </w:r>
          </w:p>
        </w:tc>
        <w:tc>
          <w:tcPr>
            <w:tcW w:w="3402" w:type="dxa"/>
            <w:tcBorders>
              <w:top w:val="nil"/>
              <w:left w:val="nil"/>
              <w:bottom w:val="single" w:color="auto" w:sz="4" w:space="0"/>
              <w:right w:val="double" w:color="auto" w:sz="6" w:space="0"/>
            </w:tcBorders>
            <w:shd w:val="clear" w:color="auto" w:fill="auto"/>
            <w:vAlign w:val="center"/>
          </w:tcPr>
          <w:p w14:paraId="324536AB">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优化运载流量功能</w:t>
            </w:r>
          </w:p>
        </w:tc>
      </w:tr>
      <w:tr w14:paraId="54FF3148">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0779DF8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救助运行功能</w:t>
            </w:r>
          </w:p>
        </w:tc>
        <w:tc>
          <w:tcPr>
            <w:tcW w:w="3118" w:type="dxa"/>
            <w:tcBorders>
              <w:top w:val="nil"/>
              <w:left w:val="nil"/>
              <w:bottom w:val="single" w:color="auto" w:sz="4" w:space="0"/>
              <w:right w:val="double" w:color="auto" w:sz="6" w:space="0"/>
            </w:tcBorders>
            <w:shd w:val="clear" w:color="auto" w:fill="auto"/>
            <w:vAlign w:val="center"/>
          </w:tcPr>
          <w:p w14:paraId="6980512C">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精确再平层，自动，门关</w:t>
            </w:r>
          </w:p>
        </w:tc>
        <w:tc>
          <w:tcPr>
            <w:tcW w:w="3402" w:type="dxa"/>
            <w:tcBorders>
              <w:top w:val="nil"/>
              <w:left w:val="nil"/>
              <w:bottom w:val="single" w:color="auto" w:sz="4" w:space="0"/>
              <w:right w:val="double" w:color="auto" w:sz="6" w:space="0"/>
            </w:tcBorders>
            <w:shd w:val="clear" w:color="auto" w:fill="auto"/>
            <w:vAlign w:val="center"/>
          </w:tcPr>
          <w:p w14:paraId="7AB6E1B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下行高峰服务</w:t>
            </w:r>
          </w:p>
        </w:tc>
      </w:tr>
      <w:tr w14:paraId="5595B3E6">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5D12695A">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轿厢意外移动冗余监测和制动器</w:t>
            </w:r>
          </w:p>
        </w:tc>
        <w:tc>
          <w:tcPr>
            <w:tcW w:w="3118" w:type="dxa"/>
            <w:tcBorders>
              <w:top w:val="nil"/>
              <w:left w:val="nil"/>
              <w:bottom w:val="single" w:color="auto" w:sz="4" w:space="0"/>
              <w:right w:val="double" w:color="auto" w:sz="6" w:space="0"/>
            </w:tcBorders>
            <w:shd w:val="clear" w:color="auto" w:fill="auto"/>
            <w:vAlign w:val="center"/>
          </w:tcPr>
          <w:p w14:paraId="26608580">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强制关门，通过测量载重</w:t>
            </w:r>
          </w:p>
        </w:tc>
        <w:tc>
          <w:tcPr>
            <w:tcW w:w="3402" w:type="dxa"/>
            <w:tcBorders>
              <w:top w:val="nil"/>
              <w:left w:val="nil"/>
              <w:bottom w:val="single" w:color="auto" w:sz="4" w:space="0"/>
              <w:right w:val="double" w:color="auto" w:sz="6" w:space="0"/>
            </w:tcBorders>
            <w:shd w:val="clear" w:color="auto" w:fill="auto"/>
            <w:vAlign w:val="center"/>
          </w:tcPr>
          <w:p w14:paraId="5FEE573D">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上下行高峰服务</w:t>
            </w:r>
          </w:p>
        </w:tc>
      </w:tr>
      <w:tr w14:paraId="1B933D2B">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B23583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检修盒，位于轿顶</w:t>
            </w:r>
          </w:p>
        </w:tc>
        <w:tc>
          <w:tcPr>
            <w:tcW w:w="3118" w:type="dxa"/>
            <w:tcBorders>
              <w:top w:val="nil"/>
              <w:left w:val="nil"/>
              <w:bottom w:val="single" w:color="auto" w:sz="4" w:space="0"/>
              <w:right w:val="double" w:color="auto" w:sz="6" w:space="0"/>
            </w:tcBorders>
            <w:shd w:val="clear" w:color="auto" w:fill="auto"/>
            <w:vAlign w:val="center"/>
          </w:tcPr>
          <w:p w14:paraId="45FD2C9F">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关门按钮，带指示灯</w:t>
            </w:r>
          </w:p>
        </w:tc>
        <w:tc>
          <w:tcPr>
            <w:tcW w:w="3402" w:type="dxa"/>
            <w:tcBorders>
              <w:top w:val="nil"/>
              <w:left w:val="nil"/>
              <w:bottom w:val="single" w:color="auto" w:sz="4" w:space="0"/>
              <w:right w:val="double" w:color="auto" w:sz="6" w:space="0"/>
            </w:tcBorders>
            <w:shd w:val="clear" w:color="auto" w:fill="auto"/>
            <w:vAlign w:val="center"/>
          </w:tcPr>
          <w:p w14:paraId="1CA5B165">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上行高峰服务</w:t>
            </w:r>
          </w:p>
        </w:tc>
      </w:tr>
      <w:tr w14:paraId="557E3ED8">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7A9E6D6A">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自动轿门锁定，机械锁</w:t>
            </w:r>
          </w:p>
        </w:tc>
        <w:tc>
          <w:tcPr>
            <w:tcW w:w="3118" w:type="dxa"/>
            <w:tcBorders>
              <w:top w:val="nil"/>
              <w:left w:val="nil"/>
              <w:bottom w:val="single" w:color="auto" w:sz="4" w:space="0"/>
              <w:right w:val="double" w:color="auto" w:sz="6" w:space="0"/>
            </w:tcBorders>
            <w:shd w:val="clear" w:color="auto" w:fill="auto"/>
            <w:vAlign w:val="center"/>
          </w:tcPr>
          <w:p w14:paraId="2AD870B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开门按钮，带指示灯</w:t>
            </w:r>
          </w:p>
        </w:tc>
        <w:tc>
          <w:tcPr>
            <w:tcW w:w="3402" w:type="dxa"/>
            <w:tcBorders>
              <w:top w:val="nil"/>
              <w:left w:val="nil"/>
              <w:bottom w:val="single" w:color="auto" w:sz="4" w:space="0"/>
              <w:right w:val="double" w:color="auto" w:sz="6" w:space="0"/>
            </w:tcBorders>
            <w:shd w:val="clear" w:color="auto" w:fill="auto"/>
            <w:vAlign w:val="center"/>
          </w:tcPr>
          <w:p w14:paraId="4C6839CD">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满载直驶</w:t>
            </w:r>
          </w:p>
        </w:tc>
      </w:tr>
      <w:tr w14:paraId="601EA650">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73DC859">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sz w:val="24"/>
                <w:szCs w:val="24"/>
                <w:lang w:eastAsia="zh-CN"/>
              </w:rPr>
              <w:t>语音安抚播报，对讲扬声器</w:t>
            </w:r>
          </w:p>
        </w:tc>
        <w:tc>
          <w:tcPr>
            <w:tcW w:w="3118" w:type="dxa"/>
            <w:tcBorders>
              <w:top w:val="nil"/>
              <w:left w:val="nil"/>
              <w:bottom w:val="single" w:color="auto" w:sz="4" w:space="0"/>
              <w:right w:val="double" w:color="auto" w:sz="6" w:space="0"/>
            </w:tcBorders>
            <w:shd w:val="clear" w:color="auto" w:fill="auto"/>
            <w:vAlign w:val="center"/>
          </w:tcPr>
          <w:p w14:paraId="483BDD0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提前开门</w:t>
            </w:r>
          </w:p>
        </w:tc>
        <w:tc>
          <w:tcPr>
            <w:tcW w:w="3402" w:type="dxa"/>
            <w:tcBorders>
              <w:top w:val="nil"/>
              <w:left w:val="nil"/>
              <w:bottom w:val="single" w:color="auto" w:sz="4" w:space="0"/>
              <w:right w:val="double" w:color="auto" w:sz="6" w:space="0"/>
            </w:tcBorders>
            <w:shd w:val="clear" w:color="auto" w:fill="auto"/>
            <w:vAlign w:val="center"/>
          </w:tcPr>
          <w:p w14:paraId="3B9BB940">
            <w:pPr>
              <w:pStyle w:val="251"/>
              <w:rPr>
                <w:rFonts w:hint="eastAsia" w:cs="黑体" w:asciiTheme="minorEastAsia" w:hAnsiTheme="minorEastAsia" w:eastAsiaTheme="minorEastAsia"/>
                <w:b/>
                <w:bCs/>
                <w:sz w:val="24"/>
                <w:szCs w:val="24"/>
                <w:u w:val="single"/>
                <w:lang w:eastAsia="zh-CN"/>
              </w:rPr>
            </w:pPr>
            <w:r>
              <w:rPr>
                <w:rFonts w:hint="eastAsia" w:cs="黑体" w:asciiTheme="minorEastAsia" w:hAnsiTheme="minorEastAsia" w:eastAsiaTheme="minorEastAsia"/>
                <w:b/>
                <w:bCs/>
                <w:sz w:val="24"/>
                <w:szCs w:val="24"/>
                <w:u w:val="single"/>
                <w:lang w:eastAsia="zh-CN"/>
              </w:rPr>
              <w:t>信息功能</w:t>
            </w:r>
          </w:p>
        </w:tc>
      </w:tr>
      <w:tr w14:paraId="786FAE94">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12DF31A4">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b/>
                <w:bCs/>
                <w:sz w:val="24"/>
                <w:szCs w:val="24"/>
                <w:lang w:eastAsia="zh-CN"/>
              </w:rPr>
              <w:t>紧急备用电源和电源恢复运行</w:t>
            </w:r>
          </w:p>
        </w:tc>
        <w:tc>
          <w:tcPr>
            <w:tcW w:w="3118" w:type="dxa"/>
            <w:tcBorders>
              <w:top w:val="nil"/>
              <w:left w:val="nil"/>
              <w:bottom w:val="single" w:color="auto" w:sz="4" w:space="0"/>
              <w:right w:val="double" w:color="auto" w:sz="6" w:space="0"/>
            </w:tcBorders>
            <w:shd w:val="clear" w:color="auto" w:fill="auto"/>
            <w:vAlign w:val="center"/>
          </w:tcPr>
          <w:p w14:paraId="17802D9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外呼重新开门功能，一次</w:t>
            </w:r>
          </w:p>
        </w:tc>
        <w:tc>
          <w:tcPr>
            <w:tcW w:w="3402" w:type="dxa"/>
            <w:tcBorders>
              <w:top w:val="nil"/>
              <w:left w:val="nil"/>
              <w:bottom w:val="single" w:color="auto" w:sz="4" w:space="0"/>
              <w:right w:val="double" w:color="auto" w:sz="6" w:space="0"/>
            </w:tcBorders>
            <w:shd w:val="clear" w:color="auto" w:fill="auto"/>
            <w:vAlign w:val="center"/>
          </w:tcPr>
          <w:p w14:paraId="2B6262A9">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厅外乘客信息显示</w:t>
            </w:r>
          </w:p>
        </w:tc>
      </w:tr>
      <w:tr w14:paraId="7BD39C0A">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F896504">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同步运行</w:t>
            </w:r>
          </w:p>
        </w:tc>
        <w:tc>
          <w:tcPr>
            <w:tcW w:w="3118" w:type="dxa"/>
            <w:tcBorders>
              <w:top w:val="nil"/>
              <w:left w:val="nil"/>
              <w:bottom w:val="single" w:color="auto" w:sz="4" w:space="0"/>
              <w:right w:val="double" w:color="auto" w:sz="6" w:space="0"/>
            </w:tcBorders>
            <w:shd w:val="clear" w:color="auto" w:fill="auto"/>
            <w:vAlign w:val="center"/>
          </w:tcPr>
          <w:p w14:paraId="04F53109">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光幕保护，自动重开门</w:t>
            </w:r>
          </w:p>
        </w:tc>
        <w:tc>
          <w:tcPr>
            <w:tcW w:w="3402" w:type="dxa"/>
            <w:tcBorders>
              <w:top w:val="nil"/>
              <w:left w:val="nil"/>
              <w:bottom w:val="single" w:color="auto" w:sz="4" w:space="0"/>
              <w:right w:val="double" w:color="auto" w:sz="6" w:space="0"/>
            </w:tcBorders>
            <w:shd w:val="clear" w:color="auto" w:fill="auto"/>
            <w:vAlign w:val="center"/>
          </w:tcPr>
          <w:p w14:paraId="4D66CD02">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外呼登录指示灯</w:t>
            </w:r>
          </w:p>
        </w:tc>
      </w:tr>
      <w:tr w14:paraId="66ABD869">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0016356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紧急轿厢照明，独立照明</w:t>
            </w:r>
          </w:p>
        </w:tc>
        <w:tc>
          <w:tcPr>
            <w:tcW w:w="3118" w:type="dxa"/>
            <w:tcBorders>
              <w:top w:val="nil"/>
              <w:left w:val="nil"/>
              <w:bottom w:val="single" w:color="auto" w:sz="4" w:space="0"/>
              <w:right w:val="double" w:color="auto" w:sz="6" w:space="0"/>
            </w:tcBorders>
            <w:shd w:val="clear" w:color="auto" w:fill="auto"/>
            <w:vAlign w:val="center"/>
          </w:tcPr>
          <w:p w14:paraId="6F0C71EF">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sz w:val="24"/>
                <w:szCs w:val="24"/>
                <w:lang w:eastAsia="zh-CN"/>
              </w:rPr>
              <w:t>因新内呼而快速关门</w:t>
            </w:r>
          </w:p>
        </w:tc>
        <w:tc>
          <w:tcPr>
            <w:tcW w:w="3402" w:type="dxa"/>
            <w:tcBorders>
              <w:top w:val="nil"/>
              <w:left w:val="nil"/>
              <w:bottom w:val="single" w:color="auto" w:sz="4" w:space="0"/>
              <w:right w:val="double" w:color="auto" w:sz="6" w:space="0"/>
            </w:tcBorders>
            <w:shd w:val="clear" w:color="auto" w:fill="auto"/>
            <w:vAlign w:val="center"/>
          </w:tcPr>
          <w:p w14:paraId="4B7BC7C6">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轿内信息显示</w:t>
            </w:r>
          </w:p>
        </w:tc>
      </w:tr>
      <w:tr w14:paraId="2ACED22B">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99A1A0B">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sz w:val="24"/>
                <w:szCs w:val="24"/>
                <w:lang w:eastAsia="zh-CN"/>
              </w:rPr>
              <w:t>紧急电池供电(供紧急照明、警铃)</w:t>
            </w:r>
          </w:p>
        </w:tc>
        <w:tc>
          <w:tcPr>
            <w:tcW w:w="3118" w:type="dxa"/>
            <w:tcBorders>
              <w:top w:val="nil"/>
              <w:left w:val="nil"/>
              <w:bottom w:val="single" w:color="auto" w:sz="4" w:space="0"/>
              <w:right w:val="double" w:color="auto" w:sz="6" w:space="0"/>
            </w:tcBorders>
            <w:shd w:val="clear" w:color="auto" w:fill="auto"/>
            <w:vAlign w:val="center"/>
          </w:tcPr>
          <w:p w14:paraId="57E61965">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b/>
                <w:bCs/>
                <w:sz w:val="24"/>
                <w:szCs w:val="24"/>
                <w:lang w:eastAsia="zh-CN"/>
              </w:rPr>
              <w:t>滥用、误用保护</w:t>
            </w:r>
          </w:p>
        </w:tc>
        <w:tc>
          <w:tcPr>
            <w:tcW w:w="3402" w:type="dxa"/>
            <w:tcBorders>
              <w:top w:val="nil"/>
              <w:left w:val="nil"/>
              <w:bottom w:val="single" w:color="auto" w:sz="4" w:space="0"/>
              <w:right w:val="double" w:color="auto" w:sz="6" w:space="0"/>
            </w:tcBorders>
            <w:shd w:val="clear" w:color="auto" w:fill="auto"/>
            <w:vAlign w:val="center"/>
          </w:tcPr>
          <w:p w14:paraId="31692C22">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内呼登记指示灯</w:t>
            </w:r>
          </w:p>
        </w:tc>
      </w:tr>
      <w:tr w14:paraId="1CBFD7B3">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5B618FD7">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b/>
                <w:bCs/>
                <w:sz w:val="24"/>
                <w:szCs w:val="24"/>
                <w:lang w:eastAsia="zh-CN"/>
              </w:rPr>
              <w:t>紧急通讯功能</w:t>
            </w:r>
          </w:p>
        </w:tc>
        <w:tc>
          <w:tcPr>
            <w:tcW w:w="3118" w:type="dxa"/>
            <w:tcBorders>
              <w:top w:val="nil"/>
              <w:left w:val="nil"/>
              <w:bottom w:val="single" w:color="auto" w:sz="4" w:space="0"/>
              <w:right w:val="double" w:color="auto" w:sz="6" w:space="0"/>
            </w:tcBorders>
            <w:shd w:val="clear" w:color="auto" w:fill="auto"/>
            <w:vAlign w:val="center"/>
          </w:tcPr>
          <w:p w14:paraId="48D80B3D">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外呼互锁</w:t>
            </w:r>
          </w:p>
        </w:tc>
        <w:tc>
          <w:tcPr>
            <w:tcW w:w="3402" w:type="dxa"/>
            <w:tcBorders>
              <w:top w:val="nil"/>
              <w:left w:val="nil"/>
              <w:bottom w:val="single" w:color="auto" w:sz="4" w:space="0"/>
              <w:right w:val="double" w:color="auto" w:sz="6" w:space="0"/>
            </w:tcBorders>
            <w:shd w:val="clear" w:color="auto" w:fill="auto"/>
            <w:vAlign w:val="center"/>
          </w:tcPr>
          <w:p w14:paraId="2333FEBA">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轿内轿厢位置指示</w:t>
            </w:r>
          </w:p>
        </w:tc>
      </w:tr>
      <w:tr w14:paraId="19793101">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06C2B55D">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警铃，轿顶</w:t>
            </w:r>
          </w:p>
        </w:tc>
        <w:tc>
          <w:tcPr>
            <w:tcW w:w="3118" w:type="dxa"/>
            <w:tcBorders>
              <w:top w:val="nil"/>
              <w:left w:val="nil"/>
              <w:bottom w:val="single" w:color="auto" w:sz="4" w:space="0"/>
              <w:right w:val="double" w:color="auto" w:sz="6" w:space="0"/>
            </w:tcBorders>
            <w:shd w:val="clear" w:color="auto" w:fill="auto"/>
            <w:vAlign w:val="center"/>
          </w:tcPr>
          <w:p w14:paraId="76B4614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按钮粘滞监察</w:t>
            </w:r>
          </w:p>
        </w:tc>
        <w:tc>
          <w:tcPr>
            <w:tcW w:w="3402" w:type="dxa"/>
            <w:tcBorders>
              <w:top w:val="nil"/>
              <w:left w:val="nil"/>
              <w:bottom w:val="single" w:color="auto" w:sz="4" w:space="0"/>
              <w:right w:val="double" w:color="auto" w:sz="6" w:space="0"/>
            </w:tcBorders>
            <w:shd w:val="clear" w:color="auto" w:fill="auto"/>
            <w:vAlign w:val="center"/>
          </w:tcPr>
          <w:p w14:paraId="01043530">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轿内运行方向指示</w:t>
            </w:r>
          </w:p>
        </w:tc>
      </w:tr>
      <w:tr w14:paraId="40F3D980">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5959C08A">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sz w:val="24"/>
                <w:szCs w:val="24"/>
                <w:lang w:eastAsia="zh-CN"/>
              </w:rPr>
              <w:t>五方通话</w:t>
            </w:r>
          </w:p>
        </w:tc>
        <w:tc>
          <w:tcPr>
            <w:tcW w:w="3118" w:type="dxa"/>
            <w:tcBorders>
              <w:top w:val="nil"/>
              <w:left w:val="nil"/>
              <w:bottom w:val="single" w:color="auto" w:sz="4" w:space="0"/>
              <w:right w:val="double" w:color="auto" w:sz="6" w:space="0"/>
            </w:tcBorders>
            <w:shd w:val="clear" w:color="auto" w:fill="auto"/>
            <w:vAlign w:val="center"/>
          </w:tcPr>
          <w:p w14:paraId="633C56E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取消轿厢虚假召唤</w:t>
            </w:r>
          </w:p>
        </w:tc>
        <w:tc>
          <w:tcPr>
            <w:tcW w:w="3402" w:type="dxa"/>
            <w:tcBorders>
              <w:top w:val="nil"/>
              <w:left w:val="nil"/>
              <w:bottom w:val="single" w:color="auto" w:sz="4" w:space="0"/>
              <w:right w:val="double" w:color="auto" w:sz="6" w:space="0"/>
            </w:tcBorders>
            <w:shd w:val="clear" w:color="auto" w:fill="auto"/>
            <w:vAlign w:val="center"/>
          </w:tcPr>
          <w:p w14:paraId="1CDF635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超载功能，指示灯持续亮</w:t>
            </w:r>
          </w:p>
        </w:tc>
      </w:tr>
      <w:tr w14:paraId="366C3FD5">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5EBE0DC">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b/>
                <w:bCs/>
                <w:sz w:val="24"/>
                <w:szCs w:val="24"/>
                <w:lang w:eastAsia="zh-CN"/>
              </w:rPr>
              <w:t>其它安全及维护功能</w:t>
            </w:r>
          </w:p>
        </w:tc>
        <w:tc>
          <w:tcPr>
            <w:tcW w:w="3118" w:type="dxa"/>
            <w:tcBorders>
              <w:top w:val="nil"/>
              <w:left w:val="nil"/>
              <w:bottom w:val="single" w:color="auto" w:sz="4" w:space="0"/>
              <w:right w:val="double" w:color="auto" w:sz="6" w:space="0"/>
            </w:tcBorders>
            <w:shd w:val="clear" w:color="auto" w:fill="auto"/>
            <w:vAlign w:val="center"/>
          </w:tcPr>
          <w:p w14:paraId="251E3E33">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sz w:val="24"/>
                <w:szCs w:val="24"/>
                <w:lang w:eastAsia="zh-CN"/>
              </w:rPr>
              <w:t>反向内呼</w:t>
            </w:r>
          </w:p>
        </w:tc>
        <w:tc>
          <w:tcPr>
            <w:tcW w:w="3402" w:type="dxa"/>
            <w:tcBorders>
              <w:top w:val="nil"/>
              <w:left w:val="nil"/>
              <w:bottom w:val="single" w:color="auto" w:sz="4" w:space="0"/>
              <w:right w:val="double" w:color="auto" w:sz="6" w:space="0"/>
            </w:tcBorders>
            <w:shd w:val="clear" w:color="auto" w:fill="auto"/>
            <w:vAlign w:val="center"/>
          </w:tcPr>
          <w:p w14:paraId="1445020C">
            <w:pPr>
              <w:pStyle w:val="251"/>
              <w:rPr>
                <w:rFonts w:hint="eastAsia" w:cs="黑体" w:asciiTheme="minorEastAsia" w:hAnsiTheme="minorEastAsia" w:eastAsiaTheme="minorEastAsia"/>
                <w:b/>
                <w:bCs/>
                <w:sz w:val="24"/>
                <w:szCs w:val="24"/>
                <w:lang w:eastAsia="zh-CN"/>
              </w:rPr>
            </w:pPr>
            <w:r>
              <w:rPr>
                <w:rFonts w:hint="eastAsia" w:cs="黑体" w:asciiTheme="minorEastAsia" w:hAnsiTheme="minorEastAsia" w:eastAsiaTheme="minorEastAsia"/>
                <w:b/>
                <w:bCs/>
                <w:sz w:val="24"/>
                <w:szCs w:val="24"/>
                <w:lang w:eastAsia="zh-CN"/>
              </w:rPr>
              <w:t>控制柜内信息显示</w:t>
            </w:r>
          </w:p>
        </w:tc>
      </w:tr>
      <w:tr w14:paraId="61FACDCC">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71D98E11">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维修用开门按钮</w:t>
            </w:r>
          </w:p>
        </w:tc>
        <w:tc>
          <w:tcPr>
            <w:tcW w:w="3118" w:type="dxa"/>
            <w:tcBorders>
              <w:top w:val="nil"/>
              <w:left w:val="nil"/>
              <w:bottom w:val="single" w:color="auto" w:sz="4" w:space="0"/>
              <w:right w:val="double" w:color="auto" w:sz="6" w:space="0"/>
            </w:tcBorders>
            <w:shd w:val="clear" w:color="auto" w:fill="auto"/>
            <w:vAlign w:val="center"/>
          </w:tcPr>
          <w:p w14:paraId="422C0B27">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b/>
                <w:bCs/>
                <w:sz w:val="24"/>
                <w:szCs w:val="24"/>
                <w:lang w:eastAsia="zh-CN"/>
              </w:rPr>
              <w:t>运行舒适度</w:t>
            </w:r>
          </w:p>
        </w:tc>
        <w:tc>
          <w:tcPr>
            <w:tcW w:w="3402" w:type="dxa"/>
            <w:tcBorders>
              <w:top w:val="nil"/>
              <w:left w:val="nil"/>
              <w:bottom w:val="single" w:color="auto" w:sz="4" w:space="0"/>
              <w:right w:val="double" w:color="auto" w:sz="6" w:space="0"/>
            </w:tcBorders>
            <w:shd w:val="clear" w:color="auto" w:fill="auto"/>
            <w:vAlign w:val="center"/>
          </w:tcPr>
          <w:p w14:paraId="2EB49D14">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轿厢位置指示-控制柜内</w:t>
            </w:r>
          </w:p>
        </w:tc>
      </w:tr>
      <w:tr w14:paraId="63C1868F">
        <w:tblPrEx>
          <w:tblCellMar>
            <w:top w:w="0" w:type="dxa"/>
            <w:left w:w="108" w:type="dxa"/>
            <w:bottom w:w="0" w:type="dxa"/>
            <w:right w:w="108" w:type="dxa"/>
          </w:tblCellMar>
        </w:tblPrEx>
        <w:trPr>
          <w:trHeight w:val="300" w:hRule="atLeast"/>
        </w:trPr>
        <w:tc>
          <w:tcPr>
            <w:tcW w:w="3238" w:type="dxa"/>
            <w:tcBorders>
              <w:top w:val="nil"/>
              <w:left w:val="double" w:color="auto" w:sz="6" w:space="0"/>
              <w:bottom w:val="single" w:color="auto" w:sz="4" w:space="0"/>
              <w:right w:val="double" w:color="auto" w:sz="6" w:space="0"/>
            </w:tcBorders>
            <w:shd w:val="clear" w:color="auto" w:fill="auto"/>
            <w:vAlign w:val="center"/>
          </w:tcPr>
          <w:p w14:paraId="6DB5FA8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机房内呼，所有楼层</w:t>
            </w:r>
          </w:p>
        </w:tc>
        <w:tc>
          <w:tcPr>
            <w:tcW w:w="3118" w:type="dxa"/>
            <w:tcBorders>
              <w:top w:val="nil"/>
              <w:left w:val="nil"/>
              <w:bottom w:val="single" w:color="auto" w:sz="4" w:space="0"/>
              <w:right w:val="double" w:color="auto" w:sz="6" w:space="0"/>
            </w:tcBorders>
            <w:shd w:val="clear" w:color="auto" w:fill="auto"/>
            <w:vAlign w:val="center"/>
          </w:tcPr>
          <w:p w14:paraId="7958EAB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轿内照明监控</w:t>
            </w:r>
          </w:p>
        </w:tc>
        <w:tc>
          <w:tcPr>
            <w:tcW w:w="3402" w:type="dxa"/>
            <w:tcBorders>
              <w:top w:val="nil"/>
              <w:left w:val="nil"/>
              <w:bottom w:val="single" w:color="auto" w:sz="4" w:space="0"/>
              <w:right w:val="double" w:color="auto" w:sz="6" w:space="0"/>
            </w:tcBorders>
            <w:shd w:val="clear" w:color="auto" w:fill="auto"/>
            <w:vAlign w:val="center"/>
          </w:tcPr>
          <w:p w14:paraId="6330D75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起动计数器，断电不丢失</w:t>
            </w:r>
          </w:p>
        </w:tc>
      </w:tr>
      <w:tr w14:paraId="6912D95F">
        <w:tblPrEx>
          <w:tblCellMar>
            <w:top w:w="0" w:type="dxa"/>
            <w:left w:w="108" w:type="dxa"/>
            <w:bottom w:w="0" w:type="dxa"/>
            <w:right w:w="108" w:type="dxa"/>
          </w:tblCellMar>
        </w:tblPrEx>
        <w:trPr>
          <w:trHeight w:val="315" w:hRule="atLeast"/>
        </w:trPr>
        <w:tc>
          <w:tcPr>
            <w:tcW w:w="3238" w:type="dxa"/>
            <w:tcBorders>
              <w:top w:val="single" w:color="auto" w:sz="4" w:space="0"/>
              <w:left w:val="double" w:color="auto" w:sz="6" w:space="0"/>
              <w:bottom w:val="single" w:color="auto" w:sz="4" w:space="0"/>
              <w:right w:val="double" w:color="auto" w:sz="6" w:space="0"/>
            </w:tcBorders>
            <w:shd w:val="clear" w:color="auto" w:fill="auto"/>
            <w:vAlign w:val="center"/>
          </w:tcPr>
          <w:p w14:paraId="1253FC03">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轿门触点</w:t>
            </w:r>
          </w:p>
        </w:tc>
        <w:tc>
          <w:tcPr>
            <w:tcW w:w="3118" w:type="dxa"/>
            <w:tcBorders>
              <w:top w:val="single" w:color="auto" w:sz="4" w:space="0"/>
              <w:left w:val="nil"/>
              <w:bottom w:val="single" w:color="auto" w:sz="4" w:space="0"/>
              <w:right w:val="double" w:color="auto" w:sz="6" w:space="0"/>
            </w:tcBorders>
            <w:shd w:val="clear" w:color="auto" w:fill="auto"/>
            <w:vAlign w:val="center"/>
          </w:tcPr>
          <w:p w14:paraId="3AF7AD52">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轿厢称重装置</w:t>
            </w:r>
          </w:p>
        </w:tc>
        <w:tc>
          <w:tcPr>
            <w:tcW w:w="3402" w:type="dxa"/>
            <w:tcBorders>
              <w:top w:val="single" w:color="auto" w:sz="4" w:space="0"/>
              <w:left w:val="nil"/>
              <w:bottom w:val="single" w:color="auto" w:sz="4" w:space="0"/>
              <w:right w:val="double" w:color="auto" w:sz="4" w:space="0"/>
            </w:tcBorders>
            <w:shd w:val="clear" w:color="auto" w:fill="auto"/>
            <w:noWrap/>
            <w:vAlign w:val="center"/>
          </w:tcPr>
          <w:p w14:paraId="4AC0FF66">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　</w:t>
            </w:r>
          </w:p>
        </w:tc>
      </w:tr>
      <w:tr w14:paraId="58C1BD98">
        <w:tblPrEx>
          <w:tblCellMar>
            <w:top w:w="0" w:type="dxa"/>
            <w:left w:w="108" w:type="dxa"/>
            <w:bottom w:w="0" w:type="dxa"/>
            <w:right w:w="108" w:type="dxa"/>
          </w:tblCellMar>
        </w:tblPrEx>
        <w:trPr>
          <w:trHeight w:val="315" w:hRule="atLeast"/>
        </w:trPr>
        <w:tc>
          <w:tcPr>
            <w:tcW w:w="3238" w:type="dxa"/>
            <w:tcBorders>
              <w:top w:val="single" w:color="auto" w:sz="4" w:space="0"/>
              <w:left w:val="double" w:color="auto" w:sz="6" w:space="0"/>
              <w:bottom w:val="double" w:color="auto" w:sz="4" w:space="0"/>
              <w:right w:val="double" w:color="auto" w:sz="6" w:space="0"/>
            </w:tcBorders>
            <w:shd w:val="clear" w:color="auto" w:fill="auto"/>
            <w:vAlign w:val="center"/>
          </w:tcPr>
          <w:p w14:paraId="132A123E">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轿门限位开关</w:t>
            </w:r>
          </w:p>
        </w:tc>
        <w:tc>
          <w:tcPr>
            <w:tcW w:w="3118" w:type="dxa"/>
            <w:tcBorders>
              <w:top w:val="single" w:color="auto" w:sz="4" w:space="0"/>
              <w:left w:val="nil"/>
              <w:bottom w:val="double" w:color="auto" w:sz="4" w:space="0"/>
              <w:right w:val="double" w:color="auto" w:sz="6" w:space="0"/>
            </w:tcBorders>
            <w:shd w:val="clear" w:color="auto" w:fill="auto"/>
            <w:vAlign w:val="center"/>
          </w:tcPr>
          <w:p w14:paraId="500A8A3F">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轿厢通风自动控制</w:t>
            </w:r>
          </w:p>
        </w:tc>
        <w:tc>
          <w:tcPr>
            <w:tcW w:w="3402" w:type="dxa"/>
            <w:tcBorders>
              <w:top w:val="single" w:color="auto" w:sz="4" w:space="0"/>
              <w:left w:val="nil"/>
              <w:bottom w:val="double" w:color="auto" w:sz="4" w:space="0"/>
              <w:right w:val="double" w:color="auto" w:sz="4" w:space="0"/>
            </w:tcBorders>
            <w:shd w:val="clear" w:color="auto" w:fill="auto"/>
            <w:noWrap/>
            <w:vAlign w:val="center"/>
          </w:tcPr>
          <w:p w14:paraId="3F6675CB">
            <w:pPr>
              <w:pStyle w:val="251"/>
              <w:rPr>
                <w:rFonts w:hint="eastAsia" w:cs="黑体" w:asciiTheme="minorEastAsia" w:hAnsiTheme="minorEastAsia" w:eastAsiaTheme="minorEastAsia"/>
                <w:sz w:val="24"/>
                <w:szCs w:val="24"/>
                <w:lang w:eastAsia="zh-CN"/>
              </w:rPr>
            </w:pPr>
            <w:r>
              <w:rPr>
                <w:rFonts w:hint="eastAsia" w:cs="黑体" w:asciiTheme="minorEastAsia" w:hAnsiTheme="minorEastAsia" w:eastAsiaTheme="minorEastAsia"/>
                <w:sz w:val="24"/>
                <w:szCs w:val="24"/>
                <w:lang w:eastAsia="zh-CN"/>
              </w:rPr>
              <w:t>　</w:t>
            </w:r>
          </w:p>
        </w:tc>
      </w:tr>
    </w:tbl>
    <w:p w14:paraId="1B9349B0">
      <w:pPr>
        <w:pStyle w:val="251"/>
        <w:rPr>
          <w:rFonts w:hint="eastAsia" w:cs="Arial" w:asciiTheme="minorEastAsia" w:hAnsiTheme="minorEastAsia" w:eastAsiaTheme="minorEastAsia"/>
          <w:b/>
          <w:bCs/>
          <w:sz w:val="24"/>
          <w:szCs w:val="24"/>
          <w:lang w:eastAsia="zh-CN"/>
        </w:rPr>
      </w:pPr>
    </w:p>
    <w:p w14:paraId="7C7E93C4">
      <w:pPr>
        <w:pStyle w:val="251"/>
        <w:spacing w:before="120" w:beforeLines="50"/>
        <w:rPr>
          <w:rFonts w:hint="eastAsia" w:cs="Arial" w:asciiTheme="minorEastAsia" w:hAnsiTheme="minorEastAsia" w:eastAsiaTheme="minorEastAsia"/>
          <w:b/>
          <w:bCs/>
          <w:sz w:val="24"/>
          <w:szCs w:val="24"/>
        </w:rPr>
      </w:pPr>
      <w:r>
        <w:rPr>
          <w:rFonts w:cs="Arial" w:asciiTheme="minorEastAsia" w:hAnsiTheme="minorEastAsia" w:eastAsiaTheme="minorEastAsia"/>
          <w:b/>
          <w:bCs/>
          <w:sz w:val="24"/>
          <w:szCs w:val="24"/>
        </w:rPr>
        <w:t>客户要求功能</w:t>
      </w:r>
    </w:p>
    <w:tbl>
      <w:tblPr>
        <w:tblStyle w:val="252"/>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3150"/>
        <w:gridCol w:w="1600"/>
        <w:gridCol w:w="3150"/>
      </w:tblGrid>
      <w:tr w14:paraId="0FC4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0" w:type="dxa"/>
            <w:shd w:val="clear" w:color="auto" w:fill="auto"/>
            <w:vAlign w:val="center"/>
          </w:tcPr>
          <w:p w14:paraId="1EF7B433">
            <w:pPr>
              <w:pStyle w:val="251"/>
              <w:rPr>
                <w:rFonts w:hint="eastAsia" w:cs="Arial" w:asciiTheme="minorEastAsia" w:hAnsiTheme="minorEastAsia" w:eastAsiaTheme="minorEastAsia"/>
                <w:sz w:val="24"/>
                <w:szCs w:val="24"/>
                <w:lang w:eastAsia="zh-CN"/>
              </w:rPr>
            </w:pPr>
            <w:r>
              <w:rPr>
                <w:rFonts w:cs="宋体" w:asciiTheme="minorEastAsia" w:hAnsiTheme="minorEastAsia" w:eastAsiaTheme="minorEastAsia"/>
                <w:b/>
                <w:sz w:val="24"/>
                <w:szCs w:val="24"/>
                <w:lang w:eastAsia="en-GB"/>
              </w:rPr>
              <w:t>梯号</w:t>
            </w:r>
          </w:p>
        </w:tc>
        <w:tc>
          <w:tcPr>
            <w:tcW w:w="3150" w:type="dxa"/>
            <w:shd w:val="clear" w:color="auto" w:fill="auto"/>
            <w:vAlign w:val="center"/>
          </w:tcPr>
          <w:p w14:paraId="1FC8D4E2">
            <w:pPr>
              <w:pStyle w:val="251"/>
              <w:rPr>
                <w:rFonts w:hint="eastAsia" w:cs="Arial" w:asciiTheme="minorEastAsia" w:hAnsiTheme="minorEastAsia" w:eastAsiaTheme="minorEastAsia"/>
                <w:sz w:val="24"/>
                <w:szCs w:val="24"/>
                <w:lang w:eastAsia="zh-CN"/>
              </w:rPr>
            </w:pPr>
            <w:r>
              <w:rPr>
                <w:rFonts w:cs="宋体" w:asciiTheme="minorEastAsia" w:hAnsiTheme="minorEastAsia" w:eastAsiaTheme="minorEastAsia"/>
                <w:b/>
                <w:sz w:val="24"/>
                <w:szCs w:val="24"/>
                <w:lang w:eastAsia="en-GB"/>
              </w:rPr>
              <w:t>电气功能</w:t>
            </w:r>
          </w:p>
        </w:tc>
        <w:tc>
          <w:tcPr>
            <w:tcW w:w="1600" w:type="dxa"/>
            <w:shd w:val="clear" w:color="auto" w:fill="auto"/>
            <w:vAlign w:val="center"/>
          </w:tcPr>
          <w:p w14:paraId="769B9919">
            <w:pPr>
              <w:pStyle w:val="251"/>
              <w:rPr>
                <w:rFonts w:hint="eastAsia" w:cs="Arial" w:asciiTheme="minorEastAsia" w:hAnsiTheme="minorEastAsia" w:eastAsiaTheme="minorEastAsia"/>
                <w:sz w:val="24"/>
                <w:szCs w:val="24"/>
                <w:lang w:eastAsia="zh-CN"/>
              </w:rPr>
            </w:pPr>
            <w:r>
              <w:rPr>
                <w:rFonts w:cs="宋体" w:asciiTheme="minorEastAsia" w:hAnsiTheme="minorEastAsia" w:eastAsiaTheme="minorEastAsia"/>
                <w:b/>
                <w:sz w:val="24"/>
                <w:szCs w:val="24"/>
                <w:lang w:eastAsia="en-GB"/>
              </w:rPr>
              <w:t>梯号</w:t>
            </w:r>
          </w:p>
        </w:tc>
        <w:tc>
          <w:tcPr>
            <w:tcW w:w="3150" w:type="dxa"/>
            <w:shd w:val="clear" w:color="auto" w:fill="auto"/>
            <w:vAlign w:val="center"/>
          </w:tcPr>
          <w:p w14:paraId="4A4D3A5C">
            <w:pPr>
              <w:pStyle w:val="251"/>
              <w:rPr>
                <w:rFonts w:hint="eastAsia" w:cs="Arial" w:asciiTheme="minorEastAsia" w:hAnsiTheme="minorEastAsia" w:eastAsiaTheme="minorEastAsia"/>
                <w:sz w:val="24"/>
                <w:szCs w:val="24"/>
                <w:lang w:eastAsia="zh-CN"/>
              </w:rPr>
            </w:pPr>
            <w:r>
              <w:rPr>
                <w:rFonts w:cs="宋体" w:asciiTheme="minorEastAsia" w:hAnsiTheme="minorEastAsia" w:eastAsiaTheme="minorEastAsia"/>
                <w:b/>
                <w:sz w:val="24"/>
                <w:szCs w:val="24"/>
                <w:lang w:eastAsia="en-GB"/>
              </w:rPr>
              <w:t>电气功能</w:t>
            </w:r>
          </w:p>
        </w:tc>
      </w:tr>
      <w:tr w14:paraId="262320EA">
        <w:tblPrEx>
          <w:tblBorders>
            <w:top w:val="double" w:color="auto" w:sz="0" w:space="0"/>
            <w:left w:val="double" w:color="auto" w:sz="0" w:space="0"/>
            <w:bottom w:val="double" w:color="auto" w:sz="0" w:space="0"/>
            <w:right w:val="double" w:color="auto" w:sz="0" w:space="0"/>
            <w:insideH w:val="double" w:color="auto" w:sz="0" w:space="0"/>
            <w:insideV w:val="double" w:color="auto" w:sz="0" w:space="0"/>
          </w:tblBorders>
          <w:tblCellMar>
            <w:top w:w="0" w:type="dxa"/>
            <w:left w:w="108" w:type="dxa"/>
            <w:bottom w:w="0" w:type="dxa"/>
            <w:right w:w="108" w:type="dxa"/>
          </w:tblCellMar>
        </w:tblPrEx>
        <w:tc>
          <w:tcPr>
            <w:tcW w:w="1600" w:type="dxa"/>
            <w:shd w:val="clear" w:color="auto" w:fill="auto"/>
            <w:vAlign w:val="center"/>
          </w:tcPr>
          <w:p w14:paraId="081460E5">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南1#;南4-5#;北2#;北4#</w:t>
            </w:r>
          </w:p>
        </w:tc>
        <w:tc>
          <w:tcPr>
            <w:tcW w:w="3150" w:type="dxa"/>
            <w:shd w:val="clear" w:color="auto" w:fill="auto"/>
            <w:vAlign w:val="center"/>
          </w:tcPr>
          <w:p w14:paraId="10D5ECC3">
            <w:pPr>
              <w:pStyle w:val="251"/>
              <w:rPr>
                <w:rFonts w:hint="eastAsia"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ATS C - 司机服务，内呼按钮作显示</w:t>
            </w:r>
          </w:p>
        </w:tc>
        <w:tc>
          <w:tcPr>
            <w:tcW w:w="1600" w:type="dxa"/>
            <w:shd w:val="clear" w:color="auto" w:fill="auto"/>
            <w:vAlign w:val="center"/>
          </w:tcPr>
          <w:p w14:paraId="79E8B7D3">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南1#;南4-5#;北2#;北4#</w:t>
            </w:r>
          </w:p>
        </w:tc>
        <w:tc>
          <w:tcPr>
            <w:tcW w:w="3150" w:type="dxa"/>
            <w:shd w:val="clear" w:color="auto" w:fill="auto"/>
            <w:vAlign w:val="center"/>
          </w:tcPr>
          <w:p w14:paraId="6FE10253">
            <w:pPr>
              <w:pStyle w:val="251"/>
              <w:rPr>
                <w:rFonts w:hint="eastAsia"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FCC R - 双击取消轿厢呼叫</w:t>
            </w:r>
          </w:p>
        </w:tc>
      </w:tr>
      <w:tr w14:paraId="482AE868">
        <w:tblPrEx>
          <w:tblBorders>
            <w:top w:val="double" w:color="auto" w:sz="0" w:space="0"/>
            <w:left w:val="double" w:color="auto" w:sz="0" w:space="0"/>
            <w:bottom w:val="double" w:color="auto" w:sz="0" w:space="0"/>
            <w:right w:val="double" w:color="auto" w:sz="0" w:space="0"/>
            <w:insideH w:val="double" w:color="auto" w:sz="0" w:space="0"/>
            <w:insideV w:val="double" w:color="auto" w:sz="0" w:space="0"/>
          </w:tblBorders>
          <w:tblCellMar>
            <w:top w:w="0" w:type="dxa"/>
            <w:left w:w="108" w:type="dxa"/>
            <w:bottom w:w="0" w:type="dxa"/>
            <w:right w:w="108" w:type="dxa"/>
          </w:tblCellMar>
        </w:tblPrEx>
        <w:tc>
          <w:tcPr>
            <w:tcW w:w="1600" w:type="dxa"/>
            <w:shd w:val="clear" w:color="auto" w:fill="auto"/>
            <w:vAlign w:val="center"/>
          </w:tcPr>
          <w:p w14:paraId="2CB2871A">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南1#;南4-5#;北2#;北4#</w:t>
            </w:r>
          </w:p>
        </w:tc>
        <w:tc>
          <w:tcPr>
            <w:tcW w:w="3150" w:type="dxa"/>
            <w:shd w:val="clear" w:color="auto" w:fill="auto"/>
            <w:vAlign w:val="center"/>
          </w:tcPr>
          <w:p w14:paraId="57F5BEF8">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FID - 消防探测</w:t>
            </w:r>
          </w:p>
        </w:tc>
        <w:tc>
          <w:tcPr>
            <w:tcW w:w="1600" w:type="dxa"/>
            <w:shd w:val="clear" w:color="auto" w:fill="auto"/>
            <w:vAlign w:val="center"/>
          </w:tcPr>
          <w:p w14:paraId="09AC17B9">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南1#;南4-5#;北2#;北4#</w:t>
            </w:r>
          </w:p>
        </w:tc>
        <w:tc>
          <w:tcPr>
            <w:tcW w:w="3150" w:type="dxa"/>
            <w:shd w:val="clear" w:color="auto" w:fill="auto"/>
            <w:vAlign w:val="center"/>
          </w:tcPr>
          <w:p w14:paraId="2A16CFB4">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FRD - 消防运行</w:t>
            </w:r>
          </w:p>
        </w:tc>
      </w:tr>
      <w:tr w14:paraId="6DE208DC">
        <w:tblPrEx>
          <w:tblBorders>
            <w:top w:val="double" w:color="auto" w:sz="0" w:space="0"/>
            <w:left w:val="double" w:color="auto" w:sz="0" w:space="0"/>
            <w:bottom w:val="double" w:color="auto" w:sz="0" w:space="0"/>
            <w:right w:val="double" w:color="auto" w:sz="0" w:space="0"/>
            <w:insideH w:val="double" w:color="auto" w:sz="0" w:space="0"/>
            <w:insideV w:val="double" w:color="auto" w:sz="0" w:space="0"/>
          </w:tblBorders>
          <w:tblCellMar>
            <w:top w:w="0" w:type="dxa"/>
            <w:left w:w="108" w:type="dxa"/>
            <w:bottom w:w="0" w:type="dxa"/>
            <w:right w:w="108" w:type="dxa"/>
          </w:tblCellMar>
        </w:tblPrEx>
        <w:tc>
          <w:tcPr>
            <w:tcW w:w="1600" w:type="dxa"/>
            <w:shd w:val="clear" w:color="auto" w:fill="auto"/>
            <w:vAlign w:val="center"/>
          </w:tcPr>
          <w:p w14:paraId="3122CA94">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南1#;南4-5#;北2#;北4#</w:t>
            </w:r>
          </w:p>
        </w:tc>
        <w:tc>
          <w:tcPr>
            <w:tcW w:w="3150" w:type="dxa"/>
            <w:shd w:val="clear" w:color="auto" w:fill="auto"/>
            <w:vAlign w:val="center"/>
          </w:tcPr>
          <w:p w14:paraId="1EC25FB7">
            <w:pPr>
              <w:pStyle w:val="251"/>
              <w:rPr>
                <w:rFonts w:hint="eastAsia" w:asciiTheme="minorEastAsia" w:hAnsiTheme="minorEastAsia" w:eastAsiaTheme="minorEastAsia"/>
                <w:sz w:val="24"/>
                <w:szCs w:val="24"/>
                <w:lang w:eastAsia="en-GB"/>
              </w:rPr>
            </w:pPr>
            <w:r>
              <w:rPr>
                <w:rFonts w:cs="宋体" w:asciiTheme="minorEastAsia" w:hAnsiTheme="minorEastAsia" w:eastAsiaTheme="minorEastAsia"/>
                <w:sz w:val="24"/>
                <w:szCs w:val="24"/>
                <w:lang w:eastAsia="en-GB"/>
              </w:rPr>
              <w:t>RVB - 语音安抚播报</w:t>
            </w:r>
          </w:p>
        </w:tc>
        <w:tc>
          <w:tcPr>
            <w:tcW w:w="1600" w:type="dxa"/>
            <w:shd w:val="clear" w:color="auto" w:fill="auto"/>
          </w:tcPr>
          <w:p w14:paraId="21DEC20E">
            <w:pPr>
              <w:pStyle w:val="251"/>
              <w:rPr>
                <w:rFonts w:hint="eastAsia" w:asciiTheme="minorEastAsia" w:hAnsiTheme="minorEastAsia" w:eastAsiaTheme="minorEastAsia"/>
                <w:sz w:val="24"/>
                <w:szCs w:val="24"/>
                <w:lang w:eastAsia="en-GB"/>
              </w:rPr>
            </w:pPr>
          </w:p>
        </w:tc>
        <w:tc>
          <w:tcPr>
            <w:tcW w:w="3150" w:type="dxa"/>
            <w:shd w:val="clear" w:color="auto" w:fill="auto"/>
            <w:vAlign w:val="center"/>
          </w:tcPr>
          <w:p w14:paraId="79C74D01">
            <w:pPr>
              <w:pStyle w:val="251"/>
              <w:rPr>
                <w:rFonts w:hint="eastAsia" w:asciiTheme="minorEastAsia" w:hAnsiTheme="minorEastAsia" w:eastAsiaTheme="minorEastAsia"/>
                <w:sz w:val="24"/>
                <w:szCs w:val="24"/>
                <w:lang w:eastAsia="zh-CN"/>
              </w:rPr>
            </w:pPr>
          </w:p>
        </w:tc>
      </w:tr>
    </w:tbl>
    <w:p w14:paraId="137AD689">
      <w:pPr>
        <w:pStyle w:val="251"/>
        <w:rPr>
          <w:rFonts w:hint="eastAsia" w:cs="Arial" w:asciiTheme="minorEastAsia" w:hAnsiTheme="minorEastAsia" w:eastAsiaTheme="minorEastAsia"/>
          <w:sz w:val="22"/>
          <w:szCs w:val="22"/>
        </w:rPr>
      </w:pPr>
    </w:p>
    <w:p w14:paraId="6A850DEC">
      <w:pPr>
        <w:rPr>
          <w:rFonts w:hint="eastAsia" w:asciiTheme="minorEastAsia" w:hAnsiTheme="minorEastAsia" w:eastAsiaTheme="minorEastAsia"/>
          <w:b/>
          <w:bCs/>
        </w:rPr>
      </w:pPr>
      <w:r>
        <w:rPr>
          <w:rFonts w:hint="eastAsia" w:asciiTheme="minorEastAsia" w:hAnsiTheme="minorEastAsia" w:eastAsiaTheme="minorEastAsia"/>
          <w:b/>
          <w:bCs/>
        </w:rPr>
        <w:t>6、技术规格（餐梯）</w:t>
      </w:r>
    </w:p>
    <w:p w14:paraId="0D7413DE">
      <w:pPr>
        <w:rPr>
          <w:rFonts w:hint="eastAsia" w:asciiTheme="minorEastAsia" w:hAnsiTheme="minorEastAsia" w:eastAsiaTheme="minorEastAsia"/>
          <w:b/>
          <w:bCs/>
        </w:rPr>
      </w:pP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4"/>
        <w:gridCol w:w="2409"/>
        <w:gridCol w:w="1276"/>
        <w:gridCol w:w="1263"/>
        <w:gridCol w:w="750"/>
        <w:gridCol w:w="1011"/>
      </w:tblGrid>
      <w:tr w14:paraId="6BF45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AEC2A">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电梯编号</w:t>
            </w:r>
          </w:p>
        </w:tc>
        <w:tc>
          <w:tcPr>
            <w:tcW w:w="670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EB2C9CB">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w:t>
            </w:r>
          </w:p>
        </w:tc>
      </w:tr>
      <w:tr w14:paraId="1E81C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17931A82">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电梯型号</w:t>
            </w:r>
          </w:p>
        </w:tc>
        <w:tc>
          <w:tcPr>
            <w:tcW w:w="2409" w:type="dxa"/>
            <w:tcBorders>
              <w:top w:val="single" w:color="000000" w:sz="4" w:space="0"/>
              <w:left w:val="single" w:color="000000" w:sz="4" w:space="0"/>
              <w:bottom w:val="single" w:color="000000" w:sz="4" w:space="0"/>
              <w:right w:val="single" w:color="000000" w:sz="4" w:space="0"/>
            </w:tcBorders>
            <w:vAlign w:val="center"/>
          </w:tcPr>
          <w:p w14:paraId="016CBA2F">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TWJ-250</w:t>
            </w:r>
          </w:p>
        </w:tc>
        <w:tc>
          <w:tcPr>
            <w:tcW w:w="1276" w:type="dxa"/>
            <w:tcBorders>
              <w:top w:val="single" w:color="000000" w:sz="4" w:space="0"/>
              <w:left w:val="single" w:color="000000" w:sz="4" w:space="0"/>
              <w:bottom w:val="single" w:color="000000" w:sz="4" w:space="0"/>
              <w:right w:val="single" w:color="000000" w:sz="4" w:space="0"/>
            </w:tcBorders>
            <w:vAlign w:val="center"/>
          </w:tcPr>
          <w:p w14:paraId="432F3F18">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台    数</w:t>
            </w:r>
          </w:p>
        </w:tc>
        <w:tc>
          <w:tcPr>
            <w:tcW w:w="1263" w:type="dxa"/>
            <w:tcBorders>
              <w:top w:val="single" w:color="000000" w:sz="4" w:space="0"/>
              <w:left w:val="single" w:color="000000" w:sz="4" w:space="0"/>
              <w:bottom w:val="single" w:color="000000" w:sz="4" w:space="0"/>
              <w:right w:val="single" w:color="000000" w:sz="4" w:space="0"/>
            </w:tcBorders>
            <w:vAlign w:val="center"/>
          </w:tcPr>
          <w:p w14:paraId="06944108">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1台</w:t>
            </w:r>
          </w:p>
        </w:tc>
        <w:tc>
          <w:tcPr>
            <w:tcW w:w="1761" w:type="dxa"/>
            <w:gridSpan w:val="2"/>
            <w:tcBorders>
              <w:top w:val="single" w:color="000000" w:sz="4" w:space="0"/>
              <w:left w:val="single" w:color="000000" w:sz="4" w:space="0"/>
              <w:bottom w:val="single" w:color="000000" w:sz="4" w:space="0"/>
              <w:right w:val="single" w:color="000000" w:sz="4" w:space="0"/>
            </w:tcBorders>
            <w:vAlign w:val="center"/>
          </w:tcPr>
          <w:p w14:paraId="008F8F86">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层    高</w:t>
            </w:r>
          </w:p>
        </w:tc>
      </w:tr>
      <w:tr w14:paraId="44F05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732F111B">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载 重 量</w:t>
            </w:r>
          </w:p>
        </w:tc>
        <w:tc>
          <w:tcPr>
            <w:tcW w:w="2409" w:type="dxa"/>
            <w:tcBorders>
              <w:top w:val="single" w:color="000000" w:sz="4" w:space="0"/>
              <w:left w:val="single" w:color="000000" w:sz="4" w:space="0"/>
              <w:bottom w:val="single" w:color="000000" w:sz="4" w:space="0"/>
              <w:right w:val="single" w:color="000000" w:sz="4" w:space="0"/>
            </w:tcBorders>
            <w:vAlign w:val="center"/>
          </w:tcPr>
          <w:p w14:paraId="6FB028DC">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250kg</w:t>
            </w:r>
          </w:p>
        </w:tc>
        <w:tc>
          <w:tcPr>
            <w:tcW w:w="1276" w:type="dxa"/>
            <w:tcBorders>
              <w:top w:val="single" w:color="000000" w:sz="4" w:space="0"/>
              <w:left w:val="single" w:color="000000" w:sz="4" w:space="0"/>
              <w:bottom w:val="single" w:color="000000" w:sz="4" w:space="0"/>
              <w:right w:val="single" w:color="000000" w:sz="4" w:space="0"/>
            </w:tcBorders>
            <w:vAlign w:val="center"/>
          </w:tcPr>
          <w:p w14:paraId="541C85AB">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层站门数</w:t>
            </w:r>
          </w:p>
        </w:tc>
        <w:tc>
          <w:tcPr>
            <w:tcW w:w="1263" w:type="dxa"/>
            <w:tcBorders>
              <w:top w:val="single" w:color="000000" w:sz="4" w:space="0"/>
              <w:left w:val="single" w:color="000000" w:sz="4" w:space="0"/>
              <w:bottom w:val="single" w:color="000000" w:sz="4" w:space="0"/>
              <w:right w:val="single" w:color="000000" w:sz="4" w:space="0"/>
            </w:tcBorders>
            <w:vAlign w:val="center"/>
          </w:tcPr>
          <w:p w14:paraId="6540D3CD">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2/2/2</w:t>
            </w:r>
          </w:p>
        </w:tc>
        <w:tc>
          <w:tcPr>
            <w:tcW w:w="750" w:type="dxa"/>
            <w:tcBorders>
              <w:top w:val="single" w:color="000000" w:sz="4" w:space="0"/>
              <w:left w:val="single" w:color="000000" w:sz="4" w:space="0"/>
              <w:bottom w:val="single" w:color="000000" w:sz="4" w:space="0"/>
              <w:right w:val="single" w:color="000000" w:sz="4" w:space="0"/>
            </w:tcBorders>
            <w:vAlign w:val="center"/>
          </w:tcPr>
          <w:p w14:paraId="030A41C8">
            <w:pPr>
              <w:jc w:val="center"/>
              <w:rPr>
                <w:rFonts w:hint="eastAsia" w:asciiTheme="minorEastAsia" w:hAnsiTheme="minorEastAsia" w:eastAsiaTheme="minorEastAsia"/>
                <w:b/>
                <w:sz w:val="22"/>
                <w:szCs w:val="28"/>
              </w:rPr>
            </w:pPr>
            <w:r>
              <w:rPr>
                <w:rFonts w:asciiTheme="minorEastAsia" w:hAnsiTheme="minorEastAsia" w:eastAsiaTheme="minorEastAsia"/>
                <w:b/>
                <w:sz w:val="22"/>
                <w:szCs w:val="28"/>
              </w:rPr>
              <w:t>底坑</w:t>
            </w:r>
          </w:p>
        </w:tc>
        <w:tc>
          <w:tcPr>
            <w:tcW w:w="1011" w:type="dxa"/>
            <w:tcBorders>
              <w:top w:val="single" w:color="000000" w:sz="4" w:space="0"/>
              <w:left w:val="single" w:color="000000" w:sz="4" w:space="0"/>
              <w:bottom w:val="single" w:color="000000" w:sz="4" w:space="0"/>
              <w:right w:val="single" w:color="000000" w:sz="4" w:space="0"/>
            </w:tcBorders>
            <w:vAlign w:val="center"/>
          </w:tcPr>
          <w:p w14:paraId="3B8A551F">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1.0m</w:t>
            </w:r>
          </w:p>
        </w:tc>
      </w:tr>
      <w:tr w14:paraId="73142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53C65814">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额定速度</w:t>
            </w:r>
          </w:p>
        </w:tc>
        <w:tc>
          <w:tcPr>
            <w:tcW w:w="2409" w:type="dxa"/>
            <w:tcBorders>
              <w:top w:val="single" w:color="000000" w:sz="4" w:space="0"/>
              <w:left w:val="single" w:color="000000" w:sz="4" w:space="0"/>
              <w:bottom w:val="single" w:color="000000" w:sz="4" w:space="0"/>
              <w:right w:val="single" w:color="000000" w:sz="4" w:space="0"/>
            </w:tcBorders>
            <w:vAlign w:val="center"/>
          </w:tcPr>
          <w:p w14:paraId="7B2DD200">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0.4m/s</w:t>
            </w:r>
          </w:p>
        </w:tc>
        <w:tc>
          <w:tcPr>
            <w:tcW w:w="1276" w:type="dxa"/>
            <w:tcBorders>
              <w:top w:val="single" w:color="000000" w:sz="4" w:space="0"/>
              <w:left w:val="single" w:color="000000" w:sz="4" w:space="0"/>
              <w:bottom w:val="single" w:color="000000" w:sz="4" w:space="0"/>
              <w:right w:val="single" w:color="000000" w:sz="4" w:space="0"/>
            </w:tcBorders>
            <w:vAlign w:val="center"/>
          </w:tcPr>
          <w:p w14:paraId="27DE48EE">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停靠层站</w:t>
            </w:r>
          </w:p>
        </w:tc>
        <w:tc>
          <w:tcPr>
            <w:tcW w:w="1263" w:type="dxa"/>
            <w:tcBorders>
              <w:top w:val="single" w:color="000000" w:sz="4" w:space="0"/>
              <w:left w:val="single" w:color="000000" w:sz="4" w:space="0"/>
              <w:bottom w:val="single" w:color="000000" w:sz="4" w:space="0"/>
              <w:right w:val="single" w:color="000000" w:sz="4" w:space="0"/>
            </w:tcBorders>
            <w:vAlign w:val="center"/>
          </w:tcPr>
          <w:p w14:paraId="15A0A0EA">
            <w:pPr>
              <w:jc w:val="center"/>
              <w:rPr>
                <w:rFonts w:hint="eastAsia" w:asciiTheme="minorEastAsia" w:hAnsiTheme="minorEastAsia" w:eastAsiaTheme="minorEastAsia"/>
                <w:sz w:val="24"/>
                <w:szCs w:val="28"/>
              </w:rPr>
            </w:pPr>
            <w:r>
              <w:rPr>
                <w:rFonts w:asciiTheme="minorEastAsia" w:hAnsiTheme="minorEastAsia" w:eastAsiaTheme="minorEastAsia"/>
                <w:sz w:val="24"/>
                <w:szCs w:val="28"/>
              </w:rPr>
              <w:t>1F</w:t>
            </w:r>
            <w:r>
              <w:rPr>
                <w:rFonts w:hint="eastAsia" w:asciiTheme="minorEastAsia" w:hAnsiTheme="minorEastAsia" w:eastAsiaTheme="minorEastAsia"/>
                <w:sz w:val="24"/>
                <w:szCs w:val="28"/>
              </w:rPr>
              <w:t>-2F</w:t>
            </w:r>
          </w:p>
        </w:tc>
        <w:tc>
          <w:tcPr>
            <w:tcW w:w="750" w:type="dxa"/>
            <w:tcBorders>
              <w:top w:val="single" w:color="000000" w:sz="4" w:space="0"/>
              <w:left w:val="single" w:color="000000" w:sz="4" w:space="0"/>
              <w:bottom w:val="single" w:color="000000" w:sz="4" w:space="0"/>
              <w:right w:val="single" w:color="000000" w:sz="4" w:space="0"/>
            </w:tcBorders>
            <w:vAlign w:val="center"/>
          </w:tcPr>
          <w:p w14:paraId="4E49EB4D">
            <w:pPr>
              <w:jc w:val="center"/>
              <w:rPr>
                <w:rFonts w:hint="eastAsia" w:asciiTheme="minorEastAsia" w:hAnsiTheme="minorEastAsia" w:eastAsiaTheme="minorEastAsia"/>
                <w:b/>
                <w:sz w:val="24"/>
                <w:szCs w:val="28"/>
              </w:rPr>
            </w:pPr>
            <w:r>
              <w:rPr>
                <w:rFonts w:asciiTheme="minorEastAsia" w:hAnsiTheme="minorEastAsia" w:eastAsiaTheme="minorEastAsia"/>
                <w:b/>
                <w:sz w:val="24"/>
                <w:szCs w:val="28"/>
              </w:rPr>
              <w:t>1</w:t>
            </w:r>
            <w:r>
              <w:rPr>
                <w:rFonts w:hint="eastAsia" w:asciiTheme="minorEastAsia" w:hAnsiTheme="minorEastAsia" w:eastAsiaTheme="minorEastAsia"/>
                <w:b/>
                <w:sz w:val="24"/>
                <w:szCs w:val="28"/>
              </w:rPr>
              <w:t>F</w:t>
            </w:r>
          </w:p>
        </w:tc>
        <w:tc>
          <w:tcPr>
            <w:tcW w:w="1011" w:type="dxa"/>
            <w:tcBorders>
              <w:top w:val="single" w:color="000000" w:sz="4" w:space="0"/>
              <w:left w:val="single" w:color="000000" w:sz="4" w:space="0"/>
              <w:bottom w:val="single" w:color="000000" w:sz="4" w:space="0"/>
              <w:right w:val="single" w:color="000000" w:sz="4" w:space="0"/>
            </w:tcBorders>
            <w:vAlign w:val="center"/>
          </w:tcPr>
          <w:p w14:paraId="04D4CEF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3.4m</w:t>
            </w:r>
          </w:p>
        </w:tc>
      </w:tr>
      <w:tr w14:paraId="54C91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66741479">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工作形式</w:t>
            </w:r>
          </w:p>
        </w:tc>
        <w:tc>
          <w:tcPr>
            <w:tcW w:w="2409" w:type="dxa"/>
            <w:tcBorders>
              <w:top w:val="single" w:color="000000" w:sz="4" w:space="0"/>
              <w:left w:val="single" w:color="000000" w:sz="4" w:space="0"/>
              <w:bottom w:val="single" w:color="000000" w:sz="4" w:space="0"/>
              <w:right w:val="single" w:color="000000" w:sz="4" w:space="0"/>
            </w:tcBorders>
            <w:vAlign w:val="center"/>
          </w:tcPr>
          <w:p w14:paraId="0E424A97">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地平式</w:t>
            </w:r>
          </w:p>
          <w:p w14:paraId="20343429">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（推车式）</w:t>
            </w:r>
          </w:p>
        </w:tc>
        <w:tc>
          <w:tcPr>
            <w:tcW w:w="1276" w:type="dxa"/>
            <w:tcBorders>
              <w:top w:val="single" w:color="000000" w:sz="4" w:space="0"/>
              <w:left w:val="single" w:color="000000" w:sz="4" w:space="0"/>
              <w:bottom w:val="single" w:color="000000" w:sz="4" w:space="0"/>
              <w:right w:val="single" w:color="000000" w:sz="4" w:space="0"/>
            </w:tcBorders>
            <w:vAlign w:val="center"/>
          </w:tcPr>
          <w:p w14:paraId="0DC1D04E">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控制系统</w:t>
            </w:r>
          </w:p>
        </w:tc>
        <w:tc>
          <w:tcPr>
            <w:tcW w:w="1263" w:type="dxa"/>
            <w:tcBorders>
              <w:top w:val="single" w:color="000000" w:sz="4" w:space="0"/>
              <w:left w:val="single" w:color="000000" w:sz="4" w:space="0"/>
              <w:bottom w:val="single" w:color="000000" w:sz="4" w:space="0"/>
              <w:right w:val="single" w:color="000000" w:sz="4" w:space="0"/>
            </w:tcBorders>
            <w:vAlign w:val="center"/>
          </w:tcPr>
          <w:p w14:paraId="5F60F7C8">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微  机</w:t>
            </w:r>
          </w:p>
        </w:tc>
        <w:tc>
          <w:tcPr>
            <w:tcW w:w="750" w:type="dxa"/>
            <w:tcBorders>
              <w:top w:val="single" w:color="000000" w:sz="4" w:space="0"/>
              <w:left w:val="single" w:color="000000" w:sz="4" w:space="0"/>
              <w:bottom w:val="single" w:color="000000" w:sz="4" w:space="0"/>
              <w:right w:val="single" w:color="000000" w:sz="4" w:space="0"/>
            </w:tcBorders>
            <w:vAlign w:val="center"/>
          </w:tcPr>
          <w:p w14:paraId="260E9D62">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1F</w:t>
            </w:r>
          </w:p>
        </w:tc>
        <w:tc>
          <w:tcPr>
            <w:tcW w:w="1011" w:type="dxa"/>
            <w:tcBorders>
              <w:top w:val="single" w:color="000000" w:sz="4" w:space="0"/>
              <w:left w:val="single" w:color="000000" w:sz="4" w:space="0"/>
              <w:bottom w:val="single" w:color="000000" w:sz="4" w:space="0"/>
              <w:right w:val="single" w:color="000000" w:sz="4" w:space="0"/>
            </w:tcBorders>
            <w:vAlign w:val="center"/>
          </w:tcPr>
          <w:p w14:paraId="19B87765">
            <w:pPr>
              <w:jc w:val="center"/>
              <w:rPr>
                <w:rFonts w:hint="eastAsia" w:asciiTheme="minorEastAsia" w:hAnsiTheme="minorEastAsia" w:eastAsiaTheme="minorEastAsia"/>
                <w:sz w:val="24"/>
                <w:szCs w:val="28"/>
              </w:rPr>
            </w:pPr>
          </w:p>
        </w:tc>
      </w:tr>
      <w:tr w14:paraId="13F72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41E0A211">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开门方式</w:t>
            </w:r>
          </w:p>
        </w:tc>
        <w:tc>
          <w:tcPr>
            <w:tcW w:w="2409" w:type="dxa"/>
            <w:tcBorders>
              <w:top w:val="single" w:color="000000" w:sz="4" w:space="0"/>
              <w:left w:val="single" w:color="000000" w:sz="4" w:space="0"/>
              <w:bottom w:val="single" w:color="000000" w:sz="4" w:space="0"/>
              <w:right w:val="single" w:color="000000" w:sz="4" w:space="0"/>
            </w:tcBorders>
            <w:vAlign w:val="center"/>
          </w:tcPr>
          <w:p w14:paraId="61B6469B">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手动垂直中分</w:t>
            </w:r>
          </w:p>
        </w:tc>
        <w:tc>
          <w:tcPr>
            <w:tcW w:w="1276" w:type="dxa"/>
            <w:tcBorders>
              <w:top w:val="single" w:color="000000" w:sz="4" w:space="0"/>
              <w:left w:val="single" w:color="000000" w:sz="4" w:space="0"/>
              <w:bottom w:val="single" w:color="000000" w:sz="4" w:space="0"/>
              <w:right w:val="single" w:color="000000" w:sz="4" w:space="0"/>
            </w:tcBorders>
            <w:vAlign w:val="center"/>
          </w:tcPr>
          <w:p w14:paraId="28BF9FBF">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驱动方式</w:t>
            </w:r>
          </w:p>
        </w:tc>
        <w:tc>
          <w:tcPr>
            <w:tcW w:w="1263" w:type="dxa"/>
            <w:tcBorders>
              <w:top w:val="single" w:color="000000" w:sz="4" w:space="0"/>
              <w:left w:val="single" w:color="000000" w:sz="4" w:space="0"/>
              <w:bottom w:val="single" w:color="000000" w:sz="4" w:space="0"/>
              <w:right w:val="single" w:color="000000" w:sz="4" w:space="0"/>
            </w:tcBorders>
            <w:vAlign w:val="center"/>
          </w:tcPr>
          <w:p w14:paraId="5A602A6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曳  引</w:t>
            </w:r>
          </w:p>
        </w:tc>
        <w:tc>
          <w:tcPr>
            <w:tcW w:w="750" w:type="dxa"/>
            <w:tcBorders>
              <w:top w:val="single" w:color="000000" w:sz="4" w:space="0"/>
              <w:left w:val="single" w:color="000000" w:sz="4" w:space="0"/>
              <w:bottom w:val="single" w:color="000000" w:sz="4" w:space="0"/>
              <w:right w:val="single" w:color="000000" w:sz="4" w:space="0"/>
            </w:tcBorders>
            <w:vAlign w:val="center"/>
          </w:tcPr>
          <w:p w14:paraId="36472D86">
            <w:pPr>
              <w:jc w:val="center"/>
              <w:rPr>
                <w:rFonts w:hint="eastAsia" w:asciiTheme="minorEastAsia" w:hAnsiTheme="minorEastAsia" w:eastAsiaTheme="minorEastAsia"/>
                <w:b/>
                <w:sz w:val="22"/>
                <w:szCs w:val="28"/>
              </w:rPr>
            </w:pPr>
            <w:r>
              <w:rPr>
                <w:rFonts w:hint="eastAsia" w:asciiTheme="minorEastAsia" w:hAnsiTheme="minorEastAsia" w:eastAsiaTheme="minorEastAsia"/>
                <w:b/>
                <w:sz w:val="24"/>
                <w:szCs w:val="28"/>
              </w:rPr>
              <w:t>2F</w:t>
            </w:r>
          </w:p>
        </w:tc>
        <w:tc>
          <w:tcPr>
            <w:tcW w:w="1011" w:type="dxa"/>
            <w:tcBorders>
              <w:top w:val="single" w:color="000000" w:sz="4" w:space="0"/>
              <w:left w:val="single" w:color="000000" w:sz="4" w:space="0"/>
              <w:bottom w:val="single" w:color="000000" w:sz="4" w:space="0"/>
              <w:right w:val="single" w:color="000000" w:sz="4" w:space="0"/>
            </w:tcBorders>
            <w:vAlign w:val="center"/>
          </w:tcPr>
          <w:p w14:paraId="63AA366F">
            <w:pPr>
              <w:jc w:val="center"/>
              <w:rPr>
                <w:rFonts w:hint="eastAsia" w:asciiTheme="minorEastAsia" w:hAnsiTheme="minorEastAsia" w:eastAsiaTheme="minorEastAsia"/>
                <w:sz w:val="24"/>
                <w:szCs w:val="28"/>
              </w:rPr>
            </w:pPr>
          </w:p>
        </w:tc>
      </w:tr>
      <w:tr w14:paraId="0DFA4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0BD8963B">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轿厢类别</w:t>
            </w:r>
          </w:p>
        </w:tc>
        <w:tc>
          <w:tcPr>
            <w:tcW w:w="2409" w:type="dxa"/>
            <w:tcBorders>
              <w:top w:val="single" w:color="000000" w:sz="4" w:space="0"/>
              <w:left w:val="single" w:color="000000" w:sz="4" w:space="0"/>
              <w:bottom w:val="single" w:color="000000" w:sz="4" w:space="0"/>
              <w:right w:val="single" w:color="000000" w:sz="4" w:space="0"/>
            </w:tcBorders>
            <w:vAlign w:val="center"/>
          </w:tcPr>
          <w:p w14:paraId="0F081AF8">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单面开门</w:t>
            </w:r>
          </w:p>
        </w:tc>
        <w:tc>
          <w:tcPr>
            <w:tcW w:w="1276" w:type="dxa"/>
            <w:tcBorders>
              <w:top w:val="single" w:color="000000" w:sz="4" w:space="0"/>
              <w:left w:val="single" w:color="000000" w:sz="4" w:space="0"/>
              <w:bottom w:val="single" w:color="000000" w:sz="4" w:space="0"/>
              <w:right w:val="single" w:color="000000" w:sz="4" w:space="0"/>
            </w:tcBorders>
            <w:vAlign w:val="center"/>
          </w:tcPr>
          <w:p w14:paraId="44FF6526">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轿门设置</w:t>
            </w:r>
          </w:p>
        </w:tc>
        <w:tc>
          <w:tcPr>
            <w:tcW w:w="1263" w:type="dxa"/>
            <w:tcBorders>
              <w:top w:val="single" w:color="000000" w:sz="4" w:space="0"/>
              <w:left w:val="single" w:color="000000" w:sz="4" w:space="0"/>
              <w:bottom w:val="single" w:color="000000" w:sz="4" w:space="0"/>
              <w:right w:val="single" w:color="000000" w:sz="4" w:space="0"/>
            </w:tcBorders>
            <w:vAlign w:val="center"/>
          </w:tcPr>
          <w:p w14:paraId="14D84078">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1套轿门</w:t>
            </w:r>
          </w:p>
        </w:tc>
        <w:tc>
          <w:tcPr>
            <w:tcW w:w="750" w:type="dxa"/>
            <w:tcBorders>
              <w:top w:val="single" w:color="000000" w:sz="4" w:space="0"/>
              <w:left w:val="single" w:color="000000" w:sz="4" w:space="0"/>
              <w:bottom w:val="single" w:color="000000" w:sz="4" w:space="0"/>
              <w:right w:val="single" w:color="000000" w:sz="4" w:space="0"/>
            </w:tcBorders>
            <w:vAlign w:val="center"/>
          </w:tcPr>
          <w:p w14:paraId="472DF104">
            <w:pPr>
              <w:jc w:val="center"/>
              <w:rPr>
                <w:rFonts w:hint="eastAsia" w:asciiTheme="minorEastAsia" w:hAnsiTheme="minorEastAsia" w:eastAsiaTheme="minorEastAsia"/>
                <w:b/>
                <w:sz w:val="22"/>
                <w:szCs w:val="28"/>
              </w:rPr>
            </w:pPr>
            <w:r>
              <w:rPr>
                <w:rFonts w:asciiTheme="minorEastAsia" w:hAnsiTheme="minorEastAsia" w:eastAsiaTheme="minorEastAsia"/>
                <w:b/>
                <w:sz w:val="22"/>
                <w:szCs w:val="28"/>
              </w:rPr>
              <w:t>总高</w:t>
            </w:r>
          </w:p>
        </w:tc>
        <w:tc>
          <w:tcPr>
            <w:tcW w:w="1011" w:type="dxa"/>
            <w:tcBorders>
              <w:top w:val="single" w:color="000000" w:sz="4" w:space="0"/>
              <w:left w:val="single" w:color="000000" w:sz="4" w:space="0"/>
              <w:bottom w:val="single" w:color="000000" w:sz="4" w:space="0"/>
              <w:right w:val="single" w:color="000000" w:sz="4" w:space="0"/>
            </w:tcBorders>
            <w:vAlign w:val="center"/>
          </w:tcPr>
          <w:p w14:paraId="488413D9">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m</w:t>
            </w:r>
          </w:p>
        </w:tc>
      </w:tr>
      <w:tr w14:paraId="6F1D4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566F1C39">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机房位置</w:t>
            </w:r>
          </w:p>
        </w:tc>
        <w:tc>
          <w:tcPr>
            <w:tcW w:w="2409" w:type="dxa"/>
            <w:tcBorders>
              <w:top w:val="single" w:color="000000" w:sz="4" w:space="0"/>
              <w:left w:val="single" w:color="000000" w:sz="4" w:space="0"/>
              <w:bottom w:val="single" w:color="000000" w:sz="4" w:space="0"/>
              <w:right w:val="single" w:color="000000" w:sz="4" w:space="0"/>
            </w:tcBorders>
            <w:vAlign w:val="center"/>
          </w:tcPr>
          <w:p w14:paraId="7F9A99FC">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井道上部</w:t>
            </w:r>
          </w:p>
        </w:tc>
        <w:tc>
          <w:tcPr>
            <w:tcW w:w="1276" w:type="dxa"/>
            <w:tcBorders>
              <w:top w:val="single" w:color="000000" w:sz="4" w:space="0"/>
              <w:left w:val="single" w:color="000000" w:sz="4" w:space="0"/>
              <w:bottom w:val="single" w:color="000000" w:sz="4" w:space="0"/>
              <w:right w:val="single" w:color="000000" w:sz="4" w:space="0"/>
            </w:tcBorders>
            <w:vAlign w:val="center"/>
          </w:tcPr>
          <w:p w14:paraId="69124C3C">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对重设置</w:t>
            </w:r>
          </w:p>
        </w:tc>
        <w:tc>
          <w:tcPr>
            <w:tcW w:w="1263" w:type="dxa"/>
            <w:tcBorders>
              <w:top w:val="single" w:color="000000" w:sz="4" w:space="0"/>
              <w:left w:val="single" w:color="000000" w:sz="4" w:space="0"/>
              <w:bottom w:val="single" w:color="000000" w:sz="4" w:space="0"/>
              <w:right w:val="single" w:color="000000" w:sz="4" w:space="0"/>
            </w:tcBorders>
            <w:vAlign w:val="center"/>
          </w:tcPr>
          <w:p w14:paraId="7E03850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左侧对重</w:t>
            </w:r>
          </w:p>
        </w:tc>
        <w:tc>
          <w:tcPr>
            <w:tcW w:w="750" w:type="dxa"/>
            <w:tcBorders>
              <w:top w:val="single" w:color="000000" w:sz="4" w:space="0"/>
              <w:left w:val="single" w:color="000000" w:sz="4" w:space="0"/>
              <w:bottom w:val="single" w:color="000000" w:sz="4" w:space="0"/>
              <w:right w:val="single" w:color="000000" w:sz="4" w:space="0"/>
            </w:tcBorders>
            <w:vAlign w:val="center"/>
          </w:tcPr>
          <w:p w14:paraId="6812E7E2">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w:t>
            </w:r>
          </w:p>
        </w:tc>
        <w:tc>
          <w:tcPr>
            <w:tcW w:w="1011" w:type="dxa"/>
            <w:tcBorders>
              <w:top w:val="single" w:color="000000" w:sz="4" w:space="0"/>
              <w:left w:val="single" w:color="000000" w:sz="4" w:space="0"/>
              <w:bottom w:val="single" w:color="000000" w:sz="4" w:space="0"/>
              <w:right w:val="single" w:color="000000" w:sz="4" w:space="0"/>
            </w:tcBorders>
            <w:vAlign w:val="center"/>
          </w:tcPr>
          <w:p w14:paraId="3856A5A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w:t>
            </w:r>
          </w:p>
        </w:tc>
      </w:tr>
      <w:tr w14:paraId="0042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50DC4D29">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配线方式</w:t>
            </w:r>
          </w:p>
        </w:tc>
        <w:tc>
          <w:tcPr>
            <w:tcW w:w="2409" w:type="dxa"/>
            <w:tcBorders>
              <w:top w:val="single" w:color="000000" w:sz="4" w:space="0"/>
              <w:left w:val="single" w:color="000000" w:sz="4" w:space="0"/>
              <w:bottom w:val="single" w:color="000000" w:sz="4" w:space="0"/>
              <w:right w:val="single" w:color="000000" w:sz="4" w:space="0"/>
            </w:tcBorders>
            <w:vAlign w:val="center"/>
          </w:tcPr>
          <w:p w14:paraId="2E88F9AF">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三相五线</w:t>
            </w:r>
          </w:p>
        </w:tc>
        <w:tc>
          <w:tcPr>
            <w:tcW w:w="1276" w:type="dxa"/>
            <w:tcBorders>
              <w:top w:val="single" w:color="000000" w:sz="4" w:space="0"/>
              <w:left w:val="single" w:color="000000" w:sz="4" w:space="0"/>
              <w:bottom w:val="single" w:color="000000" w:sz="4" w:space="0"/>
              <w:right w:val="single" w:color="000000" w:sz="4" w:space="0"/>
            </w:tcBorders>
            <w:vAlign w:val="center"/>
          </w:tcPr>
          <w:p w14:paraId="57DF759B">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屉板设置</w:t>
            </w:r>
          </w:p>
        </w:tc>
        <w:tc>
          <w:tcPr>
            <w:tcW w:w="1263" w:type="dxa"/>
            <w:tcBorders>
              <w:top w:val="single" w:color="000000" w:sz="4" w:space="0"/>
              <w:left w:val="single" w:color="000000" w:sz="4" w:space="0"/>
              <w:bottom w:val="single" w:color="000000" w:sz="4" w:space="0"/>
              <w:right w:val="single" w:color="000000" w:sz="4" w:space="0"/>
            </w:tcBorders>
            <w:vAlign w:val="center"/>
          </w:tcPr>
          <w:p w14:paraId="32AF9CA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w:t>
            </w:r>
          </w:p>
        </w:tc>
        <w:tc>
          <w:tcPr>
            <w:tcW w:w="750" w:type="dxa"/>
            <w:tcBorders>
              <w:top w:val="single" w:color="000000" w:sz="4" w:space="0"/>
              <w:left w:val="single" w:color="000000" w:sz="4" w:space="0"/>
              <w:bottom w:val="single" w:color="000000" w:sz="4" w:space="0"/>
              <w:right w:val="single" w:color="000000" w:sz="4" w:space="0"/>
            </w:tcBorders>
            <w:vAlign w:val="center"/>
          </w:tcPr>
          <w:p w14:paraId="1619178C">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5BA912C6">
            <w:pPr>
              <w:jc w:val="center"/>
              <w:rPr>
                <w:rFonts w:hint="eastAsia" w:asciiTheme="minorEastAsia" w:hAnsiTheme="minorEastAsia" w:eastAsiaTheme="minorEastAsia"/>
                <w:sz w:val="24"/>
                <w:szCs w:val="28"/>
              </w:rPr>
            </w:pPr>
          </w:p>
        </w:tc>
      </w:tr>
      <w:tr w14:paraId="5907E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05437DA0">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额定电压</w:t>
            </w:r>
          </w:p>
        </w:tc>
        <w:tc>
          <w:tcPr>
            <w:tcW w:w="2409" w:type="dxa"/>
            <w:tcBorders>
              <w:top w:val="single" w:color="000000" w:sz="4" w:space="0"/>
              <w:left w:val="single" w:color="000000" w:sz="4" w:space="0"/>
              <w:bottom w:val="single" w:color="000000" w:sz="4" w:space="0"/>
              <w:right w:val="single" w:color="000000" w:sz="4" w:space="0"/>
            </w:tcBorders>
            <w:vAlign w:val="center"/>
          </w:tcPr>
          <w:p w14:paraId="093713D5">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380V</w:t>
            </w:r>
          </w:p>
        </w:tc>
        <w:tc>
          <w:tcPr>
            <w:tcW w:w="1276" w:type="dxa"/>
            <w:tcBorders>
              <w:top w:val="single" w:color="000000" w:sz="4" w:space="0"/>
              <w:left w:val="single" w:color="000000" w:sz="4" w:space="0"/>
              <w:bottom w:val="single" w:color="000000" w:sz="4" w:space="0"/>
              <w:right w:val="single" w:color="000000" w:sz="4" w:space="0"/>
            </w:tcBorders>
            <w:vAlign w:val="center"/>
          </w:tcPr>
          <w:p w14:paraId="210096C7">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安 全 钳</w:t>
            </w:r>
          </w:p>
        </w:tc>
        <w:tc>
          <w:tcPr>
            <w:tcW w:w="1263" w:type="dxa"/>
            <w:tcBorders>
              <w:top w:val="single" w:color="000000" w:sz="4" w:space="0"/>
              <w:left w:val="single" w:color="000000" w:sz="4" w:space="0"/>
              <w:bottom w:val="single" w:color="000000" w:sz="4" w:space="0"/>
              <w:right w:val="single" w:color="000000" w:sz="4" w:space="0"/>
            </w:tcBorders>
            <w:vAlign w:val="center"/>
          </w:tcPr>
          <w:p w14:paraId="2EA50D06">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未包含</w:t>
            </w:r>
          </w:p>
        </w:tc>
        <w:tc>
          <w:tcPr>
            <w:tcW w:w="750" w:type="dxa"/>
            <w:tcBorders>
              <w:top w:val="single" w:color="000000" w:sz="4" w:space="0"/>
              <w:left w:val="single" w:color="000000" w:sz="4" w:space="0"/>
              <w:bottom w:val="single" w:color="000000" w:sz="4" w:space="0"/>
              <w:right w:val="single" w:color="000000" w:sz="4" w:space="0"/>
            </w:tcBorders>
            <w:vAlign w:val="center"/>
          </w:tcPr>
          <w:p w14:paraId="0CF16E45">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2520090C">
            <w:pPr>
              <w:jc w:val="center"/>
              <w:rPr>
                <w:rFonts w:hint="eastAsia" w:asciiTheme="minorEastAsia" w:hAnsiTheme="minorEastAsia" w:eastAsiaTheme="minorEastAsia"/>
                <w:sz w:val="24"/>
                <w:szCs w:val="28"/>
              </w:rPr>
            </w:pPr>
          </w:p>
        </w:tc>
      </w:tr>
      <w:tr w14:paraId="3E56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1F488B9A">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额定电流</w:t>
            </w:r>
          </w:p>
        </w:tc>
        <w:tc>
          <w:tcPr>
            <w:tcW w:w="2409" w:type="dxa"/>
            <w:tcBorders>
              <w:top w:val="single" w:color="000000" w:sz="4" w:space="0"/>
              <w:left w:val="single" w:color="000000" w:sz="4" w:space="0"/>
              <w:bottom w:val="single" w:color="000000" w:sz="4" w:space="0"/>
              <w:right w:val="single" w:color="000000" w:sz="4" w:space="0"/>
            </w:tcBorders>
            <w:vAlign w:val="center"/>
          </w:tcPr>
          <w:p w14:paraId="3D20655E">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5.0A</w:t>
            </w:r>
          </w:p>
        </w:tc>
        <w:tc>
          <w:tcPr>
            <w:tcW w:w="1276" w:type="dxa"/>
            <w:tcBorders>
              <w:top w:val="single" w:color="000000" w:sz="4" w:space="0"/>
              <w:left w:val="single" w:color="000000" w:sz="4" w:space="0"/>
              <w:bottom w:val="single" w:color="000000" w:sz="4" w:space="0"/>
              <w:right w:val="single" w:color="000000" w:sz="4" w:space="0"/>
            </w:tcBorders>
            <w:vAlign w:val="center"/>
          </w:tcPr>
          <w:p w14:paraId="1EDD997F">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框架类型</w:t>
            </w:r>
          </w:p>
        </w:tc>
        <w:tc>
          <w:tcPr>
            <w:tcW w:w="1263" w:type="dxa"/>
            <w:tcBorders>
              <w:top w:val="single" w:color="000000" w:sz="4" w:space="0"/>
              <w:left w:val="single" w:color="000000" w:sz="4" w:space="0"/>
              <w:bottom w:val="single" w:color="000000" w:sz="4" w:space="0"/>
              <w:right w:val="single" w:color="000000" w:sz="4" w:space="0"/>
            </w:tcBorders>
            <w:vAlign w:val="center"/>
          </w:tcPr>
          <w:p w14:paraId="3656688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普通框架</w:t>
            </w:r>
          </w:p>
        </w:tc>
        <w:tc>
          <w:tcPr>
            <w:tcW w:w="750" w:type="dxa"/>
            <w:tcBorders>
              <w:top w:val="single" w:color="000000" w:sz="4" w:space="0"/>
              <w:left w:val="single" w:color="000000" w:sz="4" w:space="0"/>
              <w:bottom w:val="single" w:color="000000" w:sz="4" w:space="0"/>
              <w:right w:val="single" w:color="000000" w:sz="4" w:space="0"/>
            </w:tcBorders>
            <w:vAlign w:val="center"/>
          </w:tcPr>
          <w:p w14:paraId="2BF45F74">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58FEB444">
            <w:pPr>
              <w:jc w:val="center"/>
              <w:rPr>
                <w:rFonts w:hint="eastAsia" w:asciiTheme="minorEastAsia" w:hAnsiTheme="minorEastAsia" w:eastAsiaTheme="minorEastAsia"/>
                <w:sz w:val="24"/>
                <w:szCs w:val="28"/>
              </w:rPr>
            </w:pPr>
          </w:p>
        </w:tc>
      </w:tr>
      <w:tr w14:paraId="740C9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13C7A896">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启动电流</w:t>
            </w:r>
          </w:p>
        </w:tc>
        <w:tc>
          <w:tcPr>
            <w:tcW w:w="2409" w:type="dxa"/>
            <w:tcBorders>
              <w:top w:val="single" w:color="000000" w:sz="4" w:space="0"/>
              <w:left w:val="single" w:color="000000" w:sz="4" w:space="0"/>
              <w:bottom w:val="single" w:color="000000" w:sz="4" w:space="0"/>
              <w:right w:val="single" w:color="000000" w:sz="4" w:space="0"/>
            </w:tcBorders>
            <w:vAlign w:val="center"/>
          </w:tcPr>
          <w:p w14:paraId="6D9B4181">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8.6A</w:t>
            </w:r>
          </w:p>
        </w:tc>
        <w:tc>
          <w:tcPr>
            <w:tcW w:w="1276" w:type="dxa"/>
            <w:tcBorders>
              <w:top w:val="single" w:color="000000" w:sz="4" w:space="0"/>
              <w:left w:val="single" w:color="000000" w:sz="4" w:space="0"/>
              <w:bottom w:val="single" w:color="000000" w:sz="4" w:space="0"/>
              <w:right w:val="single" w:color="000000" w:sz="4" w:space="0"/>
            </w:tcBorders>
            <w:vAlign w:val="center"/>
          </w:tcPr>
          <w:p w14:paraId="782CE8D9">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工作台高</w:t>
            </w:r>
          </w:p>
        </w:tc>
        <w:tc>
          <w:tcPr>
            <w:tcW w:w="1263" w:type="dxa"/>
            <w:tcBorders>
              <w:top w:val="single" w:color="000000" w:sz="4" w:space="0"/>
              <w:left w:val="single" w:color="000000" w:sz="4" w:space="0"/>
              <w:bottom w:val="single" w:color="000000" w:sz="4" w:space="0"/>
              <w:right w:val="single" w:color="000000" w:sz="4" w:space="0"/>
            </w:tcBorders>
            <w:vAlign w:val="center"/>
          </w:tcPr>
          <w:p w14:paraId="6DEDB7C1">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w:t>
            </w:r>
          </w:p>
        </w:tc>
        <w:tc>
          <w:tcPr>
            <w:tcW w:w="750" w:type="dxa"/>
            <w:tcBorders>
              <w:top w:val="single" w:color="000000" w:sz="4" w:space="0"/>
              <w:left w:val="single" w:color="000000" w:sz="4" w:space="0"/>
              <w:bottom w:val="single" w:color="000000" w:sz="4" w:space="0"/>
              <w:right w:val="single" w:color="000000" w:sz="4" w:space="0"/>
            </w:tcBorders>
            <w:vAlign w:val="center"/>
          </w:tcPr>
          <w:p w14:paraId="53AF48BE">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068694F1">
            <w:pPr>
              <w:jc w:val="center"/>
              <w:rPr>
                <w:rFonts w:hint="eastAsia" w:asciiTheme="minorEastAsia" w:hAnsiTheme="minorEastAsia" w:eastAsiaTheme="minorEastAsia"/>
                <w:sz w:val="24"/>
                <w:szCs w:val="28"/>
              </w:rPr>
            </w:pPr>
          </w:p>
        </w:tc>
      </w:tr>
      <w:tr w14:paraId="60CC2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21BB1F59">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额定功率</w:t>
            </w:r>
          </w:p>
        </w:tc>
        <w:tc>
          <w:tcPr>
            <w:tcW w:w="2409" w:type="dxa"/>
            <w:tcBorders>
              <w:top w:val="single" w:color="000000" w:sz="4" w:space="0"/>
              <w:left w:val="single" w:color="000000" w:sz="4" w:space="0"/>
              <w:bottom w:val="single" w:color="000000" w:sz="4" w:space="0"/>
              <w:right w:val="single" w:color="000000" w:sz="4" w:space="0"/>
            </w:tcBorders>
            <w:vAlign w:val="center"/>
          </w:tcPr>
          <w:p w14:paraId="22AE508E">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2.2KW</w:t>
            </w:r>
          </w:p>
        </w:tc>
        <w:tc>
          <w:tcPr>
            <w:tcW w:w="1276" w:type="dxa"/>
            <w:tcBorders>
              <w:top w:val="single" w:color="000000" w:sz="4" w:space="0"/>
              <w:left w:val="single" w:color="000000" w:sz="4" w:space="0"/>
              <w:bottom w:val="single" w:color="000000" w:sz="4" w:space="0"/>
              <w:right w:val="single" w:color="000000" w:sz="4" w:space="0"/>
            </w:tcBorders>
            <w:vAlign w:val="center"/>
          </w:tcPr>
          <w:p w14:paraId="14552C68">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提升高度</w:t>
            </w:r>
          </w:p>
        </w:tc>
        <w:tc>
          <w:tcPr>
            <w:tcW w:w="1263" w:type="dxa"/>
            <w:tcBorders>
              <w:top w:val="single" w:color="000000" w:sz="4" w:space="0"/>
              <w:left w:val="single" w:color="000000" w:sz="4" w:space="0"/>
              <w:bottom w:val="single" w:color="000000" w:sz="4" w:space="0"/>
              <w:right w:val="single" w:color="000000" w:sz="4" w:space="0"/>
            </w:tcBorders>
            <w:vAlign w:val="center"/>
          </w:tcPr>
          <w:p w14:paraId="22955CF0">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3.4m</w:t>
            </w:r>
          </w:p>
        </w:tc>
        <w:tc>
          <w:tcPr>
            <w:tcW w:w="750" w:type="dxa"/>
            <w:tcBorders>
              <w:top w:val="single" w:color="000000" w:sz="4" w:space="0"/>
              <w:left w:val="single" w:color="000000" w:sz="4" w:space="0"/>
              <w:bottom w:val="single" w:color="000000" w:sz="4" w:space="0"/>
              <w:right w:val="single" w:color="000000" w:sz="4" w:space="0"/>
            </w:tcBorders>
            <w:vAlign w:val="center"/>
          </w:tcPr>
          <w:p w14:paraId="571B1DC8">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46525D25">
            <w:pPr>
              <w:jc w:val="center"/>
              <w:rPr>
                <w:rFonts w:hint="eastAsia" w:asciiTheme="minorEastAsia" w:hAnsiTheme="minorEastAsia" w:eastAsiaTheme="minorEastAsia"/>
                <w:sz w:val="24"/>
                <w:szCs w:val="28"/>
              </w:rPr>
            </w:pPr>
          </w:p>
        </w:tc>
      </w:tr>
      <w:tr w14:paraId="6D2C3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12D94030">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机房设置</w:t>
            </w:r>
          </w:p>
        </w:tc>
        <w:tc>
          <w:tcPr>
            <w:tcW w:w="2409" w:type="dxa"/>
            <w:tcBorders>
              <w:top w:val="single" w:color="000000" w:sz="4" w:space="0"/>
              <w:left w:val="single" w:color="000000" w:sz="4" w:space="0"/>
              <w:bottom w:val="single" w:color="000000" w:sz="4" w:space="0"/>
              <w:right w:val="single" w:color="000000" w:sz="4" w:space="0"/>
            </w:tcBorders>
            <w:vAlign w:val="center"/>
          </w:tcPr>
          <w:p w14:paraId="3380218B">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无机房</w:t>
            </w:r>
          </w:p>
        </w:tc>
        <w:tc>
          <w:tcPr>
            <w:tcW w:w="1276" w:type="dxa"/>
            <w:tcBorders>
              <w:top w:val="single" w:color="000000" w:sz="4" w:space="0"/>
              <w:left w:val="single" w:color="000000" w:sz="4" w:space="0"/>
              <w:bottom w:val="single" w:color="000000" w:sz="4" w:space="0"/>
              <w:right w:val="single" w:color="000000" w:sz="4" w:space="0"/>
            </w:tcBorders>
            <w:vAlign w:val="center"/>
          </w:tcPr>
          <w:p w14:paraId="55939C80">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顶层高度</w:t>
            </w:r>
          </w:p>
        </w:tc>
        <w:tc>
          <w:tcPr>
            <w:tcW w:w="1263" w:type="dxa"/>
            <w:tcBorders>
              <w:top w:val="single" w:color="000000" w:sz="4" w:space="0"/>
              <w:left w:val="single" w:color="000000" w:sz="4" w:space="0"/>
              <w:bottom w:val="single" w:color="000000" w:sz="4" w:space="0"/>
              <w:right w:val="single" w:color="000000" w:sz="4" w:space="0"/>
            </w:tcBorders>
            <w:vAlign w:val="center"/>
          </w:tcPr>
          <w:p w14:paraId="1AE7AD86">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3.2m</w:t>
            </w:r>
          </w:p>
        </w:tc>
        <w:tc>
          <w:tcPr>
            <w:tcW w:w="750" w:type="dxa"/>
            <w:tcBorders>
              <w:top w:val="single" w:color="000000" w:sz="4" w:space="0"/>
              <w:left w:val="single" w:color="000000" w:sz="4" w:space="0"/>
              <w:bottom w:val="single" w:color="000000" w:sz="4" w:space="0"/>
              <w:right w:val="single" w:color="000000" w:sz="4" w:space="0"/>
            </w:tcBorders>
            <w:vAlign w:val="center"/>
          </w:tcPr>
          <w:p w14:paraId="44F8AB0C">
            <w:pPr>
              <w:jc w:val="center"/>
              <w:rPr>
                <w:rFonts w:hint="eastAsia" w:asciiTheme="minorEastAsia" w:hAnsiTheme="minorEastAsia" w:eastAsiaTheme="minorEastAsia"/>
                <w:b/>
                <w:sz w:val="24"/>
                <w:szCs w:val="28"/>
              </w:rPr>
            </w:pPr>
          </w:p>
        </w:tc>
        <w:tc>
          <w:tcPr>
            <w:tcW w:w="1011" w:type="dxa"/>
            <w:tcBorders>
              <w:top w:val="single" w:color="000000" w:sz="4" w:space="0"/>
              <w:left w:val="single" w:color="000000" w:sz="4" w:space="0"/>
              <w:bottom w:val="single" w:color="000000" w:sz="4" w:space="0"/>
              <w:right w:val="single" w:color="000000" w:sz="4" w:space="0"/>
            </w:tcBorders>
            <w:vAlign w:val="center"/>
          </w:tcPr>
          <w:p w14:paraId="12C6BC23">
            <w:pPr>
              <w:jc w:val="center"/>
              <w:rPr>
                <w:rFonts w:hint="eastAsia" w:asciiTheme="minorEastAsia" w:hAnsiTheme="minorEastAsia" w:eastAsiaTheme="minorEastAsia"/>
                <w:sz w:val="24"/>
                <w:szCs w:val="28"/>
              </w:rPr>
            </w:pPr>
          </w:p>
        </w:tc>
      </w:tr>
      <w:tr w14:paraId="53CD0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5440FC25">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电源位置</w:t>
            </w:r>
          </w:p>
        </w:tc>
        <w:tc>
          <w:tcPr>
            <w:tcW w:w="6709" w:type="dxa"/>
            <w:gridSpan w:val="5"/>
            <w:tcBorders>
              <w:top w:val="single" w:color="000000" w:sz="4" w:space="0"/>
              <w:left w:val="single" w:color="000000" w:sz="4" w:space="0"/>
              <w:bottom w:val="single" w:color="000000" w:sz="4" w:space="0"/>
              <w:right w:val="single" w:color="000000" w:sz="4" w:space="0"/>
            </w:tcBorders>
            <w:vAlign w:val="center"/>
          </w:tcPr>
          <w:p w14:paraId="5C16050F">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由需方负责将电源线甩至机房内并预留2米。</w:t>
            </w:r>
          </w:p>
        </w:tc>
      </w:tr>
      <w:tr w14:paraId="25D32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vMerge w:val="restart"/>
            <w:tcBorders>
              <w:top w:val="single" w:color="000000" w:sz="4" w:space="0"/>
              <w:left w:val="single" w:color="000000" w:sz="4" w:space="0"/>
              <w:bottom w:val="single" w:color="000000" w:sz="4" w:space="0"/>
              <w:right w:val="single" w:color="000000" w:sz="4" w:space="0"/>
            </w:tcBorders>
            <w:vAlign w:val="center"/>
          </w:tcPr>
          <w:p w14:paraId="7B865989">
            <w:pPr>
              <w:spacing w:line="240" w:lineRule="exact"/>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轿厢尺寸</w:t>
            </w:r>
          </w:p>
        </w:tc>
        <w:tc>
          <w:tcPr>
            <w:tcW w:w="3685" w:type="dxa"/>
            <w:gridSpan w:val="2"/>
            <w:tcBorders>
              <w:top w:val="single" w:color="000000" w:sz="4" w:space="0"/>
              <w:left w:val="single" w:color="000000" w:sz="4" w:space="0"/>
              <w:bottom w:val="single" w:color="000000" w:sz="4" w:space="0"/>
              <w:right w:val="single" w:color="000000" w:sz="4" w:space="0"/>
            </w:tcBorders>
            <w:vAlign w:val="center"/>
          </w:tcPr>
          <w:p w14:paraId="6C25E789">
            <w:pPr>
              <w:jc w:val="center"/>
              <w:rPr>
                <w:rFonts w:hint="eastAsia" w:asciiTheme="minorEastAsia" w:hAnsiTheme="minorEastAsia" w:eastAsiaTheme="minorEastAsia"/>
                <w:sz w:val="24"/>
              </w:rPr>
            </w:pPr>
            <w:r>
              <w:rPr>
                <w:rFonts w:hint="eastAsia" w:asciiTheme="minorEastAsia" w:hAnsiTheme="minorEastAsia" w:eastAsiaTheme="minorEastAsia"/>
                <w:sz w:val="24"/>
              </w:rPr>
              <w:t>（宽×深×高mm）</w:t>
            </w:r>
          </w:p>
        </w:tc>
        <w:tc>
          <w:tcPr>
            <w:tcW w:w="1263" w:type="dxa"/>
            <w:vMerge w:val="restart"/>
            <w:tcBorders>
              <w:top w:val="single" w:color="000000" w:sz="4" w:space="0"/>
              <w:left w:val="single" w:color="000000" w:sz="4" w:space="0"/>
              <w:bottom w:val="single" w:color="000000" w:sz="4" w:space="0"/>
              <w:right w:val="single" w:color="000000" w:sz="4" w:space="0"/>
            </w:tcBorders>
            <w:vAlign w:val="center"/>
          </w:tcPr>
          <w:p w14:paraId="05305BE6">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井道尺寸</w:t>
            </w:r>
          </w:p>
        </w:tc>
        <w:tc>
          <w:tcPr>
            <w:tcW w:w="1761" w:type="dxa"/>
            <w:gridSpan w:val="2"/>
            <w:tcBorders>
              <w:top w:val="single" w:color="000000" w:sz="4" w:space="0"/>
              <w:left w:val="single" w:color="000000" w:sz="4" w:space="0"/>
              <w:bottom w:val="single" w:color="000000" w:sz="4" w:space="0"/>
              <w:right w:val="single" w:color="000000" w:sz="4" w:space="0"/>
            </w:tcBorders>
            <w:vAlign w:val="center"/>
          </w:tcPr>
          <w:p w14:paraId="2B42340A">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rPr>
              <w:t>（宽×深mm）</w:t>
            </w:r>
          </w:p>
        </w:tc>
      </w:tr>
      <w:tr w14:paraId="441D2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1524" w:type="dxa"/>
            <w:vMerge w:val="continue"/>
            <w:tcBorders>
              <w:top w:val="single" w:color="000000" w:sz="4" w:space="0"/>
              <w:left w:val="single" w:color="000000" w:sz="4" w:space="0"/>
              <w:bottom w:val="single" w:color="000000" w:sz="4" w:space="0"/>
              <w:right w:val="single" w:color="000000" w:sz="4" w:space="0"/>
            </w:tcBorders>
            <w:vAlign w:val="center"/>
          </w:tcPr>
          <w:p w14:paraId="2FA2EDE7">
            <w:pPr>
              <w:widowControl/>
              <w:jc w:val="left"/>
              <w:rPr>
                <w:rFonts w:hint="eastAsia" w:asciiTheme="minorEastAsia" w:hAnsiTheme="minorEastAsia" w:eastAsiaTheme="minorEastAsia"/>
                <w:b/>
                <w:sz w:val="24"/>
                <w:szCs w:val="28"/>
              </w:rPr>
            </w:pPr>
          </w:p>
        </w:tc>
        <w:tc>
          <w:tcPr>
            <w:tcW w:w="3685" w:type="dxa"/>
            <w:gridSpan w:val="2"/>
            <w:tcBorders>
              <w:top w:val="single" w:color="000000" w:sz="4" w:space="0"/>
              <w:left w:val="single" w:color="000000" w:sz="4" w:space="0"/>
              <w:bottom w:val="single" w:color="000000" w:sz="4" w:space="0"/>
              <w:right w:val="single" w:color="000000" w:sz="4" w:space="0"/>
            </w:tcBorders>
            <w:vAlign w:val="center"/>
          </w:tcPr>
          <w:p w14:paraId="188D8D8A">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10</w:t>
            </w:r>
            <w:r>
              <w:rPr>
                <w:rFonts w:asciiTheme="minorEastAsia" w:hAnsiTheme="minorEastAsia" w:eastAsiaTheme="minorEastAsia"/>
                <w:sz w:val="24"/>
                <w:szCs w:val="28"/>
              </w:rPr>
              <w:t>00*</w:t>
            </w:r>
            <w:r>
              <w:rPr>
                <w:rFonts w:hint="eastAsia" w:asciiTheme="minorEastAsia" w:hAnsiTheme="minorEastAsia" w:eastAsiaTheme="minorEastAsia"/>
                <w:sz w:val="24"/>
                <w:szCs w:val="28"/>
              </w:rPr>
              <w:t>9</w:t>
            </w:r>
            <w:r>
              <w:rPr>
                <w:rFonts w:asciiTheme="minorEastAsia" w:hAnsiTheme="minorEastAsia" w:eastAsiaTheme="minorEastAsia"/>
                <w:sz w:val="24"/>
                <w:szCs w:val="28"/>
              </w:rPr>
              <w:t>00*</w:t>
            </w:r>
            <w:r>
              <w:rPr>
                <w:rFonts w:hint="eastAsia" w:asciiTheme="minorEastAsia" w:hAnsiTheme="minorEastAsia" w:eastAsiaTheme="minorEastAsia"/>
                <w:sz w:val="24"/>
                <w:szCs w:val="28"/>
              </w:rPr>
              <w:t>12</w:t>
            </w:r>
            <w:r>
              <w:rPr>
                <w:rFonts w:asciiTheme="minorEastAsia" w:hAnsiTheme="minorEastAsia" w:eastAsiaTheme="minorEastAsia"/>
                <w:sz w:val="24"/>
                <w:szCs w:val="28"/>
              </w:rPr>
              <w:t>00</w:t>
            </w:r>
          </w:p>
        </w:tc>
        <w:tc>
          <w:tcPr>
            <w:tcW w:w="1263" w:type="dxa"/>
            <w:vMerge w:val="continue"/>
            <w:tcBorders>
              <w:top w:val="single" w:color="000000" w:sz="4" w:space="0"/>
              <w:left w:val="single" w:color="000000" w:sz="4" w:space="0"/>
              <w:bottom w:val="single" w:color="000000" w:sz="4" w:space="0"/>
              <w:right w:val="single" w:color="000000" w:sz="4" w:space="0"/>
            </w:tcBorders>
            <w:vAlign w:val="center"/>
          </w:tcPr>
          <w:p w14:paraId="097B99B7">
            <w:pPr>
              <w:widowControl/>
              <w:jc w:val="left"/>
              <w:rPr>
                <w:rFonts w:hint="eastAsia" w:asciiTheme="minorEastAsia" w:hAnsiTheme="minorEastAsia" w:eastAsiaTheme="minorEastAsia"/>
                <w:b/>
                <w:sz w:val="24"/>
                <w:szCs w:val="28"/>
              </w:rPr>
            </w:pPr>
          </w:p>
        </w:tc>
        <w:tc>
          <w:tcPr>
            <w:tcW w:w="1761" w:type="dxa"/>
            <w:gridSpan w:val="2"/>
            <w:tcBorders>
              <w:top w:val="single" w:color="000000" w:sz="4" w:space="0"/>
              <w:left w:val="single" w:color="000000" w:sz="4" w:space="0"/>
              <w:bottom w:val="single" w:color="000000" w:sz="4" w:space="0"/>
              <w:right w:val="single" w:color="000000" w:sz="4" w:space="0"/>
            </w:tcBorders>
            <w:vAlign w:val="center"/>
          </w:tcPr>
          <w:p w14:paraId="65C4A5E5">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3200*1200</w:t>
            </w:r>
          </w:p>
        </w:tc>
      </w:tr>
      <w:tr w14:paraId="0B0DE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exact"/>
          <w:jc w:val="center"/>
        </w:trPr>
        <w:tc>
          <w:tcPr>
            <w:tcW w:w="1524" w:type="dxa"/>
            <w:vMerge w:val="restart"/>
            <w:tcBorders>
              <w:top w:val="single" w:color="000000" w:sz="4" w:space="0"/>
              <w:left w:val="single" w:color="000000" w:sz="4" w:space="0"/>
              <w:bottom w:val="single" w:color="000000" w:sz="4" w:space="0"/>
              <w:right w:val="single" w:color="000000" w:sz="4" w:space="0"/>
            </w:tcBorders>
            <w:vAlign w:val="center"/>
          </w:tcPr>
          <w:p w14:paraId="2D615E37">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开门尺寸</w:t>
            </w:r>
          </w:p>
        </w:tc>
        <w:tc>
          <w:tcPr>
            <w:tcW w:w="3685" w:type="dxa"/>
            <w:gridSpan w:val="2"/>
            <w:tcBorders>
              <w:top w:val="single" w:color="000000" w:sz="4" w:space="0"/>
              <w:left w:val="single" w:color="000000" w:sz="4" w:space="0"/>
              <w:bottom w:val="single" w:color="000000" w:sz="4" w:space="0"/>
              <w:right w:val="single" w:color="000000" w:sz="4" w:space="0"/>
            </w:tcBorders>
            <w:vAlign w:val="center"/>
          </w:tcPr>
          <w:p w14:paraId="0B6833A2">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rPr>
              <w:t>（宽×高mm）</w:t>
            </w:r>
          </w:p>
        </w:tc>
        <w:tc>
          <w:tcPr>
            <w:tcW w:w="1263" w:type="dxa"/>
            <w:vMerge w:val="restart"/>
            <w:tcBorders>
              <w:top w:val="single" w:color="000000" w:sz="4" w:space="0"/>
              <w:left w:val="single" w:color="000000" w:sz="4" w:space="0"/>
              <w:bottom w:val="single" w:color="000000" w:sz="4" w:space="0"/>
              <w:right w:val="single" w:color="000000" w:sz="4" w:space="0"/>
            </w:tcBorders>
            <w:vAlign w:val="center"/>
          </w:tcPr>
          <w:p w14:paraId="3791848D">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门洞尺寸</w:t>
            </w:r>
          </w:p>
        </w:tc>
        <w:tc>
          <w:tcPr>
            <w:tcW w:w="1761" w:type="dxa"/>
            <w:gridSpan w:val="2"/>
            <w:tcBorders>
              <w:top w:val="single" w:color="000000" w:sz="4" w:space="0"/>
              <w:left w:val="single" w:color="000000" w:sz="4" w:space="0"/>
              <w:bottom w:val="single" w:color="000000" w:sz="4" w:space="0"/>
              <w:right w:val="single" w:color="000000" w:sz="4" w:space="0"/>
            </w:tcBorders>
            <w:vAlign w:val="center"/>
          </w:tcPr>
          <w:p w14:paraId="6496DFA0">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rPr>
              <w:t>（宽×高mm）</w:t>
            </w:r>
          </w:p>
        </w:tc>
      </w:tr>
      <w:tr w14:paraId="096AC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exact"/>
          <w:jc w:val="center"/>
        </w:trPr>
        <w:tc>
          <w:tcPr>
            <w:tcW w:w="1524" w:type="dxa"/>
            <w:vMerge w:val="continue"/>
            <w:tcBorders>
              <w:top w:val="single" w:color="000000" w:sz="4" w:space="0"/>
              <w:left w:val="single" w:color="000000" w:sz="4" w:space="0"/>
              <w:bottom w:val="single" w:color="000000" w:sz="4" w:space="0"/>
              <w:right w:val="single" w:color="000000" w:sz="4" w:space="0"/>
            </w:tcBorders>
            <w:vAlign w:val="center"/>
          </w:tcPr>
          <w:p w14:paraId="2F1BDAF6">
            <w:pPr>
              <w:widowControl/>
              <w:jc w:val="left"/>
              <w:rPr>
                <w:rFonts w:hint="eastAsia" w:asciiTheme="minorEastAsia" w:hAnsiTheme="minorEastAsia" w:eastAsiaTheme="minorEastAsia"/>
                <w:b/>
                <w:sz w:val="24"/>
                <w:szCs w:val="28"/>
              </w:rPr>
            </w:pPr>
          </w:p>
        </w:tc>
        <w:tc>
          <w:tcPr>
            <w:tcW w:w="3685" w:type="dxa"/>
            <w:gridSpan w:val="2"/>
            <w:tcBorders>
              <w:top w:val="single" w:color="000000" w:sz="4" w:space="0"/>
              <w:left w:val="single" w:color="000000" w:sz="4" w:space="0"/>
              <w:bottom w:val="single" w:color="000000" w:sz="4" w:space="0"/>
              <w:right w:val="single" w:color="000000" w:sz="4" w:space="0"/>
            </w:tcBorders>
            <w:vAlign w:val="center"/>
          </w:tcPr>
          <w:p w14:paraId="5AABDD24">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10</w:t>
            </w:r>
            <w:r>
              <w:rPr>
                <w:rFonts w:asciiTheme="minorEastAsia" w:hAnsiTheme="minorEastAsia" w:eastAsiaTheme="minorEastAsia"/>
                <w:sz w:val="24"/>
                <w:szCs w:val="28"/>
              </w:rPr>
              <w:t>00*</w:t>
            </w:r>
            <w:r>
              <w:rPr>
                <w:rFonts w:hint="eastAsia" w:asciiTheme="minorEastAsia" w:hAnsiTheme="minorEastAsia" w:eastAsiaTheme="minorEastAsia"/>
                <w:sz w:val="24"/>
                <w:szCs w:val="28"/>
              </w:rPr>
              <w:t>12</w:t>
            </w:r>
            <w:r>
              <w:rPr>
                <w:rFonts w:asciiTheme="minorEastAsia" w:hAnsiTheme="minorEastAsia" w:eastAsiaTheme="minorEastAsia"/>
                <w:sz w:val="24"/>
                <w:szCs w:val="28"/>
              </w:rPr>
              <w:t>00</w:t>
            </w:r>
          </w:p>
        </w:tc>
        <w:tc>
          <w:tcPr>
            <w:tcW w:w="1263" w:type="dxa"/>
            <w:vMerge w:val="continue"/>
            <w:tcBorders>
              <w:top w:val="single" w:color="000000" w:sz="4" w:space="0"/>
              <w:left w:val="single" w:color="000000" w:sz="4" w:space="0"/>
              <w:bottom w:val="single" w:color="000000" w:sz="4" w:space="0"/>
              <w:right w:val="single" w:color="000000" w:sz="4" w:space="0"/>
            </w:tcBorders>
            <w:vAlign w:val="center"/>
          </w:tcPr>
          <w:p w14:paraId="0E4F9CC0">
            <w:pPr>
              <w:widowControl/>
              <w:jc w:val="left"/>
              <w:rPr>
                <w:rFonts w:hint="eastAsia" w:asciiTheme="minorEastAsia" w:hAnsiTheme="minorEastAsia" w:eastAsiaTheme="minorEastAsia"/>
                <w:b/>
                <w:sz w:val="24"/>
                <w:szCs w:val="28"/>
              </w:rPr>
            </w:pPr>
          </w:p>
        </w:tc>
        <w:tc>
          <w:tcPr>
            <w:tcW w:w="1761" w:type="dxa"/>
            <w:gridSpan w:val="2"/>
            <w:tcBorders>
              <w:top w:val="single" w:color="000000" w:sz="4" w:space="0"/>
              <w:left w:val="single" w:color="000000" w:sz="4" w:space="0"/>
              <w:bottom w:val="single" w:color="000000" w:sz="4" w:space="0"/>
              <w:right w:val="single" w:color="000000" w:sz="4" w:space="0"/>
            </w:tcBorders>
            <w:vAlign w:val="center"/>
          </w:tcPr>
          <w:p w14:paraId="1F3D3018">
            <w:pPr>
              <w:jc w:val="center"/>
              <w:rPr>
                <w:rFonts w:hint="eastAsia" w:asciiTheme="minorEastAsia" w:hAnsiTheme="minorEastAsia" w:eastAsiaTheme="minorEastAsia"/>
                <w:sz w:val="24"/>
                <w:szCs w:val="28"/>
              </w:rPr>
            </w:pPr>
            <w:r>
              <w:rPr>
                <w:rFonts w:hint="eastAsia" w:asciiTheme="minorEastAsia" w:hAnsiTheme="minorEastAsia" w:eastAsiaTheme="minorEastAsia"/>
                <w:sz w:val="24"/>
                <w:szCs w:val="28"/>
              </w:rPr>
              <w:t>1350</w:t>
            </w:r>
            <w:r>
              <w:rPr>
                <w:rFonts w:asciiTheme="minorEastAsia" w:hAnsiTheme="minorEastAsia" w:eastAsiaTheme="minorEastAsia"/>
                <w:sz w:val="24"/>
                <w:szCs w:val="28"/>
              </w:rPr>
              <w:t>*</w:t>
            </w:r>
            <w:r>
              <w:rPr>
                <w:rFonts w:hint="eastAsia" w:asciiTheme="minorEastAsia" w:hAnsiTheme="minorEastAsia" w:eastAsiaTheme="minorEastAsia"/>
                <w:sz w:val="24"/>
                <w:szCs w:val="28"/>
              </w:rPr>
              <w:t>1350</w:t>
            </w:r>
          </w:p>
        </w:tc>
      </w:tr>
      <w:tr w14:paraId="3094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1524" w:type="dxa"/>
            <w:tcBorders>
              <w:top w:val="single" w:color="000000" w:sz="4" w:space="0"/>
              <w:left w:val="single" w:color="000000" w:sz="4" w:space="0"/>
              <w:bottom w:val="single" w:color="000000" w:sz="4" w:space="0"/>
              <w:right w:val="single" w:color="000000" w:sz="4" w:space="0"/>
            </w:tcBorders>
            <w:vAlign w:val="center"/>
          </w:tcPr>
          <w:p w14:paraId="5F7A938F">
            <w:pPr>
              <w:jc w:val="center"/>
              <w:rPr>
                <w:rFonts w:hint="eastAsia" w:asciiTheme="minorEastAsia" w:hAnsiTheme="minorEastAsia" w:eastAsiaTheme="minorEastAsia"/>
                <w:b/>
                <w:sz w:val="24"/>
                <w:szCs w:val="28"/>
              </w:rPr>
            </w:pPr>
            <w:r>
              <w:rPr>
                <w:rFonts w:hint="eastAsia" w:asciiTheme="minorEastAsia" w:hAnsiTheme="minorEastAsia" w:eastAsiaTheme="minorEastAsia"/>
                <w:b/>
                <w:sz w:val="24"/>
                <w:szCs w:val="28"/>
              </w:rPr>
              <w:t>特殊要求</w:t>
            </w:r>
          </w:p>
        </w:tc>
        <w:tc>
          <w:tcPr>
            <w:tcW w:w="6709" w:type="dxa"/>
            <w:gridSpan w:val="5"/>
            <w:tcBorders>
              <w:top w:val="single" w:color="000000" w:sz="4" w:space="0"/>
              <w:left w:val="single" w:color="000000" w:sz="4" w:space="0"/>
              <w:bottom w:val="single" w:color="000000" w:sz="4" w:space="0"/>
              <w:right w:val="single" w:color="000000" w:sz="4" w:space="0"/>
            </w:tcBorders>
            <w:vAlign w:val="center"/>
          </w:tcPr>
          <w:p w14:paraId="7C7BB321">
            <w:pPr>
              <w:rPr>
                <w:rFonts w:hint="eastAsia" w:asciiTheme="minorEastAsia" w:hAnsiTheme="minorEastAsia" w:eastAsiaTheme="minorEastAsia"/>
                <w:b/>
                <w:sz w:val="24"/>
                <w:szCs w:val="28"/>
              </w:rPr>
            </w:pPr>
            <w:r>
              <w:rPr>
                <w:rFonts w:asciiTheme="minorEastAsia" w:hAnsiTheme="minorEastAsia" w:eastAsiaTheme="minorEastAsia"/>
                <w:b/>
                <w:sz w:val="24"/>
                <w:szCs w:val="28"/>
              </w:rPr>
              <w:t xml:space="preserve"> </w:t>
            </w:r>
            <w:r>
              <w:rPr>
                <w:rFonts w:hint="eastAsia" w:asciiTheme="minorEastAsia" w:hAnsiTheme="minorEastAsia" w:eastAsiaTheme="minorEastAsia"/>
                <w:b/>
                <w:sz w:val="24"/>
                <w:szCs w:val="28"/>
              </w:rPr>
              <w:t>符合使用现场旧餐梯要求，具体数据以现场实测数据为准。</w:t>
            </w:r>
          </w:p>
        </w:tc>
      </w:tr>
    </w:tbl>
    <w:p w14:paraId="39A5E922">
      <w:pPr>
        <w:rPr>
          <w:rFonts w:hint="eastAsia" w:asciiTheme="minorEastAsia" w:hAnsiTheme="minorEastAsia" w:eastAsiaTheme="minorEastAsia"/>
          <w:sz w:val="24"/>
        </w:rPr>
      </w:pPr>
    </w:p>
    <w:p w14:paraId="2CEDA14F">
      <w:pPr>
        <w:rPr>
          <w:rFonts w:hint="eastAsia" w:asciiTheme="minorEastAsia" w:hAnsiTheme="minorEastAsia" w:eastAsiaTheme="minorEastAsia"/>
          <w:sz w:val="24"/>
        </w:rPr>
      </w:pPr>
      <w:r>
        <w:rPr>
          <w:rFonts w:hint="eastAsia" w:asciiTheme="minorEastAsia" w:hAnsiTheme="minorEastAsia" w:eastAsiaTheme="minorEastAsia"/>
          <w:sz w:val="24"/>
        </w:rPr>
        <w:t>二、质保期限：本项目质保期为自验收合格之日起三年。</w:t>
      </w:r>
    </w:p>
    <w:p w14:paraId="33521304">
      <w:pPr>
        <w:spacing w:line="360" w:lineRule="auto"/>
        <w:jc w:val="center"/>
        <w:outlineLvl w:val="0"/>
        <w:rPr>
          <w:rFonts w:hint="eastAsia" w:ascii="宋体" w:hAnsi="宋体"/>
          <w:b/>
          <w:sz w:val="36"/>
          <w:szCs w:val="36"/>
        </w:rPr>
      </w:pPr>
      <w:r>
        <w:rPr>
          <w:rFonts w:ascii="宋体" w:hAnsi="宋体"/>
          <w:b/>
          <w:sz w:val="36"/>
          <w:szCs w:val="36"/>
        </w:rPr>
        <w:br w:type="page"/>
      </w:r>
      <w:bookmarkStart w:id="673" w:name="_Toc232493961"/>
      <w:r>
        <w:rPr>
          <w:rFonts w:ascii="宋体" w:hAnsi="宋体"/>
          <w:b/>
          <w:sz w:val="36"/>
          <w:szCs w:val="36"/>
        </w:rPr>
        <w:t>第五章   合同草案条款</w:t>
      </w:r>
      <w:bookmarkEnd w:id="673"/>
    </w:p>
    <w:p w14:paraId="6EB04695">
      <w:pPr>
        <w:jc w:val="center"/>
        <w:rPr>
          <w:rFonts w:hint="eastAsia" w:ascii="宋体" w:hAnsi="宋体"/>
          <w:b/>
          <w:sz w:val="36"/>
          <w:szCs w:val="36"/>
        </w:rPr>
      </w:pPr>
      <w:bookmarkStart w:id="674" w:name="_Hlk145519020"/>
    </w:p>
    <w:p w14:paraId="7B90C2ED">
      <w:pPr>
        <w:rPr>
          <w:rFonts w:hint="eastAsia" w:ascii="宋体" w:hAnsi="宋体" w:cs="等线"/>
        </w:rPr>
      </w:pPr>
      <w:r>
        <w:rPr>
          <w:rFonts w:hint="eastAsia" w:ascii="宋体" w:hAnsi="宋体" w:cs="等线"/>
        </w:rPr>
        <w:t xml:space="preserve"> </w:t>
      </w:r>
    </w:p>
    <w:p w14:paraId="7B930796">
      <w:pPr>
        <w:ind w:right="458" w:rightChars="218"/>
        <w:rPr>
          <w:rFonts w:hint="eastAsia" w:ascii="仿宋" w:hAnsi="仿宋" w:eastAsia="仿宋" w:cs="宋体"/>
          <w:b/>
        </w:rPr>
      </w:pPr>
      <w:r>
        <w:rPr>
          <w:rFonts w:ascii="仿宋" w:hAnsi="仿宋" w:eastAsia="仿宋"/>
          <w:b/>
        </w:rPr>
        <w:t xml:space="preserve"> </w:t>
      </w:r>
    </w:p>
    <w:p w14:paraId="529711AF">
      <w:pPr>
        <w:jc w:val="right"/>
        <w:rPr>
          <w:b/>
          <w:bCs/>
          <w:sz w:val="24"/>
          <w:szCs w:val="32"/>
        </w:rPr>
      </w:pPr>
      <w:r>
        <w:rPr>
          <w:rFonts w:ascii="仿宋" w:hAnsi="仿宋" w:eastAsia="仿宋"/>
          <w:b/>
        </w:rPr>
        <w:t xml:space="preserve"> </w:t>
      </w:r>
      <w:r>
        <w:rPr>
          <w:rFonts w:hint="eastAsia"/>
          <w:b/>
          <w:bCs/>
          <w:sz w:val="24"/>
          <w:szCs w:val="32"/>
        </w:rPr>
        <w:t>合同编号：</w:t>
      </w:r>
    </w:p>
    <w:p w14:paraId="088E3AB9">
      <w:pPr>
        <w:ind w:right="458" w:rightChars="218"/>
        <w:rPr>
          <w:rFonts w:hint="eastAsia" w:ascii="仿宋" w:hAnsi="仿宋" w:eastAsia="仿宋" w:cs="宋体"/>
          <w:b/>
        </w:rPr>
      </w:pPr>
      <w:r>
        <w:rPr>
          <w:rFonts w:ascii="仿宋" w:hAnsi="仿宋" w:eastAsia="仿宋"/>
          <w:b/>
          <w:sz w:val="32"/>
          <w:szCs w:val="32"/>
        </w:rPr>
        <w:t xml:space="preserve"> </w:t>
      </w:r>
    </w:p>
    <w:p w14:paraId="536F7E02">
      <w:pPr>
        <w:ind w:left="359" w:leftChars="171" w:right="458" w:rightChars="218"/>
        <w:rPr>
          <w:rFonts w:hint="eastAsia" w:ascii="仿宋" w:hAnsi="仿宋" w:eastAsia="仿宋"/>
          <w:b/>
        </w:rPr>
      </w:pPr>
      <w:r>
        <w:rPr>
          <w:rFonts w:ascii="仿宋" w:hAnsi="仿宋" w:eastAsia="仿宋"/>
          <w:b/>
        </w:rPr>
        <w:t xml:space="preserve"> </w:t>
      </w:r>
    </w:p>
    <w:p w14:paraId="7741F268">
      <w:pPr>
        <w:ind w:left="359" w:leftChars="171" w:right="458" w:rightChars="218"/>
        <w:rPr>
          <w:rFonts w:hint="eastAsia" w:ascii="仿宋" w:hAnsi="仿宋" w:eastAsia="仿宋"/>
          <w:b/>
        </w:rPr>
      </w:pPr>
      <w:r>
        <w:rPr>
          <w:rFonts w:ascii="仿宋" w:hAnsi="仿宋" w:eastAsia="仿宋"/>
          <w:b/>
        </w:rPr>
        <w:t xml:space="preserve"> </w:t>
      </w:r>
    </w:p>
    <w:p w14:paraId="37FD7E43">
      <w:pPr>
        <w:ind w:left="359" w:leftChars="171" w:right="458" w:rightChars="218"/>
        <w:rPr>
          <w:rFonts w:hint="eastAsia" w:ascii="仿宋" w:hAnsi="仿宋" w:eastAsia="仿宋"/>
        </w:rPr>
      </w:pPr>
      <w:r>
        <w:rPr>
          <w:rFonts w:ascii="仿宋" w:hAnsi="仿宋" w:eastAsia="仿宋"/>
        </w:rPr>
        <w:t xml:space="preserve"> </w:t>
      </w:r>
    </w:p>
    <w:p w14:paraId="12E19B32">
      <w:pPr>
        <w:ind w:left="359" w:leftChars="171" w:right="458" w:rightChars="218"/>
        <w:rPr>
          <w:rFonts w:hint="eastAsia" w:ascii="仿宋" w:hAnsi="仿宋" w:eastAsia="仿宋"/>
        </w:rPr>
      </w:pPr>
    </w:p>
    <w:p w14:paraId="740B923F">
      <w:pPr>
        <w:ind w:left="359" w:leftChars="171" w:right="458" w:rightChars="218"/>
        <w:jc w:val="center"/>
        <w:rPr>
          <w:rFonts w:hint="eastAsia" w:ascii="宋体" w:hAnsi="宋体"/>
        </w:rPr>
      </w:pPr>
      <w:r>
        <w:rPr>
          <w:rFonts w:hint="eastAsia" w:ascii="宋体" w:hAnsi="宋体" w:cs="黑体"/>
          <w:b/>
          <w:sz w:val="72"/>
          <w:szCs w:val="72"/>
        </w:rPr>
        <w:t>建设工程施工合同</w:t>
      </w:r>
    </w:p>
    <w:p w14:paraId="7AF666DB">
      <w:pPr>
        <w:ind w:left="359" w:leftChars="171" w:right="458" w:rightChars="218"/>
        <w:rPr>
          <w:rFonts w:hint="eastAsia" w:ascii="仿宋" w:hAnsi="仿宋" w:eastAsia="仿宋"/>
        </w:rPr>
      </w:pPr>
      <w:r>
        <w:rPr>
          <w:rFonts w:ascii="仿宋" w:hAnsi="仿宋" w:eastAsia="仿宋"/>
        </w:rPr>
        <w:t xml:space="preserve"> </w:t>
      </w:r>
    </w:p>
    <w:p w14:paraId="59D4D605">
      <w:pPr>
        <w:ind w:left="359" w:leftChars="171" w:right="458" w:rightChars="218"/>
        <w:rPr>
          <w:rFonts w:hint="eastAsia" w:ascii="仿宋" w:hAnsi="仿宋" w:eastAsia="仿宋"/>
        </w:rPr>
      </w:pPr>
      <w:r>
        <w:rPr>
          <w:rFonts w:ascii="仿宋" w:hAnsi="仿宋" w:eastAsia="仿宋"/>
        </w:rPr>
        <w:t xml:space="preserve"> </w:t>
      </w:r>
    </w:p>
    <w:p w14:paraId="55235E66">
      <w:pPr>
        <w:ind w:left="359" w:leftChars="171" w:right="458" w:rightChars="218"/>
        <w:rPr>
          <w:rFonts w:hint="eastAsia" w:ascii="仿宋" w:hAnsi="仿宋" w:eastAsia="仿宋"/>
        </w:rPr>
      </w:pPr>
      <w:r>
        <w:rPr>
          <w:rFonts w:ascii="仿宋" w:hAnsi="仿宋" w:eastAsia="仿宋"/>
        </w:rPr>
        <w:t xml:space="preserve"> </w:t>
      </w:r>
    </w:p>
    <w:p w14:paraId="48E94E10">
      <w:pPr>
        <w:ind w:left="359" w:leftChars="171" w:right="458" w:rightChars="218"/>
        <w:rPr>
          <w:rFonts w:hint="eastAsia" w:ascii="仿宋" w:hAnsi="仿宋" w:eastAsia="仿宋"/>
        </w:rPr>
      </w:pPr>
      <w:r>
        <w:rPr>
          <w:rFonts w:ascii="仿宋" w:hAnsi="仿宋" w:eastAsia="仿宋"/>
        </w:rPr>
        <w:t xml:space="preserve"> </w:t>
      </w:r>
    </w:p>
    <w:p w14:paraId="3964A1F1">
      <w:pPr>
        <w:ind w:left="359" w:leftChars="171" w:right="458" w:rightChars="218"/>
        <w:rPr>
          <w:rFonts w:hint="eastAsia" w:ascii="仿宋" w:hAnsi="仿宋" w:eastAsia="仿宋"/>
        </w:rPr>
      </w:pPr>
      <w:r>
        <w:rPr>
          <w:rFonts w:ascii="仿宋" w:hAnsi="仿宋" w:eastAsia="仿宋"/>
        </w:rPr>
        <w:t xml:space="preserve"> </w:t>
      </w:r>
    </w:p>
    <w:p w14:paraId="64A56421">
      <w:pPr>
        <w:ind w:left="359" w:leftChars="171" w:right="458" w:rightChars="218"/>
        <w:rPr>
          <w:rFonts w:hint="eastAsia" w:ascii="仿宋" w:hAnsi="仿宋" w:eastAsia="仿宋"/>
        </w:rPr>
      </w:pPr>
      <w:r>
        <w:rPr>
          <w:rFonts w:ascii="仿宋" w:hAnsi="仿宋" w:eastAsia="仿宋"/>
        </w:rPr>
        <w:t xml:space="preserve"> </w:t>
      </w:r>
    </w:p>
    <w:p w14:paraId="37FF2E11">
      <w:pPr>
        <w:ind w:left="359" w:leftChars="171" w:right="458" w:rightChars="218"/>
        <w:rPr>
          <w:rFonts w:hint="eastAsia" w:ascii="仿宋" w:hAnsi="仿宋" w:eastAsia="仿宋"/>
        </w:rPr>
      </w:pPr>
      <w:r>
        <w:rPr>
          <w:rFonts w:ascii="仿宋" w:hAnsi="仿宋" w:eastAsia="仿宋"/>
        </w:rPr>
        <w:t xml:space="preserve"> </w:t>
      </w:r>
    </w:p>
    <w:p w14:paraId="5397011D">
      <w:pPr>
        <w:ind w:left="359" w:leftChars="171" w:right="458" w:rightChars="218"/>
        <w:rPr>
          <w:rFonts w:hint="eastAsia" w:ascii="仿宋" w:hAnsi="仿宋" w:eastAsia="仿宋"/>
        </w:rPr>
      </w:pPr>
      <w:r>
        <w:rPr>
          <w:rFonts w:ascii="仿宋" w:hAnsi="仿宋" w:eastAsia="仿宋"/>
        </w:rPr>
        <w:t xml:space="preserve"> </w:t>
      </w:r>
    </w:p>
    <w:p w14:paraId="6312A58D">
      <w:pPr>
        <w:ind w:left="359" w:leftChars="171" w:right="458" w:rightChars="218"/>
        <w:rPr>
          <w:rFonts w:hint="eastAsia" w:ascii="仿宋" w:hAnsi="仿宋" w:eastAsia="仿宋"/>
        </w:rPr>
      </w:pPr>
      <w:r>
        <w:rPr>
          <w:rFonts w:ascii="仿宋" w:hAnsi="仿宋" w:eastAsia="仿宋"/>
        </w:rPr>
        <w:t xml:space="preserve"> </w:t>
      </w:r>
    </w:p>
    <w:p w14:paraId="5D660144">
      <w:pPr>
        <w:ind w:left="359" w:leftChars="171" w:right="458" w:rightChars="218"/>
        <w:rPr>
          <w:rFonts w:hint="eastAsia" w:ascii="仿宋" w:hAnsi="仿宋" w:eastAsia="仿宋"/>
        </w:rPr>
      </w:pPr>
      <w:r>
        <w:rPr>
          <w:rFonts w:ascii="仿宋" w:hAnsi="仿宋" w:eastAsia="仿宋"/>
        </w:rPr>
        <w:t xml:space="preserve"> </w:t>
      </w:r>
    </w:p>
    <w:p w14:paraId="2D4B6EE3">
      <w:pPr>
        <w:ind w:left="359" w:leftChars="171" w:right="458" w:rightChars="218"/>
        <w:rPr>
          <w:rFonts w:hint="eastAsia" w:ascii="仿宋" w:hAnsi="仿宋" w:eastAsia="仿宋"/>
        </w:rPr>
      </w:pPr>
      <w:r>
        <w:rPr>
          <w:rFonts w:ascii="仿宋" w:hAnsi="仿宋" w:eastAsia="仿宋"/>
        </w:rPr>
        <w:t xml:space="preserve"> </w:t>
      </w:r>
    </w:p>
    <w:p w14:paraId="41E9C47F">
      <w:pPr>
        <w:ind w:right="458" w:rightChars="218"/>
        <w:rPr>
          <w:rFonts w:hint="eastAsia" w:ascii="仿宋" w:hAnsi="仿宋" w:eastAsia="仿宋"/>
        </w:rPr>
      </w:pPr>
    </w:p>
    <w:p w14:paraId="4024014C">
      <w:pPr>
        <w:spacing w:line="720" w:lineRule="exact"/>
        <w:ind w:left="2606" w:leftChars="304" w:right="458" w:rightChars="218" w:hanging="1968" w:hangingChars="700"/>
        <w:rPr>
          <w:rFonts w:hint="eastAsia" w:ascii="宋体" w:hAnsi="宋体" w:cs="宋体"/>
          <w:sz w:val="28"/>
          <w:szCs w:val="28"/>
          <w:u w:val="single"/>
        </w:rPr>
      </w:pPr>
      <w:r>
        <w:rPr>
          <w:rFonts w:hint="eastAsia" w:ascii="宋体" w:hAnsi="宋体" w:cs="黑体"/>
          <w:b/>
          <w:sz w:val="28"/>
          <w:szCs w:val="28"/>
        </w:rPr>
        <w:t>工 程 名 称：</w:t>
      </w:r>
      <w:r>
        <w:rPr>
          <w:rFonts w:hint="eastAsia" w:ascii="宋体" w:hAnsi="宋体" w:cs="宋体"/>
          <w:sz w:val="28"/>
          <w:szCs w:val="28"/>
          <w:u w:val="single"/>
        </w:rPr>
        <w:t xml:space="preserve"> </w:t>
      </w:r>
      <w:r>
        <w:rPr>
          <w:rFonts w:hint="eastAsia"/>
          <w:bCs/>
          <w:sz w:val="28"/>
          <w:szCs w:val="36"/>
          <w:u w:val="single"/>
        </w:rPr>
        <w:t xml:space="preserve">改善教学保障条件-设备购置-北京开放大学电梯更新购置电梯安装采购项目 </w:t>
      </w:r>
    </w:p>
    <w:p w14:paraId="40528D30">
      <w:pPr>
        <w:spacing w:line="720" w:lineRule="exact"/>
        <w:ind w:firstLine="689" w:firstLineChars="245"/>
        <w:rPr>
          <w:rFonts w:hint="eastAsia" w:ascii="宋体" w:hAnsi="宋体" w:cs="Arial"/>
          <w:b/>
          <w:sz w:val="28"/>
          <w:szCs w:val="28"/>
        </w:rPr>
      </w:pPr>
      <w:r>
        <w:rPr>
          <w:rFonts w:hint="eastAsia" w:ascii="宋体" w:hAnsi="宋体" w:cs="Arial"/>
          <w:b/>
          <w:sz w:val="28"/>
          <w:szCs w:val="28"/>
        </w:rPr>
        <w:t>发包人（全称）：</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北京开放大学      </w:t>
      </w:r>
      <w:r>
        <w:rPr>
          <w:rFonts w:ascii="宋体" w:hAnsi="宋体" w:cs="宋体"/>
          <w:sz w:val="28"/>
          <w:szCs w:val="28"/>
          <w:u w:val="single"/>
        </w:rPr>
        <w:t xml:space="preserve"> </w:t>
      </w:r>
    </w:p>
    <w:p w14:paraId="39FF3657">
      <w:pPr>
        <w:spacing w:line="720" w:lineRule="exact"/>
        <w:ind w:firstLine="689" w:firstLineChars="245"/>
        <w:rPr>
          <w:rFonts w:hint="eastAsia" w:ascii="宋体" w:hAnsi="宋体" w:cs="Arial"/>
          <w:b/>
          <w:sz w:val="28"/>
          <w:szCs w:val="28"/>
          <w:u w:val="single"/>
        </w:rPr>
      </w:pPr>
      <w:r>
        <w:rPr>
          <w:rFonts w:hint="eastAsia" w:ascii="宋体" w:hAnsi="宋体" w:cs="黑体"/>
          <w:b/>
          <w:sz w:val="28"/>
          <w:szCs w:val="28"/>
        </w:rPr>
        <w:t>承包人（</w:t>
      </w:r>
      <w:r>
        <w:rPr>
          <w:rFonts w:hint="eastAsia" w:ascii="宋体" w:hAnsi="宋体" w:cs="Arial"/>
          <w:b/>
          <w:sz w:val="28"/>
          <w:szCs w:val="28"/>
        </w:rPr>
        <w:t>全称）：</w:t>
      </w:r>
      <w:r>
        <w:rPr>
          <w:rFonts w:ascii="宋体" w:hAnsi="宋体" w:cs="Arial"/>
          <w:b/>
          <w:sz w:val="28"/>
          <w:szCs w:val="28"/>
        </w:rPr>
        <w:t xml:space="preserve"> </w:t>
      </w:r>
      <w:r>
        <w:rPr>
          <w:rFonts w:ascii="宋体" w:hAnsi="宋体" w:cs="Arial"/>
          <w:b/>
          <w:sz w:val="28"/>
          <w:szCs w:val="28"/>
          <w:u w:val="single"/>
        </w:rPr>
        <w:t xml:space="preserve">          </w:t>
      </w:r>
      <w:r>
        <w:rPr>
          <w:rFonts w:hint="eastAsia" w:ascii="宋体" w:hAnsi="宋体" w:cs="Arial"/>
          <w:b/>
          <w:sz w:val="28"/>
          <w:szCs w:val="28"/>
          <w:u w:val="single"/>
        </w:rPr>
        <w:t xml:space="preserve">        </w:t>
      </w:r>
      <w:r>
        <w:rPr>
          <w:rFonts w:ascii="宋体" w:hAnsi="宋体" w:cs="Arial"/>
          <w:b/>
          <w:sz w:val="28"/>
          <w:szCs w:val="28"/>
          <w:u w:val="single"/>
        </w:rPr>
        <w:t xml:space="preserve">       </w:t>
      </w:r>
    </w:p>
    <w:p w14:paraId="0ED48186">
      <w:pPr>
        <w:spacing w:line="720" w:lineRule="exact"/>
        <w:ind w:firstLine="689" w:firstLineChars="245"/>
        <w:rPr>
          <w:rFonts w:hint="eastAsia" w:ascii="宋体" w:hAnsi="宋体"/>
        </w:rPr>
        <w:sectPr>
          <w:pgSz w:w="11906" w:h="16838"/>
          <w:pgMar w:top="1440" w:right="1800" w:bottom="1440" w:left="1800" w:header="851" w:footer="992" w:gutter="0"/>
          <w:cols w:space="720" w:num="1"/>
          <w:docGrid w:linePitch="312" w:charSpace="0"/>
        </w:sectPr>
      </w:pPr>
      <w:r>
        <w:rPr>
          <w:rFonts w:hint="eastAsia" w:ascii="宋体" w:hAnsi="宋体" w:cs="Arial"/>
          <w:b/>
          <w:sz w:val="28"/>
          <w:szCs w:val="28"/>
        </w:rPr>
        <w:t>工 程 地 址</w:t>
      </w:r>
      <w:r>
        <w:rPr>
          <w:rFonts w:hint="eastAsia" w:ascii="宋体" w:hAnsi="宋体" w:cs="黑体"/>
          <w:b/>
          <w:sz w:val="28"/>
          <w:szCs w:val="28"/>
        </w:rPr>
        <w:t>：</w:t>
      </w:r>
      <w:r>
        <w:rPr>
          <w:rFonts w:hint="eastAsia" w:ascii="宋体" w:hAnsi="宋体" w:cs="宋体"/>
          <w:sz w:val="28"/>
          <w:szCs w:val="28"/>
          <w:u w:val="single"/>
        </w:rPr>
        <w:t xml:space="preserve">    北京市海淀区皂君庙甲4号   </w:t>
      </w:r>
    </w:p>
    <w:p w14:paraId="0979A3F6">
      <w:pPr>
        <w:pStyle w:val="3"/>
      </w:pPr>
      <w:r>
        <w:rPr>
          <w:rFonts w:hint="eastAsia"/>
        </w:rPr>
        <w:t>通用合同条款</w:t>
      </w:r>
    </w:p>
    <w:p w14:paraId="1A93C346">
      <w:pPr>
        <w:spacing w:line="400" w:lineRule="exact"/>
        <w:rPr>
          <w:rFonts w:hint="eastAsia" w:ascii="宋体" w:hAnsi="宋体"/>
        </w:rPr>
      </w:pPr>
    </w:p>
    <w:p w14:paraId="31B72308">
      <w:pPr>
        <w:adjustRightInd w:val="0"/>
        <w:snapToGrid w:val="0"/>
        <w:spacing w:line="360" w:lineRule="auto"/>
        <w:outlineLvl w:val="2"/>
        <w:rPr>
          <w:rFonts w:hint="eastAsia" w:ascii="宋体" w:hAnsi="宋体"/>
          <w:sz w:val="28"/>
        </w:rPr>
      </w:pPr>
      <w:bookmarkStart w:id="675" w:name="_Toc162620932"/>
      <w:bookmarkStart w:id="676" w:name="_Toc532542634"/>
      <w:bookmarkStart w:id="677" w:name="_Toc196225906"/>
      <w:bookmarkStart w:id="678" w:name="_Toc528247478"/>
      <w:r>
        <w:rPr>
          <w:rFonts w:hint="eastAsia" w:ascii="宋体" w:hAnsi="宋体"/>
          <w:sz w:val="28"/>
        </w:rPr>
        <w:t>1.一般约定</w:t>
      </w:r>
      <w:bookmarkEnd w:id="675"/>
      <w:bookmarkEnd w:id="676"/>
      <w:bookmarkEnd w:id="677"/>
      <w:bookmarkEnd w:id="678"/>
    </w:p>
    <w:p w14:paraId="59C7B223">
      <w:pPr>
        <w:spacing w:line="360" w:lineRule="auto"/>
        <w:rPr>
          <w:rFonts w:hint="eastAsia" w:ascii="宋体" w:hAnsi="宋体"/>
          <w:szCs w:val="21"/>
        </w:rPr>
      </w:pPr>
      <w:bookmarkStart w:id="679" w:name="_BookMark_97"/>
      <w:bookmarkEnd w:id="679"/>
      <w:r>
        <w:rPr>
          <w:rFonts w:hint="eastAsia" w:ascii="宋体" w:hAnsi="宋体"/>
          <w:szCs w:val="21"/>
        </w:rPr>
        <w:t>1.1  词语定义</w:t>
      </w:r>
    </w:p>
    <w:p w14:paraId="5D09C673">
      <w:pPr>
        <w:spacing w:line="360" w:lineRule="auto"/>
        <w:rPr>
          <w:rFonts w:hint="eastAsia" w:ascii="宋体" w:hAnsi="宋体"/>
          <w:szCs w:val="21"/>
        </w:rPr>
      </w:pPr>
      <w:r>
        <w:rPr>
          <w:rFonts w:hint="eastAsia" w:ascii="宋体" w:hAnsi="宋体"/>
          <w:szCs w:val="21"/>
        </w:rPr>
        <w:t>合同条款通用部分、合同条款专用部分中的下列词语应具有本款所赋予的含义。</w:t>
      </w:r>
    </w:p>
    <w:p w14:paraId="5B0F0C88">
      <w:pPr>
        <w:spacing w:line="360" w:lineRule="auto"/>
        <w:rPr>
          <w:rFonts w:hint="eastAsia" w:ascii="宋体" w:hAnsi="宋体"/>
          <w:szCs w:val="21"/>
        </w:rPr>
      </w:pPr>
      <w:r>
        <w:rPr>
          <w:rFonts w:hint="eastAsia" w:ascii="宋体" w:hAnsi="宋体"/>
          <w:szCs w:val="21"/>
        </w:rPr>
        <w:t>1.1.1  合同</w:t>
      </w:r>
    </w:p>
    <w:p w14:paraId="6B60A6AE">
      <w:pPr>
        <w:spacing w:line="360" w:lineRule="auto"/>
        <w:rPr>
          <w:rFonts w:hint="eastAsia" w:ascii="宋体" w:hAnsi="宋体"/>
          <w:szCs w:val="21"/>
        </w:rPr>
      </w:pPr>
      <w:r>
        <w:rPr>
          <w:rFonts w:hint="eastAsia" w:ascii="宋体" w:hAnsi="宋体"/>
          <w:szCs w:val="21"/>
        </w:rPr>
        <w:t>1.1.1.1  合同文件（或称合同）：指合同协议书、成交通知书、投标函及投标函附录、合同条款专用部分、合同条款通用部分、技术标准和要求、图纸、已标价工程量清单，以及其他合同文件。</w:t>
      </w:r>
    </w:p>
    <w:p w14:paraId="75E742EA">
      <w:pPr>
        <w:spacing w:line="360" w:lineRule="auto"/>
        <w:rPr>
          <w:rFonts w:hint="eastAsia" w:ascii="宋体" w:hAnsi="宋体"/>
          <w:szCs w:val="21"/>
        </w:rPr>
      </w:pPr>
      <w:r>
        <w:rPr>
          <w:rFonts w:hint="eastAsia" w:ascii="宋体" w:hAnsi="宋体"/>
          <w:szCs w:val="21"/>
        </w:rPr>
        <w:t>1.1.1.2  合同协议书：指第1.5款所指的合同协议书。</w:t>
      </w:r>
    </w:p>
    <w:p w14:paraId="43FF05D1">
      <w:pPr>
        <w:spacing w:line="360" w:lineRule="auto"/>
        <w:rPr>
          <w:rFonts w:hint="eastAsia" w:ascii="宋体" w:hAnsi="宋体"/>
          <w:szCs w:val="21"/>
        </w:rPr>
      </w:pPr>
      <w:r>
        <w:rPr>
          <w:rFonts w:hint="eastAsia" w:ascii="宋体" w:hAnsi="宋体"/>
          <w:szCs w:val="21"/>
        </w:rPr>
        <w:t>1.1.1.3  成交通知书：指发包人通知承包人成交的函件。</w:t>
      </w:r>
    </w:p>
    <w:p w14:paraId="298EF1AD">
      <w:pPr>
        <w:spacing w:line="360" w:lineRule="auto"/>
        <w:rPr>
          <w:rFonts w:hint="eastAsia" w:ascii="宋体" w:hAnsi="宋体"/>
          <w:szCs w:val="21"/>
        </w:rPr>
      </w:pPr>
      <w:r>
        <w:rPr>
          <w:rFonts w:hint="eastAsia" w:ascii="宋体" w:hAnsi="宋体"/>
          <w:szCs w:val="21"/>
        </w:rPr>
        <w:t>1.1.1.4  投标函：指构成合同文件组成部分的由承包人填写并签署的投标函。</w:t>
      </w:r>
    </w:p>
    <w:p w14:paraId="6BDA5003">
      <w:pPr>
        <w:spacing w:line="360" w:lineRule="auto"/>
        <w:rPr>
          <w:rFonts w:hint="eastAsia" w:ascii="宋体" w:hAnsi="宋体"/>
          <w:szCs w:val="21"/>
        </w:rPr>
      </w:pPr>
      <w:r>
        <w:rPr>
          <w:rFonts w:hint="eastAsia" w:ascii="宋体" w:hAnsi="宋体"/>
          <w:szCs w:val="21"/>
        </w:rPr>
        <w:t>1.1.1.5  投标函附录：指附在投标函后构成合同文件的投标函附录。</w:t>
      </w:r>
    </w:p>
    <w:p w14:paraId="313C7EF3">
      <w:pPr>
        <w:spacing w:line="360" w:lineRule="auto"/>
        <w:rPr>
          <w:rFonts w:hint="eastAsia" w:ascii="宋体" w:hAnsi="宋体"/>
          <w:szCs w:val="21"/>
        </w:rPr>
      </w:pPr>
      <w:r>
        <w:rPr>
          <w:rFonts w:hint="eastAsia" w:ascii="宋体" w:hAnsi="宋体"/>
          <w:szCs w:val="21"/>
        </w:rPr>
        <w:t>1.1.1.6  合同条款：指构成合同文件组成部分的合同条款通用部分和（或）合同条款专用部分。</w:t>
      </w:r>
    </w:p>
    <w:p w14:paraId="78DEED7E">
      <w:pPr>
        <w:spacing w:line="360" w:lineRule="auto"/>
        <w:rPr>
          <w:rFonts w:hint="eastAsia" w:ascii="宋体" w:hAnsi="宋体"/>
          <w:szCs w:val="21"/>
        </w:rPr>
      </w:pPr>
      <w:r>
        <w:rPr>
          <w:rFonts w:hint="eastAsia" w:ascii="宋体" w:hAnsi="宋体"/>
          <w:szCs w:val="21"/>
        </w:rPr>
        <w:t>1.1.1.7  技术标准和要求：指构成合同文件组成部分的名为技术标准和要求的文件，包括合同双方当事人约定对其所作的修改或补充。</w:t>
      </w:r>
    </w:p>
    <w:p w14:paraId="1B49E3FA">
      <w:pPr>
        <w:spacing w:line="360" w:lineRule="auto"/>
        <w:rPr>
          <w:rFonts w:hint="eastAsia" w:ascii="宋体" w:hAnsi="宋体"/>
          <w:szCs w:val="21"/>
        </w:rPr>
      </w:pPr>
      <w:r>
        <w:rPr>
          <w:rFonts w:hint="eastAsia" w:ascii="宋体" w:hAnsi="宋体"/>
          <w:szCs w:val="21"/>
        </w:rPr>
        <w:t>1.1.1.8  图纸：指包含在合同中的工程图纸，以及由发包人按合同约定提供的任何补充和修改的图纸，包括配套的说明。</w:t>
      </w:r>
    </w:p>
    <w:p w14:paraId="7CBBA231">
      <w:pPr>
        <w:spacing w:line="360" w:lineRule="auto"/>
        <w:rPr>
          <w:rFonts w:hint="eastAsia" w:ascii="宋体" w:hAnsi="宋体"/>
          <w:szCs w:val="21"/>
        </w:rPr>
      </w:pPr>
      <w:r>
        <w:rPr>
          <w:rFonts w:hint="eastAsia" w:ascii="宋体" w:hAnsi="宋体"/>
          <w:szCs w:val="21"/>
        </w:rPr>
        <w:t>1.1.1.9  已标价工程量清单：指构成合同文件组成部分的由承包人按照规定的格式和要求填写并标明价格的工程量清单。</w:t>
      </w:r>
    </w:p>
    <w:p w14:paraId="454A30BB">
      <w:pPr>
        <w:spacing w:line="360" w:lineRule="auto"/>
        <w:rPr>
          <w:rFonts w:hint="eastAsia" w:ascii="宋体" w:hAnsi="宋体"/>
          <w:szCs w:val="21"/>
        </w:rPr>
      </w:pPr>
      <w:r>
        <w:rPr>
          <w:rFonts w:hint="eastAsia" w:ascii="宋体" w:hAnsi="宋体"/>
          <w:szCs w:val="21"/>
        </w:rPr>
        <w:t>1.1.1.10  其他合同文件：指经合同双方当事人确认构成合同文件的其他文件。</w:t>
      </w:r>
    </w:p>
    <w:p w14:paraId="4A3C4462">
      <w:pPr>
        <w:spacing w:line="360" w:lineRule="auto"/>
        <w:rPr>
          <w:rFonts w:hint="eastAsia" w:ascii="宋体" w:hAnsi="宋体"/>
          <w:szCs w:val="21"/>
        </w:rPr>
      </w:pPr>
      <w:r>
        <w:rPr>
          <w:rFonts w:hint="eastAsia" w:ascii="宋体" w:hAnsi="宋体"/>
          <w:szCs w:val="21"/>
        </w:rPr>
        <w:t>1.1.2  合同当事人和人员</w:t>
      </w:r>
    </w:p>
    <w:p w14:paraId="05184443">
      <w:pPr>
        <w:spacing w:line="360" w:lineRule="auto"/>
        <w:rPr>
          <w:rFonts w:hint="eastAsia" w:ascii="宋体" w:hAnsi="宋体"/>
          <w:szCs w:val="21"/>
        </w:rPr>
      </w:pPr>
      <w:r>
        <w:rPr>
          <w:rFonts w:hint="eastAsia" w:ascii="宋体" w:hAnsi="宋体"/>
          <w:szCs w:val="21"/>
        </w:rPr>
        <w:t>1.1.2.1  合同当事人：指发包人和（或）承包人。</w:t>
      </w:r>
    </w:p>
    <w:p w14:paraId="0EFF7DF5">
      <w:pPr>
        <w:spacing w:line="360" w:lineRule="auto"/>
        <w:rPr>
          <w:rFonts w:hint="eastAsia" w:ascii="宋体" w:hAnsi="宋体"/>
          <w:szCs w:val="21"/>
        </w:rPr>
      </w:pPr>
      <w:r>
        <w:rPr>
          <w:rFonts w:hint="eastAsia" w:ascii="宋体" w:hAnsi="宋体"/>
          <w:szCs w:val="21"/>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7A8FDBA5">
      <w:pPr>
        <w:spacing w:line="360" w:lineRule="auto"/>
        <w:rPr>
          <w:rFonts w:hint="eastAsia" w:ascii="宋体" w:hAnsi="宋体"/>
          <w:szCs w:val="21"/>
        </w:rPr>
      </w:pPr>
      <w:r>
        <w:rPr>
          <w:rFonts w:hint="eastAsia" w:ascii="宋体" w:hAnsi="宋体"/>
          <w:szCs w:val="21"/>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7BEA3941">
      <w:pPr>
        <w:spacing w:line="360" w:lineRule="auto"/>
        <w:rPr>
          <w:rFonts w:hint="eastAsia" w:ascii="宋体" w:hAnsi="宋体"/>
          <w:szCs w:val="21"/>
        </w:rPr>
      </w:pPr>
      <w:r>
        <w:rPr>
          <w:rFonts w:hint="eastAsia" w:ascii="宋体" w:hAnsi="宋体"/>
          <w:szCs w:val="21"/>
        </w:rPr>
        <w:t>1.1.2.4  承包人项目经理：指承包人派驻施工场地的全权负责人。</w:t>
      </w:r>
    </w:p>
    <w:p w14:paraId="63A37D9A">
      <w:pPr>
        <w:spacing w:line="360" w:lineRule="auto"/>
        <w:rPr>
          <w:rFonts w:hint="eastAsia" w:ascii="宋体" w:hAnsi="宋体"/>
          <w:szCs w:val="21"/>
        </w:rPr>
      </w:pPr>
      <w:r>
        <w:rPr>
          <w:rFonts w:hint="eastAsia" w:ascii="宋体" w:hAnsi="宋体"/>
          <w:szCs w:val="21"/>
        </w:rPr>
        <w:t>1.1.2.5  分包人：指从承包人处分包合同中某一部分工程，并与其签订分包合同的分包人。</w:t>
      </w:r>
    </w:p>
    <w:p w14:paraId="12167B0E">
      <w:pPr>
        <w:spacing w:line="360" w:lineRule="auto"/>
        <w:rPr>
          <w:rFonts w:hint="eastAsia" w:ascii="宋体" w:hAnsi="宋体"/>
          <w:szCs w:val="21"/>
        </w:rPr>
      </w:pPr>
      <w:r>
        <w:rPr>
          <w:rFonts w:hint="eastAsia" w:ascii="宋体" w:hAnsi="宋体"/>
          <w:szCs w:val="21"/>
        </w:rPr>
        <w:t>1.1.2.6  监理人：指发包人委托的对合同履行实施管理的法人或其他组织。监理人名称见合同条款专用部分。</w:t>
      </w:r>
    </w:p>
    <w:p w14:paraId="037B701A">
      <w:pPr>
        <w:spacing w:line="360" w:lineRule="auto"/>
        <w:rPr>
          <w:rFonts w:hint="eastAsia" w:ascii="宋体" w:hAnsi="宋体"/>
          <w:szCs w:val="21"/>
        </w:rPr>
      </w:pPr>
      <w:r>
        <w:rPr>
          <w:rFonts w:hint="eastAsia" w:ascii="宋体" w:hAnsi="宋体"/>
          <w:szCs w:val="21"/>
        </w:rPr>
        <w:t>1.1.2.7  总监理工程师（总监）：指由监理人委派常驻施工场地对合同履行实施管理的全权负责人。</w:t>
      </w:r>
    </w:p>
    <w:p w14:paraId="318848C6">
      <w:pPr>
        <w:spacing w:line="360" w:lineRule="auto"/>
        <w:rPr>
          <w:rFonts w:hint="eastAsia" w:ascii="宋体" w:hAnsi="宋体"/>
          <w:szCs w:val="21"/>
        </w:rPr>
      </w:pPr>
      <w:r>
        <w:rPr>
          <w:rFonts w:hint="eastAsia" w:ascii="宋体" w:hAnsi="宋体"/>
          <w:szCs w:val="21"/>
        </w:rPr>
        <w:t>1.1.2.8  发包人代表：指由发包人指定的派驻施工场地（现场）的全权代表。发包人代表相关信息见合同条款专用部分。</w:t>
      </w:r>
    </w:p>
    <w:p w14:paraId="545C97AA">
      <w:pPr>
        <w:spacing w:line="360" w:lineRule="auto"/>
        <w:rPr>
          <w:rFonts w:hint="eastAsia" w:ascii="宋体" w:hAnsi="宋体"/>
          <w:szCs w:val="21"/>
        </w:rPr>
      </w:pPr>
      <w:r>
        <w:rPr>
          <w:rFonts w:hint="eastAsia" w:ascii="宋体" w:hAnsi="宋体"/>
          <w:szCs w:val="21"/>
        </w:rPr>
        <w:t>1.1.2.9  专业分包人：指根据合同条款第15.8.1项的约定，由发包人和承包人以招标方式选择的分包人。</w:t>
      </w:r>
    </w:p>
    <w:p w14:paraId="7F333663">
      <w:pPr>
        <w:spacing w:line="360" w:lineRule="auto"/>
        <w:rPr>
          <w:rFonts w:hint="eastAsia" w:ascii="宋体" w:hAnsi="宋体"/>
          <w:szCs w:val="21"/>
        </w:rPr>
      </w:pPr>
      <w:r>
        <w:rPr>
          <w:rFonts w:hint="eastAsia" w:ascii="宋体" w:hAnsi="宋体"/>
          <w:szCs w:val="21"/>
        </w:rPr>
        <w:t>1.1.2.10  专项供应商：指根据合同条款第15.8.1项的约定，由发包人和承包人以招标方式选择的供应商。</w:t>
      </w:r>
    </w:p>
    <w:p w14:paraId="6ABA67CD">
      <w:pPr>
        <w:spacing w:line="360" w:lineRule="auto"/>
        <w:rPr>
          <w:rFonts w:hint="eastAsia" w:ascii="宋体" w:hAnsi="宋体"/>
          <w:szCs w:val="21"/>
        </w:rPr>
      </w:pPr>
      <w:r>
        <w:rPr>
          <w:rFonts w:hint="eastAsia" w:ascii="宋体" w:hAnsi="宋体"/>
          <w:szCs w:val="21"/>
        </w:rPr>
        <w:t>1.1.2.11  独立承包人：指与发包人直接订立工程承包合同，负责实施与工程有关的其他工作的当事人。</w:t>
      </w:r>
    </w:p>
    <w:p w14:paraId="0C2D1CC9">
      <w:pPr>
        <w:spacing w:line="360" w:lineRule="auto"/>
        <w:rPr>
          <w:rFonts w:hint="eastAsia" w:ascii="宋体" w:hAnsi="宋体"/>
          <w:szCs w:val="21"/>
        </w:rPr>
      </w:pPr>
      <w:r>
        <w:rPr>
          <w:rFonts w:hint="eastAsia" w:ascii="宋体" w:hAnsi="宋体"/>
          <w:szCs w:val="21"/>
        </w:rPr>
        <w:t>1.1.3  工程和设备</w:t>
      </w:r>
    </w:p>
    <w:p w14:paraId="39B6016B">
      <w:pPr>
        <w:spacing w:line="360" w:lineRule="auto"/>
        <w:rPr>
          <w:rFonts w:hint="eastAsia" w:ascii="宋体" w:hAnsi="宋体"/>
          <w:szCs w:val="21"/>
        </w:rPr>
      </w:pPr>
      <w:r>
        <w:rPr>
          <w:rFonts w:hint="eastAsia" w:ascii="宋体" w:hAnsi="宋体"/>
          <w:szCs w:val="21"/>
        </w:rPr>
        <w:t>1.1.3.1  工程：指永久工程和（或）临时工程。</w:t>
      </w:r>
    </w:p>
    <w:p w14:paraId="16613AC5">
      <w:pPr>
        <w:spacing w:line="360" w:lineRule="auto"/>
        <w:rPr>
          <w:rFonts w:hint="eastAsia" w:ascii="宋体" w:hAnsi="宋体"/>
          <w:szCs w:val="21"/>
        </w:rPr>
      </w:pPr>
      <w:r>
        <w:rPr>
          <w:rFonts w:hint="eastAsia" w:ascii="宋体" w:hAnsi="宋体"/>
          <w:szCs w:val="21"/>
        </w:rPr>
        <w:t>1.1.3.2  永久工程：指按照合同约定所需建造、完成并移交给发包人的工程，包括工程设备。永久工程的约定见合同条款专用部分。</w:t>
      </w:r>
    </w:p>
    <w:p w14:paraId="2B184353">
      <w:pPr>
        <w:spacing w:line="360" w:lineRule="auto"/>
        <w:rPr>
          <w:rFonts w:hint="eastAsia" w:ascii="宋体" w:hAnsi="宋体"/>
          <w:szCs w:val="21"/>
        </w:rPr>
      </w:pPr>
      <w:r>
        <w:rPr>
          <w:rFonts w:hint="eastAsia" w:ascii="宋体" w:hAnsi="宋体"/>
          <w:szCs w:val="21"/>
        </w:rPr>
        <w:t>1.1.3.3  临时工程：指为完成合同约定的永久工程所修建的各类临时性工程，不包括施工设备。临时工程的约定见合同条款专用部分。</w:t>
      </w:r>
    </w:p>
    <w:p w14:paraId="5CDBA3FD">
      <w:pPr>
        <w:spacing w:line="360" w:lineRule="auto"/>
        <w:rPr>
          <w:rFonts w:hint="eastAsia" w:ascii="宋体" w:hAnsi="宋体"/>
          <w:szCs w:val="21"/>
        </w:rPr>
      </w:pPr>
      <w:r>
        <w:rPr>
          <w:rFonts w:hint="eastAsia" w:ascii="宋体" w:hAnsi="宋体"/>
          <w:szCs w:val="21"/>
        </w:rPr>
        <w:t>1.1.3.4  单位工程：指具有相对独立的设计文件，能够独立组织施工并能形成独立使用功能的永久工程的组成部分。</w:t>
      </w:r>
    </w:p>
    <w:p w14:paraId="712EFCC5">
      <w:pPr>
        <w:spacing w:line="360" w:lineRule="auto"/>
        <w:rPr>
          <w:rFonts w:hint="eastAsia" w:ascii="宋体" w:hAnsi="宋体"/>
          <w:szCs w:val="21"/>
        </w:rPr>
      </w:pPr>
      <w:r>
        <w:rPr>
          <w:rFonts w:hint="eastAsia" w:ascii="宋体" w:hAnsi="宋体"/>
          <w:szCs w:val="21"/>
        </w:rPr>
        <w:t>1.1.3.5  工程设备：指构成或计划构成永久工程一部分的机电设备、金属结构设备、仪器装置及其他类似的设备和装置。</w:t>
      </w:r>
    </w:p>
    <w:p w14:paraId="32A405EE">
      <w:pPr>
        <w:spacing w:line="360" w:lineRule="auto"/>
        <w:rPr>
          <w:rFonts w:hint="eastAsia" w:ascii="宋体" w:hAnsi="宋体"/>
          <w:szCs w:val="21"/>
        </w:rPr>
      </w:pPr>
      <w:r>
        <w:rPr>
          <w:rFonts w:hint="eastAsia" w:ascii="宋体" w:hAnsi="宋体"/>
          <w:szCs w:val="21"/>
        </w:rPr>
        <w:t>1.1.3.6  施工设备：指为完成合同约定的各项工作所需的设备、器具和其他物品，不包括临时工程和材料。</w:t>
      </w:r>
    </w:p>
    <w:p w14:paraId="598458BF">
      <w:pPr>
        <w:spacing w:line="360" w:lineRule="auto"/>
        <w:rPr>
          <w:rFonts w:hint="eastAsia" w:ascii="宋体" w:hAnsi="宋体"/>
          <w:szCs w:val="21"/>
        </w:rPr>
      </w:pPr>
      <w:r>
        <w:rPr>
          <w:rFonts w:hint="eastAsia" w:ascii="宋体" w:hAnsi="宋体"/>
          <w:szCs w:val="21"/>
        </w:rPr>
        <w:t>1.1.3.7  临时设施：指为完成合同约定的各项工作所服务的临时性生产和生活设施。</w:t>
      </w:r>
    </w:p>
    <w:p w14:paraId="454D76B2">
      <w:pPr>
        <w:spacing w:line="360" w:lineRule="auto"/>
        <w:rPr>
          <w:rFonts w:hint="eastAsia" w:ascii="宋体" w:hAnsi="宋体"/>
          <w:szCs w:val="21"/>
        </w:rPr>
      </w:pPr>
      <w:r>
        <w:rPr>
          <w:rFonts w:hint="eastAsia" w:ascii="宋体" w:hAnsi="宋体"/>
          <w:szCs w:val="21"/>
        </w:rPr>
        <w:t>1.1.3.8  承包人设备：指承包人自带的施工设备。</w:t>
      </w:r>
    </w:p>
    <w:p w14:paraId="47CF664D">
      <w:pPr>
        <w:spacing w:line="360" w:lineRule="auto"/>
        <w:rPr>
          <w:rFonts w:hint="eastAsia" w:ascii="宋体" w:hAnsi="宋体"/>
          <w:szCs w:val="21"/>
        </w:rPr>
      </w:pPr>
      <w:r>
        <w:rPr>
          <w:rFonts w:hint="eastAsia" w:ascii="宋体" w:hAnsi="宋体"/>
          <w:szCs w:val="21"/>
        </w:rPr>
        <w:t>1.1.3.9  施工场地（或称工地、现场）：指用于合同工程施工的场所，以及在合同中指定作为施工场地组成部分的其他场所，包括永久占地和临时占地。</w:t>
      </w:r>
    </w:p>
    <w:p w14:paraId="7A94776E">
      <w:pPr>
        <w:spacing w:line="360" w:lineRule="auto"/>
        <w:rPr>
          <w:rFonts w:hint="eastAsia" w:ascii="宋体" w:hAnsi="宋体"/>
          <w:szCs w:val="21"/>
        </w:rPr>
      </w:pPr>
      <w:r>
        <w:rPr>
          <w:rFonts w:hint="eastAsia" w:ascii="宋体" w:hAnsi="宋体"/>
          <w:szCs w:val="21"/>
        </w:rPr>
        <w:t>1.1.3.10  永久占地：指为实施合同工程需永久占用的土地。永久占地的约定见合同条款专用部分。</w:t>
      </w:r>
    </w:p>
    <w:p w14:paraId="2CB6A089">
      <w:pPr>
        <w:spacing w:line="360" w:lineRule="auto"/>
        <w:rPr>
          <w:rFonts w:hint="eastAsia" w:ascii="宋体" w:hAnsi="宋体"/>
          <w:szCs w:val="21"/>
        </w:rPr>
      </w:pPr>
      <w:r>
        <w:rPr>
          <w:rFonts w:hint="eastAsia" w:ascii="宋体" w:hAnsi="宋体"/>
          <w:szCs w:val="21"/>
        </w:rPr>
        <w:t>1.1.3.11  临时占地：指为实施合同工程需临时占用的土地。临时占地的约定见合同条款专用部分。</w:t>
      </w:r>
    </w:p>
    <w:p w14:paraId="75397F0F">
      <w:pPr>
        <w:spacing w:line="360" w:lineRule="auto"/>
        <w:rPr>
          <w:rFonts w:hint="eastAsia" w:ascii="宋体" w:hAnsi="宋体"/>
          <w:szCs w:val="21"/>
        </w:rPr>
      </w:pPr>
      <w:r>
        <w:rPr>
          <w:rFonts w:hint="eastAsia" w:ascii="宋体" w:hAnsi="宋体"/>
          <w:szCs w:val="21"/>
        </w:rPr>
        <w:t>1.1.3.12  材料：指构成或将构成永久工程组成部分的各类物品(工程设备除外)，包括合同中可能约定的承包人仅负责供应的材料。</w:t>
      </w:r>
    </w:p>
    <w:p w14:paraId="39CC53BE">
      <w:pPr>
        <w:spacing w:line="360" w:lineRule="auto"/>
        <w:rPr>
          <w:rFonts w:hint="eastAsia" w:ascii="宋体" w:hAnsi="宋体"/>
          <w:szCs w:val="21"/>
        </w:rPr>
      </w:pPr>
      <w:r>
        <w:rPr>
          <w:rFonts w:hint="eastAsia" w:ascii="宋体" w:hAnsi="宋体"/>
          <w:szCs w:val="21"/>
        </w:rPr>
        <w:t>1.1.4  日期</w:t>
      </w:r>
    </w:p>
    <w:p w14:paraId="6EB56C13">
      <w:pPr>
        <w:spacing w:line="360" w:lineRule="auto"/>
        <w:rPr>
          <w:rFonts w:hint="eastAsia" w:ascii="宋体" w:hAnsi="宋体"/>
          <w:szCs w:val="21"/>
        </w:rPr>
      </w:pPr>
      <w:r>
        <w:rPr>
          <w:rFonts w:hint="eastAsia" w:ascii="宋体" w:hAnsi="宋体"/>
          <w:szCs w:val="21"/>
        </w:rPr>
        <w:t>1.1.4.1  开工通知：指监理人按第11.1款通知承包人开工的函件。</w:t>
      </w:r>
    </w:p>
    <w:p w14:paraId="40FFFCC1">
      <w:pPr>
        <w:spacing w:line="360" w:lineRule="auto"/>
        <w:rPr>
          <w:rFonts w:hint="eastAsia" w:ascii="宋体" w:hAnsi="宋体"/>
          <w:szCs w:val="21"/>
        </w:rPr>
      </w:pPr>
      <w:r>
        <w:rPr>
          <w:rFonts w:hint="eastAsia" w:ascii="宋体" w:hAnsi="宋体"/>
          <w:szCs w:val="21"/>
        </w:rPr>
        <w:t>1.1.4.2  开工日期：指监理人按第11.1款发出的开工通知中写明的开工日期。</w:t>
      </w:r>
    </w:p>
    <w:p w14:paraId="379048A9">
      <w:pPr>
        <w:spacing w:line="360" w:lineRule="auto"/>
        <w:rPr>
          <w:rFonts w:hint="eastAsia" w:ascii="宋体" w:hAnsi="宋体"/>
          <w:szCs w:val="21"/>
        </w:rPr>
      </w:pPr>
      <w:r>
        <w:rPr>
          <w:rFonts w:hint="eastAsia" w:ascii="宋体" w:hAnsi="宋体"/>
          <w:szCs w:val="21"/>
        </w:rPr>
        <w:t>1.1.4.3  工期：指承包人在投标函中承诺的完成合同工程所需的期限，包括按第11.3款、第11.4款和第11.6款约定所作的变更。</w:t>
      </w:r>
    </w:p>
    <w:p w14:paraId="35405F5A">
      <w:pPr>
        <w:spacing w:line="360" w:lineRule="auto"/>
        <w:rPr>
          <w:rFonts w:hint="eastAsia" w:ascii="宋体" w:hAnsi="宋体"/>
          <w:szCs w:val="21"/>
        </w:rPr>
      </w:pPr>
      <w:r>
        <w:rPr>
          <w:rFonts w:hint="eastAsia" w:ascii="宋体" w:hAnsi="宋体"/>
          <w:szCs w:val="21"/>
        </w:rPr>
        <w:t>1.1.4.4  竣工日期：指第1.1.4.3目约定工期届满时的日期。实际竣工日期以工程接收证书中写明的日期为准。</w:t>
      </w:r>
    </w:p>
    <w:p w14:paraId="0196BF04">
      <w:pPr>
        <w:spacing w:line="360" w:lineRule="auto"/>
        <w:rPr>
          <w:rFonts w:hint="eastAsia" w:ascii="宋体" w:hAnsi="宋体"/>
          <w:szCs w:val="21"/>
        </w:rPr>
      </w:pPr>
      <w:r>
        <w:rPr>
          <w:rFonts w:hint="eastAsia" w:ascii="宋体" w:hAnsi="宋体"/>
          <w:szCs w:val="21"/>
        </w:rPr>
        <w:t>1.1.4.5  缺陷责任期：指履行第19.2款约定的缺陷责任的期限，包括根据第19.3款约定所作的延长。缺陷责任期的具体期限见合同条款专用部分。</w:t>
      </w:r>
    </w:p>
    <w:p w14:paraId="0F2A9C3A">
      <w:pPr>
        <w:spacing w:line="360" w:lineRule="auto"/>
        <w:rPr>
          <w:rFonts w:hint="eastAsia" w:ascii="宋体" w:hAnsi="宋体"/>
          <w:szCs w:val="21"/>
        </w:rPr>
      </w:pPr>
      <w:r>
        <w:rPr>
          <w:rFonts w:hint="eastAsia" w:ascii="宋体" w:hAnsi="宋体"/>
          <w:szCs w:val="21"/>
        </w:rPr>
        <w:t>1.1.4.6  基准日期：指投标截止时间前28天的日期。</w:t>
      </w:r>
    </w:p>
    <w:p w14:paraId="70B81125">
      <w:pPr>
        <w:spacing w:line="360" w:lineRule="auto"/>
        <w:rPr>
          <w:rFonts w:hint="eastAsia" w:ascii="宋体" w:hAnsi="宋体"/>
          <w:szCs w:val="21"/>
        </w:rPr>
      </w:pPr>
      <w:r>
        <w:rPr>
          <w:rFonts w:hint="eastAsia" w:ascii="宋体" w:hAnsi="宋体"/>
          <w:szCs w:val="21"/>
        </w:rPr>
        <w:t>1.1.4.7  天：除特别指明外，指日历天。合同中按天计算时间的，开始当天不计入，从次日开始计算。期限最后一天的截止时间为当天24:00。</w:t>
      </w:r>
    </w:p>
    <w:p w14:paraId="6076A6FF">
      <w:pPr>
        <w:spacing w:line="360" w:lineRule="auto"/>
        <w:rPr>
          <w:rFonts w:hint="eastAsia" w:ascii="宋体" w:hAnsi="宋体"/>
          <w:szCs w:val="21"/>
        </w:rPr>
      </w:pPr>
      <w:r>
        <w:rPr>
          <w:rFonts w:hint="eastAsia" w:ascii="宋体" w:hAnsi="宋体"/>
          <w:szCs w:val="21"/>
        </w:rPr>
        <w:t>1.1.4.8  保修期：是根据现行有关法律规定，在合同条款第19.7款中约定的由承包人负责对合同约定的保修范围内发生的质量问题履行保修义务并对造成的损失承担赔偿责任的期限。</w:t>
      </w:r>
    </w:p>
    <w:p w14:paraId="42F1721B">
      <w:pPr>
        <w:spacing w:line="360" w:lineRule="auto"/>
        <w:rPr>
          <w:rFonts w:hint="eastAsia" w:ascii="宋体" w:hAnsi="宋体"/>
          <w:szCs w:val="21"/>
        </w:rPr>
      </w:pPr>
      <w:r>
        <w:rPr>
          <w:rFonts w:hint="eastAsia" w:ascii="宋体" w:hAnsi="宋体"/>
          <w:szCs w:val="21"/>
        </w:rPr>
        <w:t>1.1.5  合同价格和费用</w:t>
      </w:r>
    </w:p>
    <w:p w14:paraId="43B35E1C">
      <w:pPr>
        <w:spacing w:line="360" w:lineRule="auto"/>
        <w:rPr>
          <w:rFonts w:hint="eastAsia" w:ascii="宋体" w:hAnsi="宋体"/>
          <w:szCs w:val="21"/>
        </w:rPr>
      </w:pPr>
      <w:r>
        <w:rPr>
          <w:rFonts w:hint="eastAsia" w:ascii="宋体" w:hAnsi="宋体"/>
          <w:szCs w:val="21"/>
        </w:rPr>
        <w:t>1.1.5.1  签约合同价：指签定合同时合同协议书中写明的，包括了暂列金额、暂估价的合同总金额。</w:t>
      </w:r>
    </w:p>
    <w:p w14:paraId="532E2C04">
      <w:pPr>
        <w:spacing w:line="360" w:lineRule="auto"/>
        <w:rPr>
          <w:rFonts w:hint="eastAsia" w:ascii="宋体" w:hAnsi="宋体"/>
          <w:szCs w:val="21"/>
        </w:rPr>
      </w:pPr>
      <w:r>
        <w:rPr>
          <w:rFonts w:hint="eastAsia" w:ascii="宋体" w:hAnsi="宋体"/>
          <w:szCs w:val="21"/>
        </w:rPr>
        <w:t>1.1.5.2  合同价格：指承包人按合同约定完成了包括缺陷责任期内的全部承包工作后，发包人应付给承包人的金额，包括在履行合同过程中按合同约定进行的变更和调整。</w:t>
      </w:r>
    </w:p>
    <w:p w14:paraId="2D5B791C">
      <w:pPr>
        <w:spacing w:line="360" w:lineRule="auto"/>
        <w:rPr>
          <w:rFonts w:hint="eastAsia" w:ascii="宋体" w:hAnsi="宋体"/>
          <w:szCs w:val="21"/>
        </w:rPr>
      </w:pPr>
      <w:r>
        <w:rPr>
          <w:rFonts w:hint="eastAsia" w:ascii="宋体" w:hAnsi="宋体"/>
          <w:szCs w:val="21"/>
        </w:rPr>
        <w:t>1.1.5.3  费用：指为履行合同所发生的或将要发生的所有合理开支，包括管理费和应分摊的其他费用，但不包括利润。</w:t>
      </w:r>
    </w:p>
    <w:p w14:paraId="2941F0FA">
      <w:pPr>
        <w:spacing w:line="360" w:lineRule="auto"/>
        <w:rPr>
          <w:rFonts w:hint="eastAsia" w:ascii="宋体" w:hAnsi="宋体"/>
          <w:szCs w:val="21"/>
        </w:rPr>
      </w:pPr>
      <w:r>
        <w:rPr>
          <w:rFonts w:hint="eastAsia" w:ascii="宋体" w:hAnsi="宋体"/>
          <w:szCs w:val="21"/>
        </w:rPr>
        <w:t>1.1.5.4  暂列金额：指已标价工程量清单中所列的暂列金额，用于在签订协议书时尚未确定或不可预见变更的施工及其所需材料、工程设备、服务等的金额，包括以计日工方式支付的金额。</w:t>
      </w:r>
    </w:p>
    <w:p w14:paraId="61C67D70">
      <w:pPr>
        <w:spacing w:line="360" w:lineRule="auto"/>
        <w:rPr>
          <w:rFonts w:hint="eastAsia" w:ascii="宋体" w:hAnsi="宋体"/>
          <w:szCs w:val="21"/>
        </w:rPr>
      </w:pPr>
      <w:r>
        <w:rPr>
          <w:rFonts w:hint="eastAsia" w:ascii="宋体" w:hAnsi="宋体"/>
          <w:szCs w:val="21"/>
        </w:rPr>
        <w:t>1.1.5.5  暂估价：指发包人在工程量清单中给定的用于支付必然发生但暂时不能确定价格的材料、设备以及专业工程的金额。</w:t>
      </w:r>
    </w:p>
    <w:p w14:paraId="16C70AA1">
      <w:pPr>
        <w:spacing w:line="360" w:lineRule="auto"/>
        <w:rPr>
          <w:rFonts w:hint="eastAsia" w:ascii="宋体" w:hAnsi="宋体"/>
          <w:szCs w:val="21"/>
        </w:rPr>
      </w:pPr>
      <w:r>
        <w:rPr>
          <w:rFonts w:hint="eastAsia" w:ascii="宋体" w:hAnsi="宋体"/>
          <w:szCs w:val="21"/>
        </w:rPr>
        <w:t>1.1.5.6  计日工：指对零星工作采取的一种计价方式，按合同中的计日工子目及其单价计价付款。</w:t>
      </w:r>
    </w:p>
    <w:p w14:paraId="6CEF8D44">
      <w:pPr>
        <w:spacing w:line="360" w:lineRule="auto"/>
        <w:rPr>
          <w:rFonts w:hint="eastAsia" w:ascii="宋体" w:hAnsi="宋体"/>
          <w:szCs w:val="21"/>
        </w:rPr>
      </w:pPr>
      <w:r>
        <w:rPr>
          <w:rFonts w:hint="eastAsia" w:ascii="宋体" w:hAnsi="宋体"/>
          <w:szCs w:val="21"/>
        </w:rPr>
        <w:t>1.1.5.7  质量保证金（或称保留金）：指按第17.4.1项约定用于保证在缺陷责任期内履行缺陷修复义务的金额。</w:t>
      </w:r>
    </w:p>
    <w:p w14:paraId="3D0B4E2F">
      <w:pPr>
        <w:spacing w:line="360" w:lineRule="auto"/>
        <w:rPr>
          <w:rFonts w:hint="eastAsia" w:ascii="宋体" w:hAnsi="宋体"/>
          <w:szCs w:val="21"/>
        </w:rPr>
      </w:pPr>
      <w:r>
        <w:rPr>
          <w:rFonts w:hint="eastAsia" w:ascii="宋体" w:hAnsi="宋体"/>
          <w:szCs w:val="21"/>
        </w:rPr>
        <w:t>1.1.6  书面形式</w:t>
      </w:r>
    </w:p>
    <w:p w14:paraId="75C32AE0">
      <w:pPr>
        <w:spacing w:line="360" w:lineRule="auto"/>
        <w:rPr>
          <w:rFonts w:hint="eastAsia" w:ascii="宋体" w:hAnsi="宋体"/>
          <w:szCs w:val="21"/>
        </w:rPr>
      </w:pPr>
      <w:r>
        <w:rPr>
          <w:rFonts w:hint="eastAsia" w:ascii="宋体" w:hAnsi="宋体"/>
          <w:szCs w:val="21"/>
        </w:rPr>
        <w:t>书面形式：指合同文件、信函、电报、传真等可以有形地表现所载内容的形式。</w:t>
      </w:r>
    </w:p>
    <w:p w14:paraId="5B50D05B">
      <w:pPr>
        <w:spacing w:line="360" w:lineRule="auto"/>
        <w:rPr>
          <w:rFonts w:hint="eastAsia" w:ascii="宋体" w:hAnsi="宋体"/>
          <w:szCs w:val="21"/>
        </w:rPr>
      </w:pPr>
      <w:r>
        <w:rPr>
          <w:rFonts w:hint="eastAsia" w:ascii="宋体" w:hAnsi="宋体"/>
          <w:szCs w:val="21"/>
        </w:rPr>
        <w:t>1.1.7  争议评审组</w:t>
      </w:r>
    </w:p>
    <w:p w14:paraId="46560C00">
      <w:pPr>
        <w:spacing w:line="360" w:lineRule="auto"/>
        <w:rPr>
          <w:rFonts w:hint="eastAsia" w:ascii="宋体" w:hAnsi="宋体"/>
          <w:szCs w:val="21"/>
        </w:rPr>
      </w:pPr>
      <w:r>
        <w:rPr>
          <w:rFonts w:hint="eastAsia" w:ascii="宋体" w:hAnsi="宋体"/>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6E1726C7">
      <w:pPr>
        <w:spacing w:line="360" w:lineRule="auto"/>
        <w:rPr>
          <w:rFonts w:hint="eastAsia" w:ascii="宋体" w:hAnsi="宋体"/>
          <w:szCs w:val="21"/>
        </w:rPr>
      </w:pPr>
      <w:r>
        <w:rPr>
          <w:rFonts w:hint="eastAsia" w:ascii="宋体" w:hAnsi="宋体"/>
          <w:szCs w:val="21"/>
        </w:rPr>
        <w:t>1.1.8  其他需要补充的内容</w:t>
      </w:r>
    </w:p>
    <w:p w14:paraId="093784C7">
      <w:pPr>
        <w:spacing w:line="360" w:lineRule="auto"/>
        <w:rPr>
          <w:rFonts w:hint="eastAsia" w:ascii="宋体" w:hAnsi="宋体"/>
          <w:szCs w:val="21"/>
        </w:rPr>
      </w:pPr>
      <w:r>
        <w:rPr>
          <w:rFonts w:hint="eastAsia" w:ascii="宋体" w:hAnsi="宋体"/>
          <w:szCs w:val="21"/>
        </w:rPr>
        <w:t>其他需要补充的内容见合同条款专用部分。</w:t>
      </w:r>
    </w:p>
    <w:p w14:paraId="31ED69BC">
      <w:pPr>
        <w:spacing w:line="360" w:lineRule="auto"/>
        <w:rPr>
          <w:rFonts w:hint="eastAsia" w:ascii="宋体" w:hAnsi="宋体"/>
          <w:szCs w:val="21"/>
        </w:rPr>
      </w:pPr>
      <w:bookmarkStart w:id="680" w:name="_BookMark_98"/>
      <w:bookmarkEnd w:id="680"/>
      <w:r>
        <w:rPr>
          <w:rFonts w:hint="eastAsia" w:ascii="宋体" w:hAnsi="宋体"/>
          <w:szCs w:val="21"/>
        </w:rPr>
        <w:t>1.2  语言文字</w:t>
      </w:r>
    </w:p>
    <w:p w14:paraId="7BFE27E9">
      <w:pPr>
        <w:spacing w:line="360" w:lineRule="auto"/>
        <w:rPr>
          <w:rFonts w:hint="eastAsia" w:ascii="宋体" w:hAnsi="宋体"/>
          <w:szCs w:val="21"/>
        </w:rPr>
      </w:pPr>
      <w:r>
        <w:rPr>
          <w:rFonts w:hint="eastAsia" w:ascii="宋体" w:hAnsi="宋体"/>
          <w:szCs w:val="21"/>
        </w:rPr>
        <w:t>除专用术语外，合同使用的语言文字为中文。必要时专用术语应附有中文注释。</w:t>
      </w:r>
    </w:p>
    <w:p w14:paraId="604E14F2">
      <w:pPr>
        <w:spacing w:line="360" w:lineRule="auto"/>
        <w:rPr>
          <w:rFonts w:hint="eastAsia" w:ascii="宋体" w:hAnsi="宋体"/>
          <w:szCs w:val="21"/>
        </w:rPr>
      </w:pPr>
      <w:bookmarkStart w:id="681" w:name="_BookMark_99"/>
      <w:bookmarkEnd w:id="681"/>
      <w:r>
        <w:rPr>
          <w:rFonts w:hint="eastAsia" w:ascii="宋体" w:hAnsi="宋体"/>
          <w:szCs w:val="21"/>
        </w:rPr>
        <w:t>1.3  法律</w:t>
      </w:r>
    </w:p>
    <w:p w14:paraId="2E867922">
      <w:pPr>
        <w:spacing w:line="360" w:lineRule="auto"/>
        <w:rPr>
          <w:rFonts w:hint="eastAsia" w:ascii="宋体" w:hAnsi="宋体"/>
          <w:szCs w:val="21"/>
        </w:rPr>
      </w:pPr>
      <w:r>
        <w:rPr>
          <w:rFonts w:hint="eastAsia" w:ascii="宋体" w:hAnsi="宋体"/>
          <w:szCs w:val="21"/>
        </w:rPr>
        <w:t>适用于合同的法律包括中华人民共和国法律、行政法规、部门规章，以及工程所在地的地方法规、自治条例、单行条例和地方政府规章。</w:t>
      </w:r>
    </w:p>
    <w:p w14:paraId="77E1D26F">
      <w:pPr>
        <w:spacing w:line="360" w:lineRule="auto"/>
        <w:rPr>
          <w:rFonts w:hint="eastAsia" w:ascii="宋体" w:hAnsi="宋体"/>
          <w:szCs w:val="21"/>
        </w:rPr>
      </w:pPr>
      <w:bookmarkStart w:id="682" w:name="_BookMark_100"/>
      <w:bookmarkEnd w:id="682"/>
      <w:r>
        <w:rPr>
          <w:rFonts w:hint="eastAsia" w:ascii="宋体" w:hAnsi="宋体"/>
          <w:szCs w:val="21"/>
        </w:rPr>
        <w:t>1.4  合同文件的优先顺序</w:t>
      </w:r>
    </w:p>
    <w:p w14:paraId="2D52D84C">
      <w:pPr>
        <w:spacing w:line="360" w:lineRule="auto"/>
        <w:rPr>
          <w:rFonts w:hint="eastAsia" w:ascii="宋体" w:hAnsi="宋体"/>
          <w:szCs w:val="21"/>
        </w:rPr>
      </w:pPr>
      <w:r>
        <w:rPr>
          <w:rFonts w:hint="eastAsia" w:ascii="宋体" w:hAnsi="宋体"/>
          <w:szCs w:val="21"/>
        </w:rPr>
        <w:t>组成合同的各项文件应互相解释，互为说明。除合同条款专用部分另有约定外，解释合同文件的优先顺序如下：</w:t>
      </w:r>
    </w:p>
    <w:p w14:paraId="5E40ABB5">
      <w:pPr>
        <w:spacing w:line="360" w:lineRule="auto"/>
        <w:rPr>
          <w:rFonts w:hint="eastAsia" w:ascii="宋体" w:hAnsi="宋体"/>
          <w:szCs w:val="21"/>
        </w:rPr>
      </w:pPr>
      <w:r>
        <w:rPr>
          <w:rFonts w:hint="eastAsia" w:ascii="宋体" w:hAnsi="宋体"/>
          <w:szCs w:val="21"/>
        </w:rPr>
        <w:t>（1）合同协议书；</w:t>
      </w:r>
    </w:p>
    <w:p w14:paraId="72081F42">
      <w:pPr>
        <w:spacing w:line="360" w:lineRule="auto"/>
        <w:rPr>
          <w:rFonts w:hint="eastAsia" w:ascii="宋体" w:hAnsi="宋体"/>
          <w:szCs w:val="21"/>
        </w:rPr>
      </w:pPr>
      <w:r>
        <w:rPr>
          <w:rFonts w:hint="eastAsia" w:ascii="宋体" w:hAnsi="宋体"/>
          <w:szCs w:val="21"/>
        </w:rPr>
        <w:t>（2）成交通知书；</w:t>
      </w:r>
    </w:p>
    <w:p w14:paraId="3CA42562">
      <w:pPr>
        <w:spacing w:line="360" w:lineRule="auto"/>
        <w:rPr>
          <w:rFonts w:hint="eastAsia" w:ascii="宋体" w:hAnsi="宋体"/>
          <w:szCs w:val="21"/>
        </w:rPr>
      </w:pPr>
      <w:r>
        <w:rPr>
          <w:rFonts w:hint="eastAsia" w:ascii="宋体" w:hAnsi="宋体"/>
          <w:szCs w:val="21"/>
        </w:rPr>
        <w:t>（3）投标函及投标函附录；</w:t>
      </w:r>
    </w:p>
    <w:p w14:paraId="003AE491">
      <w:pPr>
        <w:spacing w:line="360" w:lineRule="auto"/>
        <w:rPr>
          <w:rFonts w:hint="eastAsia" w:ascii="宋体" w:hAnsi="宋体"/>
          <w:szCs w:val="21"/>
        </w:rPr>
      </w:pPr>
      <w:r>
        <w:rPr>
          <w:rFonts w:hint="eastAsia" w:ascii="宋体" w:hAnsi="宋体"/>
          <w:szCs w:val="21"/>
        </w:rPr>
        <w:t>（4）合同条款专用部分；</w:t>
      </w:r>
    </w:p>
    <w:p w14:paraId="6E5F387C">
      <w:pPr>
        <w:spacing w:line="360" w:lineRule="auto"/>
        <w:rPr>
          <w:rFonts w:hint="eastAsia" w:ascii="宋体" w:hAnsi="宋体"/>
          <w:szCs w:val="21"/>
        </w:rPr>
      </w:pPr>
      <w:r>
        <w:rPr>
          <w:rFonts w:hint="eastAsia" w:ascii="宋体" w:hAnsi="宋体"/>
          <w:szCs w:val="21"/>
        </w:rPr>
        <w:t>（5）合同条款通用部分；</w:t>
      </w:r>
    </w:p>
    <w:p w14:paraId="5606D486">
      <w:pPr>
        <w:spacing w:line="360" w:lineRule="auto"/>
        <w:rPr>
          <w:rFonts w:hint="eastAsia" w:ascii="宋体" w:hAnsi="宋体"/>
          <w:szCs w:val="21"/>
        </w:rPr>
      </w:pPr>
      <w:r>
        <w:rPr>
          <w:rFonts w:hint="eastAsia" w:ascii="宋体" w:hAnsi="宋体"/>
          <w:szCs w:val="21"/>
        </w:rPr>
        <w:t>（6）技术标准和要求；</w:t>
      </w:r>
    </w:p>
    <w:p w14:paraId="5F13FB0F">
      <w:pPr>
        <w:spacing w:line="360" w:lineRule="auto"/>
        <w:rPr>
          <w:rFonts w:hint="eastAsia" w:ascii="宋体" w:hAnsi="宋体"/>
          <w:szCs w:val="21"/>
        </w:rPr>
      </w:pPr>
      <w:r>
        <w:rPr>
          <w:rFonts w:hint="eastAsia" w:ascii="宋体" w:hAnsi="宋体"/>
          <w:szCs w:val="21"/>
        </w:rPr>
        <w:t>（7）图纸；</w:t>
      </w:r>
    </w:p>
    <w:p w14:paraId="1C935B3F">
      <w:pPr>
        <w:spacing w:line="360" w:lineRule="auto"/>
        <w:rPr>
          <w:rFonts w:hint="eastAsia" w:ascii="宋体" w:hAnsi="宋体"/>
          <w:szCs w:val="21"/>
        </w:rPr>
      </w:pPr>
      <w:r>
        <w:rPr>
          <w:rFonts w:hint="eastAsia" w:ascii="宋体" w:hAnsi="宋体"/>
          <w:szCs w:val="21"/>
        </w:rPr>
        <w:t>（8）已标价工程量清单；</w:t>
      </w:r>
    </w:p>
    <w:p w14:paraId="5C204FD5">
      <w:pPr>
        <w:spacing w:line="360" w:lineRule="auto"/>
        <w:rPr>
          <w:rFonts w:hint="eastAsia" w:ascii="宋体" w:hAnsi="宋体"/>
          <w:szCs w:val="21"/>
        </w:rPr>
      </w:pPr>
      <w:r>
        <w:rPr>
          <w:rFonts w:hint="eastAsia" w:ascii="宋体" w:hAnsi="宋体"/>
          <w:szCs w:val="21"/>
        </w:rPr>
        <w:t>（9）其他合同文件。</w:t>
      </w:r>
    </w:p>
    <w:p w14:paraId="5EA39750">
      <w:pPr>
        <w:spacing w:line="360" w:lineRule="auto"/>
        <w:rPr>
          <w:rFonts w:hint="eastAsia" w:ascii="宋体" w:hAnsi="宋体"/>
          <w:szCs w:val="21"/>
        </w:rPr>
      </w:pPr>
      <w:r>
        <w:rPr>
          <w:rFonts w:hint="eastAsia" w:ascii="宋体" w:hAnsi="宋体"/>
          <w:szCs w:val="21"/>
        </w:rPr>
        <w:t>附注：构成合同文件的图纸与技术标准和要求之间有矛盾或者不一致的，应以其中要求较严格的标准为准。</w:t>
      </w:r>
    </w:p>
    <w:p w14:paraId="44F0B858">
      <w:pPr>
        <w:spacing w:line="360" w:lineRule="auto"/>
        <w:rPr>
          <w:rFonts w:hint="eastAsia" w:ascii="宋体" w:hAnsi="宋体"/>
          <w:szCs w:val="21"/>
        </w:rPr>
      </w:pPr>
      <w:r>
        <w:rPr>
          <w:rFonts w:hint="eastAsia" w:ascii="宋体" w:hAnsi="宋体"/>
          <w:szCs w:val="21"/>
        </w:rPr>
        <w:t>合同双方在合同履行过程中签署的不背离合同实质性内容的补充协议，应当视为合同文件的有效组成部分，其解释顺序视其内容与其他合同文件的相互关系而定。</w:t>
      </w:r>
    </w:p>
    <w:p w14:paraId="61DCF177">
      <w:pPr>
        <w:spacing w:line="360" w:lineRule="auto"/>
        <w:rPr>
          <w:rFonts w:hint="eastAsia" w:ascii="宋体" w:hAnsi="宋体"/>
          <w:szCs w:val="21"/>
        </w:rPr>
      </w:pPr>
      <w:bookmarkStart w:id="683" w:name="_BookMark_101"/>
      <w:bookmarkEnd w:id="683"/>
      <w:r>
        <w:rPr>
          <w:rFonts w:hint="eastAsia" w:ascii="宋体" w:hAnsi="宋体"/>
          <w:szCs w:val="21"/>
        </w:rPr>
        <w:t>1.5  合同协议书</w:t>
      </w:r>
    </w:p>
    <w:p w14:paraId="742858D7">
      <w:pPr>
        <w:spacing w:line="360" w:lineRule="auto"/>
        <w:rPr>
          <w:rFonts w:hint="eastAsia" w:ascii="宋体" w:hAnsi="宋体"/>
          <w:szCs w:val="21"/>
        </w:rPr>
      </w:pPr>
      <w:r>
        <w:rPr>
          <w:rFonts w:hint="eastAsia" w:ascii="宋体" w:hAnsi="宋体"/>
          <w:szCs w:val="21"/>
        </w:rPr>
        <w:t>指由发包人与承包人共同签署的用于明确当事人合同关系的文件。承包人按照成交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14:paraId="4AE51E8D">
      <w:pPr>
        <w:spacing w:line="360" w:lineRule="auto"/>
        <w:rPr>
          <w:rFonts w:hint="eastAsia" w:ascii="宋体" w:hAnsi="宋体"/>
          <w:szCs w:val="21"/>
        </w:rPr>
      </w:pPr>
      <w:bookmarkStart w:id="684" w:name="_BookMark_102"/>
      <w:bookmarkEnd w:id="684"/>
      <w:r>
        <w:rPr>
          <w:rFonts w:hint="eastAsia" w:ascii="宋体" w:hAnsi="宋体"/>
          <w:szCs w:val="21"/>
        </w:rPr>
        <w:t>1.6  图纸和承包人文件</w:t>
      </w:r>
    </w:p>
    <w:p w14:paraId="52D1D72C">
      <w:pPr>
        <w:spacing w:line="360" w:lineRule="auto"/>
        <w:rPr>
          <w:rFonts w:hint="eastAsia" w:ascii="宋体" w:hAnsi="宋体"/>
          <w:szCs w:val="21"/>
        </w:rPr>
      </w:pPr>
      <w:r>
        <w:rPr>
          <w:rFonts w:hint="eastAsia" w:ascii="宋体" w:hAnsi="宋体"/>
          <w:szCs w:val="21"/>
        </w:rPr>
        <w:t>1.6.1  图纸的提供</w:t>
      </w:r>
    </w:p>
    <w:p w14:paraId="5738858E">
      <w:pPr>
        <w:spacing w:line="360" w:lineRule="auto"/>
        <w:rPr>
          <w:rFonts w:hint="eastAsia" w:ascii="宋体" w:hAnsi="宋体"/>
          <w:szCs w:val="21"/>
        </w:rPr>
      </w:pPr>
      <w:r>
        <w:rPr>
          <w:rFonts w:hint="eastAsia" w:ascii="宋体" w:hAnsi="宋体"/>
          <w:szCs w:val="21"/>
        </w:rPr>
        <w:t>（1）发包人按照合同约定向承包人提供图纸。发包人未按时提供图纸造成工期延误的，按第11.3款的约定办理。承包人需要增加图纸套数的，发包人应代为复制，复制费用由承包人承担。</w:t>
      </w:r>
    </w:p>
    <w:p w14:paraId="2E6878DF">
      <w:pPr>
        <w:spacing w:line="360" w:lineRule="auto"/>
        <w:rPr>
          <w:rFonts w:hint="eastAsia" w:ascii="宋体" w:hAnsi="宋体"/>
          <w:szCs w:val="21"/>
        </w:rPr>
      </w:pPr>
      <w:r>
        <w:rPr>
          <w:rFonts w:hint="eastAsia" w:ascii="宋体" w:hAnsi="宋体"/>
          <w:szCs w:val="21"/>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78F1C625">
      <w:pPr>
        <w:spacing w:line="360" w:lineRule="auto"/>
        <w:rPr>
          <w:rFonts w:hint="eastAsia" w:ascii="宋体" w:hAnsi="宋体"/>
          <w:szCs w:val="21"/>
        </w:rPr>
      </w:pPr>
      <w:r>
        <w:rPr>
          <w:rFonts w:hint="eastAsia" w:ascii="宋体" w:hAnsi="宋体"/>
          <w:szCs w:val="21"/>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6E4B700D">
      <w:pPr>
        <w:spacing w:line="360" w:lineRule="auto"/>
        <w:rPr>
          <w:rFonts w:hint="eastAsia" w:ascii="宋体" w:hAnsi="宋体"/>
          <w:szCs w:val="21"/>
        </w:rPr>
      </w:pPr>
      <w:r>
        <w:rPr>
          <w:rFonts w:hint="eastAsia" w:ascii="宋体" w:hAnsi="宋体"/>
          <w:szCs w:val="21"/>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F16913E">
      <w:pPr>
        <w:spacing w:line="360" w:lineRule="auto"/>
        <w:rPr>
          <w:rFonts w:hint="eastAsia" w:ascii="宋体" w:hAnsi="宋体"/>
          <w:szCs w:val="21"/>
        </w:rPr>
      </w:pPr>
      <w:r>
        <w:rPr>
          <w:rFonts w:hint="eastAsia" w:ascii="宋体" w:hAnsi="宋体"/>
          <w:szCs w:val="21"/>
        </w:rPr>
        <w:t>（5）发包人提供图纸的期限、数量和其他约定见合同条款专用部分。</w:t>
      </w:r>
    </w:p>
    <w:p w14:paraId="7FCECE5D">
      <w:pPr>
        <w:spacing w:line="360" w:lineRule="auto"/>
        <w:rPr>
          <w:rFonts w:hint="eastAsia" w:ascii="宋体" w:hAnsi="宋体"/>
          <w:szCs w:val="21"/>
        </w:rPr>
      </w:pPr>
      <w:r>
        <w:rPr>
          <w:rFonts w:hint="eastAsia" w:ascii="宋体" w:hAnsi="宋体"/>
          <w:szCs w:val="21"/>
        </w:rPr>
        <w:t>1.6.2  承包人提供的文件</w:t>
      </w:r>
    </w:p>
    <w:p w14:paraId="3BCFB3A1">
      <w:pPr>
        <w:spacing w:line="360" w:lineRule="auto"/>
        <w:rPr>
          <w:rFonts w:hint="eastAsia" w:ascii="宋体" w:hAnsi="宋体"/>
          <w:szCs w:val="21"/>
        </w:rPr>
      </w:pPr>
      <w:r>
        <w:rPr>
          <w:rFonts w:hint="eastAsia" w:ascii="宋体" w:hAnsi="宋体"/>
          <w:szCs w:val="21"/>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2A2B0C6B">
      <w:pPr>
        <w:spacing w:line="360" w:lineRule="auto"/>
        <w:rPr>
          <w:rFonts w:hint="eastAsia" w:ascii="宋体" w:hAnsi="宋体"/>
          <w:szCs w:val="21"/>
        </w:rPr>
      </w:pPr>
      <w:r>
        <w:rPr>
          <w:rFonts w:hint="eastAsia" w:ascii="宋体" w:hAnsi="宋体"/>
          <w:szCs w:val="21"/>
        </w:rPr>
        <w:t>（2）除合同条款第4.1.10项约定的由承包人提供的设计文件外，本项约定的其他应由承包人提供的文件，包括必要的加工图和大样图，均不能作为合同计量与支付的依据文件。</w:t>
      </w:r>
    </w:p>
    <w:p w14:paraId="5088320C">
      <w:pPr>
        <w:spacing w:line="360" w:lineRule="auto"/>
        <w:rPr>
          <w:rFonts w:hint="eastAsia" w:ascii="宋体" w:hAnsi="宋体"/>
          <w:szCs w:val="21"/>
        </w:rPr>
      </w:pPr>
      <w:r>
        <w:rPr>
          <w:rFonts w:hint="eastAsia" w:ascii="宋体" w:hAnsi="宋体"/>
          <w:szCs w:val="21"/>
        </w:rPr>
        <w:t>1.6.3  图纸的修改</w:t>
      </w:r>
    </w:p>
    <w:p w14:paraId="13F4D3A6">
      <w:pPr>
        <w:spacing w:line="360" w:lineRule="auto"/>
        <w:rPr>
          <w:rFonts w:hint="eastAsia" w:ascii="宋体" w:hAnsi="宋体"/>
          <w:szCs w:val="21"/>
        </w:rPr>
      </w:pPr>
      <w:r>
        <w:rPr>
          <w:rFonts w:hint="eastAsia" w:ascii="宋体" w:hAnsi="宋体"/>
          <w:szCs w:val="21"/>
        </w:rPr>
        <w:t>图纸需要修改和补充的，监理人应当按照合同条款第1.6.1（2）目约定的有合同约束力的图纸供应计划，签发图纸修改图给承包人。承包人应按修改后的图纸施工。</w:t>
      </w:r>
    </w:p>
    <w:p w14:paraId="32684040">
      <w:pPr>
        <w:spacing w:line="360" w:lineRule="auto"/>
        <w:rPr>
          <w:rFonts w:hint="eastAsia" w:ascii="宋体" w:hAnsi="宋体"/>
          <w:szCs w:val="21"/>
        </w:rPr>
      </w:pPr>
      <w:r>
        <w:rPr>
          <w:rFonts w:hint="eastAsia" w:ascii="宋体" w:hAnsi="宋体"/>
          <w:szCs w:val="21"/>
        </w:rPr>
        <w:t>1.6.4  图纸的错误</w:t>
      </w:r>
    </w:p>
    <w:p w14:paraId="6475B2E3">
      <w:pPr>
        <w:spacing w:line="360" w:lineRule="auto"/>
        <w:rPr>
          <w:rFonts w:hint="eastAsia" w:ascii="宋体" w:hAnsi="宋体"/>
          <w:szCs w:val="21"/>
        </w:rPr>
      </w:pPr>
      <w:r>
        <w:rPr>
          <w:rFonts w:hint="eastAsia" w:ascii="宋体" w:hAnsi="宋体"/>
          <w:szCs w:val="21"/>
        </w:rPr>
        <w:t>承包人发现发包人提供的图纸存在明显错误或疏忽，应及时通知监理人。</w:t>
      </w:r>
    </w:p>
    <w:p w14:paraId="125C8DED">
      <w:pPr>
        <w:spacing w:line="360" w:lineRule="auto"/>
        <w:rPr>
          <w:rFonts w:hint="eastAsia" w:ascii="宋体" w:hAnsi="宋体"/>
          <w:szCs w:val="21"/>
        </w:rPr>
      </w:pPr>
      <w:r>
        <w:rPr>
          <w:rFonts w:hint="eastAsia" w:ascii="宋体" w:hAnsi="宋体"/>
          <w:szCs w:val="21"/>
        </w:rPr>
        <w:t>1.6.5  图纸和承包人文件的保管</w:t>
      </w:r>
    </w:p>
    <w:p w14:paraId="03BD8050">
      <w:pPr>
        <w:spacing w:line="360" w:lineRule="auto"/>
        <w:rPr>
          <w:rFonts w:hint="eastAsia" w:ascii="宋体" w:hAnsi="宋体"/>
          <w:szCs w:val="21"/>
        </w:rPr>
      </w:pPr>
      <w:r>
        <w:rPr>
          <w:rFonts w:hint="eastAsia" w:ascii="宋体" w:hAnsi="宋体"/>
          <w:szCs w:val="21"/>
        </w:rPr>
        <w:t>监理人和承包人均应在施工场地各保存一套完整的包含第1.6.1项、第1.6.2项、第1.6.3项约定内容的图纸和承包人文件。</w:t>
      </w:r>
    </w:p>
    <w:p w14:paraId="17F02DEB">
      <w:pPr>
        <w:spacing w:line="360" w:lineRule="auto"/>
        <w:rPr>
          <w:rFonts w:hint="eastAsia" w:ascii="宋体" w:hAnsi="宋体"/>
          <w:szCs w:val="21"/>
        </w:rPr>
      </w:pPr>
      <w:bookmarkStart w:id="685" w:name="_BookMark_103"/>
      <w:bookmarkEnd w:id="685"/>
      <w:r>
        <w:rPr>
          <w:rFonts w:hint="eastAsia" w:ascii="宋体" w:hAnsi="宋体"/>
          <w:szCs w:val="21"/>
        </w:rPr>
        <w:t>1.7  联络</w:t>
      </w:r>
    </w:p>
    <w:p w14:paraId="741E5454">
      <w:pPr>
        <w:spacing w:line="360" w:lineRule="auto"/>
        <w:rPr>
          <w:rFonts w:hint="eastAsia" w:ascii="宋体" w:hAnsi="宋体"/>
          <w:szCs w:val="21"/>
        </w:rPr>
      </w:pPr>
      <w:r>
        <w:rPr>
          <w:rFonts w:hint="eastAsia" w:ascii="宋体" w:hAnsi="宋体"/>
          <w:szCs w:val="21"/>
        </w:rPr>
        <w:t>1.7.1  与合同有关的通知、批准、证明、证书、指示、要求、请求、同意、意见、确定和决定等，均应采用书面形式。</w:t>
      </w:r>
    </w:p>
    <w:p w14:paraId="4A96110D">
      <w:pPr>
        <w:spacing w:line="360" w:lineRule="auto"/>
        <w:rPr>
          <w:rFonts w:hint="eastAsia" w:ascii="宋体" w:hAnsi="宋体"/>
          <w:szCs w:val="21"/>
        </w:rPr>
      </w:pPr>
      <w:r>
        <w:rPr>
          <w:rFonts w:hint="eastAsia" w:ascii="宋体" w:hAnsi="宋体"/>
          <w:szCs w:val="21"/>
        </w:rPr>
        <w:t>1.7.2  第1.7.1项中的通知、批准、证明、证书、指示、要求、请求、同意、意见、确定和决定等来往函件，均应在合同约定的期限内送达指定地点和接收人，并办理签收手续。</w:t>
      </w:r>
    </w:p>
    <w:p w14:paraId="7A190758">
      <w:pPr>
        <w:spacing w:line="360" w:lineRule="auto"/>
        <w:rPr>
          <w:rFonts w:hint="eastAsia" w:ascii="宋体" w:hAnsi="宋体"/>
          <w:szCs w:val="21"/>
        </w:rPr>
      </w:pPr>
      <w:r>
        <w:rPr>
          <w:rFonts w:hint="eastAsia" w:ascii="宋体" w:hAnsi="宋体"/>
          <w:szCs w:val="21"/>
        </w:rPr>
        <w:t>（1）联络来往信函的送达期限：合同约定了发出期限的，送达期限为合同约定的发出期限后的24小时内；合同约定了通知、提供或者报送期限的，通知、提供或者报送期限即为送达期限。</w:t>
      </w:r>
    </w:p>
    <w:p w14:paraId="2D3BC331">
      <w:pPr>
        <w:spacing w:line="360" w:lineRule="auto"/>
        <w:rPr>
          <w:rFonts w:hint="eastAsia" w:ascii="宋体" w:hAnsi="宋体"/>
          <w:szCs w:val="21"/>
        </w:rPr>
      </w:pPr>
      <w:r>
        <w:rPr>
          <w:rFonts w:hint="eastAsia" w:ascii="宋体" w:hAnsi="宋体"/>
          <w:szCs w:val="21"/>
        </w:rPr>
        <w:t>（2）发包人指定的接收人和接收地点见合同条款专用部分。</w:t>
      </w:r>
    </w:p>
    <w:p w14:paraId="68BBEAF7">
      <w:pPr>
        <w:spacing w:line="360" w:lineRule="auto"/>
        <w:rPr>
          <w:rFonts w:hint="eastAsia" w:ascii="宋体" w:hAnsi="宋体"/>
          <w:szCs w:val="21"/>
        </w:rPr>
      </w:pPr>
      <w:r>
        <w:rPr>
          <w:rFonts w:hint="eastAsia" w:ascii="宋体" w:hAnsi="宋体"/>
          <w:szCs w:val="21"/>
        </w:rPr>
        <w:t>（3）监理人指定的接收人和接收地点见合同条款专用部分。</w:t>
      </w:r>
    </w:p>
    <w:p w14:paraId="0C320077">
      <w:pPr>
        <w:spacing w:line="360" w:lineRule="auto"/>
        <w:rPr>
          <w:rFonts w:hint="eastAsia" w:ascii="宋体" w:hAnsi="宋体"/>
          <w:szCs w:val="21"/>
        </w:rPr>
      </w:pPr>
      <w:r>
        <w:rPr>
          <w:rFonts w:hint="eastAsia" w:ascii="宋体" w:hAnsi="宋体"/>
          <w:szCs w:val="21"/>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75489CEF">
      <w:pPr>
        <w:spacing w:line="360" w:lineRule="auto"/>
        <w:rPr>
          <w:rFonts w:hint="eastAsia" w:ascii="宋体" w:hAnsi="宋体"/>
          <w:szCs w:val="21"/>
        </w:rPr>
      </w:pPr>
      <w:r>
        <w:rPr>
          <w:rFonts w:hint="eastAsia" w:ascii="宋体" w:hAnsi="宋体"/>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7DB97681">
      <w:pPr>
        <w:spacing w:line="360" w:lineRule="auto"/>
        <w:rPr>
          <w:rFonts w:hint="eastAsia" w:ascii="宋体" w:hAnsi="宋体"/>
          <w:szCs w:val="21"/>
        </w:rPr>
      </w:pPr>
      <w:r>
        <w:rPr>
          <w:rFonts w:hint="eastAsia" w:ascii="宋体" w:hAnsi="宋体"/>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4F043277">
      <w:pPr>
        <w:spacing w:line="360" w:lineRule="auto"/>
        <w:rPr>
          <w:rFonts w:hint="eastAsia" w:ascii="宋体" w:hAnsi="宋体"/>
          <w:szCs w:val="21"/>
        </w:rPr>
      </w:pPr>
      <w:bookmarkStart w:id="686" w:name="_BookMark_104"/>
      <w:bookmarkEnd w:id="686"/>
      <w:r>
        <w:rPr>
          <w:rFonts w:hint="eastAsia" w:ascii="宋体" w:hAnsi="宋体"/>
          <w:szCs w:val="21"/>
        </w:rPr>
        <w:t>1.8  转让</w:t>
      </w:r>
    </w:p>
    <w:p w14:paraId="6F10E5F4">
      <w:pPr>
        <w:spacing w:line="360" w:lineRule="auto"/>
        <w:ind w:firstLine="420" w:firstLineChars="200"/>
        <w:rPr>
          <w:rFonts w:hint="eastAsia" w:ascii="宋体" w:hAnsi="宋体"/>
          <w:szCs w:val="21"/>
        </w:rPr>
      </w:pPr>
      <w:r>
        <w:rPr>
          <w:rFonts w:hint="eastAsia" w:ascii="宋体" w:hAnsi="宋体"/>
          <w:szCs w:val="21"/>
        </w:rPr>
        <w:t>除合同另有约定外，未经对方当事人同意，一方当事人不得将合同权利全部或部分转让给第三人，也不得全部或部分转移合同义务。</w:t>
      </w:r>
    </w:p>
    <w:p w14:paraId="7652C2F7">
      <w:pPr>
        <w:spacing w:line="360" w:lineRule="auto"/>
        <w:rPr>
          <w:rFonts w:hint="eastAsia" w:ascii="宋体" w:hAnsi="宋体"/>
          <w:szCs w:val="21"/>
        </w:rPr>
      </w:pPr>
      <w:bookmarkStart w:id="687" w:name="_BookMark_105"/>
      <w:bookmarkEnd w:id="687"/>
      <w:r>
        <w:rPr>
          <w:rFonts w:hint="eastAsia" w:ascii="宋体" w:hAnsi="宋体"/>
          <w:szCs w:val="21"/>
        </w:rPr>
        <w:t>1.9  严禁贿赂</w:t>
      </w:r>
    </w:p>
    <w:p w14:paraId="600E6B59">
      <w:pPr>
        <w:spacing w:line="360" w:lineRule="auto"/>
        <w:ind w:firstLine="420" w:firstLineChars="200"/>
        <w:rPr>
          <w:rFonts w:hint="eastAsia" w:ascii="宋体" w:hAnsi="宋体"/>
          <w:szCs w:val="21"/>
        </w:rPr>
      </w:pPr>
      <w:r>
        <w:rPr>
          <w:rFonts w:hint="eastAsia" w:ascii="宋体" w:hAnsi="宋体"/>
          <w:szCs w:val="21"/>
        </w:rPr>
        <w:t>合同双方当事人不得以贿赂或变相贿赂的方式，谋取不当利益或损害对方权益。因贿赂造成对方损失的，行为人应赔偿损失，并承担相应的法律责任。</w:t>
      </w:r>
    </w:p>
    <w:p w14:paraId="24392BA5">
      <w:pPr>
        <w:spacing w:line="360" w:lineRule="auto"/>
        <w:rPr>
          <w:rFonts w:hint="eastAsia" w:ascii="宋体" w:hAnsi="宋体"/>
          <w:szCs w:val="21"/>
        </w:rPr>
      </w:pPr>
      <w:bookmarkStart w:id="688" w:name="_BookMark_106"/>
      <w:bookmarkEnd w:id="688"/>
      <w:r>
        <w:rPr>
          <w:rFonts w:hint="eastAsia" w:ascii="宋体" w:hAnsi="宋体"/>
          <w:szCs w:val="21"/>
        </w:rPr>
        <w:t>1.10  化石、文物</w:t>
      </w:r>
    </w:p>
    <w:p w14:paraId="404C2B83">
      <w:pPr>
        <w:spacing w:line="360" w:lineRule="auto"/>
        <w:rPr>
          <w:rFonts w:hint="eastAsia" w:ascii="宋体" w:hAnsi="宋体"/>
          <w:szCs w:val="21"/>
        </w:rPr>
      </w:pPr>
      <w:r>
        <w:rPr>
          <w:rFonts w:hint="eastAsia" w:ascii="宋体" w:hAnsi="宋体"/>
          <w:szCs w:val="21"/>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52E20DF">
      <w:pPr>
        <w:spacing w:line="360" w:lineRule="auto"/>
        <w:rPr>
          <w:rFonts w:hint="eastAsia" w:ascii="宋体" w:hAnsi="宋体"/>
          <w:szCs w:val="21"/>
        </w:rPr>
      </w:pPr>
      <w:r>
        <w:rPr>
          <w:rFonts w:hint="eastAsia" w:ascii="宋体" w:hAnsi="宋体"/>
          <w:szCs w:val="21"/>
        </w:rPr>
        <w:t>1.10.2  承包人发现文物后不及时报告或隐瞒不报，致使文物丢失或损坏的，应赔偿损失，并承担相应的法律责任。</w:t>
      </w:r>
    </w:p>
    <w:p w14:paraId="15AFF483">
      <w:pPr>
        <w:spacing w:line="360" w:lineRule="auto"/>
        <w:rPr>
          <w:rFonts w:hint="eastAsia" w:ascii="宋体" w:hAnsi="宋体"/>
          <w:szCs w:val="21"/>
        </w:rPr>
      </w:pPr>
      <w:bookmarkStart w:id="689" w:name="_BookMark_107"/>
      <w:bookmarkEnd w:id="689"/>
      <w:r>
        <w:rPr>
          <w:rFonts w:hint="eastAsia" w:ascii="宋体" w:hAnsi="宋体"/>
          <w:szCs w:val="21"/>
        </w:rPr>
        <w:t>1.11  专利技术</w:t>
      </w:r>
    </w:p>
    <w:p w14:paraId="1A4415D7">
      <w:pPr>
        <w:spacing w:line="360" w:lineRule="auto"/>
        <w:rPr>
          <w:rFonts w:hint="eastAsia" w:ascii="宋体" w:hAnsi="宋体"/>
          <w:szCs w:val="21"/>
        </w:rPr>
      </w:pPr>
      <w:r>
        <w:rPr>
          <w:rFonts w:hint="eastAsia" w:ascii="宋体" w:hAnsi="宋体"/>
          <w:szCs w:val="21"/>
        </w:rPr>
        <w:t>1.11.1  承包人在使用任何材料、承包人设备、工程设备或采用施工工艺时，因侵犯专利权或其他知识产权所引起的责任，由承包人承担，但由于遵照发包人提供的设计或技术标准和要求引起的除外。</w:t>
      </w:r>
    </w:p>
    <w:p w14:paraId="4106A130">
      <w:pPr>
        <w:spacing w:line="360" w:lineRule="auto"/>
        <w:rPr>
          <w:rFonts w:hint="eastAsia" w:ascii="宋体" w:hAnsi="宋体"/>
          <w:szCs w:val="21"/>
        </w:rPr>
      </w:pPr>
      <w:r>
        <w:rPr>
          <w:rFonts w:hint="eastAsia" w:ascii="宋体" w:hAnsi="宋体"/>
          <w:szCs w:val="21"/>
        </w:rPr>
        <w:t>1.11.2  承包人在投标文件中采用专利技术的，专利技术的使用费包含在投标报价内。</w:t>
      </w:r>
    </w:p>
    <w:p w14:paraId="36627E3D">
      <w:pPr>
        <w:spacing w:line="360" w:lineRule="auto"/>
        <w:rPr>
          <w:rFonts w:hint="eastAsia" w:ascii="宋体" w:hAnsi="宋体"/>
          <w:szCs w:val="21"/>
        </w:rPr>
      </w:pPr>
      <w:r>
        <w:rPr>
          <w:rFonts w:hint="eastAsia" w:ascii="宋体" w:hAnsi="宋体"/>
          <w:szCs w:val="21"/>
        </w:rPr>
        <w:t>1.11.3  承包人的技术秘密和声明需要保密的资料和信息，发包人和监理人不得为合同以外的目的泄露给他人。</w:t>
      </w:r>
    </w:p>
    <w:p w14:paraId="7B91AECB">
      <w:pPr>
        <w:spacing w:line="360" w:lineRule="auto"/>
        <w:rPr>
          <w:rFonts w:hint="eastAsia" w:ascii="宋体" w:hAnsi="宋体"/>
          <w:szCs w:val="21"/>
        </w:rPr>
      </w:pPr>
      <w:bookmarkStart w:id="690" w:name="_BookMark_108"/>
      <w:bookmarkEnd w:id="690"/>
      <w:r>
        <w:rPr>
          <w:rFonts w:hint="eastAsia" w:ascii="宋体" w:hAnsi="宋体"/>
          <w:szCs w:val="21"/>
        </w:rPr>
        <w:t>1.12  图纸和文件的保密</w:t>
      </w:r>
    </w:p>
    <w:p w14:paraId="1EEB8A46">
      <w:pPr>
        <w:spacing w:line="360" w:lineRule="auto"/>
        <w:rPr>
          <w:rFonts w:hint="eastAsia" w:ascii="宋体" w:hAnsi="宋体"/>
          <w:szCs w:val="21"/>
        </w:rPr>
      </w:pPr>
      <w:r>
        <w:rPr>
          <w:rFonts w:hint="eastAsia" w:ascii="宋体" w:hAnsi="宋体"/>
          <w:szCs w:val="21"/>
        </w:rPr>
        <w:t>1.12.1  发包人提供的图纸和文件，未经发包人同意，承包人不得为合同以外的目的泄露给他人或公开发表与引用。</w:t>
      </w:r>
    </w:p>
    <w:p w14:paraId="4D2461E4">
      <w:pPr>
        <w:spacing w:line="360" w:lineRule="auto"/>
        <w:rPr>
          <w:rFonts w:hint="eastAsia" w:ascii="宋体" w:hAnsi="宋体"/>
          <w:szCs w:val="21"/>
        </w:rPr>
      </w:pPr>
      <w:r>
        <w:rPr>
          <w:rFonts w:hint="eastAsia" w:ascii="宋体" w:hAnsi="宋体"/>
          <w:szCs w:val="21"/>
        </w:rPr>
        <w:t>1.12.2  承包人提供的文件，未经承包人同意，发包人和监理人不得为合同以外的目的泄露给他人或公开发表与引用。</w:t>
      </w:r>
    </w:p>
    <w:p w14:paraId="07CC4617">
      <w:pPr>
        <w:adjustRightInd w:val="0"/>
        <w:snapToGrid w:val="0"/>
        <w:spacing w:line="360" w:lineRule="auto"/>
        <w:outlineLvl w:val="2"/>
        <w:rPr>
          <w:rFonts w:hint="eastAsia" w:ascii="宋体" w:hAnsi="宋体"/>
          <w:sz w:val="28"/>
        </w:rPr>
      </w:pPr>
      <w:bookmarkStart w:id="691" w:name="_BookMark_109"/>
      <w:bookmarkEnd w:id="691"/>
      <w:bookmarkStart w:id="692" w:name="_Toc528247479"/>
      <w:bookmarkStart w:id="693" w:name="_Toc196225907"/>
      <w:bookmarkStart w:id="694" w:name="_Toc162620933"/>
      <w:bookmarkStart w:id="695" w:name="_Toc532542635"/>
      <w:r>
        <w:rPr>
          <w:rFonts w:hint="eastAsia" w:ascii="宋体" w:hAnsi="宋体"/>
          <w:sz w:val="28"/>
        </w:rPr>
        <w:t>2.发包人义务</w:t>
      </w:r>
      <w:bookmarkEnd w:id="692"/>
      <w:bookmarkEnd w:id="693"/>
      <w:bookmarkEnd w:id="694"/>
      <w:bookmarkEnd w:id="695"/>
    </w:p>
    <w:p w14:paraId="42A9A72A">
      <w:pPr>
        <w:spacing w:line="360" w:lineRule="auto"/>
        <w:rPr>
          <w:rFonts w:hint="eastAsia" w:ascii="宋体" w:hAnsi="宋体"/>
          <w:szCs w:val="21"/>
        </w:rPr>
      </w:pPr>
      <w:bookmarkStart w:id="696" w:name="_BookMark_110"/>
      <w:bookmarkEnd w:id="696"/>
      <w:r>
        <w:rPr>
          <w:rFonts w:hint="eastAsia" w:ascii="宋体" w:hAnsi="宋体"/>
          <w:szCs w:val="21"/>
        </w:rPr>
        <w:t>2.1  遵守法律</w:t>
      </w:r>
    </w:p>
    <w:p w14:paraId="017EC2B0">
      <w:pPr>
        <w:spacing w:line="360" w:lineRule="auto"/>
        <w:rPr>
          <w:rFonts w:hint="eastAsia" w:ascii="宋体" w:hAnsi="宋体"/>
          <w:szCs w:val="21"/>
        </w:rPr>
      </w:pPr>
      <w:r>
        <w:rPr>
          <w:rFonts w:hint="eastAsia" w:ascii="宋体" w:hAnsi="宋体"/>
          <w:szCs w:val="21"/>
        </w:rPr>
        <w:t>发包人在履行合同过程中应遵守法律，并保证承包人免于承担因发包人违反法律而引起的任何责任。</w:t>
      </w:r>
    </w:p>
    <w:p w14:paraId="76FF97E6">
      <w:pPr>
        <w:spacing w:line="360" w:lineRule="auto"/>
        <w:rPr>
          <w:rFonts w:hint="eastAsia" w:ascii="宋体" w:hAnsi="宋体"/>
          <w:szCs w:val="21"/>
        </w:rPr>
      </w:pPr>
      <w:bookmarkStart w:id="697" w:name="_BookMark_111"/>
      <w:bookmarkEnd w:id="697"/>
      <w:r>
        <w:rPr>
          <w:rFonts w:hint="eastAsia" w:ascii="宋体" w:hAnsi="宋体"/>
          <w:szCs w:val="21"/>
        </w:rPr>
        <w:t>2.2  发出开工通知</w:t>
      </w:r>
    </w:p>
    <w:p w14:paraId="46735B13">
      <w:pPr>
        <w:spacing w:line="360" w:lineRule="auto"/>
        <w:rPr>
          <w:rFonts w:hint="eastAsia" w:ascii="宋体" w:hAnsi="宋体"/>
          <w:szCs w:val="21"/>
        </w:rPr>
      </w:pPr>
      <w:r>
        <w:rPr>
          <w:rFonts w:hint="eastAsia" w:ascii="宋体" w:hAnsi="宋体"/>
          <w:szCs w:val="21"/>
        </w:rPr>
        <w:t>发包人应委托监理人按第11.1款的约定向承包人发出开工通知。</w:t>
      </w:r>
    </w:p>
    <w:p w14:paraId="5279CB55">
      <w:pPr>
        <w:spacing w:line="360" w:lineRule="auto"/>
        <w:rPr>
          <w:rFonts w:hint="eastAsia" w:ascii="宋体" w:hAnsi="宋体"/>
          <w:szCs w:val="21"/>
        </w:rPr>
      </w:pPr>
      <w:bookmarkStart w:id="698" w:name="_BookMark_112"/>
      <w:bookmarkEnd w:id="698"/>
      <w:r>
        <w:rPr>
          <w:rFonts w:hint="eastAsia" w:ascii="宋体" w:hAnsi="宋体"/>
          <w:szCs w:val="21"/>
        </w:rPr>
        <w:t>2.3  提供施工场地</w:t>
      </w:r>
    </w:p>
    <w:p w14:paraId="257A5725">
      <w:pPr>
        <w:spacing w:line="360" w:lineRule="auto"/>
        <w:rPr>
          <w:rFonts w:hint="eastAsia" w:ascii="宋体" w:hAnsi="宋体"/>
          <w:szCs w:val="21"/>
        </w:rPr>
      </w:pPr>
      <w:r>
        <w:rPr>
          <w:rFonts w:hint="eastAsia" w:ascii="宋体" w:hAnsi="宋体"/>
          <w:szCs w:val="21"/>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616DE30F">
      <w:pPr>
        <w:spacing w:line="360" w:lineRule="auto"/>
        <w:rPr>
          <w:rFonts w:hint="eastAsia" w:ascii="宋体" w:hAnsi="宋体"/>
          <w:szCs w:val="21"/>
        </w:rPr>
      </w:pPr>
      <w:bookmarkStart w:id="699" w:name="_BookMark_113"/>
      <w:bookmarkEnd w:id="699"/>
      <w:r>
        <w:rPr>
          <w:rFonts w:hint="eastAsia" w:ascii="宋体" w:hAnsi="宋体"/>
          <w:szCs w:val="21"/>
        </w:rPr>
        <w:t>2.4  协助承包人办理证件和批件</w:t>
      </w:r>
    </w:p>
    <w:p w14:paraId="4FAC8E44">
      <w:pPr>
        <w:spacing w:line="360" w:lineRule="auto"/>
        <w:rPr>
          <w:rFonts w:hint="eastAsia" w:ascii="宋体" w:hAnsi="宋体"/>
          <w:szCs w:val="21"/>
        </w:rPr>
      </w:pPr>
      <w:r>
        <w:rPr>
          <w:rFonts w:hint="eastAsia" w:ascii="宋体" w:hAnsi="宋体"/>
          <w:szCs w:val="21"/>
        </w:rPr>
        <w:t>发包人应协助承包人办理法律规定的有关施工证件和批件。</w:t>
      </w:r>
    </w:p>
    <w:p w14:paraId="29DA9C0C">
      <w:pPr>
        <w:spacing w:line="360" w:lineRule="auto"/>
        <w:rPr>
          <w:rFonts w:hint="eastAsia" w:ascii="宋体" w:hAnsi="宋体"/>
          <w:szCs w:val="21"/>
        </w:rPr>
      </w:pPr>
      <w:bookmarkStart w:id="700" w:name="_BookMark_114"/>
      <w:bookmarkEnd w:id="700"/>
      <w:r>
        <w:rPr>
          <w:rFonts w:hint="eastAsia" w:ascii="宋体" w:hAnsi="宋体"/>
          <w:szCs w:val="21"/>
        </w:rPr>
        <w:t>2.5  组织设计交底</w:t>
      </w:r>
    </w:p>
    <w:p w14:paraId="42A14DED">
      <w:pPr>
        <w:spacing w:line="360" w:lineRule="auto"/>
        <w:rPr>
          <w:rFonts w:hint="eastAsia" w:ascii="宋体" w:hAnsi="宋体"/>
          <w:szCs w:val="21"/>
        </w:rPr>
      </w:pPr>
      <w:r>
        <w:rPr>
          <w:rFonts w:hint="eastAsia" w:ascii="宋体" w:hAnsi="宋体"/>
          <w:szCs w:val="21"/>
        </w:rPr>
        <w:t>发包人应根据批准的合同进度计划，组织设计单位向承包人进行设计交底。</w:t>
      </w:r>
    </w:p>
    <w:p w14:paraId="41376792">
      <w:pPr>
        <w:spacing w:line="360" w:lineRule="auto"/>
        <w:rPr>
          <w:rFonts w:hint="eastAsia" w:ascii="宋体" w:hAnsi="宋体"/>
          <w:szCs w:val="21"/>
        </w:rPr>
      </w:pPr>
      <w:r>
        <w:rPr>
          <w:rFonts w:hint="eastAsia" w:ascii="宋体" w:hAnsi="宋体"/>
          <w:szCs w:val="21"/>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058D2A27">
      <w:pPr>
        <w:spacing w:line="360" w:lineRule="auto"/>
        <w:rPr>
          <w:rFonts w:hint="eastAsia" w:ascii="宋体" w:hAnsi="宋体"/>
          <w:szCs w:val="21"/>
        </w:rPr>
      </w:pPr>
      <w:bookmarkStart w:id="701" w:name="_BookMark_115"/>
      <w:bookmarkEnd w:id="701"/>
      <w:r>
        <w:rPr>
          <w:rFonts w:hint="eastAsia" w:ascii="宋体" w:hAnsi="宋体"/>
          <w:szCs w:val="21"/>
        </w:rPr>
        <w:t>2.6  支付合同价款</w:t>
      </w:r>
    </w:p>
    <w:p w14:paraId="1396D30B">
      <w:pPr>
        <w:spacing w:line="360" w:lineRule="auto"/>
        <w:rPr>
          <w:rFonts w:hint="eastAsia" w:ascii="宋体" w:hAnsi="宋体"/>
          <w:szCs w:val="21"/>
        </w:rPr>
      </w:pPr>
      <w:r>
        <w:rPr>
          <w:rFonts w:hint="eastAsia" w:ascii="宋体" w:hAnsi="宋体"/>
          <w:szCs w:val="21"/>
        </w:rPr>
        <w:t>发包人应按合同约定向承包人及时支付合同价款。</w:t>
      </w:r>
    </w:p>
    <w:p w14:paraId="1C2AFB4E">
      <w:pPr>
        <w:spacing w:line="360" w:lineRule="auto"/>
        <w:rPr>
          <w:rFonts w:hint="eastAsia" w:ascii="宋体" w:hAnsi="宋体"/>
          <w:szCs w:val="21"/>
        </w:rPr>
      </w:pPr>
      <w:bookmarkStart w:id="702" w:name="_BookMark_116"/>
      <w:bookmarkEnd w:id="702"/>
      <w:r>
        <w:rPr>
          <w:rFonts w:hint="eastAsia" w:ascii="宋体" w:hAnsi="宋体"/>
          <w:szCs w:val="21"/>
        </w:rPr>
        <w:t>2.7  组织竣工验收</w:t>
      </w:r>
    </w:p>
    <w:p w14:paraId="37F79C8E">
      <w:pPr>
        <w:spacing w:line="360" w:lineRule="auto"/>
        <w:rPr>
          <w:rFonts w:hint="eastAsia" w:ascii="宋体" w:hAnsi="宋体"/>
          <w:szCs w:val="21"/>
        </w:rPr>
      </w:pPr>
      <w:r>
        <w:rPr>
          <w:rFonts w:hint="eastAsia" w:ascii="宋体" w:hAnsi="宋体"/>
          <w:szCs w:val="21"/>
        </w:rPr>
        <w:t>发包人应按合同约定及时组织竣工验收。</w:t>
      </w:r>
    </w:p>
    <w:p w14:paraId="313DB66C">
      <w:pPr>
        <w:spacing w:line="360" w:lineRule="auto"/>
        <w:rPr>
          <w:rFonts w:hint="eastAsia" w:ascii="宋体" w:hAnsi="宋体"/>
          <w:szCs w:val="21"/>
        </w:rPr>
      </w:pPr>
      <w:bookmarkStart w:id="703" w:name="_BookMark_117"/>
      <w:bookmarkEnd w:id="703"/>
      <w:r>
        <w:rPr>
          <w:rFonts w:hint="eastAsia" w:ascii="宋体" w:hAnsi="宋体"/>
          <w:szCs w:val="21"/>
        </w:rPr>
        <w:t>2.8  向承包人提交支付担保</w:t>
      </w:r>
    </w:p>
    <w:p w14:paraId="278C27F9">
      <w:pPr>
        <w:spacing w:line="360" w:lineRule="auto"/>
        <w:rPr>
          <w:rFonts w:hint="eastAsia" w:ascii="宋体" w:hAnsi="宋体"/>
          <w:szCs w:val="21"/>
        </w:rPr>
      </w:pPr>
      <w:r>
        <w:rPr>
          <w:rFonts w:hint="eastAsia" w:ascii="宋体" w:hAnsi="宋体"/>
          <w:szCs w:val="21"/>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w:t>
      </w:r>
    </w:p>
    <w:p w14:paraId="46E65406">
      <w:pPr>
        <w:spacing w:line="360" w:lineRule="auto"/>
        <w:rPr>
          <w:rFonts w:hint="eastAsia" w:ascii="宋体" w:hAnsi="宋体"/>
          <w:szCs w:val="21"/>
        </w:rPr>
      </w:pPr>
      <w:r>
        <w:rPr>
          <w:rFonts w:hint="eastAsia" w:ascii="宋体" w:hAnsi="宋体"/>
          <w:szCs w:val="21"/>
        </w:rPr>
        <w:t>（2）支付担保的有效期应当自本合同生效之日起至发包人实际支付竣工付款之日止。</w:t>
      </w:r>
    </w:p>
    <w:p w14:paraId="0D32387C">
      <w:pPr>
        <w:spacing w:line="360" w:lineRule="auto"/>
        <w:rPr>
          <w:rFonts w:hint="eastAsia" w:ascii="宋体" w:hAnsi="宋体"/>
          <w:szCs w:val="21"/>
        </w:rPr>
      </w:pPr>
      <w:r>
        <w:rPr>
          <w:rFonts w:hint="eastAsia" w:ascii="宋体" w:hAnsi="宋体"/>
          <w:szCs w:val="21"/>
        </w:rPr>
        <w:t>（3）发包人无法获得一份不带具体截止日期的履约担保，支付担保中应当约定有“变更工程竣工付款支付日期的，保证期间按照变更后的竣工付款支付日期做相应调整”或类似约定的条款。</w:t>
      </w:r>
    </w:p>
    <w:p w14:paraId="5AAD9967">
      <w:pPr>
        <w:spacing w:line="360" w:lineRule="auto"/>
        <w:rPr>
          <w:rFonts w:hint="eastAsia" w:ascii="宋体" w:hAnsi="宋体"/>
          <w:szCs w:val="21"/>
        </w:rPr>
      </w:pPr>
      <w:r>
        <w:rPr>
          <w:rFonts w:hint="eastAsia" w:ascii="宋体" w:hAnsi="宋体"/>
          <w:szCs w:val="21"/>
        </w:rPr>
        <w:t>（4）支付担保应当在发包人付清竣工付款之日后28天内退还给发包人；承包人不承担发包人与支付担保有关的任何利息或其它类似的费用或者收益。</w:t>
      </w:r>
    </w:p>
    <w:p w14:paraId="50E2F2A3">
      <w:pPr>
        <w:spacing w:line="360" w:lineRule="auto"/>
        <w:rPr>
          <w:rFonts w:hint="eastAsia" w:ascii="宋体" w:hAnsi="宋体"/>
          <w:szCs w:val="21"/>
        </w:rPr>
      </w:pPr>
      <w:bookmarkStart w:id="704" w:name="_BookMark_118"/>
      <w:bookmarkEnd w:id="704"/>
      <w:r>
        <w:rPr>
          <w:rFonts w:hint="eastAsia" w:ascii="宋体" w:hAnsi="宋体"/>
          <w:szCs w:val="21"/>
        </w:rPr>
        <w:t>2.9  办理工程质量监督手续</w:t>
      </w:r>
    </w:p>
    <w:p w14:paraId="2D833879">
      <w:pPr>
        <w:spacing w:line="360" w:lineRule="auto"/>
        <w:rPr>
          <w:rFonts w:hint="eastAsia" w:ascii="宋体" w:hAnsi="宋体"/>
          <w:szCs w:val="21"/>
        </w:rPr>
      </w:pPr>
      <w:r>
        <w:rPr>
          <w:rFonts w:hint="eastAsia" w:ascii="宋体" w:hAnsi="宋体"/>
          <w:szCs w:val="21"/>
        </w:rPr>
        <w:t>发包人应按有关规定及时办理工程质量监督手续。</w:t>
      </w:r>
    </w:p>
    <w:p w14:paraId="1E1A4AF5">
      <w:pPr>
        <w:spacing w:line="360" w:lineRule="auto"/>
        <w:rPr>
          <w:rFonts w:hint="eastAsia" w:ascii="宋体" w:hAnsi="宋体"/>
          <w:szCs w:val="21"/>
        </w:rPr>
      </w:pPr>
      <w:bookmarkStart w:id="705" w:name="_BookMark_119"/>
      <w:bookmarkEnd w:id="705"/>
      <w:r>
        <w:rPr>
          <w:rFonts w:hint="eastAsia" w:ascii="宋体" w:hAnsi="宋体"/>
          <w:szCs w:val="21"/>
        </w:rPr>
        <w:t>2.10  环境保护责任</w:t>
      </w:r>
    </w:p>
    <w:p w14:paraId="71BA5A0A">
      <w:pPr>
        <w:spacing w:line="360" w:lineRule="auto"/>
        <w:rPr>
          <w:rFonts w:hint="eastAsia" w:ascii="宋体" w:hAnsi="宋体"/>
          <w:szCs w:val="21"/>
        </w:rPr>
      </w:pPr>
      <w:r>
        <w:rPr>
          <w:rFonts w:hint="eastAsia" w:ascii="宋体" w:hAnsi="宋体"/>
          <w:szCs w:val="21"/>
        </w:rPr>
        <w:t> 发包人对建筑垃圾处理、施工扬尘治理负总责。</w:t>
      </w:r>
    </w:p>
    <w:p w14:paraId="151D24F3">
      <w:pPr>
        <w:spacing w:line="360" w:lineRule="auto"/>
        <w:rPr>
          <w:rFonts w:hint="eastAsia" w:ascii="宋体" w:hAnsi="宋体"/>
          <w:szCs w:val="21"/>
        </w:rPr>
      </w:pPr>
      <w:bookmarkStart w:id="706" w:name="_BookMark_120"/>
      <w:bookmarkEnd w:id="706"/>
      <w:r>
        <w:rPr>
          <w:rFonts w:hint="eastAsia" w:ascii="宋体" w:hAnsi="宋体"/>
          <w:szCs w:val="21"/>
        </w:rPr>
        <w:t>2.11  移交工程档案</w:t>
      </w:r>
    </w:p>
    <w:p w14:paraId="1A1F46BC">
      <w:pPr>
        <w:spacing w:line="360" w:lineRule="auto"/>
        <w:rPr>
          <w:rFonts w:hint="eastAsia" w:ascii="宋体" w:hAnsi="宋体"/>
          <w:szCs w:val="21"/>
        </w:rPr>
      </w:pPr>
      <w:r>
        <w:rPr>
          <w:rFonts w:hint="eastAsia" w:ascii="宋体" w:hAnsi="宋体"/>
          <w:szCs w:val="21"/>
        </w:rPr>
        <w:t>发包人应根据建设行政主管部门和（或）城市建设档案管理机构的规定，收集、整理、立卷、归档工程资料，并按规定时间向建设行政主管部门或者城市建设档案管理机构移交规定的工程档案。</w:t>
      </w:r>
    </w:p>
    <w:p w14:paraId="3CE96693">
      <w:pPr>
        <w:spacing w:line="360" w:lineRule="auto"/>
        <w:rPr>
          <w:rFonts w:hint="eastAsia" w:ascii="宋体" w:hAnsi="宋体"/>
          <w:szCs w:val="21"/>
        </w:rPr>
      </w:pPr>
      <w:bookmarkStart w:id="707" w:name="_BookMark_121"/>
      <w:bookmarkEnd w:id="707"/>
      <w:r>
        <w:rPr>
          <w:rFonts w:hint="eastAsia" w:ascii="宋体" w:hAnsi="宋体"/>
          <w:szCs w:val="21"/>
        </w:rPr>
        <w:t>2.12  批准和确认</w:t>
      </w:r>
    </w:p>
    <w:p w14:paraId="6110EBCB">
      <w:pPr>
        <w:spacing w:line="360" w:lineRule="auto"/>
        <w:rPr>
          <w:rFonts w:hint="eastAsia" w:ascii="宋体" w:hAnsi="宋体"/>
          <w:szCs w:val="21"/>
        </w:rPr>
      </w:pPr>
      <w:r>
        <w:rPr>
          <w:rFonts w:hint="eastAsia" w:ascii="宋体" w:hAnsi="宋体"/>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6132B524">
      <w:pPr>
        <w:spacing w:line="360" w:lineRule="auto"/>
        <w:rPr>
          <w:rFonts w:hint="eastAsia" w:ascii="宋体" w:hAnsi="宋体"/>
          <w:szCs w:val="21"/>
        </w:rPr>
      </w:pPr>
      <w:bookmarkStart w:id="708" w:name="_BookMark_122"/>
      <w:bookmarkEnd w:id="708"/>
      <w:r>
        <w:rPr>
          <w:rFonts w:hint="eastAsia" w:ascii="宋体" w:hAnsi="宋体"/>
          <w:szCs w:val="21"/>
        </w:rPr>
        <w:t>2.13  其他义务</w:t>
      </w:r>
    </w:p>
    <w:p w14:paraId="715C2395">
      <w:pPr>
        <w:spacing w:line="360" w:lineRule="auto"/>
        <w:rPr>
          <w:rFonts w:hint="eastAsia" w:ascii="宋体" w:hAnsi="宋体"/>
          <w:szCs w:val="21"/>
        </w:rPr>
      </w:pPr>
      <w:r>
        <w:rPr>
          <w:rFonts w:hint="eastAsia" w:ascii="宋体" w:hAnsi="宋体"/>
          <w:szCs w:val="21"/>
        </w:rPr>
        <w:t>发包人应履行的其他义务见合同条款专用部分。</w:t>
      </w:r>
    </w:p>
    <w:p w14:paraId="76CDEE7B">
      <w:pPr>
        <w:adjustRightInd w:val="0"/>
        <w:snapToGrid w:val="0"/>
        <w:spacing w:line="360" w:lineRule="auto"/>
        <w:outlineLvl w:val="2"/>
        <w:rPr>
          <w:rFonts w:hint="eastAsia" w:ascii="宋体" w:hAnsi="宋体"/>
          <w:sz w:val="28"/>
        </w:rPr>
      </w:pPr>
      <w:bookmarkStart w:id="709" w:name="_BookMark_123"/>
      <w:bookmarkEnd w:id="709"/>
      <w:bookmarkStart w:id="710" w:name="_Toc162620934"/>
      <w:bookmarkStart w:id="711" w:name="_Toc528247480"/>
      <w:bookmarkStart w:id="712" w:name="_Toc532542636"/>
      <w:bookmarkStart w:id="713" w:name="_Toc196225908"/>
      <w:r>
        <w:rPr>
          <w:rFonts w:hint="eastAsia" w:ascii="宋体" w:hAnsi="宋体"/>
          <w:sz w:val="28"/>
        </w:rPr>
        <w:t>3.监理人</w:t>
      </w:r>
      <w:bookmarkEnd w:id="710"/>
      <w:bookmarkEnd w:id="711"/>
      <w:bookmarkEnd w:id="712"/>
      <w:bookmarkEnd w:id="713"/>
    </w:p>
    <w:p w14:paraId="5542DF7D">
      <w:pPr>
        <w:spacing w:line="360" w:lineRule="auto"/>
        <w:rPr>
          <w:rFonts w:hint="eastAsia" w:ascii="宋体" w:hAnsi="宋体"/>
          <w:szCs w:val="21"/>
        </w:rPr>
      </w:pPr>
      <w:bookmarkStart w:id="714" w:name="_BookMark_124"/>
      <w:bookmarkEnd w:id="714"/>
      <w:r>
        <w:rPr>
          <w:rFonts w:hint="eastAsia" w:ascii="宋体" w:hAnsi="宋体"/>
          <w:szCs w:val="21"/>
        </w:rPr>
        <w:t>3.1  监理人的职责和权力</w:t>
      </w:r>
    </w:p>
    <w:p w14:paraId="0184B387">
      <w:pPr>
        <w:spacing w:line="360" w:lineRule="auto"/>
        <w:rPr>
          <w:rFonts w:hint="eastAsia" w:ascii="宋体" w:hAnsi="宋体"/>
          <w:szCs w:val="21"/>
        </w:rPr>
      </w:pPr>
      <w:r>
        <w:rPr>
          <w:rFonts w:hint="eastAsia" w:ascii="宋体" w:hAnsi="宋体"/>
          <w:szCs w:val="21"/>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14:paraId="5AE7F1D9">
      <w:pPr>
        <w:spacing w:line="360" w:lineRule="auto"/>
        <w:rPr>
          <w:rFonts w:hint="eastAsia" w:ascii="宋体" w:hAnsi="宋体"/>
          <w:szCs w:val="21"/>
        </w:rPr>
      </w:pPr>
      <w:r>
        <w:rPr>
          <w:rFonts w:hint="eastAsia" w:ascii="宋体" w:hAnsi="宋体"/>
          <w:szCs w:val="21"/>
        </w:rPr>
        <w:t>3.1.2  监理人发出的任何指示应视为已得到发包人的批准，但监理人无权免除或变更合同约定的发包人和承包人的权利、义务和责任。</w:t>
      </w:r>
    </w:p>
    <w:p w14:paraId="0F35E754">
      <w:pPr>
        <w:spacing w:line="360" w:lineRule="auto"/>
        <w:rPr>
          <w:rFonts w:hint="eastAsia" w:ascii="宋体" w:hAnsi="宋体"/>
          <w:szCs w:val="21"/>
        </w:rPr>
      </w:pPr>
      <w:r>
        <w:rPr>
          <w:rFonts w:hint="eastAsia" w:ascii="宋体" w:hAnsi="宋体"/>
          <w:szCs w:val="21"/>
        </w:rPr>
        <w:t>3.1.3  合同约定应由承包人承担的义务和责任，不因监理人对承包人提交文件的审查或批准，对工程、材料和设备的检查和检验，以及为实施监理作出的指示等职务行为而减轻或解除。</w:t>
      </w:r>
    </w:p>
    <w:p w14:paraId="21F84A20">
      <w:pPr>
        <w:spacing w:line="360" w:lineRule="auto"/>
        <w:rPr>
          <w:rFonts w:hint="eastAsia" w:ascii="宋体" w:hAnsi="宋体"/>
          <w:szCs w:val="21"/>
        </w:rPr>
      </w:pPr>
      <w:bookmarkStart w:id="715" w:name="_BookMark_125"/>
      <w:bookmarkEnd w:id="715"/>
      <w:r>
        <w:rPr>
          <w:rFonts w:hint="eastAsia" w:ascii="宋体" w:hAnsi="宋体"/>
          <w:szCs w:val="21"/>
        </w:rPr>
        <w:t>3.2  总监理工程师</w:t>
      </w:r>
    </w:p>
    <w:p w14:paraId="4D40617A">
      <w:pPr>
        <w:spacing w:line="360" w:lineRule="auto"/>
        <w:rPr>
          <w:rFonts w:hint="eastAsia" w:ascii="宋体" w:hAnsi="宋体"/>
          <w:szCs w:val="21"/>
        </w:rPr>
      </w:pPr>
      <w:r>
        <w:rPr>
          <w:rFonts w:hint="eastAsia" w:ascii="宋体" w:hAnsi="宋体"/>
          <w:szCs w:val="21"/>
        </w:rPr>
        <w:t>发包人应在发出开工通知前将总监理工程师的任命通知承包人。总监理工程师更换时，应在调离14天前通知承包人。总监理工程师短期离开施工场地的，应委派代表代行其职责，并通知承包人。</w:t>
      </w:r>
    </w:p>
    <w:p w14:paraId="39E85379">
      <w:pPr>
        <w:spacing w:line="360" w:lineRule="auto"/>
        <w:rPr>
          <w:rFonts w:hint="eastAsia" w:ascii="宋体" w:hAnsi="宋体"/>
          <w:szCs w:val="21"/>
        </w:rPr>
      </w:pPr>
      <w:bookmarkStart w:id="716" w:name="_BookMark_126"/>
      <w:bookmarkEnd w:id="716"/>
      <w:r>
        <w:rPr>
          <w:rFonts w:hint="eastAsia" w:ascii="宋体" w:hAnsi="宋体"/>
          <w:szCs w:val="21"/>
        </w:rPr>
        <w:t>3.3  监理人员</w:t>
      </w:r>
    </w:p>
    <w:p w14:paraId="20D70DBE">
      <w:pPr>
        <w:spacing w:line="360" w:lineRule="auto"/>
        <w:rPr>
          <w:rFonts w:hint="eastAsia" w:ascii="宋体" w:hAnsi="宋体"/>
          <w:szCs w:val="21"/>
        </w:rPr>
      </w:pPr>
      <w:r>
        <w:rPr>
          <w:rFonts w:hint="eastAsia" w:ascii="宋体" w:hAnsi="宋体"/>
          <w:szCs w:val="21"/>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7537021E">
      <w:pPr>
        <w:spacing w:line="360" w:lineRule="auto"/>
        <w:rPr>
          <w:rFonts w:hint="eastAsia" w:ascii="宋体" w:hAnsi="宋体"/>
          <w:szCs w:val="21"/>
        </w:rPr>
      </w:pPr>
      <w:r>
        <w:rPr>
          <w:rFonts w:hint="eastAsia" w:ascii="宋体" w:hAnsi="宋体"/>
          <w:szCs w:val="21"/>
        </w:rPr>
        <w:t>3.3.2  监理人员对承包人的任何工作、工程或其采用的材料和工程设备未在约定的或合理的期限内提出否定意见的，视为已获批准，但不影响监理人在以后拒绝该项工作、工程、材料或工程设备的权利。</w:t>
      </w:r>
    </w:p>
    <w:p w14:paraId="5A593FC5">
      <w:pPr>
        <w:spacing w:line="360" w:lineRule="auto"/>
        <w:rPr>
          <w:rFonts w:hint="eastAsia" w:ascii="宋体" w:hAnsi="宋体"/>
          <w:szCs w:val="21"/>
        </w:rPr>
      </w:pPr>
      <w:r>
        <w:rPr>
          <w:rFonts w:hint="eastAsia" w:ascii="宋体" w:hAnsi="宋体"/>
          <w:szCs w:val="21"/>
        </w:rPr>
        <w:t>3.3.3  承包人对总监理工程师授权的监理人员发出的指示有疑问的，可向总监理工程师提出书面异议，总监理工程师应在48小时内对该指示予以确认、更改或撤销。</w:t>
      </w:r>
    </w:p>
    <w:p w14:paraId="2CF0409C">
      <w:pPr>
        <w:spacing w:line="360" w:lineRule="auto"/>
        <w:rPr>
          <w:rFonts w:hint="eastAsia" w:ascii="宋体" w:hAnsi="宋体"/>
          <w:szCs w:val="21"/>
        </w:rPr>
      </w:pPr>
      <w:r>
        <w:rPr>
          <w:rFonts w:hint="eastAsia" w:ascii="宋体" w:hAnsi="宋体"/>
          <w:szCs w:val="21"/>
        </w:rPr>
        <w:t>3.3.4  总监理工程师不应将合同条款通用部分第3.5款约定应由总监理工程师作出确定的权力授权或者委托给其他监理人员。</w:t>
      </w:r>
    </w:p>
    <w:p w14:paraId="17EB648F">
      <w:pPr>
        <w:spacing w:line="360" w:lineRule="auto"/>
        <w:rPr>
          <w:rFonts w:hint="eastAsia" w:ascii="宋体" w:hAnsi="宋体"/>
          <w:szCs w:val="21"/>
        </w:rPr>
      </w:pPr>
      <w:bookmarkStart w:id="717" w:name="_BookMark_127"/>
      <w:bookmarkEnd w:id="717"/>
      <w:r>
        <w:rPr>
          <w:rFonts w:hint="eastAsia" w:ascii="宋体" w:hAnsi="宋体"/>
          <w:szCs w:val="21"/>
        </w:rPr>
        <w:t>3.4  监理人的指示</w:t>
      </w:r>
    </w:p>
    <w:p w14:paraId="3C7D8B28">
      <w:pPr>
        <w:spacing w:line="360" w:lineRule="auto"/>
        <w:rPr>
          <w:rFonts w:hint="eastAsia" w:ascii="宋体" w:hAnsi="宋体"/>
          <w:szCs w:val="21"/>
        </w:rPr>
      </w:pPr>
      <w:r>
        <w:rPr>
          <w:rFonts w:hint="eastAsia" w:ascii="宋体" w:hAnsi="宋体"/>
          <w:szCs w:val="21"/>
        </w:rPr>
        <w:t>3.4.1  监理人应按第3.1款的约定向承包人发出指示，监理人的指示应加盖监理人授权的施工场地机构章，并由总监理工程师或总监理工程师按第3.3.1项约定授权的监理人员签字。</w:t>
      </w:r>
    </w:p>
    <w:p w14:paraId="375042C4">
      <w:pPr>
        <w:spacing w:line="360" w:lineRule="auto"/>
        <w:rPr>
          <w:rFonts w:hint="eastAsia" w:ascii="宋体" w:hAnsi="宋体"/>
          <w:szCs w:val="21"/>
        </w:rPr>
      </w:pPr>
      <w:r>
        <w:rPr>
          <w:rFonts w:hint="eastAsia" w:ascii="宋体" w:hAnsi="宋体"/>
          <w:szCs w:val="21"/>
        </w:rPr>
        <w:t>3.4.2  承包人收到监理人按第3.4.1项作出的指示后，应遵照执行。指示构成变更的，应按第15条处理。</w:t>
      </w:r>
    </w:p>
    <w:p w14:paraId="1D1E2CC0">
      <w:pPr>
        <w:spacing w:line="360" w:lineRule="auto"/>
        <w:rPr>
          <w:rFonts w:hint="eastAsia" w:ascii="宋体" w:hAnsi="宋体"/>
          <w:szCs w:val="21"/>
        </w:rPr>
      </w:pPr>
      <w:r>
        <w:rPr>
          <w:rFonts w:hint="eastAsia" w:ascii="宋体" w:hAnsi="宋体"/>
          <w:szCs w:val="21"/>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29A78988">
      <w:pPr>
        <w:spacing w:line="360" w:lineRule="auto"/>
        <w:rPr>
          <w:rFonts w:hint="eastAsia" w:ascii="宋体" w:hAnsi="宋体"/>
          <w:szCs w:val="21"/>
        </w:rPr>
      </w:pPr>
      <w:r>
        <w:rPr>
          <w:rFonts w:hint="eastAsia" w:ascii="宋体" w:hAnsi="宋体"/>
          <w:szCs w:val="21"/>
        </w:rPr>
        <w:t>3.4.4  除合同另有约定外，承包人只从总监理工程师或按第3.3.1项被授权的监理人员处取得指示。</w:t>
      </w:r>
    </w:p>
    <w:p w14:paraId="1B5400B3">
      <w:pPr>
        <w:spacing w:line="360" w:lineRule="auto"/>
        <w:rPr>
          <w:rFonts w:hint="eastAsia" w:ascii="宋体" w:hAnsi="宋体"/>
          <w:szCs w:val="21"/>
        </w:rPr>
      </w:pPr>
      <w:r>
        <w:rPr>
          <w:rFonts w:hint="eastAsia" w:ascii="宋体" w:hAnsi="宋体"/>
          <w:szCs w:val="21"/>
        </w:rPr>
        <w:t xml:space="preserve">3.4.5  由于监理人未能按合同约定发出指示、指示延误或指示错误而导致承包人费用增加和（或）工期延误的，由发包人承担赔偿责任。 </w:t>
      </w:r>
    </w:p>
    <w:p w14:paraId="00AB81C9">
      <w:pPr>
        <w:spacing w:line="360" w:lineRule="auto"/>
        <w:rPr>
          <w:rFonts w:hint="eastAsia" w:ascii="宋体" w:hAnsi="宋体"/>
          <w:szCs w:val="21"/>
        </w:rPr>
      </w:pPr>
      <w:bookmarkStart w:id="718" w:name="_BookMark_128"/>
      <w:bookmarkEnd w:id="718"/>
      <w:r>
        <w:rPr>
          <w:rFonts w:hint="eastAsia" w:ascii="宋体" w:hAnsi="宋体"/>
          <w:szCs w:val="21"/>
        </w:rPr>
        <w:t>3.5  商定或确定</w:t>
      </w:r>
    </w:p>
    <w:p w14:paraId="4E9EBCAF">
      <w:pPr>
        <w:spacing w:line="360" w:lineRule="auto"/>
        <w:rPr>
          <w:rFonts w:hint="eastAsia" w:ascii="宋体" w:hAnsi="宋体"/>
          <w:szCs w:val="21"/>
        </w:rPr>
      </w:pPr>
      <w:r>
        <w:rPr>
          <w:rFonts w:hint="eastAsia" w:ascii="宋体" w:hAnsi="宋体"/>
          <w:szCs w:val="21"/>
        </w:rPr>
        <w:t>3.5.1  总监理工程师应按照本款对任何事项进行商定或确定时，总监理工程师应与合同当事人协商，尽量达成一致。不能达成一致的，总监理工程师应认真研究后审慎确定。</w:t>
      </w:r>
    </w:p>
    <w:p w14:paraId="3AB9560D">
      <w:pPr>
        <w:spacing w:line="360" w:lineRule="auto"/>
        <w:rPr>
          <w:rFonts w:hint="eastAsia" w:ascii="宋体" w:hAnsi="宋体"/>
          <w:szCs w:val="21"/>
        </w:rPr>
      </w:pPr>
      <w:r>
        <w:rPr>
          <w:rFonts w:hint="eastAsia" w:ascii="宋体" w:hAnsi="宋体"/>
          <w:szCs w:val="21"/>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7326F2CE">
      <w:pPr>
        <w:spacing w:line="360" w:lineRule="auto"/>
        <w:rPr>
          <w:rFonts w:hint="eastAsia" w:ascii="宋体" w:hAnsi="宋体"/>
          <w:szCs w:val="21"/>
        </w:rPr>
      </w:pPr>
      <w:bookmarkStart w:id="719" w:name="_BookMark_129"/>
      <w:bookmarkEnd w:id="719"/>
      <w:r>
        <w:rPr>
          <w:rFonts w:hint="eastAsia" w:ascii="宋体" w:hAnsi="宋体"/>
          <w:szCs w:val="21"/>
        </w:rPr>
        <w:t>3.6  监理人的宽恕</w:t>
      </w:r>
    </w:p>
    <w:p w14:paraId="383DD0FB">
      <w:pPr>
        <w:spacing w:line="360" w:lineRule="auto"/>
        <w:rPr>
          <w:rFonts w:hint="eastAsia" w:ascii="宋体" w:hAnsi="宋体"/>
          <w:szCs w:val="21"/>
        </w:rPr>
      </w:pPr>
      <w:r>
        <w:rPr>
          <w:rFonts w:hint="eastAsia" w:ascii="宋体" w:hAnsi="宋体"/>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368708AC">
      <w:pPr>
        <w:adjustRightInd w:val="0"/>
        <w:snapToGrid w:val="0"/>
        <w:spacing w:line="360" w:lineRule="auto"/>
        <w:outlineLvl w:val="2"/>
        <w:rPr>
          <w:rFonts w:hint="eastAsia" w:ascii="宋体" w:hAnsi="宋体"/>
          <w:sz w:val="28"/>
        </w:rPr>
      </w:pPr>
      <w:bookmarkStart w:id="720" w:name="_BookMark_130"/>
      <w:bookmarkEnd w:id="720"/>
      <w:bookmarkStart w:id="721" w:name="_Toc196225909"/>
      <w:bookmarkStart w:id="722" w:name="_Toc162620935"/>
      <w:bookmarkStart w:id="723" w:name="_Toc532542637"/>
      <w:bookmarkStart w:id="724" w:name="_Toc528247481"/>
      <w:r>
        <w:rPr>
          <w:rFonts w:hint="eastAsia" w:ascii="宋体" w:hAnsi="宋体"/>
          <w:sz w:val="28"/>
        </w:rPr>
        <w:t>4.承包人</w:t>
      </w:r>
      <w:bookmarkEnd w:id="721"/>
      <w:bookmarkEnd w:id="722"/>
      <w:bookmarkEnd w:id="723"/>
      <w:bookmarkEnd w:id="724"/>
    </w:p>
    <w:p w14:paraId="75648001">
      <w:pPr>
        <w:spacing w:line="360" w:lineRule="auto"/>
        <w:rPr>
          <w:rFonts w:hint="eastAsia" w:ascii="宋体" w:hAnsi="宋体"/>
          <w:szCs w:val="21"/>
        </w:rPr>
      </w:pPr>
      <w:bookmarkStart w:id="725" w:name="_BookMark_131"/>
      <w:bookmarkEnd w:id="725"/>
      <w:r>
        <w:rPr>
          <w:rFonts w:hint="eastAsia" w:ascii="宋体" w:hAnsi="宋体"/>
          <w:szCs w:val="21"/>
        </w:rPr>
        <w:t>4.1  承包人的一般义务</w:t>
      </w:r>
    </w:p>
    <w:p w14:paraId="2B8F982E">
      <w:pPr>
        <w:spacing w:line="360" w:lineRule="auto"/>
        <w:rPr>
          <w:rFonts w:hint="eastAsia" w:ascii="宋体" w:hAnsi="宋体"/>
          <w:szCs w:val="21"/>
        </w:rPr>
      </w:pPr>
      <w:r>
        <w:rPr>
          <w:rFonts w:hint="eastAsia" w:ascii="宋体" w:hAnsi="宋体"/>
          <w:szCs w:val="21"/>
        </w:rPr>
        <w:t>4.1.1  遵守法律</w:t>
      </w:r>
    </w:p>
    <w:p w14:paraId="3ECDF341">
      <w:pPr>
        <w:spacing w:line="360" w:lineRule="auto"/>
        <w:rPr>
          <w:rFonts w:hint="eastAsia" w:ascii="宋体" w:hAnsi="宋体"/>
          <w:szCs w:val="21"/>
        </w:rPr>
      </w:pPr>
      <w:r>
        <w:rPr>
          <w:rFonts w:hint="eastAsia" w:ascii="宋体" w:hAnsi="宋体"/>
          <w:szCs w:val="21"/>
        </w:rPr>
        <w:t>承包人在履行合同过程中应遵守法律，并保证发包人免于承担因承包人违反法律而引起的任何责任。</w:t>
      </w:r>
    </w:p>
    <w:p w14:paraId="7DF9D695">
      <w:pPr>
        <w:spacing w:line="360" w:lineRule="auto"/>
        <w:rPr>
          <w:rFonts w:hint="eastAsia" w:ascii="宋体" w:hAnsi="宋体"/>
          <w:szCs w:val="21"/>
        </w:rPr>
      </w:pPr>
      <w:r>
        <w:rPr>
          <w:rFonts w:hint="eastAsia" w:ascii="宋体" w:hAnsi="宋体"/>
          <w:szCs w:val="21"/>
        </w:rPr>
        <w:t>4.1.2  依法纳税</w:t>
      </w:r>
    </w:p>
    <w:p w14:paraId="74AA0764">
      <w:pPr>
        <w:spacing w:line="360" w:lineRule="auto"/>
        <w:rPr>
          <w:rFonts w:hint="eastAsia" w:ascii="宋体" w:hAnsi="宋体"/>
          <w:szCs w:val="21"/>
        </w:rPr>
      </w:pPr>
      <w:r>
        <w:rPr>
          <w:rFonts w:hint="eastAsia" w:ascii="宋体" w:hAnsi="宋体"/>
          <w:szCs w:val="21"/>
        </w:rPr>
        <w:t>承包人应按有关法律规定纳税，应缴纳的税金包括在合同价格内。</w:t>
      </w:r>
    </w:p>
    <w:p w14:paraId="39EA6B82">
      <w:pPr>
        <w:spacing w:line="360" w:lineRule="auto"/>
        <w:rPr>
          <w:rFonts w:hint="eastAsia" w:ascii="宋体" w:hAnsi="宋体"/>
          <w:szCs w:val="21"/>
        </w:rPr>
      </w:pPr>
      <w:r>
        <w:rPr>
          <w:rFonts w:hint="eastAsia" w:ascii="宋体" w:hAnsi="宋体"/>
          <w:szCs w:val="21"/>
        </w:rPr>
        <w:t>4.1.3  完成各项承包工作</w:t>
      </w:r>
    </w:p>
    <w:p w14:paraId="712B2E85">
      <w:pPr>
        <w:spacing w:line="360" w:lineRule="auto"/>
        <w:rPr>
          <w:rFonts w:hint="eastAsia" w:ascii="宋体" w:hAnsi="宋体"/>
          <w:szCs w:val="21"/>
        </w:rPr>
      </w:pPr>
      <w:r>
        <w:rPr>
          <w:rFonts w:hint="eastAsia" w:ascii="宋体" w:hAnsi="宋体"/>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20A48B6C">
      <w:pPr>
        <w:spacing w:line="360" w:lineRule="auto"/>
        <w:rPr>
          <w:rFonts w:hint="eastAsia" w:ascii="宋体" w:hAnsi="宋体"/>
          <w:szCs w:val="21"/>
        </w:rPr>
      </w:pPr>
      <w:r>
        <w:rPr>
          <w:rFonts w:hint="eastAsia" w:ascii="宋体" w:hAnsi="宋体"/>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63855F50">
      <w:pPr>
        <w:spacing w:line="360" w:lineRule="auto"/>
        <w:rPr>
          <w:rFonts w:hint="eastAsia" w:ascii="宋体" w:hAnsi="宋体"/>
          <w:szCs w:val="21"/>
        </w:rPr>
      </w:pPr>
      <w:r>
        <w:rPr>
          <w:rFonts w:hint="eastAsia" w:ascii="宋体" w:hAnsi="宋体"/>
          <w:szCs w:val="21"/>
        </w:rPr>
        <w:t>4.1.4  对施工作业和施工方法的完备性负责</w:t>
      </w:r>
    </w:p>
    <w:p w14:paraId="0EA658EE">
      <w:pPr>
        <w:spacing w:line="360" w:lineRule="auto"/>
        <w:rPr>
          <w:rFonts w:hint="eastAsia" w:ascii="宋体" w:hAnsi="宋体"/>
          <w:szCs w:val="21"/>
        </w:rPr>
      </w:pPr>
      <w:r>
        <w:rPr>
          <w:rFonts w:hint="eastAsia" w:ascii="宋体" w:hAnsi="宋体"/>
          <w:szCs w:val="21"/>
        </w:rPr>
        <w:t>承包人应按合同约定的工作内容和施工进度要求，编制施工组织设计和施工措施计划，并对所有施工作业和施工方法的完备性和安全可靠性负责。</w:t>
      </w:r>
    </w:p>
    <w:p w14:paraId="1EAE6646">
      <w:pPr>
        <w:spacing w:line="360" w:lineRule="auto"/>
        <w:rPr>
          <w:rFonts w:hint="eastAsia" w:ascii="宋体" w:hAnsi="宋体"/>
          <w:szCs w:val="21"/>
        </w:rPr>
      </w:pPr>
      <w:r>
        <w:rPr>
          <w:rFonts w:hint="eastAsia" w:ascii="宋体" w:hAnsi="宋体"/>
          <w:szCs w:val="21"/>
        </w:rPr>
        <w:t>4.1.5  保证工程施工和人员的安全</w:t>
      </w:r>
    </w:p>
    <w:p w14:paraId="23964DAB">
      <w:pPr>
        <w:spacing w:line="360" w:lineRule="auto"/>
        <w:rPr>
          <w:rFonts w:hint="eastAsia" w:ascii="宋体" w:hAnsi="宋体"/>
          <w:szCs w:val="21"/>
        </w:rPr>
      </w:pPr>
      <w:r>
        <w:rPr>
          <w:rFonts w:hint="eastAsia" w:ascii="宋体" w:hAnsi="宋体"/>
          <w:szCs w:val="21"/>
        </w:rPr>
        <w:t>承包人应按照第9.2款约定采取施工安全措施，确保工程及其人员、材料、设备和设施的安全，防止因工程施工造成的人身伤害和财产损失。</w:t>
      </w:r>
    </w:p>
    <w:p w14:paraId="582E627A">
      <w:pPr>
        <w:spacing w:line="360" w:lineRule="auto"/>
        <w:rPr>
          <w:rFonts w:hint="eastAsia" w:ascii="宋体" w:hAnsi="宋体"/>
          <w:szCs w:val="21"/>
        </w:rPr>
      </w:pPr>
      <w:r>
        <w:rPr>
          <w:rFonts w:hint="eastAsia" w:ascii="宋体" w:hAnsi="宋体"/>
          <w:szCs w:val="21"/>
        </w:rPr>
        <w:t>4.1.6  负责施工场地及其周边环境与生态的保护工作</w:t>
      </w:r>
    </w:p>
    <w:p w14:paraId="0684B57F">
      <w:pPr>
        <w:spacing w:line="360" w:lineRule="auto"/>
        <w:rPr>
          <w:rFonts w:hint="eastAsia" w:ascii="宋体" w:hAnsi="宋体"/>
          <w:szCs w:val="21"/>
        </w:rPr>
      </w:pPr>
      <w:r>
        <w:rPr>
          <w:rFonts w:hint="eastAsia" w:ascii="宋体" w:hAnsi="宋体"/>
          <w:szCs w:val="21"/>
        </w:rPr>
        <w:t>承包人应按照第9.4款约定负责施工场地及其周边环境与生态的保护工作。</w:t>
      </w:r>
    </w:p>
    <w:p w14:paraId="2C336E14">
      <w:pPr>
        <w:spacing w:line="360" w:lineRule="auto"/>
        <w:rPr>
          <w:rFonts w:hint="eastAsia" w:ascii="宋体" w:hAnsi="宋体"/>
          <w:szCs w:val="21"/>
        </w:rPr>
      </w:pPr>
      <w:r>
        <w:rPr>
          <w:rFonts w:hint="eastAsia" w:ascii="宋体" w:hAnsi="宋体"/>
          <w:szCs w:val="21"/>
        </w:rPr>
        <w:t>4.1.7  避免施工对公众与他人的利益造成损害</w:t>
      </w:r>
    </w:p>
    <w:p w14:paraId="4C12BDCC">
      <w:pPr>
        <w:spacing w:line="360" w:lineRule="auto"/>
        <w:rPr>
          <w:rFonts w:hint="eastAsia" w:ascii="宋体" w:hAnsi="宋体"/>
          <w:szCs w:val="21"/>
        </w:rPr>
      </w:pPr>
      <w:r>
        <w:rPr>
          <w:rFonts w:hint="eastAsia" w:ascii="宋体" w:hAnsi="宋体"/>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6080E5C">
      <w:pPr>
        <w:spacing w:line="360" w:lineRule="auto"/>
        <w:rPr>
          <w:rFonts w:hint="eastAsia" w:ascii="宋体" w:hAnsi="宋体"/>
          <w:szCs w:val="21"/>
        </w:rPr>
      </w:pPr>
      <w:r>
        <w:rPr>
          <w:rFonts w:hint="eastAsia" w:ascii="宋体" w:hAnsi="宋体"/>
          <w:szCs w:val="21"/>
        </w:rPr>
        <w:t>4.1.8  为他人提供方便</w:t>
      </w:r>
    </w:p>
    <w:p w14:paraId="7E1B8B54">
      <w:pPr>
        <w:spacing w:line="360" w:lineRule="auto"/>
        <w:rPr>
          <w:rFonts w:hint="eastAsia" w:ascii="宋体" w:hAnsi="宋体"/>
          <w:szCs w:val="21"/>
        </w:rPr>
      </w:pPr>
      <w:r>
        <w:rPr>
          <w:rFonts w:hint="eastAsia" w:ascii="宋体" w:hAnsi="宋体"/>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01BD004B">
      <w:pPr>
        <w:spacing w:line="360" w:lineRule="auto"/>
        <w:rPr>
          <w:rFonts w:hint="eastAsia" w:ascii="宋体" w:hAnsi="宋体"/>
          <w:szCs w:val="21"/>
        </w:rPr>
      </w:pPr>
      <w:r>
        <w:rPr>
          <w:rFonts w:hint="eastAsia" w:ascii="宋体" w:hAnsi="宋体"/>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4AC0EA94">
      <w:pPr>
        <w:spacing w:line="360" w:lineRule="auto"/>
        <w:rPr>
          <w:rFonts w:hint="eastAsia" w:ascii="宋体" w:hAnsi="宋体"/>
          <w:szCs w:val="21"/>
        </w:rPr>
      </w:pPr>
      <w:r>
        <w:rPr>
          <w:rFonts w:hint="eastAsia" w:ascii="宋体" w:hAnsi="宋体"/>
          <w:szCs w:val="21"/>
        </w:rPr>
        <w:t>4.1.9  工程的维护和照管</w:t>
      </w:r>
    </w:p>
    <w:p w14:paraId="65F4057C">
      <w:pPr>
        <w:spacing w:line="360" w:lineRule="auto"/>
        <w:rPr>
          <w:rFonts w:hint="eastAsia" w:ascii="宋体" w:hAnsi="宋体"/>
          <w:szCs w:val="21"/>
        </w:rPr>
      </w:pPr>
      <w:r>
        <w:rPr>
          <w:rFonts w:hint="eastAsia" w:ascii="宋体" w:hAnsi="宋体"/>
          <w:szCs w:val="21"/>
        </w:rPr>
        <w:t>工程接收证书颁发前，承包人应负责照管和维护工程。工程接收证书颁发时尚有部分未竣工工程的，承包人还应负责该未竣工工程的照管和维护工作，直至竣工后移交给发包人为止。</w:t>
      </w:r>
    </w:p>
    <w:p w14:paraId="5D834F18">
      <w:pPr>
        <w:spacing w:line="360" w:lineRule="auto"/>
        <w:rPr>
          <w:rFonts w:hint="eastAsia" w:ascii="宋体" w:hAnsi="宋体"/>
          <w:szCs w:val="21"/>
        </w:rPr>
      </w:pPr>
      <w:r>
        <w:rPr>
          <w:rFonts w:hint="eastAsia" w:ascii="宋体" w:hAnsi="宋体"/>
          <w:szCs w:val="21"/>
        </w:rPr>
        <w:t xml:space="preserve">4.1.10  承包人的设计工作 </w:t>
      </w:r>
    </w:p>
    <w:p w14:paraId="117E3EE3">
      <w:pPr>
        <w:spacing w:line="360" w:lineRule="auto"/>
        <w:rPr>
          <w:rFonts w:hint="eastAsia" w:ascii="宋体" w:hAnsi="宋体"/>
          <w:szCs w:val="21"/>
        </w:rPr>
      </w:pPr>
      <w:r>
        <w:rPr>
          <w:rFonts w:hint="eastAsia" w:ascii="宋体" w:hAnsi="宋体"/>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见合同条款专用部分。</w:t>
      </w:r>
    </w:p>
    <w:p w14:paraId="333F44E9">
      <w:pPr>
        <w:spacing w:line="360" w:lineRule="auto"/>
        <w:rPr>
          <w:rFonts w:hint="eastAsia" w:ascii="宋体" w:hAnsi="宋体"/>
          <w:szCs w:val="21"/>
        </w:rPr>
      </w:pPr>
      <w:r>
        <w:rPr>
          <w:rFonts w:hint="eastAsia" w:ascii="宋体" w:hAnsi="宋体"/>
          <w:szCs w:val="21"/>
        </w:rPr>
        <w:t>4.1.11  农民工工资保证金</w:t>
      </w:r>
    </w:p>
    <w:p w14:paraId="1D436C33">
      <w:pPr>
        <w:spacing w:line="360" w:lineRule="auto"/>
        <w:rPr>
          <w:rFonts w:hint="eastAsia" w:ascii="宋体" w:hAnsi="宋体"/>
          <w:szCs w:val="21"/>
        </w:rPr>
      </w:pPr>
      <w:r>
        <w:rPr>
          <w:rFonts w:hint="eastAsia" w:ascii="宋体" w:hAnsi="宋体"/>
          <w:szCs w:val="21"/>
        </w:rPr>
        <w:t>承包人应在银行设立工资保证金专用账户，专项用于发生欠薪时支付农民工工资的应急保障。账户内资金启用应当经建设主管部门和劳动保障行政部门批准。</w:t>
      </w:r>
    </w:p>
    <w:p w14:paraId="3E9A93EE">
      <w:pPr>
        <w:spacing w:line="360" w:lineRule="auto"/>
        <w:rPr>
          <w:rFonts w:hint="eastAsia" w:ascii="宋体" w:hAnsi="宋体"/>
          <w:szCs w:val="21"/>
        </w:rPr>
      </w:pPr>
      <w:r>
        <w:rPr>
          <w:rFonts w:hint="eastAsia" w:ascii="宋体" w:hAnsi="宋体"/>
          <w:szCs w:val="21"/>
        </w:rPr>
        <w:t>4.1.12  其他义务</w:t>
      </w:r>
    </w:p>
    <w:p w14:paraId="4B29DC2A">
      <w:pPr>
        <w:spacing w:line="360" w:lineRule="auto"/>
        <w:rPr>
          <w:rFonts w:hint="eastAsia" w:ascii="宋体" w:hAnsi="宋体"/>
          <w:szCs w:val="21"/>
        </w:rPr>
      </w:pPr>
      <w:r>
        <w:rPr>
          <w:rFonts w:hint="eastAsia" w:ascii="宋体" w:hAnsi="宋体"/>
          <w:szCs w:val="21"/>
        </w:rPr>
        <w:t>承包人应履行的其他义务见合同条款专用部分。</w:t>
      </w:r>
    </w:p>
    <w:p w14:paraId="1FF014C5">
      <w:pPr>
        <w:spacing w:line="360" w:lineRule="auto"/>
        <w:rPr>
          <w:rFonts w:hint="eastAsia" w:ascii="宋体" w:hAnsi="宋体"/>
          <w:szCs w:val="21"/>
        </w:rPr>
      </w:pPr>
      <w:bookmarkStart w:id="726" w:name="_BookMark_132"/>
      <w:bookmarkEnd w:id="726"/>
      <w:r>
        <w:rPr>
          <w:rFonts w:hint="eastAsia" w:ascii="宋体" w:hAnsi="宋体"/>
          <w:szCs w:val="21"/>
        </w:rPr>
        <w:t>4.2  履约担保</w:t>
      </w:r>
    </w:p>
    <w:p w14:paraId="5859976A">
      <w:pPr>
        <w:spacing w:line="360" w:lineRule="auto"/>
        <w:rPr>
          <w:rFonts w:hint="eastAsia" w:ascii="宋体" w:hAnsi="宋体"/>
          <w:szCs w:val="21"/>
        </w:rPr>
      </w:pPr>
      <w:r>
        <w:rPr>
          <w:rFonts w:hint="eastAsia" w:ascii="宋体" w:hAnsi="宋体"/>
          <w:szCs w:val="21"/>
        </w:rPr>
        <w:t>4.2.1  履约担保的格式和金额</w:t>
      </w:r>
    </w:p>
    <w:p w14:paraId="0012B326">
      <w:pPr>
        <w:spacing w:line="360" w:lineRule="auto"/>
        <w:rPr>
          <w:rFonts w:hint="eastAsia" w:ascii="宋体" w:hAnsi="宋体"/>
          <w:szCs w:val="21"/>
        </w:rPr>
      </w:pPr>
      <w:r>
        <w:rPr>
          <w:rFonts w:hint="eastAsia" w:ascii="宋体" w:hAnsi="宋体"/>
          <w:szCs w:val="21"/>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w:t>
      </w:r>
    </w:p>
    <w:p w14:paraId="686F7306">
      <w:pPr>
        <w:spacing w:line="360" w:lineRule="auto"/>
        <w:rPr>
          <w:rFonts w:hint="eastAsia" w:ascii="宋体" w:hAnsi="宋体"/>
          <w:szCs w:val="21"/>
        </w:rPr>
      </w:pPr>
      <w:r>
        <w:rPr>
          <w:rFonts w:hint="eastAsia" w:ascii="宋体" w:hAnsi="宋体"/>
          <w:szCs w:val="21"/>
        </w:rPr>
        <w:t>4.2.2  履约担保的有效期</w:t>
      </w:r>
    </w:p>
    <w:p w14:paraId="169C8C31">
      <w:pPr>
        <w:spacing w:line="360" w:lineRule="auto"/>
        <w:rPr>
          <w:rFonts w:hint="eastAsia" w:ascii="宋体" w:hAnsi="宋体"/>
          <w:szCs w:val="21"/>
        </w:rPr>
      </w:pPr>
      <w:r>
        <w:rPr>
          <w:rFonts w:hint="eastAsia" w:ascii="宋体" w:hAnsi="宋体"/>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0EBB0134">
      <w:pPr>
        <w:spacing w:line="360" w:lineRule="auto"/>
        <w:rPr>
          <w:rFonts w:hint="eastAsia" w:ascii="宋体" w:hAnsi="宋体"/>
          <w:szCs w:val="21"/>
        </w:rPr>
      </w:pPr>
      <w:r>
        <w:rPr>
          <w:rFonts w:hint="eastAsia" w:ascii="宋体" w:hAnsi="宋体"/>
          <w:szCs w:val="21"/>
        </w:rPr>
        <w:t>4.2.3  履约担保的退还</w:t>
      </w:r>
    </w:p>
    <w:p w14:paraId="3729F3B8">
      <w:pPr>
        <w:spacing w:line="360" w:lineRule="auto"/>
        <w:rPr>
          <w:rFonts w:hint="eastAsia" w:ascii="宋体" w:hAnsi="宋体"/>
          <w:szCs w:val="21"/>
        </w:rPr>
      </w:pPr>
      <w:r>
        <w:rPr>
          <w:rFonts w:hint="eastAsia" w:ascii="宋体" w:hAnsi="宋体"/>
          <w:szCs w:val="21"/>
        </w:rPr>
        <w:t>履约担保应在监理人向承包人颁发（出具）工程接收证书之日后28天内退还给承包人。发包人不承担承包人与履约担保有关的任何利息或其它类似的费用或者收益。</w:t>
      </w:r>
    </w:p>
    <w:p w14:paraId="5F77ACCA">
      <w:pPr>
        <w:spacing w:line="360" w:lineRule="auto"/>
        <w:rPr>
          <w:rFonts w:hint="eastAsia" w:ascii="宋体" w:hAnsi="宋体"/>
          <w:szCs w:val="21"/>
        </w:rPr>
      </w:pPr>
      <w:r>
        <w:rPr>
          <w:rFonts w:hint="eastAsia" w:ascii="宋体" w:hAnsi="宋体"/>
          <w:szCs w:val="21"/>
        </w:rPr>
        <w:t>4.2.4  通知义务</w:t>
      </w:r>
    </w:p>
    <w:p w14:paraId="0D2C9E26">
      <w:pPr>
        <w:spacing w:line="360" w:lineRule="auto"/>
        <w:rPr>
          <w:rFonts w:hint="eastAsia" w:ascii="宋体" w:hAnsi="宋体"/>
          <w:szCs w:val="21"/>
        </w:rPr>
      </w:pPr>
      <w:r>
        <w:rPr>
          <w:rFonts w:hint="eastAsia" w:ascii="宋体" w:hAnsi="宋体"/>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03BBC657">
      <w:pPr>
        <w:spacing w:line="360" w:lineRule="auto"/>
        <w:rPr>
          <w:rFonts w:hint="eastAsia" w:ascii="宋体" w:hAnsi="宋体"/>
          <w:szCs w:val="21"/>
        </w:rPr>
      </w:pPr>
      <w:bookmarkStart w:id="727" w:name="_BookMark_133"/>
      <w:bookmarkEnd w:id="727"/>
      <w:r>
        <w:rPr>
          <w:rFonts w:hint="eastAsia" w:ascii="宋体" w:hAnsi="宋体"/>
          <w:szCs w:val="21"/>
        </w:rPr>
        <w:t>4.3  分包</w:t>
      </w:r>
    </w:p>
    <w:p w14:paraId="55B4A35D">
      <w:pPr>
        <w:spacing w:line="360" w:lineRule="auto"/>
        <w:rPr>
          <w:rFonts w:hint="eastAsia" w:ascii="宋体" w:hAnsi="宋体"/>
          <w:szCs w:val="21"/>
        </w:rPr>
      </w:pPr>
      <w:r>
        <w:rPr>
          <w:rFonts w:hint="eastAsia" w:ascii="宋体" w:hAnsi="宋体"/>
          <w:szCs w:val="21"/>
        </w:rPr>
        <w:t>4.3.1  承包人不得将其承包的全部工程转包给第三人，或将其承包的全部工程肢解后以分包的名义转包给第三人。</w:t>
      </w:r>
    </w:p>
    <w:p w14:paraId="0DEC03A0">
      <w:pPr>
        <w:spacing w:line="360" w:lineRule="auto"/>
        <w:rPr>
          <w:rFonts w:hint="eastAsia" w:ascii="宋体" w:hAnsi="宋体"/>
          <w:szCs w:val="21"/>
        </w:rPr>
      </w:pPr>
      <w:r>
        <w:rPr>
          <w:rFonts w:hint="eastAsia" w:ascii="宋体" w:hAnsi="宋体"/>
          <w:szCs w:val="21"/>
        </w:rPr>
        <w:t>4.3.2  承包人不得将工程主体、关键性工作分包给第三人。</w:t>
      </w:r>
    </w:p>
    <w:p w14:paraId="3253C6A0">
      <w:pPr>
        <w:spacing w:line="360" w:lineRule="auto"/>
        <w:rPr>
          <w:rFonts w:hint="eastAsia" w:ascii="宋体" w:hAnsi="宋体"/>
          <w:szCs w:val="21"/>
        </w:rPr>
      </w:pPr>
      <w:r>
        <w:rPr>
          <w:rFonts w:hint="eastAsia" w:ascii="宋体" w:hAnsi="宋体"/>
          <w:szCs w:val="21"/>
        </w:rPr>
        <w:t>4.3.3  未经发包人同意，承包人不得将其自行施工范围工程的其他部分或工作分包给第三人。发包人同意承包人分包的非主体、非关键性工作包括：</w:t>
      </w:r>
    </w:p>
    <w:p w14:paraId="52F7B620">
      <w:pPr>
        <w:spacing w:line="360" w:lineRule="auto"/>
        <w:rPr>
          <w:rFonts w:hint="eastAsia" w:ascii="宋体" w:hAnsi="宋体"/>
          <w:szCs w:val="21"/>
        </w:rPr>
      </w:pPr>
      <w:r>
        <w:rPr>
          <w:rFonts w:hint="eastAsia" w:ascii="宋体" w:hAnsi="宋体"/>
          <w:szCs w:val="21"/>
        </w:rPr>
        <w:t>（1）投标函附录约定的分包工程；</w:t>
      </w:r>
    </w:p>
    <w:p w14:paraId="0412C6D7">
      <w:pPr>
        <w:spacing w:line="360" w:lineRule="auto"/>
        <w:rPr>
          <w:rFonts w:hint="eastAsia" w:ascii="宋体" w:hAnsi="宋体"/>
          <w:szCs w:val="21"/>
        </w:rPr>
      </w:pPr>
      <w:r>
        <w:rPr>
          <w:rFonts w:hint="eastAsia" w:ascii="宋体" w:hAnsi="宋体"/>
          <w:szCs w:val="21"/>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5F62D815">
      <w:pPr>
        <w:spacing w:line="360" w:lineRule="auto"/>
        <w:rPr>
          <w:rFonts w:hint="eastAsia" w:ascii="宋体" w:hAnsi="宋体"/>
          <w:szCs w:val="21"/>
        </w:rPr>
      </w:pPr>
      <w:r>
        <w:rPr>
          <w:rFonts w:hint="eastAsia" w:ascii="宋体" w:hAnsi="宋体"/>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6E087D63">
      <w:pPr>
        <w:spacing w:line="360" w:lineRule="auto"/>
        <w:rPr>
          <w:rFonts w:hint="eastAsia" w:ascii="宋体" w:hAnsi="宋体"/>
          <w:szCs w:val="21"/>
        </w:rPr>
      </w:pPr>
      <w:r>
        <w:rPr>
          <w:rFonts w:hint="eastAsia" w:ascii="宋体" w:hAnsi="宋体"/>
          <w:szCs w:val="21"/>
        </w:rPr>
        <w:t>4.3.5  在相关分包合同签订并报送有关建设行政主管部门备案后7天内，承包人应当将一份副本提交给监理人，承包人应保障分包工作不得再次分包。</w:t>
      </w:r>
    </w:p>
    <w:p w14:paraId="56BF1E0C">
      <w:pPr>
        <w:spacing w:line="360" w:lineRule="auto"/>
        <w:rPr>
          <w:rFonts w:hint="eastAsia" w:ascii="宋体" w:hAnsi="宋体"/>
          <w:szCs w:val="21"/>
        </w:rPr>
      </w:pPr>
      <w:r>
        <w:rPr>
          <w:rFonts w:hint="eastAsia" w:ascii="宋体" w:hAnsi="宋体"/>
          <w:szCs w:val="21"/>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7CF09F87">
      <w:pPr>
        <w:spacing w:line="360" w:lineRule="auto"/>
        <w:rPr>
          <w:rFonts w:hint="eastAsia" w:ascii="宋体" w:hAnsi="宋体"/>
          <w:szCs w:val="21"/>
        </w:rPr>
      </w:pPr>
      <w:r>
        <w:rPr>
          <w:rFonts w:hint="eastAsia" w:ascii="宋体" w:hAnsi="宋体"/>
          <w:szCs w:val="21"/>
        </w:rPr>
        <w:t>4.3.7  未经发包人和监理人审批同意的分包工程和分包人，发包人有权拒绝验收分包工程和支付相应款项，由此引起的承包人费用增加和（或）延误的工期由承包人承担。</w:t>
      </w:r>
    </w:p>
    <w:p w14:paraId="3624F0D6">
      <w:pPr>
        <w:spacing w:line="360" w:lineRule="auto"/>
        <w:rPr>
          <w:rFonts w:hint="eastAsia" w:ascii="宋体" w:hAnsi="宋体"/>
          <w:szCs w:val="21"/>
        </w:rPr>
      </w:pPr>
      <w:r>
        <w:rPr>
          <w:rFonts w:hint="eastAsia" w:ascii="宋体" w:hAnsi="宋体"/>
          <w:szCs w:val="21"/>
        </w:rPr>
        <w:t>4.3.8  分包人的资格能力应与其分包工程的标准和规模相适应。</w:t>
      </w:r>
    </w:p>
    <w:p w14:paraId="4237FFB5">
      <w:pPr>
        <w:spacing w:line="360" w:lineRule="auto"/>
        <w:rPr>
          <w:rFonts w:hint="eastAsia" w:ascii="宋体" w:hAnsi="宋体"/>
          <w:szCs w:val="21"/>
        </w:rPr>
      </w:pPr>
      <w:r>
        <w:rPr>
          <w:rFonts w:hint="eastAsia" w:ascii="宋体" w:hAnsi="宋体"/>
          <w:szCs w:val="21"/>
        </w:rPr>
        <w:t>4.3.9  发包人同意的分包工程，承包人应向发包人和监理人提供合同副本。</w:t>
      </w:r>
    </w:p>
    <w:p w14:paraId="7959A4E8">
      <w:pPr>
        <w:spacing w:line="360" w:lineRule="auto"/>
        <w:rPr>
          <w:rFonts w:hint="eastAsia" w:ascii="宋体" w:hAnsi="宋体"/>
          <w:szCs w:val="21"/>
        </w:rPr>
      </w:pPr>
      <w:r>
        <w:rPr>
          <w:rFonts w:hint="eastAsia" w:ascii="宋体" w:hAnsi="宋体"/>
          <w:szCs w:val="21"/>
        </w:rPr>
        <w:t>4.3.10  承包人应与分包人就分包工程向发包人承担连带责任。</w:t>
      </w:r>
    </w:p>
    <w:p w14:paraId="7F185688">
      <w:pPr>
        <w:spacing w:line="360" w:lineRule="auto"/>
        <w:rPr>
          <w:rFonts w:hint="eastAsia" w:ascii="宋体" w:hAnsi="宋体"/>
          <w:szCs w:val="21"/>
        </w:rPr>
      </w:pPr>
      <w:bookmarkStart w:id="728" w:name="_BookMark_134"/>
      <w:bookmarkEnd w:id="728"/>
      <w:r>
        <w:rPr>
          <w:rFonts w:hint="eastAsia" w:ascii="宋体" w:hAnsi="宋体"/>
          <w:szCs w:val="21"/>
        </w:rPr>
        <w:t>4.4  联合体</w:t>
      </w:r>
    </w:p>
    <w:p w14:paraId="63BCA227">
      <w:pPr>
        <w:spacing w:line="360" w:lineRule="auto"/>
        <w:rPr>
          <w:rFonts w:hint="eastAsia" w:ascii="宋体" w:hAnsi="宋体"/>
          <w:szCs w:val="21"/>
        </w:rPr>
      </w:pPr>
      <w:r>
        <w:rPr>
          <w:rFonts w:hint="eastAsia" w:ascii="宋体" w:hAnsi="宋体"/>
          <w:szCs w:val="21"/>
        </w:rPr>
        <w:t>4.4.1  联合体各方应共同与发包人签订合同协议书。联合体各方应为履行合同承担连带责任。</w:t>
      </w:r>
    </w:p>
    <w:p w14:paraId="56A5B105">
      <w:pPr>
        <w:spacing w:line="360" w:lineRule="auto"/>
        <w:rPr>
          <w:rFonts w:hint="eastAsia" w:ascii="宋体" w:hAnsi="宋体"/>
          <w:szCs w:val="21"/>
        </w:rPr>
      </w:pPr>
      <w:r>
        <w:rPr>
          <w:rFonts w:hint="eastAsia" w:ascii="宋体" w:hAnsi="宋体"/>
          <w:szCs w:val="21"/>
        </w:rPr>
        <w:t>4.4.2  联合体协议经发包人确认后作为合同附件。在履行合同过程中，未经发包人同意，不得修改联合体协议。</w:t>
      </w:r>
    </w:p>
    <w:p w14:paraId="2D84FA83">
      <w:pPr>
        <w:spacing w:line="360" w:lineRule="auto"/>
        <w:rPr>
          <w:rFonts w:hint="eastAsia" w:ascii="宋体" w:hAnsi="宋体"/>
          <w:szCs w:val="21"/>
        </w:rPr>
      </w:pPr>
      <w:r>
        <w:rPr>
          <w:rFonts w:hint="eastAsia" w:ascii="宋体" w:hAnsi="宋体"/>
          <w:szCs w:val="21"/>
        </w:rPr>
        <w:t>4.4.3  联合体牵头人负责与发包人和监理人联系，并接受指示，负责组织联合体各成员全面履行合同。</w:t>
      </w:r>
    </w:p>
    <w:p w14:paraId="618B4A6E">
      <w:pPr>
        <w:spacing w:line="360" w:lineRule="auto"/>
        <w:rPr>
          <w:rFonts w:hint="eastAsia" w:ascii="宋体" w:hAnsi="宋体"/>
          <w:szCs w:val="21"/>
        </w:rPr>
      </w:pPr>
      <w:bookmarkStart w:id="729" w:name="_BookMark_135"/>
      <w:bookmarkEnd w:id="729"/>
      <w:r>
        <w:rPr>
          <w:rFonts w:hint="eastAsia" w:ascii="宋体" w:hAnsi="宋体"/>
          <w:szCs w:val="21"/>
        </w:rPr>
        <w:t>4.5  承包人项目经理</w:t>
      </w:r>
    </w:p>
    <w:p w14:paraId="37B34BCF">
      <w:pPr>
        <w:spacing w:line="360" w:lineRule="auto"/>
        <w:rPr>
          <w:rFonts w:hint="eastAsia" w:ascii="宋体" w:hAnsi="宋体"/>
          <w:szCs w:val="21"/>
        </w:rPr>
      </w:pPr>
      <w:r>
        <w:rPr>
          <w:rFonts w:hint="eastAsia" w:ascii="宋体" w:hAnsi="宋体"/>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w:t>
      </w:r>
    </w:p>
    <w:p w14:paraId="7470029D">
      <w:pPr>
        <w:spacing w:line="360" w:lineRule="auto"/>
        <w:rPr>
          <w:rFonts w:hint="eastAsia" w:ascii="宋体" w:hAnsi="宋体"/>
          <w:szCs w:val="21"/>
        </w:rPr>
      </w:pPr>
      <w:r>
        <w:rPr>
          <w:rFonts w:hint="eastAsia" w:ascii="宋体" w:hAnsi="宋体"/>
          <w:szCs w:val="21"/>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082126A4">
      <w:pPr>
        <w:spacing w:line="360" w:lineRule="auto"/>
        <w:rPr>
          <w:rFonts w:hint="eastAsia" w:ascii="宋体" w:hAnsi="宋体"/>
          <w:szCs w:val="21"/>
        </w:rPr>
      </w:pPr>
      <w:r>
        <w:rPr>
          <w:rFonts w:hint="eastAsia" w:ascii="宋体" w:hAnsi="宋体"/>
          <w:szCs w:val="21"/>
        </w:rPr>
        <w:t>4.5.3  承包人为履行合同发出的一切函件均应盖有承包人授权的施工场地管理机构章，并由承包人项目经理或其授权代表签字。</w:t>
      </w:r>
    </w:p>
    <w:p w14:paraId="7AD420BD">
      <w:pPr>
        <w:spacing w:line="360" w:lineRule="auto"/>
        <w:rPr>
          <w:rFonts w:hint="eastAsia" w:ascii="宋体" w:hAnsi="宋体"/>
          <w:szCs w:val="21"/>
        </w:rPr>
      </w:pPr>
      <w:r>
        <w:rPr>
          <w:rFonts w:hint="eastAsia" w:ascii="宋体" w:hAnsi="宋体"/>
          <w:szCs w:val="21"/>
        </w:rPr>
        <w:t>4.5.4  承包人项目经理可以授权其下属人员履行其某项职责，但事先应将这些人员的姓名和授权范围通知监理人。</w:t>
      </w:r>
    </w:p>
    <w:p w14:paraId="36F8F795">
      <w:pPr>
        <w:spacing w:line="360" w:lineRule="auto"/>
        <w:rPr>
          <w:rFonts w:hint="eastAsia" w:ascii="宋体" w:hAnsi="宋体"/>
          <w:szCs w:val="21"/>
        </w:rPr>
      </w:pPr>
      <w:bookmarkStart w:id="730" w:name="_BookMark_136"/>
      <w:bookmarkEnd w:id="730"/>
      <w:r>
        <w:rPr>
          <w:rFonts w:hint="eastAsia" w:ascii="宋体" w:hAnsi="宋体"/>
          <w:szCs w:val="21"/>
        </w:rPr>
        <w:t>4.6  承包人人员的管理</w:t>
      </w:r>
    </w:p>
    <w:p w14:paraId="083EF1F7">
      <w:pPr>
        <w:spacing w:line="360" w:lineRule="auto"/>
        <w:rPr>
          <w:rFonts w:hint="eastAsia" w:ascii="宋体" w:hAnsi="宋体"/>
          <w:szCs w:val="21"/>
        </w:rPr>
      </w:pPr>
      <w:r>
        <w:rPr>
          <w:rFonts w:hint="eastAsia" w:ascii="宋体" w:hAnsi="宋体"/>
          <w:szCs w:val="21"/>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1D5343E">
      <w:pPr>
        <w:spacing w:line="360" w:lineRule="auto"/>
        <w:rPr>
          <w:rFonts w:hint="eastAsia" w:ascii="宋体" w:hAnsi="宋体"/>
          <w:szCs w:val="21"/>
        </w:rPr>
      </w:pPr>
      <w:r>
        <w:rPr>
          <w:rFonts w:hint="eastAsia" w:ascii="宋体" w:hAnsi="宋体"/>
          <w:szCs w:val="21"/>
        </w:rPr>
        <w:t>4.6.2  为完成合同约定的各项工作，承包人应向施工场地派遣或雇佣足够数量的下列人员：</w:t>
      </w:r>
    </w:p>
    <w:p w14:paraId="1B42327A">
      <w:pPr>
        <w:spacing w:line="360" w:lineRule="auto"/>
        <w:rPr>
          <w:rFonts w:hint="eastAsia" w:ascii="宋体" w:hAnsi="宋体"/>
          <w:szCs w:val="21"/>
        </w:rPr>
      </w:pPr>
      <w:r>
        <w:rPr>
          <w:rFonts w:hint="eastAsia" w:ascii="宋体" w:hAnsi="宋体"/>
          <w:szCs w:val="21"/>
        </w:rPr>
        <w:t>（1）具有相应资格的专业技工和合格的普工；</w:t>
      </w:r>
    </w:p>
    <w:p w14:paraId="559720DA">
      <w:pPr>
        <w:spacing w:line="360" w:lineRule="auto"/>
        <w:rPr>
          <w:rFonts w:hint="eastAsia" w:ascii="宋体" w:hAnsi="宋体"/>
          <w:szCs w:val="21"/>
        </w:rPr>
      </w:pPr>
      <w:r>
        <w:rPr>
          <w:rFonts w:hint="eastAsia" w:ascii="宋体" w:hAnsi="宋体"/>
          <w:szCs w:val="21"/>
        </w:rPr>
        <w:t>（2）具有相应施工经验的技术人员；</w:t>
      </w:r>
    </w:p>
    <w:p w14:paraId="21D41D52">
      <w:pPr>
        <w:spacing w:line="360" w:lineRule="auto"/>
        <w:rPr>
          <w:rFonts w:hint="eastAsia" w:ascii="宋体" w:hAnsi="宋体"/>
          <w:szCs w:val="21"/>
        </w:rPr>
      </w:pPr>
      <w:r>
        <w:rPr>
          <w:rFonts w:hint="eastAsia" w:ascii="宋体" w:hAnsi="宋体"/>
          <w:szCs w:val="21"/>
        </w:rPr>
        <w:t>（3）具有相应岗位资格的各级管理人员。</w:t>
      </w:r>
    </w:p>
    <w:p w14:paraId="61758943">
      <w:pPr>
        <w:spacing w:line="360" w:lineRule="auto"/>
        <w:rPr>
          <w:rFonts w:hint="eastAsia" w:ascii="宋体" w:hAnsi="宋体"/>
          <w:szCs w:val="21"/>
        </w:rPr>
      </w:pPr>
      <w:r>
        <w:rPr>
          <w:rFonts w:hint="eastAsia" w:ascii="宋体" w:hAnsi="宋体"/>
          <w:szCs w:val="21"/>
        </w:rPr>
        <w:t>4.6.3  承包人安排在施工场地的主要管理人员和技术骨干应相对稳定。承包人更换主要管理人员和技术骨干时，应取得监理人的同意。</w:t>
      </w:r>
    </w:p>
    <w:p w14:paraId="751FAB33">
      <w:pPr>
        <w:spacing w:line="360" w:lineRule="auto"/>
        <w:rPr>
          <w:rFonts w:hint="eastAsia" w:ascii="宋体" w:hAnsi="宋体"/>
          <w:szCs w:val="21"/>
        </w:rPr>
      </w:pPr>
      <w:r>
        <w:rPr>
          <w:rFonts w:hint="eastAsia" w:ascii="宋体" w:hAnsi="宋体"/>
          <w:szCs w:val="21"/>
        </w:rPr>
        <w:t>4.6.4  特殊岗位的工作人员均应持有相应的资格证明，监理人有权随时检查。监理人认为有必要时，可进行现场考核。</w:t>
      </w:r>
    </w:p>
    <w:p w14:paraId="5AF7B7E4">
      <w:pPr>
        <w:spacing w:line="360" w:lineRule="auto"/>
        <w:rPr>
          <w:rFonts w:hint="eastAsia" w:ascii="宋体" w:hAnsi="宋体"/>
          <w:szCs w:val="21"/>
        </w:rPr>
      </w:pPr>
      <w:bookmarkStart w:id="731" w:name="_BookMark_137"/>
      <w:bookmarkEnd w:id="731"/>
      <w:r>
        <w:rPr>
          <w:rFonts w:hint="eastAsia" w:ascii="宋体" w:hAnsi="宋体"/>
          <w:szCs w:val="21"/>
        </w:rPr>
        <w:t>4.7  撤换承包人项目经理和其他人员</w:t>
      </w:r>
    </w:p>
    <w:p w14:paraId="6C56831D">
      <w:pPr>
        <w:spacing w:line="360" w:lineRule="auto"/>
        <w:rPr>
          <w:rFonts w:hint="eastAsia" w:ascii="宋体" w:hAnsi="宋体"/>
          <w:szCs w:val="21"/>
        </w:rPr>
      </w:pPr>
      <w:r>
        <w:rPr>
          <w:rFonts w:hint="eastAsia" w:ascii="宋体" w:hAnsi="宋体"/>
          <w:szCs w:val="21"/>
        </w:rPr>
        <w:t>承包人应对其项目经理和其他人员进行有效管理。监理人要求撤换不能胜任本职工作、行为不端或玩忽职守的承包人项目经理和其他人员的，承包人应予以撤换。</w:t>
      </w:r>
    </w:p>
    <w:p w14:paraId="4DF0CED8">
      <w:pPr>
        <w:spacing w:line="360" w:lineRule="auto"/>
        <w:rPr>
          <w:rFonts w:hint="eastAsia" w:ascii="宋体" w:hAnsi="宋体"/>
          <w:szCs w:val="21"/>
        </w:rPr>
      </w:pPr>
      <w:bookmarkStart w:id="732" w:name="_BookMark_138"/>
      <w:bookmarkEnd w:id="732"/>
      <w:r>
        <w:rPr>
          <w:rFonts w:hint="eastAsia" w:ascii="宋体" w:hAnsi="宋体"/>
          <w:szCs w:val="21"/>
        </w:rPr>
        <w:t>4.8  保障承包人人员的合法权益</w:t>
      </w:r>
    </w:p>
    <w:p w14:paraId="2A3C101C">
      <w:pPr>
        <w:spacing w:line="360" w:lineRule="auto"/>
        <w:rPr>
          <w:rFonts w:hint="eastAsia" w:ascii="宋体" w:hAnsi="宋体"/>
          <w:szCs w:val="21"/>
        </w:rPr>
      </w:pPr>
      <w:r>
        <w:rPr>
          <w:rFonts w:hint="eastAsia" w:ascii="宋体" w:hAnsi="宋体"/>
          <w:szCs w:val="21"/>
        </w:rPr>
        <w:t>4.8.1  承包人应与其雇佣的人员签订劳动合同，并按时发放工资。</w:t>
      </w:r>
    </w:p>
    <w:p w14:paraId="5D42BB44">
      <w:pPr>
        <w:spacing w:line="360" w:lineRule="auto"/>
        <w:rPr>
          <w:rFonts w:hint="eastAsia" w:ascii="宋体" w:hAnsi="宋体"/>
          <w:szCs w:val="21"/>
        </w:rPr>
      </w:pPr>
      <w:r>
        <w:rPr>
          <w:rFonts w:hint="eastAsia" w:ascii="宋体" w:hAnsi="宋体"/>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14:paraId="64170946">
      <w:pPr>
        <w:spacing w:line="360" w:lineRule="auto"/>
        <w:rPr>
          <w:rFonts w:hint="eastAsia" w:ascii="宋体" w:hAnsi="宋体"/>
          <w:szCs w:val="21"/>
        </w:rPr>
      </w:pPr>
      <w:r>
        <w:rPr>
          <w:rFonts w:hint="eastAsia" w:ascii="宋体" w:hAnsi="宋体"/>
          <w:szCs w:val="21"/>
        </w:rPr>
        <w:t>4.8.3  承包人应为其雇佣人员提供必要的食宿条件，以及符合环境保护和卫生要求的生活环境，在远离城镇的施工场地，还应配备必要的伤病防治和急救的医务人员与医疗设施。</w:t>
      </w:r>
    </w:p>
    <w:p w14:paraId="62CBC002">
      <w:pPr>
        <w:spacing w:line="360" w:lineRule="auto"/>
        <w:rPr>
          <w:rFonts w:hint="eastAsia" w:ascii="宋体" w:hAnsi="宋体"/>
          <w:szCs w:val="21"/>
        </w:rPr>
      </w:pPr>
      <w:r>
        <w:rPr>
          <w:rFonts w:hint="eastAsia" w:ascii="宋体" w:hAnsi="宋体"/>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D91F70D">
      <w:pPr>
        <w:spacing w:line="360" w:lineRule="auto"/>
        <w:rPr>
          <w:rFonts w:hint="eastAsia" w:ascii="宋体" w:hAnsi="宋体"/>
          <w:szCs w:val="21"/>
        </w:rPr>
      </w:pPr>
      <w:r>
        <w:rPr>
          <w:rFonts w:hint="eastAsia" w:ascii="宋体" w:hAnsi="宋体"/>
          <w:szCs w:val="21"/>
        </w:rPr>
        <w:t>4.8.5  承包人应按有关法律规定和合同约定，为其雇佣人员办理保险。</w:t>
      </w:r>
    </w:p>
    <w:p w14:paraId="23BF7DE6">
      <w:pPr>
        <w:spacing w:line="360" w:lineRule="auto"/>
        <w:rPr>
          <w:rFonts w:hint="eastAsia" w:ascii="宋体" w:hAnsi="宋体"/>
          <w:szCs w:val="21"/>
        </w:rPr>
      </w:pPr>
      <w:r>
        <w:rPr>
          <w:rFonts w:hint="eastAsia" w:ascii="宋体" w:hAnsi="宋体"/>
          <w:szCs w:val="21"/>
        </w:rPr>
        <w:t>4.8.6  承包人应负责处理其雇佣人员因工伤亡事故的善后事宜。</w:t>
      </w:r>
    </w:p>
    <w:p w14:paraId="044DA1AC">
      <w:pPr>
        <w:spacing w:line="360" w:lineRule="auto"/>
        <w:rPr>
          <w:rFonts w:hint="eastAsia" w:ascii="宋体" w:hAnsi="宋体"/>
          <w:szCs w:val="21"/>
        </w:rPr>
      </w:pPr>
      <w:bookmarkStart w:id="733" w:name="_BookMark_139"/>
      <w:bookmarkEnd w:id="733"/>
      <w:r>
        <w:rPr>
          <w:rFonts w:hint="eastAsia" w:ascii="宋体" w:hAnsi="宋体"/>
          <w:szCs w:val="21"/>
        </w:rPr>
        <w:t>4.9  工程价款应专款专用</w:t>
      </w:r>
    </w:p>
    <w:p w14:paraId="313FF10B">
      <w:pPr>
        <w:spacing w:line="360" w:lineRule="auto"/>
        <w:rPr>
          <w:rFonts w:hint="eastAsia" w:ascii="宋体" w:hAnsi="宋体"/>
          <w:szCs w:val="21"/>
        </w:rPr>
      </w:pPr>
      <w:r>
        <w:rPr>
          <w:rFonts w:hint="eastAsia" w:ascii="宋体" w:hAnsi="宋体"/>
          <w:szCs w:val="21"/>
        </w:rPr>
        <w:t>发包人按合同约定支付给承包人的各项价款应专用于合同工程。</w:t>
      </w:r>
    </w:p>
    <w:p w14:paraId="7D0EF741">
      <w:pPr>
        <w:spacing w:line="360" w:lineRule="auto"/>
        <w:rPr>
          <w:rFonts w:hint="eastAsia" w:ascii="宋体" w:hAnsi="宋体"/>
          <w:szCs w:val="21"/>
        </w:rPr>
      </w:pPr>
      <w:bookmarkStart w:id="734" w:name="_BookMark_140"/>
      <w:bookmarkEnd w:id="734"/>
      <w:r>
        <w:rPr>
          <w:rFonts w:hint="eastAsia" w:ascii="宋体" w:hAnsi="宋体"/>
          <w:szCs w:val="21"/>
        </w:rPr>
        <w:t>4.10  承包人现场查勘</w:t>
      </w:r>
    </w:p>
    <w:p w14:paraId="423064A9">
      <w:pPr>
        <w:spacing w:line="360" w:lineRule="auto"/>
        <w:rPr>
          <w:rFonts w:hint="eastAsia" w:ascii="宋体" w:hAnsi="宋体"/>
          <w:szCs w:val="21"/>
        </w:rPr>
      </w:pPr>
      <w:r>
        <w:rPr>
          <w:rFonts w:hint="eastAsia" w:ascii="宋体" w:hAnsi="宋体"/>
          <w:szCs w:val="21"/>
        </w:rPr>
        <w:t>4.10.1  发包人应将其持有的现场地质勘探资料、水文气象资料提供给承包人，并对其准确性负责。但承包人应对其阅读上述有关资料后所作出的解释和推断负责。</w:t>
      </w:r>
    </w:p>
    <w:p w14:paraId="55927E89">
      <w:pPr>
        <w:spacing w:line="360" w:lineRule="auto"/>
        <w:rPr>
          <w:rFonts w:hint="eastAsia" w:ascii="宋体" w:hAnsi="宋体"/>
          <w:szCs w:val="21"/>
        </w:rPr>
      </w:pPr>
      <w:r>
        <w:rPr>
          <w:rFonts w:hint="eastAsia" w:ascii="宋体" w:hAnsi="宋体"/>
          <w:szCs w:val="21"/>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700D311F">
      <w:pPr>
        <w:spacing w:line="360" w:lineRule="auto"/>
        <w:rPr>
          <w:rFonts w:hint="eastAsia" w:ascii="宋体" w:hAnsi="宋体"/>
          <w:szCs w:val="21"/>
        </w:rPr>
      </w:pPr>
      <w:bookmarkStart w:id="735" w:name="_BookMark_141"/>
      <w:bookmarkEnd w:id="735"/>
      <w:r>
        <w:rPr>
          <w:rFonts w:hint="eastAsia" w:ascii="宋体" w:hAnsi="宋体"/>
          <w:szCs w:val="21"/>
        </w:rPr>
        <w:t>4.11  不利物质条件</w:t>
      </w:r>
    </w:p>
    <w:p w14:paraId="45226CEB">
      <w:pPr>
        <w:spacing w:line="360" w:lineRule="auto"/>
        <w:rPr>
          <w:rFonts w:hint="eastAsia" w:ascii="宋体" w:hAnsi="宋体"/>
          <w:szCs w:val="21"/>
        </w:rPr>
      </w:pPr>
      <w:r>
        <w:rPr>
          <w:rFonts w:hint="eastAsia" w:ascii="宋体" w:hAnsi="宋体"/>
          <w:szCs w:val="21"/>
        </w:rPr>
        <w:t>4.11.1  不利物质条件一般是指承包人在施工场地遇到的不可预见的自然物质条件、非自然的物质障碍和污染物，包括地下和水文条件，但不包括气候条件。不利物质条件的具体范围见合同条款专用部分。</w:t>
      </w:r>
    </w:p>
    <w:p w14:paraId="54B95A8C">
      <w:pPr>
        <w:spacing w:line="360" w:lineRule="auto"/>
        <w:rPr>
          <w:rFonts w:hint="eastAsia" w:ascii="宋体" w:hAnsi="宋体"/>
          <w:szCs w:val="21"/>
        </w:rPr>
      </w:pPr>
      <w:r>
        <w:rPr>
          <w:rFonts w:hint="eastAsia" w:ascii="宋体" w:hAnsi="宋体"/>
          <w:szCs w:val="21"/>
        </w:rPr>
        <w:t>4.11.2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65D38B44">
      <w:pPr>
        <w:adjustRightInd w:val="0"/>
        <w:snapToGrid w:val="0"/>
        <w:spacing w:line="360" w:lineRule="auto"/>
        <w:outlineLvl w:val="2"/>
        <w:rPr>
          <w:rFonts w:hint="eastAsia" w:ascii="宋体" w:hAnsi="宋体"/>
          <w:sz w:val="28"/>
        </w:rPr>
      </w:pPr>
      <w:bookmarkStart w:id="736" w:name="_BookMark_142"/>
      <w:bookmarkEnd w:id="736"/>
      <w:bookmarkStart w:id="737" w:name="_Toc532542638"/>
      <w:bookmarkStart w:id="738" w:name="_Toc162620936"/>
      <w:bookmarkStart w:id="739" w:name="_Toc196225910"/>
      <w:bookmarkStart w:id="740" w:name="_Toc528247482"/>
      <w:r>
        <w:rPr>
          <w:rFonts w:hint="eastAsia" w:ascii="宋体" w:hAnsi="宋体"/>
          <w:sz w:val="28"/>
        </w:rPr>
        <w:t>5.材料和工程设备</w:t>
      </w:r>
      <w:bookmarkEnd w:id="737"/>
      <w:bookmarkEnd w:id="738"/>
      <w:bookmarkEnd w:id="739"/>
      <w:bookmarkEnd w:id="740"/>
    </w:p>
    <w:p w14:paraId="7F92AACF">
      <w:pPr>
        <w:spacing w:line="360" w:lineRule="auto"/>
        <w:rPr>
          <w:rFonts w:hint="eastAsia" w:ascii="宋体" w:hAnsi="宋体"/>
          <w:szCs w:val="21"/>
        </w:rPr>
      </w:pPr>
      <w:bookmarkStart w:id="741" w:name="_BookMark_143"/>
      <w:bookmarkEnd w:id="741"/>
      <w:r>
        <w:rPr>
          <w:rFonts w:hint="eastAsia" w:ascii="宋体" w:hAnsi="宋体"/>
          <w:szCs w:val="21"/>
        </w:rPr>
        <w:t>5.1  承包人提供的材料和工程设备</w:t>
      </w:r>
    </w:p>
    <w:p w14:paraId="38AFB1BF">
      <w:pPr>
        <w:spacing w:line="360" w:lineRule="auto"/>
        <w:rPr>
          <w:rFonts w:hint="eastAsia" w:ascii="宋体" w:hAnsi="宋体"/>
          <w:szCs w:val="21"/>
        </w:rPr>
      </w:pPr>
      <w:r>
        <w:rPr>
          <w:rFonts w:hint="eastAsia" w:ascii="宋体" w:hAnsi="宋体"/>
          <w:szCs w:val="21"/>
        </w:rPr>
        <w:t>5.1.1  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项的约定，由发包人和承包人以招标方式确定专项供应商。承包人负责提供的主要材料和工程设备清单见合同条款专用部分“附件三：承包人提供的材料和工程设备一览表”。</w:t>
      </w:r>
    </w:p>
    <w:p w14:paraId="4742D19D">
      <w:pPr>
        <w:spacing w:line="360" w:lineRule="auto"/>
        <w:rPr>
          <w:rFonts w:hint="eastAsia" w:ascii="宋体" w:hAnsi="宋体"/>
          <w:szCs w:val="21"/>
        </w:rPr>
      </w:pPr>
      <w:r>
        <w:rPr>
          <w:rFonts w:hint="eastAsia" w:ascii="宋体" w:hAnsi="宋体"/>
          <w:szCs w:val="21"/>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69705D15">
      <w:pPr>
        <w:spacing w:line="360" w:lineRule="auto"/>
        <w:rPr>
          <w:rFonts w:hint="eastAsia" w:ascii="宋体" w:hAnsi="宋体"/>
          <w:szCs w:val="21"/>
        </w:rPr>
      </w:pPr>
      <w:r>
        <w:rPr>
          <w:rFonts w:hint="eastAsia" w:ascii="宋体" w:hAnsi="宋体"/>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6AFE1CC">
      <w:pPr>
        <w:spacing w:line="360" w:lineRule="auto"/>
        <w:rPr>
          <w:rFonts w:hint="eastAsia" w:ascii="宋体" w:hAnsi="宋体"/>
          <w:szCs w:val="21"/>
        </w:rPr>
      </w:pPr>
      <w:bookmarkStart w:id="742" w:name="_BookMark_144"/>
      <w:bookmarkEnd w:id="742"/>
      <w:r>
        <w:rPr>
          <w:rFonts w:hint="eastAsia" w:ascii="宋体" w:hAnsi="宋体"/>
          <w:szCs w:val="21"/>
        </w:rPr>
        <w:t>5.2  发包人提供的材料和工程设备</w:t>
      </w:r>
    </w:p>
    <w:p w14:paraId="7476098D">
      <w:pPr>
        <w:spacing w:line="360" w:lineRule="auto"/>
        <w:rPr>
          <w:rFonts w:hint="eastAsia" w:ascii="宋体" w:hAnsi="宋体"/>
          <w:szCs w:val="21"/>
        </w:rPr>
      </w:pPr>
      <w:r>
        <w:rPr>
          <w:rFonts w:hint="eastAsia" w:ascii="宋体" w:hAnsi="宋体"/>
          <w:szCs w:val="21"/>
        </w:rPr>
        <w:t>5.2.1  发包人负责提供的材料和工程设备的名称、规格、数量、价格、交货方式、交货地点和计划交货日期等见合同条款专用部分“附件四：发包人提供的材料和工程设备一览表”。</w:t>
      </w:r>
    </w:p>
    <w:p w14:paraId="6F595A22">
      <w:pPr>
        <w:spacing w:line="360" w:lineRule="auto"/>
        <w:rPr>
          <w:rFonts w:hint="eastAsia" w:ascii="宋体" w:hAnsi="宋体"/>
          <w:szCs w:val="21"/>
        </w:rPr>
      </w:pPr>
      <w:r>
        <w:rPr>
          <w:rFonts w:hint="eastAsia" w:ascii="宋体" w:hAnsi="宋体"/>
          <w:szCs w:val="21"/>
        </w:rPr>
        <w:t>5.2.2  承包人应根据合同进度计划的安排，向监理人报送要求发包人交货的日期计划。发包人应按照监理人与合同双方当事人商定的交货日期，向承包人提交材料和工程设备。</w:t>
      </w:r>
    </w:p>
    <w:p w14:paraId="51E3CA8E">
      <w:pPr>
        <w:spacing w:line="360" w:lineRule="auto"/>
        <w:rPr>
          <w:rFonts w:hint="eastAsia" w:ascii="宋体" w:hAnsi="宋体"/>
          <w:szCs w:val="21"/>
        </w:rPr>
      </w:pPr>
      <w:r>
        <w:rPr>
          <w:rFonts w:hint="eastAsia" w:ascii="宋体" w:hAnsi="宋体"/>
          <w:szCs w:val="21"/>
        </w:rPr>
        <w:t>5.2.3  发包人应在材料和工程设备到货7天前通知承包人，承包人应会同监理人在约定的时间内，赴交货地点共同进行验收。由发包人提供的材料和工程设备验收后，由承包人负责接收、运输和保管。</w:t>
      </w:r>
    </w:p>
    <w:p w14:paraId="2ADE7B56">
      <w:pPr>
        <w:spacing w:line="360" w:lineRule="auto"/>
        <w:rPr>
          <w:rFonts w:hint="eastAsia" w:ascii="宋体" w:hAnsi="宋体"/>
          <w:szCs w:val="21"/>
        </w:rPr>
      </w:pPr>
      <w:r>
        <w:rPr>
          <w:rFonts w:hint="eastAsia" w:ascii="宋体" w:hAnsi="宋体"/>
          <w:szCs w:val="21"/>
        </w:rPr>
        <w:t xml:space="preserve">5.2.4  发包人要求向承包人提前交货的，承包人不得拒绝，但发包人应承担承包人由此增加的费用。 </w:t>
      </w:r>
    </w:p>
    <w:p w14:paraId="342E4C3D">
      <w:pPr>
        <w:spacing w:line="360" w:lineRule="auto"/>
        <w:rPr>
          <w:rFonts w:hint="eastAsia" w:ascii="宋体" w:hAnsi="宋体"/>
          <w:szCs w:val="21"/>
        </w:rPr>
      </w:pPr>
      <w:r>
        <w:rPr>
          <w:rFonts w:hint="eastAsia" w:ascii="宋体" w:hAnsi="宋体"/>
          <w:szCs w:val="21"/>
        </w:rPr>
        <w:t xml:space="preserve">5.2.5  承包人要求更改交货日期或地点的，应事先报请监理人批准。由于承包人要求更改交货时间或地点所增加的费用和（或）工期延误由承包人承担。 </w:t>
      </w:r>
    </w:p>
    <w:p w14:paraId="6F2F8A43">
      <w:pPr>
        <w:spacing w:line="360" w:lineRule="auto"/>
        <w:rPr>
          <w:rFonts w:hint="eastAsia" w:ascii="宋体" w:hAnsi="宋体"/>
          <w:szCs w:val="21"/>
        </w:rPr>
      </w:pPr>
      <w:r>
        <w:rPr>
          <w:rFonts w:hint="eastAsia" w:ascii="宋体" w:hAnsi="宋体"/>
          <w:szCs w:val="21"/>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0DD81ED5">
      <w:pPr>
        <w:spacing w:line="360" w:lineRule="auto"/>
        <w:rPr>
          <w:rFonts w:hint="eastAsia" w:ascii="宋体" w:hAnsi="宋体"/>
          <w:szCs w:val="21"/>
        </w:rPr>
      </w:pPr>
      <w:bookmarkStart w:id="743" w:name="_BookMark_145"/>
      <w:bookmarkEnd w:id="743"/>
      <w:r>
        <w:rPr>
          <w:rFonts w:hint="eastAsia" w:ascii="宋体" w:hAnsi="宋体"/>
          <w:szCs w:val="21"/>
        </w:rPr>
        <w:t>5.3  材料和工程设备专用于合同工程</w:t>
      </w:r>
    </w:p>
    <w:p w14:paraId="372399D6">
      <w:pPr>
        <w:spacing w:line="360" w:lineRule="auto"/>
        <w:rPr>
          <w:rFonts w:hint="eastAsia" w:ascii="宋体" w:hAnsi="宋体"/>
          <w:szCs w:val="21"/>
        </w:rPr>
      </w:pPr>
      <w:r>
        <w:rPr>
          <w:rFonts w:hint="eastAsia" w:ascii="宋体" w:hAnsi="宋体"/>
          <w:szCs w:val="21"/>
        </w:rPr>
        <w:t>5.3.1  运入施工场地的材料、工程设备，包括备品备件、安装专用工器具与随机资料，必须专用于合同工程，未经监理人同意，承包人不得运出施工场地或挪作他用。</w:t>
      </w:r>
    </w:p>
    <w:p w14:paraId="6BD17304">
      <w:pPr>
        <w:spacing w:line="360" w:lineRule="auto"/>
        <w:rPr>
          <w:rFonts w:hint="eastAsia" w:ascii="宋体" w:hAnsi="宋体"/>
          <w:szCs w:val="21"/>
        </w:rPr>
      </w:pPr>
      <w:r>
        <w:rPr>
          <w:rFonts w:hint="eastAsia" w:ascii="宋体" w:hAnsi="宋体"/>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D365D35">
      <w:pPr>
        <w:spacing w:line="360" w:lineRule="auto"/>
        <w:rPr>
          <w:rFonts w:hint="eastAsia" w:ascii="宋体" w:hAnsi="宋体"/>
          <w:szCs w:val="21"/>
        </w:rPr>
      </w:pPr>
      <w:bookmarkStart w:id="744" w:name="_BookMark_146"/>
      <w:bookmarkEnd w:id="744"/>
      <w:r>
        <w:rPr>
          <w:rFonts w:hint="eastAsia" w:ascii="宋体" w:hAnsi="宋体"/>
          <w:szCs w:val="21"/>
        </w:rPr>
        <w:t>5.4  禁止使用不合格的材料和工程设备</w:t>
      </w:r>
    </w:p>
    <w:p w14:paraId="09A2A4BB">
      <w:pPr>
        <w:spacing w:line="360" w:lineRule="auto"/>
        <w:rPr>
          <w:rFonts w:hint="eastAsia" w:ascii="宋体" w:hAnsi="宋体"/>
          <w:szCs w:val="21"/>
        </w:rPr>
      </w:pPr>
      <w:r>
        <w:rPr>
          <w:rFonts w:hint="eastAsia" w:ascii="宋体" w:hAnsi="宋体"/>
          <w:szCs w:val="21"/>
        </w:rPr>
        <w:t>5.4.1  监理人有权拒绝承包人提供的不合格材料或工程设备，并要求承包人立即进行更换。监理人应在更换后再次进行检查和检验，由此增加的费用和（或）工期延误由承包人承担。</w:t>
      </w:r>
    </w:p>
    <w:p w14:paraId="3F9651AE">
      <w:pPr>
        <w:spacing w:line="360" w:lineRule="auto"/>
        <w:rPr>
          <w:rFonts w:hint="eastAsia" w:ascii="宋体" w:hAnsi="宋体"/>
          <w:szCs w:val="21"/>
        </w:rPr>
      </w:pPr>
      <w:r>
        <w:rPr>
          <w:rFonts w:hint="eastAsia" w:ascii="宋体" w:hAnsi="宋体"/>
          <w:szCs w:val="21"/>
        </w:rPr>
        <w:t>5.4.2  监理人发现承包人使用了不合格的材料和工程设备，应即时发出指示要求承包人立即改正，并禁止在工程中继续使用不合格的材料和工程设备。</w:t>
      </w:r>
    </w:p>
    <w:p w14:paraId="04C85F73">
      <w:pPr>
        <w:spacing w:line="360" w:lineRule="auto"/>
        <w:rPr>
          <w:rFonts w:hint="eastAsia" w:ascii="宋体" w:hAnsi="宋体"/>
          <w:szCs w:val="21"/>
        </w:rPr>
      </w:pPr>
      <w:r>
        <w:rPr>
          <w:rFonts w:hint="eastAsia" w:ascii="宋体" w:hAnsi="宋体"/>
          <w:szCs w:val="21"/>
        </w:rPr>
        <w:t>5.4.3  发包人提供的材料或工程设备不符合合同要求的，承包人有权拒绝，并可要求发包人更换，由此增加的费用和（或）工期延误由发包人承担。</w:t>
      </w:r>
    </w:p>
    <w:p w14:paraId="16026D16">
      <w:pPr>
        <w:adjustRightInd w:val="0"/>
        <w:snapToGrid w:val="0"/>
        <w:spacing w:line="360" w:lineRule="auto"/>
        <w:outlineLvl w:val="2"/>
        <w:rPr>
          <w:rFonts w:hint="eastAsia" w:ascii="宋体" w:hAnsi="宋体"/>
          <w:sz w:val="28"/>
        </w:rPr>
      </w:pPr>
      <w:bookmarkStart w:id="745" w:name="_BookMark_147"/>
      <w:bookmarkEnd w:id="745"/>
      <w:bookmarkStart w:id="746" w:name="_Toc532542639"/>
      <w:bookmarkStart w:id="747" w:name="_Toc196225911"/>
      <w:bookmarkStart w:id="748" w:name="_Toc162620937"/>
      <w:bookmarkStart w:id="749" w:name="_Toc528247483"/>
      <w:r>
        <w:rPr>
          <w:rFonts w:hint="eastAsia" w:ascii="宋体" w:hAnsi="宋体"/>
          <w:sz w:val="28"/>
        </w:rPr>
        <w:t>6.施工设备和临时设施</w:t>
      </w:r>
      <w:bookmarkEnd w:id="746"/>
      <w:bookmarkEnd w:id="747"/>
      <w:bookmarkEnd w:id="748"/>
      <w:bookmarkEnd w:id="749"/>
    </w:p>
    <w:p w14:paraId="761FA235">
      <w:pPr>
        <w:spacing w:line="360" w:lineRule="auto"/>
        <w:rPr>
          <w:rFonts w:hint="eastAsia" w:ascii="宋体" w:hAnsi="宋体"/>
          <w:szCs w:val="21"/>
        </w:rPr>
      </w:pPr>
      <w:bookmarkStart w:id="750" w:name="_BookMark_148"/>
      <w:bookmarkEnd w:id="750"/>
      <w:r>
        <w:rPr>
          <w:rFonts w:hint="eastAsia" w:ascii="宋体" w:hAnsi="宋体"/>
          <w:szCs w:val="21"/>
        </w:rPr>
        <w:t>6.1  承包人提供的施工设备和临时设施</w:t>
      </w:r>
    </w:p>
    <w:p w14:paraId="369EB474">
      <w:pPr>
        <w:spacing w:line="360" w:lineRule="auto"/>
        <w:rPr>
          <w:rFonts w:hint="eastAsia" w:ascii="宋体" w:hAnsi="宋体"/>
          <w:szCs w:val="21"/>
        </w:rPr>
      </w:pPr>
      <w:r>
        <w:rPr>
          <w:rFonts w:hint="eastAsia" w:ascii="宋体" w:hAnsi="宋体"/>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017DA0E2">
      <w:pPr>
        <w:spacing w:line="360" w:lineRule="auto"/>
        <w:rPr>
          <w:rFonts w:hint="eastAsia" w:ascii="宋体" w:hAnsi="宋体"/>
          <w:szCs w:val="21"/>
        </w:rPr>
      </w:pPr>
      <w:r>
        <w:rPr>
          <w:rFonts w:hint="eastAsia" w:ascii="宋体" w:hAnsi="宋体"/>
          <w:szCs w:val="21"/>
        </w:rPr>
        <w:t>6.1.2  除合同另有约定外，承包人应承担自行修建临时设施的费用。需要临时占地的，应由发包人办理申请手续并承担相应费用。承包人自行修建临时设施的范围以及所需临时占地见合同条款专用部分。</w:t>
      </w:r>
    </w:p>
    <w:p w14:paraId="4B91B04E">
      <w:pPr>
        <w:spacing w:line="360" w:lineRule="auto"/>
        <w:rPr>
          <w:rFonts w:hint="eastAsia" w:ascii="宋体" w:hAnsi="宋体"/>
          <w:szCs w:val="21"/>
        </w:rPr>
      </w:pPr>
      <w:bookmarkStart w:id="751" w:name="_BookMark_149"/>
      <w:bookmarkEnd w:id="751"/>
      <w:r>
        <w:rPr>
          <w:rFonts w:hint="eastAsia" w:ascii="宋体" w:hAnsi="宋体"/>
          <w:szCs w:val="21"/>
        </w:rPr>
        <w:t>6.2  发包人提供的施工设备和临时设施</w:t>
      </w:r>
    </w:p>
    <w:p w14:paraId="2F256EA3">
      <w:pPr>
        <w:spacing w:line="360" w:lineRule="auto"/>
        <w:rPr>
          <w:rFonts w:hint="eastAsia" w:ascii="宋体" w:hAnsi="宋体"/>
          <w:szCs w:val="21"/>
        </w:rPr>
      </w:pPr>
      <w:r>
        <w:rPr>
          <w:rFonts w:hint="eastAsia" w:ascii="宋体" w:hAnsi="宋体"/>
          <w:szCs w:val="21"/>
        </w:rPr>
        <w:t>发包人提供的施工设备或临时设施，以及相关运行、维护、拆除、清运费用的承担人见合同条款专用部分。</w:t>
      </w:r>
    </w:p>
    <w:p w14:paraId="4A124166">
      <w:pPr>
        <w:spacing w:line="360" w:lineRule="auto"/>
        <w:rPr>
          <w:rFonts w:hint="eastAsia" w:ascii="宋体" w:hAnsi="宋体"/>
          <w:szCs w:val="21"/>
        </w:rPr>
      </w:pPr>
      <w:bookmarkStart w:id="752" w:name="_BookMark_150"/>
      <w:bookmarkEnd w:id="752"/>
      <w:r>
        <w:rPr>
          <w:rFonts w:hint="eastAsia" w:ascii="宋体" w:hAnsi="宋体"/>
          <w:szCs w:val="21"/>
        </w:rPr>
        <w:t>6.3  要求承包人增加或更换施工设备</w:t>
      </w:r>
    </w:p>
    <w:p w14:paraId="3963CC42">
      <w:pPr>
        <w:spacing w:line="360" w:lineRule="auto"/>
        <w:rPr>
          <w:rFonts w:hint="eastAsia" w:ascii="宋体" w:hAnsi="宋体"/>
          <w:szCs w:val="21"/>
        </w:rPr>
      </w:pPr>
      <w:r>
        <w:rPr>
          <w:rFonts w:hint="eastAsia" w:ascii="宋体" w:hAnsi="宋体"/>
          <w:szCs w:val="21"/>
        </w:rPr>
        <w:t>承包人使用的施工设备不能满足合同进度计划和（或）质量要求时，监理人有权要求承包人增加或更换施工设备，承包人应及时增加或更换，由此增加的费用和（或）工期延误由承包人承担。</w:t>
      </w:r>
    </w:p>
    <w:p w14:paraId="449FD086">
      <w:pPr>
        <w:spacing w:line="360" w:lineRule="auto"/>
        <w:rPr>
          <w:rFonts w:hint="eastAsia" w:ascii="宋体" w:hAnsi="宋体"/>
          <w:szCs w:val="21"/>
        </w:rPr>
      </w:pPr>
      <w:bookmarkStart w:id="753" w:name="_BookMark_151"/>
      <w:bookmarkEnd w:id="753"/>
      <w:r>
        <w:rPr>
          <w:rFonts w:hint="eastAsia" w:ascii="宋体" w:hAnsi="宋体"/>
          <w:szCs w:val="21"/>
        </w:rPr>
        <w:t>6.4  施工设备和临时设施专用于合同工程</w:t>
      </w:r>
    </w:p>
    <w:p w14:paraId="420F88A2">
      <w:pPr>
        <w:spacing w:line="360" w:lineRule="auto"/>
        <w:rPr>
          <w:rFonts w:hint="eastAsia" w:ascii="宋体" w:hAnsi="宋体"/>
          <w:szCs w:val="21"/>
        </w:rPr>
      </w:pPr>
      <w:r>
        <w:rPr>
          <w:rFonts w:hint="eastAsia" w:ascii="宋体" w:hAnsi="宋体"/>
          <w:szCs w:val="21"/>
        </w:rPr>
        <w:t>6.4.1  除为第4.1.8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68F99487">
      <w:pPr>
        <w:spacing w:line="360" w:lineRule="auto"/>
        <w:rPr>
          <w:rFonts w:hint="eastAsia" w:ascii="宋体" w:hAnsi="宋体"/>
          <w:szCs w:val="21"/>
        </w:rPr>
      </w:pPr>
      <w:r>
        <w:rPr>
          <w:rFonts w:hint="eastAsia" w:ascii="宋体" w:hAnsi="宋体"/>
          <w:szCs w:val="21"/>
        </w:rPr>
        <w:t>6.4.2  经监理人同意，承包人可根据合同进度计划撤走闲置的施工设备。</w:t>
      </w:r>
    </w:p>
    <w:p w14:paraId="49C3EB8A">
      <w:pPr>
        <w:adjustRightInd w:val="0"/>
        <w:snapToGrid w:val="0"/>
        <w:spacing w:line="360" w:lineRule="auto"/>
        <w:outlineLvl w:val="2"/>
        <w:rPr>
          <w:rFonts w:hint="eastAsia" w:ascii="宋体" w:hAnsi="宋体"/>
          <w:sz w:val="28"/>
        </w:rPr>
      </w:pPr>
      <w:bookmarkStart w:id="754" w:name="_BookMark_152"/>
      <w:bookmarkEnd w:id="754"/>
      <w:bookmarkStart w:id="755" w:name="_Toc528247484"/>
      <w:bookmarkStart w:id="756" w:name="_Toc162620938"/>
      <w:bookmarkStart w:id="757" w:name="_Toc196225912"/>
      <w:bookmarkStart w:id="758" w:name="_Toc532542640"/>
      <w:r>
        <w:rPr>
          <w:rFonts w:hint="eastAsia" w:ascii="宋体" w:hAnsi="宋体"/>
          <w:sz w:val="28"/>
        </w:rPr>
        <w:t>7.交通运输</w:t>
      </w:r>
      <w:bookmarkEnd w:id="755"/>
      <w:bookmarkEnd w:id="756"/>
      <w:bookmarkEnd w:id="757"/>
      <w:bookmarkEnd w:id="758"/>
    </w:p>
    <w:p w14:paraId="7C2FE791">
      <w:pPr>
        <w:spacing w:line="360" w:lineRule="auto"/>
        <w:rPr>
          <w:rFonts w:hint="eastAsia" w:ascii="宋体" w:hAnsi="宋体"/>
          <w:szCs w:val="21"/>
        </w:rPr>
      </w:pPr>
      <w:bookmarkStart w:id="759" w:name="_BookMark_153"/>
      <w:bookmarkEnd w:id="759"/>
      <w:r>
        <w:rPr>
          <w:rFonts w:hint="eastAsia" w:ascii="宋体" w:hAnsi="宋体"/>
          <w:szCs w:val="21"/>
        </w:rPr>
        <w:t>7.1  道路通行权和场外设施</w:t>
      </w:r>
    </w:p>
    <w:p w14:paraId="54D3AF18">
      <w:pPr>
        <w:spacing w:line="360" w:lineRule="auto"/>
        <w:rPr>
          <w:rFonts w:hint="eastAsia" w:ascii="宋体" w:hAnsi="宋体"/>
          <w:szCs w:val="21"/>
        </w:rPr>
      </w:pPr>
      <w:r>
        <w:rPr>
          <w:rFonts w:hint="eastAsia" w:ascii="宋体" w:hAnsi="宋体"/>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57F10AA7">
      <w:pPr>
        <w:spacing w:line="360" w:lineRule="auto"/>
        <w:rPr>
          <w:rFonts w:hint="eastAsia" w:ascii="宋体" w:hAnsi="宋体"/>
          <w:szCs w:val="21"/>
        </w:rPr>
      </w:pPr>
      <w:bookmarkStart w:id="760" w:name="_BookMark_154"/>
      <w:bookmarkEnd w:id="760"/>
      <w:r>
        <w:rPr>
          <w:rFonts w:hint="eastAsia" w:ascii="宋体" w:hAnsi="宋体"/>
          <w:szCs w:val="21"/>
        </w:rPr>
        <w:t>7.2  场内施工道路</w:t>
      </w:r>
    </w:p>
    <w:p w14:paraId="553287D3">
      <w:pPr>
        <w:spacing w:line="360" w:lineRule="auto"/>
        <w:rPr>
          <w:rFonts w:hint="eastAsia" w:ascii="宋体" w:hAnsi="宋体"/>
          <w:szCs w:val="21"/>
        </w:rPr>
      </w:pPr>
      <w:r>
        <w:rPr>
          <w:rFonts w:hint="eastAsia" w:ascii="宋体" w:hAnsi="宋体"/>
          <w:szCs w:val="21"/>
        </w:rPr>
        <w:t>7.2.1  除合同条款专用部分另有约定外，承包人应负责修建、维修、养护和管理施工所需的临时道路和交通设施，包括维修、养护和管理发包人提供的道路和交通设施，并承担相应费用。</w:t>
      </w:r>
    </w:p>
    <w:p w14:paraId="0E919DB8">
      <w:pPr>
        <w:spacing w:line="360" w:lineRule="auto"/>
        <w:rPr>
          <w:rFonts w:hint="eastAsia" w:ascii="宋体" w:hAnsi="宋体"/>
          <w:szCs w:val="21"/>
        </w:rPr>
      </w:pPr>
      <w:r>
        <w:rPr>
          <w:rFonts w:hint="eastAsia" w:ascii="宋体" w:hAnsi="宋体"/>
          <w:szCs w:val="21"/>
        </w:rPr>
        <w:t>7.2.2  发包人和监理人有权无偿使用承包人修建的临时道路和交通设施，不需要交纳任何费用。</w:t>
      </w:r>
    </w:p>
    <w:p w14:paraId="035C5D2F">
      <w:pPr>
        <w:spacing w:line="360" w:lineRule="auto"/>
        <w:rPr>
          <w:rFonts w:hint="eastAsia" w:ascii="宋体" w:hAnsi="宋体"/>
          <w:szCs w:val="21"/>
        </w:rPr>
      </w:pPr>
      <w:bookmarkStart w:id="761" w:name="_BookMark_155"/>
      <w:bookmarkEnd w:id="761"/>
      <w:r>
        <w:rPr>
          <w:rFonts w:hint="eastAsia" w:ascii="宋体" w:hAnsi="宋体"/>
          <w:szCs w:val="21"/>
        </w:rPr>
        <w:t>7.3  场外交通</w:t>
      </w:r>
    </w:p>
    <w:p w14:paraId="096F968A">
      <w:pPr>
        <w:spacing w:line="360" w:lineRule="auto"/>
        <w:rPr>
          <w:rFonts w:hint="eastAsia" w:ascii="宋体" w:hAnsi="宋体"/>
          <w:szCs w:val="21"/>
        </w:rPr>
      </w:pPr>
      <w:r>
        <w:rPr>
          <w:rFonts w:hint="eastAsia" w:ascii="宋体" w:hAnsi="宋体"/>
          <w:szCs w:val="21"/>
        </w:rPr>
        <w:t>7.3.1  承包人车辆外出行驶所需的场外公共道路的通行费、养路费和税款等由承包人承担。</w:t>
      </w:r>
    </w:p>
    <w:p w14:paraId="18EEE408">
      <w:pPr>
        <w:spacing w:line="360" w:lineRule="auto"/>
        <w:rPr>
          <w:rFonts w:hint="eastAsia" w:ascii="宋体" w:hAnsi="宋体"/>
          <w:szCs w:val="21"/>
        </w:rPr>
      </w:pPr>
      <w:r>
        <w:rPr>
          <w:rFonts w:hint="eastAsia" w:ascii="宋体" w:hAnsi="宋体"/>
          <w:szCs w:val="21"/>
        </w:rPr>
        <w:t>7.3.2  承包人应遵守有关交通法规，严格按照道路和桥梁的限制荷重安全行驶，并服从交通管理部门的检查和监督。</w:t>
      </w:r>
    </w:p>
    <w:p w14:paraId="1FAECDB7">
      <w:pPr>
        <w:spacing w:line="360" w:lineRule="auto"/>
        <w:rPr>
          <w:rFonts w:hint="eastAsia" w:ascii="宋体" w:hAnsi="宋体"/>
          <w:szCs w:val="21"/>
        </w:rPr>
      </w:pPr>
      <w:bookmarkStart w:id="762" w:name="_BookMark_156"/>
      <w:bookmarkEnd w:id="762"/>
      <w:r>
        <w:rPr>
          <w:rFonts w:hint="eastAsia" w:ascii="宋体" w:hAnsi="宋体"/>
          <w:szCs w:val="21"/>
        </w:rPr>
        <w:t>7.4  超大件和超重件的运输</w:t>
      </w:r>
    </w:p>
    <w:p w14:paraId="1016B1E9">
      <w:pPr>
        <w:spacing w:line="360" w:lineRule="auto"/>
        <w:rPr>
          <w:rFonts w:hint="eastAsia" w:ascii="宋体" w:hAnsi="宋体"/>
          <w:szCs w:val="21"/>
        </w:rPr>
      </w:pPr>
      <w:r>
        <w:rPr>
          <w:rFonts w:hint="eastAsia" w:ascii="宋体"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51B3F59C">
      <w:pPr>
        <w:spacing w:line="360" w:lineRule="auto"/>
        <w:rPr>
          <w:rFonts w:hint="eastAsia" w:ascii="宋体" w:hAnsi="宋体"/>
          <w:szCs w:val="21"/>
        </w:rPr>
      </w:pPr>
      <w:bookmarkStart w:id="763" w:name="_BookMark_157"/>
      <w:bookmarkEnd w:id="763"/>
      <w:r>
        <w:rPr>
          <w:rFonts w:hint="eastAsia" w:ascii="宋体" w:hAnsi="宋体"/>
          <w:szCs w:val="21"/>
        </w:rPr>
        <w:t>7.5  道路和桥梁的损坏责任</w:t>
      </w:r>
    </w:p>
    <w:p w14:paraId="7FE243D3">
      <w:pPr>
        <w:spacing w:line="360" w:lineRule="auto"/>
        <w:rPr>
          <w:rFonts w:hint="eastAsia" w:ascii="宋体" w:hAnsi="宋体"/>
          <w:szCs w:val="21"/>
        </w:rPr>
      </w:pPr>
      <w:r>
        <w:rPr>
          <w:rFonts w:hint="eastAsia" w:ascii="宋体" w:hAnsi="宋体"/>
          <w:szCs w:val="21"/>
        </w:rPr>
        <w:t>因承包人运输造成施工场地内外公共道路和桥梁损坏的，由承包人承担修复损坏的全部费用和可能引起的赔偿。</w:t>
      </w:r>
    </w:p>
    <w:p w14:paraId="2650F3E9">
      <w:pPr>
        <w:spacing w:line="360" w:lineRule="auto"/>
        <w:rPr>
          <w:rFonts w:hint="eastAsia" w:ascii="宋体" w:hAnsi="宋体"/>
          <w:szCs w:val="21"/>
        </w:rPr>
      </w:pPr>
      <w:bookmarkStart w:id="764" w:name="_BookMark_158"/>
      <w:bookmarkEnd w:id="764"/>
      <w:r>
        <w:rPr>
          <w:rFonts w:hint="eastAsia" w:ascii="宋体" w:hAnsi="宋体"/>
          <w:szCs w:val="21"/>
        </w:rPr>
        <w:t>7.6  水路和航空运输</w:t>
      </w:r>
    </w:p>
    <w:p w14:paraId="0AA9E7AC">
      <w:pPr>
        <w:spacing w:line="360" w:lineRule="auto"/>
        <w:rPr>
          <w:rFonts w:hint="eastAsia" w:ascii="宋体" w:hAnsi="宋体"/>
          <w:szCs w:val="21"/>
        </w:rPr>
      </w:pPr>
      <w:r>
        <w:rPr>
          <w:rFonts w:hint="eastAsia" w:ascii="宋体" w:hAnsi="宋体"/>
          <w:szCs w:val="21"/>
        </w:rPr>
        <w:t>本条上述各款的内容适用于水路运输和航空运输，其中“道路”一词的涵义包括河道、航线、船闸、机场、码头、堤防以及水路或航空运输中其他相似结构物；“车辆”一词的涵义包括船舶和飞机等。</w:t>
      </w:r>
    </w:p>
    <w:p w14:paraId="3329638A">
      <w:pPr>
        <w:adjustRightInd w:val="0"/>
        <w:snapToGrid w:val="0"/>
        <w:spacing w:line="360" w:lineRule="auto"/>
        <w:outlineLvl w:val="2"/>
        <w:rPr>
          <w:rFonts w:hint="eastAsia" w:ascii="宋体" w:hAnsi="宋体"/>
          <w:sz w:val="28"/>
        </w:rPr>
      </w:pPr>
      <w:bookmarkStart w:id="765" w:name="_BookMark_159"/>
      <w:bookmarkEnd w:id="765"/>
      <w:bookmarkStart w:id="766" w:name="_Toc528247485"/>
      <w:bookmarkStart w:id="767" w:name="_Toc196225913"/>
      <w:bookmarkStart w:id="768" w:name="_Toc532542641"/>
      <w:bookmarkStart w:id="769" w:name="_Toc162620939"/>
      <w:r>
        <w:rPr>
          <w:rFonts w:hint="eastAsia" w:ascii="宋体" w:hAnsi="宋体"/>
          <w:sz w:val="28"/>
        </w:rPr>
        <w:t>8.测量放线</w:t>
      </w:r>
      <w:bookmarkEnd w:id="766"/>
      <w:bookmarkEnd w:id="767"/>
      <w:bookmarkEnd w:id="768"/>
      <w:bookmarkEnd w:id="769"/>
    </w:p>
    <w:p w14:paraId="55DC657F">
      <w:pPr>
        <w:spacing w:line="360" w:lineRule="auto"/>
        <w:rPr>
          <w:rFonts w:hint="eastAsia" w:ascii="宋体" w:hAnsi="宋体"/>
          <w:szCs w:val="21"/>
        </w:rPr>
      </w:pPr>
      <w:bookmarkStart w:id="770" w:name="_BookMark_160"/>
      <w:bookmarkEnd w:id="770"/>
      <w:r>
        <w:rPr>
          <w:rFonts w:hint="eastAsia" w:ascii="宋体" w:hAnsi="宋体"/>
          <w:szCs w:val="21"/>
        </w:rPr>
        <w:t>8.1  施工控制网</w:t>
      </w:r>
    </w:p>
    <w:p w14:paraId="032E941B">
      <w:pPr>
        <w:spacing w:line="360" w:lineRule="auto"/>
        <w:rPr>
          <w:rFonts w:hint="eastAsia" w:ascii="宋体" w:hAnsi="宋体"/>
          <w:szCs w:val="21"/>
        </w:rPr>
      </w:pPr>
      <w:r>
        <w:rPr>
          <w:rFonts w:hint="eastAsia" w:ascii="宋体" w:hAnsi="宋体"/>
          <w:szCs w:val="21"/>
        </w:rPr>
        <w:t>8.1.1  发包人应在合同约定的期限内，通过监理人向承包人提供测量基准点、基准线和水准点及其书面资料。向承包人提供测量基准点、基准线和水准点及其书面资料的期限见合同条款专用部分。</w:t>
      </w:r>
    </w:p>
    <w:p w14:paraId="2CF4708E">
      <w:pPr>
        <w:spacing w:line="360" w:lineRule="auto"/>
        <w:rPr>
          <w:rFonts w:hint="eastAsia" w:ascii="宋体" w:hAnsi="宋体"/>
          <w:szCs w:val="21"/>
        </w:rPr>
      </w:pPr>
      <w:r>
        <w:rPr>
          <w:rFonts w:hint="eastAsia" w:ascii="宋体" w:hAnsi="宋体"/>
          <w:szCs w:val="21"/>
        </w:rPr>
        <w:t>8.1.2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388EB987">
      <w:pPr>
        <w:spacing w:line="360" w:lineRule="auto"/>
        <w:rPr>
          <w:rFonts w:hint="eastAsia" w:ascii="宋体" w:hAnsi="宋体"/>
          <w:szCs w:val="21"/>
        </w:rPr>
      </w:pPr>
      <w:r>
        <w:rPr>
          <w:rFonts w:hint="eastAsia" w:ascii="宋体" w:hAnsi="宋体"/>
          <w:szCs w:val="21"/>
        </w:rPr>
        <w:t>8.1.3  承包人应负责管理施工控制网点。施工控制网点丢失或损坏的，承包人应及时修复，并承担施工控制网点的管理与修复费用。工程竣工后将施工控制网点移交发包人。</w:t>
      </w:r>
    </w:p>
    <w:p w14:paraId="56703487">
      <w:pPr>
        <w:spacing w:line="360" w:lineRule="auto"/>
        <w:rPr>
          <w:rFonts w:hint="eastAsia" w:ascii="宋体" w:hAnsi="宋体"/>
          <w:szCs w:val="21"/>
        </w:rPr>
      </w:pPr>
      <w:bookmarkStart w:id="771" w:name="_BookMark_161"/>
      <w:bookmarkEnd w:id="771"/>
      <w:r>
        <w:rPr>
          <w:rFonts w:hint="eastAsia" w:ascii="宋体" w:hAnsi="宋体"/>
          <w:szCs w:val="21"/>
        </w:rPr>
        <w:t>8.2  施工测量</w:t>
      </w:r>
    </w:p>
    <w:p w14:paraId="299BF9A2">
      <w:pPr>
        <w:spacing w:line="360" w:lineRule="auto"/>
        <w:rPr>
          <w:rFonts w:hint="eastAsia" w:ascii="宋体" w:hAnsi="宋体"/>
          <w:szCs w:val="21"/>
        </w:rPr>
      </w:pPr>
      <w:r>
        <w:rPr>
          <w:rFonts w:hint="eastAsia" w:ascii="宋体" w:hAnsi="宋体"/>
          <w:szCs w:val="21"/>
        </w:rPr>
        <w:t>8.2.1  承包人应负责施工过程中的全部施工测量放线工作，并配置合格的人员、仪器、设备和其他物品。</w:t>
      </w:r>
    </w:p>
    <w:p w14:paraId="5FC4867B">
      <w:pPr>
        <w:spacing w:line="360" w:lineRule="auto"/>
        <w:rPr>
          <w:rFonts w:hint="eastAsia" w:ascii="宋体" w:hAnsi="宋体"/>
          <w:szCs w:val="21"/>
        </w:rPr>
      </w:pPr>
      <w:r>
        <w:rPr>
          <w:rFonts w:hint="eastAsia" w:ascii="宋体" w:hAnsi="宋体"/>
          <w:szCs w:val="21"/>
        </w:rPr>
        <w:t>8.2.2  监理人可以指示承包人进行抽样复测，当复测中发现错误或出现超过合同约定的误差时，承包人应按监理人指示进行修正或补测，并承担相应的复测费用。</w:t>
      </w:r>
    </w:p>
    <w:p w14:paraId="1167F33B">
      <w:pPr>
        <w:spacing w:line="360" w:lineRule="auto"/>
        <w:rPr>
          <w:rFonts w:hint="eastAsia" w:ascii="宋体" w:hAnsi="宋体"/>
          <w:szCs w:val="21"/>
        </w:rPr>
      </w:pPr>
      <w:bookmarkStart w:id="772" w:name="_BookMark_162"/>
      <w:bookmarkEnd w:id="772"/>
      <w:r>
        <w:rPr>
          <w:rFonts w:hint="eastAsia" w:ascii="宋体" w:hAnsi="宋体"/>
          <w:szCs w:val="21"/>
        </w:rPr>
        <w:t>8.3  基准资料错误的责任</w:t>
      </w:r>
    </w:p>
    <w:p w14:paraId="5BEACA0A">
      <w:pPr>
        <w:spacing w:line="360" w:lineRule="auto"/>
        <w:rPr>
          <w:rFonts w:hint="eastAsia" w:ascii="宋体" w:hAnsi="宋体"/>
          <w:szCs w:val="21"/>
        </w:rPr>
      </w:pPr>
      <w:r>
        <w:rPr>
          <w:rFonts w:hint="eastAsia" w:ascii="宋体" w:hAnsi="宋体"/>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955D6E5">
      <w:pPr>
        <w:spacing w:line="360" w:lineRule="auto"/>
        <w:rPr>
          <w:rFonts w:hint="eastAsia" w:ascii="宋体" w:hAnsi="宋体"/>
          <w:szCs w:val="21"/>
        </w:rPr>
      </w:pPr>
      <w:bookmarkStart w:id="773" w:name="_BookMark_163"/>
      <w:bookmarkEnd w:id="773"/>
      <w:r>
        <w:rPr>
          <w:rFonts w:hint="eastAsia" w:ascii="宋体" w:hAnsi="宋体"/>
          <w:szCs w:val="21"/>
        </w:rPr>
        <w:t>8.4  监理人使用施工控制网</w:t>
      </w:r>
    </w:p>
    <w:p w14:paraId="4D21F34C">
      <w:pPr>
        <w:spacing w:line="360" w:lineRule="auto"/>
        <w:rPr>
          <w:rFonts w:hint="eastAsia" w:ascii="宋体" w:hAnsi="宋体"/>
          <w:szCs w:val="21"/>
        </w:rPr>
      </w:pPr>
      <w:r>
        <w:rPr>
          <w:rFonts w:hint="eastAsia" w:ascii="宋体" w:hAnsi="宋体"/>
          <w:szCs w:val="21"/>
        </w:rPr>
        <w:t>监理人需要使用施工控制网的，承包人应提供必要的协助，发包人不再为此支付费用。</w:t>
      </w:r>
    </w:p>
    <w:p w14:paraId="2A7F77DD">
      <w:pPr>
        <w:adjustRightInd w:val="0"/>
        <w:snapToGrid w:val="0"/>
        <w:spacing w:line="360" w:lineRule="auto"/>
        <w:outlineLvl w:val="2"/>
        <w:rPr>
          <w:rFonts w:hint="eastAsia" w:ascii="宋体" w:hAnsi="宋体"/>
          <w:sz w:val="28"/>
        </w:rPr>
      </w:pPr>
      <w:bookmarkStart w:id="774" w:name="_BookMark_164"/>
      <w:bookmarkEnd w:id="774"/>
      <w:bookmarkStart w:id="775" w:name="_Toc196225914"/>
      <w:bookmarkStart w:id="776" w:name="_Toc532542642"/>
      <w:bookmarkStart w:id="777" w:name="_Toc162620940"/>
      <w:bookmarkStart w:id="778" w:name="_Toc528247486"/>
      <w:r>
        <w:rPr>
          <w:rFonts w:hint="eastAsia" w:ascii="宋体" w:hAnsi="宋体"/>
          <w:sz w:val="28"/>
        </w:rPr>
        <w:t>9.施工安全、治安保卫和环境保护</w:t>
      </w:r>
      <w:bookmarkEnd w:id="775"/>
      <w:bookmarkEnd w:id="776"/>
      <w:bookmarkEnd w:id="777"/>
      <w:bookmarkEnd w:id="778"/>
    </w:p>
    <w:p w14:paraId="7726172C">
      <w:pPr>
        <w:spacing w:line="360" w:lineRule="auto"/>
        <w:rPr>
          <w:rFonts w:hint="eastAsia" w:ascii="宋体" w:hAnsi="宋体"/>
          <w:szCs w:val="21"/>
        </w:rPr>
      </w:pPr>
      <w:bookmarkStart w:id="779" w:name="_BookMark_165"/>
      <w:bookmarkEnd w:id="779"/>
      <w:r>
        <w:rPr>
          <w:rFonts w:hint="eastAsia" w:ascii="宋体" w:hAnsi="宋体"/>
          <w:szCs w:val="21"/>
        </w:rPr>
        <w:t>9.1  发包人的施工安全责任</w:t>
      </w:r>
    </w:p>
    <w:p w14:paraId="0B53F48A">
      <w:pPr>
        <w:spacing w:line="360" w:lineRule="auto"/>
        <w:rPr>
          <w:rFonts w:hint="eastAsia" w:ascii="宋体" w:hAnsi="宋体"/>
          <w:szCs w:val="21"/>
        </w:rPr>
      </w:pPr>
      <w:r>
        <w:rPr>
          <w:rFonts w:hint="eastAsia" w:ascii="宋体" w:hAnsi="宋体"/>
          <w:szCs w:val="21"/>
        </w:rPr>
        <w:t>9.1.1  发包人应按合同约定履行安全职责，授权监理人按合同约定的安全工作内容监督、检查承包人安全工作的实施，组织承包人和有关单位进行安全检查。</w:t>
      </w:r>
    </w:p>
    <w:p w14:paraId="2ED907DC">
      <w:pPr>
        <w:spacing w:line="360" w:lineRule="auto"/>
        <w:rPr>
          <w:rFonts w:hint="eastAsia" w:ascii="宋体" w:hAnsi="宋体"/>
          <w:szCs w:val="21"/>
        </w:rPr>
      </w:pPr>
      <w:r>
        <w:rPr>
          <w:rFonts w:hint="eastAsia" w:ascii="宋体" w:hAnsi="宋体"/>
          <w:szCs w:val="21"/>
        </w:rPr>
        <w:t>9.1.2  发包人应对其现场机构雇佣的全部人员的工伤事故承担责任，但由于承包人原因造成发包人人员工伤的，应由承包人承担责任。</w:t>
      </w:r>
    </w:p>
    <w:p w14:paraId="570F3F76">
      <w:pPr>
        <w:spacing w:line="360" w:lineRule="auto"/>
        <w:rPr>
          <w:rFonts w:hint="eastAsia" w:ascii="宋体" w:hAnsi="宋体"/>
          <w:szCs w:val="21"/>
        </w:rPr>
      </w:pPr>
      <w:r>
        <w:rPr>
          <w:rFonts w:hint="eastAsia" w:ascii="宋体" w:hAnsi="宋体"/>
          <w:szCs w:val="21"/>
        </w:rPr>
        <w:t>9.1.3  发包人应负责赔偿以下各种情况造成的第三者人身伤亡和财产损失：</w:t>
      </w:r>
    </w:p>
    <w:p w14:paraId="7F028913">
      <w:pPr>
        <w:spacing w:line="360" w:lineRule="auto"/>
        <w:rPr>
          <w:rFonts w:hint="eastAsia" w:ascii="宋体" w:hAnsi="宋体"/>
          <w:szCs w:val="21"/>
        </w:rPr>
      </w:pPr>
      <w:r>
        <w:rPr>
          <w:rFonts w:hint="eastAsia" w:ascii="宋体" w:hAnsi="宋体"/>
          <w:szCs w:val="21"/>
        </w:rPr>
        <w:t>（1）工程或工程的任何部分对土地的占用所造成的第三者财产损失；</w:t>
      </w:r>
    </w:p>
    <w:p w14:paraId="1F519DBB">
      <w:pPr>
        <w:spacing w:line="360" w:lineRule="auto"/>
        <w:rPr>
          <w:rFonts w:hint="eastAsia" w:ascii="宋体" w:hAnsi="宋体"/>
          <w:szCs w:val="21"/>
        </w:rPr>
      </w:pPr>
      <w:r>
        <w:rPr>
          <w:rFonts w:hint="eastAsia" w:ascii="宋体" w:hAnsi="宋体"/>
          <w:szCs w:val="21"/>
        </w:rPr>
        <w:t>（2）由于发包人原因在施工场地及其毗邻地带造成的第三者人身伤亡和财产损失。</w:t>
      </w:r>
    </w:p>
    <w:p w14:paraId="191CE448">
      <w:pPr>
        <w:spacing w:line="360" w:lineRule="auto"/>
        <w:rPr>
          <w:rFonts w:hint="eastAsia" w:ascii="宋体" w:hAnsi="宋体"/>
          <w:szCs w:val="21"/>
        </w:rPr>
      </w:pPr>
      <w:bookmarkStart w:id="780" w:name="_BookMark_166"/>
      <w:bookmarkEnd w:id="780"/>
      <w:r>
        <w:rPr>
          <w:rFonts w:hint="eastAsia" w:ascii="宋体" w:hAnsi="宋体"/>
          <w:szCs w:val="21"/>
        </w:rPr>
        <w:t>9.2  承包人的施工安全责任</w:t>
      </w:r>
    </w:p>
    <w:p w14:paraId="046E4D5D">
      <w:pPr>
        <w:spacing w:line="360" w:lineRule="auto"/>
        <w:rPr>
          <w:rFonts w:hint="eastAsia" w:ascii="宋体" w:hAnsi="宋体"/>
          <w:szCs w:val="21"/>
        </w:rPr>
      </w:pPr>
      <w:r>
        <w:rPr>
          <w:rFonts w:hint="eastAsia" w:ascii="宋体" w:hAnsi="宋体"/>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169AACE6">
      <w:pPr>
        <w:spacing w:line="360" w:lineRule="auto"/>
        <w:rPr>
          <w:rFonts w:hint="eastAsia" w:ascii="宋体" w:hAnsi="宋体"/>
          <w:szCs w:val="21"/>
        </w:rPr>
      </w:pPr>
      <w:r>
        <w:rPr>
          <w:rFonts w:hint="eastAsia" w:ascii="宋体" w:hAnsi="宋体"/>
          <w:szCs w:val="21"/>
        </w:rPr>
        <w:t>9.2.2  承包人应加强施工作业安全管理，特别应加强易燃、易爆材料、火工器材、有毒与腐蚀性材料、行业挥发性有机物和其他危险品的管理，以及对爆破作业和地下工程施工等危险作业的管理。</w:t>
      </w:r>
    </w:p>
    <w:p w14:paraId="46E7AB4D">
      <w:pPr>
        <w:spacing w:line="360" w:lineRule="auto"/>
        <w:rPr>
          <w:rFonts w:hint="eastAsia" w:ascii="宋体" w:hAnsi="宋体"/>
          <w:szCs w:val="21"/>
        </w:rPr>
      </w:pPr>
      <w:r>
        <w:rPr>
          <w:rFonts w:hint="eastAsia" w:ascii="宋体" w:hAnsi="宋体"/>
          <w:szCs w:val="21"/>
        </w:rPr>
        <w:t>9.2.3  承包人应严格按照国家安全标准制定施工安全操作规程，配备必要的安全生产和劳动保护设施，加强对承包人人员的安全教育，并发放安全工作手册和劳动保护用具。</w:t>
      </w:r>
    </w:p>
    <w:p w14:paraId="40A38835">
      <w:pPr>
        <w:spacing w:line="360" w:lineRule="auto"/>
        <w:rPr>
          <w:rFonts w:hint="eastAsia" w:ascii="宋体" w:hAnsi="宋体"/>
          <w:szCs w:val="21"/>
        </w:rPr>
      </w:pPr>
      <w:r>
        <w:rPr>
          <w:rFonts w:hint="eastAsia" w:ascii="宋体" w:hAnsi="宋体"/>
          <w:szCs w:val="21"/>
        </w:rPr>
        <w:t>9.2.4  承包人应按监理人的指示制定应对灾害的紧急预案，报送监理人审批。承包人还应按预案做好安全检查，配置必要的救助物资和器材，切实保护好有关人员的人身和财产安全。</w:t>
      </w:r>
    </w:p>
    <w:p w14:paraId="5CAD2DEC">
      <w:pPr>
        <w:spacing w:line="360" w:lineRule="auto"/>
        <w:rPr>
          <w:rFonts w:hint="eastAsia" w:ascii="宋体" w:hAnsi="宋体"/>
          <w:szCs w:val="21"/>
        </w:rPr>
      </w:pPr>
      <w:r>
        <w:rPr>
          <w:rFonts w:hint="eastAsia" w:ascii="宋体" w:hAnsi="宋体"/>
          <w:szCs w:val="21"/>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7AC79A50">
      <w:pPr>
        <w:spacing w:line="360" w:lineRule="auto"/>
        <w:rPr>
          <w:rFonts w:hint="eastAsia" w:ascii="宋体" w:hAnsi="宋体"/>
          <w:szCs w:val="21"/>
        </w:rPr>
      </w:pPr>
      <w:r>
        <w:rPr>
          <w:rFonts w:hint="eastAsia" w:ascii="宋体" w:hAnsi="宋体"/>
          <w:szCs w:val="21"/>
        </w:rPr>
        <w:t>9.2.6  承包人应对其履行合同所雇佣的全部人员，包括分包人人员的工伤事故承担责任，但由于发包人原因造成承包人人员工伤事故的，应由发包人承担责任。</w:t>
      </w:r>
    </w:p>
    <w:p w14:paraId="5677D843">
      <w:pPr>
        <w:spacing w:line="360" w:lineRule="auto"/>
        <w:rPr>
          <w:rFonts w:hint="eastAsia" w:ascii="宋体" w:hAnsi="宋体"/>
          <w:szCs w:val="21"/>
        </w:rPr>
      </w:pPr>
      <w:r>
        <w:rPr>
          <w:rFonts w:hint="eastAsia" w:ascii="宋体" w:hAnsi="宋体"/>
          <w:szCs w:val="21"/>
        </w:rPr>
        <w:t>9.2.7  由于承包人原因在施工场地内及其毗邻地带造成的第三者人员伤亡和财产损失，由承包人负责赔偿。</w:t>
      </w:r>
    </w:p>
    <w:p w14:paraId="4EB05D14">
      <w:pPr>
        <w:spacing w:line="360" w:lineRule="auto"/>
        <w:rPr>
          <w:rFonts w:hint="eastAsia" w:ascii="宋体" w:hAnsi="宋体"/>
          <w:szCs w:val="21"/>
        </w:rPr>
      </w:pPr>
      <w:bookmarkStart w:id="781" w:name="_BookMark_167"/>
      <w:bookmarkEnd w:id="781"/>
      <w:r>
        <w:rPr>
          <w:rFonts w:hint="eastAsia" w:ascii="宋体" w:hAnsi="宋体"/>
          <w:szCs w:val="21"/>
        </w:rPr>
        <w:t>9.3  治安保卫</w:t>
      </w:r>
    </w:p>
    <w:p w14:paraId="5EEFA0D4">
      <w:pPr>
        <w:spacing w:line="360" w:lineRule="auto"/>
        <w:rPr>
          <w:rFonts w:hint="eastAsia" w:ascii="宋体" w:hAnsi="宋体"/>
          <w:szCs w:val="21"/>
        </w:rPr>
      </w:pPr>
      <w:r>
        <w:rPr>
          <w:rFonts w:hint="eastAsia" w:ascii="宋体" w:hAnsi="宋体"/>
          <w:szCs w:val="21"/>
        </w:rPr>
        <w:t>9.3.1  发包人应与当地公安部门协商，在现场建立治安管理机构或联防组织，负责统一管理施工场地的治安保卫事项，履行合同工程的治安保卫职责。</w:t>
      </w:r>
    </w:p>
    <w:p w14:paraId="29F9D9AE">
      <w:pPr>
        <w:spacing w:line="360" w:lineRule="auto"/>
        <w:rPr>
          <w:rFonts w:hint="eastAsia" w:ascii="宋体" w:hAnsi="宋体"/>
          <w:szCs w:val="21"/>
        </w:rPr>
      </w:pPr>
      <w:r>
        <w:rPr>
          <w:rFonts w:hint="eastAsia" w:ascii="宋体" w:hAnsi="宋体"/>
          <w:szCs w:val="21"/>
        </w:rPr>
        <w:t>9.3.2  发包人和承包人除应协助现场治安管理机构或联防组织维护施工场地的社会治安外，还应做好包括生活区在内的各自管辖区的治安保卫工作。</w:t>
      </w:r>
    </w:p>
    <w:p w14:paraId="7120BAEE">
      <w:pPr>
        <w:spacing w:line="360" w:lineRule="auto"/>
        <w:rPr>
          <w:rFonts w:hint="eastAsia" w:ascii="宋体" w:hAnsi="宋体"/>
          <w:szCs w:val="21"/>
        </w:rPr>
      </w:pPr>
      <w:r>
        <w:rPr>
          <w:rFonts w:hint="eastAsia" w:ascii="宋体" w:hAnsi="宋体"/>
          <w:szCs w:val="21"/>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0FB02AAF">
      <w:pPr>
        <w:spacing w:line="360" w:lineRule="auto"/>
        <w:rPr>
          <w:rFonts w:hint="eastAsia" w:ascii="宋体" w:hAnsi="宋体"/>
          <w:szCs w:val="21"/>
        </w:rPr>
      </w:pPr>
      <w:bookmarkStart w:id="782" w:name="_BookMark_168"/>
      <w:bookmarkEnd w:id="782"/>
      <w:r>
        <w:rPr>
          <w:rFonts w:hint="eastAsia" w:ascii="宋体" w:hAnsi="宋体"/>
          <w:szCs w:val="21"/>
        </w:rPr>
        <w:t>9.4  环境保护</w:t>
      </w:r>
    </w:p>
    <w:p w14:paraId="7462368A">
      <w:pPr>
        <w:spacing w:line="360" w:lineRule="auto"/>
        <w:rPr>
          <w:rFonts w:hint="eastAsia" w:ascii="宋体" w:hAnsi="宋体"/>
          <w:szCs w:val="21"/>
        </w:rPr>
      </w:pPr>
      <w:r>
        <w:rPr>
          <w:rFonts w:hint="eastAsia" w:ascii="宋体" w:hAnsi="宋体"/>
          <w:szCs w:val="21"/>
        </w:rPr>
        <w:t>9.4.1  承包人在施工过程中，应遵守有关环境保护的法律，履行合同约定的环境保护义务，并对违反法律和合同约定义务所造成的环境破坏、人身伤害和财产损失负责。</w:t>
      </w:r>
    </w:p>
    <w:p w14:paraId="76D34A75">
      <w:pPr>
        <w:spacing w:line="360" w:lineRule="auto"/>
        <w:rPr>
          <w:rFonts w:hint="eastAsia" w:ascii="宋体" w:hAnsi="宋体"/>
          <w:szCs w:val="21"/>
        </w:rPr>
      </w:pPr>
      <w:r>
        <w:rPr>
          <w:rFonts w:hint="eastAsia" w:ascii="宋体" w:hAnsi="宋体"/>
          <w:szCs w:val="21"/>
        </w:rPr>
        <w:t>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22DC744D">
      <w:pPr>
        <w:spacing w:line="360" w:lineRule="auto"/>
        <w:rPr>
          <w:rFonts w:hint="eastAsia" w:ascii="宋体" w:hAnsi="宋体"/>
          <w:szCs w:val="21"/>
        </w:rPr>
      </w:pPr>
      <w:r>
        <w:rPr>
          <w:rFonts w:hint="eastAsia" w:ascii="宋体" w:hAnsi="宋体"/>
          <w:szCs w:val="21"/>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7E6662F2">
      <w:pPr>
        <w:spacing w:line="360" w:lineRule="auto"/>
        <w:rPr>
          <w:rFonts w:hint="eastAsia" w:ascii="宋体" w:hAnsi="宋体"/>
          <w:szCs w:val="21"/>
        </w:rPr>
      </w:pPr>
      <w:r>
        <w:rPr>
          <w:rFonts w:hint="eastAsia" w:ascii="宋体" w:hAnsi="宋体"/>
          <w:szCs w:val="21"/>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38EEC7DD">
      <w:pPr>
        <w:spacing w:line="360" w:lineRule="auto"/>
        <w:rPr>
          <w:rFonts w:hint="eastAsia" w:ascii="宋体" w:hAnsi="宋体"/>
          <w:szCs w:val="21"/>
        </w:rPr>
      </w:pPr>
      <w:r>
        <w:rPr>
          <w:rFonts w:hint="eastAsia" w:ascii="宋体" w:hAnsi="宋体"/>
          <w:szCs w:val="21"/>
        </w:rPr>
        <w:t>9.4.5  承包人应按合同约定采取有效措施，对施工开挖的边坡及时进行支护,维护排水设施，并进行水土保护，避免因施工造成的地质灾害。</w:t>
      </w:r>
    </w:p>
    <w:p w14:paraId="3B763D21">
      <w:pPr>
        <w:spacing w:line="360" w:lineRule="auto"/>
        <w:rPr>
          <w:rFonts w:hint="eastAsia" w:ascii="宋体" w:hAnsi="宋体"/>
          <w:szCs w:val="21"/>
        </w:rPr>
      </w:pPr>
      <w:r>
        <w:rPr>
          <w:rFonts w:hint="eastAsia" w:ascii="宋体" w:hAnsi="宋体"/>
          <w:szCs w:val="21"/>
        </w:rPr>
        <w:t>9.4.6  承包人应按国家饮用水管理标准定期对饮用水源进行监测，防止施工活动污染饮用水源。</w:t>
      </w:r>
    </w:p>
    <w:p w14:paraId="4213FEA5">
      <w:pPr>
        <w:spacing w:line="360" w:lineRule="auto"/>
        <w:rPr>
          <w:rFonts w:hint="eastAsia" w:ascii="宋体" w:hAnsi="宋体"/>
          <w:szCs w:val="21"/>
        </w:rPr>
      </w:pPr>
      <w:r>
        <w:rPr>
          <w:rFonts w:hint="eastAsia" w:ascii="宋体" w:hAnsi="宋体"/>
          <w:szCs w:val="21"/>
        </w:rPr>
        <w:t>9.4.7  承包人应按合同约定，加强对噪声、粉尘、废气、废水和废油的控制，努力降低噪声，控制粉尘和废气浓度，做好废水和废油的治理和排放。</w:t>
      </w:r>
    </w:p>
    <w:p w14:paraId="141CC9C0">
      <w:pPr>
        <w:spacing w:line="360" w:lineRule="auto"/>
        <w:rPr>
          <w:rFonts w:hint="eastAsia" w:ascii="宋体" w:hAnsi="宋体"/>
          <w:szCs w:val="21"/>
        </w:rPr>
      </w:pPr>
      <w:bookmarkStart w:id="783" w:name="_BookMark_169"/>
      <w:bookmarkEnd w:id="783"/>
      <w:r>
        <w:rPr>
          <w:rFonts w:hint="eastAsia" w:ascii="宋体" w:hAnsi="宋体"/>
          <w:szCs w:val="21"/>
        </w:rPr>
        <w:t>9.5  事故处理</w:t>
      </w:r>
    </w:p>
    <w:p w14:paraId="2F747B01">
      <w:pPr>
        <w:spacing w:line="360" w:lineRule="auto"/>
        <w:rPr>
          <w:rFonts w:hint="eastAsia" w:ascii="宋体" w:hAnsi="宋体"/>
          <w:szCs w:val="21"/>
        </w:rPr>
      </w:pPr>
      <w:r>
        <w:rPr>
          <w:rFonts w:hint="eastAsia" w:ascii="宋体" w:hAnsi="宋体"/>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29FAE4E">
      <w:pPr>
        <w:adjustRightInd w:val="0"/>
        <w:snapToGrid w:val="0"/>
        <w:spacing w:line="360" w:lineRule="auto"/>
        <w:outlineLvl w:val="2"/>
        <w:rPr>
          <w:rFonts w:hint="eastAsia" w:ascii="宋体" w:hAnsi="宋体"/>
          <w:sz w:val="28"/>
        </w:rPr>
      </w:pPr>
      <w:bookmarkStart w:id="784" w:name="_BookMark_170"/>
      <w:bookmarkEnd w:id="784"/>
      <w:bookmarkStart w:id="785" w:name="_Toc532542643"/>
      <w:bookmarkStart w:id="786" w:name="_Toc196225915"/>
      <w:bookmarkStart w:id="787" w:name="_Toc528247487"/>
      <w:bookmarkStart w:id="788" w:name="_Toc162620941"/>
      <w:r>
        <w:rPr>
          <w:rFonts w:hint="eastAsia" w:ascii="宋体" w:hAnsi="宋体"/>
          <w:sz w:val="28"/>
        </w:rPr>
        <w:t>10.进度计划</w:t>
      </w:r>
      <w:bookmarkEnd w:id="785"/>
      <w:bookmarkEnd w:id="786"/>
      <w:bookmarkEnd w:id="787"/>
      <w:bookmarkEnd w:id="788"/>
    </w:p>
    <w:p w14:paraId="62EEB11D">
      <w:pPr>
        <w:spacing w:line="360" w:lineRule="auto"/>
        <w:rPr>
          <w:rFonts w:hint="eastAsia" w:ascii="宋体" w:hAnsi="宋体"/>
          <w:szCs w:val="21"/>
        </w:rPr>
      </w:pPr>
      <w:bookmarkStart w:id="789" w:name="_BookMark_171"/>
      <w:bookmarkEnd w:id="789"/>
      <w:r>
        <w:rPr>
          <w:rFonts w:hint="eastAsia" w:ascii="宋体" w:hAnsi="宋体"/>
          <w:szCs w:val="21"/>
        </w:rPr>
        <w:t>10.1  合同进度计划</w:t>
      </w:r>
    </w:p>
    <w:p w14:paraId="7A0D8A03">
      <w:pPr>
        <w:spacing w:line="360" w:lineRule="auto"/>
        <w:rPr>
          <w:rFonts w:hint="eastAsia" w:ascii="宋体" w:hAnsi="宋体"/>
          <w:szCs w:val="21"/>
        </w:rPr>
      </w:pPr>
      <w:r>
        <w:rPr>
          <w:rFonts w:hint="eastAsia" w:ascii="宋体" w:hAnsi="宋体"/>
          <w:szCs w:val="21"/>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7474852E">
      <w:pPr>
        <w:spacing w:line="360" w:lineRule="auto"/>
        <w:rPr>
          <w:rFonts w:hint="eastAsia" w:ascii="宋体" w:hAnsi="宋体"/>
          <w:szCs w:val="21"/>
        </w:rPr>
      </w:pPr>
      <w:r>
        <w:rPr>
          <w:rFonts w:hint="eastAsia" w:ascii="宋体" w:hAnsi="宋体"/>
          <w:szCs w:val="21"/>
        </w:rPr>
        <w:t>10.1.2  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35262BB9">
      <w:pPr>
        <w:spacing w:line="360" w:lineRule="auto"/>
        <w:rPr>
          <w:rFonts w:hint="eastAsia" w:ascii="宋体" w:hAnsi="宋体"/>
          <w:szCs w:val="21"/>
        </w:rPr>
      </w:pPr>
      <w:r>
        <w:rPr>
          <w:rFonts w:hint="eastAsia" w:ascii="宋体" w:hAnsi="宋体"/>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14683559">
      <w:pPr>
        <w:spacing w:line="360" w:lineRule="auto"/>
        <w:rPr>
          <w:rFonts w:hint="eastAsia" w:ascii="宋体" w:hAnsi="宋体"/>
          <w:szCs w:val="21"/>
        </w:rPr>
      </w:pPr>
      <w:bookmarkStart w:id="790" w:name="_BookMark_172"/>
      <w:bookmarkEnd w:id="790"/>
      <w:r>
        <w:rPr>
          <w:rFonts w:hint="eastAsia" w:ascii="宋体" w:hAnsi="宋体"/>
          <w:szCs w:val="21"/>
        </w:rPr>
        <w:t>10.2  合同进度计划的修订</w:t>
      </w:r>
    </w:p>
    <w:p w14:paraId="7CD34256">
      <w:pPr>
        <w:spacing w:line="360" w:lineRule="auto"/>
        <w:rPr>
          <w:rFonts w:hint="eastAsia" w:ascii="宋体" w:hAnsi="宋体"/>
          <w:szCs w:val="21"/>
        </w:rPr>
      </w:pPr>
      <w:r>
        <w:rPr>
          <w:rFonts w:hint="eastAsia" w:ascii="宋体" w:hAnsi="宋体"/>
          <w:szCs w:val="21"/>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4FA4E77C">
      <w:pPr>
        <w:spacing w:line="360" w:lineRule="auto"/>
        <w:rPr>
          <w:rFonts w:hint="eastAsia" w:ascii="宋体" w:hAnsi="宋体"/>
          <w:szCs w:val="21"/>
        </w:rPr>
      </w:pPr>
      <w:r>
        <w:rPr>
          <w:rFonts w:hint="eastAsia" w:ascii="宋体" w:hAnsi="宋体"/>
          <w:szCs w:val="21"/>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04515ED6">
      <w:pPr>
        <w:adjustRightInd w:val="0"/>
        <w:snapToGrid w:val="0"/>
        <w:spacing w:line="360" w:lineRule="auto"/>
        <w:outlineLvl w:val="2"/>
        <w:rPr>
          <w:rFonts w:hint="eastAsia" w:ascii="宋体" w:hAnsi="宋体"/>
          <w:sz w:val="28"/>
        </w:rPr>
      </w:pPr>
      <w:bookmarkStart w:id="791" w:name="_BookMark_173"/>
      <w:bookmarkEnd w:id="791"/>
      <w:bookmarkStart w:id="792" w:name="_Toc162620942"/>
      <w:bookmarkStart w:id="793" w:name="_Toc528247488"/>
      <w:bookmarkStart w:id="794" w:name="_Toc532542644"/>
      <w:bookmarkStart w:id="795" w:name="_Toc196225916"/>
      <w:r>
        <w:rPr>
          <w:rFonts w:hint="eastAsia" w:ascii="宋体" w:hAnsi="宋体"/>
          <w:sz w:val="28"/>
        </w:rPr>
        <w:t>11.开工和竣工</w:t>
      </w:r>
      <w:bookmarkEnd w:id="792"/>
      <w:bookmarkEnd w:id="793"/>
      <w:bookmarkEnd w:id="794"/>
      <w:bookmarkEnd w:id="795"/>
    </w:p>
    <w:p w14:paraId="40AFE29A">
      <w:pPr>
        <w:spacing w:line="360" w:lineRule="auto"/>
        <w:rPr>
          <w:rFonts w:hint="eastAsia" w:ascii="宋体" w:hAnsi="宋体"/>
          <w:szCs w:val="21"/>
        </w:rPr>
      </w:pPr>
      <w:bookmarkStart w:id="796" w:name="_BookMark_174"/>
      <w:bookmarkEnd w:id="796"/>
      <w:r>
        <w:rPr>
          <w:rFonts w:hint="eastAsia" w:ascii="宋体" w:hAnsi="宋体"/>
          <w:szCs w:val="21"/>
        </w:rPr>
        <w:t>11.1  开工</w:t>
      </w:r>
    </w:p>
    <w:p w14:paraId="369503E4">
      <w:pPr>
        <w:spacing w:line="360" w:lineRule="auto"/>
        <w:rPr>
          <w:rFonts w:hint="eastAsia" w:ascii="宋体" w:hAnsi="宋体"/>
          <w:szCs w:val="21"/>
        </w:rPr>
      </w:pPr>
      <w:r>
        <w:rPr>
          <w:rFonts w:hint="eastAsia" w:ascii="宋体" w:hAnsi="宋体"/>
          <w:szCs w:val="21"/>
        </w:rPr>
        <w:t>11.1.1  监理人应在开工日期7天前向承包人发出开工通知。监理人在发出开工通知前应获得发包人同意。工期自监理人发出的开工通知中载明的开工日期起计算。承包人应在开工日期后尽快施工。</w:t>
      </w:r>
    </w:p>
    <w:p w14:paraId="0DC3026B">
      <w:pPr>
        <w:spacing w:line="360" w:lineRule="auto"/>
        <w:rPr>
          <w:rFonts w:hint="eastAsia" w:ascii="宋体" w:hAnsi="宋体"/>
          <w:szCs w:val="21"/>
        </w:rPr>
      </w:pPr>
      <w:r>
        <w:rPr>
          <w:rFonts w:hint="eastAsia" w:ascii="宋体" w:hAnsi="宋体"/>
          <w:szCs w:val="21"/>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0D408C61">
      <w:pPr>
        <w:spacing w:line="360" w:lineRule="auto"/>
        <w:rPr>
          <w:rFonts w:hint="eastAsia" w:ascii="宋体" w:hAnsi="宋体"/>
          <w:szCs w:val="21"/>
        </w:rPr>
      </w:pPr>
      <w:bookmarkStart w:id="797" w:name="_BookMark_175"/>
      <w:bookmarkEnd w:id="797"/>
      <w:r>
        <w:rPr>
          <w:rFonts w:hint="eastAsia" w:ascii="宋体" w:hAnsi="宋体"/>
          <w:szCs w:val="21"/>
        </w:rPr>
        <w:t>11.2  竣工</w:t>
      </w:r>
    </w:p>
    <w:p w14:paraId="00561FFC">
      <w:pPr>
        <w:spacing w:line="360" w:lineRule="auto"/>
        <w:rPr>
          <w:rFonts w:hint="eastAsia" w:ascii="宋体" w:hAnsi="宋体"/>
          <w:szCs w:val="21"/>
        </w:rPr>
      </w:pPr>
      <w:r>
        <w:rPr>
          <w:rFonts w:hint="eastAsia" w:ascii="宋体" w:hAnsi="宋体"/>
          <w:szCs w:val="21"/>
        </w:rPr>
        <w:t>承包人应在第1.1.4.3目约定的期限内完成合同工程。实际竣工日期在接收证书中写明。</w:t>
      </w:r>
    </w:p>
    <w:p w14:paraId="0315C99D">
      <w:pPr>
        <w:spacing w:line="360" w:lineRule="auto"/>
        <w:rPr>
          <w:rFonts w:hint="eastAsia" w:ascii="宋体" w:hAnsi="宋体"/>
          <w:szCs w:val="21"/>
        </w:rPr>
      </w:pPr>
      <w:bookmarkStart w:id="798" w:name="_BookMark_176"/>
      <w:bookmarkEnd w:id="798"/>
      <w:r>
        <w:rPr>
          <w:rFonts w:hint="eastAsia" w:ascii="宋体" w:hAnsi="宋体"/>
          <w:szCs w:val="21"/>
        </w:rPr>
        <w:t>11.3  发包人的工期延误</w:t>
      </w:r>
    </w:p>
    <w:p w14:paraId="75E42EF3">
      <w:pPr>
        <w:spacing w:line="360" w:lineRule="auto"/>
        <w:rPr>
          <w:rFonts w:hint="eastAsia" w:ascii="宋体" w:hAnsi="宋体"/>
          <w:szCs w:val="21"/>
        </w:rPr>
      </w:pPr>
      <w:r>
        <w:rPr>
          <w:rFonts w:hint="eastAsia" w:ascii="宋体" w:hAnsi="宋体"/>
          <w:szCs w:val="21"/>
        </w:rPr>
        <w:t>在履行合同过程中，由于发包人的下列原因造成承包人关键线路工期延误的，承包人有权要求发包人延长工期和（或）增加费用，并支付合理利润。需要修订合同进度计划的，按照第10.2款的约定办理。</w:t>
      </w:r>
    </w:p>
    <w:p w14:paraId="4DEA2137">
      <w:pPr>
        <w:spacing w:line="360" w:lineRule="auto"/>
        <w:rPr>
          <w:rFonts w:hint="eastAsia" w:ascii="宋体" w:hAnsi="宋体"/>
          <w:szCs w:val="21"/>
        </w:rPr>
      </w:pPr>
      <w:r>
        <w:rPr>
          <w:rFonts w:hint="eastAsia" w:ascii="宋体" w:hAnsi="宋体"/>
          <w:szCs w:val="21"/>
        </w:rPr>
        <w:t>（1）增加合同工作内容；</w:t>
      </w:r>
    </w:p>
    <w:p w14:paraId="2A092C33">
      <w:pPr>
        <w:spacing w:line="360" w:lineRule="auto"/>
        <w:rPr>
          <w:rFonts w:hint="eastAsia" w:ascii="宋体" w:hAnsi="宋体"/>
          <w:szCs w:val="21"/>
        </w:rPr>
      </w:pPr>
      <w:r>
        <w:rPr>
          <w:rFonts w:hint="eastAsia" w:ascii="宋体" w:hAnsi="宋体"/>
          <w:szCs w:val="21"/>
        </w:rPr>
        <w:t>（2）改变合同中任何一项工作的质量要求或其他特性；</w:t>
      </w:r>
    </w:p>
    <w:p w14:paraId="3CF1659D">
      <w:pPr>
        <w:spacing w:line="360" w:lineRule="auto"/>
        <w:rPr>
          <w:rFonts w:hint="eastAsia" w:ascii="宋体" w:hAnsi="宋体"/>
          <w:szCs w:val="21"/>
        </w:rPr>
      </w:pPr>
      <w:r>
        <w:rPr>
          <w:rFonts w:hint="eastAsia" w:ascii="宋体" w:hAnsi="宋体"/>
          <w:szCs w:val="21"/>
        </w:rPr>
        <w:t>（3）发包人迟延提供材料、工程设备或变更交货地点的；</w:t>
      </w:r>
    </w:p>
    <w:p w14:paraId="13D3FDA6">
      <w:pPr>
        <w:spacing w:line="360" w:lineRule="auto"/>
        <w:rPr>
          <w:rFonts w:hint="eastAsia" w:ascii="宋体" w:hAnsi="宋体"/>
          <w:szCs w:val="21"/>
        </w:rPr>
      </w:pPr>
      <w:r>
        <w:rPr>
          <w:rFonts w:hint="eastAsia" w:ascii="宋体" w:hAnsi="宋体"/>
          <w:szCs w:val="21"/>
        </w:rPr>
        <w:t>（4）因发包人原因导致的暂停施工；</w:t>
      </w:r>
    </w:p>
    <w:p w14:paraId="46B672F7">
      <w:pPr>
        <w:spacing w:line="360" w:lineRule="auto"/>
        <w:rPr>
          <w:rFonts w:hint="eastAsia" w:ascii="宋体" w:hAnsi="宋体"/>
          <w:szCs w:val="21"/>
        </w:rPr>
      </w:pPr>
      <w:r>
        <w:rPr>
          <w:rFonts w:hint="eastAsia" w:ascii="宋体" w:hAnsi="宋体"/>
          <w:szCs w:val="21"/>
        </w:rPr>
        <w:t>（5）提供图纸延误；</w:t>
      </w:r>
    </w:p>
    <w:p w14:paraId="60654745">
      <w:pPr>
        <w:spacing w:line="360" w:lineRule="auto"/>
        <w:rPr>
          <w:rFonts w:hint="eastAsia" w:ascii="宋体" w:hAnsi="宋体"/>
          <w:szCs w:val="21"/>
        </w:rPr>
      </w:pPr>
      <w:r>
        <w:rPr>
          <w:rFonts w:hint="eastAsia" w:ascii="宋体" w:hAnsi="宋体"/>
          <w:szCs w:val="21"/>
        </w:rPr>
        <w:t>（6）未按合同约定及时支付预付款、进度款；</w:t>
      </w:r>
    </w:p>
    <w:p w14:paraId="286BFE3B">
      <w:pPr>
        <w:spacing w:line="360" w:lineRule="auto"/>
        <w:rPr>
          <w:rFonts w:hint="eastAsia" w:ascii="宋体" w:hAnsi="宋体"/>
          <w:szCs w:val="21"/>
        </w:rPr>
      </w:pPr>
      <w:r>
        <w:rPr>
          <w:rFonts w:hint="eastAsia" w:ascii="宋体" w:hAnsi="宋体"/>
          <w:szCs w:val="21"/>
        </w:rPr>
        <w:t xml:space="preserve">（7）因发包人原因不能按照监理人发出的开工通知中载明的开工日期开工； </w:t>
      </w:r>
    </w:p>
    <w:p w14:paraId="5204E0F1">
      <w:pPr>
        <w:spacing w:line="360" w:lineRule="auto"/>
        <w:rPr>
          <w:rFonts w:hint="eastAsia" w:ascii="宋体" w:hAnsi="宋体"/>
          <w:szCs w:val="21"/>
        </w:rPr>
      </w:pPr>
      <w:r>
        <w:rPr>
          <w:rFonts w:hint="eastAsia" w:ascii="宋体" w:hAnsi="宋体"/>
          <w:szCs w:val="21"/>
        </w:rPr>
        <w:t>（8）发包人造成工期延误的其他原因见合同条款专用部分。</w:t>
      </w:r>
    </w:p>
    <w:p w14:paraId="203670A5">
      <w:pPr>
        <w:spacing w:line="360" w:lineRule="auto"/>
        <w:rPr>
          <w:rFonts w:hint="eastAsia" w:ascii="宋体" w:hAnsi="宋体"/>
          <w:szCs w:val="21"/>
        </w:rPr>
      </w:pPr>
      <w:bookmarkStart w:id="799" w:name="_BookMark_177"/>
      <w:bookmarkEnd w:id="799"/>
      <w:r>
        <w:rPr>
          <w:rFonts w:hint="eastAsia" w:ascii="宋体" w:hAnsi="宋体"/>
          <w:szCs w:val="21"/>
        </w:rPr>
        <w:t>11.4  异常恶劣的气候条件</w:t>
      </w:r>
    </w:p>
    <w:p w14:paraId="638C1D6A">
      <w:pPr>
        <w:spacing w:line="360" w:lineRule="auto"/>
        <w:rPr>
          <w:rFonts w:hint="eastAsia" w:ascii="宋体" w:hAnsi="宋体"/>
          <w:szCs w:val="21"/>
        </w:rPr>
      </w:pPr>
      <w:r>
        <w:rPr>
          <w:rFonts w:hint="eastAsia" w:ascii="宋体" w:hAnsi="宋体"/>
          <w:szCs w:val="21"/>
        </w:rPr>
        <w:t>由于出现异常恶劣气候的条件导致工期延误的，承包人有权要求发包人延长工期。异常恶劣的气候条件的范围和标准见合同条款专用部分。</w:t>
      </w:r>
    </w:p>
    <w:p w14:paraId="1151638C">
      <w:pPr>
        <w:spacing w:line="360" w:lineRule="auto"/>
        <w:rPr>
          <w:rFonts w:hint="eastAsia" w:ascii="宋体" w:hAnsi="宋体"/>
          <w:szCs w:val="21"/>
        </w:rPr>
      </w:pPr>
      <w:bookmarkStart w:id="800" w:name="_BookMark_178"/>
      <w:bookmarkEnd w:id="800"/>
      <w:r>
        <w:rPr>
          <w:rFonts w:hint="eastAsia" w:ascii="宋体" w:hAnsi="宋体"/>
          <w:szCs w:val="21"/>
        </w:rPr>
        <w:t>11.5  承包人的工期延误</w:t>
      </w:r>
    </w:p>
    <w:p w14:paraId="7A64A4E2">
      <w:pPr>
        <w:spacing w:line="360" w:lineRule="auto"/>
        <w:rPr>
          <w:rFonts w:hint="eastAsia" w:ascii="宋体" w:hAnsi="宋体"/>
          <w:szCs w:val="21"/>
        </w:rPr>
      </w:pPr>
      <w:r>
        <w:rPr>
          <w:rFonts w:hint="eastAsia" w:ascii="宋体" w:hAnsi="宋体"/>
          <w:szCs w:val="21"/>
        </w:rPr>
        <w:t>11.5.1  由于承包人原因，未能按合同进度计划完成工作，或监理人认为承包人施工进度不能满足合同工期要求的，承包人应采取措施加快进度，并承担加快进度所增加的费用。</w:t>
      </w:r>
    </w:p>
    <w:p w14:paraId="021666B2">
      <w:pPr>
        <w:spacing w:line="360" w:lineRule="auto"/>
        <w:rPr>
          <w:rFonts w:hint="eastAsia" w:ascii="宋体" w:hAnsi="宋体"/>
          <w:szCs w:val="21"/>
        </w:rPr>
      </w:pPr>
      <w:r>
        <w:rPr>
          <w:rFonts w:hint="eastAsia" w:ascii="宋体" w:hAnsi="宋体"/>
          <w:szCs w:val="21"/>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306E600E">
      <w:pPr>
        <w:spacing w:line="360" w:lineRule="auto"/>
        <w:rPr>
          <w:rFonts w:hint="eastAsia" w:ascii="宋体" w:hAnsi="宋体"/>
          <w:szCs w:val="21"/>
        </w:rPr>
      </w:pPr>
      <w:r>
        <w:rPr>
          <w:rFonts w:hint="eastAsia" w:ascii="宋体" w:hAnsi="宋体"/>
          <w:szCs w:val="21"/>
        </w:rPr>
        <w:t>监理人未在规定的期限内发出本款约定的书面通知的，发包人丧失主张逾期竣工违约金的权利。</w:t>
      </w:r>
    </w:p>
    <w:p w14:paraId="1567C512">
      <w:pPr>
        <w:spacing w:line="360" w:lineRule="auto"/>
        <w:rPr>
          <w:rFonts w:hint="eastAsia" w:ascii="宋体" w:hAnsi="宋体"/>
          <w:szCs w:val="21"/>
        </w:rPr>
      </w:pPr>
      <w:r>
        <w:rPr>
          <w:rFonts w:hint="eastAsia" w:ascii="宋体" w:hAnsi="宋体"/>
          <w:szCs w:val="21"/>
        </w:rPr>
        <w:t>11.5.3  承包人支付逾期竣工违约金，不免除承包人完成工程及修补缺陷的义务。</w:t>
      </w:r>
    </w:p>
    <w:p w14:paraId="48FFEEB3">
      <w:pPr>
        <w:spacing w:line="360" w:lineRule="auto"/>
        <w:rPr>
          <w:rFonts w:hint="eastAsia" w:ascii="宋体" w:hAnsi="宋体"/>
          <w:szCs w:val="21"/>
        </w:rPr>
      </w:pPr>
      <w:bookmarkStart w:id="801" w:name="_BookMark_179"/>
      <w:bookmarkEnd w:id="801"/>
      <w:r>
        <w:rPr>
          <w:rFonts w:hint="eastAsia" w:ascii="宋体" w:hAnsi="宋体"/>
          <w:szCs w:val="21"/>
        </w:rPr>
        <w:t>11.6  工期提前</w:t>
      </w:r>
    </w:p>
    <w:p w14:paraId="1D75147C">
      <w:pPr>
        <w:spacing w:line="360" w:lineRule="auto"/>
        <w:rPr>
          <w:rFonts w:hint="eastAsia" w:ascii="宋体" w:hAnsi="宋体"/>
          <w:szCs w:val="21"/>
        </w:rPr>
      </w:pPr>
      <w:r>
        <w:rPr>
          <w:rFonts w:hint="eastAsia" w:ascii="宋体" w:hAnsi="宋体"/>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2F9F8927">
      <w:pPr>
        <w:adjustRightInd w:val="0"/>
        <w:snapToGrid w:val="0"/>
        <w:spacing w:line="360" w:lineRule="auto"/>
        <w:outlineLvl w:val="2"/>
        <w:rPr>
          <w:rFonts w:hint="eastAsia" w:ascii="宋体" w:hAnsi="宋体"/>
          <w:sz w:val="28"/>
        </w:rPr>
      </w:pPr>
      <w:bookmarkStart w:id="802" w:name="_BookMark_180"/>
      <w:bookmarkEnd w:id="802"/>
      <w:bookmarkStart w:id="803" w:name="_Toc528247489"/>
      <w:bookmarkStart w:id="804" w:name="_Toc532542645"/>
      <w:bookmarkStart w:id="805" w:name="_Toc196225917"/>
      <w:bookmarkStart w:id="806" w:name="_Toc162620943"/>
      <w:r>
        <w:rPr>
          <w:rFonts w:hint="eastAsia" w:ascii="宋体" w:hAnsi="宋体"/>
          <w:sz w:val="28"/>
        </w:rPr>
        <w:t>12.暂停施工</w:t>
      </w:r>
      <w:bookmarkEnd w:id="803"/>
      <w:bookmarkEnd w:id="804"/>
      <w:bookmarkEnd w:id="805"/>
      <w:bookmarkEnd w:id="806"/>
    </w:p>
    <w:p w14:paraId="165D682D">
      <w:pPr>
        <w:spacing w:line="360" w:lineRule="auto"/>
        <w:rPr>
          <w:rFonts w:hint="eastAsia" w:ascii="宋体" w:hAnsi="宋体"/>
          <w:szCs w:val="21"/>
        </w:rPr>
      </w:pPr>
      <w:bookmarkStart w:id="807" w:name="_BookMark_181"/>
      <w:bookmarkEnd w:id="807"/>
      <w:r>
        <w:rPr>
          <w:rFonts w:hint="eastAsia" w:ascii="宋体" w:hAnsi="宋体"/>
          <w:szCs w:val="21"/>
        </w:rPr>
        <w:t>12.1  承包人暂停施工的责任</w:t>
      </w:r>
    </w:p>
    <w:p w14:paraId="18723302">
      <w:pPr>
        <w:spacing w:line="360" w:lineRule="auto"/>
        <w:rPr>
          <w:rFonts w:hint="eastAsia" w:ascii="宋体" w:hAnsi="宋体"/>
          <w:szCs w:val="21"/>
        </w:rPr>
      </w:pPr>
      <w:r>
        <w:rPr>
          <w:rFonts w:hint="eastAsia" w:ascii="宋体" w:hAnsi="宋体"/>
          <w:szCs w:val="21"/>
        </w:rPr>
        <w:t>因下列情形暂停施工增加的费用和（或）工期延误由承包人承担：</w:t>
      </w:r>
    </w:p>
    <w:p w14:paraId="701B9117">
      <w:pPr>
        <w:spacing w:line="360" w:lineRule="auto"/>
        <w:rPr>
          <w:rFonts w:hint="eastAsia" w:ascii="宋体" w:hAnsi="宋体"/>
          <w:szCs w:val="21"/>
        </w:rPr>
      </w:pPr>
      <w:r>
        <w:rPr>
          <w:rFonts w:hint="eastAsia" w:ascii="宋体" w:hAnsi="宋体"/>
          <w:szCs w:val="21"/>
        </w:rPr>
        <w:t>（1）承包人违约引起的暂停施工；</w:t>
      </w:r>
    </w:p>
    <w:p w14:paraId="6C9A167D">
      <w:pPr>
        <w:spacing w:line="360" w:lineRule="auto"/>
        <w:rPr>
          <w:rFonts w:hint="eastAsia" w:ascii="宋体" w:hAnsi="宋体"/>
          <w:szCs w:val="21"/>
        </w:rPr>
      </w:pPr>
      <w:r>
        <w:rPr>
          <w:rFonts w:hint="eastAsia" w:ascii="宋体" w:hAnsi="宋体"/>
          <w:szCs w:val="21"/>
        </w:rPr>
        <w:t>（2）由于承包人原因为工程合理施工和安全保障所必需的暂停施工；</w:t>
      </w:r>
    </w:p>
    <w:p w14:paraId="6E5DB26B">
      <w:pPr>
        <w:spacing w:line="360" w:lineRule="auto"/>
        <w:rPr>
          <w:rFonts w:hint="eastAsia" w:ascii="宋体" w:hAnsi="宋体"/>
          <w:szCs w:val="21"/>
        </w:rPr>
      </w:pPr>
      <w:r>
        <w:rPr>
          <w:rFonts w:hint="eastAsia" w:ascii="宋体" w:hAnsi="宋体"/>
          <w:szCs w:val="21"/>
        </w:rPr>
        <w:t>（3）承包人擅自暂停施工；</w:t>
      </w:r>
    </w:p>
    <w:p w14:paraId="1B929A33">
      <w:pPr>
        <w:spacing w:line="360" w:lineRule="auto"/>
        <w:rPr>
          <w:rFonts w:hint="eastAsia" w:ascii="宋体" w:hAnsi="宋体"/>
          <w:szCs w:val="21"/>
        </w:rPr>
      </w:pPr>
      <w:r>
        <w:rPr>
          <w:rFonts w:hint="eastAsia" w:ascii="宋体" w:hAnsi="宋体"/>
          <w:szCs w:val="21"/>
        </w:rPr>
        <w:t>（4）承包人承担暂停施工责任的其他情形见合同条款专用部分。</w:t>
      </w:r>
    </w:p>
    <w:p w14:paraId="62325C95">
      <w:pPr>
        <w:spacing w:line="360" w:lineRule="auto"/>
        <w:rPr>
          <w:rFonts w:hint="eastAsia" w:ascii="宋体" w:hAnsi="宋体"/>
          <w:szCs w:val="21"/>
        </w:rPr>
      </w:pPr>
      <w:bookmarkStart w:id="808" w:name="_BookMark_182"/>
      <w:bookmarkEnd w:id="808"/>
      <w:r>
        <w:rPr>
          <w:rFonts w:hint="eastAsia" w:ascii="宋体" w:hAnsi="宋体"/>
          <w:szCs w:val="21"/>
        </w:rPr>
        <w:t>12.2  发包人暂停施工的责任</w:t>
      </w:r>
    </w:p>
    <w:p w14:paraId="4116B9F6">
      <w:pPr>
        <w:spacing w:line="360" w:lineRule="auto"/>
        <w:rPr>
          <w:rFonts w:hint="eastAsia" w:ascii="宋体" w:hAnsi="宋体"/>
          <w:szCs w:val="21"/>
        </w:rPr>
      </w:pPr>
      <w:r>
        <w:rPr>
          <w:rFonts w:hint="eastAsia" w:ascii="宋体" w:hAnsi="宋体"/>
          <w:szCs w:val="21"/>
        </w:rPr>
        <w:t>由于发包人原因引起的暂停施工造成工期延误的，承包人有权要求发包人延长工期和（或）增加费用，并支付合理利润。</w:t>
      </w:r>
    </w:p>
    <w:p w14:paraId="1FE8F98C">
      <w:pPr>
        <w:spacing w:line="360" w:lineRule="auto"/>
        <w:rPr>
          <w:rFonts w:hint="eastAsia" w:ascii="宋体" w:hAnsi="宋体"/>
          <w:szCs w:val="21"/>
        </w:rPr>
      </w:pPr>
      <w:bookmarkStart w:id="809" w:name="_BookMark_183"/>
      <w:bookmarkEnd w:id="809"/>
      <w:r>
        <w:rPr>
          <w:rFonts w:hint="eastAsia" w:ascii="宋体" w:hAnsi="宋体"/>
          <w:szCs w:val="21"/>
        </w:rPr>
        <w:t>12.3  监理人暂停施工指示</w:t>
      </w:r>
    </w:p>
    <w:p w14:paraId="47BA27E8">
      <w:pPr>
        <w:spacing w:line="360" w:lineRule="auto"/>
        <w:rPr>
          <w:rFonts w:hint="eastAsia" w:ascii="宋体" w:hAnsi="宋体"/>
          <w:szCs w:val="21"/>
        </w:rPr>
      </w:pPr>
      <w:r>
        <w:rPr>
          <w:rFonts w:hint="eastAsia" w:ascii="宋体" w:hAnsi="宋体"/>
          <w:szCs w:val="21"/>
        </w:rPr>
        <w:t>12.3.1  监理人认为有必要时，可向承包人作出暂停施工的指示，承包人应按监理人指示暂停施工。不论由于何种原因引起的暂停施工，暂停施工期间承包人应负责妥善保护工程并提供安全保障。</w:t>
      </w:r>
    </w:p>
    <w:p w14:paraId="4B99C406">
      <w:pPr>
        <w:spacing w:line="360" w:lineRule="auto"/>
        <w:rPr>
          <w:rFonts w:hint="eastAsia" w:ascii="宋体" w:hAnsi="宋体"/>
          <w:szCs w:val="21"/>
        </w:rPr>
      </w:pPr>
      <w:r>
        <w:rPr>
          <w:rFonts w:hint="eastAsia" w:ascii="宋体" w:hAnsi="宋体"/>
          <w:szCs w:val="21"/>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650204BA">
      <w:pPr>
        <w:spacing w:line="360" w:lineRule="auto"/>
        <w:rPr>
          <w:rFonts w:hint="eastAsia" w:ascii="宋体" w:hAnsi="宋体"/>
          <w:szCs w:val="21"/>
        </w:rPr>
      </w:pPr>
      <w:bookmarkStart w:id="810" w:name="_BookMark_184"/>
      <w:bookmarkEnd w:id="810"/>
      <w:r>
        <w:rPr>
          <w:rFonts w:hint="eastAsia" w:ascii="宋体" w:hAnsi="宋体"/>
          <w:szCs w:val="21"/>
        </w:rPr>
        <w:t>12.4  暂停施工后的复工</w:t>
      </w:r>
    </w:p>
    <w:p w14:paraId="197C38A7">
      <w:pPr>
        <w:spacing w:line="360" w:lineRule="auto"/>
        <w:rPr>
          <w:rFonts w:hint="eastAsia" w:ascii="宋体" w:hAnsi="宋体"/>
          <w:szCs w:val="21"/>
        </w:rPr>
      </w:pPr>
      <w:r>
        <w:rPr>
          <w:rFonts w:hint="eastAsia" w:ascii="宋体" w:hAnsi="宋体"/>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4D96136B">
      <w:pPr>
        <w:spacing w:line="360" w:lineRule="auto"/>
        <w:rPr>
          <w:rFonts w:hint="eastAsia" w:ascii="宋体" w:hAnsi="宋体"/>
          <w:szCs w:val="21"/>
        </w:rPr>
      </w:pPr>
      <w:r>
        <w:rPr>
          <w:rFonts w:hint="eastAsia" w:ascii="宋体" w:hAnsi="宋体"/>
          <w:szCs w:val="21"/>
        </w:rPr>
        <w:t>12.4.2  承包人无故拖延和拒绝复工的，由此增加的费用和工期延误由承包人承担；因发包人原因无法按时复工的，承包人有权要求发包人延长工期和（或）增加费用，并支付合理利润。</w:t>
      </w:r>
    </w:p>
    <w:p w14:paraId="1173C4EB">
      <w:pPr>
        <w:spacing w:line="360" w:lineRule="auto"/>
        <w:rPr>
          <w:rFonts w:hint="eastAsia" w:ascii="宋体" w:hAnsi="宋体"/>
          <w:szCs w:val="21"/>
        </w:rPr>
      </w:pPr>
      <w:r>
        <w:rPr>
          <w:rFonts w:hint="eastAsia" w:ascii="宋体" w:hAnsi="宋体"/>
          <w:szCs w:val="21"/>
        </w:rPr>
        <w:t>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21562511">
      <w:pPr>
        <w:spacing w:line="360" w:lineRule="auto"/>
        <w:rPr>
          <w:rFonts w:hint="eastAsia" w:ascii="宋体" w:hAnsi="宋体"/>
          <w:szCs w:val="21"/>
        </w:rPr>
      </w:pPr>
      <w:r>
        <w:rPr>
          <w:rFonts w:hint="eastAsia" w:ascii="宋体" w:hAnsi="宋体"/>
          <w:szCs w:val="21"/>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00D8D1C6">
      <w:pPr>
        <w:spacing w:line="360" w:lineRule="auto"/>
        <w:rPr>
          <w:rFonts w:hint="eastAsia" w:ascii="宋体" w:hAnsi="宋体"/>
          <w:szCs w:val="21"/>
        </w:rPr>
      </w:pPr>
      <w:bookmarkStart w:id="811" w:name="_BookMark_185"/>
      <w:bookmarkEnd w:id="811"/>
      <w:r>
        <w:rPr>
          <w:rFonts w:hint="eastAsia" w:ascii="宋体" w:hAnsi="宋体"/>
          <w:szCs w:val="21"/>
        </w:rPr>
        <w:t>12.5  暂停施工持续56天以上</w:t>
      </w:r>
    </w:p>
    <w:p w14:paraId="18F44F2E">
      <w:pPr>
        <w:spacing w:line="360" w:lineRule="auto"/>
        <w:rPr>
          <w:rFonts w:hint="eastAsia" w:ascii="宋体" w:hAnsi="宋体"/>
          <w:szCs w:val="21"/>
        </w:rPr>
      </w:pPr>
      <w:r>
        <w:rPr>
          <w:rFonts w:hint="eastAsia" w:ascii="宋体" w:hAnsi="宋体"/>
          <w:szCs w:val="21"/>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F8E5EAB">
      <w:pPr>
        <w:spacing w:line="360" w:lineRule="auto"/>
        <w:rPr>
          <w:rFonts w:hint="eastAsia" w:ascii="宋体" w:hAnsi="宋体"/>
          <w:szCs w:val="21"/>
        </w:rPr>
      </w:pPr>
      <w:r>
        <w:rPr>
          <w:rFonts w:hint="eastAsia" w:ascii="宋体" w:hAnsi="宋体"/>
          <w:szCs w:val="21"/>
        </w:rPr>
        <w:t>12.5.2  由于承包人责任引起的暂停施工，如承包人在收到监理人暂停施工指示后56天内不认真采取有效的复工措施，造成工期延误，可视为承包人违约，应按第22.1款的规定办理。</w:t>
      </w:r>
    </w:p>
    <w:p w14:paraId="43D2ABFC">
      <w:pPr>
        <w:adjustRightInd w:val="0"/>
        <w:snapToGrid w:val="0"/>
        <w:spacing w:line="360" w:lineRule="auto"/>
        <w:outlineLvl w:val="2"/>
        <w:rPr>
          <w:rFonts w:hint="eastAsia" w:ascii="宋体" w:hAnsi="宋体"/>
          <w:sz w:val="28"/>
        </w:rPr>
      </w:pPr>
      <w:bookmarkStart w:id="812" w:name="_BookMark_186"/>
      <w:bookmarkEnd w:id="812"/>
      <w:bookmarkStart w:id="813" w:name="_Toc532542646"/>
      <w:bookmarkStart w:id="814" w:name="_Toc528247490"/>
      <w:bookmarkStart w:id="815" w:name="_Toc162620944"/>
      <w:bookmarkStart w:id="816" w:name="_Toc196225918"/>
      <w:r>
        <w:rPr>
          <w:rFonts w:hint="eastAsia" w:ascii="宋体" w:hAnsi="宋体"/>
          <w:sz w:val="28"/>
        </w:rPr>
        <w:t>13.工程质量</w:t>
      </w:r>
      <w:bookmarkEnd w:id="813"/>
      <w:bookmarkEnd w:id="814"/>
      <w:bookmarkEnd w:id="815"/>
      <w:bookmarkEnd w:id="816"/>
    </w:p>
    <w:p w14:paraId="041CCD53">
      <w:pPr>
        <w:spacing w:line="360" w:lineRule="auto"/>
        <w:rPr>
          <w:rFonts w:hint="eastAsia" w:ascii="宋体" w:hAnsi="宋体"/>
          <w:szCs w:val="21"/>
        </w:rPr>
      </w:pPr>
      <w:bookmarkStart w:id="817" w:name="_BookMark_187"/>
      <w:bookmarkEnd w:id="817"/>
      <w:r>
        <w:rPr>
          <w:rFonts w:hint="eastAsia" w:ascii="宋体" w:hAnsi="宋体"/>
          <w:szCs w:val="21"/>
        </w:rPr>
        <w:t>13.1  工程质量要求</w:t>
      </w:r>
    </w:p>
    <w:p w14:paraId="5FFD9668">
      <w:pPr>
        <w:spacing w:line="360" w:lineRule="auto"/>
        <w:rPr>
          <w:rFonts w:hint="eastAsia" w:ascii="宋体" w:hAnsi="宋体"/>
          <w:szCs w:val="21"/>
        </w:rPr>
      </w:pPr>
      <w:r>
        <w:rPr>
          <w:rFonts w:hint="eastAsia" w:ascii="宋体" w:hAnsi="宋体"/>
          <w:szCs w:val="21"/>
        </w:rPr>
        <w:t>13.1.1  工程质量验收按合同约定验收标准执行。</w:t>
      </w:r>
    </w:p>
    <w:p w14:paraId="1E8008E6">
      <w:pPr>
        <w:spacing w:line="360" w:lineRule="auto"/>
        <w:rPr>
          <w:rFonts w:hint="eastAsia" w:ascii="宋体" w:hAnsi="宋体"/>
          <w:szCs w:val="21"/>
        </w:rPr>
      </w:pPr>
      <w:r>
        <w:rPr>
          <w:rFonts w:hint="eastAsia" w:ascii="宋体" w:hAnsi="宋体"/>
          <w:szCs w:val="21"/>
        </w:rPr>
        <w:t>13.1.2  因承包人原因造成工程质量达不到合同约定验收标准的，监理人有权要求承包人返工直至符合合同要求为止，由此造成的费用增加和（或）工期延误由承包人承担。</w:t>
      </w:r>
    </w:p>
    <w:p w14:paraId="30E20F5C">
      <w:pPr>
        <w:spacing w:line="360" w:lineRule="auto"/>
        <w:rPr>
          <w:rFonts w:hint="eastAsia" w:ascii="宋体" w:hAnsi="宋体"/>
          <w:szCs w:val="21"/>
        </w:rPr>
      </w:pPr>
      <w:r>
        <w:rPr>
          <w:rFonts w:hint="eastAsia" w:ascii="宋体" w:hAnsi="宋体"/>
          <w:szCs w:val="21"/>
        </w:rPr>
        <w:t>13.1.3  因发包人原因造成工程质量达不到合同约定验收标准的，发包人应承担由于承包人返工造成的费用增加和（或）工期延误，并支付承包人合理利润。</w:t>
      </w:r>
    </w:p>
    <w:p w14:paraId="6B7411EA">
      <w:pPr>
        <w:spacing w:line="360" w:lineRule="auto"/>
        <w:rPr>
          <w:rFonts w:hint="eastAsia" w:ascii="宋体" w:hAnsi="宋体"/>
          <w:szCs w:val="21"/>
        </w:rPr>
      </w:pPr>
      <w:bookmarkStart w:id="818" w:name="_BookMark_188"/>
      <w:bookmarkEnd w:id="818"/>
      <w:r>
        <w:rPr>
          <w:rFonts w:hint="eastAsia" w:ascii="宋体" w:hAnsi="宋体"/>
          <w:szCs w:val="21"/>
        </w:rPr>
        <w:t>13.2  承包人的质量管理</w:t>
      </w:r>
    </w:p>
    <w:p w14:paraId="5EE02183">
      <w:pPr>
        <w:spacing w:line="360" w:lineRule="auto"/>
        <w:rPr>
          <w:rFonts w:hint="eastAsia" w:ascii="宋体" w:hAnsi="宋体"/>
          <w:szCs w:val="21"/>
        </w:rPr>
      </w:pPr>
      <w:r>
        <w:rPr>
          <w:rFonts w:hint="eastAsia" w:ascii="宋体" w:hAnsi="宋体"/>
          <w:szCs w:val="21"/>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577280D2">
      <w:pPr>
        <w:spacing w:line="360" w:lineRule="auto"/>
        <w:rPr>
          <w:rFonts w:hint="eastAsia" w:ascii="宋体" w:hAnsi="宋体"/>
          <w:szCs w:val="21"/>
        </w:rPr>
      </w:pPr>
      <w:r>
        <w:rPr>
          <w:rFonts w:hint="eastAsia" w:ascii="宋体" w:hAnsi="宋体"/>
          <w:szCs w:val="21"/>
        </w:rPr>
        <w:t>13.2.2  承包人应加强对施工人员的质量教育和技术培训，定期考核施工人员的劳动技能，严格执行规范和操作规程。</w:t>
      </w:r>
    </w:p>
    <w:p w14:paraId="5EC4D726">
      <w:pPr>
        <w:spacing w:line="360" w:lineRule="auto"/>
        <w:rPr>
          <w:rFonts w:hint="eastAsia" w:ascii="宋体" w:hAnsi="宋体"/>
          <w:szCs w:val="21"/>
        </w:rPr>
      </w:pPr>
      <w:bookmarkStart w:id="819" w:name="_BookMark_189"/>
      <w:bookmarkEnd w:id="819"/>
      <w:r>
        <w:rPr>
          <w:rFonts w:hint="eastAsia" w:ascii="宋体" w:hAnsi="宋体"/>
          <w:szCs w:val="21"/>
        </w:rPr>
        <w:t>13.3  承包人的质量检查</w:t>
      </w:r>
    </w:p>
    <w:p w14:paraId="407EA4FF">
      <w:pPr>
        <w:spacing w:line="360" w:lineRule="auto"/>
        <w:rPr>
          <w:rFonts w:hint="eastAsia" w:ascii="宋体" w:hAnsi="宋体"/>
          <w:szCs w:val="21"/>
        </w:rPr>
      </w:pPr>
      <w:r>
        <w:rPr>
          <w:rFonts w:hint="eastAsia" w:ascii="宋体" w:hAnsi="宋体"/>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558C9C75">
      <w:pPr>
        <w:spacing w:line="360" w:lineRule="auto"/>
        <w:rPr>
          <w:rFonts w:hint="eastAsia" w:ascii="宋体" w:hAnsi="宋体"/>
          <w:szCs w:val="21"/>
        </w:rPr>
      </w:pPr>
      <w:bookmarkStart w:id="820" w:name="_BookMark_190"/>
      <w:bookmarkEnd w:id="820"/>
      <w:r>
        <w:rPr>
          <w:rFonts w:hint="eastAsia" w:ascii="宋体" w:hAnsi="宋体"/>
          <w:szCs w:val="21"/>
        </w:rPr>
        <w:t>13.4  监理人的质量检查</w:t>
      </w:r>
    </w:p>
    <w:p w14:paraId="0E5B1BD5">
      <w:pPr>
        <w:spacing w:line="360" w:lineRule="auto"/>
        <w:rPr>
          <w:rFonts w:hint="eastAsia" w:ascii="宋体" w:hAnsi="宋体"/>
          <w:szCs w:val="21"/>
        </w:rPr>
      </w:pPr>
      <w:r>
        <w:rPr>
          <w:rFonts w:hint="eastAsia" w:ascii="宋体" w:hAnsi="宋体"/>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5847805C">
      <w:pPr>
        <w:spacing w:line="360" w:lineRule="auto"/>
        <w:rPr>
          <w:rFonts w:hint="eastAsia" w:ascii="宋体" w:hAnsi="宋体"/>
          <w:szCs w:val="21"/>
        </w:rPr>
      </w:pPr>
      <w:bookmarkStart w:id="821" w:name="_BookMark_191"/>
      <w:bookmarkEnd w:id="821"/>
      <w:r>
        <w:rPr>
          <w:rFonts w:hint="eastAsia" w:ascii="宋体" w:hAnsi="宋体"/>
          <w:szCs w:val="21"/>
        </w:rPr>
        <w:t>13.5  工程隐蔽部位覆盖前的检查</w:t>
      </w:r>
    </w:p>
    <w:p w14:paraId="4A143C49">
      <w:pPr>
        <w:spacing w:line="360" w:lineRule="auto"/>
        <w:rPr>
          <w:rFonts w:hint="eastAsia" w:ascii="宋体" w:hAnsi="宋体"/>
          <w:szCs w:val="21"/>
        </w:rPr>
      </w:pPr>
      <w:r>
        <w:rPr>
          <w:rFonts w:hint="eastAsia" w:ascii="宋体" w:hAnsi="宋体"/>
          <w:szCs w:val="21"/>
        </w:rPr>
        <w:t>13.5.1  通知监理人检查</w:t>
      </w:r>
    </w:p>
    <w:p w14:paraId="0559A7D2">
      <w:pPr>
        <w:spacing w:line="360" w:lineRule="auto"/>
        <w:rPr>
          <w:rFonts w:hint="eastAsia" w:ascii="宋体" w:hAnsi="宋体"/>
          <w:szCs w:val="21"/>
        </w:rPr>
      </w:pPr>
      <w:r>
        <w:rPr>
          <w:rFonts w:hint="eastAsia" w:ascii="宋体" w:hAnsi="宋体"/>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5B87DAF6">
      <w:pPr>
        <w:spacing w:line="360" w:lineRule="auto"/>
        <w:rPr>
          <w:rFonts w:hint="eastAsia" w:ascii="宋体" w:hAnsi="宋体"/>
          <w:szCs w:val="21"/>
        </w:rPr>
      </w:pPr>
      <w:r>
        <w:rPr>
          <w:rFonts w:hint="eastAsia" w:ascii="宋体" w:hAnsi="宋体"/>
          <w:szCs w:val="21"/>
        </w:rPr>
        <w:t>13.5.2  监理人未到场检查</w:t>
      </w:r>
    </w:p>
    <w:p w14:paraId="05E7E7A3">
      <w:pPr>
        <w:spacing w:line="360" w:lineRule="auto"/>
        <w:rPr>
          <w:rFonts w:hint="eastAsia" w:ascii="宋体" w:hAnsi="宋体"/>
          <w:szCs w:val="21"/>
        </w:rPr>
      </w:pPr>
      <w:r>
        <w:rPr>
          <w:rFonts w:hint="eastAsia" w:ascii="宋体" w:hAnsi="宋体"/>
          <w:szCs w:val="21"/>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2CAE0AA5">
      <w:pPr>
        <w:spacing w:line="360" w:lineRule="auto"/>
        <w:rPr>
          <w:rFonts w:hint="eastAsia" w:ascii="宋体" w:hAnsi="宋体"/>
          <w:szCs w:val="21"/>
        </w:rPr>
      </w:pPr>
      <w:r>
        <w:rPr>
          <w:rFonts w:hint="eastAsia" w:ascii="宋体" w:hAnsi="宋体"/>
          <w:szCs w:val="21"/>
        </w:rPr>
        <w:t>13.5.3  监理人重新检查</w:t>
      </w:r>
    </w:p>
    <w:p w14:paraId="2BDB18C9">
      <w:pPr>
        <w:spacing w:line="360" w:lineRule="auto"/>
        <w:rPr>
          <w:rFonts w:hint="eastAsia" w:ascii="宋体" w:hAnsi="宋体"/>
          <w:szCs w:val="21"/>
        </w:rPr>
      </w:pPr>
      <w:r>
        <w:rPr>
          <w:rFonts w:hint="eastAsia" w:ascii="宋体" w:hAnsi="宋体"/>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F529D61">
      <w:pPr>
        <w:spacing w:line="360" w:lineRule="auto"/>
        <w:rPr>
          <w:rFonts w:hint="eastAsia" w:ascii="宋体" w:hAnsi="宋体"/>
          <w:szCs w:val="21"/>
        </w:rPr>
      </w:pPr>
      <w:r>
        <w:rPr>
          <w:rFonts w:hint="eastAsia" w:ascii="宋体" w:hAnsi="宋体"/>
          <w:szCs w:val="21"/>
        </w:rPr>
        <w:t>13.5.4  承包人私自覆盖</w:t>
      </w:r>
    </w:p>
    <w:p w14:paraId="6F6C5B37">
      <w:pPr>
        <w:spacing w:line="360" w:lineRule="auto"/>
        <w:rPr>
          <w:rFonts w:hint="eastAsia" w:ascii="宋体" w:hAnsi="宋体"/>
          <w:szCs w:val="21"/>
        </w:rPr>
      </w:pPr>
      <w:r>
        <w:rPr>
          <w:rFonts w:hint="eastAsia" w:ascii="宋体" w:hAnsi="宋体"/>
          <w:szCs w:val="21"/>
        </w:rPr>
        <w:t>承包人未通知监理人到场检查，私自将工程隐蔽部位覆盖的，监理人有权指示承包人钻孔探测或揭开检查，由此增加的费用和（或）工期延误由承包人承担。</w:t>
      </w:r>
    </w:p>
    <w:p w14:paraId="2AF44A0A">
      <w:pPr>
        <w:spacing w:line="360" w:lineRule="auto"/>
        <w:rPr>
          <w:rFonts w:hint="eastAsia" w:ascii="宋体" w:hAnsi="宋体"/>
          <w:szCs w:val="21"/>
        </w:rPr>
      </w:pPr>
      <w:bookmarkStart w:id="822" w:name="_BookMark_192"/>
      <w:bookmarkEnd w:id="822"/>
      <w:r>
        <w:rPr>
          <w:rFonts w:hint="eastAsia" w:ascii="宋体" w:hAnsi="宋体"/>
          <w:szCs w:val="21"/>
        </w:rPr>
        <w:t>13.6  清除不合格工程</w:t>
      </w:r>
    </w:p>
    <w:p w14:paraId="78C91B40">
      <w:pPr>
        <w:spacing w:line="360" w:lineRule="auto"/>
        <w:rPr>
          <w:rFonts w:hint="eastAsia" w:ascii="宋体" w:hAnsi="宋体"/>
          <w:szCs w:val="21"/>
        </w:rPr>
      </w:pPr>
      <w:r>
        <w:rPr>
          <w:rFonts w:hint="eastAsia" w:ascii="宋体" w:hAnsi="宋体"/>
          <w:szCs w:val="21"/>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6275A3D">
      <w:pPr>
        <w:spacing w:line="360" w:lineRule="auto"/>
        <w:rPr>
          <w:rFonts w:hint="eastAsia" w:ascii="宋体" w:hAnsi="宋体"/>
          <w:szCs w:val="21"/>
        </w:rPr>
      </w:pPr>
      <w:r>
        <w:rPr>
          <w:rFonts w:hint="eastAsia" w:ascii="宋体" w:hAnsi="宋体"/>
          <w:szCs w:val="21"/>
        </w:rPr>
        <w:t>13.6.2  由于发包人提供的材料或工程设备不合格造成的工程不合格，需要承包人采取措施补救的，发包人应承担由此增加的费用和（或）工期延误，并支付承包人合理利润。</w:t>
      </w:r>
    </w:p>
    <w:p w14:paraId="3EBDB6E5">
      <w:pPr>
        <w:spacing w:line="360" w:lineRule="auto"/>
        <w:rPr>
          <w:rFonts w:hint="eastAsia" w:ascii="宋体" w:hAnsi="宋体"/>
          <w:szCs w:val="21"/>
        </w:rPr>
      </w:pPr>
      <w:bookmarkStart w:id="823" w:name="_BookMark_193"/>
      <w:bookmarkEnd w:id="823"/>
      <w:r>
        <w:rPr>
          <w:rFonts w:hint="eastAsia" w:ascii="宋体" w:hAnsi="宋体"/>
          <w:szCs w:val="21"/>
        </w:rPr>
        <w:t>13.7  质量争议</w:t>
      </w:r>
    </w:p>
    <w:p w14:paraId="0F1E35C7">
      <w:pPr>
        <w:spacing w:line="360" w:lineRule="auto"/>
        <w:rPr>
          <w:rFonts w:hint="eastAsia" w:ascii="宋体" w:hAnsi="宋体"/>
          <w:szCs w:val="21"/>
        </w:rPr>
      </w:pPr>
      <w:r>
        <w:rPr>
          <w:rFonts w:hint="eastAsia" w:ascii="宋体" w:hAnsi="宋体"/>
          <w:szCs w:val="21"/>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1501CAD1">
      <w:pPr>
        <w:adjustRightInd w:val="0"/>
        <w:snapToGrid w:val="0"/>
        <w:spacing w:line="360" w:lineRule="auto"/>
        <w:outlineLvl w:val="2"/>
        <w:rPr>
          <w:rFonts w:hint="eastAsia" w:ascii="宋体" w:hAnsi="宋体"/>
          <w:sz w:val="28"/>
        </w:rPr>
      </w:pPr>
      <w:bookmarkStart w:id="824" w:name="_BookMark_194"/>
      <w:bookmarkEnd w:id="824"/>
      <w:bookmarkStart w:id="825" w:name="_Toc528247491"/>
      <w:bookmarkStart w:id="826" w:name="_Toc196225919"/>
      <w:bookmarkStart w:id="827" w:name="_Toc532542647"/>
      <w:bookmarkStart w:id="828" w:name="_Toc162620945"/>
      <w:r>
        <w:rPr>
          <w:rFonts w:hint="eastAsia" w:ascii="宋体" w:hAnsi="宋体"/>
          <w:sz w:val="28"/>
        </w:rPr>
        <w:t>14.试验和检验</w:t>
      </w:r>
      <w:bookmarkEnd w:id="825"/>
      <w:bookmarkEnd w:id="826"/>
      <w:bookmarkEnd w:id="827"/>
      <w:bookmarkEnd w:id="828"/>
    </w:p>
    <w:p w14:paraId="00CE7E42">
      <w:pPr>
        <w:spacing w:line="360" w:lineRule="auto"/>
        <w:rPr>
          <w:rFonts w:hint="eastAsia" w:ascii="宋体" w:hAnsi="宋体"/>
          <w:szCs w:val="21"/>
        </w:rPr>
      </w:pPr>
      <w:bookmarkStart w:id="829" w:name="_BookMark_195"/>
      <w:bookmarkEnd w:id="829"/>
      <w:r>
        <w:rPr>
          <w:rFonts w:hint="eastAsia" w:ascii="宋体" w:hAnsi="宋体"/>
          <w:szCs w:val="21"/>
        </w:rPr>
        <w:t>14.1  材料、工程设备和工程的试验和检验</w:t>
      </w:r>
    </w:p>
    <w:p w14:paraId="0CCE64A6">
      <w:pPr>
        <w:spacing w:line="360" w:lineRule="auto"/>
        <w:rPr>
          <w:rFonts w:hint="eastAsia" w:ascii="宋体" w:hAnsi="宋体"/>
          <w:szCs w:val="21"/>
        </w:rPr>
      </w:pPr>
      <w:r>
        <w:rPr>
          <w:rFonts w:hint="eastAsia" w:ascii="宋体" w:hAnsi="宋体"/>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4F7F065">
      <w:pPr>
        <w:spacing w:line="360" w:lineRule="auto"/>
        <w:rPr>
          <w:rFonts w:hint="eastAsia" w:ascii="宋体" w:hAnsi="宋体"/>
          <w:szCs w:val="21"/>
        </w:rPr>
      </w:pPr>
      <w:r>
        <w:rPr>
          <w:rFonts w:hint="eastAsia" w:ascii="宋体" w:hAnsi="宋体"/>
          <w:szCs w:val="21"/>
        </w:rPr>
        <w:t>14.1.2  监理人未按合同约定派员参加试验和检验的，除监理人另有指示外，承包人可自行试验和检验，并应立即将试验和检验结果报送监理人，监理人应签字确认。</w:t>
      </w:r>
    </w:p>
    <w:p w14:paraId="16CE51F6">
      <w:pPr>
        <w:spacing w:line="360" w:lineRule="auto"/>
        <w:rPr>
          <w:rFonts w:hint="eastAsia" w:ascii="宋体" w:hAnsi="宋体"/>
          <w:szCs w:val="21"/>
        </w:rPr>
      </w:pPr>
      <w:r>
        <w:rPr>
          <w:rFonts w:hint="eastAsia" w:ascii="宋体" w:hAnsi="宋体"/>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42AFE85">
      <w:pPr>
        <w:spacing w:line="360" w:lineRule="auto"/>
        <w:rPr>
          <w:rFonts w:hint="eastAsia" w:ascii="宋体" w:hAnsi="宋体"/>
          <w:szCs w:val="21"/>
        </w:rPr>
      </w:pPr>
      <w:bookmarkStart w:id="830" w:name="_BookMark_196"/>
      <w:bookmarkEnd w:id="830"/>
      <w:r>
        <w:rPr>
          <w:rFonts w:hint="eastAsia" w:ascii="宋体" w:hAnsi="宋体"/>
          <w:szCs w:val="21"/>
        </w:rPr>
        <w:t>14.2  现场材料试验</w:t>
      </w:r>
    </w:p>
    <w:p w14:paraId="0072F7FB">
      <w:pPr>
        <w:spacing w:line="360" w:lineRule="auto"/>
        <w:rPr>
          <w:rFonts w:hint="eastAsia" w:ascii="宋体" w:hAnsi="宋体"/>
          <w:szCs w:val="21"/>
        </w:rPr>
      </w:pPr>
      <w:r>
        <w:rPr>
          <w:rFonts w:hint="eastAsia" w:ascii="宋体" w:hAnsi="宋体"/>
          <w:szCs w:val="21"/>
        </w:rPr>
        <w:t>14.2.1  承包人根据合同约定或监理人指示进行的现场材料试验，应由承包人提供试验场所、试验人员、试验设备器材以及其他必要的试验条件。</w:t>
      </w:r>
    </w:p>
    <w:p w14:paraId="55A00C7C">
      <w:pPr>
        <w:spacing w:line="360" w:lineRule="auto"/>
        <w:rPr>
          <w:rFonts w:hint="eastAsia" w:ascii="宋体" w:hAnsi="宋体"/>
          <w:szCs w:val="21"/>
        </w:rPr>
      </w:pPr>
      <w:r>
        <w:rPr>
          <w:rFonts w:hint="eastAsia" w:ascii="宋体" w:hAnsi="宋体"/>
          <w:szCs w:val="21"/>
        </w:rPr>
        <w:t>14.2.2  监理人在必要时可以使用承包人的试验场所、试验设备器材以及其他试验条件，进行以工程质量检查为目的的复核性材料试验，承包人应予以协助。</w:t>
      </w:r>
    </w:p>
    <w:p w14:paraId="780BC2A4">
      <w:pPr>
        <w:spacing w:line="360" w:lineRule="auto"/>
        <w:rPr>
          <w:rFonts w:hint="eastAsia" w:ascii="宋体" w:hAnsi="宋体"/>
          <w:szCs w:val="21"/>
        </w:rPr>
      </w:pPr>
      <w:bookmarkStart w:id="831" w:name="_BookMark_197"/>
      <w:bookmarkEnd w:id="831"/>
      <w:r>
        <w:rPr>
          <w:rFonts w:hint="eastAsia" w:ascii="宋体" w:hAnsi="宋体"/>
          <w:szCs w:val="21"/>
        </w:rPr>
        <w:t>14.3  现场工艺试验</w:t>
      </w:r>
    </w:p>
    <w:p w14:paraId="763711D3">
      <w:pPr>
        <w:spacing w:line="360" w:lineRule="auto"/>
        <w:rPr>
          <w:rFonts w:hint="eastAsia" w:ascii="宋体" w:hAnsi="宋体"/>
          <w:szCs w:val="21"/>
        </w:rPr>
      </w:pPr>
      <w:r>
        <w:rPr>
          <w:rFonts w:hint="eastAsia" w:ascii="宋体" w:hAnsi="宋体"/>
          <w:szCs w:val="21"/>
        </w:rPr>
        <w:t>承包人应按合同约定或监理人指示进行现场工艺试验。对大型的现场工艺试验，监理人认为必要时，应由承包人根据监理人提出的工艺试验要求，编制工艺试验措施计划，报送监理人审批。</w:t>
      </w:r>
    </w:p>
    <w:p w14:paraId="39B3BC6C">
      <w:pPr>
        <w:adjustRightInd w:val="0"/>
        <w:snapToGrid w:val="0"/>
        <w:spacing w:line="360" w:lineRule="auto"/>
        <w:outlineLvl w:val="2"/>
        <w:rPr>
          <w:rFonts w:hint="eastAsia" w:ascii="宋体" w:hAnsi="宋体"/>
          <w:sz w:val="28"/>
        </w:rPr>
      </w:pPr>
      <w:bookmarkStart w:id="832" w:name="_BookMark_198"/>
      <w:bookmarkEnd w:id="832"/>
      <w:bookmarkStart w:id="833" w:name="_Toc162620946"/>
      <w:bookmarkStart w:id="834" w:name="_Toc528247492"/>
      <w:bookmarkStart w:id="835" w:name="_Toc532542648"/>
      <w:bookmarkStart w:id="836" w:name="_Toc196225920"/>
      <w:r>
        <w:rPr>
          <w:rFonts w:hint="eastAsia" w:ascii="宋体" w:hAnsi="宋体"/>
          <w:sz w:val="28"/>
        </w:rPr>
        <w:t>15.变更</w:t>
      </w:r>
      <w:bookmarkEnd w:id="833"/>
      <w:bookmarkEnd w:id="834"/>
      <w:bookmarkEnd w:id="835"/>
      <w:bookmarkEnd w:id="836"/>
    </w:p>
    <w:p w14:paraId="3F503CF2">
      <w:pPr>
        <w:spacing w:line="360" w:lineRule="auto"/>
        <w:rPr>
          <w:rFonts w:hint="eastAsia" w:ascii="宋体" w:hAnsi="宋体"/>
          <w:szCs w:val="21"/>
        </w:rPr>
      </w:pPr>
      <w:bookmarkStart w:id="837" w:name="_BookMark_199"/>
      <w:bookmarkEnd w:id="837"/>
      <w:r>
        <w:rPr>
          <w:rFonts w:hint="eastAsia" w:ascii="宋体" w:hAnsi="宋体"/>
          <w:szCs w:val="21"/>
        </w:rPr>
        <w:t>15.1  变更的范围和内容</w:t>
      </w:r>
    </w:p>
    <w:p w14:paraId="043EF539">
      <w:pPr>
        <w:spacing w:line="360" w:lineRule="auto"/>
        <w:rPr>
          <w:rFonts w:hint="eastAsia" w:ascii="宋体" w:hAnsi="宋体"/>
          <w:szCs w:val="21"/>
        </w:rPr>
      </w:pPr>
      <w:r>
        <w:rPr>
          <w:rFonts w:hint="eastAsia" w:ascii="宋体" w:hAnsi="宋体"/>
          <w:szCs w:val="21"/>
        </w:rPr>
        <w:t>15.1.1  在履行合同中发生以下情形之一，应按照本条规定进行变更。</w:t>
      </w:r>
    </w:p>
    <w:p w14:paraId="7E522EFF">
      <w:pPr>
        <w:spacing w:line="360" w:lineRule="auto"/>
        <w:rPr>
          <w:rFonts w:hint="eastAsia" w:ascii="宋体" w:hAnsi="宋体"/>
          <w:szCs w:val="21"/>
        </w:rPr>
      </w:pPr>
      <w:r>
        <w:rPr>
          <w:rFonts w:hint="eastAsia" w:ascii="宋体" w:hAnsi="宋体"/>
          <w:szCs w:val="21"/>
        </w:rPr>
        <w:t>（1）取消合同中任何一项工作，但被取消的工作不能转由发包人或其他人实施；</w:t>
      </w:r>
    </w:p>
    <w:p w14:paraId="31E1DBAF">
      <w:pPr>
        <w:spacing w:line="360" w:lineRule="auto"/>
        <w:rPr>
          <w:rFonts w:hint="eastAsia" w:ascii="宋体" w:hAnsi="宋体"/>
          <w:szCs w:val="21"/>
        </w:rPr>
      </w:pPr>
      <w:r>
        <w:rPr>
          <w:rFonts w:hint="eastAsia" w:ascii="宋体" w:hAnsi="宋体"/>
          <w:szCs w:val="21"/>
        </w:rPr>
        <w:t>（2）改变合同中任何一项工作的质量或其他特性；</w:t>
      </w:r>
    </w:p>
    <w:p w14:paraId="40B5838B">
      <w:pPr>
        <w:spacing w:line="360" w:lineRule="auto"/>
        <w:rPr>
          <w:rFonts w:hint="eastAsia" w:ascii="宋体" w:hAnsi="宋体"/>
          <w:szCs w:val="21"/>
        </w:rPr>
      </w:pPr>
      <w:r>
        <w:rPr>
          <w:rFonts w:hint="eastAsia" w:ascii="宋体" w:hAnsi="宋体"/>
          <w:szCs w:val="21"/>
        </w:rPr>
        <w:t>（3）改变合同工程的基线、标高、位置或尺寸；</w:t>
      </w:r>
    </w:p>
    <w:p w14:paraId="0E844377">
      <w:pPr>
        <w:spacing w:line="360" w:lineRule="auto"/>
        <w:rPr>
          <w:rFonts w:hint="eastAsia" w:ascii="宋体" w:hAnsi="宋体"/>
          <w:szCs w:val="21"/>
        </w:rPr>
      </w:pPr>
      <w:r>
        <w:rPr>
          <w:rFonts w:hint="eastAsia" w:ascii="宋体" w:hAnsi="宋体"/>
          <w:szCs w:val="21"/>
        </w:rPr>
        <w:t>（4）改变合同中任何一项工作的施工时间或改变已批准的施工工艺或顺序；</w:t>
      </w:r>
    </w:p>
    <w:p w14:paraId="031CE927">
      <w:pPr>
        <w:spacing w:line="360" w:lineRule="auto"/>
        <w:rPr>
          <w:rFonts w:hint="eastAsia" w:ascii="宋体" w:hAnsi="宋体"/>
          <w:szCs w:val="21"/>
        </w:rPr>
      </w:pPr>
      <w:r>
        <w:rPr>
          <w:rFonts w:hint="eastAsia" w:ascii="宋体" w:hAnsi="宋体"/>
          <w:szCs w:val="21"/>
        </w:rPr>
        <w:t>（5）为完成工程需要追加的额外工作；</w:t>
      </w:r>
    </w:p>
    <w:p w14:paraId="07292422">
      <w:pPr>
        <w:spacing w:line="360" w:lineRule="auto"/>
        <w:rPr>
          <w:rFonts w:hint="eastAsia" w:ascii="宋体" w:hAnsi="宋体"/>
          <w:szCs w:val="21"/>
        </w:rPr>
      </w:pPr>
      <w:r>
        <w:rPr>
          <w:rFonts w:hint="eastAsia" w:ascii="宋体" w:hAnsi="宋体"/>
          <w:szCs w:val="21"/>
        </w:rPr>
        <w:t>（6）变更的其他情形见合同条款专用部分。</w:t>
      </w:r>
    </w:p>
    <w:p w14:paraId="505BF136">
      <w:pPr>
        <w:spacing w:line="360" w:lineRule="auto"/>
        <w:rPr>
          <w:rFonts w:hint="eastAsia" w:ascii="宋体" w:hAnsi="宋体"/>
          <w:szCs w:val="21"/>
        </w:rPr>
      </w:pPr>
      <w:r>
        <w:rPr>
          <w:rFonts w:hint="eastAsia" w:ascii="宋体" w:hAnsi="宋体"/>
          <w:szCs w:val="21"/>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724192AD">
      <w:pPr>
        <w:spacing w:line="360" w:lineRule="auto"/>
        <w:rPr>
          <w:rFonts w:hint="eastAsia" w:ascii="宋体" w:hAnsi="宋体"/>
          <w:szCs w:val="21"/>
        </w:rPr>
      </w:pPr>
      <w:bookmarkStart w:id="838" w:name="_BookMark_200"/>
      <w:bookmarkEnd w:id="838"/>
      <w:r>
        <w:rPr>
          <w:rFonts w:hint="eastAsia" w:ascii="宋体" w:hAnsi="宋体"/>
          <w:szCs w:val="21"/>
        </w:rPr>
        <w:t>15.2  变更权</w:t>
      </w:r>
    </w:p>
    <w:p w14:paraId="58A4E13F">
      <w:pPr>
        <w:spacing w:line="360" w:lineRule="auto"/>
        <w:rPr>
          <w:rFonts w:hint="eastAsia" w:ascii="宋体" w:hAnsi="宋体"/>
          <w:szCs w:val="21"/>
        </w:rPr>
      </w:pPr>
      <w:r>
        <w:rPr>
          <w:rFonts w:hint="eastAsia" w:ascii="宋体" w:hAnsi="宋体"/>
          <w:szCs w:val="21"/>
        </w:rPr>
        <w:t>在履行合同过程中，经发包人同意，监理人可按第15.3款约定的变更程序向承包人作出变更指示，承包人应遵照执行。没有监理人的变更指示，承包人不得擅自变更。</w:t>
      </w:r>
    </w:p>
    <w:p w14:paraId="48620507">
      <w:pPr>
        <w:spacing w:line="360" w:lineRule="auto"/>
        <w:rPr>
          <w:rFonts w:hint="eastAsia" w:ascii="宋体" w:hAnsi="宋体"/>
          <w:szCs w:val="21"/>
        </w:rPr>
      </w:pPr>
      <w:bookmarkStart w:id="839" w:name="_BookMark_201"/>
      <w:bookmarkEnd w:id="839"/>
      <w:r>
        <w:rPr>
          <w:rFonts w:hint="eastAsia" w:ascii="宋体" w:hAnsi="宋体"/>
          <w:szCs w:val="21"/>
        </w:rPr>
        <w:t>15.3  变更程序</w:t>
      </w:r>
    </w:p>
    <w:p w14:paraId="7367C0E5">
      <w:pPr>
        <w:spacing w:line="360" w:lineRule="auto"/>
        <w:rPr>
          <w:rFonts w:hint="eastAsia" w:ascii="宋体" w:hAnsi="宋体"/>
          <w:szCs w:val="21"/>
        </w:rPr>
      </w:pPr>
      <w:r>
        <w:rPr>
          <w:rFonts w:hint="eastAsia" w:ascii="宋体" w:hAnsi="宋体"/>
          <w:szCs w:val="21"/>
        </w:rPr>
        <w:t>15.3.1  变更的提出</w:t>
      </w:r>
    </w:p>
    <w:p w14:paraId="6E600BD9">
      <w:pPr>
        <w:spacing w:line="360" w:lineRule="auto"/>
        <w:rPr>
          <w:rFonts w:hint="eastAsia" w:ascii="宋体" w:hAnsi="宋体"/>
          <w:szCs w:val="21"/>
        </w:rPr>
      </w:pPr>
      <w:r>
        <w:rPr>
          <w:rFonts w:hint="eastAsia" w:ascii="宋体" w:hAnsi="宋体"/>
          <w:szCs w:val="21"/>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75B36B01">
      <w:pPr>
        <w:spacing w:line="360" w:lineRule="auto"/>
        <w:rPr>
          <w:rFonts w:hint="eastAsia" w:ascii="宋体" w:hAnsi="宋体"/>
          <w:szCs w:val="21"/>
        </w:rPr>
      </w:pPr>
      <w:r>
        <w:rPr>
          <w:rFonts w:hint="eastAsia" w:ascii="宋体" w:hAnsi="宋体"/>
          <w:szCs w:val="21"/>
        </w:rPr>
        <w:t>（2）在合同履行过程中，发生第15.1.1项约定情形的，监理人应按照第15.3.3项约定向承包人发出变更指示。</w:t>
      </w:r>
    </w:p>
    <w:p w14:paraId="7F1D0A35">
      <w:pPr>
        <w:spacing w:line="360" w:lineRule="auto"/>
        <w:rPr>
          <w:rFonts w:hint="eastAsia" w:ascii="宋体" w:hAnsi="宋体"/>
          <w:szCs w:val="21"/>
        </w:rPr>
      </w:pPr>
      <w:r>
        <w:rPr>
          <w:rFonts w:hint="eastAsia" w:ascii="宋体" w:hAnsi="宋体"/>
          <w:szCs w:val="21"/>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181D9568">
      <w:pPr>
        <w:spacing w:line="360" w:lineRule="auto"/>
        <w:rPr>
          <w:rFonts w:hint="eastAsia" w:ascii="宋体" w:hAnsi="宋体"/>
          <w:szCs w:val="21"/>
        </w:rPr>
      </w:pPr>
      <w:r>
        <w:rPr>
          <w:rFonts w:hint="eastAsia" w:ascii="宋体" w:hAnsi="宋体"/>
          <w:szCs w:val="21"/>
        </w:rPr>
        <w:t>（4）若承包人收到监理人的变更意向书后认为难以实施此项变更，应立即通知监理人，说明原因并附详细依据。监理人与承包人和发包人协商后确定撤销、改变或不改变原变更意向书。</w:t>
      </w:r>
    </w:p>
    <w:p w14:paraId="41F97DE3">
      <w:pPr>
        <w:spacing w:line="360" w:lineRule="auto"/>
        <w:rPr>
          <w:rFonts w:hint="eastAsia" w:ascii="宋体" w:hAnsi="宋体"/>
          <w:szCs w:val="21"/>
        </w:rPr>
      </w:pPr>
      <w:r>
        <w:rPr>
          <w:rFonts w:hint="eastAsia" w:ascii="宋体" w:hAnsi="宋体"/>
          <w:szCs w:val="21"/>
        </w:rPr>
        <w:t>15.3.2  变更估价</w:t>
      </w:r>
    </w:p>
    <w:p w14:paraId="1B5F55C5">
      <w:pPr>
        <w:spacing w:line="360" w:lineRule="auto"/>
        <w:rPr>
          <w:rFonts w:hint="eastAsia" w:ascii="宋体" w:hAnsi="宋体"/>
          <w:szCs w:val="21"/>
        </w:rPr>
      </w:pPr>
      <w:r>
        <w:rPr>
          <w:rFonts w:hint="eastAsia" w:ascii="宋体" w:hAnsi="宋体"/>
          <w:szCs w:val="21"/>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336A140D">
      <w:pPr>
        <w:spacing w:line="360" w:lineRule="auto"/>
        <w:rPr>
          <w:rFonts w:hint="eastAsia" w:ascii="宋体" w:hAnsi="宋体"/>
          <w:szCs w:val="21"/>
        </w:rPr>
      </w:pPr>
      <w:r>
        <w:rPr>
          <w:rFonts w:hint="eastAsia" w:ascii="宋体" w:hAnsi="宋体"/>
          <w:szCs w:val="21"/>
        </w:rPr>
        <w:t>（2）变更工作影响工期的，承包人应提出调整工期的具体细节。监理人认为有必要时，可要求承包人提交要求提前或延长工期的施工进度计划，及相应施工措施等详细资料。</w:t>
      </w:r>
    </w:p>
    <w:p w14:paraId="078FF405">
      <w:pPr>
        <w:spacing w:line="360" w:lineRule="auto"/>
        <w:rPr>
          <w:rFonts w:hint="eastAsia" w:ascii="宋体" w:hAnsi="宋体"/>
          <w:szCs w:val="21"/>
        </w:rPr>
      </w:pPr>
      <w:r>
        <w:rPr>
          <w:rFonts w:hint="eastAsia" w:ascii="宋体" w:hAnsi="宋体"/>
          <w:szCs w:val="21"/>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38910742">
      <w:pPr>
        <w:spacing w:line="360" w:lineRule="auto"/>
        <w:rPr>
          <w:rFonts w:hint="eastAsia" w:ascii="宋体" w:hAnsi="宋体"/>
          <w:szCs w:val="21"/>
        </w:rPr>
      </w:pPr>
      <w:r>
        <w:rPr>
          <w:rFonts w:hint="eastAsia" w:ascii="宋体" w:hAnsi="宋体"/>
          <w:szCs w:val="21"/>
        </w:rPr>
        <w:t>（4）收到变更指示后，如承包人未在规定的期限内提交变更报价书的，监理人可自行决定是否调整合同价款以及如果监理人决定调整合同价款时，相应调整的具体金额。</w:t>
      </w:r>
    </w:p>
    <w:p w14:paraId="2ED04598">
      <w:pPr>
        <w:spacing w:line="360" w:lineRule="auto"/>
        <w:rPr>
          <w:rFonts w:hint="eastAsia" w:ascii="宋体" w:hAnsi="宋体"/>
          <w:szCs w:val="21"/>
        </w:rPr>
      </w:pPr>
      <w:r>
        <w:rPr>
          <w:rFonts w:hint="eastAsia" w:ascii="宋体" w:hAnsi="宋体"/>
          <w:szCs w:val="21"/>
        </w:rPr>
        <w:t>15.3.3  变更指示</w:t>
      </w:r>
    </w:p>
    <w:p w14:paraId="070AB12A">
      <w:pPr>
        <w:spacing w:line="360" w:lineRule="auto"/>
        <w:rPr>
          <w:rFonts w:hint="eastAsia" w:ascii="宋体" w:hAnsi="宋体"/>
          <w:szCs w:val="21"/>
        </w:rPr>
      </w:pPr>
      <w:r>
        <w:rPr>
          <w:rFonts w:hint="eastAsia" w:ascii="宋体" w:hAnsi="宋体"/>
          <w:szCs w:val="21"/>
        </w:rPr>
        <w:t>（1）变更指示只能由监理人发出。</w:t>
      </w:r>
    </w:p>
    <w:p w14:paraId="403B3CAC">
      <w:pPr>
        <w:spacing w:line="360" w:lineRule="auto"/>
        <w:rPr>
          <w:rFonts w:hint="eastAsia" w:ascii="宋体" w:hAnsi="宋体"/>
          <w:szCs w:val="21"/>
        </w:rPr>
      </w:pPr>
      <w:r>
        <w:rPr>
          <w:rFonts w:hint="eastAsia" w:ascii="宋体" w:hAnsi="宋体"/>
          <w:szCs w:val="21"/>
        </w:rPr>
        <w:t>（2）变更指示应说明变更的目的、范围、变更内容以及变更的工程量及其进度和技术要求，并附有关图纸和文件。承包人收到变更指示后，应按变更指示进行变更工作。</w:t>
      </w:r>
    </w:p>
    <w:p w14:paraId="3B9376F7">
      <w:pPr>
        <w:spacing w:line="360" w:lineRule="auto"/>
        <w:rPr>
          <w:rFonts w:hint="eastAsia" w:ascii="宋体" w:hAnsi="宋体"/>
          <w:szCs w:val="21"/>
        </w:rPr>
      </w:pPr>
      <w:bookmarkStart w:id="840" w:name="_BookMark_202"/>
      <w:bookmarkEnd w:id="840"/>
      <w:r>
        <w:rPr>
          <w:rFonts w:hint="eastAsia" w:ascii="宋体" w:hAnsi="宋体"/>
          <w:szCs w:val="21"/>
        </w:rPr>
        <w:t>15.4  变更的估价原则</w:t>
      </w:r>
    </w:p>
    <w:p w14:paraId="2347AB76">
      <w:pPr>
        <w:spacing w:line="360" w:lineRule="auto"/>
        <w:rPr>
          <w:rFonts w:hint="eastAsia" w:ascii="宋体" w:hAnsi="宋体"/>
          <w:szCs w:val="21"/>
        </w:rPr>
      </w:pPr>
      <w:r>
        <w:rPr>
          <w:rFonts w:hint="eastAsia" w:ascii="宋体" w:hAnsi="宋体"/>
          <w:szCs w:val="21"/>
        </w:rPr>
        <w:t>因工程量清单漏项（仅适用于合同协议书约定采用单价合同形式时）或变更引起的价格调整按照本款约定处理。</w:t>
      </w:r>
    </w:p>
    <w:p w14:paraId="0F899D85">
      <w:pPr>
        <w:spacing w:line="360" w:lineRule="auto"/>
        <w:rPr>
          <w:rFonts w:hint="eastAsia" w:ascii="宋体" w:hAnsi="宋体"/>
          <w:szCs w:val="21"/>
        </w:rPr>
      </w:pPr>
      <w:r>
        <w:rPr>
          <w:rFonts w:hint="eastAsia" w:ascii="宋体" w:hAnsi="宋体"/>
          <w:szCs w:val="21"/>
        </w:rPr>
        <w:t>15.4.1  已标价工程量清单中有适用于变更工作的子目的，采用该子目的单价。</w:t>
      </w:r>
    </w:p>
    <w:p w14:paraId="2D6CAE04">
      <w:pPr>
        <w:spacing w:line="360" w:lineRule="auto"/>
        <w:rPr>
          <w:rFonts w:hint="eastAsia" w:ascii="宋体" w:hAnsi="宋体"/>
          <w:szCs w:val="21"/>
        </w:rPr>
      </w:pPr>
      <w:r>
        <w:rPr>
          <w:rFonts w:hint="eastAsia" w:ascii="宋体" w:hAnsi="宋体"/>
          <w:szCs w:val="21"/>
        </w:rPr>
        <w:t>15.4.2  已标价工程量清单中无适用于变更工作的子目，但有类似子目的，可在合理范围内参照类似子目的单价，由监理人按第3.5款商定或确定变更工作的单价。</w:t>
      </w:r>
    </w:p>
    <w:p w14:paraId="3D5C99DB">
      <w:pPr>
        <w:spacing w:line="360" w:lineRule="auto"/>
        <w:rPr>
          <w:rFonts w:hint="eastAsia" w:ascii="宋体" w:hAnsi="宋体"/>
          <w:szCs w:val="21"/>
        </w:rPr>
      </w:pPr>
      <w:r>
        <w:rPr>
          <w:rFonts w:hint="eastAsia" w:ascii="宋体" w:hAnsi="宋体"/>
          <w:szCs w:val="21"/>
        </w:rPr>
        <w:t>15.4.3  已标价工程量清单中无适用或类似子目的单价，可按照成本加利润的原则，由监理人按第3.5款商定或确定变更工作的单价。</w:t>
      </w:r>
    </w:p>
    <w:p w14:paraId="24874E90">
      <w:pPr>
        <w:spacing w:line="360" w:lineRule="auto"/>
        <w:rPr>
          <w:rFonts w:hint="eastAsia" w:ascii="宋体" w:hAnsi="宋体"/>
          <w:szCs w:val="21"/>
        </w:rPr>
      </w:pPr>
      <w:r>
        <w:rPr>
          <w:rFonts w:hint="eastAsia" w:ascii="宋体" w:hAnsi="宋体"/>
          <w:szCs w:val="21"/>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75DDA248">
      <w:pPr>
        <w:spacing w:line="360" w:lineRule="auto"/>
        <w:rPr>
          <w:rFonts w:hint="eastAsia" w:ascii="宋体" w:hAnsi="宋体"/>
          <w:szCs w:val="21"/>
        </w:rPr>
      </w:pPr>
      <w:r>
        <w:rPr>
          <w:rFonts w:hint="eastAsia" w:ascii="宋体" w:hAnsi="宋体"/>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52A7984B">
      <w:pPr>
        <w:spacing w:line="360" w:lineRule="auto"/>
        <w:rPr>
          <w:rFonts w:hint="eastAsia" w:ascii="宋体" w:hAnsi="宋体"/>
          <w:szCs w:val="21"/>
        </w:rPr>
      </w:pPr>
      <w:r>
        <w:rPr>
          <w:rFonts w:hint="eastAsia" w:ascii="宋体" w:hAnsi="宋体"/>
          <w:szCs w:val="21"/>
        </w:rPr>
        <w:t>15.4.6  因变更引起价格调整的其他处理方式见合同条款专用部分。</w:t>
      </w:r>
    </w:p>
    <w:p w14:paraId="028A6412">
      <w:pPr>
        <w:spacing w:line="360" w:lineRule="auto"/>
        <w:rPr>
          <w:rFonts w:hint="eastAsia" w:ascii="宋体" w:hAnsi="宋体"/>
          <w:szCs w:val="21"/>
        </w:rPr>
      </w:pPr>
      <w:bookmarkStart w:id="841" w:name="_BookMark_203"/>
      <w:bookmarkEnd w:id="841"/>
      <w:r>
        <w:rPr>
          <w:rFonts w:hint="eastAsia" w:ascii="宋体" w:hAnsi="宋体"/>
          <w:szCs w:val="21"/>
        </w:rPr>
        <w:t>15.5  承包人的合理化建议</w:t>
      </w:r>
    </w:p>
    <w:p w14:paraId="122DAC75">
      <w:pPr>
        <w:spacing w:line="360" w:lineRule="auto"/>
        <w:rPr>
          <w:rFonts w:hint="eastAsia" w:ascii="宋体" w:hAnsi="宋体"/>
          <w:szCs w:val="21"/>
        </w:rPr>
      </w:pPr>
      <w:r>
        <w:rPr>
          <w:rFonts w:hint="eastAsia" w:ascii="宋体" w:hAnsi="宋体"/>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7D3DB488">
      <w:pPr>
        <w:spacing w:line="360" w:lineRule="auto"/>
        <w:rPr>
          <w:rFonts w:hint="eastAsia" w:ascii="宋体" w:hAnsi="宋体"/>
          <w:szCs w:val="21"/>
        </w:rPr>
      </w:pPr>
      <w:r>
        <w:rPr>
          <w:rFonts w:hint="eastAsia" w:ascii="宋体" w:hAnsi="宋体"/>
          <w:szCs w:val="21"/>
        </w:rPr>
        <w:t>15.5.2  承包人提出的合理化建议降低了合同价格、缩短了工期或者提高了工程经济效益的，发包人可按国家有关规定给予奖励。对承包人提出合理化建议的奖励方法见合同条款专用部分。</w:t>
      </w:r>
    </w:p>
    <w:p w14:paraId="4343C6CF">
      <w:pPr>
        <w:spacing w:line="360" w:lineRule="auto"/>
        <w:rPr>
          <w:rFonts w:hint="eastAsia" w:ascii="宋体" w:hAnsi="宋体"/>
          <w:szCs w:val="21"/>
        </w:rPr>
      </w:pPr>
      <w:bookmarkStart w:id="842" w:name="_BookMark_204"/>
      <w:bookmarkEnd w:id="842"/>
      <w:r>
        <w:rPr>
          <w:rFonts w:hint="eastAsia" w:ascii="宋体" w:hAnsi="宋体"/>
          <w:szCs w:val="21"/>
        </w:rPr>
        <w:t>15.6  暂列金额</w:t>
      </w:r>
    </w:p>
    <w:p w14:paraId="1A2EC15A">
      <w:pPr>
        <w:spacing w:line="360" w:lineRule="auto"/>
        <w:rPr>
          <w:rFonts w:hint="eastAsia" w:ascii="宋体" w:hAnsi="宋体"/>
          <w:szCs w:val="21"/>
        </w:rPr>
      </w:pPr>
      <w:r>
        <w:rPr>
          <w:rFonts w:hint="eastAsia" w:ascii="宋体" w:hAnsi="宋体"/>
          <w:szCs w:val="21"/>
        </w:rPr>
        <w:t>暂列金额只能按照监理人的指示使用，并对合同价格进行相应调整。</w:t>
      </w:r>
    </w:p>
    <w:p w14:paraId="0EBC5E7C">
      <w:pPr>
        <w:spacing w:line="360" w:lineRule="auto"/>
        <w:rPr>
          <w:rFonts w:hint="eastAsia" w:ascii="宋体" w:hAnsi="宋体"/>
          <w:szCs w:val="21"/>
        </w:rPr>
      </w:pPr>
      <w:bookmarkStart w:id="843" w:name="_BookMark_205"/>
      <w:bookmarkEnd w:id="843"/>
      <w:r>
        <w:rPr>
          <w:rFonts w:hint="eastAsia" w:ascii="宋体" w:hAnsi="宋体"/>
          <w:szCs w:val="21"/>
        </w:rPr>
        <w:t>15.7  计日工</w:t>
      </w:r>
    </w:p>
    <w:p w14:paraId="6B8164C8">
      <w:pPr>
        <w:spacing w:line="360" w:lineRule="auto"/>
        <w:rPr>
          <w:rFonts w:hint="eastAsia" w:ascii="宋体" w:hAnsi="宋体"/>
          <w:szCs w:val="21"/>
        </w:rPr>
      </w:pPr>
      <w:r>
        <w:rPr>
          <w:rFonts w:hint="eastAsia" w:ascii="宋体" w:hAnsi="宋体"/>
          <w:szCs w:val="21"/>
        </w:rPr>
        <w:t>15.7.1  发包人认为有必要时，由监理人通知承包人以计日工方式实施变更的零星工作。其价款按列入已标价工程量清单中的计日工计价子目及其单价进行计算。</w:t>
      </w:r>
    </w:p>
    <w:p w14:paraId="5E042D2A">
      <w:pPr>
        <w:spacing w:line="360" w:lineRule="auto"/>
        <w:rPr>
          <w:rFonts w:hint="eastAsia" w:ascii="宋体" w:hAnsi="宋体"/>
          <w:szCs w:val="21"/>
        </w:rPr>
      </w:pPr>
      <w:r>
        <w:rPr>
          <w:rFonts w:hint="eastAsia" w:ascii="宋体" w:hAnsi="宋体"/>
          <w:szCs w:val="21"/>
        </w:rPr>
        <w:t>15.7.2  采用计日工计价的任何一项变更工作，应从暂列金额中支付，承包人应在该项变更的实施过程中，每天提交以下报表和有关凭证报送监理人审批：</w:t>
      </w:r>
    </w:p>
    <w:p w14:paraId="61457C4C">
      <w:pPr>
        <w:spacing w:line="360" w:lineRule="auto"/>
        <w:rPr>
          <w:rFonts w:hint="eastAsia" w:ascii="宋体" w:hAnsi="宋体"/>
          <w:szCs w:val="21"/>
        </w:rPr>
      </w:pPr>
      <w:r>
        <w:rPr>
          <w:rFonts w:hint="eastAsia" w:ascii="宋体" w:hAnsi="宋体"/>
          <w:szCs w:val="21"/>
        </w:rPr>
        <w:t>（1）工作名称、内容和数量；</w:t>
      </w:r>
    </w:p>
    <w:p w14:paraId="41BE59DC">
      <w:pPr>
        <w:spacing w:line="360" w:lineRule="auto"/>
        <w:rPr>
          <w:rFonts w:hint="eastAsia" w:ascii="宋体" w:hAnsi="宋体"/>
          <w:szCs w:val="21"/>
        </w:rPr>
      </w:pPr>
      <w:r>
        <w:rPr>
          <w:rFonts w:hint="eastAsia" w:ascii="宋体" w:hAnsi="宋体"/>
          <w:szCs w:val="21"/>
        </w:rPr>
        <w:t>（2）投入该工作所有人员的姓名、工种、级别和耗用工时；</w:t>
      </w:r>
    </w:p>
    <w:p w14:paraId="3E8A1621">
      <w:pPr>
        <w:spacing w:line="360" w:lineRule="auto"/>
        <w:rPr>
          <w:rFonts w:hint="eastAsia" w:ascii="宋体" w:hAnsi="宋体"/>
          <w:szCs w:val="21"/>
        </w:rPr>
      </w:pPr>
      <w:r>
        <w:rPr>
          <w:rFonts w:hint="eastAsia" w:ascii="宋体" w:hAnsi="宋体"/>
          <w:szCs w:val="21"/>
        </w:rPr>
        <w:t>（3）投入该工作的材料类别和数量；</w:t>
      </w:r>
    </w:p>
    <w:p w14:paraId="527FB539">
      <w:pPr>
        <w:spacing w:line="360" w:lineRule="auto"/>
        <w:rPr>
          <w:rFonts w:hint="eastAsia" w:ascii="宋体" w:hAnsi="宋体"/>
          <w:szCs w:val="21"/>
        </w:rPr>
      </w:pPr>
      <w:r>
        <w:rPr>
          <w:rFonts w:hint="eastAsia" w:ascii="宋体" w:hAnsi="宋体"/>
          <w:szCs w:val="21"/>
        </w:rPr>
        <w:t>（4）投入该工作的施工设备型号、台数和耗用台时；</w:t>
      </w:r>
    </w:p>
    <w:p w14:paraId="08581F41">
      <w:pPr>
        <w:spacing w:line="360" w:lineRule="auto"/>
        <w:rPr>
          <w:rFonts w:hint="eastAsia" w:ascii="宋体" w:hAnsi="宋体"/>
          <w:szCs w:val="21"/>
        </w:rPr>
      </w:pPr>
      <w:r>
        <w:rPr>
          <w:rFonts w:hint="eastAsia" w:ascii="宋体" w:hAnsi="宋体"/>
          <w:szCs w:val="21"/>
        </w:rPr>
        <w:t>（5）监理人要求提交的其他资料和凭证。</w:t>
      </w:r>
    </w:p>
    <w:p w14:paraId="37B3C865">
      <w:pPr>
        <w:spacing w:line="360" w:lineRule="auto"/>
        <w:rPr>
          <w:rFonts w:hint="eastAsia" w:ascii="宋体" w:hAnsi="宋体"/>
          <w:szCs w:val="21"/>
        </w:rPr>
      </w:pPr>
      <w:r>
        <w:rPr>
          <w:rFonts w:hint="eastAsia" w:ascii="宋体" w:hAnsi="宋体"/>
          <w:szCs w:val="21"/>
        </w:rPr>
        <w:t>15.7.3  计日工由承包人汇总后，按第17.3.2项的约定列入进度付款申请单，由监理人复核并经发包人同意后列入进度付款。</w:t>
      </w:r>
    </w:p>
    <w:p w14:paraId="071BA4FC">
      <w:pPr>
        <w:spacing w:line="360" w:lineRule="auto"/>
        <w:rPr>
          <w:rFonts w:hint="eastAsia" w:ascii="宋体" w:hAnsi="宋体"/>
          <w:szCs w:val="21"/>
        </w:rPr>
      </w:pPr>
      <w:bookmarkStart w:id="844" w:name="_BookMark_206"/>
      <w:bookmarkEnd w:id="844"/>
      <w:r>
        <w:rPr>
          <w:rFonts w:hint="eastAsia" w:ascii="宋体" w:hAnsi="宋体"/>
          <w:szCs w:val="21"/>
        </w:rPr>
        <w:t>15.8  暂估价</w:t>
      </w:r>
    </w:p>
    <w:p w14:paraId="4A95064D">
      <w:pPr>
        <w:spacing w:line="360" w:lineRule="auto"/>
        <w:rPr>
          <w:rFonts w:hint="eastAsia" w:ascii="宋体" w:hAnsi="宋体"/>
          <w:szCs w:val="21"/>
        </w:rPr>
      </w:pPr>
      <w:r>
        <w:rPr>
          <w:rFonts w:hint="eastAsia" w:ascii="宋体" w:hAnsi="宋体"/>
          <w:szCs w:val="21"/>
        </w:rPr>
        <w:t xml:space="preserve">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 </w:t>
      </w:r>
    </w:p>
    <w:p w14:paraId="521F9F00">
      <w:pPr>
        <w:spacing w:line="360" w:lineRule="auto"/>
        <w:rPr>
          <w:rFonts w:hint="eastAsia" w:ascii="宋体" w:hAnsi="宋体"/>
          <w:szCs w:val="21"/>
        </w:rPr>
      </w:pPr>
      <w:r>
        <w:rPr>
          <w:rFonts w:hint="eastAsia" w:ascii="宋体" w:hAnsi="宋体"/>
          <w:szCs w:val="21"/>
        </w:rPr>
        <w:t>（1）由承包人作为招标人，依法组织招标工作并接受有管辖权的建设工程招标投标行政监督部门的监督。</w:t>
      </w:r>
    </w:p>
    <w:p w14:paraId="2223937A">
      <w:pPr>
        <w:spacing w:line="360" w:lineRule="auto"/>
        <w:rPr>
          <w:rFonts w:hint="eastAsia" w:ascii="宋体" w:hAnsi="宋体"/>
          <w:szCs w:val="21"/>
        </w:rPr>
      </w:pPr>
      <w:r>
        <w:rPr>
          <w:rFonts w:hint="eastAsia" w:ascii="宋体" w:hAnsi="宋体"/>
          <w:szCs w:val="21"/>
        </w:rPr>
        <w:t>（2）与组织招标工作有关的费用应当被认为已经包括在承包人的签约合同价（投标总报价）中。</w:t>
      </w:r>
    </w:p>
    <w:p w14:paraId="49DD65F1">
      <w:pPr>
        <w:spacing w:line="360" w:lineRule="auto"/>
        <w:rPr>
          <w:rFonts w:hint="eastAsia" w:ascii="宋体" w:hAnsi="宋体"/>
          <w:szCs w:val="21"/>
        </w:rPr>
      </w:pPr>
      <w:r>
        <w:rPr>
          <w:rFonts w:hint="eastAsia" w:ascii="宋体" w:hAnsi="宋体"/>
          <w:szCs w:val="21"/>
        </w:rPr>
        <w:t>（3）成交金额与工程量清单中所列的暂估价的金额差以及相应的税金等其他费用列入合同价格。</w:t>
      </w:r>
    </w:p>
    <w:p w14:paraId="4D9CB859">
      <w:pPr>
        <w:spacing w:line="360" w:lineRule="auto"/>
        <w:rPr>
          <w:rFonts w:hint="eastAsia" w:ascii="宋体" w:hAnsi="宋体"/>
          <w:szCs w:val="21"/>
        </w:rPr>
      </w:pPr>
      <w:r>
        <w:rPr>
          <w:rFonts w:hint="eastAsia" w:ascii="宋体" w:hAnsi="宋体"/>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10591A75">
      <w:pPr>
        <w:spacing w:line="360" w:lineRule="auto"/>
        <w:rPr>
          <w:rFonts w:hint="eastAsia" w:ascii="宋体" w:hAnsi="宋体"/>
          <w:szCs w:val="21"/>
        </w:rPr>
      </w:pPr>
      <w:r>
        <w:rPr>
          <w:rFonts w:hint="eastAsia" w:ascii="宋体" w:hAnsi="宋体"/>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4558B21A">
      <w:pPr>
        <w:spacing w:line="360" w:lineRule="auto"/>
        <w:rPr>
          <w:rFonts w:hint="eastAsia" w:ascii="宋体" w:hAnsi="宋体"/>
          <w:szCs w:val="21"/>
        </w:rPr>
      </w:pPr>
      <w:r>
        <w:rPr>
          <w:rFonts w:hint="eastAsia" w:ascii="宋体" w:hAnsi="宋体"/>
          <w:szCs w:val="21"/>
        </w:rPr>
        <w:t>（6）如果发、承包任何一方委派评标代表，评标委员会应当由七人以上单数构成。除发包人或者承包人自愿放弃委派评标代表的权利外，招标人评标代表应当分别由发包人和承包人等额委派。</w:t>
      </w:r>
    </w:p>
    <w:p w14:paraId="76B560BD">
      <w:pPr>
        <w:spacing w:line="360" w:lineRule="auto"/>
        <w:rPr>
          <w:rFonts w:hint="eastAsia" w:ascii="宋体" w:hAnsi="宋体"/>
          <w:szCs w:val="21"/>
        </w:rPr>
      </w:pPr>
      <w:r>
        <w:rPr>
          <w:rFonts w:hint="eastAsia" w:ascii="宋体" w:hAnsi="宋体"/>
          <w:szCs w:val="21"/>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274D35F0">
      <w:pPr>
        <w:spacing w:line="360" w:lineRule="auto"/>
        <w:rPr>
          <w:rFonts w:hint="eastAsia" w:ascii="宋体" w:hAnsi="宋体"/>
          <w:szCs w:val="21"/>
        </w:rPr>
      </w:pPr>
      <w:r>
        <w:rPr>
          <w:rFonts w:hint="eastAsia" w:ascii="宋体" w:hAnsi="宋体"/>
          <w:szCs w:val="21"/>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581AF4A7">
      <w:pPr>
        <w:spacing w:line="360" w:lineRule="auto"/>
        <w:rPr>
          <w:rFonts w:hint="eastAsia" w:ascii="宋体" w:hAnsi="宋体"/>
          <w:szCs w:val="21"/>
        </w:rPr>
      </w:pPr>
      <w:r>
        <w:rPr>
          <w:rFonts w:hint="eastAsia" w:ascii="宋体" w:hAnsi="宋体"/>
          <w:szCs w:val="21"/>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供应商并发出成交通知书。</w:t>
      </w:r>
    </w:p>
    <w:p w14:paraId="1D289AEA">
      <w:pPr>
        <w:spacing w:line="360" w:lineRule="auto"/>
        <w:rPr>
          <w:rFonts w:hint="eastAsia" w:ascii="宋体" w:hAnsi="宋体"/>
          <w:szCs w:val="21"/>
        </w:rPr>
      </w:pPr>
      <w:r>
        <w:rPr>
          <w:rFonts w:hint="eastAsia" w:ascii="宋体" w:hAnsi="宋体"/>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39CBBA3B">
      <w:pPr>
        <w:spacing w:line="360" w:lineRule="auto"/>
        <w:rPr>
          <w:rFonts w:hint="eastAsia" w:ascii="宋体" w:hAnsi="宋体"/>
          <w:szCs w:val="21"/>
        </w:rPr>
      </w:pPr>
      <w:r>
        <w:rPr>
          <w:rFonts w:hint="eastAsia" w:ascii="宋体" w:hAnsi="宋体"/>
          <w:szCs w:val="21"/>
        </w:rPr>
        <w:t>（11）发包人对承包人报送文件进行审批或提出的修改意见应当合理，并符合现行有关法律法规的规定。</w:t>
      </w:r>
    </w:p>
    <w:p w14:paraId="57B43E40">
      <w:pPr>
        <w:spacing w:line="360" w:lineRule="auto"/>
        <w:rPr>
          <w:rFonts w:hint="eastAsia" w:ascii="宋体" w:hAnsi="宋体"/>
          <w:szCs w:val="21"/>
        </w:rPr>
      </w:pPr>
      <w:r>
        <w:rPr>
          <w:rFonts w:hint="eastAsia" w:ascii="宋体" w:hAnsi="宋体"/>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38C50EC4">
      <w:pPr>
        <w:spacing w:line="360" w:lineRule="auto"/>
        <w:rPr>
          <w:rFonts w:hint="eastAsia" w:ascii="宋体" w:hAnsi="宋体"/>
          <w:szCs w:val="21"/>
        </w:rPr>
      </w:pPr>
      <w:r>
        <w:rPr>
          <w:rFonts w:hint="eastAsia" w:ascii="宋体" w:hAnsi="宋体"/>
          <w:szCs w:val="21"/>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7AD45628">
      <w:pPr>
        <w:spacing w:line="360" w:lineRule="auto"/>
        <w:rPr>
          <w:rFonts w:hint="eastAsia" w:ascii="宋体" w:hAnsi="宋体"/>
          <w:szCs w:val="21"/>
        </w:rPr>
      </w:pPr>
      <w:r>
        <w:rPr>
          <w:rFonts w:hint="eastAsia" w:ascii="宋体" w:hAnsi="宋体"/>
          <w:szCs w:val="21"/>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3EFA3E62">
      <w:pPr>
        <w:adjustRightInd w:val="0"/>
        <w:snapToGrid w:val="0"/>
        <w:spacing w:line="360" w:lineRule="auto"/>
        <w:outlineLvl w:val="2"/>
        <w:rPr>
          <w:rFonts w:hint="eastAsia" w:ascii="宋体" w:hAnsi="宋体"/>
          <w:sz w:val="28"/>
        </w:rPr>
      </w:pPr>
      <w:bookmarkStart w:id="845" w:name="_BookMark_207"/>
      <w:bookmarkEnd w:id="845"/>
      <w:bookmarkStart w:id="846" w:name="_Toc532542649"/>
      <w:bookmarkStart w:id="847" w:name="_Toc528247493"/>
      <w:bookmarkStart w:id="848" w:name="_Toc162620947"/>
      <w:bookmarkStart w:id="849" w:name="_Toc196225921"/>
      <w:r>
        <w:rPr>
          <w:rFonts w:hint="eastAsia" w:ascii="宋体" w:hAnsi="宋体"/>
          <w:sz w:val="28"/>
        </w:rPr>
        <w:t>16.价格调整</w:t>
      </w:r>
      <w:bookmarkEnd w:id="846"/>
      <w:bookmarkEnd w:id="847"/>
      <w:bookmarkEnd w:id="848"/>
      <w:bookmarkEnd w:id="849"/>
    </w:p>
    <w:p w14:paraId="21380733">
      <w:pPr>
        <w:spacing w:line="360" w:lineRule="auto"/>
        <w:rPr>
          <w:rFonts w:hint="eastAsia" w:ascii="宋体" w:hAnsi="宋体"/>
          <w:szCs w:val="21"/>
        </w:rPr>
      </w:pPr>
      <w:bookmarkStart w:id="850" w:name="_BookMark_208"/>
      <w:bookmarkEnd w:id="850"/>
      <w:r>
        <w:rPr>
          <w:rFonts w:hint="eastAsia" w:ascii="宋体" w:hAnsi="宋体"/>
          <w:szCs w:val="21"/>
        </w:rPr>
        <w:t>16.1  物价波动引起的价格调整</w:t>
      </w:r>
    </w:p>
    <w:p w14:paraId="7D7901F2">
      <w:pPr>
        <w:spacing w:line="360" w:lineRule="auto"/>
        <w:rPr>
          <w:rFonts w:hint="eastAsia" w:ascii="宋体" w:hAnsi="宋体"/>
          <w:szCs w:val="21"/>
        </w:rPr>
      </w:pPr>
      <w:r>
        <w:rPr>
          <w:rFonts w:hint="eastAsia" w:ascii="宋体" w:hAnsi="宋体"/>
          <w:szCs w:val="21"/>
        </w:rPr>
        <w:t>除合同条款专用部分另有约定外，因物价波动引起的价格调整按照本款约定处理。</w:t>
      </w:r>
    </w:p>
    <w:p w14:paraId="264C99A0">
      <w:pPr>
        <w:spacing w:line="360" w:lineRule="auto"/>
        <w:rPr>
          <w:rFonts w:hint="eastAsia" w:ascii="宋体" w:hAnsi="宋体"/>
          <w:szCs w:val="21"/>
        </w:rPr>
      </w:pPr>
      <w:r>
        <w:rPr>
          <w:rFonts w:hint="eastAsia" w:ascii="宋体" w:hAnsi="宋体"/>
          <w:szCs w:val="21"/>
        </w:rPr>
        <w:t>16.1.1  采用价格指数调整价格差额</w:t>
      </w:r>
    </w:p>
    <w:p w14:paraId="63AE5A93">
      <w:pPr>
        <w:spacing w:line="360" w:lineRule="auto"/>
        <w:rPr>
          <w:rFonts w:hint="eastAsia" w:ascii="宋体" w:hAnsi="宋体"/>
          <w:szCs w:val="21"/>
        </w:rPr>
      </w:pPr>
      <w:r>
        <w:rPr>
          <w:rFonts w:hint="eastAsia" w:ascii="宋体" w:hAnsi="宋体"/>
          <w:szCs w:val="21"/>
        </w:rPr>
        <w:t>16.1.1.1  价格调整公式</w:t>
      </w:r>
    </w:p>
    <w:p w14:paraId="32D5B63C">
      <w:pPr>
        <w:spacing w:line="360" w:lineRule="auto"/>
        <w:rPr>
          <w:rFonts w:hint="eastAsia" w:ascii="宋体" w:hAnsi="宋体"/>
          <w:szCs w:val="21"/>
        </w:rPr>
      </w:pPr>
      <w:r>
        <w:rPr>
          <w:rFonts w:hint="eastAsia" w:ascii="宋体" w:hAnsi="宋体"/>
          <w:szCs w:val="21"/>
        </w:rPr>
        <w:t>因人工、材料和设备等价格波动影响合同价格时，根据投标函附录中的价格指数和权重表约定的数据，按以下公式计算差额并调整合同价格。</w:t>
      </w:r>
    </w:p>
    <w:p w14:paraId="4BBCE6CD">
      <w:pPr>
        <w:spacing w:line="360" w:lineRule="auto"/>
        <w:rPr>
          <w:rFonts w:hint="eastAsia" w:ascii="宋体" w:hAnsi="宋体"/>
          <w:szCs w:val="21"/>
        </w:rPr>
      </w:pPr>
      <w:r>
        <w:rPr>
          <w:rFonts w:ascii="宋体" w:hAnsi="宋体"/>
          <w:szCs w:val="21"/>
        </w:rPr>
        <w:drawing>
          <wp:inline distT="0" distB="0" distL="0" distR="0">
            <wp:extent cx="3910965" cy="513715"/>
            <wp:effectExtent l="0" t="0" r="13335" b="635"/>
            <wp:docPr id="3" name="图片 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00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3910965" cy="513715"/>
                    </a:xfrm>
                    <a:prstGeom prst="rect">
                      <a:avLst/>
                    </a:prstGeom>
                    <a:noFill/>
                    <a:ln>
                      <a:noFill/>
                    </a:ln>
                  </pic:spPr>
                </pic:pic>
              </a:graphicData>
            </a:graphic>
          </wp:inline>
        </w:drawing>
      </w:r>
    </w:p>
    <w:p w14:paraId="28EF197F">
      <w:pPr>
        <w:spacing w:line="360" w:lineRule="auto"/>
        <w:rPr>
          <w:rFonts w:hint="eastAsia" w:ascii="宋体" w:hAnsi="宋体"/>
          <w:szCs w:val="21"/>
        </w:rPr>
      </w:pPr>
      <w:r>
        <w:rPr>
          <w:rFonts w:hint="eastAsia" w:ascii="宋体" w:hAnsi="宋体"/>
          <w:szCs w:val="21"/>
        </w:rPr>
        <w:t> </w:t>
      </w:r>
    </w:p>
    <w:p w14:paraId="77B1DA80">
      <w:pPr>
        <w:spacing w:line="360" w:lineRule="auto"/>
        <w:rPr>
          <w:rFonts w:hint="eastAsia" w:ascii="宋体" w:hAnsi="宋体"/>
          <w:szCs w:val="21"/>
        </w:rPr>
      </w:pPr>
      <w:r>
        <w:rPr>
          <w:rFonts w:hint="eastAsia" w:ascii="宋体" w:hAnsi="宋体"/>
          <w:szCs w:val="21"/>
        </w:rPr>
        <w:t> 式中： △P -- 需调整的价格差额；</w:t>
      </w:r>
    </w:p>
    <w:p w14:paraId="7D1857A2">
      <w:pPr>
        <w:spacing w:line="360" w:lineRule="auto"/>
        <w:rPr>
          <w:rFonts w:hint="eastAsia" w:ascii="宋体" w:hAnsi="宋体"/>
          <w:szCs w:val="21"/>
        </w:rPr>
      </w:pPr>
      <w:r>
        <w:rPr>
          <w:rFonts w:hint="eastAsia" w:ascii="宋体" w:hAnsi="宋体"/>
          <w:szCs w:val="21"/>
        </w:rPr>
        <w:t>    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29E6DADD">
      <w:pPr>
        <w:spacing w:line="360" w:lineRule="auto"/>
        <w:rPr>
          <w:rFonts w:hint="eastAsia" w:ascii="宋体" w:hAnsi="宋体"/>
          <w:szCs w:val="21"/>
        </w:rPr>
      </w:pPr>
      <w:r>
        <w:rPr>
          <w:rFonts w:hint="eastAsia" w:ascii="宋体" w:hAnsi="宋体"/>
          <w:szCs w:val="21"/>
        </w:rPr>
        <w:t>     A -- 定值权重(即不调部分的权重)；</w:t>
      </w:r>
    </w:p>
    <w:p w14:paraId="18671140">
      <w:pPr>
        <w:spacing w:line="360" w:lineRule="auto"/>
        <w:rPr>
          <w:rFonts w:hint="eastAsia" w:ascii="宋体" w:hAnsi="宋体"/>
          <w:szCs w:val="21"/>
        </w:rPr>
      </w:pPr>
      <w:r>
        <w:rPr>
          <w:rFonts w:hint="eastAsia" w:ascii="宋体" w:hAnsi="宋体"/>
          <w:szCs w:val="21"/>
        </w:rPr>
        <w:t>     B1; B2 ;B3·····Bn -- 各可调因子的变值权重(即可调部分的权重)为各可调因子在投标函投标总报价中所占的比例；</w:t>
      </w:r>
    </w:p>
    <w:p w14:paraId="450D8A3C">
      <w:pPr>
        <w:spacing w:line="360" w:lineRule="auto"/>
        <w:rPr>
          <w:rFonts w:hint="eastAsia" w:ascii="宋体" w:hAnsi="宋体"/>
          <w:szCs w:val="21"/>
        </w:rPr>
      </w:pPr>
      <w:r>
        <w:rPr>
          <w:rFonts w:hint="eastAsia" w:ascii="宋体" w:hAnsi="宋体"/>
          <w:szCs w:val="21"/>
        </w:rPr>
        <w:t>     Ft1 ;Ft2 ;Ft3·····Ftn -- 各可调因子的现行价格指数，指第17.3.3项、第17.5.2项和第17.6.2项约定的付款证书相关周期最后一天的前42天的各可调因子的价格指数；</w:t>
      </w:r>
    </w:p>
    <w:p w14:paraId="337CEC4D">
      <w:pPr>
        <w:spacing w:line="360" w:lineRule="auto"/>
        <w:rPr>
          <w:rFonts w:hint="eastAsia" w:ascii="宋体" w:hAnsi="宋体"/>
          <w:szCs w:val="21"/>
        </w:rPr>
      </w:pPr>
      <w:r>
        <w:rPr>
          <w:rFonts w:hint="eastAsia" w:ascii="宋体" w:hAnsi="宋体"/>
          <w:szCs w:val="21"/>
        </w:rPr>
        <w:t>     Fo1; Fo2; Fo3·····Fon -- 各可调因子的基本价格指数，指基准日期的各可调因子的价格指数。</w:t>
      </w:r>
    </w:p>
    <w:p w14:paraId="5A820AE8">
      <w:pPr>
        <w:spacing w:line="360" w:lineRule="auto"/>
        <w:rPr>
          <w:rFonts w:hint="eastAsia" w:ascii="宋体" w:hAnsi="宋体"/>
          <w:szCs w:val="21"/>
        </w:rPr>
      </w:pPr>
      <w:r>
        <w:rPr>
          <w:rFonts w:hint="eastAsia" w:ascii="宋体" w:hAnsi="宋体"/>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49E94451">
      <w:pPr>
        <w:spacing w:line="360" w:lineRule="auto"/>
        <w:rPr>
          <w:rFonts w:hint="eastAsia" w:ascii="宋体" w:hAnsi="宋体"/>
          <w:szCs w:val="21"/>
        </w:rPr>
      </w:pPr>
      <w:r>
        <w:rPr>
          <w:rFonts w:hint="eastAsia" w:ascii="宋体" w:hAnsi="宋体"/>
          <w:szCs w:val="21"/>
        </w:rPr>
        <w:t>16.1.1.2  暂时确定调整差额</w:t>
      </w:r>
    </w:p>
    <w:p w14:paraId="14EEAFB2">
      <w:pPr>
        <w:spacing w:line="360" w:lineRule="auto"/>
        <w:rPr>
          <w:rFonts w:hint="eastAsia" w:ascii="宋体" w:hAnsi="宋体"/>
          <w:szCs w:val="21"/>
        </w:rPr>
      </w:pPr>
      <w:r>
        <w:rPr>
          <w:rFonts w:hint="eastAsia" w:ascii="宋体" w:hAnsi="宋体"/>
          <w:szCs w:val="21"/>
        </w:rPr>
        <w:t>在计算调整差额时得不到现行价格指数的，可暂用上一次价格指数计算，并在以后的付款中再按实际价格指数进行调整。</w:t>
      </w:r>
    </w:p>
    <w:p w14:paraId="23D6F218">
      <w:pPr>
        <w:spacing w:line="360" w:lineRule="auto"/>
        <w:rPr>
          <w:rFonts w:hint="eastAsia" w:ascii="宋体" w:hAnsi="宋体"/>
          <w:szCs w:val="21"/>
        </w:rPr>
      </w:pPr>
      <w:r>
        <w:rPr>
          <w:rFonts w:hint="eastAsia" w:ascii="宋体" w:hAnsi="宋体"/>
          <w:szCs w:val="21"/>
        </w:rPr>
        <w:t>16.1.1.3  权重的调整</w:t>
      </w:r>
    </w:p>
    <w:p w14:paraId="08123F90">
      <w:pPr>
        <w:spacing w:line="360" w:lineRule="auto"/>
        <w:rPr>
          <w:rFonts w:hint="eastAsia" w:ascii="宋体" w:hAnsi="宋体"/>
          <w:szCs w:val="21"/>
        </w:rPr>
      </w:pPr>
      <w:r>
        <w:rPr>
          <w:rFonts w:hint="eastAsia" w:ascii="宋体" w:hAnsi="宋体"/>
          <w:szCs w:val="21"/>
        </w:rPr>
        <w:t>按第15.1款约定的变更导致原定合同中的权重不合理时，由监理人与承包人和发包人协商后进行调整。</w:t>
      </w:r>
    </w:p>
    <w:p w14:paraId="3F1D3DAC">
      <w:pPr>
        <w:spacing w:line="360" w:lineRule="auto"/>
        <w:rPr>
          <w:rFonts w:hint="eastAsia" w:ascii="宋体" w:hAnsi="宋体"/>
          <w:szCs w:val="21"/>
        </w:rPr>
      </w:pPr>
      <w:r>
        <w:rPr>
          <w:rFonts w:hint="eastAsia" w:ascii="宋体" w:hAnsi="宋体"/>
          <w:szCs w:val="21"/>
        </w:rPr>
        <w:t>16.1.1.4  承包人工期延误后的价格调整</w:t>
      </w:r>
    </w:p>
    <w:p w14:paraId="5FD3B877">
      <w:pPr>
        <w:spacing w:line="360" w:lineRule="auto"/>
        <w:rPr>
          <w:rFonts w:hint="eastAsia" w:ascii="宋体" w:hAnsi="宋体"/>
          <w:szCs w:val="21"/>
        </w:rPr>
      </w:pPr>
      <w:r>
        <w:rPr>
          <w:rFonts w:hint="eastAsia" w:ascii="宋体" w:hAnsi="宋体"/>
          <w:szCs w:val="21"/>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585883EC">
      <w:pPr>
        <w:spacing w:line="360" w:lineRule="auto"/>
        <w:rPr>
          <w:rFonts w:hint="eastAsia" w:ascii="宋体" w:hAnsi="宋体"/>
          <w:szCs w:val="21"/>
        </w:rPr>
      </w:pPr>
      <w:r>
        <w:rPr>
          <w:rFonts w:hint="eastAsia" w:ascii="宋体" w:hAnsi="宋体"/>
          <w:szCs w:val="21"/>
        </w:rPr>
        <w:t>16.1.2  采用造价信息调整价格差额</w:t>
      </w:r>
    </w:p>
    <w:p w14:paraId="56C9D4A4">
      <w:pPr>
        <w:spacing w:line="360" w:lineRule="auto"/>
        <w:rPr>
          <w:rFonts w:hint="eastAsia" w:ascii="宋体" w:hAnsi="宋体"/>
          <w:szCs w:val="21"/>
        </w:rPr>
      </w:pPr>
      <w:r>
        <w:rPr>
          <w:rFonts w:hint="eastAsia" w:ascii="宋体" w:hAnsi="宋体"/>
          <w:szCs w:val="21"/>
        </w:rPr>
        <w:t>施工期内，因人工、材料、设备和机械台班价格波动影响合同价格时，需要进行价格调整的，其价格和数量应由监理人审核，监理人确认需调整的内容、范围、价格和数量作为调整工程合同价格差额的依据。</w:t>
      </w:r>
    </w:p>
    <w:p w14:paraId="17EF849A">
      <w:pPr>
        <w:spacing w:line="360" w:lineRule="auto"/>
        <w:rPr>
          <w:rFonts w:hint="eastAsia" w:ascii="宋体" w:hAnsi="宋体"/>
          <w:szCs w:val="21"/>
        </w:rPr>
      </w:pPr>
      <w:r>
        <w:rPr>
          <w:rFonts w:hint="eastAsia" w:ascii="宋体" w:hAnsi="宋体"/>
          <w:szCs w:val="21"/>
        </w:rPr>
        <w:t>16.1.2.1  引起价格调整的物价波动风险范围及幅度</w:t>
      </w:r>
    </w:p>
    <w:p w14:paraId="5ABEC66F">
      <w:pPr>
        <w:spacing w:line="360" w:lineRule="auto"/>
        <w:rPr>
          <w:rFonts w:hint="eastAsia" w:ascii="宋体" w:hAnsi="宋体"/>
          <w:szCs w:val="21"/>
        </w:rPr>
      </w:pPr>
      <w:r>
        <w:rPr>
          <w:rFonts w:hint="eastAsia" w:ascii="宋体" w:hAnsi="宋体"/>
          <w:szCs w:val="21"/>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63CF7CE5">
      <w:pPr>
        <w:spacing w:line="360" w:lineRule="auto"/>
        <w:rPr>
          <w:rFonts w:hint="eastAsia" w:ascii="宋体" w:hAnsi="宋体"/>
          <w:szCs w:val="21"/>
        </w:rPr>
      </w:pPr>
      <w:r>
        <w:rPr>
          <w:rFonts w:hint="eastAsia" w:ascii="宋体" w:hAnsi="宋体"/>
          <w:szCs w:val="21"/>
        </w:rPr>
        <w:t>16.1.2.2  物价波动变化幅度的计算方法</w:t>
      </w:r>
    </w:p>
    <w:p w14:paraId="29F73E9A">
      <w:pPr>
        <w:spacing w:line="360" w:lineRule="auto"/>
        <w:rPr>
          <w:rFonts w:hint="eastAsia" w:ascii="宋体" w:hAnsi="宋体"/>
          <w:szCs w:val="21"/>
        </w:rPr>
      </w:pPr>
      <w:r>
        <w:rPr>
          <w:rFonts w:hint="eastAsia" w:ascii="宋体" w:hAnsi="宋体"/>
          <w:szCs w:val="21"/>
        </w:rPr>
        <w:t>（1）投标报价基准期确定的人工、材料、设备和机械台班的市场价格即为基准价。投标报价基准期见合同条款专用部分。</w:t>
      </w:r>
    </w:p>
    <w:p w14:paraId="0D295285">
      <w:pPr>
        <w:spacing w:line="360" w:lineRule="auto"/>
        <w:rPr>
          <w:rFonts w:hint="eastAsia" w:ascii="宋体" w:hAnsi="宋体"/>
          <w:szCs w:val="21"/>
        </w:rPr>
      </w:pPr>
      <w:r>
        <w:rPr>
          <w:rFonts w:hint="eastAsia" w:ascii="宋体" w:hAnsi="宋体"/>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054F711E">
      <w:pPr>
        <w:spacing w:line="360" w:lineRule="auto"/>
        <w:rPr>
          <w:rFonts w:hint="eastAsia" w:ascii="宋体" w:hAnsi="宋体"/>
          <w:szCs w:val="21"/>
        </w:rPr>
      </w:pPr>
      <w:r>
        <w:rPr>
          <w:rFonts w:hint="eastAsia" w:ascii="宋体" w:hAnsi="宋体"/>
          <w:szCs w:val="21"/>
        </w:rPr>
        <w:t>（3）合同施工期市场价格的确定方法见合同条款专用部分。</w:t>
      </w:r>
    </w:p>
    <w:p w14:paraId="53B3333C">
      <w:pPr>
        <w:spacing w:line="360" w:lineRule="auto"/>
        <w:rPr>
          <w:rFonts w:hint="eastAsia" w:ascii="宋体" w:hAnsi="宋体"/>
          <w:szCs w:val="21"/>
        </w:rPr>
      </w:pPr>
      <w:r>
        <w:rPr>
          <w:rFonts w:hint="eastAsia" w:ascii="宋体" w:hAnsi="宋体"/>
          <w:szCs w:val="21"/>
        </w:rPr>
        <w:t>（4）物价波动变化幅度的计算方法：</w:t>
      </w:r>
    </w:p>
    <w:p w14:paraId="1CC16C80">
      <w:pPr>
        <w:spacing w:line="360" w:lineRule="auto"/>
        <w:rPr>
          <w:rFonts w:hint="eastAsia" w:ascii="宋体" w:hAnsi="宋体"/>
          <w:szCs w:val="21"/>
        </w:rPr>
      </w:pPr>
      <w:r>
        <w:rPr>
          <w:rFonts w:hint="eastAsia" w:ascii="宋体" w:hAnsi="宋体"/>
          <w:szCs w:val="21"/>
        </w:rPr>
        <w:t>1）当承包人投标报价中的单价低于基准价时：</w:t>
      </w:r>
    </w:p>
    <w:p w14:paraId="436C2CF6">
      <w:pPr>
        <w:spacing w:line="360" w:lineRule="auto"/>
        <w:rPr>
          <w:rFonts w:hint="eastAsia" w:ascii="宋体" w:hAnsi="宋体"/>
          <w:szCs w:val="21"/>
        </w:rPr>
      </w:pPr>
      <w:r>
        <w:rPr>
          <w:rFonts w:hint="eastAsia" w:ascii="宋体" w:hAnsi="宋体"/>
          <w:szCs w:val="21"/>
        </w:rPr>
        <w:t>物价波动变化幅度（涨幅）=（施工期市场价-基准价）/基准价×100%</w:t>
      </w:r>
    </w:p>
    <w:p w14:paraId="2805B7A1">
      <w:pPr>
        <w:spacing w:line="360" w:lineRule="auto"/>
        <w:rPr>
          <w:rFonts w:hint="eastAsia" w:ascii="宋体" w:hAnsi="宋体"/>
          <w:szCs w:val="21"/>
        </w:rPr>
      </w:pPr>
      <w:r>
        <w:rPr>
          <w:rFonts w:hint="eastAsia" w:ascii="宋体" w:hAnsi="宋体"/>
          <w:szCs w:val="21"/>
        </w:rPr>
        <w:t>物价波动变化幅度（跌幅）=（施工期市场价-投标单价）/投标单价×100%</w:t>
      </w:r>
    </w:p>
    <w:p w14:paraId="7E62624B">
      <w:pPr>
        <w:spacing w:line="360" w:lineRule="auto"/>
        <w:rPr>
          <w:rFonts w:hint="eastAsia" w:ascii="宋体" w:hAnsi="宋体"/>
          <w:szCs w:val="21"/>
        </w:rPr>
      </w:pPr>
      <w:r>
        <w:rPr>
          <w:rFonts w:hint="eastAsia" w:ascii="宋体" w:hAnsi="宋体"/>
          <w:szCs w:val="21"/>
        </w:rPr>
        <w:t>2）当承包人投标报价中的单价高于基准价时：</w:t>
      </w:r>
    </w:p>
    <w:p w14:paraId="1F61CA0A">
      <w:pPr>
        <w:spacing w:line="360" w:lineRule="auto"/>
        <w:rPr>
          <w:rFonts w:hint="eastAsia" w:ascii="宋体" w:hAnsi="宋体"/>
          <w:szCs w:val="21"/>
        </w:rPr>
      </w:pPr>
      <w:r>
        <w:rPr>
          <w:rFonts w:hint="eastAsia" w:ascii="宋体" w:hAnsi="宋体"/>
          <w:szCs w:val="21"/>
        </w:rPr>
        <w:t>物价波动变化幅度（涨幅）=（施工期市场价-投标单价）/投标单价×100%</w:t>
      </w:r>
    </w:p>
    <w:p w14:paraId="05909F9A">
      <w:pPr>
        <w:spacing w:line="360" w:lineRule="auto"/>
        <w:rPr>
          <w:rFonts w:hint="eastAsia" w:ascii="宋体" w:hAnsi="宋体"/>
          <w:szCs w:val="21"/>
        </w:rPr>
      </w:pPr>
      <w:r>
        <w:rPr>
          <w:rFonts w:hint="eastAsia" w:ascii="宋体" w:hAnsi="宋体"/>
          <w:szCs w:val="21"/>
        </w:rPr>
        <w:t>物价波动变化幅度（跌幅）=（施工期市场价-基准价）/基准价×100%</w:t>
      </w:r>
    </w:p>
    <w:p w14:paraId="184792BE">
      <w:pPr>
        <w:spacing w:line="360" w:lineRule="auto"/>
        <w:rPr>
          <w:rFonts w:hint="eastAsia" w:ascii="宋体" w:hAnsi="宋体"/>
          <w:szCs w:val="21"/>
        </w:rPr>
      </w:pPr>
      <w:r>
        <w:rPr>
          <w:rFonts w:hint="eastAsia" w:ascii="宋体" w:hAnsi="宋体"/>
          <w:szCs w:val="21"/>
        </w:rPr>
        <w:t>3）当承包人投标报价中的单价等于基准价时：</w:t>
      </w:r>
    </w:p>
    <w:p w14:paraId="0CD5348E">
      <w:pPr>
        <w:spacing w:line="360" w:lineRule="auto"/>
        <w:rPr>
          <w:rFonts w:hint="eastAsia" w:ascii="宋体" w:hAnsi="宋体"/>
          <w:szCs w:val="21"/>
        </w:rPr>
      </w:pPr>
      <w:r>
        <w:rPr>
          <w:rFonts w:hint="eastAsia" w:ascii="宋体" w:hAnsi="宋体"/>
          <w:szCs w:val="21"/>
        </w:rPr>
        <w:t>物价波动变化幅度=（施工期市场价-基准价）/基准价×100%</w:t>
      </w:r>
    </w:p>
    <w:p w14:paraId="6A4DE188">
      <w:pPr>
        <w:spacing w:line="360" w:lineRule="auto"/>
        <w:rPr>
          <w:rFonts w:hint="eastAsia" w:ascii="宋体" w:hAnsi="宋体"/>
          <w:szCs w:val="21"/>
        </w:rPr>
      </w:pPr>
      <w:r>
        <w:rPr>
          <w:rFonts w:hint="eastAsia" w:ascii="宋体" w:hAnsi="宋体"/>
          <w:szCs w:val="21"/>
        </w:rPr>
        <w:t>16.1.2.3  物价波动引起价格调整的方法</w:t>
      </w:r>
    </w:p>
    <w:p w14:paraId="48D21637">
      <w:pPr>
        <w:spacing w:line="360" w:lineRule="auto"/>
        <w:rPr>
          <w:rFonts w:hint="eastAsia" w:ascii="宋体" w:hAnsi="宋体"/>
          <w:szCs w:val="21"/>
        </w:rPr>
      </w:pPr>
      <w:r>
        <w:rPr>
          <w:rFonts w:hint="eastAsia" w:ascii="宋体" w:hAnsi="宋体"/>
          <w:szCs w:val="21"/>
        </w:rPr>
        <w:t>（1）第16.1.2.1目中约定的人工、材料、设备和机械台班的物价波动变化幅度超过风险幅度时，其计算价格调整差额的方法见合同条款专用部分。</w:t>
      </w:r>
    </w:p>
    <w:p w14:paraId="3EAB26D4">
      <w:pPr>
        <w:spacing w:line="360" w:lineRule="auto"/>
        <w:rPr>
          <w:rFonts w:hint="eastAsia" w:ascii="宋体" w:hAnsi="宋体"/>
          <w:szCs w:val="21"/>
        </w:rPr>
      </w:pPr>
      <w:r>
        <w:rPr>
          <w:rFonts w:hint="eastAsia" w:ascii="宋体" w:hAnsi="宋体"/>
          <w:szCs w:val="21"/>
        </w:rPr>
        <w:t>（2）第16.1.2.1目中约定的人工的物价波动变化幅度超过风险幅度时，应当计算全部价格差额，其价格差额由发包人承担或受益，其价格差额不计取规费，只计取税金。</w:t>
      </w:r>
    </w:p>
    <w:p w14:paraId="46FD6D9B">
      <w:pPr>
        <w:spacing w:line="360" w:lineRule="auto"/>
        <w:rPr>
          <w:rFonts w:hint="eastAsia" w:ascii="宋体" w:hAnsi="宋体"/>
          <w:szCs w:val="21"/>
        </w:rPr>
      </w:pPr>
      <w:r>
        <w:rPr>
          <w:rFonts w:hint="eastAsia" w:ascii="宋体" w:hAnsi="宋体"/>
          <w:szCs w:val="21"/>
        </w:rPr>
        <w:t>（3）第16.1.2.1目中约定的材料、设备和机械台班的物价波动变化幅度超过风险幅度时，应当计算超过部分的价格差额，其价格差额由发包人承担或受益，其价格差额不计取规费，只计取税金。</w:t>
      </w:r>
    </w:p>
    <w:p w14:paraId="03629DF1">
      <w:pPr>
        <w:spacing w:line="360" w:lineRule="auto"/>
        <w:rPr>
          <w:rFonts w:hint="eastAsia" w:ascii="宋体" w:hAnsi="宋体"/>
          <w:szCs w:val="21"/>
        </w:rPr>
      </w:pPr>
      <w:r>
        <w:rPr>
          <w:rFonts w:hint="eastAsia" w:ascii="宋体" w:hAnsi="宋体"/>
          <w:szCs w:val="21"/>
        </w:rPr>
        <w:t>16.1.2.4  物价波动引起价格调整的其他约定见合同条款专用部分。</w:t>
      </w:r>
    </w:p>
    <w:p w14:paraId="7951D6BA">
      <w:pPr>
        <w:spacing w:line="360" w:lineRule="auto"/>
        <w:rPr>
          <w:rFonts w:hint="eastAsia" w:ascii="宋体" w:hAnsi="宋体"/>
          <w:szCs w:val="21"/>
        </w:rPr>
      </w:pPr>
      <w:r>
        <w:rPr>
          <w:rFonts w:hint="eastAsia" w:ascii="宋体" w:hAnsi="宋体"/>
          <w:szCs w:val="21"/>
        </w:rPr>
        <w:t>16.1.3  物价波动引起价格调整的其他方法见合同条款专用部分。</w:t>
      </w:r>
    </w:p>
    <w:p w14:paraId="53A795E7">
      <w:pPr>
        <w:spacing w:line="360" w:lineRule="auto"/>
        <w:rPr>
          <w:rFonts w:hint="eastAsia" w:ascii="宋体" w:hAnsi="宋体"/>
          <w:szCs w:val="21"/>
        </w:rPr>
      </w:pPr>
      <w:bookmarkStart w:id="851" w:name="_BookMark_209"/>
      <w:bookmarkEnd w:id="851"/>
      <w:r>
        <w:rPr>
          <w:rFonts w:hint="eastAsia" w:ascii="宋体" w:hAnsi="宋体"/>
          <w:szCs w:val="21"/>
        </w:rPr>
        <w:t>16.2  法律变化引起的价格调整</w:t>
      </w:r>
    </w:p>
    <w:p w14:paraId="5F2EB454">
      <w:pPr>
        <w:spacing w:line="360" w:lineRule="auto"/>
        <w:rPr>
          <w:rFonts w:hint="eastAsia" w:ascii="宋体" w:hAnsi="宋体"/>
          <w:szCs w:val="21"/>
        </w:rPr>
      </w:pPr>
      <w:r>
        <w:rPr>
          <w:rFonts w:hint="eastAsia" w:ascii="宋体" w:hAnsi="宋体"/>
          <w:szCs w:val="21"/>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1DC8EC8F">
      <w:pPr>
        <w:adjustRightInd w:val="0"/>
        <w:snapToGrid w:val="0"/>
        <w:spacing w:line="360" w:lineRule="auto"/>
        <w:outlineLvl w:val="2"/>
        <w:rPr>
          <w:rFonts w:hint="eastAsia" w:ascii="宋体" w:hAnsi="宋体"/>
          <w:sz w:val="28"/>
        </w:rPr>
      </w:pPr>
      <w:bookmarkStart w:id="852" w:name="_BookMark_210"/>
      <w:bookmarkEnd w:id="852"/>
      <w:bookmarkStart w:id="853" w:name="_Toc532542650"/>
      <w:bookmarkStart w:id="854" w:name="_Toc528247494"/>
      <w:bookmarkStart w:id="855" w:name="_Toc196225922"/>
      <w:bookmarkStart w:id="856" w:name="_Toc162620948"/>
      <w:r>
        <w:rPr>
          <w:rFonts w:hint="eastAsia" w:ascii="宋体" w:hAnsi="宋体"/>
          <w:sz w:val="28"/>
        </w:rPr>
        <w:t>17.计量与支付</w:t>
      </w:r>
      <w:bookmarkEnd w:id="853"/>
      <w:bookmarkEnd w:id="854"/>
      <w:bookmarkEnd w:id="855"/>
      <w:bookmarkEnd w:id="856"/>
    </w:p>
    <w:p w14:paraId="4027EEF5">
      <w:pPr>
        <w:spacing w:line="360" w:lineRule="auto"/>
        <w:rPr>
          <w:rFonts w:hint="eastAsia" w:ascii="宋体" w:hAnsi="宋体"/>
          <w:szCs w:val="21"/>
        </w:rPr>
      </w:pPr>
      <w:bookmarkStart w:id="857" w:name="_BookMark_211"/>
      <w:bookmarkEnd w:id="857"/>
      <w:r>
        <w:rPr>
          <w:rFonts w:hint="eastAsia" w:ascii="宋体" w:hAnsi="宋体"/>
          <w:szCs w:val="21"/>
        </w:rPr>
        <w:t>17.1  计量</w:t>
      </w:r>
    </w:p>
    <w:p w14:paraId="57071202">
      <w:pPr>
        <w:spacing w:line="360" w:lineRule="auto"/>
        <w:rPr>
          <w:rFonts w:hint="eastAsia" w:ascii="宋体" w:hAnsi="宋体"/>
          <w:szCs w:val="21"/>
        </w:rPr>
      </w:pPr>
      <w:r>
        <w:rPr>
          <w:rFonts w:hint="eastAsia" w:ascii="宋体" w:hAnsi="宋体"/>
          <w:szCs w:val="21"/>
        </w:rPr>
        <w:t>17.1.1  计量单位</w:t>
      </w:r>
    </w:p>
    <w:p w14:paraId="454AAADF">
      <w:pPr>
        <w:spacing w:line="360" w:lineRule="auto"/>
        <w:rPr>
          <w:rFonts w:hint="eastAsia" w:ascii="宋体" w:hAnsi="宋体"/>
          <w:szCs w:val="21"/>
        </w:rPr>
      </w:pPr>
      <w:r>
        <w:rPr>
          <w:rFonts w:hint="eastAsia" w:ascii="宋体" w:hAnsi="宋体"/>
          <w:szCs w:val="21"/>
        </w:rPr>
        <w:t>计量采用国家法定的计量单位。</w:t>
      </w:r>
    </w:p>
    <w:p w14:paraId="5C8A062D">
      <w:pPr>
        <w:spacing w:line="360" w:lineRule="auto"/>
        <w:rPr>
          <w:rFonts w:hint="eastAsia" w:ascii="宋体" w:hAnsi="宋体"/>
          <w:szCs w:val="21"/>
        </w:rPr>
      </w:pPr>
      <w:r>
        <w:rPr>
          <w:rFonts w:hint="eastAsia" w:ascii="宋体" w:hAnsi="宋体"/>
          <w:szCs w:val="21"/>
        </w:rPr>
        <w:t>17.1.2  计量方法</w:t>
      </w:r>
    </w:p>
    <w:p w14:paraId="361BCC08">
      <w:pPr>
        <w:spacing w:line="360" w:lineRule="auto"/>
        <w:rPr>
          <w:rFonts w:hint="eastAsia" w:ascii="宋体" w:hAnsi="宋体"/>
          <w:szCs w:val="21"/>
        </w:rPr>
      </w:pPr>
      <w:r>
        <w:rPr>
          <w:rFonts w:hint="eastAsia" w:ascii="宋体" w:hAnsi="宋体"/>
          <w:szCs w:val="21"/>
        </w:rPr>
        <w:t>工程量计算规则执行工程量清单中约定的计量计价规范版本。除合同另有约定外，承包人实际完成的工程量按约定的工程量计算规则和有合同约束力的图纸进行计量。</w:t>
      </w:r>
    </w:p>
    <w:p w14:paraId="636F2705">
      <w:pPr>
        <w:spacing w:line="360" w:lineRule="auto"/>
        <w:rPr>
          <w:rFonts w:hint="eastAsia" w:ascii="宋体" w:hAnsi="宋体"/>
          <w:szCs w:val="21"/>
        </w:rPr>
      </w:pPr>
      <w:r>
        <w:rPr>
          <w:rFonts w:hint="eastAsia" w:ascii="宋体" w:hAnsi="宋体"/>
          <w:szCs w:val="21"/>
        </w:rPr>
        <w:t>17.1.3  计量周期</w:t>
      </w:r>
    </w:p>
    <w:p w14:paraId="3A38DC09">
      <w:pPr>
        <w:spacing w:line="360" w:lineRule="auto"/>
        <w:rPr>
          <w:rFonts w:hint="eastAsia" w:ascii="宋体" w:hAnsi="宋体"/>
          <w:szCs w:val="21"/>
        </w:rPr>
      </w:pPr>
      <w:r>
        <w:rPr>
          <w:rFonts w:hint="eastAsia" w:ascii="宋体" w:hAnsi="宋体"/>
          <w:szCs w:val="21"/>
        </w:rPr>
        <w:t>（1）本合同的计量周期为月，当月计量截止日期（不含当日）和下月计量起始日期（含当日）见合同条款专用部分。</w:t>
      </w:r>
    </w:p>
    <w:p w14:paraId="325E0A5B">
      <w:pPr>
        <w:spacing w:line="360" w:lineRule="auto"/>
        <w:rPr>
          <w:rFonts w:hint="eastAsia" w:ascii="宋体" w:hAnsi="宋体"/>
          <w:szCs w:val="21"/>
        </w:rPr>
      </w:pPr>
      <w:r>
        <w:rPr>
          <w:rFonts w:hint="eastAsia" w:ascii="宋体" w:hAnsi="宋体"/>
          <w:szCs w:val="21"/>
        </w:rPr>
        <w:t>（2）单价子目已完成工程量是否按月计量见合同条款专用部分。</w:t>
      </w:r>
    </w:p>
    <w:p w14:paraId="5CC00AAA">
      <w:pPr>
        <w:spacing w:line="360" w:lineRule="auto"/>
        <w:rPr>
          <w:rFonts w:hint="eastAsia" w:ascii="宋体" w:hAnsi="宋体"/>
          <w:szCs w:val="21"/>
        </w:rPr>
      </w:pPr>
      <w:r>
        <w:rPr>
          <w:rFonts w:hint="eastAsia" w:ascii="宋体" w:hAnsi="宋体"/>
          <w:szCs w:val="21"/>
        </w:rPr>
        <w:t>（3）总价子目计量方法见合同条款专用部分。</w:t>
      </w:r>
    </w:p>
    <w:p w14:paraId="4E661225">
      <w:pPr>
        <w:spacing w:line="360" w:lineRule="auto"/>
        <w:rPr>
          <w:rFonts w:hint="eastAsia" w:ascii="宋体" w:hAnsi="宋体"/>
          <w:szCs w:val="21"/>
        </w:rPr>
      </w:pPr>
      <w:r>
        <w:rPr>
          <w:rFonts w:hint="eastAsia" w:ascii="宋体" w:hAnsi="宋体"/>
          <w:szCs w:val="21"/>
        </w:rPr>
        <w:t>17.1.4  单价子目的计量</w:t>
      </w:r>
    </w:p>
    <w:p w14:paraId="3CD2EEFB">
      <w:pPr>
        <w:spacing w:line="360" w:lineRule="auto"/>
        <w:rPr>
          <w:rFonts w:hint="eastAsia" w:ascii="宋体" w:hAnsi="宋体"/>
          <w:szCs w:val="21"/>
        </w:rPr>
      </w:pPr>
      <w:r>
        <w:rPr>
          <w:rFonts w:hint="eastAsia" w:ascii="宋体" w:hAnsi="宋体"/>
          <w:szCs w:val="21"/>
        </w:rPr>
        <w:t>（1）已标价工程量清单中的单价子目工程量为估算工程量。结算工程量是承包人实际完成的，并按合同约定的计量方法进行计量的工程量。</w:t>
      </w:r>
    </w:p>
    <w:p w14:paraId="0326EF59">
      <w:pPr>
        <w:spacing w:line="360" w:lineRule="auto"/>
        <w:rPr>
          <w:rFonts w:hint="eastAsia" w:ascii="宋体" w:hAnsi="宋体"/>
          <w:szCs w:val="21"/>
        </w:rPr>
      </w:pPr>
      <w:r>
        <w:rPr>
          <w:rFonts w:hint="eastAsia" w:ascii="宋体" w:hAnsi="宋体"/>
          <w:szCs w:val="21"/>
        </w:rPr>
        <w:t>（2）承包人对已完成的工程进行计量，向监理人提交进度付款申请单、已完成工程量报表和有关计量资料。</w:t>
      </w:r>
    </w:p>
    <w:p w14:paraId="07B8ECD9">
      <w:pPr>
        <w:spacing w:line="360" w:lineRule="auto"/>
        <w:rPr>
          <w:rFonts w:hint="eastAsia" w:ascii="宋体" w:hAnsi="宋体"/>
          <w:szCs w:val="21"/>
        </w:rPr>
      </w:pPr>
      <w:r>
        <w:rPr>
          <w:rFonts w:hint="eastAsia" w:ascii="宋体" w:hAnsi="宋体"/>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5C62E732">
      <w:pPr>
        <w:spacing w:line="360" w:lineRule="auto"/>
        <w:rPr>
          <w:rFonts w:hint="eastAsia" w:ascii="宋体" w:hAnsi="宋体"/>
          <w:szCs w:val="21"/>
        </w:rPr>
      </w:pPr>
      <w:r>
        <w:rPr>
          <w:rFonts w:hint="eastAsia" w:ascii="宋体" w:hAnsi="宋体"/>
          <w:szCs w:val="21"/>
        </w:rPr>
        <w:t>（4）监理人认为有必要时，可通知承包人共同进行联合测量、计量，承包人应遵照执行。</w:t>
      </w:r>
    </w:p>
    <w:p w14:paraId="594C59FF">
      <w:pPr>
        <w:spacing w:line="360" w:lineRule="auto"/>
        <w:rPr>
          <w:rFonts w:hint="eastAsia" w:ascii="宋体" w:hAnsi="宋体"/>
          <w:szCs w:val="21"/>
        </w:rPr>
      </w:pPr>
      <w:r>
        <w:rPr>
          <w:rFonts w:hint="eastAsia" w:ascii="宋体" w:hAnsi="宋体"/>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61256B52">
      <w:pPr>
        <w:spacing w:line="360" w:lineRule="auto"/>
        <w:rPr>
          <w:rFonts w:hint="eastAsia" w:ascii="宋体" w:hAnsi="宋体"/>
          <w:szCs w:val="21"/>
        </w:rPr>
      </w:pPr>
      <w:r>
        <w:rPr>
          <w:rFonts w:hint="eastAsia" w:ascii="宋体" w:hAnsi="宋体"/>
          <w:szCs w:val="21"/>
        </w:rPr>
        <w:t>（6）监理人应在收到承包人提交的工程量报表后的7天内进行复核，监理人未在约定时间内复核的，承包人提交的工程量报表中的工程量视为承包人实际完成的工程量，据此计算工程价款。</w:t>
      </w:r>
    </w:p>
    <w:p w14:paraId="739300E7">
      <w:pPr>
        <w:spacing w:line="360" w:lineRule="auto"/>
        <w:rPr>
          <w:rFonts w:hint="eastAsia" w:ascii="宋体" w:hAnsi="宋体"/>
          <w:szCs w:val="21"/>
        </w:rPr>
      </w:pPr>
      <w:r>
        <w:rPr>
          <w:rFonts w:hint="eastAsia" w:ascii="宋体" w:hAnsi="宋体"/>
          <w:szCs w:val="21"/>
        </w:rPr>
        <w:t>17.1.5  总价子目的计量（适用于采用支付分解报告）</w:t>
      </w:r>
    </w:p>
    <w:p w14:paraId="69968F22">
      <w:pPr>
        <w:spacing w:line="360" w:lineRule="auto"/>
        <w:rPr>
          <w:rFonts w:hint="eastAsia" w:ascii="宋体" w:hAnsi="宋体"/>
          <w:szCs w:val="21"/>
        </w:rPr>
      </w:pPr>
      <w:r>
        <w:rPr>
          <w:rFonts w:hint="eastAsia" w:ascii="宋体" w:hAnsi="宋体"/>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4FFDF6DF">
      <w:pPr>
        <w:spacing w:line="360" w:lineRule="auto"/>
        <w:rPr>
          <w:rFonts w:hint="eastAsia" w:ascii="宋体" w:hAnsi="宋体"/>
          <w:szCs w:val="21"/>
        </w:rPr>
      </w:pPr>
      <w:r>
        <w:rPr>
          <w:rFonts w:hint="eastAsia" w:ascii="宋体" w:hAnsi="宋体"/>
          <w:szCs w:val="21"/>
        </w:rPr>
        <w:t>（1）总价子目的价格调整方法见合同条款专用部分。</w:t>
      </w:r>
    </w:p>
    <w:p w14:paraId="5CF4BBF3">
      <w:pPr>
        <w:spacing w:line="360" w:lineRule="auto"/>
        <w:rPr>
          <w:rFonts w:hint="eastAsia" w:ascii="宋体" w:hAnsi="宋体"/>
          <w:szCs w:val="21"/>
        </w:rPr>
      </w:pPr>
      <w:r>
        <w:rPr>
          <w:rFonts w:hint="eastAsia" w:ascii="宋体" w:hAnsi="宋体"/>
          <w:szCs w:val="21"/>
        </w:rPr>
        <w:t>（2）列入每月进度付款申请单中各总价子目的价值为有合同约束力的支付分解表中对应月份的总价子目总价值。</w:t>
      </w:r>
    </w:p>
    <w:p w14:paraId="33DB4B8B">
      <w:pPr>
        <w:spacing w:line="360" w:lineRule="auto"/>
        <w:rPr>
          <w:rFonts w:hint="eastAsia" w:ascii="宋体" w:hAnsi="宋体"/>
          <w:szCs w:val="21"/>
        </w:rPr>
      </w:pPr>
      <w:r>
        <w:rPr>
          <w:rFonts w:hint="eastAsia" w:ascii="宋体" w:hAnsi="宋体"/>
          <w:szCs w:val="21"/>
        </w:rPr>
        <w:t>（3）监理人根据有合同约束力的支付分解表复核列入每月进度付款申请单中的总价子目的总价值。</w:t>
      </w:r>
    </w:p>
    <w:p w14:paraId="7EEDED68">
      <w:pPr>
        <w:spacing w:line="360" w:lineRule="auto"/>
        <w:rPr>
          <w:rFonts w:hint="eastAsia" w:ascii="宋体" w:hAnsi="宋体"/>
          <w:szCs w:val="21"/>
        </w:rPr>
      </w:pPr>
      <w:r>
        <w:rPr>
          <w:rFonts w:hint="eastAsia" w:ascii="宋体" w:hAnsi="宋体"/>
          <w:szCs w:val="21"/>
        </w:rPr>
        <w:t>（4）除按照第15条约定的变更外，在竣工结算时总价子目的工程量不应当重新计量，签约合同价所基于的工程量即是用于竣工结算的最终工程量。</w:t>
      </w:r>
    </w:p>
    <w:p w14:paraId="08B9ADCA">
      <w:pPr>
        <w:spacing w:line="360" w:lineRule="auto"/>
        <w:rPr>
          <w:rFonts w:hint="eastAsia" w:ascii="宋体" w:hAnsi="宋体"/>
          <w:szCs w:val="21"/>
        </w:rPr>
      </w:pPr>
      <w:r>
        <w:rPr>
          <w:rFonts w:hint="eastAsia" w:ascii="宋体" w:hAnsi="宋体"/>
          <w:szCs w:val="21"/>
        </w:rPr>
        <w:t>17.1.5  总价子目的计量（适用于采用按实际完成工程量计量）</w:t>
      </w:r>
    </w:p>
    <w:p w14:paraId="564CCD5D">
      <w:pPr>
        <w:spacing w:line="360" w:lineRule="auto"/>
        <w:rPr>
          <w:rFonts w:hint="eastAsia" w:ascii="宋体" w:hAnsi="宋体"/>
          <w:szCs w:val="21"/>
        </w:rPr>
      </w:pPr>
      <w:r>
        <w:rPr>
          <w:rFonts w:hint="eastAsia" w:ascii="宋体" w:hAnsi="宋体"/>
          <w:szCs w:val="21"/>
        </w:rPr>
        <w:t>（1）总价子目的计量和支付应以总价为基础，对承包人实际完成的工程量进行计量，是进行工程目标管理和控制进度款支付的依据。总价子目的价格调整方法见合同条款专用部分。</w:t>
      </w:r>
    </w:p>
    <w:p w14:paraId="5B6F3E5A">
      <w:pPr>
        <w:spacing w:line="360" w:lineRule="auto"/>
        <w:rPr>
          <w:rFonts w:hint="eastAsia" w:ascii="宋体" w:hAnsi="宋体"/>
          <w:szCs w:val="21"/>
        </w:rPr>
      </w:pPr>
      <w:r>
        <w:rPr>
          <w:rFonts w:hint="eastAsia" w:ascii="宋体" w:hAnsi="宋体"/>
          <w:szCs w:val="21"/>
        </w:rPr>
        <w:t>（2）承包人在合同条款专用部分第17.1.3（1）目约定的每月计量截止日期后，对已完成的分部分项工程和单价措施项目的子目，按照合同条款第17.1.2项约定的计量方法进行计量，对已完成的总价措施项目的相关子目，按其总价构成、费用性质和实际发生比例进行计量，向监理人提交进度付款申请单、已完成工程量报表和有关计量资料。</w:t>
      </w:r>
    </w:p>
    <w:p w14:paraId="55B7ED2B">
      <w:pPr>
        <w:spacing w:line="360" w:lineRule="auto"/>
        <w:rPr>
          <w:rFonts w:hint="eastAsia" w:ascii="宋体" w:hAnsi="宋体"/>
          <w:szCs w:val="21"/>
        </w:rPr>
      </w:pPr>
      <w:r>
        <w:rPr>
          <w:rFonts w:hint="eastAsia" w:ascii="宋体" w:hAnsi="宋体"/>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0C1268BC">
      <w:pPr>
        <w:spacing w:line="360" w:lineRule="auto"/>
        <w:rPr>
          <w:rFonts w:hint="eastAsia" w:ascii="宋体" w:hAnsi="宋体"/>
          <w:szCs w:val="21"/>
        </w:rPr>
      </w:pPr>
      <w:r>
        <w:rPr>
          <w:rFonts w:hint="eastAsia" w:ascii="宋体" w:hAnsi="宋体"/>
          <w:szCs w:val="21"/>
        </w:rPr>
        <w:t>（4）监理人应在收到承包人提交的工程量报表后的7天内进行复核，监理人未在约定时间内复核的，承包人提交的工程量报表中的工程量视为承包人实际完成的工程量，据此计算工程价款。</w:t>
      </w:r>
    </w:p>
    <w:p w14:paraId="3948AD2B">
      <w:pPr>
        <w:spacing w:line="360" w:lineRule="auto"/>
        <w:rPr>
          <w:rFonts w:hint="eastAsia" w:ascii="宋体" w:hAnsi="宋体"/>
          <w:szCs w:val="21"/>
        </w:rPr>
      </w:pPr>
      <w:r>
        <w:rPr>
          <w:rFonts w:hint="eastAsia" w:ascii="宋体" w:hAnsi="宋体"/>
          <w:szCs w:val="21"/>
        </w:rPr>
        <w:t>（5）除按照第15条约定的变更外，在竣工结算时总价子目的工程量不应当重新计量，签约合同价所基于的工程量即是用于竣工结算的最终工程量。</w:t>
      </w:r>
    </w:p>
    <w:p w14:paraId="34281F4B">
      <w:pPr>
        <w:spacing w:line="360" w:lineRule="auto"/>
        <w:rPr>
          <w:rFonts w:hint="eastAsia" w:ascii="宋体" w:hAnsi="宋体"/>
          <w:szCs w:val="21"/>
        </w:rPr>
      </w:pPr>
      <w:bookmarkStart w:id="858" w:name="_BookMark_212"/>
      <w:bookmarkEnd w:id="858"/>
      <w:r>
        <w:rPr>
          <w:rFonts w:hint="eastAsia" w:ascii="宋体" w:hAnsi="宋体"/>
          <w:szCs w:val="21"/>
        </w:rPr>
        <w:t>17.2  预付款</w:t>
      </w:r>
    </w:p>
    <w:p w14:paraId="02453D77">
      <w:pPr>
        <w:spacing w:line="360" w:lineRule="auto"/>
        <w:rPr>
          <w:rFonts w:hint="eastAsia" w:ascii="宋体" w:hAnsi="宋体"/>
          <w:szCs w:val="21"/>
        </w:rPr>
      </w:pPr>
      <w:r>
        <w:rPr>
          <w:rFonts w:hint="eastAsia" w:ascii="宋体" w:hAnsi="宋体"/>
          <w:szCs w:val="21"/>
        </w:rPr>
        <w:t>17.2.1  预付款</w:t>
      </w:r>
    </w:p>
    <w:p w14:paraId="3553C111">
      <w:pPr>
        <w:spacing w:line="360" w:lineRule="auto"/>
        <w:rPr>
          <w:rFonts w:hint="eastAsia" w:ascii="宋体" w:hAnsi="宋体"/>
          <w:szCs w:val="21"/>
        </w:rPr>
      </w:pPr>
      <w:r>
        <w:rPr>
          <w:rFonts w:hint="eastAsia" w:ascii="宋体" w:hAnsi="宋体"/>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14:paraId="692283EA">
      <w:pPr>
        <w:spacing w:line="360" w:lineRule="auto"/>
        <w:rPr>
          <w:rFonts w:hint="eastAsia" w:ascii="宋体" w:hAnsi="宋体"/>
          <w:szCs w:val="21"/>
        </w:rPr>
      </w:pPr>
      <w:r>
        <w:rPr>
          <w:rFonts w:hint="eastAsia" w:ascii="宋体" w:hAnsi="宋体"/>
          <w:szCs w:val="21"/>
        </w:rPr>
        <w:t>安全文明施工费用的预付不受上述预付办法和支付时间约定的制约，发包人应当在不迟于第11.1.1项约定的开工日期前的7天内将安全文明施工费用的预付款一次性拨付给承包人。安全文明施工费用预付款额度见合同条款专用部分。</w:t>
      </w:r>
    </w:p>
    <w:p w14:paraId="6C2B9793">
      <w:pPr>
        <w:spacing w:line="360" w:lineRule="auto"/>
        <w:rPr>
          <w:rFonts w:hint="eastAsia" w:ascii="宋体" w:hAnsi="宋体"/>
          <w:szCs w:val="21"/>
        </w:rPr>
      </w:pPr>
      <w:r>
        <w:rPr>
          <w:rFonts w:hint="eastAsia" w:ascii="宋体" w:hAnsi="宋体"/>
          <w:szCs w:val="21"/>
        </w:rPr>
        <w:t>发包人逾期支付合同约定的预付款，除承担第22.2款约定的违约责任外，还应向承包人支付按第17.3.3(2)目约定的标准和方法计算的逾期付款违约金。</w:t>
      </w:r>
    </w:p>
    <w:p w14:paraId="5F62CDFF">
      <w:pPr>
        <w:spacing w:line="360" w:lineRule="auto"/>
        <w:rPr>
          <w:rFonts w:hint="eastAsia" w:ascii="宋体" w:hAnsi="宋体"/>
          <w:szCs w:val="21"/>
        </w:rPr>
      </w:pPr>
      <w:r>
        <w:rPr>
          <w:rFonts w:hint="eastAsia" w:ascii="宋体" w:hAnsi="宋体"/>
          <w:szCs w:val="21"/>
        </w:rPr>
        <w:t>17.2.2  预付款的扣回与还清</w:t>
      </w:r>
    </w:p>
    <w:p w14:paraId="6C85A98B">
      <w:pPr>
        <w:spacing w:line="360" w:lineRule="auto"/>
        <w:rPr>
          <w:rFonts w:hint="eastAsia" w:ascii="宋体" w:hAnsi="宋体"/>
          <w:szCs w:val="21"/>
        </w:rPr>
      </w:pPr>
      <w:r>
        <w:rPr>
          <w:rFonts w:hint="eastAsia" w:ascii="宋体" w:hAnsi="宋体"/>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5EC627A4">
      <w:pPr>
        <w:spacing w:line="360" w:lineRule="auto"/>
        <w:rPr>
          <w:rFonts w:hint="eastAsia" w:ascii="宋体" w:hAnsi="宋体"/>
          <w:szCs w:val="21"/>
        </w:rPr>
      </w:pPr>
      <w:bookmarkStart w:id="859" w:name="_BookMark_213"/>
      <w:bookmarkEnd w:id="859"/>
      <w:r>
        <w:rPr>
          <w:rFonts w:hint="eastAsia" w:ascii="宋体" w:hAnsi="宋体"/>
          <w:szCs w:val="21"/>
        </w:rPr>
        <w:t>17.3  工程进度付款</w:t>
      </w:r>
    </w:p>
    <w:p w14:paraId="72EB9904">
      <w:pPr>
        <w:spacing w:line="360" w:lineRule="auto"/>
        <w:rPr>
          <w:rFonts w:hint="eastAsia" w:ascii="宋体" w:hAnsi="宋体"/>
          <w:szCs w:val="21"/>
        </w:rPr>
      </w:pPr>
      <w:r>
        <w:rPr>
          <w:rFonts w:hint="eastAsia" w:ascii="宋体" w:hAnsi="宋体"/>
          <w:szCs w:val="21"/>
        </w:rPr>
        <w:t>17.3.1  付款周期</w:t>
      </w:r>
    </w:p>
    <w:p w14:paraId="535A1182">
      <w:pPr>
        <w:spacing w:line="360" w:lineRule="auto"/>
        <w:rPr>
          <w:rFonts w:hint="eastAsia" w:ascii="宋体" w:hAnsi="宋体"/>
          <w:szCs w:val="21"/>
        </w:rPr>
      </w:pPr>
      <w:r>
        <w:rPr>
          <w:rFonts w:hint="eastAsia" w:ascii="宋体" w:hAnsi="宋体"/>
          <w:szCs w:val="21"/>
        </w:rPr>
        <w:t>付款周期同计量周期。</w:t>
      </w:r>
    </w:p>
    <w:p w14:paraId="415E8729">
      <w:pPr>
        <w:spacing w:line="360" w:lineRule="auto"/>
        <w:rPr>
          <w:rFonts w:hint="eastAsia" w:ascii="宋体" w:hAnsi="宋体"/>
          <w:szCs w:val="21"/>
        </w:rPr>
      </w:pPr>
      <w:r>
        <w:rPr>
          <w:rFonts w:hint="eastAsia" w:ascii="宋体" w:hAnsi="宋体"/>
          <w:szCs w:val="21"/>
        </w:rPr>
        <w:t>17.3.2  进度付款申请单</w:t>
      </w:r>
    </w:p>
    <w:p w14:paraId="62740F0D">
      <w:pPr>
        <w:spacing w:line="360" w:lineRule="auto"/>
        <w:rPr>
          <w:rFonts w:hint="eastAsia" w:ascii="宋体" w:hAnsi="宋体"/>
          <w:szCs w:val="21"/>
        </w:rPr>
      </w:pPr>
      <w:r>
        <w:rPr>
          <w:rFonts w:hint="eastAsia" w:ascii="宋体" w:hAnsi="宋体"/>
          <w:szCs w:val="21"/>
        </w:rPr>
        <w:t>承包人应在每个付款周期末，按监理人批准的格式和合同约定的份数，向监理人提交进度付款申请单，并附相应的支持性证明文件。承包人提交进度付款申请单份数见合同条款专用部分。</w:t>
      </w:r>
    </w:p>
    <w:p w14:paraId="197259CA">
      <w:pPr>
        <w:spacing w:line="360" w:lineRule="auto"/>
        <w:rPr>
          <w:rFonts w:hint="eastAsia" w:ascii="宋体" w:hAnsi="宋体"/>
          <w:szCs w:val="21"/>
        </w:rPr>
      </w:pPr>
      <w:r>
        <w:rPr>
          <w:rFonts w:hint="eastAsia" w:ascii="宋体" w:hAnsi="宋体"/>
          <w:szCs w:val="21"/>
        </w:rPr>
        <w:t>承包人报送监理人的进度付款申请单应包括下列内容：</w:t>
      </w:r>
    </w:p>
    <w:p w14:paraId="52EB5BB8">
      <w:pPr>
        <w:spacing w:line="360" w:lineRule="auto"/>
        <w:rPr>
          <w:rFonts w:hint="eastAsia" w:ascii="宋体" w:hAnsi="宋体"/>
          <w:szCs w:val="21"/>
        </w:rPr>
      </w:pPr>
      <w:r>
        <w:rPr>
          <w:rFonts w:hint="eastAsia" w:ascii="宋体" w:hAnsi="宋体"/>
          <w:szCs w:val="21"/>
        </w:rPr>
        <w:t>（1）截至本次付款周期末已实施工程的价款；</w:t>
      </w:r>
    </w:p>
    <w:p w14:paraId="2A2A8AAC">
      <w:pPr>
        <w:spacing w:line="360" w:lineRule="auto"/>
        <w:rPr>
          <w:rFonts w:hint="eastAsia" w:ascii="宋体" w:hAnsi="宋体"/>
          <w:szCs w:val="21"/>
        </w:rPr>
      </w:pPr>
      <w:r>
        <w:rPr>
          <w:rFonts w:hint="eastAsia" w:ascii="宋体" w:hAnsi="宋体"/>
          <w:szCs w:val="21"/>
        </w:rPr>
        <w:t>（2）根据第15条应增加和扣减的变更金额；</w:t>
      </w:r>
    </w:p>
    <w:p w14:paraId="3D16A062">
      <w:pPr>
        <w:spacing w:line="360" w:lineRule="auto"/>
        <w:rPr>
          <w:rFonts w:hint="eastAsia" w:ascii="宋体" w:hAnsi="宋体"/>
          <w:szCs w:val="21"/>
        </w:rPr>
      </w:pPr>
      <w:r>
        <w:rPr>
          <w:rFonts w:hint="eastAsia" w:ascii="宋体" w:hAnsi="宋体"/>
          <w:szCs w:val="21"/>
        </w:rPr>
        <w:t>（3）根据第23条应增加和扣减的索赔金额；</w:t>
      </w:r>
    </w:p>
    <w:p w14:paraId="28139669">
      <w:pPr>
        <w:spacing w:line="360" w:lineRule="auto"/>
        <w:rPr>
          <w:rFonts w:hint="eastAsia" w:ascii="宋体" w:hAnsi="宋体"/>
          <w:szCs w:val="21"/>
        </w:rPr>
      </w:pPr>
      <w:r>
        <w:rPr>
          <w:rFonts w:hint="eastAsia" w:ascii="宋体" w:hAnsi="宋体"/>
          <w:szCs w:val="21"/>
        </w:rPr>
        <w:t>（4）根据第17.2款约定应支付的预付款和扣减的返还预付款；</w:t>
      </w:r>
    </w:p>
    <w:p w14:paraId="127E0693">
      <w:pPr>
        <w:spacing w:line="360" w:lineRule="auto"/>
        <w:rPr>
          <w:rFonts w:hint="eastAsia" w:ascii="宋体" w:hAnsi="宋体"/>
          <w:szCs w:val="21"/>
        </w:rPr>
      </w:pPr>
      <w:r>
        <w:rPr>
          <w:rFonts w:hint="eastAsia" w:ascii="宋体" w:hAnsi="宋体"/>
          <w:szCs w:val="21"/>
        </w:rPr>
        <w:t>（5）根据第17.4.1项约定应扣减的质量保证金；</w:t>
      </w:r>
    </w:p>
    <w:p w14:paraId="07CEF35F">
      <w:pPr>
        <w:spacing w:line="360" w:lineRule="auto"/>
        <w:rPr>
          <w:rFonts w:hint="eastAsia" w:ascii="宋体" w:hAnsi="宋体"/>
          <w:szCs w:val="21"/>
        </w:rPr>
      </w:pPr>
      <w:r>
        <w:rPr>
          <w:rFonts w:hint="eastAsia" w:ascii="宋体" w:hAnsi="宋体"/>
          <w:szCs w:val="21"/>
        </w:rPr>
        <w:t>（6）根据合同应增加和（或）扣减的其他内容金额见合同条款专用部分。</w:t>
      </w:r>
    </w:p>
    <w:p w14:paraId="295B3F4E">
      <w:pPr>
        <w:spacing w:line="360" w:lineRule="auto"/>
        <w:rPr>
          <w:rFonts w:hint="eastAsia" w:ascii="宋体" w:hAnsi="宋体"/>
          <w:szCs w:val="21"/>
        </w:rPr>
      </w:pPr>
      <w:r>
        <w:rPr>
          <w:rFonts w:hint="eastAsia" w:ascii="宋体" w:hAnsi="宋体"/>
          <w:szCs w:val="21"/>
        </w:rPr>
        <w:t>17.3.3  进度付款证书和支付时间</w:t>
      </w:r>
    </w:p>
    <w:p w14:paraId="2C986B3A">
      <w:pPr>
        <w:spacing w:line="360" w:lineRule="auto"/>
        <w:rPr>
          <w:rFonts w:hint="eastAsia" w:ascii="宋体" w:hAnsi="宋体"/>
          <w:szCs w:val="21"/>
        </w:rPr>
      </w:pPr>
      <w:r>
        <w:rPr>
          <w:rFonts w:hint="eastAsia" w:ascii="宋体" w:hAnsi="宋体"/>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E566C61">
      <w:pPr>
        <w:spacing w:line="360" w:lineRule="auto"/>
        <w:rPr>
          <w:rFonts w:hint="eastAsia" w:ascii="宋体" w:hAnsi="宋体"/>
          <w:szCs w:val="21"/>
        </w:rPr>
      </w:pPr>
      <w:r>
        <w:rPr>
          <w:rFonts w:hint="eastAsia" w:ascii="宋体" w:hAnsi="宋体"/>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0488BD0D">
      <w:pPr>
        <w:spacing w:line="360" w:lineRule="auto"/>
        <w:rPr>
          <w:rFonts w:hint="eastAsia" w:ascii="宋体" w:hAnsi="宋体"/>
          <w:szCs w:val="21"/>
        </w:rPr>
      </w:pPr>
      <w:r>
        <w:rPr>
          <w:rFonts w:hint="eastAsia" w:ascii="宋体" w:hAnsi="宋体"/>
          <w:szCs w:val="21"/>
        </w:rPr>
        <w:t>（3）监理人出具进度付款证书，不应视为监理人已同意、批准或接受了承包人完成的该部分工作。</w:t>
      </w:r>
    </w:p>
    <w:p w14:paraId="0CC96049">
      <w:pPr>
        <w:spacing w:line="360" w:lineRule="auto"/>
        <w:rPr>
          <w:rFonts w:hint="eastAsia" w:ascii="宋体" w:hAnsi="宋体"/>
          <w:szCs w:val="21"/>
        </w:rPr>
      </w:pPr>
      <w:r>
        <w:rPr>
          <w:rFonts w:hint="eastAsia" w:ascii="宋体" w:hAnsi="宋体"/>
          <w:szCs w:val="21"/>
        </w:rPr>
        <w:t>（4）进度付款涉及政府投资资金的，按照国库集中支付等国家相关规定和合同约定办理。进度付款涉及政府性资金的支付方法见合同条款专用部分。</w:t>
      </w:r>
    </w:p>
    <w:p w14:paraId="247F8BB7">
      <w:pPr>
        <w:spacing w:line="360" w:lineRule="auto"/>
        <w:rPr>
          <w:rFonts w:hint="eastAsia" w:ascii="宋体" w:hAnsi="宋体"/>
          <w:szCs w:val="21"/>
        </w:rPr>
      </w:pPr>
      <w:r>
        <w:rPr>
          <w:rFonts w:hint="eastAsia" w:ascii="宋体" w:hAnsi="宋体"/>
          <w:szCs w:val="21"/>
        </w:rPr>
        <w:t>17.3.4  工程进度付款的修正</w:t>
      </w:r>
    </w:p>
    <w:p w14:paraId="4C1FB1FD">
      <w:pPr>
        <w:spacing w:line="360" w:lineRule="auto"/>
        <w:rPr>
          <w:rFonts w:hint="eastAsia" w:ascii="宋体" w:hAnsi="宋体"/>
          <w:szCs w:val="21"/>
        </w:rPr>
      </w:pPr>
      <w:r>
        <w:rPr>
          <w:rFonts w:hint="eastAsia" w:ascii="宋体" w:hAnsi="宋体"/>
          <w:szCs w:val="21"/>
        </w:rPr>
        <w:t>在对以往历次已签发的进度付款证书进行汇总和复核中发现错、漏或重复的，监理人有权予以修正，承包人也有权提出修正申请。经双方复核同意的修正，应在本次进度付款中支付或扣除。</w:t>
      </w:r>
    </w:p>
    <w:p w14:paraId="76FC0DD3">
      <w:pPr>
        <w:spacing w:line="360" w:lineRule="auto"/>
        <w:rPr>
          <w:rFonts w:hint="eastAsia" w:ascii="宋体" w:hAnsi="宋体"/>
          <w:szCs w:val="21"/>
        </w:rPr>
      </w:pPr>
      <w:r>
        <w:rPr>
          <w:rFonts w:hint="eastAsia" w:ascii="宋体" w:hAnsi="宋体"/>
          <w:szCs w:val="21"/>
        </w:rPr>
        <w:t>17.3.5  临时付款证书</w:t>
      </w:r>
    </w:p>
    <w:p w14:paraId="3EAB4C77">
      <w:pPr>
        <w:spacing w:line="360" w:lineRule="auto"/>
        <w:rPr>
          <w:rFonts w:hint="eastAsia" w:ascii="宋体" w:hAnsi="宋体"/>
          <w:szCs w:val="21"/>
        </w:rPr>
      </w:pPr>
      <w:r>
        <w:rPr>
          <w:rFonts w:hint="eastAsia" w:ascii="宋体" w:hAnsi="宋体"/>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4CA151F6">
      <w:pPr>
        <w:spacing w:line="360" w:lineRule="auto"/>
        <w:rPr>
          <w:rFonts w:hint="eastAsia" w:ascii="宋体" w:hAnsi="宋体"/>
          <w:szCs w:val="21"/>
        </w:rPr>
      </w:pPr>
      <w:r>
        <w:rPr>
          <w:rFonts w:hint="eastAsia" w:ascii="宋体" w:hAnsi="宋体"/>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63D23750">
      <w:pPr>
        <w:spacing w:line="360" w:lineRule="auto"/>
        <w:rPr>
          <w:rFonts w:hint="eastAsia" w:ascii="宋体" w:hAnsi="宋体"/>
          <w:szCs w:val="21"/>
        </w:rPr>
      </w:pPr>
      <w:r>
        <w:rPr>
          <w:rFonts w:hint="eastAsia" w:ascii="宋体" w:hAnsi="宋体"/>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12A0D5F3">
      <w:pPr>
        <w:spacing w:line="360" w:lineRule="auto"/>
        <w:ind w:firstLine="420" w:firstLineChars="200"/>
        <w:rPr>
          <w:rFonts w:hint="eastAsia" w:ascii="宋体" w:hAnsi="宋体"/>
          <w:szCs w:val="21"/>
        </w:rPr>
      </w:pPr>
      <w:bookmarkStart w:id="860" w:name="_BookMark_214"/>
      <w:bookmarkEnd w:id="860"/>
      <w:r>
        <w:rPr>
          <w:rFonts w:hint="eastAsia" w:ascii="宋体" w:hAnsi="宋体"/>
          <w:szCs w:val="21"/>
        </w:rPr>
        <w:t>17.4  质量保证金</w:t>
      </w:r>
    </w:p>
    <w:p w14:paraId="3F3C959B">
      <w:pPr>
        <w:spacing w:line="360" w:lineRule="auto"/>
        <w:rPr>
          <w:rFonts w:hint="eastAsia" w:ascii="宋体" w:hAnsi="宋体"/>
          <w:szCs w:val="21"/>
        </w:rPr>
      </w:pPr>
      <w:r>
        <w:rPr>
          <w:rFonts w:hint="eastAsia" w:ascii="宋体" w:hAnsi="宋体"/>
          <w:szCs w:val="21"/>
        </w:rPr>
        <w:t>17.4.1  质量保证金处理</w:t>
      </w:r>
    </w:p>
    <w:p w14:paraId="12443C58">
      <w:pPr>
        <w:spacing w:line="360" w:lineRule="auto"/>
        <w:rPr>
          <w:rFonts w:hint="eastAsia" w:ascii="宋体" w:hAnsi="宋体"/>
          <w:szCs w:val="21"/>
        </w:rPr>
      </w:pPr>
      <w:r>
        <w:rPr>
          <w:rFonts w:hint="eastAsia" w:ascii="宋体" w:hAnsi="宋体"/>
          <w:szCs w:val="21"/>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5ECBB80F">
      <w:pPr>
        <w:spacing w:line="360" w:lineRule="auto"/>
        <w:rPr>
          <w:rFonts w:hint="eastAsia" w:ascii="宋体" w:hAnsi="宋体"/>
          <w:szCs w:val="21"/>
        </w:rPr>
      </w:pPr>
      <w:r>
        <w:rPr>
          <w:rFonts w:hint="eastAsia" w:ascii="宋体" w:hAnsi="宋体"/>
          <w:szCs w:val="21"/>
        </w:rPr>
        <w:t>（2）合同条款专用部分第4.2.1项约定提交履约担保，采用扣留质量保证金的，在第17.5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14:paraId="48610B37">
      <w:pPr>
        <w:spacing w:line="360" w:lineRule="auto"/>
        <w:rPr>
          <w:rFonts w:hint="eastAsia" w:ascii="宋体" w:hAnsi="宋体"/>
          <w:szCs w:val="21"/>
        </w:rPr>
      </w:pPr>
      <w:r>
        <w:rPr>
          <w:rFonts w:hint="eastAsia" w:ascii="宋体" w:hAnsi="宋体"/>
          <w:szCs w:val="21"/>
        </w:rPr>
        <w:t>（3）质量保证金的形式与约定比例见合同条款专用部分。</w:t>
      </w:r>
    </w:p>
    <w:p w14:paraId="4DF808CF">
      <w:pPr>
        <w:spacing w:line="360" w:lineRule="auto"/>
        <w:rPr>
          <w:rFonts w:hint="eastAsia" w:ascii="宋体" w:hAnsi="宋体"/>
          <w:szCs w:val="21"/>
        </w:rPr>
      </w:pPr>
      <w:r>
        <w:rPr>
          <w:rFonts w:hint="eastAsia" w:ascii="宋体" w:hAnsi="宋体"/>
          <w:szCs w:val="21"/>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3F76C025">
      <w:pPr>
        <w:spacing w:line="360" w:lineRule="auto"/>
        <w:rPr>
          <w:rFonts w:hint="eastAsia" w:ascii="宋体" w:hAnsi="宋体"/>
          <w:szCs w:val="21"/>
        </w:rPr>
      </w:pPr>
      <w:r>
        <w:rPr>
          <w:rFonts w:hint="eastAsia" w:ascii="宋体" w:hAnsi="宋体"/>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9B62834">
      <w:pPr>
        <w:spacing w:line="360" w:lineRule="auto"/>
        <w:rPr>
          <w:rFonts w:hint="eastAsia" w:ascii="宋体" w:hAnsi="宋体"/>
          <w:szCs w:val="21"/>
        </w:rPr>
      </w:pPr>
      <w:bookmarkStart w:id="861" w:name="_BookMark_215"/>
      <w:bookmarkEnd w:id="861"/>
      <w:r>
        <w:rPr>
          <w:rFonts w:hint="eastAsia" w:ascii="宋体" w:hAnsi="宋体"/>
          <w:szCs w:val="21"/>
        </w:rPr>
        <w:t>17.5  竣工结算</w:t>
      </w:r>
    </w:p>
    <w:p w14:paraId="6C3127C8">
      <w:pPr>
        <w:spacing w:line="360" w:lineRule="auto"/>
        <w:rPr>
          <w:rFonts w:hint="eastAsia" w:ascii="宋体" w:hAnsi="宋体"/>
          <w:szCs w:val="21"/>
        </w:rPr>
      </w:pPr>
      <w:r>
        <w:rPr>
          <w:rFonts w:hint="eastAsia" w:ascii="宋体" w:hAnsi="宋体"/>
          <w:szCs w:val="21"/>
        </w:rPr>
        <w:t>17.5.1  竣工付款申请单</w:t>
      </w:r>
    </w:p>
    <w:p w14:paraId="34D01C24">
      <w:pPr>
        <w:spacing w:line="360" w:lineRule="auto"/>
        <w:rPr>
          <w:rFonts w:hint="eastAsia" w:ascii="宋体" w:hAnsi="宋体"/>
          <w:szCs w:val="21"/>
        </w:rPr>
      </w:pPr>
      <w:r>
        <w:rPr>
          <w:rFonts w:hint="eastAsia" w:ascii="宋体" w:hAnsi="宋体"/>
          <w:szCs w:val="21"/>
        </w:rPr>
        <w:t>（1）工程接收证书颁发后，承包人应按合同约定的份数和期限向监理人提交竣工付款申请单，并提供相关证明材料。承包人提交竣工付款申请单份数和期限见合同条款专用部分。</w:t>
      </w:r>
    </w:p>
    <w:p w14:paraId="2ED46DEA">
      <w:pPr>
        <w:spacing w:line="360" w:lineRule="auto"/>
        <w:rPr>
          <w:rFonts w:hint="eastAsia" w:ascii="宋体" w:hAnsi="宋体"/>
          <w:szCs w:val="21"/>
        </w:rPr>
      </w:pPr>
      <w:r>
        <w:rPr>
          <w:rFonts w:hint="eastAsia" w:ascii="宋体" w:hAnsi="宋体"/>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268985DF">
      <w:pPr>
        <w:spacing w:line="360" w:lineRule="auto"/>
        <w:rPr>
          <w:rFonts w:hint="eastAsia" w:ascii="宋体" w:hAnsi="宋体"/>
          <w:szCs w:val="21"/>
        </w:rPr>
      </w:pPr>
      <w:r>
        <w:rPr>
          <w:rFonts w:hint="eastAsia" w:ascii="宋体" w:hAnsi="宋体"/>
          <w:szCs w:val="21"/>
        </w:rPr>
        <w:t>（3）监理人对竣工付款申请单有异议的，有权要求承包人进行修正和提供补充资料。经监理人和承包人协商后，由承包人向监理人提交修正后的竣工付款申请单。</w:t>
      </w:r>
    </w:p>
    <w:p w14:paraId="04E18A04">
      <w:pPr>
        <w:spacing w:line="360" w:lineRule="auto"/>
        <w:rPr>
          <w:rFonts w:hint="eastAsia" w:ascii="宋体" w:hAnsi="宋体"/>
          <w:szCs w:val="21"/>
        </w:rPr>
      </w:pPr>
      <w:r>
        <w:rPr>
          <w:rFonts w:hint="eastAsia" w:ascii="宋体" w:hAnsi="宋体"/>
          <w:szCs w:val="21"/>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5B78724D">
      <w:pPr>
        <w:spacing w:line="360" w:lineRule="auto"/>
        <w:rPr>
          <w:rFonts w:hint="eastAsia" w:ascii="宋体" w:hAnsi="宋体"/>
          <w:szCs w:val="21"/>
        </w:rPr>
      </w:pPr>
      <w:r>
        <w:rPr>
          <w:rFonts w:hint="eastAsia" w:ascii="宋体" w:hAnsi="宋体"/>
          <w:szCs w:val="21"/>
        </w:rPr>
        <w:t>17.5.2  竣工付款证书及支付时间</w:t>
      </w:r>
    </w:p>
    <w:p w14:paraId="36C5CC50">
      <w:pPr>
        <w:spacing w:line="360" w:lineRule="auto"/>
        <w:rPr>
          <w:rFonts w:hint="eastAsia" w:ascii="宋体" w:hAnsi="宋体"/>
          <w:szCs w:val="21"/>
        </w:rPr>
      </w:pPr>
      <w:r>
        <w:rPr>
          <w:rFonts w:hint="eastAsia" w:ascii="宋体" w:hAnsi="宋体"/>
          <w:szCs w:val="21"/>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5D3BF8D2">
      <w:pPr>
        <w:spacing w:line="360" w:lineRule="auto"/>
        <w:rPr>
          <w:rFonts w:hint="eastAsia" w:ascii="宋体" w:hAnsi="宋体"/>
          <w:szCs w:val="21"/>
        </w:rPr>
      </w:pPr>
      <w:r>
        <w:rPr>
          <w:rFonts w:hint="eastAsia" w:ascii="宋体" w:hAnsi="宋体"/>
          <w:szCs w:val="21"/>
        </w:rPr>
        <w:t>（2）发包人应在监理人出具竣工付款证书后的14天内，将应支付款支付给承包人。发包人不按期支付的，按第17.3.3（2）目的约定，将逾期付款违约金支付给承包人。</w:t>
      </w:r>
    </w:p>
    <w:p w14:paraId="60C56F5F">
      <w:pPr>
        <w:spacing w:line="360" w:lineRule="auto"/>
        <w:rPr>
          <w:rFonts w:hint="eastAsia" w:ascii="宋体" w:hAnsi="宋体"/>
          <w:szCs w:val="21"/>
        </w:rPr>
      </w:pPr>
      <w:r>
        <w:rPr>
          <w:rFonts w:hint="eastAsia" w:ascii="宋体" w:hAnsi="宋体"/>
          <w:szCs w:val="21"/>
        </w:rPr>
        <w:t>（3）承包人对发包人签认的竣工付款证书有异议的，发包人可出具竣工付款申请单中与承包人达成一致意见部分的临时付款证书。存在争议的部分，按第24条“争议的解决”的约定办理。</w:t>
      </w:r>
    </w:p>
    <w:p w14:paraId="114E7C9C">
      <w:pPr>
        <w:spacing w:line="360" w:lineRule="auto"/>
        <w:rPr>
          <w:rFonts w:hint="eastAsia" w:ascii="宋体" w:hAnsi="宋体"/>
          <w:szCs w:val="21"/>
        </w:rPr>
      </w:pPr>
      <w:r>
        <w:rPr>
          <w:rFonts w:hint="eastAsia" w:ascii="宋体" w:hAnsi="宋体"/>
          <w:szCs w:val="21"/>
        </w:rPr>
        <w:t>（4）竣工付款涉及政府投资资金的，按第17.3.3（4）目的约定办理。</w:t>
      </w:r>
    </w:p>
    <w:p w14:paraId="0B0F3222">
      <w:pPr>
        <w:spacing w:line="360" w:lineRule="auto"/>
        <w:rPr>
          <w:rFonts w:hint="eastAsia" w:ascii="宋体" w:hAnsi="宋体"/>
          <w:szCs w:val="21"/>
        </w:rPr>
      </w:pPr>
      <w:r>
        <w:rPr>
          <w:rFonts w:hint="eastAsia" w:ascii="宋体" w:hAnsi="宋体"/>
          <w:szCs w:val="21"/>
        </w:rPr>
        <w:t>17.5.3  除第17.5.4项约定的情况外，发包人和承包人应当在监理人颁发（出具）工程接收证书后56天内办清竣工结算和竣工付款。</w:t>
      </w:r>
    </w:p>
    <w:p w14:paraId="61030470">
      <w:pPr>
        <w:spacing w:line="360" w:lineRule="auto"/>
        <w:rPr>
          <w:rFonts w:hint="eastAsia" w:ascii="宋体" w:hAnsi="宋体"/>
          <w:szCs w:val="21"/>
        </w:rPr>
      </w:pPr>
      <w:r>
        <w:rPr>
          <w:rFonts w:hint="eastAsia" w:ascii="宋体" w:hAnsi="宋体"/>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4BCE1E78">
      <w:pPr>
        <w:spacing w:line="360" w:lineRule="auto"/>
        <w:rPr>
          <w:rFonts w:hint="eastAsia" w:ascii="宋体" w:hAnsi="宋体"/>
          <w:szCs w:val="21"/>
        </w:rPr>
      </w:pPr>
      <w:bookmarkStart w:id="862" w:name="_BookMark_216"/>
      <w:bookmarkEnd w:id="862"/>
      <w:r>
        <w:rPr>
          <w:rFonts w:hint="eastAsia" w:ascii="宋体" w:hAnsi="宋体"/>
          <w:szCs w:val="21"/>
        </w:rPr>
        <w:t>17.6  最终结清</w:t>
      </w:r>
    </w:p>
    <w:p w14:paraId="3D73BD02">
      <w:pPr>
        <w:spacing w:line="360" w:lineRule="auto"/>
        <w:rPr>
          <w:rFonts w:hint="eastAsia" w:ascii="宋体" w:hAnsi="宋体"/>
          <w:szCs w:val="21"/>
        </w:rPr>
      </w:pPr>
      <w:r>
        <w:rPr>
          <w:rFonts w:hint="eastAsia" w:ascii="宋体" w:hAnsi="宋体"/>
          <w:szCs w:val="21"/>
        </w:rPr>
        <w:t>17.6.1  最终结清申请单</w:t>
      </w:r>
    </w:p>
    <w:p w14:paraId="1C26C048">
      <w:pPr>
        <w:spacing w:line="360" w:lineRule="auto"/>
        <w:rPr>
          <w:rFonts w:hint="eastAsia" w:ascii="宋体" w:hAnsi="宋体"/>
          <w:szCs w:val="21"/>
        </w:rPr>
      </w:pPr>
      <w:r>
        <w:rPr>
          <w:rFonts w:hint="eastAsia" w:ascii="宋体" w:hAnsi="宋体"/>
          <w:szCs w:val="21"/>
        </w:rPr>
        <w:t>（1）缺陷责任期终止证书签发后，承包人可按合同约定的份数和期限向监理人提交最终结清申请单，并提供相关证明材料。承包人提交最终结清申请单的份数和期限见合同条款专用部分。</w:t>
      </w:r>
    </w:p>
    <w:p w14:paraId="15AB59BC">
      <w:pPr>
        <w:spacing w:line="360" w:lineRule="auto"/>
        <w:rPr>
          <w:rFonts w:hint="eastAsia" w:ascii="宋体" w:hAnsi="宋体"/>
          <w:szCs w:val="21"/>
        </w:rPr>
      </w:pPr>
      <w:r>
        <w:rPr>
          <w:rFonts w:hint="eastAsia" w:ascii="宋体" w:hAnsi="宋体"/>
          <w:szCs w:val="21"/>
        </w:rPr>
        <w:t>发包人向承包人支付质量保证金利息的，承包人应按照约定的利息计算方法计算利息，并列入最终结清申请单中。是否支付质量保证金利息及利息计算方法见合同条款专用部分。</w:t>
      </w:r>
    </w:p>
    <w:p w14:paraId="699E3106">
      <w:pPr>
        <w:spacing w:line="360" w:lineRule="auto"/>
        <w:rPr>
          <w:rFonts w:hint="eastAsia" w:ascii="宋体" w:hAnsi="宋体"/>
          <w:szCs w:val="21"/>
        </w:rPr>
      </w:pPr>
      <w:r>
        <w:rPr>
          <w:rFonts w:hint="eastAsia" w:ascii="宋体" w:hAnsi="宋体"/>
          <w:szCs w:val="21"/>
        </w:rPr>
        <w:t>（2）发包人对最终结清申请单内容有异议的，有权要求承包人进行修正和提供补充资料，由承包人向监理人提交修正后的最终结清申请单。</w:t>
      </w:r>
    </w:p>
    <w:p w14:paraId="74CBA811">
      <w:pPr>
        <w:spacing w:line="360" w:lineRule="auto"/>
        <w:rPr>
          <w:rFonts w:hint="eastAsia" w:ascii="宋体" w:hAnsi="宋体"/>
          <w:szCs w:val="21"/>
        </w:rPr>
      </w:pPr>
      <w:r>
        <w:rPr>
          <w:rFonts w:hint="eastAsia" w:ascii="宋体" w:hAnsi="宋体"/>
          <w:szCs w:val="21"/>
        </w:rPr>
        <w:t>17.6.2  最终结清证书和支付时间</w:t>
      </w:r>
    </w:p>
    <w:p w14:paraId="43FB7BCD">
      <w:pPr>
        <w:spacing w:line="360" w:lineRule="auto"/>
        <w:rPr>
          <w:rFonts w:hint="eastAsia" w:ascii="宋体" w:hAnsi="宋体"/>
          <w:szCs w:val="21"/>
        </w:rPr>
      </w:pPr>
      <w:r>
        <w:rPr>
          <w:rFonts w:hint="eastAsia" w:ascii="宋体" w:hAnsi="宋体"/>
          <w:szCs w:val="21"/>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21C94968">
      <w:pPr>
        <w:spacing w:line="360" w:lineRule="auto"/>
        <w:rPr>
          <w:rFonts w:hint="eastAsia" w:ascii="宋体" w:hAnsi="宋体"/>
          <w:szCs w:val="21"/>
        </w:rPr>
      </w:pPr>
      <w:r>
        <w:rPr>
          <w:rFonts w:hint="eastAsia" w:ascii="宋体" w:hAnsi="宋体"/>
          <w:szCs w:val="21"/>
        </w:rPr>
        <w:t>（2）发包人应在监理人出具最终结清证书后的14天内，将应支付款支付给承包人。发包人不按期支付的，按第17.3.3（2）目的约定，将逾期付款违约金支付给承包人。</w:t>
      </w:r>
    </w:p>
    <w:p w14:paraId="4211DDC4">
      <w:pPr>
        <w:spacing w:line="360" w:lineRule="auto"/>
        <w:rPr>
          <w:rFonts w:hint="eastAsia" w:ascii="宋体" w:hAnsi="宋体"/>
          <w:szCs w:val="21"/>
        </w:rPr>
      </w:pPr>
      <w:r>
        <w:rPr>
          <w:rFonts w:hint="eastAsia" w:ascii="宋体" w:hAnsi="宋体"/>
          <w:szCs w:val="21"/>
        </w:rPr>
        <w:t>（3）承包人对发包人签认的最终结清证书有异议的，按第24条“争议的解决”的约定办理。</w:t>
      </w:r>
    </w:p>
    <w:p w14:paraId="427590E1">
      <w:pPr>
        <w:spacing w:line="360" w:lineRule="auto"/>
        <w:rPr>
          <w:rFonts w:hint="eastAsia" w:ascii="宋体" w:hAnsi="宋体"/>
          <w:szCs w:val="21"/>
        </w:rPr>
      </w:pPr>
      <w:r>
        <w:rPr>
          <w:rFonts w:hint="eastAsia" w:ascii="宋体" w:hAnsi="宋体"/>
          <w:szCs w:val="21"/>
        </w:rPr>
        <w:t>（4）最终结清付款涉及政府投资资金的，按第17.3.3（4）目的约定办理。</w:t>
      </w:r>
    </w:p>
    <w:p w14:paraId="3343D810">
      <w:pPr>
        <w:adjustRightInd w:val="0"/>
        <w:snapToGrid w:val="0"/>
        <w:spacing w:line="360" w:lineRule="auto"/>
        <w:outlineLvl w:val="2"/>
        <w:rPr>
          <w:rFonts w:hint="eastAsia" w:ascii="宋体" w:hAnsi="宋体"/>
          <w:sz w:val="28"/>
        </w:rPr>
      </w:pPr>
      <w:bookmarkStart w:id="863" w:name="_BookMark_217"/>
      <w:bookmarkEnd w:id="863"/>
      <w:bookmarkStart w:id="864" w:name="_Toc532542651"/>
      <w:bookmarkStart w:id="865" w:name="_Toc196225923"/>
      <w:bookmarkStart w:id="866" w:name="_Toc528247495"/>
      <w:bookmarkStart w:id="867" w:name="_Toc162620949"/>
      <w:r>
        <w:rPr>
          <w:rFonts w:hint="eastAsia" w:ascii="宋体" w:hAnsi="宋体"/>
          <w:sz w:val="28"/>
        </w:rPr>
        <w:t>18.竣工验收</w:t>
      </w:r>
      <w:bookmarkEnd w:id="864"/>
      <w:bookmarkEnd w:id="865"/>
      <w:bookmarkEnd w:id="866"/>
      <w:bookmarkEnd w:id="867"/>
    </w:p>
    <w:p w14:paraId="4CC4ACDD">
      <w:pPr>
        <w:spacing w:line="360" w:lineRule="auto"/>
        <w:ind w:firstLine="420" w:firstLineChars="200"/>
        <w:rPr>
          <w:rFonts w:hint="eastAsia" w:ascii="宋体" w:hAnsi="宋体"/>
          <w:szCs w:val="21"/>
        </w:rPr>
      </w:pPr>
      <w:bookmarkStart w:id="868" w:name="_BookMark_218"/>
      <w:bookmarkEnd w:id="868"/>
      <w:r>
        <w:rPr>
          <w:rFonts w:hint="eastAsia" w:ascii="宋体" w:hAnsi="宋体"/>
          <w:szCs w:val="21"/>
        </w:rPr>
        <w:t>18.1  竣工验收的含义</w:t>
      </w:r>
    </w:p>
    <w:p w14:paraId="302865F7">
      <w:pPr>
        <w:spacing w:line="360" w:lineRule="auto"/>
        <w:rPr>
          <w:rFonts w:hint="eastAsia" w:ascii="宋体" w:hAnsi="宋体"/>
          <w:szCs w:val="21"/>
        </w:rPr>
      </w:pPr>
      <w:r>
        <w:rPr>
          <w:rFonts w:hint="eastAsia" w:ascii="宋体" w:hAnsi="宋体"/>
          <w:szCs w:val="21"/>
        </w:rPr>
        <w:t>18.1.1  竣工验收指承包人完成了全部合同工作后，发包人按合同要求进行的验收。</w:t>
      </w:r>
    </w:p>
    <w:p w14:paraId="18DC79BE">
      <w:pPr>
        <w:spacing w:line="360" w:lineRule="auto"/>
        <w:rPr>
          <w:rFonts w:hint="eastAsia" w:ascii="宋体" w:hAnsi="宋体"/>
          <w:szCs w:val="21"/>
        </w:rPr>
      </w:pPr>
      <w:r>
        <w:rPr>
          <w:rFonts w:hint="eastAsia" w:ascii="宋体" w:hAnsi="宋体"/>
          <w:szCs w:val="21"/>
        </w:rPr>
        <w:t>18.1.2  国家验收是政府有关部门根据法律、规范、规程和政策要求，针对发包人全面组织实施的整个工程正式交付投运前的验收。</w:t>
      </w:r>
    </w:p>
    <w:p w14:paraId="5D372CA9">
      <w:pPr>
        <w:spacing w:line="360" w:lineRule="auto"/>
        <w:rPr>
          <w:rFonts w:hint="eastAsia" w:ascii="宋体" w:hAnsi="宋体"/>
          <w:szCs w:val="21"/>
        </w:rPr>
      </w:pPr>
      <w:r>
        <w:rPr>
          <w:rFonts w:hint="eastAsia" w:ascii="宋体" w:hAnsi="宋体"/>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28B949E7">
      <w:pPr>
        <w:spacing w:line="360" w:lineRule="auto"/>
        <w:rPr>
          <w:rFonts w:hint="eastAsia" w:ascii="宋体" w:hAnsi="宋体"/>
          <w:szCs w:val="21"/>
        </w:rPr>
      </w:pPr>
      <w:bookmarkStart w:id="869" w:name="_BookMark_219"/>
      <w:bookmarkEnd w:id="869"/>
      <w:r>
        <w:rPr>
          <w:rFonts w:hint="eastAsia" w:ascii="宋体" w:hAnsi="宋体"/>
          <w:szCs w:val="21"/>
        </w:rPr>
        <w:t>18.2  竣工验收申请报告</w:t>
      </w:r>
    </w:p>
    <w:p w14:paraId="6754FC15">
      <w:pPr>
        <w:spacing w:line="360" w:lineRule="auto"/>
        <w:rPr>
          <w:rFonts w:hint="eastAsia" w:ascii="宋体" w:hAnsi="宋体"/>
          <w:szCs w:val="21"/>
        </w:rPr>
      </w:pPr>
      <w:r>
        <w:rPr>
          <w:rFonts w:hint="eastAsia" w:ascii="宋体" w:hAnsi="宋体"/>
          <w:szCs w:val="21"/>
        </w:rPr>
        <w:t>当工程具备以下条件时，承包人即可向监理人报送竣工验收申请报告：</w:t>
      </w:r>
    </w:p>
    <w:p w14:paraId="42579150">
      <w:pPr>
        <w:spacing w:line="360" w:lineRule="auto"/>
        <w:rPr>
          <w:rFonts w:hint="eastAsia" w:ascii="宋体" w:hAnsi="宋体"/>
          <w:szCs w:val="21"/>
        </w:rPr>
      </w:pPr>
      <w:r>
        <w:rPr>
          <w:rFonts w:hint="eastAsia" w:ascii="宋体" w:hAnsi="宋体"/>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346E822E">
      <w:pPr>
        <w:spacing w:line="360" w:lineRule="auto"/>
        <w:rPr>
          <w:rFonts w:hint="eastAsia" w:ascii="宋体" w:hAnsi="宋体"/>
          <w:szCs w:val="21"/>
        </w:rPr>
      </w:pPr>
      <w:r>
        <w:rPr>
          <w:rFonts w:hint="eastAsia" w:ascii="宋体" w:hAnsi="宋体"/>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0E84E991">
      <w:pPr>
        <w:spacing w:line="360" w:lineRule="auto"/>
        <w:rPr>
          <w:rFonts w:hint="eastAsia" w:ascii="宋体" w:hAnsi="宋体"/>
          <w:szCs w:val="21"/>
        </w:rPr>
      </w:pPr>
      <w:r>
        <w:rPr>
          <w:rFonts w:hint="eastAsia" w:ascii="宋体" w:hAnsi="宋体"/>
          <w:szCs w:val="21"/>
        </w:rPr>
        <w:t>（3）已按监理人的要求编制了在缺陷责任期内需完成的尾工（甩项）工程，和缺陷修补工作清单等相应施工计划；</w:t>
      </w:r>
    </w:p>
    <w:p w14:paraId="1C0124C3">
      <w:pPr>
        <w:spacing w:line="360" w:lineRule="auto"/>
        <w:rPr>
          <w:rFonts w:hint="eastAsia" w:ascii="宋体" w:hAnsi="宋体"/>
          <w:szCs w:val="21"/>
        </w:rPr>
      </w:pPr>
      <w:r>
        <w:rPr>
          <w:rFonts w:hint="eastAsia" w:ascii="宋体" w:hAnsi="宋体"/>
          <w:szCs w:val="21"/>
        </w:rPr>
        <w:t>（4）监理人要求在竣工验收前应完成的其他工作；</w:t>
      </w:r>
    </w:p>
    <w:p w14:paraId="72EC1272">
      <w:pPr>
        <w:spacing w:line="360" w:lineRule="auto"/>
        <w:rPr>
          <w:rFonts w:hint="eastAsia" w:ascii="宋体" w:hAnsi="宋体"/>
          <w:szCs w:val="21"/>
        </w:rPr>
      </w:pPr>
      <w:r>
        <w:rPr>
          <w:rFonts w:hint="eastAsia" w:ascii="宋体" w:hAnsi="宋体"/>
          <w:szCs w:val="21"/>
        </w:rPr>
        <w:t>（5）监理人要求提交的竣工验收资料清单。</w:t>
      </w:r>
    </w:p>
    <w:p w14:paraId="658C95CC">
      <w:pPr>
        <w:spacing w:line="360" w:lineRule="auto"/>
        <w:ind w:firstLine="420" w:firstLineChars="200"/>
        <w:rPr>
          <w:rFonts w:hint="eastAsia" w:ascii="宋体" w:hAnsi="宋体"/>
          <w:szCs w:val="21"/>
        </w:rPr>
      </w:pPr>
      <w:bookmarkStart w:id="870" w:name="_BookMark_220"/>
      <w:bookmarkEnd w:id="870"/>
      <w:r>
        <w:rPr>
          <w:rFonts w:hint="eastAsia" w:ascii="宋体" w:hAnsi="宋体"/>
          <w:szCs w:val="21"/>
        </w:rPr>
        <w:t>18.3  验收</w:t>
      </w:r>
    </w:p>
    <w:p w14:paraId="5D5BB303">
      <w:pPr>
        <w:spacing w:line="360" w:lineRule="auto"/>
        <w:rPr>
          <w:rFonts w:hint="eastAsia" w:ascii="宋体" w:hAnsi="宋体"/>
          <w:szCs w:val="21"/>
        </w:rPr>
      </w:pPr>
      <w:r>
        <w:rPr>
          <w:rFonts w:hint="eastAsia" w:ascii="宋体" w:hAnsi="宋体"/>
          <w:szCs w:val="21"/>
        </w:rPr>
        <w:t>监理人收到承包人按第18.2款约定提交的竣工验收申请报告后，应审查申请报告的各项内容，并按以下不同情况进行处理。</w:t>
      </w:r>
    </w:p>
    <w:p w14:paraId="21EF5641">
      <w:pPr>
        <w:spacing w:line="360" w:lineRule="auto"/>
        <w:rPr>
          <w:rFonts w:hint="eastAsia" w:ascii="宋体" w:hAnsi="宋体"/>
          <w:szCs w:val="21"/>
        </w:rPr>
      </w:pPr>
      <w:r>
        <w:rPr>
          <w:rFonts w:hint="eastAsia" w:ascii="宋体" w:hAnsi="宋体"/>
          <w:szCs w:val="21"/>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75CCBF1F">
      <w:pPr>
        <w:spacing w:line="360" w:lineRule="auto"/>
        <w:rPr>
          <w:rFonts w:hint="eastAsia" w:ascii="宋体" w:hAnsi="宋体"/>
          <w:szCs w:val="21"/>
        </w:rPr>
      </w:pPr>
      <w:r>
        <w:rPr>
          <w:rFonts w:hint="eastAsia" w:ascii="宋体" w:hAnsi="宋体"/>
          <w:szCs w:val="21"/>
        </w:rPr>
        <w:t>18.3.2  监理人审查后认为已具备竣工验收条件的，应在收到竣工验收申请报告后的28天内提请发包人进行工程验收。</w:t>
      </w:r>
    </w:p>
    <w:p w14:paraId="4ACCFB5A">
      <w:pPr>
        <w:spacing w:line="360" w:lineRule="auto"/>
        <w:rPr>
          <w:rFonts w:hint="eastAsia" w:ascii="宋体" w:hAnsi="宋体"/>
          <w:szCs w:val="21"/>
        </w:rPr>
      </w:pPr>
      <w:r>
        <w:rPr>
          <w:rFonts w:hint="eastAsia" w:ascii="宋体" w:hAnsi="宋体"/>
          <w:szCs w:val="21"/>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4D38589">
      <w:pPr>
        <w:spacing w:line="360" w:lineRule="auto"/>
        <w:rPr>
          <w:rFonts w:hint="eastAsia" w:ascii="宋体" w:hAnsi="宋体"/>
          <w:szCs w:val="21"/>
        </w:rPr>
      </w:pPr>
      <w:r>
        <w:rPr>
          <w:rFonts w:hint="eastAsia" w:ascii="宋体" w:hAnsi="宋体"/>
          <w:szCs w:val="21"/>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31B6AA71">
      <w:pPr>
        <w:spacing w:line="360" w:lineRule="auto"/>
        <w:rPr>
          <w:rFonts w:hint="eastAsia" w:ascii="宋体" w:hAnsi="宋体"/>
          <w:szCs w:val="21"/>
        </w:rPr>
      </w:pPr>
      <w:r>
        <w:rPr>
          <w:rFonts w:hint="eastAsia" w:ascii="宋体" w:hAnsi="宋体"/>
          <w:szCs w:val="21"/>
        </w:rPr>
        <w:t>18.3.5  经验收合格的工程, 实际竣工日期为承包人按照第18.2款提交竣工验收申请报告或按照本款重新提交竣工验收申请报告的日期（以两者中时间在后者为准）。</w:t>
      </w:r>
    </w:p>
    <w:p w14:paraId="47B58A71">
      <w:pPr>
        <w:spacing w:line="360" w:lineRule="auto"/>
        <w:rPr>
          <w:rFonts w:hint="eastAsia" w:ascii="宋体" w:hAnsi="宋体"/>
          <w:szCs w:val="21"/>
        </w:rPr>
      </w:pPr>
      <w:r>
        <w:rPr>
          <w:rFonts w:hint="eastAsia" w:ascii="宋体" w:hAnsi="宋体"/>
          <w:szCs w:val="21"/>
        </w:rPr>
        <w:t>18.3.6  发包人在收到承包人竣工验收申请报告56天后未进行验收的，视为验收合格，实际竣工日期以提交竣工验收申请报告的日期为准，但发包人由于不可抗力不能进行验收的除外。</w:t>
      </w:r>
    </w:p>
    <w:p w14:paraId="1A8CDF47">
      <w:pPr>
        <w:spacing w:line="360" w:lineRule="auto"/>
        <w:rPr>
          <w:rFonts w:hint="eastAsia" w:ascii="宋体" w:hAnsi="宋体"/>
          <w:szCs w:val="21"/>
        </w:rPr>
      </w:pPr>
      <w:bookmarkStart w:id="871" w:name="_BookMark_221"/>
      <w:bookmarkEnd w:id="871"/>
      <w:r>
        <w:rPr>
          <w:rFonts w:hint="eastAsia" w:ascii="宋体" w:hAnsi="宋体"/>
          <w:szCs w:val="21"/>
        </w:rPr>
        <w:t>18.4  单位工程验收</w:t>
      </w:r>
    </w:p>
    <w:p w14:paraId="295E728C">
      <w:pPr>
        <w:spacing w:line="360" w:lineRule="auto"/>
        <w:rPr>
          <w:rFonts w:hint="eastAsia" w:ascii="宋体" w:hAnsi="宋体"/>
          <w:szCs w:val="21"/>
        </w:rPr>
      </w:pPr>
      <w:r>
        <w:rPr>
          <w:rFonts w:hint="eastAsia" w:ascii="宋体" w:hAnsi="宋体"/>
          <w:szCs w:val="21"/>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275D30D7">
      <w:pPr>
        <w:spacing w:line="360" w:lineRule="auto"/>
        <w:rPr>
          <w:rFonts w:hint="eastAsia" w:ascii="宋体" w:hAnsi="宋体"/>
          <w:szCs w:val="21"/>
        </w:rPr>
      </w:pPr>
      <w:r>
        <w:rPr>
          <w:rFonts w:hint="eastAsia" w:ascii="宋体" w:hAnsi="宋体"/>
          <w:szCs w:val="21"/>
        </w:rPr>
        <w:t>18.4.2  发包人在全部工程竣工前，使用已接收的单位工程导致承包人费用增加的，发包人应承担由此增加的费用和（或）工期延误，并支付承包人合理利润。</w:t>
      </w:r>
    </w:p>
    <w:p w14:paraId="3D2762A0">
      <w:pPr>
        <w:spacing w:line="360" w:lineRule="auto"/>
        <w:rPr>
          <w:rFonts w:hint="eastAsia" w:ascii="宋体" w:hAnsi="宋体"/>
          <w:szCs w:val="21"/>
        </w:rPr>
      </w:pPr>
      <w:bookmarkStart w:id="872" w:name="_BookMark_222"/>
      <w:bookmarkEnd w:id="872"/>
      <w:r>
        <w:rPr>
          <w:rFonts w:hint="eastAsia" w:ascii="宋体" w:hAnsi="宋体"/>
          <w:szCs w:val="21"/>
        </w:rPr>
        <w:t>18.5  施工期运行</w:t>
      </w:r>
    </w:p>
    <w:p w14:paraId="2AFF68A5">
      <w:pPr>
        <w:spacing w:line="360" w:lineRule="auto"/>
        <w:rPr>
          <w:rFonts w:hint="eastAsia" w:ascii="宋体" w:hAnsi="宋体"/>
          <w:szCs w:val="21"/>
        </w:rPr>
      </w:pPr>
      <w:r>
        <w:rPr>
          <w:rFonts w:hint="eastAsia" w:ascii="宋体" w:hAnsi="宋体"/>
          <w:szCs w:val="21"/>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235E5796">
      <w:pPr>
        <w:spacing w:line="360" w:lineRule="auto"/>
        <w:rPr>
          <w:rFonts w:hint="eastAsia" w:ascii="宋体" w:hAnsi="宋体"/>
          <w:szCs w:val="21"/>
        </w:rPr>
      </w:pPr>
      <w:r>
        <w:rPr>
          <w:rFonts w:hint="eastAsia" w:ascii="宋体" w:hAnsi="宋体"/>
          <w:szCs w:val="21"/>
        </w:rPr>
        <w:t>18.5.2  在施工期运行中发现工程或工程设备损坏或存在缺陷的，由承包人按第19.2款约定进行修复。</w:t>
      </w:r>
    </w:p>
    <w:p w14:paraId="7552E091">
      <w:pPr>
        <w:spacing w:line="360" w:lineRule="auto"/>
        <w:rPr>
          <w:rFonts w:hint="eastAsia" w:ascii="宋体" w:hAnsi="宋体"/>
          <w:szCs w:val="21"/>
        </w:rPr>
      </w:pPr>
      <w:bookmarkStart w:id="873" w:name="_BookMark_223"/>
      <w:bookmarkEnd w:id="873"/>
      <w:r>
        <w:rPr>
          <w:rFonts w:hint="eastAsia" w:ascii="宋体" w:hAnsi="宋体"/>
          <w:szCs w:val="21"/>
        </w:rPr>
        <w:t>18.6  试运行</w:t>
      </w:r>
    </w:p>
    <w:p w14:paraId="077E1B08">
      <w:pPr>
        <w:spacing w:line="360" w:lineRule="auto"/>
        <w:rPr>
          <w:rFonts w:hint="eastAsia" w:ascii="宋体" w:hAnsi="宋体"/>
          <w:szCs w:val="21"/>
        </w:rPr>
      </w:pPr>
      <w:r>
        <w:rPr>
          <w:rFonts w:hint="eastAsia" w:ascii="宋体" w:hAnsi="宋体"/>
          <w:szCs w:val="21"/>
        </w:rPr>
        <w:t>18.6.1  工程及工程设备试运行的组织与费用承担</w:t>
      </w:r>
    </w:p>
    <w:p w14:paraId="0BDFBB3B">
      <w:pPr>
        <w:spacing w:line="360" w:lineRule="auto"/>
        <w:rPr>
          <w:rFonts w:hint="eastAsia" w:ascii="宋体" w:hAnsi="宋体"/>
          <w:szCs w:val="21"/>
        </w:rPr>
      </w:pPr>
      <w:r>
        <w:rPr>
          <w:rFonts w:hint="eastAsia" w:ascii="宋体" w:hAnsi="宋体"/>
          <w:szCs w:val="21"/>
        </w:rPr>
        <w:t>（1）工程设备安装具备单机无负荷试运行条件，由承包人组织试运行，费用由承包人承担。</w:t>
      </w:r>
    </w:p>
    <w:p w14:paraId="211E7830">
      <w:pPr>
        <w:spacing w:line="360" w:lineRule="auto"/>
        <w:rPr>
          <w:rFonts w:hint="eastAsia" w:ascii="宋体" w:hAnsi="宋体"/>
          <w:szCs w:val="21"/>
        </w:rPr>
      </w:pPr>
      <w:r>
        <w:rPr>
          <w:rFonts w:hint="eastAsia" w:ascii="宋体" w:hAnsi="宋体"/>
          <w:szCs w:val="21"/>
        </w:rPr>
        <w:t>（2）工程设备安装具备无负荷联动试运行条件，由发包人组织试运行，费用由发包人承担。</w:t>
      </w:r>
    </w:p>
    <w:p w14:paraId="28F5944B">
      <w:pPr>
        <w:spacing w:line="360" w:lineRule="auto"/>
        <w:rPr>
          <w:rFonts w:hint="eastAsia" w:ascii="宋体" w:hAnsi="宋体"/>
          <w:szCs w:val="21"/>
        </w:rPr>
      </w:pPr>
      <w:r>
        <w:rPr>
          <w:rFonts w:hint="eastAsia" w:ascii="宋体" w:hAnsi="宋体"/>
          <w:szCs w:val="21"/>
        </w:rPr>
        <w:t>（3）投料试运行应在工程竣工验收后由发包人负责，如发包人要求在工程竣工验收前进行或需要承包人配合时，应征得承包人同意，另行签订补充协议。</w:t>
      </w:r>
    </w:p>
    <w:p w14:paraId="7046C654">
      <w:pPr>
        <w:spacing w:line="360" w:lineRule="auto"/>
        <w:rPr>
          <w:rFonts w:hint="eastAsia" w:ascii="宋体" w:hAnsi="宋体"/>
          <w:szCs w:val="21"/>
        </w:rPr>
      </w:pPr>
      <w:r>
        <w:rPr>
          <w:rFonts w:hint="eastAsia" w:ascii="宋体" w:hAnsi="宋体"/>
          <w:szCs w:val="21"/>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6633707C">
      <w:pPr>
        <w:spacing w:line="360" w:lineRule="auto"/>
        <w:rPr>
          <w:rFonts w:hint="eastAsia" w:ascii="宋体" w:hAnsi="宋体"/>
          <w:szCs w:val="21"/>
        </w:rPr>
      </w:pPr>
      <w:bookmarkStart w:id="874" w:name="_BookMark_224"/>
      <w:bookmarkEnd w:id="874"/>
      <w:r>
        <w:rPr>
          <w:rFonts w:hint="eastAsia" w:ascii="宋体" w:hAnsi="宋体"/>
          <w:szCs w:val="21"/>
        </w:rPr>
        <w:t>18.7  竣工清场</w:t>
      </w:r>
    </w:p>
    <w:p w14:paraId="5E6F3B82">
      <w:pPr>
        <w:spacing w:line="360" w:lineRule="auto"/>
        <w:rPr>
          <w:rFonts w:hint="eastAsia" w:ascii="宋体" w:hAnsi="宋体"/>
          <w:szCs w:val="21"/>
        </w:rPr>
      </w:pPr>
      <w:r>
        <w:rPr>
          <w:rFonts w:hint="eastAsia" w:ascii="宋体" w:hAnsi="宋体"/>
          <w:szCs w:val="21"/>
        </w:rPr>
        <w:t>18.7.1  监理人颁发（出具）工程接收证书后，承包人负责按照以下要求对施工场地进行清理，直至监理人检验合格为止。竣工清场费用由承包人承担。</w:t>
      </w:r>
    </w:p>
    <w:p w14:paraId="6C4ACABB">
      <w:pPr>
        <w:spacing w:line="360" w:lineRule="auto"/>
        <w:rPr>
          <w:rFonts w:hint="eastAsia" w:ascii="宋体" w:hAnsi="宋体"/>
          <w:szCs w:val="21"/>
        </w:rPr>
      </w:pPr>
      <w:r>
        <w:rPr>
          <w:rFonts w:hint="eastAsia" w:ascii="宋体" w:hAnsi="宋体"/>
          <w:szCs w:val="21"/>
        </w:rPr>
        <w:t>（1）施工场地内残留的垃圾已全部清除出场；</w:t>
      </w:r>
    </w:p>
    <w:p w14:paraId="0C506657">
      <w:pPr>
        <w:spacing w:line="360" w:lineRule="auto"/>
        <w:rPr>
          <w:rFonts w:hint="eastAsia" w:ascii="宋体" w:hAnsi="宋体"/>
          <w:szCs w:val="21"/>
        </w:rPr>
      </w:pPr>
      <w:r>
        <w:rPr>
          <w:rFonts w:hint="eastAsia" w:ascii="宋体" w:hAnsi="宋体"/>
          <w:szCs w:val="21"/>
        </w:rPr>
        <w:t>（2）临时工程已拆除，场地已按合同要求进行清理、平整或复原；</w:t>
      </w:r>
    </w:p>
    <w:p w14:paraId="0372DB92">
      <w:pPr>
        <w:spacing w:line="360" w:lineRule="auto"/>
        <w:rPr>
          <w:rFonts w:hint="eastAsia" w:ascii="宋体" w:hAnsi="宋体"/>
          <w:szCs w:val="21"/>
        </w:rPr>
      </w:pPr>
      <w:r>
        <w:rPr>
          <w:rFonts w:hint="eastAsia" w:ascii="宋体" w:hAnsi="宋体"/>
          <w:szCs w:val="21"/>
        </w:rPr>
        <w:t>（3）按合同约定应撤离的承包人设备和剩余的材料，包括废弃的施工设备和材料，已按计划撤离施工场地；</w:t>
      </w:r>
    </w:p>
    <w:p w14:paraId="685E19D9">
      <w:pPr>
        <w:spacing w:line="360" w:lineRule="auto"/>
        <w:rPr>
          <w:rFonts w:hint="eastAsia" w:ascii="宋体" w:hAnsi="宋体"/>
          <w:szCs w:val="21"/>
        </w:rPr>
      </w:pPr>
      <w:r>
        <w:rPr>
          <w:rFonts w:hint="eastAsia" w:ascii="宋体" w:hAnsi="宋体"/>
          <w:szCs w:val="21"/>
        </w:rPr>
        <w:t>（4）工程建筑物周边及其附近道路、河道的施工堆积物，已按监理人指示全部清理；</w:t>
      </w:r>
    </w:p>
    <w:p w14:paraId="7D12814E">
      <w:pPr>
        <w:spacing w:line="360" w:lineRule="auto"/>
        <w:rPr>
          <w:rFonts w:hint="eastAsia" w:ascii="宋体" w:hAnsi="宋体"/>
          <w:szCs w:val="21"/>
        </w:rPr>
      </w:pPr>
      <w:r>
        <w:rPr>
          <w:rFonts w:hint="eastAsia" w:ascii="宋体" w:hAnsi="宋体"/>
          <w:szCs w:val="21"/>
        </w:rPr>
        <w:t>（5）监理人指示的其他场地清理工作已全部完成。</w:t>
      </w:r>
    </w:p>
    <w:p w14:paraId="49F7879E">
      <w:pPr>
        <w:spacing w:line="360" w:lineRule="auto"/>
        <w:rPr>
          <w:rFonts w:hint="eastAsia" w:ascii="宋体" w:hAnsi="宋体"/>
          <w:szCs w:val="21"/>
        </w:rPr>
      </w:pPr>
      <w:r>
        <w:rPr>
          <w:rFonts w:hint="eastAsia" w:ascii="宋体" w:hAnsi="宋体"/>
          <w:szCs w:val="21"/>
        </w:rPr>
        <w:t>18.7.2  承包人未按监理人的要求恢复临时占地，或者场地清理未达到合同约定的，发包人有权委托其他人恢复或清理，所发生的金额从拟支付给承包人的款项中扣除。</w:t>
      </w:r>
    </w:p>
    <w:p w14:paraId="381AA306">
      <w:pPr>
        <w:spacing w:line="360" w:lineRule="auto"/>
        <w:rPr>
          <w:rFonts w:hint="eastAsia" w:ascii="宋体" w:hAnsi="宋体"/>
          <w:szCs w:val="21"/>
        </w:rPr>
      </w:pPr>
      <w:bookmarkStart w:id="875" w:name="_BookMark_225"/>
      <w:bookmarkEnd w:id="875"/>
      <w:r>
        <w:rPr>
          <w:rFonts w:hint="eastAsia" w:ascii="宋体" w:hAnsi="宋体"/>
          <w:szCs w:val="21"/>
        </w:rPr>
        <w:t>18.8  施工队伍的撤离</w:t>
      </w:r>
    </w:p>
    <w:p w14:paraId="70ECE2DC">
      <w:pPr>
        <w:spacing w:line="360" w:lineRule="auto"/>
        <w:rPr>
          <w:rFonts w:hint="eastAsia" w:ascii="宋体" w:hAnsi="宋体"/>
          <w:szCs w:val="21"/>
        </w:rPr>
      </w:pPr>
      <w:r>
        <w:rPr>
          <w:rFonts w:hint="eastAsia" w:ascii="宋体" w:hAnsi="宋体"/>
          <w:szCs w:val="21"/>
        </w:rPr>
        <w:t>18.8.1  工程接收证书颁发后的56天内，除了经监理人同意需在缺陷责任期内继续工作和使用的人员、施工设备和临时工程外，其余的人员、施工设备和临时工程均应撤离施工场地或拆除。</w:t>
      </w:r>
    </w:p>
    <w:p w14:paraId="4AC80F47">
      <w:pPr>
        <w:spacing w:line="360" w:lineRule="auto"/>
        <w:rPr>
          <w:rFonts w:hint="eastAsia" w:ascii="宋体" w:hAnsi="宋体"/>
          <w:szCs w:val="21"/>
        </w:rPr>
      </w:pPr>
      <w:r>
        <w:rPr>
          <w:rFonts w:hint="eastAsia" w:ascii="宋体" w:hAnsi="宋体"/>
          <w:szCs w:val="21"/>
        </w:rPr>
        <w:t>18.8.2  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77FEEC48">
      <w:pPr>
        <w:spacing w:line="360" w:lineRule="auto"/>
        <w:rPr>
          <w:rFonts w:hint="eastAsia" w:ascii="宋体" w:hAnsi="宋体"/>
          <w:szCs w:val="21"/>
        </w:rPr>
      </w:pPr>
      <w:r>
        <w:rPr>
          <w:rFonts w:hint="eastAsia" w:ascii="宋体" w:hAnsi="宋体"/>
          <w:szCs w:val="21"/>
        </w:rPr>
        <w:t>18.8.3  缺陷责任期满时，承包人的人员和施工设备应在合同约定期限内全部撤离施工场地。撤离施工场地的期限要求见合同条款专用部分。</w:t>
      </w:r>
    </w:p>
    <w:p w14:paraId="09BB9007">
      <w:pPr>
        <w:spacing w:line="360" w:lineRule="auto"/>
        <w:rPr>
          <w:rFonts w:hint="eastAsia" w:ascii="宋体" w:hAnsi="宋体"/>
          <w:szCs w:val="21"/>
        </w:rPr>
      </w:pPr>
      <w:bookmarkStart w:id="876" w:name="_BookMark_226"/>
      <w:bookmarkEnd w:id="876"/>
      <w:r>
        <w:rPr>
          <w:rFonts w:hint="eastAsia" w:ascii="宋体" w:hAnsi="宋体"/>
          <w:szCs w:val="21"/>
        </w:rPr>
        <w:t>18.9  中间验收</w:t>
      </w:r>
    </w:p>
    <w:p w14:paraId="7B911868">
      <w:pPr>
        <w:spacing w:line="360" w:lineRule="auto"/>
        <w:rPr>
          <w:rFonts w:hint="eastAsia" w:ascii="宋体" w:hAnsi="宋体"/>
          <w:szCs w:val="21"/>
        </w:rPr>
      </w:pPr>
      <w:r>
        <w:rPr>
          <w:rFonts w:hint="eastAsia" w:ascii="宋体" w:hAnsi="宋体"/>
          <w:szCs w:val="21"/>
        </w:rPr>
        <w:t>18.9.1  本工程需要按照合同约定进行中间验收。进行中间验收的部位见合同条款专用部分。</w:t>
      </w:r>
    </w:p>
    <w:p w14:paraId="08625302">
      <w:pPr>
        <w:spacing w:line="360" w:lineRule="auto"/>
        <w:rPr>
          <w:rFonts w:hint="eastAsia" w:ascii="宋体" w:hAnsi="宋体"/>
          <w:szCs w:val="21"/>
        </w:rPr>
      </w:pPr>
      <w:r>
        <w:rPr>
          <w:rFonts w:hint="eastAsia" w:ascii="宋体" w:hAnsi="宋体"/>
          <w:szCs w:val="21"/>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3F1725B4">
      <w:pPr>
        <w:spacing w:line="360" w:lineRule="auto"/>
        <w:rPr>
          <w:rFonts w:hint="eastAsia" w:ascii="宋体" w:hAnsi="宋体"/>
          <w:szCs w:val="21"/>
        </w:rPr>
      </w:pPr>
      <w:r>
        <w:rPr>
          <w:rFonts w:hint="eastAsia" w:ascii="宋体" w:hAnsi="宋体"/>
          <w:szCs w:val="21"/>
        </w:rPr>
        <w:t>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760E4A25">
      <w:pPr>
        <w:spacing w:line="360" w:lineRule="auto"/>
        <w:rPr>
          <w:rFonts w:hint="eastAsia" w:ascii="宋体" w:hAnsi="宋体"/>
          <w:szCs w:val="21"/>
        </w:rPr>
      </w:pPr>
      <w:r>
        <w:rPr>
          <w:rFonts w:hint="eastAsia" w:ascii="宋体" w:hAnsi="宋体"/>
          <w:szCs w:val="21"/>
        </w:rPr>
        <w:t>经监理人验收后工程质量符合约定的验收标准，但验收24小时后监理人仍不在验收记录上签字的，视为监理人已经认可验收记录，承包人可继续施工。</w:t>
      </w:r>
    </w:p>
    <w:p w14:paraId="1D3F72E4">
      <w:pPr>
        <w:adjustRightInd w:val="0"/>
        <w:snapToGrid w:val="0"/>
        <w:spacing w:line="360" w:lineRule="auto"/>
        <w:outlineLvl w:val="2"/>
        <w:rPr>
          <w:rFonts w:hint="eastAsia" w:ascii="宋体" w:hAnsi="宋体"/>
          <w:sz w:val="28"/>
        </w:rPr>
      </w:pPr>
      <w:bookmarkStart w:id="877" w:name="_BookMark_227"/>
      <w:bookmarkEnd w:id="877"/>
      <w:bookmarkStart w:id="878" w:name="_Toc528247496"/>
      <w:bookmarkStart w:id="879" w:name="_Toc196225924"/>
      <w:bookmarkStart w:id="880" w:name="_Toc162620950"/>
      <w:bookmarkStart w:id="881" w:name="_Toc532542652"/>
      <w:r>
        <w:rPr>
          <w:rFonts w:hint="eastAsia" w:ascii="宋体" w:hAnsi="宋体"/>
          <w:sz w:val="28"/>
        </w:rPr>
        <w:t>19.缺陷责任与保修责任</w:t>
      </w:r>
      <w:bookmarkEnd w:id="878"/>
      <w:bookmarkEnd w:id="879"/>
      <w:bookmarkEnd w:id="880"/>
      <w:bookmarkEnd w:id="881"/>
    </w:p>
    <w:p w14:paraId="26275BA3">
      <w:pPr>
        <w:spacing w:line="360" w:lineRule="auto"/>
        <w:rPr>
          <w:rFonts w:hint="eastAsia" w:ascii="宋体" w:hAnsi="宋体"/>
          <w:szCs w:val="21"/>
        </w:rPr>
      </w:pPr>
      <w:bookmarkStart w:id="882" w:name="_BookMark_228"/>
      <w:bookmarkEnd w:id="882"/>
      <w:r>
        <w:rPr>
          <w:rFonts w:hint="eastAsia" w:ascii="宋体" w:hAnsi="宋体"/>
          <w:szCs w:val="21"/>
        </w:rPr>
        <w:t>19.1  缺陷责任期的起算时间</w:t>
      </w:r>
    </w:p>
    <w:p w14:paraId="4EF348A4">
      <w:pPr>
        <w:spacing w:line="360" w:lineRule="auto"/>
        <w:rPr>
          <w:rFonts w:hint="eastAsia" w:ascii="宋体" w:hAnsi="宋体"/>
          <w:szCs w:val="21"/>
        </w:rPr>
      </w:pPr>
      <w:r>
        <w:rPr>
          <w:rFonts w:hint="eastAsia" w:ascii="宋体" w:hAnsi="宋体"/>
          <w:szCs w:val="21"/>
        </w:rPr>
        <w:t>缺陷责任期自实际竣工日期起计算。在全部工程竣工验收前，已经发包人提前验收的单位工程，其缺陷责任期的起算日期相应提前。</w:t>
      </w:r>
    </w:p>
    <w:p w14:paraId="66369FE8">
      <w:pPr>
        <w:spacing w:line="360" w:lineRule="auto"/>
        <w:rPr>
          <w:rFonts w:hint="eastAsia" w:ascii="宋体" w:hAnsi="宋体"/>
          <w:szCs w:val="21"/>
        </w:rPr>
      </w:pPr>
      <w:bookmarkStart w:id="883" w:name="_BookMark_229"/>
      <w:bookmarkEnd w:id="883"/>
      <w:r>
        <w:rPr>
          <w:rFonts w:hint="eastAsia" w:ascii="宋体" w:hAnsi="宋体"/>
          <w:szCs w:val="21"/>
        </w:rPr>
        <w:t>19.2  缺陷责任</w:t>
      </w:r>
    </w:p>
    <w:p w14:paraId="58A16970">
      <w:pPr>
        <w:spacing w:line="360" w:lineRule="auto"/>
        <w:rPr>
          <w:rFonts w:hint="eastAsia" w:ascii="宋体" w:hAnsi="宋体"/>
          <w:szCs w:val="21"/>
        </w:rPr>
      </w:pPr>
      <w:r>
        <w:rPr>
          <w:rFonts w:hint="eastAsia" w:ascii="宋体" w:hAnsi="宋体"/>
          <w:szCs w:val="21"/>
        </w:rPr>
        <w:t>19.2.1  承包人应在缺陷责任期内对已交付使用的工程承担缺陷责任。</w:t>
      </w:r>
    </w:p>
    <w:p w14:paraId="4356C594">
      <w:pPr>
        <w:spacing w:line="360" w:lineRule="auto"/>
        <w:rPr>
          <w:rFonts w:hint="eastAsia" w:ascii="宋体" w:hAnsi="宋体"/>
          <w:szCs w:val="21"/>
        </w:rPr>
      </w:pPr>
      <w:r>
        <w:rPr>
          <w:rFonts w:hint="eastAsia" w:ascii="宋体" w:hAnsi="宋体"/>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72E69B13">
      <w:pPr>
        <w:spacing w:line="360" w:lineRule="auto"/>
        <w:rPr>
          <w:rFonts w:hint="eastAsia" w:ascii="宋体" w:hAnsi="宋体"/>
          <w:szCs w:val="21"/>
        </w:rPr>
      </w:pPr>
      <w:r>
        <w:rPr>
          <w:rFonts w:hint="eastAsia" w:ascii="宋体" w:hAnsi="宋体"/>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13D81FB7">
      <w:pPr>
        <w:spacing w:line="360" w:lineRule="auto"/>
        <w:rPr>
          <w:rFonts w:hint="eastAsia" w:ascii="宋体" w:hAnsi="宋体"/>
          <w:szCs w:val="21"/>
        </w:rPr>
      </w:pPr>
      <w:r>
        <w:rPr>
          <w:rFonts w:hint="eastAsia" w:ascii="宋体" w:hAnsi="宋体"/>
          <w:szCs w:val="21"/>
        </w:rPr>
        <w:t>19.2.4  承包人不能在合理时间内修复缺陷的，发包人可自行修复或委托其他人修复，所需费用和利润的承担，按第19.2.3项约定办理。</w:t>
      </w:r>
    </w:p>
    <w:p w14:paraId="6545740A">
      <w:pPr>
        <w:spacing w:line="360" w:lineRule="auto"/>
        <w:rPr>
          <w:rFonts w:hint="eastAsia" w:ascii="宋体" w:hAnsi="宋体"/>
          <w:szCs w:val="21"/>
        </w:rPr>
      </w:pPr>
      <w:bookmarkStart w:id="884" w:name="_BookMark_230"/>
      <w:bookmarkEnd w:id="884"/>
      <w:r>
        <w:rPr>
          <w:rFonts w:hint="eastAsia" w:ascii="宋体" w:hAnsi="宋体"/>
          <w:szCs w:val="21"/>
        </w:rPr>
        <w:t>19.3  缺陷责任期的延长</w:t>
      </w:r>
    </w:p>
    <w:p w14:paraId="34818531">
      <w:pPr>
        <w:spacing w:line="360" w:lineRule="auto"/>
        <w:rPr>
          <w:rFonts w:hint="eastAsia" w:ascii="宋体" w:hAnsi="宋体"/>
          <w:szCs w:val="21"/>
        </w:rPr>
      </w:pPr>
      <w:r>
        <w:rPr>
          <w:rFonts w:hint="eastAsia" w:ascii="宋体" w:hAnsi="宋体"/>
          <w:szCs w:val="21"/>
        </w:rPr>
        <w:t>由于承包人原因造成某项缺陷或损坏，使某项工程或工程设备不能按原定目标使用，需要再次检查、检验和修复的，发包人有权要求承包人相应延长缺陷责任期，但缺陷责任期最长不超过2年。</w:t>
      </w:r>
    </w:p>
    <w:p w14:paraId="67DF6F4E">
      <w:pPr>
        <w:spacing w:line="360" w:lineRule="auto"/>
        <w:rPr>
          <w:rFonts w:hint="eastAsia" w:ascii="宋体" w:hAnsi="宋体"/>
          <w:szCs w:val="21"/>
        </w:rPr>
      </w:pPr>
      <w:bookmarkStart w:id="885" w:name="_BookMark_231"/>
      <w:bookmarkEnd w:id="885"/>
      <w:r>
        <w:rPr>
          <w:rFonts w:hint="eastAsia" w:ascii="宋体" w:hAnsi="宋体"/>
          <w:szCs w:val="21"/>
        </w:rPr>
        <w:t>19.4  进一步试验和试运行</w:t>
      </w:r>
    </w:p>
    <w:p w14:paraId="01BE009F">
      <w:pPr>
        <w:spacing w:line="360" w:lineRule="auto"/>
        <w:rPr>
          <w:rFonts w:hint="eastAsia" w:ascii="宋体" w:hAnsi="宋体"/>
          <w:szCs w:val="21"/>
        </w:rPr>
      </w:pPr>
      <w:r>
        <w:rPr>
          <w:rFonts w:hint="eastAsia" w:ascii="宋体" w:hAnsi="宋体"/>
          <w:szCs w:val="21"/>
        </w:rPr>
        <w:t>任何一项缺陷或损坏修复后，经检查证明其影响了工程或工程设备的使用性能，承包人应重新进行合同约定的试验和试运行，试验和试运行的全部费用应由责任方承担。</w:t>
      </w:r>
    </w:p>
    <w:p w14:paraId="712A7BD8">
      <w:pPr>
        <w:spacing w:line="360" w:lineRule="auto"/>
        <w:rPr>
          <w:rFonts w:hint="eastAsia" w:ascii="宋体" w:hAnsi="宋体"/>
          <w:szCs w:val="21"/>
        </w:rPr>
      </w:pPr>
      <w:bookmarkStart w:id="886" w:name="_BookMark_232"/>
      <w:bookmarkEnd w:id="886"/>
      <w:r>
        <w:rPr>
          <w:rFonts w:hint="eastAsia" w:ascii="宋体" w:hAnsi="宋体"/>
          <w:szCs w:val="21"/>
        </w:rPr>
        <w:t>19.5  承包人的进入权</w:t>
      </w:r>
    </w:p>
    <w:p w14:paraId="05DE147F">
      <w:pPr>
        <w:spacing w:line="360" w:lineRule="auto"/>
        <w:rPr>
          <w:rFonts w:hint="eastAsia" w:ascii="宋体" w:hAnsi="宋体"/>
          <w:szCs w:val="21"/>
        </w:rPr>
      </w:pPr>
      <w:r>
        <w:rPr>
          <w:rFonts w:hint="eastAsia" w:ascii="宋体" w:hAnsi="宋体"/>
          <w:szCs w:val="21"/>
        </w:rPr>
        <w:t>缺陷责任期内承包人为缺陷修复工作需要，有权进入工程现场，但应遵守发包人的保安和保密规定。</w:t>
      </w:r>
    </w:p>
    <w:p w14:paraId="33C4FC77">
      <w:pPr>
        <w:spacing w:line="360" w:lineRule="auto"/>
        <w:rPr>
          <w:rFonts w:hint="eastAsia" w:ascii="宋体" w:hAnsi="宋体"/>
          <w:szCs w:val="21"/>
        </w:rPr>
      </w:pPr>
      <w:bookmarkStart w:id="887" w:name="_BookMark_233"/>
      <w:bookmarkEnd w:id="887"/>
      <w:r>
        <w:rPr>
          <w:rFonts w:hint="eastAsia" w:ascii="宋体" w:hAnsi="宋体"/>
          <w:szCs w:val="21"/>
        </w:rPr>
        <w:t>19.6  缺陷责任期终止证书</w:t>
      </w:r>
    </w:p>
    <w:p w14:paraId="27164124">
      <w:pPr>
        <w:spacing w:line="360" w:lineRule="auto"/>
        <w:rPr>
          <w:rFonts w:hint="eastAsia" w:ascii="宋体" w:hAnsi="宋体"/>
          <w:szCs w:val="21"/>
        </w:rPr>
      </w:pPr>
      <w:r>
        <w:rPr>
          <w:rFonts w:hint="eastAsia" w:ascii="宋体" w:hAnsi="宋体"/>
          <w:szCs w:val="21"/>
        </w:rPr>
        <w:t>在第1.1.4.5目约定的缺陷责任期，包括根据第19.3款延长的期限终止后14天内，由监理人向承包人出具经发包人签认的缺陷责任期终止证书，并退还剩余的质量保证金或退还保函。</w:t>
      </w:r>
    </w:p>
    <w:p w14:paraId="1BCDC8BD">
      <w:pPr>
        <w:spacing w:line="360" w:lineRule="auto"/>
        <w:rPr>
          <w:rFonts w:hint="eastAsia" w:ascii="宋体" w:hAnsi="宋体"/>
          <w:szCs w:val="21"/>
        </w:rPr>
      </w:pPr>
      <w:bookmarkStart w:id="888" w:name="_BookMark_234"/>
      <w:bookmarkEnd w:id="888"/>
      <w:r>
        <w:rPr>
          <w:rFonts w:hint="eastAsia" w:ascii="宋体" w:hAnsi="宋体"/>
          <w:szCs w:val="21"/>
        </w:rPr>
        <w:t>19.7  保修责任</w:t>
      </w:r>
    </w:p>
    <w:p w14:paraId="409AB927">
      <w:pPr>
        <w:spacing w:line="360" w:lineRule="auto"/>
        <w:rPr>
          <w:rFonts w:hint="eastAsia" w:ascii="宋体" w:hAnsi="宋体"/>
          <w:szCs w:val="21"/>
        </w:rPr>
      </w:pPr>
      <w:r>
        <w:rPr>
          <w:rFonts w:hint="eastAsia" w:ascii="宋体" w:hAnsi="宋体"/>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0ABDD361">
      <w:pPr>
        <w:spacing w:line="360" w:lineRule="auto"/>
        <w:rPr>
          <w:rFonts w:hint="eastAsia" w:ascii="宋体" w:hAnsi="宋体"/>
          <w:szCs w:val="21"/>
        </w:rPr>
      </w:pPr>
      <w:r>
        <w:rPr>
          <w:rFonts w:hint="eastAsia" w:ascii="宋体" w:hAnsi="宋体"/>
          <w:szCs w:val="21"/>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2F62EB48">
      <w:pPr>
        <w:adjustRightInd w:val="0"/>
        <w:snapToGrid w:val="0"/>
        <w:spacing w:line="360" w:lineRule="auto"/>
        <w:outlineLvl w:val="2"/>
        <w:rPr>
          <w:rFonts w:hint="eastAsia" w:ascii="宋体" w:hAnsi="宋体"/>
          <w:sz w:val="28"/>
        </w:rPr>
      </w:pPr>
      <w:bookmarkStart w:id="889" w:name="_BookMark_235"/>
      <w:bookmarkEnd w:id="889"/>
      <w:bookmarkStart w:id="890" w:name="_Toc162620951"/>
      <w:bookmarkStart w:id="891" w:name="_Toc196225925"/>
      <w:bookmarkStart w:id="892" w:name="_Toc532542653"/>
      <w:bookmarkStart w:id="893" w:name="_Toc528247497"/>
      <w:r>
        <w:rPr>
          <w:rFonts w:hint="eastAsia" w:ascii="宋体" w:hAnsi="宋体"/>
          <w:sz w:val="28"/>
        </w:rPr>
        <w:t>20.保险</w:t>
      </w:r>
      <w:bookmarkEnd w:id="890"/>
      <w:bookmarkEnd w:id="891"/>
      <w:bookmarkEnd w:id="892"/>
      <w:bookmarkEnd w:id="893"/>
    </w:p>
    <w:p w14:paraId="00E90818">
      <w:pPr>
        <w:spacing w:line="360" w:lineRule="auto"/>
        <w:rPr>
          <w:rFonts w:hint="eastAsia" w:ascii="宋体" w:hAnsi="宋体"/>
          <w:szCs w:val="21"/>
        </w:rPr>
      </w:pPr>
      <w:bookmarkStart w:id="894" w:name="_BookMark_236"/>
      <w:bookmarkEnd w:id="894"/>
      <w:r>
        <w:rPr>
          <w:rFonts w:hint="eastAsia" w:ascii="宋体" w:hAnsi="宋体"/>
          <w:szCs w:val="21"/>
        </w:rPr>
        <w:t>20.1  工程保险</w:t>
      </w:r>
    </w:p>
    <w:p w14:paraId="06E83985">
      <w:pPr>
        <w:spacing w:line="360" w:lineRule="auto"/>
        <w:rPr>
          <w:rFonts w:hint="eastAsia" w:ascii="宋体" w:hAnsi="宋体"/>
          <w:szCs w:val="21"/>
        </w:rPr>
      </w:pPr>
      <w:r>
        <w:rPr>
          <w:rFonts w:hint="eastAsia" w:ascii="宋体" w:hAnsi="宋体"/>
          <w:szCs w:val="21"/>
        </w:rPr>
        <w:t>承包人应以发包人和承包人的共同名义向双方同意的保险人投保建筑工程一切险、安装工程一切险。其具体的投保内容、保险金额、保险费率、保险期限等有关内容见合同条款专用部分。</w:t>
      </w:r>
    </w:p>
    <w:p w14:paraId="15F34AA8">
      <w:pPr>
        <w:spacing w:line="360" w:lineRule="auto"/>
        <w:rPr>
          <w:rFonts w:hint="eastAsia" w:ascii="宋体" w:hAnsi="宋体"/>
          <w:szCs w:val="21"/>
        </w:rPr>
      </w:pPr>
      <w:bookmarkStart w:id="895" w:name="_BookMark_237"/>
      <w:bookmarkEnd w:id="895"/>
      <w:r>
        <w:rPr>
          <w:rFonts w:hint="eastAsia" w:ascii="宋体" w:hAnsi="宋体"/>
          <w:szCs w:val="21"/>
        </w:rPr>
        <w:t>20.2  人员工伤事故的保险</w:t>
      </w:r>
    </w:p>
    <w:p w14:paraId="3183DBDF">
      <w:pPr>
        <w:spacing w:line="360" w:lineRule="auto"/>
        <w:rPr>
          <w:rFonts w:hint="eastAsia" w:ascii="宋体" w:hAnsi="宋体"/>
          <w:szCs w:val="21"/>
        </w:rPr>
      </w:pPr>
      <w:r>
        <w:rPr>
          <w:rFonts w:hint="eastAsia" w:ascii="宋体" w:hAnsi="宋体"/>
          <w:szCs w:val="21"/>
        </w:rPr>
        <w:t>20.2.1  承包人员工伤事故的保险</w:t>
      </w:r>
    </w:p>
    <w:p w14:paraId="2A96CB20">
      <w:pPr>
        <w:spacing w:line="360" w:lineRule="auto"/>
        <w:rPr>
          <w:rFonts w:hint="eastAsia" w:ascii="宋体" w:hAnsi="宋体"/>
          <w:szCs w:val="21"/>
        </w:rPr>
      </w:pPr>
      <w:r>
        <w:rPr>
          <w:rFonts w:hint="eastAsia" w:ascii="宋体" w:hAnsi="宋体"/>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75FB42EE">
      <w:pPr>
        <w:spacing w:line="360" w:lineRule="auto"/>
        <w:rPr>
          <w:rFonts w:hint="eastAsia" w:ascii="宋体" w:hAnsi="宋体"/>
          <w:szCs w:val="21"/>
        </w:rPr>
      </w:pPr>
      <w:r>
        <w:rPr>
          <w:rFonts w:hint="eastAsia" w:ascii="宋体" w:hAnsi="宋体"/>
          <w:szCs w:val="21"/>
        </w:rPr>
        <w:t>（2）承包人工伤事故保险期限自合同工程开工之日起至合同终止之日止。</w:t>
      </w:r>
    </w:p>
    <w:p w14:paraId="4343A4C7">
      <w:pPr>
        <w:spacing w:line="360" w:lineRule="auto"/>
        <w:rPr>
          <w:rFonts w:hint="eastAsia" w:ascii="宋体" w:hAnsi="宋体"/>
          <w:szCs w:val="21"/>
        </w:rPr>
      </w:pPr>
      <w:r>
        <w:rPr>
          <w:rFonts w:hint="eastAsia" w:ascii="宋体" w:hAnsi="宋体"/>
          <w:szCs w:val="21"/>
        </w:rPr>
        <w:t>20.2.2  发包人员工伤事故的保险</w:t>
      </w:r>
    </w:p>
    <w:p w14:paraId="15152F5A">
      <w:pPr>
        <w:spacing w:line="360" w:lineRule="auto"/>
        <w:rPr>
          <w:rFonts w:hint="eastAsia" w:ascii="宋体" w:hAnsi="宋体"/>
          <w:szCs w:val="21"/>
        </w:rPr>
      </w:pPr>
      <w:r>
        <w:rPr>
          <w:rFonts w:hint="eastAsia" w:ascii="宋体" w:hAnsi="宋体"/>
          <w:szCs w:val="21"/>
        </w:rPr>
        <w:t>发包人应依照有关法律法规规定参加工伤保险，为其现场机构雇佣的全部人员，缴纳工伤保险费，并要求其监理人也进行此项保险。</w:t>
      </w:r>
    </w:p>
    <w:p w14:paraId="68C646FD">
      <w:pPr>
        <w:spacing w:line="360" w:lineRule="auto"/>
        <w:rPr>
          <w:rFonts w:hint="eastAsia" w:ascii="宋体" w:hAnsi="宋体"/>
          <w:szCs w:val="21"/>
        </w:rPr>
      </w:pPr>
      <w:bookmarkStart w:id="896" w:name="_BookMark_238"/>
      <w:bookmarkEnd w:id="896"/>
      <w:r>
        <w:rPr>
          <w:rFonts w:hint="eastAsia" w:ascii="宋体" w:hAnsi="宋体"/>
          <w:szCs w:val="21"/>
        </w:rPr>
        <w:t>20.3  人身意外伤害险</w:t>
      </w:r>
    </w:p>
    <w:p w14:paraId="199E5A10">
      <w:pPr>
        <w:spacing w:line="360" w:lineRule="auto"/>
        <w:rPr>
          <w:rFonts w:hint="eastAsia" w:ascii="宋体" w:hAnsi="宋体"/>
          <w:szCs w:val="21"/>
        </w:rPr>
      </w:pPr>
      <w:r>
        <w:rPr>
          <w:rFonts w:hint="eastAsia" w:ascii="宋体" w:hAnsi="宋体"/>
          <w:szCs w:val="21"/>
        </w:rPr>
        <w:t>20.3.1  发包人应在整个施工期间为其现场机构雇用的全部人员，投保人身意外伤害险，缴纳保险费，并要求其监理人也进行此项保险。</w:t>
      </w:r>
    </w:p>
    <w:p w14:paraId="6AF1DED8">
      <w:pPr>
        <w:spacing w:line="360" w:lineRule="auto"/>
        <w:rPr>
          <w:rFonts w:hint="eastAsia" w:ascii="宋体" w:hAnsi="宋体"/>
          <w:szCs w:val="21"/>
        </w:rPr>
      </w:pPr>
      <w:r>
        <w:rPr>
          <w:rFonts w:hint="eastAsia" w:ascii="宋体" w:hAnsi="宋体"/>
          <w:szCs w:val="21"/>
        </w:rPr>
        <w:t>20.3.2  承包人应在整个施工期间为其现场机构雇用的全部人员，投保人身意外伤害险，缴纳保险费，并要求其分包人也进行此项保险。</w:t>
      </w:r>
    </w:p>
    <w:p w14:paraId="5BFEE5CD">
      <w:pPr>
        <w:spacing w:line="360" w:lineRule="auto"/>
        <w:rPr>
          <w:rFonts w:hint="eastAsia" w:ascii="宋体" w:hAnsi="宋体"/>
          <w:szCs w:val="21"/>
        </w:rPr>
      </w:pPr>
      <w:bookmarkStart w:id="897" w:name="_BookMark_239"/>
      <w:bookmarkEnd w:id="897"/>
      <w:r>
        <w:rPr>
          <w:rFonts w:hint="eastAsia" w:ascii="宋体" w:hAnsi="宋体"/>
          <w:szCs w:val="21"/>
        </w:rPr>
        <w:t>20.4  第三者责任险</w:t>
      </w:r>
    </w:p>
    <w:p w14:paraId="5CC2C183">
      <w:pPr>
        <w:spacing w:line="360" w:lineRule="auto"/>
        <w:rPr>
          <w:rFonts w:hint="eastAsia" w:ascii="宋体" w:hAnsi="宋体"/>
          <w:szCs w:val="21"/>
        </w:rPr>
      </w:pPr>
      <w:r>
        <w:rPr>
          <w:rFonts w:hint="eastAsia" w:ascii="宋体" w:hAnsi="宋体"/>
          <w:szCs w:val="21"/>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3686A8D7">
      <w:pPr>
        <w:spacing w:line="360" w:lineRule="auto"/>
        <w:rPr>
          <w:rFonts w:hint="eastAsia" w:ascii="宋体" w:hAnsi="宋体"/>
          <w:szCs w:val="21"/>
        </w:rPr>
      </w:pPr>
      <w:r>
        <w:rPr>
          <w:rFonts w:hint="eastAsia" w:ascii="宋体" w:hAnsi="宋体"/>
          <w:szCs w:val="21"/>
        </w:rPr>
        <w:t>20.4.2  在缺陷责任期终止证书颁发前，承包人应以承包人和发包人的共同名义，投保第20.4.1项约定的第三者责任险，其保险费率、保险金额、保险费承担人等有关内容见合同条款专用部分。</w:t>
      </w:r>
    </w:p>
    <w:p w14:paraId="6708094F">
      <w:pPr>
        <w:spacing w:line="360" w:lineRule="auto"/>
        <w:rPr>
          <w:rFonts w:hint="eastAsia" w:ascii="宋体" w:hAnsi="宋体"/>
          <w:szCs w:val="21"/>
        </w:rPr>
      </w:pPr>
      <w:bookmarkStart w:id="898" w:name="_BookMark_240"/>
      <w:bookmarkEnd w:id="898"/>
      <w:r>
        <w:rPr>
          <w:rFonts w:hint="eastAsia" w:ascii="宋体" w:hAnsi="宋体"/>
          <w:szCs w:val="21"/>
        </w:rPr>
        <w:t>20.5  其他保险</w:t>
      </w:r>
    </w:p>
    <w:p w14:paraId="3A5A074C">
      <w:pPr>
        <w:spacing w:line="360" w:lineRule="auto"/>
        <w:rPr>
          <w:rFonts w:hint="eastAsia" w:ascii="宋体" w:hAnsi="宋体"/>
          <w:szCs w:val="21"/>
        </w:rPr>
      </w:pPr>
      <w:r>
        <w:rPr>
          <w:rFonts w:hint="eastAsia" w:ascii="宋体" w:hAnsi="宋体"/>
          <w:szCs w:val="21"/>
        </w:rPr>
        <w:t>承包人应为其施工设备、进场的材料和工程设备等办理保险。办理保险的险种见合同条款专用部分。</w:t>
      </w:r>
    </w:p>
    <w:p w14:paraId="2AD6C228">
      <w:pPr>
        <w:spacing w:line="360" w:lineRule="auto"/>
        <w:rPr>
          <w:rFonts w:hint="eastAsia" w:ascii="宋体" w:hAnsi="宋体"/>
          <w:szCs w:val="21"/>
        </w:rPr>
      </w:pPr>
      <w:bookmarkStart w:id="899" w:name="_BookMark_241"/>
      <w:bookmarkEnd w:id="899"/>
      <w:r>
        <w:rPr>
          <w:rFonts w:hint="eastAsia" w:ascii="宋体" w:hAnsi="宋体"/>
          <w:szCs w:val="21"/>
        </w:rPr>
        <w:t>20.6  对各项保险的一般要求</w:t>
      </w:r>
    </w:p>
    <w:p w14:paraId="0BE34051">
      <w:pPr>
        <w:spacing w:line="360" w:lineRule="auto"/>
        <w:rPr>
          <w:rFonts w:hint="eastAsia" w:ascii="宋体" w:hAnsi="宋体"/>
          <w:szCs w:val="21"/>
        </w:rPr>
      </w:pPr>
      <w:r>
        <w:rPr>
          <w:rFonts w:hint="eastAsia" w:ascii="宋体" w:hAnsi="宋体"/>
          <w:szCs w:val="21"/>
        </w:rPr>
        <w:t>20.6.1  保险凭证</w:t>
      </w:r>
    </w:p>
    <w:p w14:paraId="2827175A">
      <w:pPr>
        <w:spacing w:line="360" w:lineRule="auto"/>
        <w:rPr>
          <w:rFonts w:hint="eastAsia" w:ascii="宋体" w:hAnsi="宋体"/>
          <w:szCs w:val="21"/>
        </w:rPr>
      </w:pPr>
      <w:r>
        <w:rPr>
          <w:rFonts w:hint="eastAsia" w:ascii="宋体" w:hAnsi="宋体"/>
          <w:szCs w:val="21"/>
        </w:rPr>
        <w:t>承包人应在合同约定的期限内向发包人提交各项保险生效的证据和保险单副本，保险单必须与合同约定的条件保持一致。各项保险生效的证据和保险单副本的期限见合同条款专用部分。</w:t>
      </w:r>
    </w:p>
    <w:p w14:paraId="7EB7ACCF">
      <w:pPr>
        <w:spacing w:line="360" w:lineRule="auto"/>
        <w:rPr>
          <w:rFonts w:hint="eastAsia" w:ascii="宋体" w:hAnsi="宋体"/>
          <w:szCs w:val="21"/>
        </w:rPr>
      </w:pPr>
      <w:r>
        <w:rPr>
          <w:rFonts w:hint="eastAsia" w:ascii="宋体" w:hAnsi="宋体"/>
          <w:szCs w:val="21"/>
        </w:rPr>
        <w:t>20.6.2  保险合同条款的变动</w:t>
      </w:r>
    </w:p>
    <w:p w14:paraId="676D8E96">
      <w:pPr>
        <w:spacing w:line="360" w:lineRule="auto"/>
        <w:rPr>
          <w:rFonts w:hint="eastAsia" w:ascii="宋体" w:hAnsi="宋体"/>
          <w:szCs w:val="21"/>
        </w:rPr>
      </w:pPr>
      <w:r>
        <w:rPr>
          <w:rFonts w:hint="eastAsia" w:ascii="宋体" w:hAnsi="宋体"/>
          <w:szCs w:val="21"/>
        </w:rPr>
        <w:t>承包人需要变动保险合同条款时，应事先征得发包人同意，并通知监理人。保险人作出变动的，承包人应在收到保险人通知后立即通知发包人和监理人。</w:t>
      </w:r>
    </w:p>
    <w:p w14:paraId="71040767">
      <w:pPr>
        <w:spacing w:line="360" w:lineRule="auto"/>
        <w:rPr>
          <w:rFonts w:hint="eastAsia" w:ascii="宋体" w:hAnsi="宋体"/>
          <w:szCs w:val="21"/>
        </w:rPr>
      </w:pPr>
      <w:r>
        <w:rPr>
          <w:rFonts w:hint="eastAsia" w:ascii="宋体" w:hAnsi="宋体"/>
          <w:szCs w:val="21"/>
        </w:rPr>
        <w:t>20.6.3  持续保险</w:t>
      </w:r>
    </w:p>
    <w:p w14:paraId="429CDE5F">
      <w:pPr>
        <w:spacing w:line="360" w:lineRule="auto"/>
        <w:rPr>
          <w:rFonts w:hint="eastAsia" w:ascii="宋体" w:hAnsi="宋体"/>
          <w:szCs w:val="21"/>
        </w:rPr>
      </w:pPr>
      <w:r>
        <w:rPr>
          <w:rFonts w:hint="eastAsia" w:ascii="宋体" w:hAnsi="宋体"/>
          <w:szCs w:val="21"/>
        </w:rPr>
        <w:t>承包人应与保险人保持联系，使保险人能够随时了解工程实施中的变动，并确保按保险合同条款要求持续保险。</w:t>
      </w:r>
    </w:p>
    <w:p w14:paraId="170BC858">
      <w:pPr>
        <w:spacing w:line="360" w:lineRule="auto"/>
        <w:rPr>
          <w:rFonts w:hint="eastAsia" w:ascii="宋体" w:hAnsi="宋体"/>
          <w:szCs w:val="21"/>
        </w:rPr>
      </w:pPr>
      <w:r>
        <w:rPr>
          <w:rFonts w:hint="eastAsia" w:ascii="宋体" w:hAnsi="宋体"/>
          <w:szCs w:val="21"/>
        </w:rPr>
        <w:t>20.6.4  保险金不足的补偿</w:t>
      </w:r>
    </w:p>
    <w:p w14:paraId="3A1185AD">
      <w:pPr>
        <w:spacing w:line="360" w:lineRule="auto"/>
        <w:rPr>
          <w:rFonts w:hint="eastAsia" w:ascii="宋体" w:hAnsi="宋体"/>
          <w:szCs w:val="21"/>
        </w:rPr>
      </w:pPr>
      <w:r>
        <w:rPr>
          <w:rFonts w:hint="eastAsia" w:ascii="宋体" w:hAnsi="宋体"/>
          <w:szCs w:val="21"/>
        </w:rPr>
        <w:t>保险金不足以补偿损失的，应由承包人和（或）发包人按合同约定负责补偿。保险金不足的补偿原则见合同条款专用部分。</w:t>
      </w:r>
    </w:p>
    <w:p w14:paraId="4D42100B">
      <w:pPr>
        <w:spacing w:line="360" w:lineRule="auto"/>
        <w:rPr>
          <w:rFonts w:hint="eastAsia" w:ascii="宋体" w:hAnsi="宋体"/>
          <w:szCs w:val="21"/>
        </w:rPr>
      </w:pPr>
      <w:r>
        <w:rPr>
          <w:rFonts w:hint="eastAsia" w:ascii="宋体" w:hAnsi="宋体"/>
          <w:szCs w:val="21"/>
        </w:rPr>
        <w:t>20.6.5  未按约定投保的补救</w:t>
      </w:r>
    </w:p>
    <w:p w14:paraId="7A6E59CC">
      <w:pPr>
        <w:spacing w:line="360" w:lineRule="auto"/>
        <w:rPr>
          <w:rFonts w:hint="eastAsia" w:ascii="宋体" w:hAnsi="宋体"/>
          <w:szCs w:val="21"/>
        </w:rPr>
      </w:pPr>
      <w:r>
        <w:rPr>
          <w:rFonts w:hint="eastAsia" w:ascii="宋体" w:hAnsi="宋体"/>
          <w:szCs w:val="21"/>
        </w:rPr>
        <w:t>（1）由于负有投保义务的一方当事人未按合同约定办理保险，或未能使保险持续有效的，另一方当事人可代为办理，所需费用由对方当事人承担。</w:t>
      </w:r>
    </w:p>
    <w:p w14:paraId="7677E536">
      <w:pPr>
        <w:spacing w:line="360" w:lineRule="auto"/>
        <w:rPr>
          <w:rFonts w:hint="eastAsia" w:ascii="宋体" w:hAnsi="宋体"/>
          <w:szCs w:val="21"/>
        </w:rPr>
      </w:pPr>
      <w:r>
        <w:rPr>
          <w:rFonts w:hint="eastAsia" w:ascii="宋体" w:hAnsi="宋体"/>
          <w:szCs w:val="21"/>
        </w:rPr>
        <w:t>（2）由于负有投保义务的一方当事人未按合同约定办理某项保险，导致受益人未能得到保险人的赔偿，原应从该项保险得到的保险金应由负有投保义务的一方当事人支付。</w:t>
      </w:r>
    </w:p>
    <w:p w14:paraId="70A13D6E">
      <w:pPr>
        <w:spacing w:line="360" w:lineRule="auto"/>
        <w:rPr>
          <w:rFonts w:hint="eastAsia" w:ascii="宋体" w:hAnsi="宋体"/>
          <w:szCs w:val="21"/>
        </w:rPr>
      </w:pPr>
      <w:r>
        <w:rPr>
          <w:rFonts w:hint="eastAsia" w:ascii="宋体" w:hAnsi="宋体"/>
          <w:szCs w:val="21"/>
        </w:rPr>
        <w:t>20.6.6  报告义务</w:t>
      </w:r>
    </w:p>
    <w:p w14:paraId="74BE85B1">
      <w:pPr>
        <w:spacing w:line="360" w:lineRule="auto"/>
        <w:rPr>
          <w:rFonts w:hint="eastAsia" w:ascii="宋体" w:hAnsi="宋体"/>
          <w:szCs w:val="21"/>
        </w:rPr>
      </w:pPr>
      <w:r>
        <w:rPr>
          <w:rFonts w:hint="eastAsia" w:ascii="宋体" w:hAnsi="宋体"/>
          <w:szCs w:val="21"/>
        </w:rPr>
        <w:t>当保险事故发生时，投保人应按照保险单规定的条件和期限及时向保险人报告。</w:t>
      </w:r>
    </w:p>
    <w:p w14:paraId="4C1BC452">
      <w:pPr>
        <w:adjustRightInd w:val="0"/>
        <w:snapToGrid w:val="0"/>
        <w:spacing w:line="360" w:lineRule="auto"/>
        <w:outlineLvl w:val="2"/>
        <w:rPr>
          <w:rFonts w:hint="eastAsia" w:ascii="宋体" w:hAnsi="宋体"/>
          <w:sz w:val="28"/>
        </w:rPr>
      </w:pPr>
      <w:bookmarkStart w:id="900" w:name="_BookMark_242"/>
      <w:bookmarkEnd w:id="900"/>
      <w:bookmarkStart w:id="901" w:name="_Toc532542654"/>
      <w:bookmarkStart w:id="902" w:name="_Toc196225926"/>
      <w:bookmarkStart w:id="903" w:name="_Toc162620952"/>
      <w:bookmarkStart w:id="904" w:name="_Toc528247498"/>
      <w:r>
        <w:rPr>
          <w:rFonts w:hint="eastAsia" w:ascii="宋体" w:hAnsi="宋体"/>
          <w:sz w:val="28"/>
        </w:rPr>
        <w:t>21.不可抗力</w:t>
      </w:r>
      <w:bookmarkEnd w:id="901"/>
      <w:bookmarkEnd w:id="902"/>
      <w:bookmarkEnd w:id="903"/>
      <w:bookmarkEnd w:id="904"/>
    </w:p>
    <w:p w14:paraId="604762B7">
      <w:pPr>
        <w:spacing w:line="360" w:lineRule="auto"/>
        <w:rPr>
          <w:rFonts w:hint="eastAsia" w:ascii="宋体" w:hAnsi="宋体"/>
          <w:szCs w:val="21"/>
        </w:rPr>
      </w:pPr>
      <w:bookmarkStart w:id="905" w:name="_BookMark_243"/>
      <w:bookmarkEnd w:id="905"/>
      <w:r>
        <w:rPr>
          <w:rFonts w:hint="eastAsia" w:ascii="宋体" w:hAnsi="宋体"/>
          <w:szCs w:val="21"/>
        </w:rPr>
        <w:t>21.1  不可抗力的确认</w:t>
      </w:r>
    </w:p>
    <w:p w14:paraId="2DA2FA05">
      <w:pPr>
        <w:spacing w:line="360" w:lineRule="auto"/>
        <w:rPr>
          <w:rFonts w:hint="eastAsia" w:ascii="宋体" w:hAnsi="宋体"/>
          <w:szCs w:val="21"/>
        </w:rPr>
      </w:pPr>
      <w:r>
        <w:rPr>
          <w:rFonts w:hint="eastAsia" w:ascii="宋体" w:hAnsi="宋体"/>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605E6F1A">
      <w:pPr>
        <w:spacing w:line="360" w:lineRule="auto"/>
        <w:rPr>
          <w:rFonts w:hint="eastAsia" w:ascii="宋体" w:hAnsi="宋体"/>
          <w:szCs w:val="21"/>
        </w:rPr>
      </w:pPr>
      <w:r>
        <w:rPr>
          <w:rFonts w:hint="eastAsia" w:ascii="宋体" w:hAnsi="宋体"/>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21D917C2">
      <w:pPr>
        <w:spacing w:line="360" w:lineRule="auto"/>
        <w:rPr>
          <w:rFonts w:hint="eastAsia" w:ascii="宋体" w:hAnsi="宋体"/>
          <w:szCs w:val="21"/>
        </w:rPr>
      </w:pPr>
      <w:bookmarkStart w:id="906" w:name="_BookMark_244"/>
      <w:bookmarkEnd w:id="906"/>
      <w:r>
        <w:rPr>
          <w:rFonts w:hint="eastAsia" w:ascii="宋体" w:hAnsi="宋体"/>
          <w:szCs w:val="21"/>
        </w:rPr>
        <w:t>21.2  不可抗力的通知</w:t>
      </w:r>
    </w:p>
    <w:p w14:paraId="207122C1">
      <w:pPr>
        <w:spacing w:line="360" w:lineRule="auto"/>
        <w:rPr>
          <w:rFonts w:hint="eastAsia" w:ascii="宋体" w:hAnsi="宋体"/>
          <w:szCs w:val="21"/>
        </w:rPr>
      </w:pPr>
      <w:r>
        <w:rPr>
          <w:rFonts w:hint="eastAsia" w:ascii="宋体" w:hAnsi="宋体"/>
          <w:szCs w:val="21"/>
        </w:rPr>
        <w:t>21.2.1  合同一方当事人遇到不可抗力事件，使其履行合同义务受到阻碍时，应立即通知合同另一方当事人和监理人，书面说明不可抗力和受阻碍的详细情况，并提供必要的证明。</w:t>
      </w:r>
    </w:p>
    <w:p w14:paraId="2F4EFF36">
      <w:pPr>
        <w:spacing w:line="360" w:lineRule="auto"/>
        <w:rPr>
          <w:rFonts w:hint="eastAsia" w:ascii="宋体" w:hAnsi="宋体"/>
          <w:szCs w:val="21"/>
        </w:rPr>
      </w:pPr>
      <w:r>
        <w:rPr>
          <w:rFonts w:hint="eastAsia" w:ascii="宋体" w:hAnsi="宋体"/>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04A17DD5">
      <w:pPr>
        <w:spacing w:line="360" w:lineRule="auto"/>
        <w:rPr>
          <w:rFonts w:hint="eastAsia" w:ascii="宋体" w:hAnsi="宋体"/>
          <w:szCs w:val="21"/>
        </w:rPr>
      </w:pPr>
      <w:bookmarkStart w:id="907" w:name="_BookMark_245"/>
      <w:bookmarkEnd w:id="907"/>
      <w:r>
        <w:rPr>
          <w:rFonts w:hint="eastAsia" w:ascii="宋体" w:hAnsi="宋体"/>
          <w:szCs w:val="21"/>
        </w:rPr>
        <w:t>21.3  不可抗力后果及其处理</w:t>
      </w:r>
    </w:p>
    <w:p w14:paraId="4265053B">
      <w:pPr>
        <w:spacing w:line="360" w:lineRule="auto"/>
        <w:rPr>
          <w:rFonts w:hint="eastAsia" w:ascii="宋体" w:hAnsi="宋体"/>
          <w:szCs w:val="21"/>
        </w:rPr>
      </w:pPr>
      <w:r>
        <w:rPr>
          <w:rFonts w:hint="eastAsia" w:ascii="宋体" w:hAnsi="宋体"/>
          <w:szCs w:val="21"/>
        </w:rPr>
        <w:t>21.3.1  不可抗力造成损害的责任</w:t>
      </w:r>
    </w:p>
    <w:p w14:paraId="388692C2">
      <w:pPr>
        <w:spacing w:line="360" w:lineRule="auto"/>
        <w:rPr>
          <w:rFonts w:hint="eastAsia" w:ascii="宋体" w:hAnsi="宋体"/>
          <w:szCs w:val="21"/>
        </w:rPr>
      </w:pPr>
      <w:r>
        <w:rPr>
          <w:rFonts w:hint="eastAsia" w:ascii="宋体" w:hAnsi="宋体"/>
          <w:szCs w:val="21"/>
        </w:rPr>
        <w:t xml:space="preserve">不可抗力导致的人员伤亡、财产损失、费用增加和（或）工期延误等后果，由合同双方按以下原则承担： </w:t>
      </w:r>
    </w:p>
    <w:p w14:paraId="1DB8ECA7">
      <w:pPr>
        <w:spacing w:line="360" w:lineRule="auto"/>
        <w:rPr>
          <w:rFonts w:hint="eastAsia" w:ascii="宋体" w:hAnsi="宋体"/>
          <w:szCs w:val="21"/>
        </w:rPr>
      </w:pPr>
      <w:r>
        <w:rPr>
          <w:rFonts w:hint="eastAsia" w:ascii="宋体" w:hAnsi="宋体"/>
          <w:szCs w:val="21"/>
        </w:rPr>
        <w:t>（1）永久工程，包括已运至施工场地的材料和工程设备的损害，以及因工程损害造成的第三者人员伤亡和财产损失由发包人承担；</w:t>
      </w:r>
    </w:p>
    <w:p w14:paraId="5A5B83C8">
      <w:pPr>
        <w:spacing w:line="360" w:lineRule="auto"/>
        <w:rPr>
          <w:rFonts w:hint="eastAsia" w:ascii="宋体" w:hAnsi="宋体"/>
          <w:szCs w:val="21"/>
        </w:rPr>
      </w:pPr>
      <w:r>
        <w:rPr>
          <w:rFonts w:hint="eastAsia" w:ascii="宋体" w:hAnsi="宋体"/>
          <w:szCs w:val="21"/>
        </w:rPr>
        <w:t>（2）承包人设备的损坏由承包人承担；</w:t>
      </w:r>
    </w:p>
    <w:p w14:paraId="03DB6394">
      <w:pPr>
        <w:spacing w:line="360" w:lineRule="auto"/>
        <w:rPr>
          <w:rFonts w:hint="eastAsia" w:ascii="宋体" w:hAnsi="宋体"/>
          <w:szCs w:val="21"/>
        </w:rPr>
      </w:pPr>
      <w:r>
        <w:rPr>
          <w:rFonts w:hint="eastAsia" w:ascii="宋体" w:hAnsi="宋体"/>
          <w:szCs w:val="21"/>
        </w:rPr>
        <w:t>（3）发包人和承包人各自承担其人员伤亡和其他财产损失及其相关费用；</w:t>
      </w:r>
    </w:p>
    <w:p w14:paraId="1287E907">
      <w:pPr>
        <w:spacing w:line="360" w:lineRule="auto"/>
        <w:rPr>
          <w:rFonts w:hint="eastAsia" w:ascii="宋体" w:hAnsi="宋体"/>
          <w:szCs w:val="21"/>
        </w:rPr>
      </w:pPr>
      <w:r>
        <w:rPr>
          <w:rFonts w:hint="eastAsia" w:ascii="宋体" w:hAnsi="宋体"/>
          <w:szCs w:val="21"/>
        </w:rPr>
        <w:t>（4）承包人的停工损失由承包人承担，但停工期间应监理人要求照管工程和清理、修复工程的金额由发包人承担；</w:t>
      </w:r>
    </w:p>
    <w:p w14:paraId="0303773B">
      <w:pPr>
        <w:spacing w:line="360" w:lineRule="auto"/>
        <w:rPr>
          <w:rFonts w:hint="eastAsia" w:ascii="宋体" w:hAnsi="宋体"/>
          <w:szCs w:val="21"/>
        </w:rPr>
      </w:pPr>
      <w:r>
        <w:rPr>
          <w:rFonts w:hint="eastAsia" w:ascii="宋体" w:hAnsi="宋体"/>
          <w:szCs w:val="21"/>
        </w:rPr>
        <w:t>（5）不能按期竣工的，应合理延长工期，承包人不需支付逾期竣工违约金。发包人要求赶工的，承包人应采取赶工措施，赶工费用由发包人承担。</w:t>
      </w:r>
    </w:p>
    <w:p w14:paraId="3701C310">
      <w:pPr>
        <w:spacing w:line="360" w:lineRule="auto"/>
        <w:rPr>
          <w:rFonts w:hint="eastAsia" w:ascii="宋体" w:hAnsi="宋体"/>
          <w:szCs w:val="21"/>
        </w:rPr>
      </w:pPr>
      <w:r>
        <w:rPr>
          <w:rFonts w:hint="eastAsia" w:ascii="宋体" w:hAnsi="宋体"/>
          <w:szCs w:val="21"/>
        </w:rPr>
        <w:t>21.3.2  延迟履行期间发生的不可抗力</w:t>
      </w:r>
    </w:p>
    <w:p w14:paraId="59A5123B">
      <w:pPr>
        <w:spacing w:line="360" w:lineRule="auto"/>
        <w:rPr>
          <w:rFonts w:hint="eastAsia" w:ascii="宋体" w:hAnsi="宋体"/>
          <w:szCs w:val="21"/>
        </w:rPr>
      </w:pPr>
      <w:r>
        <w:rPr>
          <w:rFonts w:hint="eastAsia" w:ascii="宋体" w:hAnsi="宋体"/>
          <w:szCs w:val="21"/>
        </w:rPr>
        <w:t>合同一方当事人延迟履行，在延迟履行期间发生不可抗力的，不免除其责任。</w:t>
      </w:r>
    </w:p>
    <w:p w14:paraId="2CB954F9">
      <w:pPr>
        <w:spacing w:line="360" w:lineRule="auto"/>
        <w:rPr>
          <w:rFonts w:hint="eastAsia" w:ascii="宋体" w:hAnsi="宋体"/>
          <w:szCs w:val="21"/>
        </w:rPr>
      </w:pPr>
      <w:r>
        <w:rPr>
          <w:rFonts w:hint="eastAsia" w:ascii="宋体" w:hAnsi="宋体"/>
          <w:szCs w:val="21"/>
        </w:rPr>
        <w:t>21.3.3  避免和减少不可抗力损失</w:t>
      </w:r>
    </w:p>
    <w:p w14:paraId="5CFDB1BE">
      <w:pPr>
        <w:spacing w:line="360" w:lineRule="auto"/>
        <w:rPr>
          <w:rFonts w:hint="eastAsia" w:ascii="宋体" w:hAnsi="宋体"/>
          <w:szCs w:val="21"/>
        </w:rPr>
      </w:pPr>
      <w:r>
        <w:rPr>
          <w:rFonts w:hint="eastAsia" w:ascii="宋体" w:hAnsi="宋体"/>
          <w:szCs w:val="21"/>
        </w:rPr>
        <w:t>不可抗力发生后，发包人和承包人均应采取措施尽量避免和减少损失的扩大，任何一方没有采取有效措施导致损失扩大的，应对扩大的损失承担责任。</w:t>
      </w:r>
    </w:p>
    <w:p w14:paraId="0B98A556">
      <w:pPr>
        <w:spacing w:line="360" w:lineRule="auto"/>
        <w:rPr>
          <w:rFonts w:hint="eastAsia" w:ascii="宋体" w:hAnsi="宋体"/>
          <w:szCs w:val="21"/>
        </w:rPr>
      </w:pPr>
      <w:r>
        <w:rPr>
          <w:rFonts w:hint="eastAsia" w:ascii="宋体" w:hAnsi="宋体"/>
          <w:szCs w:val="21"/>
        </w:rPr>
        <w:t>21.3.4  因不可抗力解除合同</w:t>
      </w:r>
    </w:p>
    <w:p w14:paraId="7A0B8983">
      <w:pPr>
        <w:spacing w:line="360" w:lineRule="auto"/>
        <w:rPr>
          <w:rFonts w:hint="eastAsia" w:ascii="宋体" w:hAnsi="宋体"/>
          <w:szCs w:val="21"/>
        </w:rPr>
      </w:pPr>
      <w:r>
        <w:rPr>
          <w:rFonts w:hint="eastAsia" w:ascii="宋体" w:hAnsi="宋体"/>
          <w:szCs w:val="21"/>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7A76C6A">
      <w:pPr>
        <w:adjustRightInd w:val="0"/>
        <w:snapToGrid w:val="0"/>
        <w:spacing w:line="360" w:lineRule="auto"/>
        <w:outlineLvl w:val="2"/>
        <w:rPr>
          <w:rFonts w:hint="eastAsia" w:ascii="宋体" w:hAnsi="宋体"/>
          <w:sz w:val="28"/>
        </w:rPr>
      </w:pPr>
      <w:bookmarkStart w:id="908" w:name="_BookMark_246"/>
      <w:bookmarkEnd w:id="908"/>
      <w:bookmarkStart w:id="909" w:name="_Toc532542655"/>
      <w:bookmarkStart w:id="910" w:name="_Toc196225927"/>
      <w:bookmarkStart w:id="911" w:name="_Toc162620953"/>
      <w:bookmarkStart w:id="912" w:name="_Toc528247499"/>
      <w:r>
        <w:rPr>
          <w:rFonts w:hint="eastAsia" w:ascii="宋体" w:hAnsi="宋体"/>
          <w:sz w:val="28"/>
        </w:rPr>
        <w:t>22.违约</w:t>
      </w:r>
      <w:bookmarkEnd w:id="909"/>
      <w:bookmarkEnd w:id="910"/>
      <w:bookmarkEnd w:id="911"/>
      <w:bookmarkEnd w:id="912"/>
    </w:p>
    <w:p w14:paraId="5CF6E1DE">
      <w:pPr>
        <w:spacing w:line="360" w:lineRule="auto"/>
        <w:rPr>
          <w:rFonts w:hint="eastAsia" w:ascii="宋体" w:hAnsi="宋体"/>
          <w:szCs w:val="21"/>
        </w:rPr>
      </w:pPr>
      <w:bookmarkStart w:id="913" w:name="_BookMark_247"/>
      <w:bookmarkEnd w:id="913"/>
      <w:r>
        <w:rPr>
          <w:rFonts w:hint="eastAsia" w:ascii="宋体" w:hAnsi="宋体"/>
          <w:szCs w:val="21"/>
        </w:rPr>
        <w:t>22.1  承包人违约</w:t>
      </w:r>
    </w:p>
    <w:p w14:paraId="0643E6CE">
      <w:pPr>
        <w:spacing w:line="360" w:lineRule="auto"/>
        <w:rPr>
          <w:rFonts w:hint="eastAsia" w:ascii="宋体" w:hAnsi="宋体"/>
          <w:szCs w:val="21"/>
        </w:rPr>
      </w:pPr>
      <w:r>
        <w:rPr>
          <w:rFonts w:hint="eastAsia" w:ascii="宋体" w:hAnsi="宋体"/>
          <w:szCs w:val="21"/>
        </w:rPr>
        <w:t>22.1.1  承包人违约的情形</w:t>
      </w:r>
    </w:p>
    <w:p w14:paraId="75FA288D">
      <w:pPr>
        <w:spacing w:line="360" w:lineRule="auto"/>
        <w:rPr>
          <w:rFonts w:hint="eastAsia" w:ascii="宋体" w:hAnsi="宋体"/>
          <w:szCs w:val="21"/>
        </w:rPr>
      </w:pPr>
      <w:r>
        <w:rPr>
          <w:rFonts w:hint="eastAsia" w:ascii="宋体" w:hAnsi="宋体"/>
          <w:szCs w:val="21"/>
        </w:rPr>
        <w:t>在履行合同过程中发生的下列情况属承包人违约：</w:t>
      </w:r>
    </w:p>
    <w:p w14:paraId="18F2A083">
      <w:pPr>
        <w:spacing w:line="360" w:lineRule="auto"/>
        <w:rPr>
          <w:rFonts w:hint="eastAsia" w:ascii="宋体" w:hAnsi="宋体"/>
          <w:szCs w:val="21"/>
        </w:rPr>
      </w:pPr>
      <w:r>
        <w:rPr>
          <w:rFonts w:hint="eastAsia" w:ascii="宋体" w:hAnsi="宋体"/>
          <w:szCs w:val="21"/>
        </w:rPr>
        <w:t>（1）承包人违反第1.8款或第4.3款的约定，私自将合同的全部或部分权利转让给其他人，或私自将合同的全部或部分义务转移给其他人；</w:t>
      </w:r>
    </w:p>
    <w:p w14:paraId="2F047BA9">
      <w:pPr>
        <w:spacing w:line="360" w:lineRule="auto"/>
        <w:rPr>
          <w:rFonts w:hint="eastAsia" w:ascii="宋体" w:hAnsi="宋体"/>
          <w:szCs w:val="21"/>
        </w:rPr>
      </w:pPr>
      <w:r>
        <w:rPr>
          <w:rFonts w:hint="eastAsia" w:ascii="宋体" w:hAnsi="宋体"/>
          <w:szCs w:val="21"/>
        </w:rPr>
        <w:t>（2）承包人违反第5.3款或第6.4款的约定，未经监理人批准，私自将已按合同约定进入施工场地的施工设备、临时设施或材料撤离施工场地；</w:t>
      </w:r>
    </w:p>
    <w:p w14:paraId="5A08D377">
      <w:pPr>
        <w:spacing w:line="360" w:lineRule="auto"/>
        <w:rPr>
          <w:rFonts w:hint="eastAsia" w:ascii="宋体" w:hAnsi="宋体"/>
          <w:szCs w:val="21"/>
        </w:rPr>
      </w:pPr>
      <w:r>
        <w:rPr>
          <w:rFonts w:hint="eastAsia" w:ascii="宋体" w:hAnsi="宋体"/>
          <w:szCs w:val="21"/>
        </w:rPr>
        <w:t>（3）承包人违反第5.4款的约定使用了不合格材料或工程设备，工程质量达不到标准要求，又拒绝清除不合格工程；</w:t>
      </w:r>
    </w:p>
    <w:p w14:paraId="1FA56A9A">
      <w:pPr>
        <w:spacing w:line="360" w:lineRule="auto"/>
        <w:rPr>
          <w:rFonts w:hint="eastAsia" w:ascii="宋体" w:hAnsi="宋体"/>
          <w:szCs w:val="21"/>
        </w:rPr>
      </w:pPr>
      <w:r>
        <w:rPr>
          <w:rFonts w:hint="eastAsia" w:ascii="宋体" w:hAnsi="宋体"/>
          <w:szCs w:val="21"/>
        </w:rPr>
        <w:t>（4）承包人未能按合同进度计划及时完成合同约定的工作，已造成或预期造成工期延误；</w:t>
      </w:r>
    </w:p>
    <w:p w14:paraId="27F75EC7">
      <w:pPr>
        <w:spacing w:line="360" w:lineRule="auto"/>
        <w:rPr>
          <w:rFonts w:hint="eastAsia" w:ascii="宋体" w:hAnsi="宋体"/>
          <w:szCs w:val="21"/>
        </w:rPr>
      </w:pPr>
      <w:r>
        <w:rPr>
          <w:rFonts w:hint="eastAsia" w:ascii="宋体" w:hAnsi="宋体"/>
          <w:szCs w:val="21"/>
        </w:rPr>
        <w:t>（5）承包人在缺陷责任期内，未能对工程接收证书所列的缺陷清单的内容或缺陷责任期内发生的缺陷进行修复，而又拒绝按监理人指示再进行修补；</w:t>
      </w:r>
    </w:p>
    <w:p w14:paraId="57FBC10C">
      <w:pPr>
        <w:spacing w:line="360" w:lineRule="auto"/>
        <w:rPr>
          <w:rFonts w:hint="eastAsia" w:ascii="宋体" w:hAnsi="宋体"/>
          <w:szCs w:val="21"/>
        </w:rPr>
      </w:pPr>
      <w:r>
        <w:rPr>
          <w:rFonts w:hint="eastAsia" w:ascii="宋体" w:hAnsi="宋体"/>
          <w:szCs w:val="21"/>
        </w:rPr>
        <w:t>（6）承包人无法继续履行或明确表示不履行或实质上已停止履行合同；</w:t>
      </w:r>
    </w:p>
    <w:p w14:paraId="7029D182">
      <w:pPr>
        <w:spacing w:line="360" w:lineRule="auto"/>
        <w:rPr>
          <w:rFonts w:hint="eastAsia" w:ascii="宋体" w:hAnsi="宋体"/>
          <w:szCs w:val="21"/>
        </w:rPr>
      </w:pPr>
      <w:r>
        <w:rPr>
          <w:rFonts w:hint="eastAsia" w:ascii="宋体" w:hAnsi="宋体"/>
          <w:szCs w:val="21"/>
        </w:rPr>
        <w:t>（7）承包人不按合同约定履行义务的其他情况。</w:t>
      </w:r>
    </w:p>
    <w:p w14:paraId="0F575480">
      <w:pPr>
        <w:spacing w:line="360" w:lineRule="auto"/>
        <w:rPr>
          <w:rFonts w:hint="eastAsia" w:ascii="宋体" w:hAnsi="宋体"/>
          <w:szCs w:val="21"/>
        </w:rPr>
      </w:pPr>
      <w:r>
        <w:rPr>
          <w:rFonts w:hint="eastAsia" w:ascii="宋体" w:hAnsi="宋体"/>
          <w:szCs w:val="21"/>
        </w:rPr>
        <w:t>22.1.2  对承包人违约的处理</w:t>
      </w:r>
    </w:p>
    <w:p w14:paraId="2451781C">
      <w:pPr>
        <w:spacing w:line="360" w:lineRule="auto"/>
        <w:rPr>
          <w:rFonts w:hint="eastAsia" w:ascii="宋体" w:hAnsi="宋体"/>
          <w:szCs w:val="21"/>
        </w:rPr>
      </w:pPr>
      <w:r>
        <w:rPr>
          <w:rFonts w:hint="eastAsia" w:ascii="宋体" w:hAnsi="宋体"/>
          <w:szCs w:val="21"/>
        </w:rPr>
        <w:t>（1）承包人发生第22.1.1（6）目约定的违约情况时，发包人可通知承包人立即解除合同，并按有关法律处理。</w:t>
      </w:r>
    </w:p>
    <w:p w14:paraId="64799A32">
      <w:pPr>
        <w:spacing w:line="360" w:lineRule="auto"/>
        <w:rPr>
          <w:rFonts w:hint="eastAsia" w:ascii="宋体" w:hAnsi="宋体"/>
          <w:szCs w:val="21"/>
        </w:rPr>
      </w:pPr>
      <w:r>
        <w:rPr>
          <w:rFonts w:hint="eastAsia" w:ascii="宋体" w:hAnsi="宋体"/>
          <w:szCs w:val="21"/>
        </w:rPr>
        <w:t>（2）承包人发生除第22.1.1（6）目约定以外的其他违约情况时，监理人可向承包人发出整改通知，要求其在指定的期限内改正。承包人应承担其违约所引起的费用增加和（或）工期延误。</w:t>
      </w:r>
    </w:p>
    <w:p w14:paraId="281D49B5">
      <w:pPr>
        <w:spacing w:line="360" w:lineRule="auto"/>
        <w:rPr>
          <w:rFonts w:hint="eastAsia" w:ascii="宋体" w:hAnsi="宋体"/>
          <w:szCs w:val="21"/>
        </w:rPr>
      </w:pPr>
      <w:r>
        <w:rPr>
          <w:rFonts w:hint="eastAsia" w:ascii="宋体" w:hAnsi="宋体"/>
          <w:szCs w:val="21"/>
        </w:rPr>
        <w:t>（3）经检查证明承包人已采取了有效措施纠正违约行为，具备复工条件的，可由监理人签发复工通知复工。</w:t>
      </w:r>
    </w:p>
    <w:p w14:paraId="06A15A8E">
      <w:pPr>
        <w:spacing w:line="360" w:lineRule="auto"/>
        <w:rPr>
          <w:rFonts w:hint="eastAsia" w:ascii="宋体" w:hAnsi="宋体"/>
          <w:szCs w:val="21"/>
        </w:rPr>
      </w:pPr>
      <w:r>
        <w:rPr>
          <w:rFonts w:hint="eastAsia" w:ascii="宋体" w:hAnsi="宋体"/>
          <w:szCs w:val="21"/>
        </w:rPr>
        <w:t>22.1.3  承包人违约解除合同</w:t>
      </w:r>
    </w:p>
    <w:p w14:paraId="771BBD18">
      <w:pPr>
        <w:spacing w:line="360" w:lineRule="auto"/>
        <w:rPr>
          <w:rFonts w:hint="eastAsia" w:ascii="宋体" w:hAnsi="宋体"/>
          <w:szCs w:val="21"/>
        </w:rPr>
      </w:pPr>
      <w:r>
        <w:rPr>
          <w:rFonts w:hint="eastAsia" w:ascii="宋体" w:hAnsi="宋体"/>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E3234CE">
      <w:pPr>
        <w:spacing w:line="360" w:lineRule="auto"/>
        <w:rPr>
          <w:rFonts w:hint="eastAsia" w:ascii="宋体" w:hAnsi="宋体"/>
          <w:szCs w:val="21"/>
        </w:rPr>
      </w:pPr>
      <w:r>
        <w:rPr>
          <w:rFonts w:hint="eastAsia" w:ascii="宋体" w:hAnsi="宋体"/>
          <w:szCs w:val="21"/>
        </w:rPr>
        <w:t>22.1.4  合同解除后的估价、付款和结清</w:t>
      </w:r>
    </w:p>
    <w:p w14:paraId="6720C309">
      <w:pPr>
        <w:spacing w:line="360" w:lineRule="auto"/>
        <w:rPr>
          <w:rFonts w:hint="eastAsia" w:ascii="宋体" w:hAnsi="宋体"/>
          <w:szCs w:val="21"/>
        </w:rPr>
      </w:pPr>
      <w:r>
        <w:rPr>
          <w:rFonts w:hint="eastAsia" w:ascii="宋体" w:hAnsi="宋体"/>
          <w:szCs w:val="21"/>
        </w:rPr>
        <w:t xml:space="preserve">（1）合同解除后，监理人按第3.5款商定或确定承包人实际完成工作的价值，以及承包人已提供的材料、施工设备、工程设备和临时工程等的价值。 </w:t>
      </w:r>
    </w:p>
    <w:p w14:paraId="6EE72861">
      <w:pPr>
        <w:spacing w:line="360" w:lineRule="auto"/>
        <w:rPr>
          <w:rFonts w:hint="eastAsia" w:ascii="宋体" w:hAnsi="宋体"/>
          <w:szCs w:val="21"/>
        </w:rPr>
      </w:pPr>
      <w:r>
        <w:rPr>
          <w:rFonts w:hint="eastAsia" w:ascii="宋体" w:hAnsi="宋体"/>
          <w:szCs w:val="21"/>
        </w:rPr>
        <w:t xml:space="preserve">（2）合同解除后，发包人应暂停对承包人的一切付款，查清各项付款和已扣款金额，包括承包人应支付的违约金。 </w:t>
      </w:r>
    </w:p>
    <w:p w14:paraId="3504F199">
      <w:pPr>
        <w:spacing w:line="360" w:lineRule="auto"/>
        <w:rPr>
          <w:rFonts w:hint="eastAsia" w:ascii="宋体" w:hAnsi="宋体"/>
          <w:szCs w:val="21"/>
        </w:rPr>
      </w:pPr>
      <w:r>
        <w:rPr>
          <w:rFonts w:hint="eastAsia" w:ascii="宋体" w:hAnsi="宋体"/>
          <w:szCs w:val="21"/>
        </w:rPr>
        <w:t>（3）合同解除后，发包人应按第23.4款的约定向承包人索赔由于解除合同给发包人造成的损失。</w:t>
      </w:r>
    </w:p>
    <w:p w14:paraId="19B544D7">
      <w:pPr>
        <w:spacing w:line="360" w:lineRule="auto"/>
        <w:rPr>
          <w:rFonts w:hint="eastAsia" w:ascii="宋体" w:hAnsi="宋体"/>
          <w:szCs w:val="21"/>
        </w:rPr>
      </w:pPr>
      <w:r>
        <w:rPr>
          <w:rFonts w:hint="eastAsia" w:ascii="宋体" w:hAnsi="宋体"/>
          <w:szCs w:val="21"/>
        </w:rPr>
        <w:t>（4）合同双方确认上述往来款项后，出具最终结清付款证书，结清全部合同款项。</w:t>
      </w:r>
    </w:p>
    <w:p w14:paraId="5A1E9FCE">
      <w:pPr>
        <w:spacing w:line="360" w:lineRule="auto"/>
        <w:rPr>
          <w:rFonts w:hint="eastAsia" w:ascii="宋体" w:hAnsi="宋体"/>
          <w:szCs w:val="21"/>
        </w:rPr>
      </w:pPr>
      <w:r>
        <w:rPr>
          <w:rFonts w:hint="eastAsia" w:ascii="宋体" w:hAnsi="宋体"/>
          <w:szCs w:val="21"/>
        </w:rPr>
        <w:t>（5）发包人和承包人未能就解除合同后的结清达成一致而形成争议的，按第24条的约定办理。</w:t>
      </w:r>
    </w:p>
    <w:p w14:paraId="63E58869">
      <w:pPr>
        <w:spacing w:line="360" w:lineRule="auto"/>
        <w:rPr>
          <w:rFonts w:hint="eastAsia" w:ascii="宋体" w:hAnsi="宋体"/>
          <w:szCs w:val="21"/>
        </w:rPr>
      </w:pPr>
      <w:r>
        <w:rPr>
          <w:rFonts w:hint="eastAsia" w:ascii="宋体" w:hAnsi="宋体"/>
          <w:szCs w:val="21"/>
        </w:rPr>
        <w:t>22.1.5  协议利益的转让</w:t>
      </w:r>
    </w:p>
    <w:p w14:paraId="77AF1788">
      <w:pPr>
        <w:spacing w:line="360" w:lineRule="auto"/>
        <w:rPr>
          <w:rFonts w:hint="eastAsia" w:ascii="宋体" w:hAnsi="宋体"/>
          <w:szCs w:val="21"/>
        </w:rPr>
      </w:pPr>
      <w:r>
        <w:rPr>
          <w:rFonts w:hint="eastAsia" w:ascii="宋体" w:hAnsi="宋体"/>
          <w:szCs w:val="21"/>
        </w:rPr>
        <w:t xml:space="preserve">因承包人违约解除合同的，发包人有权要求承包人将其为实施合同而签订的材料和设备的订货协议或任何服务协议利益转让给发包人，并在解除合同后的14天内，依法办理转让手续。 </w:t>
      </w:r>
    </w:p>
    <w:p w14:paraId="1326B21F">
      <w:pPr>
        <w:spacing w:line="360" w:lineRule="auto"/>
        <w:rPr>
          <w:rFonts w:hint="eastAsia" w:ascii="宋体" w:hAnsi="宋体"/>
          <w:szCs w:val="21"/>
        </w:rPr>
      </w:pPr>
      <w:r>
        <w:rPr>
          <w:rFonts w:hint="eastAsia" w:ascii="宋体" w:hAnsi="宋体"/>
          <w:szCs w:val="21"/>
        </w:rPr>
        <w:t>22.1.6  紧急情况下无能力或不愿进行抢救</w:t>
      </w:r>
    </w:p>
    <w:p w14:paraId="4E8C1086">
      <w:pPr>
        <w:spacing w:line="360" w:lineRule="auto"/>
        <w:rPr>
          <w:rFonts w:hint="eastAsia" w:ascii="宋体" w:hAnsi="宋体"/>
          <w:szCs w:val="21"/>
        </w:rPr>
      </w:pPr>
      <w:r>
        <w:rPr>
          <w:rFonts w:hint="eastAsia" w:ascii="宋体" w:hAnsi="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6E62C689">
      <w:pPr>
        <w:spacing w:line="360" w:lineRule="auto"/>
        <w:ind w:firstLine="420" w:firstLineChars="200"/>
        <w:rPr>
          <w:rFonts w:hint="eastAsia" w:ascii="宋体" w:hAnsi="宋体"/>
          <w:szCs w:val="21"/>
        </w:rPr>
      </w:pPr>
      <w:bookmarkStart w:id="914" w:name="_BookMark_248"/>
      <w:bookmarkEnd w:id="914"/>
      <w:r>
        <w:rPr>
          <w:rFonts w:hint="eastAsia" w:ascii="宋体" w:hAnsi="宋体"/>
          <w:szCs w:val="21"/>
        </w:rPr>
        <w:t>22.2  发包人违约</w:t>
      </w:r>
    </w:p>
    <w:p w14:paraId="5E675826">
      <w:pPr>
        <w:spacing w:line="360" w:lineRule="auto"/>
        <w:rPr>
          <w:rFonts w:hint="eastAsia" w:ascii="宋体" w:hAnsi="宋体"/>
          <w:szCs w:val="21"/>
        </w:rPr>
      </w:pPr>
      <w:r>
        <w:rPr>
          <w:rFonts w:hint="eastAsia" w:ascii="宋体" w:hAnsi="宋体"/>
          <w:szCs w:val="21"/>
        </w:rPr>
        <w:t>22.2.1  发包人违约的情形</w:t>
      </w:r>
    </w:p>
    <w:p w14:paraId="3DAD96AD">
      <w:pPr>
        <w:spacing w:line="360" w:lineRule="auto"/>
        <w:rPr>
          <w:rFonts w:hint="eastAsia" w:ascii="宋体" w:hAnsi="宋体"/>
          <w:szCs w:val="21"/>
        </w:rPr>
      </w:pPr>
      <w:r>
        <w:rPr>
          <w:rFonts w:hint="eastAsia" w:ascii="宋体" w:hAnsi="宋体"/>
          <w:szCs w:val="21"/>
        </w:rPr>
        <w:t>在履行合同过程中发生的下列情形，属发包人违约：</w:t>
      </w:r>
    </w:p>
    <w:p w14:paraId="477A41C4">
      <w:pPr>
        <w:spacing w:line="360" w:lineRule="auto"/>
        <w:rPr>
          <w:rFonts w:hint="eastAsia" w:ascii="宋体" w:hAnsi="宋体"/>
          <w:szCs w:val="21"/>
        </w:rPr>
      </w:pPr>
      <w:r>
        <w:rPr>
          <w:rFonts w:hint="eastAsia" w:ascii="宋体" w:hAnsi="宋体"/>
          <w:szCs w:val="21"/>
        </w:rPr>
        <w:t>（1）发包人未能按合同约定支付预付款或合同价款，或拖延、拒绝批准付款申请和支付凭证，导致付款延误的；</w:t>
      </w:r>
    </w:p>
    <w:p w14:paraId="3839CAA7">
      <w:pPr>
        <w:spacing w:line="360" w:lineRule="auto"/>
        <w:rPr>
          <w:rFonts w:hint="eastAsia" w:ascii="宋体" w:hAnsi="宋体"/>
          <w:szCs w:val="21"/>
        </w:rPr>
      </w:pPr>
      <w:r>
        <w:rPr>
          <w:rFonts w:hint="eastAsia" w:ascii="宋体" w:hAnsi="宋体"/>
          <w:szCs w:val="21"/>
        </w:rPr>
        <w:t>（2）发包人原因造成停工的；</w:t>
      </w:r>
    </w:p>
    <w:p w14:paraId="1C204954">
      <w:pPr>
        <w:spacing w:line="360" w:lineRule="auto"/>
        <w:rPr>
          <w:rFonts w:hint="eastAsia" w:ascii="宋体" w:hAnsi="宋体"/>
          <w:szCs w:val="21"/>
        </w:rPr>
      </w:pPr>
      <w:r>
        <w:rPr>
          <w:rFonts w:hint="eastAsia" w:ascii="宋体" w:hAnsi="宋体"/>
          <w:szCs w:val="21"/>
        </w:rPr>
        <w:t>（3）监理人无正当理由没有在约定期限内发出复工指示，导致承包人无法复工的；</w:t>
      </w:r>
    </w:p>
    <w:p w14:paraId="1DA9DB22">
      <w:pPr>
        <w:spacing w:line="360" w:lineRule="auto"/>
        <w:rPr>
          <w:rFonts w:hint="eastAsia" w:ascii="宋体" w:hAnsi="宋体"/>
          <w:szCs w:val="21"/>
        </w:rPr>
      </w:pPr>
      <w:r>
        <w:rPr>
          <w:rFonts w:hint="eastAsia" w:ascii="宋体" w:hAnsi="宋体"/>
          <w:szCs w:val="21"/>
        </w:rPr>
        <w:t>（4）发包人无法继续履行或明确表示不履行或实质上已停止履行合同的；</w:t>
      </w:r>
    </w:p>
    <w:p w14:paraId="184862FF">
      <w:pPr>
        <w:spacing w:line="360" w:lineRule="auto"/>
        <w:rPr>
          <w:rFonts w:hint="eastAsia" w:ascii="宋体" w:hAnsi="宋体"/>
          <w:szCs w:val="21"/>
        </w:rPr>
      </w:pPr>
      <w:r>
        <w:rPr>
          <w:rFonts w:hint="eastAsia" w:ascii="宋体" w:hAnsi="宋体"/>
          <w:szCs w:val="21"/>
        </w:rPr>
        <w:t>（5）发包人不履行合同约定其他义务的。</w:t>
      </w:r>
    </w:p>
    <w:p w14:paraId="2C0A9A98">
      <w:pPr>
        <w:spacing w:line="360" w:lineRule="auto"/>
        <w:rPr>
          <w:rFonts w:hint="eastAsia" w:ascii="宋体" w:hAnsi="宋体"/>
          <w:szCs w:val="21"/>
        </w:rPr>
      </w:pPr>
      <w:r>
        <w:rPr>
          <w:rFonts w:hint="eastAsia" w:ascii="宋体" w:hAnsi="宋体"/>
          <w:szCs w:val="21"/>
        </w:rPr>
        <w:t>22.2.2  承包人有权暂停施工</w:t>
      </w:r>
    </w:p>
    <w:p w14:paraId="2DD97769">
      <w:pPr>
        <w:spacing w:line="360" w:lineRule="auto"/>
        <w:rPr>
          <w:rFonts w:hint="eastAsia" w:ascii="宋体" w:hAnsi="宋体"/>
          <w:szCs w:val="21"/>
        </w:rPr>
      </w:pPr>
      <w:r>
        <w:rPr>
          <w:rFonts w:hint="eastAsia" w:ascii="宋体" w:hAnsi="宋体"/>
          <w:szCs w:val="21"/>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0AC6C7D9">
      <w:pPr>
        <w:spacing w:line="360" w:lineRule="auto"/>
        <w:rPr>
          <w:rFonts w:hint="eastAsia" w:ascii="宋体" w:hAnsi="宋体"/>
          <w:szCs w:val="21"/>
        </w:rPr>
      </w:pPr>
      <w:r>
        <w:rPr>
          <w:rFonts w:hint="eastAsia" w:ascii="宋体" w:hAnsi="宋体"/>
          <w:szCs w:val="21"/>
        </w:rPr>
        <w:t xml:space="preserve">22.2.3  发包人违约解除合同 </w:t>
      </w:r>
    </w:p>
    <w:p w14:paraId="06ED7500">
      <w:pPr>
        <w:spacing w:line="360" w:lineRule="auto"/>
        <w:rPr>
          <w:rFonts w:hint="eastAsia" w:ascii="宋体" w:hAnsi="宋体"/>
          <w:szCs w:val="21"/>
        </w:rPr>
      </w:pPr>
      <w:r>
        <w:rPr>
          <w:rFonts w:hint="eastAsia" w:ascii="宋体" w:hAnsi="宋体"/>
          <w:szCs w:val="21"/>
        </w:rPr>
        <w:t xml:space="preserve">（1）发生第22.2.1（4）目的违约情况时，承包人可书面通知发包人解除合同。   </w:t>
      </w:r>
    </w:p>
    <w:p w14:paraId="5EAE3812">
      <w:pPr>
        <w:spacing w:line="360" w:lineRule="auto"/>
        <w:rPr>
          <w:rFonts w:hint="eastAsia" w:ascii="宋体" w:hAnsi="宋体"/>
          <w:szCs w:val="21"/>
        </w:rPr>
      </w:pPr>
      <w:r>
        <w:rPr>
          <w:rFonts w:hint="eastAsia" w:ascii="宋体" w:hAnsi="宋体"/>
          <w:szCs w:val="21"/>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5CA9F7C8">
      <w:pPr>
        <w:spacing w:line="360" w:lineRule="auto"/>
        <w:rPr>
          <w:rFonts w:hint="eastAsia" w:ascii="宋体" w:hAnsi="宋体"/>
          <w:szCs w:val="21"/>
        </w:rPr>
      </w:pPr>
      <w:r>
        <w:rPr>
          <w:rFonts w:hint="eastAsia" w:ascii="宋体" w:hAnsi="宋体"/>
          <w:szCs w:val="21"/>
        </w:rPr>
        <w:t>22.2.4  解除合同后的付款</w:t>
      </w:r>
    </w:p>
    <w:p w14:paraId="7F93AD69">
      <w:pPr>
        <w:spacing w:line="360" w:lineRule="auto"/>
        <w:rPr>
          <w:rFonts w:hint="eastAsia" w:ascii="宋体" w:hAnsi="宋体"/>
          <w:szCs w:val="21"/>
        </w:rPr>
      </w:pPr>
      <w:r>
        <w:rPr>
          <w:rFonts w:hint="eastAsia" w:ascii="宋体" w:hAnsi="宋体"/>
          <w:szCs w:val="21"/>
        </w:rPr>
        <w:t>因发包人违约解除合同的，发包人应在解除合同后28天内向承包人支付下列金额，承包人应在此期限内及时向发包人提交要求支付下列金额的有关资料和凭证：</w:t>
      </w:r>
    </w:p>
    <w:p w14:paraId="5F709BB7">
      <w:pPr>
        <w:spacing w:line="360" w:lineRule="auto"/>
        <w:rPr>
          <w:rFonts w:hint="eastAsia" w:ascii="宋体" w:hAnsi="宋体"/>
          <w:szCs w:val="21"/>
        </w:rPr>
      </w:pPr>
      <w:r>
        <w:rPr>
          <w:rFonts w:hint="eastAsia" w:ascii="宋体" w:hAnsi="宋体"/>
          <w:szCs w:val="21"/>
        </w:rPr>
        <w:t>（1）合同解除日以前所完成工作的价款；</w:t>
      </w:r>
    </w:p>
    <w:p w14:paraId="7E129E02">
      <w:pPr>
        <w:spacing w:line="360" w:lineRule="auto"/>
        <w:rPr>
          <w:rFonts w:hint="eastAsia" w:ascii="宋体" w:hAnsi="宋体"/>
          <w:szCs w:val="21"/>
        </w:rPr>
      </w:pPr>
      <w:r>
        <w:rPr>
          <w:rFonts w:hint="eastAsia" w:ascii="宋体" w:hAnsi="宋体"/>
          <w:szCs w:val="21"/>
        </w:rPr>
        <w:t>（2）承包人为该工程施工订购并已付款的材料、工程设备和其他物品的金额。发包人付还后，该材料、工程设备和其他物品归发包人所有；</w:t>
      </w:r>
    </w:p>
    <w:p w14:paraId="2B44AD76">
      <w:pPr>
        <w:spacing w:line="360" w:lineRule="auto"/>
        <w:rPr>
          <w:rFonts w:hint="eastAsia" w:ascii="宋体" w:hAnsi="宋体"/>
          <w:szCs w:val="21"/>
        </w:rPr>
      </w:pPr>
      <w:r>
        <w:rPr>
          <w:rFonts w:hint="eastAsia" w:ascii="宋体" w:hAnsi="宋体"/>
          <w:szCs w:val="21"/>
        </w:rPr>
        <w:t>（3）承包人为完成工程所发生的，而发包人未支付的金额；</w:t>
      </w:r>
    </w:p>
    <w:p w14:paraId="04BF4FBA">
      <w:pPr>
        <w:spacing w:line="360" w:lineRule="auto"/>
        <w:rPr>
          <w:rFonts w:hint="eastAsia" w:ascii="宋体" w:hAnsi="宋体"/>
          <w:szCs w:val="21"/>
        </w:rPr>
      </w:pPr>
      <w:r>
        <w:rPr>
          <w:rFonts w:hint="eastAsia" w:ascii="宋体" w:hAnsi="宋体"/>
          <w:szCs w:val="21"/>
        </w:rPr>
        <w:t>（4）承包人撤离施工场地以及遣散承包人人员的金额；</w:t>
      </w:r>
    </w:p>
    <w:p w14:paraId="3A624D77">
      <w:pPr>
        <w:spacing w:line="360" w:lineRule="auto"/>
        <w:rPr>
          <w:rFonts w:hint="eastAsia" w:ascii="宋体" w:hAnsi="宋体"/>
          <w:szCs w:val="21"/>
        </w:rPr>
      </w:pPr>
      <w:r>
        <w:rPr>
          <w:rFonts w:hint="eastAsia" w:ascii="宋体" w:hAnsi="宋体"/>
          <w:szCs w:val="21"/>
        </w:rPr>
        <w:t>（5）由于解除合同应赔偿的承包人损失；</w:t>
      </w:r>
    </w:p>
    <w:p w14:paraId="68429F3A">
      <w:pPr>
        <w:spacing w:line="360" w:lineRule="auto"/>
        <w:rPr>
          <w:rFonts w:hint="eastAsia" w:ascii="宋体" w:hAnsi="宋体"/>
          <w:szCs w:val="21"/>
        </w:rPr>
      </w:pPr>
      <w:r>
        <w:rPr>
          <w:rFonts w:hint="eastAsia" w:ascii="宋体" w:hAnsi="宋体"/>
          <w:szCs w:val="21"/>
        </w:rPr>
        <w:t>（6）按合同约定在合同解除日前应支付给承包人的其他金额。</w:t>
      </w:r>
    </w:p>
    <w:p w14:paraId="5EE35B78">
      <w:pPr>
        <w:spacing w:line="360" w:lineRule="auto"/>
        <w:rPr>
          <w:rFonts w:hint="eastAsia" w:ascii="宋体" w:hAnsi="宋体"/>
          <w:szCs w:val="21"/>
        </w:rPr>
      </w:pPr>
      <w:r>
        <w:rPr>
          <w:rFonts w:hint="eastAsia" w:ascii="宋体" w:hAnsi="宋体"/>
          <w:szCs w:val="21"/>
        </w:rPr>
        <w:t>发包人应按本项约定支付上述金额并退还质量保证金或退还质量保证金保函和履约担保，但有权要求承包人支付应偿还给发包人的各项金额。</w:t>
      </w:r>
    </w:p>
    <w:p w14:paraId="5338FDE8">
      <w:pPr>
        <w:spacing w:line="360" w:lineRule="auto"/>
        <w:rPr>
          <w:rFonts w:hint="eastAsia" w:ascii="宋体" w:hAnsi="宋体"/>
          <w:szCs w:val="21"/>
        </w:rPr>
      </w:pPr>
      <w:r>
        <w:rPr>
          <w:rFonts w:hint="eastAsia" w:ascii="宋体" w:hAnsi="宋体"/>
          <w:szCs w:val="21"/>
        </w:rPr>
        <w:t>22.2.5  解除合同后的承包人撤离</w:t>
      </w:r>
    </w:p>
    <w:p w14:paraId="4C719C06">
      <w:pPr>
        <w:spacing w:line="360" w:lineRule="auto"/>
        <w:rPr>
          <w:rFonts w:hint="eastAsia" w:ascii="宋体" w:hAnsi="宋体"/>
          <w:szCs w:val="21"/>
        </w:rPr>
      </w:pPr>
      <w:r>
        <w:rPr>
          <w:rFonts w:hint="eastAsia" w:ascii="宋体" w:hAnsi="宋体"/>
          <w:szCs w:val="21"/>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3D7B7DDA">
      <w:pPr>
        <w:spacing w:line="360" w:lineRule="auto"/>
        <w:rPr>
          <w:rFonts w:hint="eastAsia" w:ascii="宋体" w:hAnsi="宋体"/>
          <w:szCs w:val="21"/>
        </w:rPr>
      </w:pPr>
      <w:bookmarkStart w:id="915" w:name="_BookMark_249"/>
      <w:bookmarkEnd w:id="915"/>
      <w:r>
        <w:rPr>
          <w:rFonts w:hint="eastAsia" w:ascii="宋体" w:hAnsi="宋体"/>
          <w:szCs w:val="21"/>
        </w:rPr>
        <w:t>22.3  第三人造成的违约</w:t>
      </w:r>
    </w:p>
    <w:p w14:paraId="4597EEB5">
      <w:pPr>
        <w:spacing w:line="360" w:lineRule="auto"/>
        <w:rPr>
          <w:rFonts w:hint="eastAsia" w:ascii="宋体" w:hAns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14:paraId="70AD7FC6">
      <w:pPr>
        <w:adjustRightInd w:val="0"/>
        <w:snapToGrid w:val="0"/>
        <w:spacing w:line="360" w:lineRule="auto"/>
        <w:outlineLvl w:val="2"/>
        <w:rPr>
          <w:rFonts w:hint="eastAsia" w:ascii="宋体" w:hAnsi="宋体"/>
          <w:sz w:val="28"/>
        </w:rPr>
      </w:pPr>
      <w:bookmarkStart w:id="916" w:name="_BookMark_250"/>
      <w:bookmarkEnd w:id="916"/>
      <w:bookmarkStart w:id="917" w:name="_Toc532542656"/>
      <w:bookmarkStart w:id="918" w:name="_Toc196225928"/>
      <w:bookmarkStart w:id="919" w:name="_Toc162620954"/>
      <w:bookmarkStart w:id="920" w:name="_Toc528247500"/>
      <w:r>
        <w:rPr>
          <w:rFonts w:hint="eastAsia" w:ascii="宋体" w:hAnsi="宋体"/>
          <w:sz w:val="28"/>
        </w:rPr>
        <w:t>23.索赔</w:t>
      </w:r>
      <w:bookmarkEnd w:id="917"/>
      <w:bookmarkEnd w:id="918"/>
      <w:bookmarkEnd w:id="919"/>
      <w:bookmarkEnd w:id="920"/>
    </w:p>
    <w:p w14:paraId="4B0BCFF5">
      <w:pPr>
        <w:spacing w:line="360" w:lineRule="auto"/>
        <w:ind w:firstLine="420" w:firstLineChars="200"/>
        <w:rPr>
          <w:rFonts w:hint="eastAsia" w:ascii="宋体" w:hAnsi="宋体"/>
          <w:szCs w:val="21"/>
        </w:rPr>
      </w:pPr>
      <w:bookmarkStart w:id="921" w:name="_BookMark_251"/>
      <w:bookmarkEnd w:id="921"/>
      <w:r>
        <w:rPr>
          <w:rFonts w:hint="eastAsia" w:ascii="宋体" w:hAnsi="宋体"/>
          <w:szCs w:val="21"/>
        </w:rPr>
        <w:t>23.1  承包人索赔的提出</w:t>
      </w:r>
    </w:p>
    <w:p w14:paraId="1F35BBC1">
      <w:pPr>
        <w:spacing w:line="360" w:lineRule="auto"/>
        <w:rPr>
          <w:rFonts w:hint="eastAsia" w:ascii="宋体" w:hAnsi="宋体"/>
          <w:szCs w:val="21"/>
        </w:rPr>
      </w:pPr>
      <w:r>
        <w:rPr>
          <w:rFonts w:hint="eastAsia" w:ascii="宋体" w:hAnsi="宋体"/>
          <w:szCs w:val="21"/>
        </w:rPr>
        <w:t>根据合同约定，承包人认为有权得到追加付款和（或）延长工期的，应按以下程序向发包人提出索赔：</w:t>
      </w:r>
    </w:p>
    <w:p w14:paraId="6B70951B">
      <w:pPr>
        <w:spacing w:line="360" w:lineRule="auto"/>
        <w:rPr>
          <w:rFonts w:hint="eastAsia" w:ascii="宋体" w:hAnsi="宋体"/>
          <w:szCs w:val="21"/>
        </w:rPr>
      </w:pPr>
      <w:r>
        <w:rPr>
          <w:rFonts w:hint="eastAsia" w:ascii="宋体" w:hAnsi="宋体"/>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9151D46">
      <w:pPr>
        <w:spacing w:line="360" w:lineRule="auto"/>
        <w:rPr>
          <w:rFonts w:hint="eastAsia" w:ascii="宋体" w:hAnsi="宋体"/>
          <w:szCs w:val="21"/>
        </w:rPr>
      </w:pPr>
      <w:r>
        <w:rPr>
          <w:rFonts w:hint="eastAsia" w:ascii="宋体" w:hAnsi="宋体"/>
          <w:szCs w:val="21"/>
        </w:rPr>
        <w:t>（2）承包人应在发出索赔意向通知书后28天内，向监理人正式递交索赔通知书。索赔通知书应详细说明索赔理由以及要求追加的付款金额和（或）延长的工期，并附必要的记录和证明材料；</w:t>
      </w:r>
    </w:p>
    <w:p w14:paraId="1A10F8FF">
      <w:pPr>
        <w:spacing w:line="360" w:lineRule="auto"/>
        <w:rPr>
          <w:rFonts w:hint="eastAsia" w:ascii="宋体" w:hAnsi="宋体"/>
          <w:szCs w:val="21"/>
        </w:rPr>
      </w:pPr>
      <w:r>
        <w:rPr>
          <w:rFonts w:hint="eastAsia" w:ascii="宋体" w:hAnsi="宋体"/>
          <w:szCs w:val="21"/>
        </w:rPr>
        <w:t>（3）索赔事件具有连续影响的，承包人应按合理时间间隔继续递交延续索赔通知，说明连续影响的实际情况和记录，列出累计的追加付款金额和（或）工期延长天数；</w:t>
      </w:r>
    </w:p>
    <w:p w14:paraId="182D1E10">
      <w:pPr>
        <w:spacing w:line="360" w:lineRule="auto"/>
        <w:rPr>
          <w:rFonts w:hint="eastAsia" w:ascii="宋体" w:hAnsi="宋体"/>
          <w:szCs w:val="21"/>
        </w:rPr>
      </w:pPr>
      <w:r>
        <w:rPr>
          <w:rFonts w:hint="eastAsia" w:ascii="宋体" w:hAnsi="宋体"/>
          <w:szCs w:val="21"/>
        </w:rPr>
        <w:t>（4）在索赔事件影响结束后的28天内，承包人应向监理人递交最终索赔通知书，说明最终要求索赔的追加付款金额和延长的工期，并附必要的记录和证明材料。</w:t>
      </w:r>
    </w:p>
    <w:p w14:paraId="15E713F9">
      <w:pPr>
        <w:spacing w:line="360" w:lineRule="auto"/>
        <w:ind w:firstLine="420" w:firstLineChars="200"/>
        <w:rPr>
          <w:rFonts w:hint="eastAsia" w:ascii="宋体" w:hAnsi="宋体"/>
          <w:szCs w:val="21"/>
        </w:rPr>
      </w:pPr>
      <w:bookmarkStart w:id="922" w:name="_BookMark_252"/>
      <w:bookmarkEnd w:id="922"/>
      <w:r>
        <w:rPr>
          <w:rFonts w:hint="eastAsia" w:ascii="宋体" w:hAnsi="宋体"/>
          <w:szCs w:val="21"/>
        </w:rPr>
        <w:t>23.2  承包人索赔处理程序</w:t>
      </w:r>
    </w:p>
    <w:p w14:paraId="5CF5E7DC">
      <w:pPr>
        <w:spacing w:line="360" w:lineRule="auto"/>
        <w:rPr>
          <w:rFonts w:hint="eastAsia" w:ascii="宋体" w:hAnsi="宋体"/>
          <w:szCs w:val="21"/>
        </w:rPr>
      </w:pPr>
      <w:r>
        <w:rPr>
          <w:rFonts w:hint="eastAsia" w:ascii="宋体" w:hAnsi="宋体"/>
          <w:szCs w:val="21"/>
        </w:rPr>
        <w:t>（1）监理人收到承包人提交的索赔通知书后，应及时审查索赔通知书的内容、查验承包人的记录和证明材料，必要时监理人可要求承包人提交全部原始记录副本。</w:t>
      </w:r>
    </w:p>
    <w:p w14:paraId="60CCC9CC">
      <w:pPr>
        <w:spacing w:line="360" w:lineRule="auto"/>
        <w:rPr>
          <w:rFonts w:hint="eastAsia" w:ascii="宋体" w:hAnsi="宋体"/>
          <w:szCs w:val="21"/>
        </w:rPr>
      </w:pPr>
      <w:r>
        <w:rPr>
          <w:rFonts w:hint="eastAsia" w:ascii="宋体" w:hAnsi="宋体"/>
          <w:szCs w:val="21"/>
        </w:rPr>
        <w:t>（2）监理人应按第3.5款商定或确定追加的付款和（或）延长的工期，并在收到上述索赔通知书或有关索赔的进一步证明材料后的42天内，将索赔处理结果答复承包人。</w:t>
      </w:r>
    </w:p>
    <w:p w14:paraId="2B668003">
      <w:pPr>
        <w:spacing w:line="360" w:lineRule="auto"/>
        <w:rPr>
          <w:rFonts w:hint="eastAsia" w:ascii="宋体" w:hAnsi="宋体"/>
          <w:szCs w:val="21"/>
        </w:rPr>
      </w:pPr>
      <w:r>
        <w:rPr>
          <w:rFonts w:hint="eastAsia" w:ascii="宋体" w:hAnsi="宋体"/>
          <w:szCs w:val="21"/>
        </w:rPr>
        <w:t>（3）承包人接受索赔处理结果的，发包人应在作出索赔处理结果答复后28天内完成赔付。承包人不接受索赔处理结果的，按第24条的约定办理。</w:t>
      </w:r>
    </w:p>
    <w:p w14:paraId="1649B1F5">
      <w:pPr>
        <w:spacing w:line="360" w:lineRule="auto"/>
        <w:ind w:firstLine="420" w:firstLineChars="200"/>
        <w:rPr>
          <w:rFonts w:hint="eastAsia" w:ascii="宋体" w:hAnsi="宋体"/>
          <w:szCs w:val="21"/>
        </w:rPr>
      </w:pPr>
      <w:bookmarkStart w:id="923" w:name="_BookMark_253"/>
      <w:bookmarkEnd w:id="923"/>
      <w:r>
        <w:rPr>
          <w:rFonts w:hint="eastAsia" w:ascii="宋体" w:hAnsi="宋体"/>
          <w:szCs w:val="21"/>
        </w:rPr>
        <w:t>23.3  承包人提出索赔的期限</w:t>
      </w:r>
    </w:p>
    <w:p w14:paraId="243CC6B1">
      <w:pPr>
        <w:spacing w:line="360" w:lineRule="auto"/>
        <w:rPr>
          <w:rFonts w:hint="eastAsia" w:ascii="宋体" w:hAnsi="宋体"/>
          <w:szCs w:val="21"/>
        </w:rPr>
      </w:pPr>
      <w:r>
        <w:rPr>
          <w:rFonts w:hint="eastAsia" w:ascii="宋体" w:hAnsi="宋体"/>
          <w:szCs w:val="21"/>
        </w:rPr>
        <w:t>23.3.1  承包人按第17.5款的约定接受了竣工付款证书后，应被认为已无权再提出在合同工程接收证书颁发前所发生的任何索赔。</w:t>
      </w:r>
    </w:p>
    <w:p w14:paraId="4A9F411A">
      <w:pPr>
        <w:spacing w:line="360" w:lineRule="auto"/>
        <w:rPr>
          <w:rFonts w:hint="eastAsia" w:ascii="宋体" w:hAnsi="宋体"/>
          <w:szCs w:val="21"/>
        </w:rPr>
      </w:pPr>
      <w:r>
        <w:rPr>
          <w:rFonts w:hint="eastAsia" w:ascii="宋体" w:hAnsi="宋体"/>
          <w:szCs w:val="21"/>
        </w:rPr>
        <w:t xml:space="preserve">23.3.2  承包人按第17.6款的约定提交的最终结清申请单中，只限于提出工程接收证书颁发后发生的索赔。提出索赔的期限自接受最终结清证书时终止。 </w:t>
      </w:r>
    </w:p>
    <w:p w14:paraId="5A916340">
      <w:pPr>
        <w:spacing w:line="360" w:lineRule="auto"/>
        <w:ind w:firstLine="420" w:firstLineChars="200"/>
        <w:rPr>
          <w:rFonts w:hint="eastAsia" w:ascii="宋体" w:hAnsi="宋体"/>
          <w:szCs w:val="21"/>
        </w:rPr>
      </w:pPr>
      <w:bookmarkStart w:id="924" w:name="_BookMark_254"/>
      <w:bookmarkEnd w:id="924"/>
      <w:r>
        <w:rPr>
          <w:rFonts w:hint="eastAsia" w:ascii="宋体" w:hAnsi="宋体"/>
          <w:szCs w:val="21"/>
        </w:rPr>
        <w:t>23.4  发包人的索赔</w:t>
      </w:r>
    </w:p>
    <w:p w14:paraId="1699822B">
      <w:pPr>
        <w:spacing w:line="360" w:lineRule="auto"/>
        <w:rPr>
          <w:rFonts w:hint="eastAsia" w:ascii="宋体" w:hAnsi="宋体"/>
          <w:szCs w:val="21"/>
        </w:rPr>
      </w:pPr>
      <w:r>
        <w:rPr>
          <w:rFonts w:hint="eastAsia" w:ascii="宋体" w:hAnsi="宋体"/>
          <w:szCs w:val="21"/>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1A235F06">
      <w:pPr>
        <w:spacing w:line="360" w:lineRule="auto"/>
        <w:rPr>
          <w:rFonts w:hint="eastAsia" w:ascii="宋体" w:hAnsi="宋体"/>
          <w:szCs w:val="21"/>
        </w:rPr>
      </w:pPr>
      <w:r>
        <w:rPr>
          <w:rFonts w:hint="eastAsia" w:ascii="宋体" w:hAnsi="宋体"/>
          <w:szCs w:val="21"/>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5A0133E2">
      <w:pPr>
        <w:adjustRightInd w:val="0"/>
        <w:snapToGrid w:val="0"/>
        <w:spacing w:line="360" w:lineRule="auto"/>
        <w:outlineLvl w:val="2"/>
        <w:rPr>
          <w:rFonts w:hint="eastAsia" w:ascii="宋体" w:hAnsi="宋体"/>
          <w:sz w:val="28"/>
        </w:rPr>
      </w:pPr>
      <w:bookmarkStart w:id="925" w:name="_BookMark_255"/>
      <w:bookmarkEnd w:id="925"/>
      <w:bookmarkStart w:id="926" w:name="_Toc528247501"/>
      <w:bookmarkStart w:id="927" w:name="_Toc196225929"/>
      <w:bookmarkStart w:id="928" w:name="_Toc162620955"/>
      <w:bookmarkStart w:id="929" w:name="_Toc532542657"/>
      <w:r>
        <w:rPr>
          <w:rFonts w:hint="eastAsia" w:ascii="宋体" w:hAnsi="宋体"/>
          <w:sz w:val="28"/>
        </w:rPr>
        <w:t>24.争议的解决</w:t>
      </w:r>
      <w:bookmarkEnd w:id="926"/>
      <w:bookmarkEnd w:id="927"/>
      <w:bookmarkEnd w:id="928"/>
      <w:bookmarkEnd w:id="929"/>
    </w:p>
    <w:p w14:paraId="7B30429C">
      <w:pPr>
        <w:spacing w:line="360" w:lineRule="auto"/>
        <w:rPr>
          <w:rFonts w:hint="eastAsia" w:ascii="宋体" w:hAnsi="宋体"/>
          <w:szCs w:val="21"/>
        </w:rPr>
      </w:pPr>
      <w:bookmarkStart w:id="930" w:name="_BookMark_256"/>
      <w:bookmarkEnd w:id="930"/>
      <w:r>
        <w:rPr>
          <w:rFonts w:hint="eastAsia" w:ascii="宋体" w:hAnsi="宋体"/>
          <w:szCs w:val="21"/>
        </w:rPr>
        <w:t>24.1  争议的解决方式</w:t>
      </w:r>
    </w:p>
    <w:p w14:paraId="05784EE4">
      <w:pPr>
        <w:spacing w:line="360" w:lineRule="auto"/>
        <w:rPr>
          <w:rFonts w:hint="eastAsia" w:ascii="宋体" w:hAnsi="宋体"/>
          <w:szCs w:val="21"/>
        </w:rPr>
      </w:pPr>
      <w:r>
        <w:rPr>
          <w:rFonts w:hint="eastAsia" w:ascii="宋体" w:hAnsi="宋体"/>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737729D0">
      <w:pPr>
        <w:spacing w:line="360" w:lineRule="auto"/>
        <w:rPr>
          <w:rFonts w:hint="eastAsia" w:ascii="宋体" w:hAnsi="宋体"/>
          <w:szCs w:val="21"/>
        </w:rPr>
      </w:pPr>
      <w:r>
        <w:rPr>
          <w:rFonts w:hint="eastAsia" w:ascii="宋体" w:hAnsi="宋体"/>
          <w:szCs w:val="21"/>
        </w:rPr>
        <w:t>（1）向约定的仲裁委员会申请仲裁；</w:t>
      </w:r>
    </w:p>
    <w:p w14:paraId="3D8BF81D">
      <w:pPr>
        <w:spacing w:line="360" w:lineRule="auto"/>
        <w:rPr>
          <w:rFonts w:hint="eastAsia" w:ascii="宋体" w:hAnsi="宋体"/>
          <w:szCs w:val="21"/>
        </w:rPr>
      </w:pPr>
      <w:r>
        <w:rPr>
          <w:rFonts w:hint="eastAsia" w:ascii="宋体" w:hAnsi="宋体"/>
          <w:szCs w:val="21"/>
        </w:rPr>
        <w:t>（2）向有管辖权的人民法院提起诉讼。</w:t>
      </w:r>
    </w:p>
    <w:p w14:paraId="3DBA4B93">
      <w:pPr>
        <w:spacing w:line="360" w:lineRule="auto"/>
        <w:rPr>
          <w:rFonts w:hint="eastAsia" w:ascii="宋体" w:hAnsi="宋体"/>
          <w:szCs w:val="21"/>
        </w:rPr>
      </w:pPr>
      <w:bookmarkStart w:id="931" w:name="_BookMark_257"/>
      <w:bookmarkEnd w:id="931"/>
      <w:r>
        <w:rPr>
          <w:rFonts w:hint="eastAsia" w:ascii="宋体" w:hAnsi="宋体"/>
          <w:szCs w:val="21"/>
        </w:rPr>
        <w:t>24.2  友好解决</w:t>
      </w:r>
    </w:p>
    <w:p w14:paraId="2EF2147B">
      <w:pPr>
        <w:spacing w:line="360" w:lineRule="auto"/>
        <w:rPr>
          <w:rFonts w:hint="eastAsia" w:ascii="宋体" w:hAnsi="宋体"/>
          <w:szCs w:val="21"/>
        </w:rPr>
      </w:pPr>
      <w:r>
        <w:rPr>
          <w:rFonts w:hint="eastAsia" w:ascii="宋体" w:hAnsi="宋体"/>
          <w:szCs w:val="21"/>
        </w:rPr>
        <w:t>在提请争议评审、仲裁或者诉讼前，以及在争议评审、仲裁或诉讼过程中，发包人和承包人均可共同努力友好协商解决争议。</w:t>
      </w:r>
    </w:p>
    <w:p w14:paraId="18087081">
      <w:pPr>
        <w:spacing w:line="360" w:lineRule="auto"/>
        <w:rPr>
          <w:rFonts w:hint="eastAsia" w:ascii="宋体" w:hAnsi="宋体"/>
          <w:szCs w:val="21"/>
        </w:rPr>
      </w:pPr>
      <w:bookmarkStart w:id="932" w:name="_BookMark_258"/>
      <w:bookmarkEnd w:id="932"/>
      <w:r>
        <w:rPr>
          <w:rFonts w:hint="eastAsia" w:ascii="宋体" w:hAnsi="宋体"/>
          <w:szCs w:val="21"/>
        </w:rPr>
        <w:t>24.3  争议评审</w:t>
      </w:r>
    </w:p>
    <w:p w14:paraId="16D0B2B9">
      <w:pPr>
        <w:spacing w:line="360" w:lineRule="auto"/>
        <w:rPr>
          <w:rFonts w:hint="eastAsia" w:ascii="宋体" w:hAnsi="宋体"/>
          <w:szCs w:val="21"/>
        </w:rPr>
      </w:pPr>
      <w:r>
        <w:rPr>
          <w:rFonts w:hint="eastAsia" w:ascii="宋体" w:hAnsi="宋体"/>
          <w:szCs w:val="21"/>
        </w:rPr>
        <w:t>24.3.1  采用争议评审的，发包人和承包人应在开工日后的28天内或在争议发生后，协商成立争议评审组。争议评审组由有合同管理和工程实践经验的专家组成。</w:t>
      </w:r>
    </w:p>
    <w:p w14:paraId="5F651CFA">
      <w:pPr>
        <w:spacing w:line="360" w:lineRule="auto"/>
        <w:rPr>
          <w:rFonts w:hint="eastAsia" w:ascii="宋体" w:hAnsi="宋体"/>
          <w:szCs w:val="21"/>
        </w:rPr>
      </w:pPr>
      <w:r>
        <w:rPr>
          <w:rFonts w:hint="eastAsia" w:ascii="宋体" w:hAnsi="宋体"/>
          <w:szCs w:val="21"/>
        </w:rPr>
        <w:t>24.3.2  合同双方的争议，应首先由申请人向争议评审组提交一份详细的评审申请报告，并附必要的文件、图纸和证明材料，申请人还应将上述报告的副本同时提交给被申请人和监理人。</w:t>
      </w:r>
    </w:p>
    <w:p w14:paraId="45157E62">
      <w:pPr>
        <w:spacing w:line="360" w:lineRule="auto"/>
        <w:rPr>
          <w:rFonts w:hint="eastAsia" w:ascii="宋体" w:hAnsi="宋体"/>
          <w:szCs w:val="21"/>
        </w:rPr>
      </w:pPr>
      <w:r>
        <w:rPr>
          <w:rFonts w:hint="eastAsia" w:ascii="宋体" w:hAnsi="宋体"/>
          <w:szCs w:val="21"/>
        </w:rPr>
        <w:t>24.3.3  被申请人在收到申请人评审申请报告副本后的28天内，向争议评审组提交一份答辩报告，并附证明材料。被申请人应将答辩报告的副本同时提交给申请人和监理人。</w:t>
      </w:r>
    </w:p>
    <w:p w14:paraId="649E4E17">
      <w:pPr>
        <w:spacing w:line="360" w:lineRule="auto"/>
        <w:rPr>
          <w:rFonts w:hint="eastAsia" w:ascii="宋体" w:hAnsi="宋体"/>
          <w:szCs w:val="21"/>
        </w:rPr>
      </w:pPr>
      <w:r>
        <w:rPr>
          <w:rFonts w:hint="eastAsia" w:ascii="宋体" w:hAnsi="宋体"/>
          <w:szCs w:val="21"/>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2826B60D">
      <w:pPr>
        <w:spacing w:line="360" w:lineRule="auto"/>
        <w:rPr>
          <w:rFonts w:hint="eastAsia" w:ascii="宋体" w:hAnsi="宋体"/>
          <w:szCs w:val="21"/>
        </w:rPr>
      </w:pPr>
      <w:r>
        <w:rPr>
          <w:rFonts w:hint="eastAsia" w:ascii="宋体" w:hAnsi="宋体"/>
          <w:szCs w:val="21"/>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7022E790">
      <w:pPr>
        <w:spacing w:line="360" w:lineRule="auto"/>
        <w:rPr>
          <w:rFonts w:hint="eastAsia" w:ascii="宋体" w:hAnsi="宋体"/>
          <w:szCs w:val="21"/>
        </w:rPr>
      </w:pPr>
      <w:r>
        <w:rPr>
          <w:rFonts w:hint="eastAsia" w:ascii="宋体" w:hAnsi="宋体"/>
          <w:szCs w:val="21"/>
        </w:rPr>
        <w:t>24.3.6  发包人和承包人接受评审意见的，由监理人根据评审意见拟定执行协议，经争议双方签字后作为合同的补充文件，并遵照执行。</w:t>
      </w:r>
    </w:p>
    <w:p w14:paraId="061A6D29">
      <w:pPr>
        <w:spacing w:line="400" w:lineRule="exact"/>
        <w:ind w:firstLine="420" w:firstLineChars="200"/>
        <w:rPr>
          <w:rFonts w:hint="eastAsia" w:ascii="宋体" w:hAnsi="宋体"/>
          <w:sz w:val="24"/>
        </w:rPr>
      </w:pPr>
      <w:r>
        <w:rPr>
          <w:rFonts w:hint="eastAsia" w:ascii="宋体" w:hAnsi="宋体"/>
          <w:szCs w:val="21"/>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3EDA7C76">
      <w:pPr>
        <w:rPr>
          <w:rFonts w:hint="eastAsia" w:ascii="宋体" w:hAnsi="宋体"/>
          <w:sz w:val="28"/>
        </w:rPr>
        <w:sectPr>
          <w:footerReference r:id="rId11" w:type="default"/>
          <w:pgSz w:w="11906" w:h="16838"/>
          <w:pgMar w:top="1440" w:right="1800" w:bottom="1440" w:left="1800" w:header="851" w:footer="992" w:gutter="0"/>
          <w:cols w:space="720" w:num="1"/>
          <w:docGrid w:linePitch="312" w:charSpace="0"/>
        </w:sectPr>
      </w:pPr>
    </w:p>
    <w:p w14:paraId="5EE5880B">
      <w:pPr>
        <w:pStyle w:val="3"/>
      </w:pPr>
      <w:bookmarkStart w:id="933" w:name="_Hlk232672879"/>
      <w:r>
        <w:rPr>
          <w:rFonts w:hint="eastAsia"/>
        </w:rPr>
        <w:t>专用合同条款</w:t>
      </w:r>
    </w:p>
    <w:p w14:paraId="26A0EB49">
      <w:pPr>
        <w:adjustRightInd w:val="0"/>
        <w:snapToGrid w:val="0"/>
        <w:spacing w:line="360" w:lineRule="auto"/>
        <w:outlineLvl w:val="2"/>
        <w:rPr>
          <w:rFonts w:hint="eastAsia" w:ascii="宋体" w:hAnsi="宋体"/>
          <w:sz w:val="28"/>
        </w:rPr>
      </w:pPr>
      <w:bookmarkStart w:id="934" w:name="_Toc196225930"/>
      <w:bookmarkStart w:id="935" w:name="_Toc111445498"/>
      <w:bookmarkStart w:id="936" w:name="_Toc503536373"/>
      <w:bookmarkStart w:id="937" w:name="_Toc454359462"/>
      <w:r>
        <w:rPr>
          <w:rFonts w:ascii="宋体" w:hAnsi="宋体"/>
          <w:sz w:val="28"/>
        </w:rPr>
        <w:t>1.一般约定</w:t>
      </w:r>
      <w:bookmarkEnd w:id="934"/>
    </w:p>
    <w:p w14:paraId="066F0878">
      <w:pPr>
        <w:adjustRightInd w:val="0"/>
        <w:snapToGrid w:val="0"/>
        <w:spacing w:line="360" w:lineRule="auto"/>
        <w:rPr>
          <w:rFonts w:hint="eastAsia" w:ascii="宋体" w:hAnsi="宋体"/>
          <w:sz w:val="24"/>
        </w:rPr>
      </w:pPr>
      <w:r>
        <w:rPr>
          <w:rFonts w:ascii="宋体" w:hAnsi="宋体"/>
          <w:sz w:val="24"/>
        </w:rPr>
        <w:t>1.1词语定义</w:t>
      </w:r>
    </w:p>
    <w:p w14:paraId="6CA498D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1.1.2合同当事人和人员</w:t>
      </w:r>
    </w:p>
    <w:p w14:paraId="01895C1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1.1.2.2发包人：</w:t>
      </w:r>
      <w:r>
        <w:rPr>
          <w:rFonts w:ascii="宋体" w:hAnsi="宋体" w:cs="宋体"/>
          <w:u w:val="single"/>
        </w:rPr>
        <w:t>北京开放大学</w:t>
      </w:r>
      <w:r>
        <w:fldChar w:fldCharType="begin"/>
      </w:r>
      <w:r>
        <w:instrText xml:space="preserve"> AUTOTEXT  input417 \* MERGEFORMAT </w:instrText>
      </w:r>
      <w:r>
        <w:fldChar w:fldCharType="end"/>
      </w:r>
    </w:p>
    <w:p w14:paraId="0D9F618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1.1.2.3承包人：</w:t>
      </w:r>
      <w:r>
        <w:rPr>
          <w:rFonts w:ascii="宋体" w:hAnsi="宋体" w:cs="宋体"/>
          <w:u w:val="single"/>
        </w:rPr>
        <w:t>待定</w:t>
      </w:r>
      <w:r>
        <w:fldChar w:fldCharType="begin"/>
      </w:r>
      <w:r>
        <w:instrText xml:space="preserve"> AUTOTEXT  input834 \* MERGEFORMAT </w:instrText>
      </w:r>
      <w:r>
        <w:fldChar w:fldCharType="end"/>
      </w:r>
    </w:p>
    <w:p w14:paraId="366D839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1.1.2.6监理人：</w:t>
      </w:r>
      <w:r>
        <w:rPr>
          <w:rFonts w:ascii="宋体" w:hAnsi="宋体" w:cs="宋体"/>
          <w:u w:val="single"/>
        </w:rPr>
        <w:t>待定</w:t>
      </w:r>
      <w:r>
        <w:fldChar w:fldCharType="begin"/>
      </w:r>
      <w:r>
        <w:instrText xml:space="preserve"> AUTOTEXT  input418 \* MERGEFORMAT </w:instrText>
      </w:r>
      <w:r>
        <w:fldChar w:fldCharType="end"/>
      </w:r>
    </w:p>
    <w:p w14:paraId="225CF28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1.1.2.8发包人代表：</w:t>
      </w:r>
    </w:p>
    <w:p w14:paraId="62D12B0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姓    名：</w:t>
      </w:r>
      <w:r>
        <w:rPr>
          <w:rFonts w:hint="eastAsia" w:ascii="宋体" w:hAnsi="宋体" w:cs="宋体"/>
          <w:u w:val="single"/>
        </w:rPr>
        <w:t xml:space="preserve"> 王大我 </w:t>
      </w:r>
      <w:r>
        <w:fldChar w:fldCharType="begin"/>
      </w:r>
      <w:r>
        <w:instrText xml:space="preserve"> AUTOTEXT  input419 \* MERGEFORMAT </w:instrText>
      </w:r>
      <w:r>
        <w:fldChar w:fldCharType="end"/>
      </w:r>
      <w:r>
        <w:fldChar w:fldCharType="begin"/>
      </w:r>
      <w:r>
        <w:instrText xml:space="preserve"> AUTOTEXT  input420 \* MERGEFORMAT </w:instrText>
      </w:r>
      <w:r>
        <w:fldChar w:fldCharType="end"/>
      </w:r>
    </w:p>
    <w:p w14:paraId="0D6C099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联系电话：</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82192380  </w:t>
      </w:r>
      <w:r>
        <w:fldChar w:fldCharType="begin"/>
      </w:r>
      <w:r>
        <w:instrText xml:space="preserve"> AUTOTEXT  input421 \* MERGEFORMAT </w:instrText>
      </w:r>
      <w:r>
        <w:fldChar w:fldCharType="end"/>
      </w:r>
      <w:r>
        <w:fldChar w:fldCharType="begin"/>
      </w:r>
      <w:r>
        <w:instrText xml:space="preserve"> AUTOTEXT  input422 \* MERGEFORMAT </w:instrText>
      </w:r>
      <w:r>
        <w:fldChar w:fldCharType="end"/>
      </w:r>
    </w:p>
    <w:p w14:paraId="04B927E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通信地址：</w:t>
      </w:r>
      <w:r>
        <w:rPr>
          <w:rFonts w:hint="eastAsia" w:ascii="宋体" w:hAnsi="宋体" w:cs="宋体"/>
          <w:u w:val="single"/>
        </w:rPr>
        <w:t>北京市海淀区皂君庙甲4号</w:t>
      </w:r>
      <w:r>
        <w:fldChar w:fldCharType="begin"/>
      </w:r>
      <w:r>
        <w:instrText xml:space="preserve"> AUTOTEXT  input423 \* MERGEFORMAT </w:instrText>
      </w:r>
      <w:r>
        <w:fldChar w:fldCharType="end"/>
      </w:r>
    </w:p>
    <w:p w14:paraId="4E3D4D7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w:t>
      </w:r>
      <w:r>
        <w:rPr>
          <w:rFonts w:ascii="宋体" w:hAnsi="宋体"/>
          <w:szCs w:val="21"/>
        </w:rPr>
        <w:t>3</w:t>
      </w:r>
      <w:r>
        <w:rPr>
          <w:rFonts w:hint="eastAsia" w:ascii="宋体" w:hAnsi="宋体"/>
          <w:szCs w:val="21"/>
        </w:rPr>
        <w:t>工程和设备</w:t>
      </w:r>
    </w:p>
    <w:p w14:paraId="20D0D78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w:t>
      </w:r>
      <w:r>
        <w:rPr>
          <w:rFonts w:ascii="宋体" w:hAnsi="宋体"/>
          <w:szCs w:val="21"/>
        </w:rPr>
        <w:t>3</w:t>
      </w:r>
      <w:r>
        <w:rPr>
          <w:rFonts w:hint="eastAsia" w:ascii="宋体" w:hAnsi="宋体"/>
          <w:szCs w:val="21"/>
        </w:rPr>
        <w:t>.2永久工程：</w:t>
      </w:r>
      <w:r>
        <w:rPr>
          <w:rFonts w:ascii="宋体" w:hAnsi="宋体" w:cs="宋体"/>
          <w:u w:val="single"/>
        </w:rPr>
        <w:t>按合同约定及施工图所示范围内全部应当由承包人建造并移交给发包人的工程，包括相关洽商变更。</w:t>
      </w:r>
      <w:r>
        <w:fldChar w:fldCharType="begin"/>
      </w:r>
      <w:r>
        <w:instrText xml:space="preserve"> AUTOTEXT  input424 \* MERGEFORMAT </w:instrText>
      </w:r>
      <w:r>
        <w:fldChar w:fldCharType="end"/>
      </w:r>
    </w:p>
    <w:p w14:paraId="06E9D42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w:t>
      </w:r>
      <w:r>
        <w:rPr>
          <w:rFonts w:ascii="宋体" w:hAnsi="宋体"/>
          <w:szCs w:val="21"/>
        </w:rPr>
        <w:t>3</w:t>
      </w:r>
      <w:r>
        <w:rPr>
          <w:rFonts w:hint="eastAsia" w:ascii="宋体" w:hAnsi="宋体"/>
          <w:szCs w:val="21"/>
        </w:rPr>
        <w:t>.</w:t>
      </w:r>
      <w:r>
        <w:rPr>
          <w:rFonts w:ascii="宋体" w:hAnsi="宋体"/>
          <w:szCs w:val="21"/>
        </w:rPr>
        <w:t>3</w:t>
      </w:r>
      <w:r>
        <w:rPr>
          <w:rFonts w:hint="eastAsia" w:ascii="宋体" w:hAnsi="宋体"/>
          <w:szCs w:val="21"/>
        </w:rPr>
        <w:t>临时工程：</w:t>
      </w:r>
      <w:r>
        <w:rPr>
          <w:rFonts w:ascii="宋体" w:hAnsi="宋体" w:cs="宋体"/>
          <w:u w:val="single"/>
        </w:rPr>
        <w:t>承包人为完成本合同范围内的全部永久工程所修建或搭设的临时性工程，并在本工程竣工后或在发包人要求时，承包人需予以全部拆除。包括但不限于临时性住房、仓库、办公室、道路，以及施工所需的水、电工程等。</w:t>
      </w:r>
      <w:r>
        <w:fldChar w:fldCharType="begin"/>
      </w:r>
      <w:r>
        <w:instrText xml:space="preserve"> AUTOTEXT  input425 \* MERGEFORMAT </w:instrText>
      </w:r>
      <w:r>
        <w:fldChar w:fldCharType="end"/>
      </w:r>
    </w:p>
    <w:p w14:paraId="537BA74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w:t>
      </w:r>
      <w:r>
        <w:rPr>
          <w:rFonts w:ascii="宋体" w:hAnsi="宋体"/>
          <w:szCs w:val="21"/>
        </w:rPr>
        <w:t>3</w:t>
      </w:r>
      <w:r>
        <w:rPr>
          <w:rFonts w:hint="eastAsia" w:ascii="宋体" w:hAnsi="宋体"/>
          <w:szCs w:val="21"/>
        </w:rPr>
        <w:t>.</w:t>
      </w:r>
      <w:r>
        <w:rPr>
          <w:rFonts w:ascii="宋体" w:hAnsi="宋体"/>
          <w:szCs w:val="21"/>
        </w:rPr>
        <w:t>10</w:t>
      </w:r>
      <w:r>
        <w:rPr>
          <w:rFonts w:hint="eastAsia" w:ascii="宋体" w:hAnsi="宋体"/>
          <w:szCs w:val="21"/>
        </w:rPr>
        <w:t>永久占地：</w:t>
      </w:r>
      <w:r>
        <w:rPr>
          <w:rFonts w:ascii="宋体" w:hAnsi="宋体" w:cs="宋体"/>
          <w:u w:val="single"/>
        </w:rPr>
        <w:t>为实施本合同工程需要永久占地范围，详见施工图纸。</w:t>
      </w:r>
      <w:r>
        <w:fldChar w:fldCharType="begin"/>
      </w:r>
      <w:r>
        <w:instrText xml:space="preserve"> AUTOTEXT  input426 \* MERGEFORMAT </w:instrText>
      </w:r>
      <w:r>
        <w:fldChar w:fldCharType="end"/>
      </w:r>
    </w:p>
    <w:p w14:paraId="49CDAFA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w:t>
      </w:r>
      <w:r>
        <w:rPr>
          <w:rFonts w:ascii="宋体" w:hAnsi="宋体"/>
          <w:szCs w:val="21"/>
        </w:rPr>
        <w:t>3</w:t>
      </w:r>
      <w:r>
        <w:rPr>
          <w:rFonts w:hint="eastAsia" w:ascii="宋体" w:hAnsi="宋体"/>
          <w:szCs w:val="21"/>
        </w:rPr>
        <w:t>.</w:t>
      </w:r>
      <w:r>
        <w:rPr>
          <w:rFonts w:ascii="宋体" w:hAnsi="宋体"/>
          <w:szCs w:val="21"/>
        </w:rPr>
        <w:t>11</w:t>
      </w:r>
      <w:r>
        <w:rPr>
          <w:rFonts w:hint="eastAsia" w:ascii="宋体" w:hAnsi="宋体"/>
          <w:szCs w:val="21"/>
        </w:rPr>
        <w:t>临时占地：</w:t>
      </w:r>
      <w:r>
        <w:rPr>
          <w:rFonts w:ascii="宋体" w:hAnsi="宋体" w:cs="宋体"/>
          <w:u w:val="single"/>
        </w:rPr>
        <w:t>承包人为完成永久工程所修建的临时性工程所占地。</w:t>
      </w:r>
      <w:r>
        <w:fldChar w:fldCharType="begin"/>
      </w:r>
      <w:r>
        <w:instrText xml:space="preserve"> AUTOTEXT  input427 \* MERGEFORMAT </w:instrText>
      </w:r>
      <w:r>
        <w:fldChar w:fldCharType="end"/>
      </w:r>
    </w:p>
    <w:p w14:paraId="72D8777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1.1.4日期</w:t>
      </w:r>
    </w:p>
    <w:p w14:paraId="756C6D0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1.1.4.5缺陷责任期期限：</w:t>
      </w:r>
      <w:r>
        <w:rPr>
          <w:rFonts w:ascii="宋体" w:hAnsi="宋体" w:cs="宋体"/>
          <w:u w:val="single"/>
        </w:rPr>
        <w:t>24个</w:t>
      </w:r>
      <w:r>
        <w:fldChar w:fldCharType="begin"/>
      </w:r>
      <w:r>
        <w:instrText xml:space="preserve"> AUTOTEXT  input428 \* MERGEFORMAT </w:instrText>
      </w:r>
      <w:r>
        <w:fldChar w:fldCharType="end"/>
      </w:r>
      <w:r>
        <w:rPr>
          <w:rFonts w:hint="eastAsia" w:ascii="宋体" w:hAnsi="宋体"/>
          <w:szCs w:val="21"/>
        </w:rPr>
        <w:t>月。</w:t>
      </w:r>
    </w:p>
    <w:p w14:paraId="5BA0243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1.1.8其他需要补充的内容</w:t>
      </w:r>
    </w:p>
    <w:p w14:paraId="299A87D5">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input835 \* MERGEFORMAT </w:instrText>
      </w:r>
      <w:r>
        <w:fldChar w:fldCharType="end"/>
      </w:r>
    </w:p>
    <w:p w14:paraId="2859CA27">
      <w:pPr>
        <w:adjustRightInd w:val="0"/>
        <w:snapToGrid w:val="0"/>
        <w:spacing w:line="360" w:lineRule="auto"/>
        <w:rPr>
          <w:rFonts w:hint="eastAsia" w:ascii="宋体" w:hAnsi="宋体"/>
          <w:sz w:val="24"/>
        </w:rPr>
      </w:pPr>
      <w:r>
        <w:rPr>
          <w:rFonts w:hint="eastAsia" w:ascii="宋体" w:hAnsi="宋体"/>
          <w:sz w:val="24"/>
        </w:rPr>
        <w:t>1.4合同文件的优先顺序</w:t>
      </w:r>
    </w:p>
    <w:p w14:paraId="17ACF07E">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合同文件的优先解释顺序如下：</w:t>
      </w:r>
    </w:p>
    <w:p w14:paraId="6092DFB2">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(1)合同协议书；</w:t>
      </w:r>
    </w:p>
    <w:p w14:paraId="7D9CAC44">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(2)成交通知书；</w:t>
      </w:r>
    </w:p>
    <w:p w14:paraId="7E89AF86">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(3)投标函及投标函附录；</w:t>
      </w:r>
    </w:p>
    <w:p w14:paraId="031FAD95">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(4)合同条款专用部分；</w:t>
      </w:r>
    </w:p>
    <w:p w14:paraId="7152D104">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(5)合同条款通用部分；</w:t>
      </w:r>
    </w:p>
    <w:p w14:paraId="112986E3">
      <w:pPr>
        <w:adjustRightInd w:val="0"/>
        <w:snapToGrid w:val="0"/>
        <w:spacing w:line="360" w:lineRule="auto"/>
        <w:ind w:firstLine="420" w:firstLineChars="200"/>
        <w:jc w:val="left"/>
        <w:rPr>
          <w:rFonts w:hint="eastAsia" w:ascii="宋体" w:hAnsi="宋体" w:cs="Arial"/>
        </w:rPr>
      </w:pPr>
      <w:r>
        <w:rPr>
          <w:rFonts w:hint="eastAsia" w:ascii="宋体" w:hAnsi="宋体" w:cs="Arial"/>
          <w:szCs w:val="21"/>
        </w:rPr>
        <w:t>(6)</w:t>
      </w:r>
      <w:r>
        <w:rPr>
          <w:rFonts w:hint="eastAsia" w:ascii="宋体" w:hAnsi="宋体" w:cs="宋体"/>
          <w:u w:val="single"/>
        </w:rPr>
        <w:t>已标价工程量清单</w:t>
      </w:r>
      <w:r>
        <w:rPr>
          <w:rFonts w:ascii="宋体" w:hAnsi="宋体" w:cs="宋体"/>
          <w:u w:val="single"/>
        </w:rPr>
        <w:t>；</w:t>
      </w:r>
      <w:r>
        <w:fldChar w:fldCharType="begin"/>
      </w:r>
      <w:r>
        <w:instrText xml:space="preserve"> AUTOTEXT  input429 \* MERGEFORMAT </w:instrText>
      </w:r>
      <w:r>
        <w:fldChar w:fldCharType="end"/>
      </w:r>
    </w:p>
    <w:p w14:paraId="01286366">
      <w:pPr>
        <w:adjustRightInd w:val="0"/>
        <w:snapToGrid w:val="0"/>
        <w:spacing w:line="360" w:lineRule="auto"/>
        <w:ind w:firstLine="420" w:firstLineChars="200"/>
        <w:jc w:val="left"/>
        <w:rPr>
          <w:rFonts w:hint="eastAsia" w:ascii="宋体" w:hAnsi="宋体" w:cs="Arial"/>
        </w:rPr>
      </w:pPr>
      <w:r>
        <w:rPr>
          <w:rFonts w:hint="eastAsia" w:ascii="宋体" w:hAnsi="宋体" w:cs="Arial"/>
          <w:szCs w:val="21"/>
        </w:rPr>
        <w:t>(7)</w:t>
      </w:r>
      <w:r>
        <w:rPr>
          <w:rFonts w:ascii="宋体" w:hAnsi="宋体" w:cs="宋体"/>
          <w:u w:val="single"/>
        </w:rPr>
        <w:t>技术标准和要求；</w:t>
      </w:r>
      <w:r>
        <w:fldChar w:fldCharType="begin"/>
      </w:r>
      <w:r>
        <w:instrText xml:space="preserve"> AUTOTEXT  input430 \* MERGEFORMAT </w:instrText>
      </w:r>
      <w:r>
        <w:fldChar w:fldCharType="end"/>
      </w:r>
    </w:p>
    <w:p w14:paraId="0579E4A0">
      <w:pPr>
        <w:adjustRightInd w:val="0"/>
        <w:snapToGrid w:val="0"/>
        <w:spacing w:line="360" w:lineRule="auto"/>
        <w:ind w:firstLine="420" w:firstLineChars="200"/>
        <w:jc w:val="left"/>
        <w:rPr>
          <w:rFonts w:hint="eastAsia" w:ascii="宋体" w:hAnsi="宋体" w:cs="Arial"/>
        </w:rPr>
      </w:pPr>
      <w:r>
        <w:rPr>
          <w:rFonts w:hint="eastAsia" w:ascii="宋体" w:hAnsi="宋体" w:cs="Arial"/>
          <w:szCs w:val="21"/>
        </w:rPr>
        <w:t>(8)</w:t>
      </w:r>
      <w:r>
        <w:rPr>
          <w:rFonts w:ascii="宋体" w:hAnsi="宋体" w:cs="宋体"/>
          <w:u w:val="single"/>
        </w:rPr>
        <w:t>图纸；</w:t>
      </w:r>
      <w:r>
        <w:fldChar w:fldCharType="begin"/>
      </w:r>
      <w:r>
        <w:instrText xml:space="preserve"> AUTOTEXT  input431 \* MERGEFORMAT </w:instrText>
      </w:r>
      <w:r>
        <w:fldChar w:fldCharType="end"/>
      </w:r>
    </w:p>
    <w:p w14:paraId="304473D1">
      <w:pPr>
        <w:adjustRightInd w:val="0"/>
        <w:snapToGrid w:val="0"/>
        <w:spacing w:line="360" w:lineRule="auto"/>
        <w:ind w:firstLine="420" w:firstLineChars="200"/>
        <w:jc w:val="left"/>
        <w:rPr>
          <w:rFonts w:hint="eastAsia" w:ascii="宋体" w:hAnsi="宋体" w:cs="Arial"/>
        </w:rPr>
      </w:pPr>
      <w:r>
        <w:rPr>
          <w:rFonts w:hint="eastAsia" w:ascii="宋体" w:hAnsi="宋体" w:cs="Arial"/>
        </w:rPr>
        <w:t>(9)</w:t>
      </w:r>
      <w:r>
        <w:rPr>
          <w:rFonts w:hint="eastAsia" w:ascii="宋体" w:hAnsi="宋体" w:cs="宋体"/>
          <w:u w:val="single"/>
        </w:rPr>
        <w:t>招投标及合同履行过程中共同签署或认可的符合现行法律、法规、规章及规范性文件，符合本合同实质性约定的指令、洽商、纪要或同类性质的文件，均构成合同文件的有效补充</w:t>
      </w:r>
      <w:r>
        <w:rPr>
          <w:rFonts w:ascii="宋体" w:hAnsi="宋体" w:cs="宋体"/>
          <w:u w:val="single"/>
        </w:rPr>
        <w:t>。</w:t>
      </w:r>
      <w:r>
        <w:fldChar w:fldCharType="begin"/>
      </w:r>
      <w:r>
        <w:instrText xml:space="preserve"> AUTOTEXT  input432 \* MERGEFORMAT </w:instrText>
      </w:r>
      <w:r>
        <w:fldChar w:fldCharType="end"/>
      </w:r>
    </w:p>
    <w:p w14:paraId="4D1BE5E9">
      <w:pPr>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（说明：(6)、(7)、(8)填空内容分别限于技术标准和要求、图纸、已标价工程量清单三者之一。）</w:t>
      </w:r>
    </w:p>
    <w:p w14:paraId="424FF30C">
      <w:pPr>
        <w:adjustRightInd w:val="0"/>
        <w:snapToGrid w:val="0"/>
        <w:spacing w:line="360" w:lineRule="auto"/>
        <w:rPr>
          <w:rFonts w:hint="eastAsia" w:ascii="宋体" w:hAnsi="宋体"/>
          <w:sz w:val="24"/>
        </w:rPr>
      </w:pPr>
      <w:r>
        <w:rPr>
          <w:rFonts w:hint="eastAsia" w:ascii="宋体" w:hAnsi="宋体"/>
          <w:sz w:val="24"/>
        </w:rPr>
        <w:t>1.5合同协议书</w:t>
      </w:r>
    </w:p>
    <w:p w14:paraId="102BFBF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合同生效的条件：</w:t>
      </w:r>
      <w:r>
        <w:rPr>
          <w:rFonts w:ascii="宋体" w:hAnsi="宋体" w:cs="宋体"/>
          <w:u w:val="single"/>
        </w:rPr>
        <w:t>双方法定代表人或授权代表签字并盖章后生效。</w:t>
      </w:r>
      <w:r>
        <w:fldChar w:fldCharType="begin"/>
      </w:r>
      <w:r>
        <w:instrText xml:space="preserve"> AUTOTEXT  input433 \* MERGEFORMAT </w:instrText>
      </w:r>
      <w:r>
        <w:fldChar w:fldCharType="end"/>
      </w:r>
    </w:p>
    <w:p w14:paraId="026DD5BA">
      <w:pPr>
        <w:adjustRightInd w:val="0"/>
        <w:snapToGrid w:val="0"/>
        <w:spacing w:line="360" w:lineRule="auto"/>
        <w:rPr>
          <w:rFonts w:hint="eastAsia" w:ascii="宋体" w:hAnsi="宋体"/>
          <w:sz w:val="24"/>
        </w:rPr>
      </w:pPr>
      <w:r>
        <w:rPr>
          <w:rFonts w:hint="eastAsia" w:ascii="宋体" w:hAnsi="宋体"/>
          <w:sz w:val="24"/>
        </w:rPr>
        <w:t>1.6图纸和承包人文件</w:t>
      </w:r>
    </w:p>
    <w:p w14:paraId="4AACED6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1.6.1图纸的提供</w:t>
      </w:r>
    </w:p>
    <w:p w14:paraId="671B6D8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)发包人提供图纸的期限：</w:t>
      </w:r>
      <w:r>
        <w:rPr>
          <w:rFonts w:ascii="宋体" w:hAnsi="宋体" w:cs="宋体"/>
          <w:u w:val="single"/>
        </w:rPr>
        <w:t>承包人进场施工前7日。</w:t>
      </w:r>
      <w:r>
        <w:fldChar w:fldCharType="begin"/>
      </w:r>
      <w:r>
        <w:instrText xml:space="preserve"> AUTOTEXT  input434 \* MERGEFORMAT </w:instrText>
      </w:r>
      <w:r>
        <w:fldChar w:fldCharType="end"/>
      </w:r>
    </w:p>
    <w:p w14:paraId="22464D0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发包人提供图纸的数量：/</w:t>
      </w:r>
      <w:r>
        <w:fldChar w:fldCharType="begin"/>
      </w:r>
      <w:r>
        <w:instrText xml:space="preserve"> AUTOTEXT  input435 \* MERGEFORMAT </w:instrText>
      </w:r>
      <w:r>
        <w:fldChar w:fldCharType="end"/>
      </w:r>
    </w:p>
    <w:p w14:paraId="7E05F61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其他约定：</w:t>
      </w:r>
      <w:r>
        <w:rPr>
          <w:rFonts w:ascii="宋体" w:hAnsi="宋体" w:cs="宋体"/>
          <w:u w:val="single"/>
        </w:rPr>
        <w:t>承包人应当根据合同进度计划和本项约定的图纸提供期限和数量，编制或者修改图纸供应计划并报送监理人，其中应当载明承包人对各区段最新版本图纸的最迟需求时间。由于承包人未按照本目约定的时间向监理人提交图纸供应计划,致使发包人或者监理人未能在合理的时间内提供相应图纸或者承包人未按照图纸供应计划组织施工所造成的费用增加和（或）工期延误由承包人承担。承包人不得将本工程的一切资料提供给第三方。</w:t>
      </w:r>
      <w:r>
        <w:fldChar w:fldCharType="begin"/>
      </w:r>
      <w:r>
        <w:instrText xml:space="preserve"> AUTOTEXT  input836 \* MERGEFORMAT </w:instrText>
      </w:r>
      <w:r>
        <w:fldChar w:fldCharType="end"/>
      </w:r>
    </w:p>
    <w:p w14:paraId="45BE7D1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1.6.2承包人提供的文件</w:t>
      </w:r>
    </w:p>
    <w:p w14:paraId="37D19FC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(1)由承包人提供的文件范围：</w:t>
      </w:r>
    </w:p>
    <w:p w14:paraId="7FEAF5D2">
      <w:pPr>
        <w:adjustRightInd w:val="0"/>
        <w:snapToGrid w:val="0"/>
        <w:spacing w:line="360" w:lineRule="auto"/>
        <w:ind w:firstLine="420" w:firstLineChars="200"/>
        <w:jc w:val="left"/>
        <w:rPr>
          <w:rFonts w:hint="eastAsia" w:ascii="宋体" w:hAnsi="宋体"/>
          <w:szCs w:val="21"/>
        </w:rPr>
      </w:pPr>
      <w:r>
        <w:rPr>
          <w:rFonts w:ascii="宋体" w:hAnsi="宋体" w:cs="宋体"/>
          <w:u w:val="single"/>
        </w:rPr>
        <w:t>1、工程施工组织设计、施工总进度计划、资金拨付计划、用水用电计划、材料设备采购计划（包括发包人提供材料和设备的使用计划）；2、按照发包人要求提供的工程有关报表，包括本月完成工程量、下月进度计划、材料设备进场计划、劳动力计划等</w:t>
      </w:r>
      <w:r>
        <w:rPr>
          <w:rFonts w:hint="eastAsia" w:ascii="宋体" w:hAnsi="宋体" w:cs="宋体"/>
          <w:u w:val="single"/>
        </w:rPr>
        <w:t>；3、完成施工图深化设计及与工程配套的专业工程深化设计，设计资质等级和业务允许的范围应符合相关规定，承包人承担由此产生的全部费用，在投标报价中已考虑此类费用；4、由于工程变更引起施工方案改变并使措施项目发生变化时，应事先将拟实施的方案提交发包人确认，并应详细说明与原方案措施项目相比的变化情况。拟实施的方案经发承包双方确认后执行。施工过程中办理的每一份变更洽商申请单，承包人应在其变更洽商单后附上其对此项变更洽商单的估算金额，以便发包人按其涉及金额大小执行内部审批程序并及时掌握投资变化情况，待变更洽商单签署完成后，承包人才能进行施工。</w:t>
      </w:r>
      <w:r>
        <w:fldChar w:fldCharType="begin"/>
      </w:r>
      <w:r>
        <w:instrText xml:space="preserve"> AUTOTEXT  input436 \* MERGEFORMAT </w:instrText>
      </w:r>
      <w:r>
        <w:fldChar w:fldCharType="end"/>
      </w:r>
    </w:p>
    <w:p w14:paraId="73E56E6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承包人提供文件的期限：</w:t>
      </w:r>
    </w:p>
    <w:p w14:paraId="43C93BA9">
      <w:pPr>
        <w:adjustRightInd w:val="0"/>
        <w:snapToGrid w:val="0"/>
        <w:spacing w:line="360" w:lineRule="auto"/>
        <w:ind w:firstLine="420" w:firstLineChars="200"/>
        <w:jc w:val="left"/>
        <w:rPr>
          <w:rFonts w:hint="eastAsia" w:ascii="宋体" w:hAnsi="宋体"/>
          <w:szCs w:val="21"/>
        </w:rPr>
      </w:pPr>
      <w:r>
        <w:rPr>
          <w:rFonts w:hint="eastAsia" w:ascii="宋体" w:hAnsi="宋体" w:cs="宋体"/>
          <w:u w:val="single"/>
        </w:rPr>
        <w:t>1、</w:t>
      </w:r>
      <w:r>
        <w:rPr>
          <w:rFonts w:ascii="宋体" w:hAnsi="宋体" w:cs="宋体"/>
          <w:u w:val="single"/>
        </w:rPr>
        <w:t>工程施工组织设计、施工总进度计划、资金拨付计划、用水用电计划、材料设备采购计划（包括发包人提供材料和设备的使用计划）提供期限为开工前7日；</w:t>
      </w:r>
      <w:r>
        <w:rPr>
          <w:rFonts w:hint="eastAsia" w:ascii="宋体" w:hAnsi="宋体" w:cs="宋体"/>
          <w:u w:val="single"/>
        </w:rPr>
        <w:t>2、</w:t>
      </w:r>
      <w:r>
        <w:rPr>
          <w:rFonts w:ascii="宋体" w:hAnsi="宋体" w:cs="宋体"/>
          <w:u w:val="single"/>
        </w:rPr>
        <w:t>按照发包人要求提供的工程有关报表，包括本月完成工程量、下月进度计划、材料设备进场计划、劳动力计划等提供期限为每月25日。</w:t>
      </w:r>
      <w:r>
        <w:fldChar w:fldCharType="begin"/>
      </w:r>
      <w:r>
        <w:instrText xml:space="preserve"> AUTOTEXT  input437 \* MERGEFORMAT </w:instrText>
      </w:r>
      <w:r>
        <w:fldChar w:fldCharType="end"/>
      </w:r>
    </w:p>
    <w:p w14:paraId="1A029EE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承包人提供文件的数量：</w:t>
      </w:r>
    </w:p>
    <w:p w14:paraId="7197F6CF">
      <w:pPr>
        <w:adjustRightInd w:val="0"/>
        <w:snapToGrid w:val="0"/>
        <w:spacing w:line="360" w:lineRule="auto"/>
        <w:ind w:firstLine="420" w:firstLineChars="200"/>
        <w:jc w:val="left"/>
        <w:rPr>
          <w:rFonts w:hint="eastAsia" w:ascii="宋体" w:hAnsi="宋体"/>
          <w:szCs w:val="21"/>
        </w:rPr>
      </w:pPr>
      <w:r>
        <w:rPr>
          <w:rFonts w:ascii="宋体" w:hAnsi="宋体" w:cs="宋体"/>
          <w:u w:val="single"/>
        </w:rPr>
        <w:t>3套。</w:t>
      </w:r>
      <w:r>
        <w:fldChar w:fldCharType="begin"/>
      </w:r>
      <w:r>
        <w:instrText xml:space="preserve"> AUTOTEXT  input438 \* MERGEFORMAT </w:instrText>
      </w:r>
      <w:r>
        <w:fldChar w:fldCharType="end"/>
      </w:r>
    </w:p>
    <w:p w14:paraId="6DE4680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监理人批复承包人提供文件的期限：</w:t>
      </w:r>
    </w:p>
    <w:p w14:paraId="6E787025">
      <w:pPr>
        <w:adjustRightInd w:val="0"/>
        <w:snapToGrid w:val="0"/>
        <w:spacing w:line="360" w:lineRule="auto"/>
        <w:ind w:firstLine="420" w:firstLineChars="200"/>
        <w:jc w:val="left"/>
        <w:rPr>
          <w:rFonts w:hint="eastAsia" w:ascii="宋体" w:hAnsi="宋体"/>
          <w:szCs w:val="21"/>
        </w:rPr>
      </w:pPr>
      <w:r>
        <w:rPr>
          <w:rFonts w:ascii="宋体" w:hAnsi="宋体" w:cs="宋体"/>
          <w:u w:val="single"/>
        </w:rPr>
        <w:t>收到承包人提供文件7天内。</w:t>
      </w:r>
      <w:r>
        <w:fldChar w:fldCharType="begin"/>
      </w:r>
      <w:r>
        <w:instrText xml:space="preserve"> AUTOTEXT  input439 \* MERGEFORMAT </w:instrText>
      </w:r>
      <w:r>
        <w:fldChar w:fldCharType="end"/>
      </w:r>
    </w:p>
    <w:p w14:paraId="1D7328E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其他约定：</w:t>
      </w:r>
    </w:p>
    <w:p w14:paraId="65F55B05">
      <w:pPr>
        <w:adjustRightInd w:val="0"/>
        <w:snapToGrid w:val="0"/>
        <w:spacing w:line="360" w:lineRule="auto"/>
        <w:ind w:firstLine="420" w:firstLineChars="200"/>
        <w:jc w:val="left"/>
        <w:rPr>
          <w:rFonts w:hint="eastAsia" w:ascii="宋体" w:hAnsi="宋体" w:cs="宋体"/>
          <w:u w:val="single"/>
        </w:rPr>
      </w:pPr>
      <w:r>
        <w:rPr>
          <w:rFonts w:ascii="宋体" w:hAnsi="宋体" w:cs="宋体"/>
          <w:u w:val="single"/>
        </w:rPr>
        <w:t>承包人向发包人提供</w:t>
      </w:r>
      <w:r>
        <w:rPr>
          <w:rFonts w:hint="eastAsia" w:ascii="宋体" w:hAnsi="宋体" w:cs="宋体"/>
          <w:u w:val="single"/>
        </w:rPr>
        <w:t>/</w:t>
      </w:r>
      <w:r>
        <w:rPr>
          <w:rFonts w:ascii="宋体" w:hAnsi="宋体" w:cs="宋体"/>
          <w:u w:val="single"/>
        </w:rPr>
        <w:t>套竣工图纸，竣工图纸的编制、签署等</w:t>
      </w:r>
      <w:r>
        <w:rPr>
          <w:rFonts w:hint="eastAsia" w:ascii="宋体" w:hAnsi="宋体" w:cs="宋体"/>
          <w:u w:val="single"/>
        </w:rPr>
        <w:t>应当</w:t>
      </w:r>
      <w:r>
        <w:rPr>
          <w:rFonts w:ascii="宋体" w:hAnsi="宋体" w:cs="宋体"/>
          <w:u w:val="single"/>
        </w:rPr>
        <w:t>符合相关规定</w:t>
      </w:r>
      <w:r>
        <w:rPr>
          <w:rFonts w:hint="eastAsia" w:ascii="宋体" w:hAnsi="宋体" w:cs="宋体"/>
          <w:u w:val="single"/>
        </w:rPr>
        <w:t>及发包人的要求。</w:t>
      </w:r>
      <w:r>
        <w:rPr>
          <w:rFonts w:ascii="宋体" w:hAnsi="宋体" w:cs="宋体"/>
          <w:u w:val="single"/>
        </w:rPr>
        <w:fldChar w:fldCharType="begin"/>
      </w:r>
      <w:r>
        <w:rPr>
          <w:rFonts w:ascii="宋体" w:hAnsi="宋体" w:cs="宋体"/>
          <w:u w:val="single"/>
        </w:rPr>
        <w:instrText xml:space="preserve"> AUTOTEXT  input440 \* MERGEFORMAT </w:instrText>
      </w:r>
      <w:r>
        <w:rPr>
          <w:rFonts w:ascii="宋体" w:hAnsi="宋体" w:cs="宋体"/>
          <w:u w:val="single"/>
        </w:rPr>
        <w:fldChar w:fldCharType="end"/>
      </w:r>
    </w:p>
    <w:p w14:paraId="10B1A9A2">
      <w:pPr>
        <w:adjustRightInd w:val="0"/>
        <w:snapToGrid w:val="0"/>
        <w:spacing w:line="360" w:lineRule="auto"/>
        <w:rPr>
          <w:rFonts w:hint="eastAsia" w:ascii="宋体" w:hAnsi="宋体"/>
          <w:sz w:val="24"/>
        </w:rPr>
      </w:pPr>
      <w:r>
        <w:rPr>
          <w:rFonts w:hint="eastAsia" w:ascii="宋体" w:hAnsi="宋体"/>
          <w:sz w:val="24"/>
        </w:rPr>
        <w:t>1.7联络</w:t>
      </w:r>
    </w:p>
    <w:p w14:paraId="0AC56507">
      <w:pPr>
        <w:adjustRightInd w:val="0"/>
        <w:snapToGrid w:val="0"/>
        <w:spacing w:line="360" w:lineRule="auto"/>
        <w:ind w:firstLine="420" w:firstLineChars="200"/>
        <w:jc w:val="left"/>
        <w:rPr>
          <w:rFonts w:hint="eastAsia" w:ascii="宋体" w:hAnsi="宋体" w:cs="Arial"/>
          <w:szCs w:val="21"/>
        </w:rPr>
      </w:pPr>
      <w:r>
        <w:rPr>
          <w:rFonts w:hint="eastAsia" w:ascii="宋体" w:hAnsi="宋体"/>
          <w:szCs w:val="21"/>
        </w:rPr>
        <w:t>1.7.2联络来往函件的送达和接收</w:t>
      </w:r>
    </w:p>
    <w:p w14:paraId="51C1615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(2)发包人指定的接收地点：</w:t>
      </w:r>
      <w:r>
        <w:rPr>
          <w:rFonts w:ascii="宋体" w:hAnsi="宋体" w:cs="宋体"/>
          <w:u w:val="single"/>
        </w:rPr>
        <w:t xml:space="preserve">  /  </w:t>
      </w:r>
      <w:r>
        <w:fldChar w:fldCharType="begin"/>
      </w:r>
      <w:r>
        <w:instrText xml:space="preserve"> AUTOTEXT  input441 \* MERGEFORMAT </w:instrText>
      </w:r>
      <w:r>
        <w:fldChar w:fldCharType="end"/>
      </w:r>
    </w:p>
    <w:p w14:paraId="02C0D98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发包人指定的接收人为：</w:t>
      </w:r>
      <w:r>
        <w:rPr>
          <w:rFonts w:ascii="宋体" w:hAnsi="宋体" w:cs="宋体"/>
          <w:u w:val="single"/>
        </w:rPr>
        <w:t xml:space="preserve">  /  </w:t>
      </w:r>
      <w:r>
        <w:fldChar w:fldCharType="begin"/>
      </w:r>
      <w:r>
        <w:instrText xml:space="preserve"> AUTOTEXT  input442 \* MERGEFORMAT </w:instrText>
      </w:r>
      <w:r>
        <w:fldChar w:fldCharType="end"/>
      </w:r>
    </w:p>
    <w:p w14:paraId="3B6587A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(3)监理人指定的接收地点：</w:t>
      </w:r>
      <w:r>
        <w:rPr>
          <w:rFonts w:ascii="宋体" w:hAnsi="宋体" w:cs="宋体"/>
          <w:u w:val="single"/>
        </w:rPr>
        <w:t xml:space="preserve">  /  </w:t>
      </w:r>
      <w:r>
        <w:fldChar w:fldCharType="begin"/>
      </w:r>
      <w:r>
        <w:instrText xml:space="preserve"> AUTOTEXT  input443 \* MERGEFORMAT </w:instrText>
      </w:r>
      <w:r>
        <w:fldChar w:fldCharType="end"/>
      </w:r>
    </w:p>
    <w:p w14:paraId="4111DE52">
      <w:pPr>
        <w:adjustRightInd w:val="0"/>
        <w:snapToGrid w:val="0"/>
        <w:spacing w:line="360" w:lineRule="auto"/>
        <w:ind w:firstLine="420" w:firstLineChars="200"/>
        <w:jc w:val="left"/>
        <w:rPr>
          <w:rFonts w:hint="eastAsia" w:ascii="宋体" w:hAnsi="宋体"/>
          <w:szCs w:val="21"/>
          <w:u w:val="single"/>
        </w:rPr>
      </w:pPr>
      <w:r>
        <w:rPr>
          <w:rFonts w:hint="eastAsia" w:ascii="宋体" w:hAnsi="宋体"/>
          <w:szCs w:val="21"/>
        </w:rPr>
        <w:t>监理人指定的接收人为：</w:t>
      </w:r>
      <w:r>
        <w:rPr>
          <w:rFonts w:ascii="宋体" w:hAnsi="宋体" w:cs="宋体"/>
          <w:u w:val="single"/>
        </w:rPr>
        <w:t xml:space="preserve">  /  </w:t>
      </w:r>
      <w:r>
        <w:fldChar w:fldCharType="begin"/>
      </w:r>
      <w:r>
        <w:instrText xml:space="preserve"> AUTOTEXT  input444 \* MERGEFORMAT </w:instrText>
      </w:r>
      <w:r>
        <w:fldChar w:fldCharType="end"/>
      </w:r>
    </w:p>
    <w:p w14:paraId="658AD9A9">
      <w:pPr>
        <w:adjustRightInd w:val="0"/>
        <w:snapToGrid w:val="0"/>
        <w:spacing w:line="360" w:lineRule="auto"/>
        <w:ind w:firstLine="420" w:firstLineChars="200"/>
        <w:jc w:val="left"/>
        <w:rPr>
          <w:rFonts w:hint="eastAsia" w:ascii="宋体" w:hAnsi="宋体"/>
        </w:rPr>
      </w:pPr>
      <w:r>
        <w:rPr>
          <w:rFonts w:hint="eastAsia" w:ascii="宋体" w:hAnsi="宋体"/>
        </w:rPr>
        <w:t>(4)承包人指定的接收地点：</w:t>
      </w:r>
      <w:r>
        <w:rPr>
          <w:rFonts w:ascii="宋体" w:hAnsi="宋体" w:cs="宋体"/>
          <w:u w:val="single"/>
        </w:rPr>
        <w:t xml:space="preserve">  /  </w:t>
      </w:r>
      <w:r>
        <w:fldChar w:fldCharType="begin"/>
      </w:r>
      <w:r>
        <w:instrText xml:space="preserve"> AUTOTEXT  input872 \* MERGEFORMAT </w:instrText>
      </w:r>
      <w:r>
        <w:fldChar w:fldCharType="end"/>
      </w:r>
    </w:p>
    <w:p w14:paraId="1ACD1B7D">
      <w:pPr>
        <w:adjustRightInd w:val="0"/>
        <w:snapToGrid w:val="0"/>
        <w:spacing w:line="360" w:lineRule="auto"/>
        <w:outlineLvl w:val="2"/>
        <w:rPr>
          <w:rFonts w:hint="eastAsia" w:ascii="宋体" w:hAnsi="宋体"/>
          <w:sz w:val="28"/>
        </w:rPr>
      </w:pPr>
      <w:bookmarkStart w:id="938" w:name="_Toc196225931"/>
      <w:r>
        <w:rPr>
          <w:rFonts w:hint="eastAsia" w:ascii="宋体" w:hAnsi="宋体"/>
          <w:sz w:val="28"/>
        </w:rPr>
        <w:t>2.发包人义务</w:t>
      </w:r>
      <w:bookmarkEnd w:id="938"/>
    </w:p>
    <w:p w14:paraId="49A43DE3">
      <w:pPr>
        <w:adjustRightInd w:val="0"/>
        <w:snapToGrid w:val="0"/>
        <w:spacing w:line="360" w:lineRule="auto"/>
        <w:rPr>
          <w:rFonts w:hint="eastAsia" w:ascii="宋体" w:hAnsi="宋体"/>
          <w:sz w:val="24"/>
        </w:rPr>
      </w:pPr>
      <w:r>
        <w:rPr>
          <w:rFonts w:hint="eastAsia" w:ascii="宋体" w:hAnsi="宋体"/>
          <w:sz w:val="24"/>
        </w:rPr>
        <w:t>2.3提供施工场地</w:t>
      </w:r>
    </w:p>
    <w:p w14:paraId="3CE6FF2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发包人移交施工场地的期限：发包人应当将具备施工条件的施工场地，在监理人发出开工通知中载明的开工日期</w:t>
      </w:r>
      <w:r>
        <w:rPr>
          <w:rFonts w:ascii="宋体" w:hAnsi="宋体" w:cs="宋体"/>
          <w:u w:val="single"/>
        </w:rPr>
        <w:t>3</w:t>
      </w:r>
      <w:r>
        <w:fldChar w:fldCharType="begin"/>
      </w:r>
      <w:r>
        <w:instrText xml:space="preserve"> AUTOTEXT  input445 \* MERGEFORMAT </w:instrText>
      </w:r>
      <w:r>
        <w:fldChar w:fldCharType="end"/>
      </w:r>
      <w:r>
        <w:rPr>
          <w:rFonts w:hint="eastAsia" w:ascii="宋体" w:hAnsi="宋体"/>
          <w:szCs w:val="21"/>
        </w:rPr>
        <w:t>天前移交给承包人。</w:t>
      </w:r>
    </w:p>
    <w:p w14:paraId="04D6BB1C">
      <w:pPr>
        <w:adjustRightInd w:val="0"/>
        <w:snapToGrid w:val="0"/>
        <w:spacing w:line="360" w:lineRule="auto"/>
        <w:rPr>
          <w:rFonts w:hint="eastAsia" w:ascii="宋体" w:hAnsi="宋体"/>
          <w:sz w:val="24"/>
        </w:rPr>
      </w:pPr>
      <w:r>
        <w:rPr>
          <w:rFonts w:hint="eastAsia" w:ascii="宋体" w:hAnsi="宋体"/>
          <w:sz w:val="24"/>
        </w:rPr>
        <w:t>2.8向承包人提交支付担保</w:t>
      </w:r>
    </w:p>
    <w:p w14:paraId="3CD4C90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(1)发包人向承包人提交支付担保的金额：</w:t>
      </w:r>
      <w:r>
        <w:rPr>
          <w:rFonts w:ascii="宋体" w:hAnsi="宋体" w:cs="宋体"/>
          <w:u w:val="single"/>
        </w:rPr>
        <w:t>/。</w:t>
      </w:r>
      <w:r>
        <w:fldChar w:fldCharType="begin"/>
      </w:r>
      <w:r>
        <w:instrText xml:space="preserve"> AUTOTEXT  input837 \* MERGEFORMAT </w:instrText>
      </w:r>
      <w:r>
        <w:fldChar w:fldCharType="end"/>
      </w:r>
    </w:p>
    <w:p w14:paraId="4A312A06">
      <w:pPr>
        <w:adjustRightInd w:val="0"/>
        <w:snapToGrid w:val="0"/>
        <w:spacing w:line="360" w:lineRule="auto"/>
        <w:rPr>
          <w:rFonts w:hint="eastAsia" w:ascii="宋体" w:hAnsi="宋体"/>
          <w:sz w:val="24"/>
        </w:rPr>
      </w:pPr>
      <w:r>
        <w:rPr>
          <w:rFonts w:hint="eastAsia" w:ascii="宋体" w:hAnsi="宋体"/>
          <w:sz w:val="24"/>
        </w:rPr>
        <w:t>2.1</w:t>
      </w:r>
      <w:r>
        <w:rPr>
          <w:rFonts w:ascii="宋体" w:hAnsi="宋体"/>
          <w:sz w:val="24"/>
        </w:rPr>
        <w:t>3</w:t>
      </w:r>
      <w:r>
        <w:rPr>
          <w:rFonts w:hint="eastAsia" w:ascii="宋体" w:hAnsi="宋体"/>
          <w:sz w:val="24"/>
        </w:rPr>
        <w:t>其他义务</w:t>
      </w:r>
    </w:p>
    <w:p w14:paraId="5B25F428">
      <w:pPr>
        <w:adjustRightInd w:val="0"/>
        <w:snapToGrid w:val="0"/>
        <w:spacing w:line="360" w:lineRule="auto"/>
        <w:ind w:firstLine="420" w:firstLineChars="200"/>
        <w:jc w:val="left"/>
        <w:rPr>
          <w:rFonts w:hint="eastAsia" w:ascii="宋体" w:hAnsi="宋体" w:cs="Arial"/>
        </w:rPr>
      </w:pPr>
      <w:r>
        <w:rPr>
          <w:rFonts w:hint="eastAsia" w:ascii="宋体" w:hAnsi="宋体"/>
          <w:szCs w:val="21"/>
        </w:rPr>
        <w:t>发包人应当履行的其他义务</w:t>
      </w:r>
      <w:r>
        <w:rPr>
          <w:rFonts w:hint="eastAsia" w:ascii="宋体" w:hAnsi="宋体" w:cs="Arial"/>
        </w:rPr>
        <w:t>：</w:t>
      </w:r>
    </w:p>
    <w:p w14:paraId="5A14836A">
      <w:pPr>
        <w:adjustRightInd w:val="0"/>
        <w:snapToGrid w:val="0"/>
        <w:spacing w:line="360" w:lineRule="auto"/>
        <w:ind w:firstLine="420" w:firstLineChars="200"/>
        <w:jc w:val="left"/>
        <w:rPr>
          <w:rFonts w:hint="eastAsia" w:ascii="宋体" w:hAnsi="宋体" w:cs="Arial"/>
          <w:szCs w:val="21"/>
        </w:rPr>
      </w:pPr>
      <w:r>
        <w:rPr>
          <w:rFonts w:ascii="宋体" w:hAnsi="宋体" w:cs="宋体"/>
          <w:u w:val="single"/>
        </w:rPr>
        <w:t>发包人向承包人提供的有关现场的数据和资料，是发包人现有的能被承包人利用的资料，承包人应积极并尽一切可能对施工现场进行详细了解，发包人对承包人做出的任何推论、理解和结论均不负责任。</w:t>
      </w:r>
      <w:r>
        <w:fldChar w:fldCharType="begin"/>
      </w:r>
      <w:r>
        <w:instrText xml:space="preserve"> AUTOTEXT  input446 \* MERGEFORMAT </w:instrText>
      </w:r>
      <w:r>
        <w:fldChar w:fldCharType="end"/>
      </w:r>
    </w:p>
    <w:p w14:paraId="60024E06">
      <w:pPr>
        <w:adjustRightInd w:val="0"/>
        <w:snapToGrid w:val="0"/>
        <w:spacing w:line="360" w:lineRule="auto"/>
        <w:outlineLvl w:val="2"/>
        <w:rPr>
          <w:rFonts w:hint="eastAsia" w:ascii="宋体" w:hAnsi="宋体"/>
          <w:sz w:val="28"/>
        </w:rPr>
      </w:pPr>
      <w:bookmarkStart w:id="939" w:name="_Toc196225932"/>
      <w:r>
        <w:rPr>
          <w:rFonts w:hint="eastAsia" w:ascii="宋体" w:hAnsi="宋体"/>
          <w:sz w:val="28"/>
        </w:rPr>
        <w:t>3.监理人</w:t>
      </w:r>
      <w:bookmarkEnd w:id="939"/>
    </w:p>
    <w:p w14:paraId="5378382F">
      <w:pPr>
        <w:adjustRightInd w:val="0"/>
        <w:snapToGrid w:val="0"/>
        <w:spacing w:line="360" w:lineRule="auto"/>
        <w:rPr>
          <w:rFonts w:hint="eastAsia" w:ascii="宋体" w:hAnsi="宋体"/>
          <w:sz w:val="24"/>
        </w:rPr>
      </w:pPr>
      <w:r>
        <w:rPr>
          <w:rFonts w:hint="eastAsia" w:ascii="宋体" w:hAnsi="宋体"/>
          <w:sz w:val="24"/>
        </w:rPr>
        <w:t>3.1监理人的职责和权力</w:t>
      </w:r>
    </w:p>
    <w:p w14:paraId="4610548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3.1.1发包人需批准明确行使的权力：</w:t>
      </w:r>
    </w:p>
    <w:p w14:paraId="7B8725F0">
      <w:pPr>
        <w:adjustRightInd w:val="0"/>
        <w:snapToGrid w:val="0"/>
        <w:spacing w:line="360" w:lineRule="auto"/>
        <w:ind w:firstLine="420" w:firstLineChars="200"/>
        <w:jc w:val="left"/>
        <w:rPr>
          <w:rFonts w:hint="eastAsia" w:ascii="宋体" w:hAnsi="宋体"/>
          <w:szCs w:val="21"/>
        </w:rPr>
      </w:pPr>
      <w:r>
        <w:rPr>
          <w:rFonts w:ascii="宋体" w:hAnsi="宋体" w:cs="宋体"/>
          <w:u w:val="single"/>
        </w:rPr>
        <w:t>所有由监理人做出的通知、批准、证明、证书、指示、同意、意见、确定、决定、变更、洽商、函件及其他通讯联络，只要与工程的合同价格、进度款数额、计量、计价、工期、变更、索赔、建筑使用功能、质量标准、分包的范围与内容、分包商和供应商的选择、承包人主要管理人员的更换或撤回、工程验收以及其他可能影响发包人利益的事项，均应事先得到发包人的书面同意，否则不具有约束力。</w:t>
      </w:r>
      <w:r>
        <w:fldChar w:fldCharType="begin"/>
      </w:r>
      <w:r>
        <w:instrText xml:space="preserve"> AUTOTEXT  input447 \* MERGEFORMAT </w:instrText>
      </w:r>
      <w:r>
        <w:fldChar w:fldCharType="end"/>
      </w:r>
    </w:p>
    <w:p w14:paraId="0AC76E2A">
      <w:pPr>
        <w:adjustRightInd w:val="0"/>
        <w:snapToGrid w:val="0"/>
        <w:spacing w:line="360" w:lineRule="auto"/>
        <w:outlineLvl w:val="2"/>
        <w:rPr>
          <w:rFonts w:hint="eastAsia" w:ascii="宋体" w:hAnsi="宋体"/>
          <w:sz w:val="28"/>
        </w:rPr>
      </w:pPr>
      <w:bookmarkStart w:id="940" w:name="_Toc196225933"/>
      <w:r>
        <w:rPr>
          <w:rFonts w:hint="eastAsia" w:ascii="宋体" w:hAnsi="宋体"/>
          <w:sz w:val="28"/>
        </w:rPr>
        <w:t>4.承包人</w:t>
      </w:r>
      <w:bookmarkEnd w:id="940"/>
    </w:p>
    <w:p w14:paraId="1FD9EC0B">
      <w:pPr>
        <w:adjustRightInd w:val="0"/>
        <w:snapToGrid w:val="0"/>
        <w:spacing w:line="360" w:lineRule="auto"/>
        <w:rPr>
          <w:rFonts w:hint="eastAsia" w:ascii="宋体" w:hAnsi="宋体"/>
          <w:sz w:val="24"/>
        </w:rPr>
      </w:pPr>
      <w:r>
        <w:rPr>
          <w:rFonts w:hint="eastAsia" w:ascii="宋体" w:hAnsi="宋体"/>
          <w:sz w:val="24"/>
        </w:rPr>
        <w:t>4.1承包人的一般义务</w:t>
      </w:r>
    </w:p>
    <w:p w14:paraId="064130F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4.1.8为他人提供方便</w:t>
      </w:r>
    </w:p>
    <w:p w14:paraId="0E00852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(1)承包人应当对在施工场地或者附近实施与合同工程有关的其他工作的独立承包人履行管理、协调、配合、照管和服务义务的具体工作内容和要求：</w:t>
      </w:r>
    </w:p>
    <w:p w14:paraId="45018BC0">
      <w:pPr>
        <w:adjustRightInd w:val="0"/>
        <w:snapToGrid w:val="0"/>
        <w:spacing w:line="360" w:lineRule="auto"/>
        <w:ind w:firstLine="420" w:firstLineChars="200"/>
        <w:jc w:val="left"/>
        <w:rPr>
          <w:rFonts w:hint="eastAsia" w:ascii="宋体" w:hAnsi="宋体"/>
          <w:szCs w:val="21"/>
        </w:rPr>
      </w:pPr>
      <w:r>
        <w:rPr>
          <w:rFonts w:ascii="宋体" w:hAnsi="宋体" w:cs="宋体"/>
          <w:u w:val="single"/>
        </w:rPr>
        <w:t>承包人负责现场内为其他独立承包人(独立承包人包括但不限于暂估价的专业分包人、暂估价的材料和工程设备供应商、发包人发包项目的承包人、发包人供应材料和工程设备供货商等)在使用施工用地、道路和其他公用设施等方面提供方便。对其他独立承包人的施工计划安排、施工安全、工程质量、配合协调、工程资料汇总、现场管理等，做好与相关专业承包人、分包人的管理、协调、配合与服务等工作,全部纳入承包人总包管理工作中，确保整体工程的顺利进行, 并承担上述工作内容而产生的相关费用，或相关费用已在投标报价中予以充分考虑，不再另行向发包人、分包人、其它供应商收取。具体要求如下（包括但不限于）：</w:t>
      </w:r>
      <w:r>
        <w:rPr>
          <w:rFonts w:ascii="宋体" w:hAnsi="宋体" w:cs="宋体"/>
          <w:u w:val="single"/>
        </w:rPr>
        <w:cr/>
      </w:r>
      <w:r>
        <w:rPr>
          <w:rFonts w:ascii="宋体" w:hAnsi="宋体" w:cs="宋体"/>
          <w:u w:val="single"/>
        </w:rPr>
        <w:t>将承包人负责修建、维修及保养的任何道路或通道，提供给其他独立承包人使用；</w:t>
      </w:r>
      <w:r>
        <w:rPr>
          <w:rFonts w:ascii="宋体" w:hAnsi="宋体" w:cs="宋体"/>
          <w:u w:val="single"/>
        </w:rPr>
        <w:cr/>
      </w:r>
      <w:r>
        <w:rPr>
          <w:rFonts w:ascii="宋体" w:hAnsi="宋体" w:cs="宋体"/>
          <w:u w:val="single"/>
        </w:rPr>
        <w:t>允许其他独立承包人使用承包人提供的临时工程或承包人在现场的垂直运输机械、设备和脚手架；</w:t>
      </w:r>
      <w:r>
        <w:rPr>
          <w:rFonts w:ascii="宋体" w:hAnsi="宋体" w:cs="宋体"/>
          <w:u w:val="single"/>
        </w:rPr>
        <w:cr/>
      </w:r>
      <w:r>
        <w:rPr>
          <w:rFonts w:ascii="宋体" w:hAnsi="宋体" w:cs="宋体"/>
          <w:u w:val="single"/>
        </w:rPr>
        <w:t>为保证承包人和其他独立承包人的工作不发生冲突，承包人须对其他独立承包人（如果有）的工作场所或材料存放及与本工程实施有关的临时仓库等负责协调，并负责协调提供必要的临时办公条件；</w:t>
      </w:r>
      <w:r>
        <w:rPr>
          <w:rFonts w:ascii="宋体" w:hAnsi="宋体" w:cs="宋体"/>
          <w:u w:val="single"/>
        </w:rPr>
        <w:cr/>
      </w:r>
      <w:r>
        <w:rPr>
          <w:rFonts w:ascii="宋体" w:hAnsi="宋体" w:cs="宋体"/>
          <w:u w:val="single"/>
        </w:rPr>
        <w:t>负责对包括其他独立承包人工作在内的工程总体施工进度计划的安排和日常协调及管理，即其他独立承包人的进度计划应纳入总承包进度计划中，由承包人统一协调管理；</w:t>
      </w:r>
      <w:r>
        <w:rPr>
          <w:rFonts w:ascii="宋体" w:hAnsi="宋体" w:cs="宋体"/>
          <w:u w:val="single"/>
        </w:rPr>
        <w:cr/>
      </w:r>
      <w:r>
        <w:rPr>
          <w:rFonts w:ascii="宋体" w:hAnsi="宋体" w:cs="宋体"/>
          <w:u w:val="single"/>
        </w:rPr>
        <w:t>负责对其他独立承包人的施工质量进行监督管理，及时发现质量隐患，确保总体施工质量；</w:t>
      </w:r>
      <w:r>
        <w:rPr>
          <w:rFonts w:ascii="宋体" w:hAnsi="宋体" w:cs="宋体"/>
          <w:u w:val="single"/>
        </w:rPr>
        <w:cr/>
      </w:r>
      <w:r>
        <w:rPr>
          <w:rFonts w:ascii="宋体" w:hAnsi="宋体" w:cs="宋体"/>
          <w:u w:val="single"/>
        </w:rPr>
        <w:t>负责对其他独立承包人的安全进行全面管理，及时发现安全隐患，杜绝伤亡事故。发生事故，及时按相关规定全面负责救护、上报、处理和善后，尽最大可能降低事故损失；</w:t>
      </w:r>
      <w:r>
        <w:rPr>
          <w:rFonts w:ascii="宋体" w:hAnsi="宋体" w:cs="宋体"/>
          <w:u w:val="single"/>
        </w:rPr>
        <w:cr/>
      </w:r>
      <w:r>
        <w:rPr>
          <w:rFonts w:ascii="宋体" w:hAnsi="宋体" w:cs="宋体"/>
          <w:u w:val="single"/>
        </w:rPr>
        <w:t>为其他独立承包人及时提供足够的和无障碍的工作面；</w:t>
      </w:r>
      <w:r>
        <w:rPr>
          <w:rFonts w:ascii="宋体" w:hAnsi="宋体" w:cs="宋体"/>
          <w:u w:val="single"/>
        </w:rPr>
        <w:cr/>
      </w:r>
      <w:r>
        <w:rPr>
          <w:rFonts w:ascii="宋体" w:hAnsi="宋体" w:cs="宋体"/>
          <w:u w:val="single"/>
        </w:rPr>
        <w:t>在其他独立承包人完成相应工作并将工作面移交给承包人后，承包人应采取有效的成品保护措施；</w:t>
      </w:r>
      <w:r>
        <w:rPr>
          <w:rFonts w:ascii="宋体" w:hAnsi="宋体" w:cs="宋体"/>
          <w:u w:val="single"/>
        </w:rPr>
        <w:cr/>
      </w:r>
      <w:r>
        <w:rPr>
          <w:rFonts w:ascii="宋体" w:hAnsi="宋体" w:cs="宋体"/>
          <w:u w:val="single"/>
        </w:rPr>
        <w:t>临时水、电接口其他临时设施的支持配合，包括临时用水用电的计量设施；</w:t>
      </w:r>
      <w:r>
        <w:rPr>
          <w:rFonts w:ascii="宋体" w:hAnsi="宋体" w:cs="宋体"/>
          <w:u w:val="single"/>
        </w:rPr>
        <w:cr/>
      </w:r>
      <w:r>
        <w:rPr>
          <w:rFonts w:ascii="宋体" w:hAnsi="宋体" w:cs="宋体"/>
          <w:u w:val="single"/>
        </w:rPr>
        <w:t>为其他独立承包人提供正常的临时照明和施工及调试试运行所必需的配合条件；</w:t>
      </w:r>
      <w:r>
        <w:rPr>
          <w:rFonts w:ascii="宋体" w:hAnsi="宋体" w:cs="宋体"/>
          <w:u w:val="single"/>
        </w:rPr>
        <w:cr/>
      </w:r>
      <w:r>
        <w:rPr>
          <w:rFonts w:ascii="宋体" w:hAnsi="宋体" w:cs="宋体"/>
          <w:u w:val="single"/>
        </w:rPr>
        <w:t>清理现场垃圾（上述其他独立承包人将其施工所产生的垃圾运至承包人指定地点）；</w:t>
      </w:r>
      <w:r>
        <w:rPr>
          <w:rFonts w:ascii="宋体" w:hAnsi="宋体" w:cs="宋体"/>
          <w:u w:val="single"/>
        </w:rPr>
        <w:cr/>
      </w:r>
      <w:r>
        <w:rPr>
          <w:rFonts w:ascii="宋体" w:hAnsi="宋体" w:cs="宋体"/>
          <w:u w:val="single"/>
        </w:rPr>
        <w:t>确保其他独立工程所含设备的通道之洞口尺寸适当，以确保该设备运送不会因洞口尺寸及相隔高度不足够而产生延误及阻碍；</w:t>
      </w:r>
      <w:r>
        <w:rPr>
          <w:rFonts w:ascii="宋体" w:hAnsi="宋体" w:cs="宋体"/>
          <w:u w:val="single"/>
        </w:rPr>
        <w:cr/>
      </w:r>
      <w:r>
        <w:rPr>
          <w:rFonts w:ascii="宋体" w:hAnsi="宋体" w:cs="宋体"/>
          <w:u w:val="single"/>
        </w:rPr>
        <w:t>承包人进驻现场后，需为发包人发包的专业工程提供工作所需的基准定位轴线、定位标高、主要轴线和其他定位点；</w:t>
      </w:r>
      <w:r>
        <w:rPr>
          <w:rFonts w:ascii="宋体" w:hAnsi="宋体" w:cs="宋体"/>
          <w:u w:val="single"/>
        </w:rPr>
        <w:cr/>
      </w:r>
      <w:r>
        <w:rPr>
          <w:rFonts w:ascii="宋体" w:hAnsi="宋体" w:cs="宋体"/>
          <w:u w:val="single"/>
        </w:rPr>
        <w:t>承包人须对施工现场内的专业工程及发包人发包项目等工程进行施工配合，并进行相关预留预埋工作；</w:t>
      </w:r>
      <w:r>
        <w:rPr>
          <w:rFonts w:ascii="宋体" w:hAnsi="宋体" w:cs="宋体"/>
          <w:u w:val="single"/>
        </w:rPr>
        <w:cr/>
      </w:r>
      <w:r>
        <w:rPr>
          <w:rFonts w:ascii="宋体" w:hAnsi="宋体" w:cs="宋体"/>
          <w:u w:val="single"/>
        </w:rPr>
        <w:t>对于向任何其他独立承包人提供的管理、协调、配合及服务等工作，其费用已经包含在合同价格中。承包人不得再以任何手段、借口、理由或形式向其他独立承包人另行收取、索取或截留与独立承包工程有关的工程款项，承包人履行本合同约定的总包管理、协调、配合、服务责任、义务、损失等其他任何费用，承包人均已考虑在合同签约价款或投标报价之中；</w:t>
      </w:r>
      <w:r>
        <w:rPr>
          <w:rFonts w:ascii="宋体" w:hAnsi="宋体" w:cs="宋体"/>
          <w:u w:val="single"/>
        </w:rPr>
        <w:cr/>
      </w:r>
      <w:r>
        <w:rPr>
          <w:rFonts w:ascii="宋体" w:hAnsi="宋体" w:cs="宋体"/>
          <w:u w:val="single"/>
        </w:rPr>
        <w:t>承包人应知晓本工程须配合发包人整体进度计划，进行分期分段调试。所有相关费用已包含在合同价款中。</w:t>
      </w:r>
      <w:r>
        <w:fldChar w:fldCharType="begin"/>
      </w:r>
      <w:r>
        <w:instrText xml:space="preserve"> AUTOTEXT  input448 \* MERGEFORMAT </w:instrText>
      </w:r>
      <w:r>
        <w:fldChar w:fldCharType="end"/>
      </w:r>
    </w:p>
    <w:p w14:paraId="675B296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4.1.10承包人的设计工作</w:t>
      </w:r>
    </w:p>
    <w:p w14:paraId="2F4F45E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承包人承担的施工图设计或与工程配套的设计工作内容：</w:t>
      </w:r>
    </w:p>
    <w:p w14:paraId="0F399CB1">
      <w:pPr>
        <w:adjustRightInd w:val="0"/>
        <w:snapToGrid w:val="0"/>
        <w:spacing w:line="360" w:lineRule="auto"/>
        <w:ind w:firstLine="420" w:firstLineChars="200"/>
        <w:jc w:val="left"/>
        <w:rPr>
          <w:rFonts w:hint="eastAsia" w:ascii="宋体" w:hAnsi="宋体"/>
          <w:szCs w:val="21"/>
        </w:rPr>
      </w:pPr>
      <w:r>
        <w:rPr>
          <w:rFonts w:hint="eastAsia" w:ascii="宋体" w:hAnsi="宋体" w:cs="宋体"/>
          <w:u w:val="single"/>
        </w:rPr>
        <w:t>图纸及招标范围内如有未设计、设计不完整或未达到施工图深度的，补充设计、优化、深化等所有设计和相关工作应由承包人负责，若承包人无相关设计资质，须委托具备资质的专业设计公司，此项工作所涉及费用已考虑在投标报价中。深化标准不得低于原设计图纸及技术标准和要求中的对应标准。深化内容在已标价的工程清单中列项且不属暂估价的，其清单综合单价不因深化设计与原图的差异而增加，结算时工程量不因深化设计与原图的差异而增加。所有深化设计需经发包人及原设计单位书面确认</w:t>
      </w:r>
      <w:r>
        <w:rPr>
          <w:rFonts w:ascii="宋体" w:hAnsi="宋体" w:cs="宋体"/>
          <w:u w:val="single"/>
        </w:rPr>
        <w:t>。</w:t>
      </w:r>
      <w:r>
        <w:fldChar w:fldCharType="begin"/>
      </w:r>
      <w:r>
        <w:instrText xml:space="preserve"> AUTOTEXT  input449 \* MERGEFORMAT </w:instrText>
      </w:r>
      <w:r>
        <w:fldChar w:fldCharType="end"/>
      </w:r>
    </w:p>
    <w:p w14:paraId="303CE9C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4.1.1</w:t>
      </w:r>
      <w:r>
        <w:rPr>
          <w:rFonts w:ascii="宋体" w:hAnsi="宋体"/>
          <w:szCs w:val="21"/>
        </w:rPr>
        <w:t>2</w:t>
      </w:r>
      <w:r>
        <w:rPr>
          <w:rFonts w:hint="eastAsia" w:ascii="宋体" w:hAnsi="宋体"/>
          <w:szCs w:val="21"/>
        </w:rPr>
        <w:t>其他义务</w:t>
      </w:r>
    </w:p>
    <w:p w14:paraId="2BE02E1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5255CD5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40B2CB3C">
      <w:pPr>
        <w:adjustRightInd w:val="0"/>
        <w:snapToGrid w:val="0"/>
        <w:spacing w:line="360" w:lineRule="auto"/>
        <w:ind w:firstLine="420" w:firstLineChars="200"/>
        <w:jc w:val="left"/>
        <w:rPr>
          <w:rFonts w:hint="eastAsia" w:ascii="宋体" w:hAnsi="宋体" w:cs="Arial"/>
        </w:rPr>
      </w:pPr>
      <w:r>
        <w:rPr>
          <w:rFonts w:hint="eastAsia" w:ascii="宋体" w:hAnsi="宋体"/>
          <w:szCs w:val="21"/>
        </w:rPr>
        <w:t>（3）承包人应履行的其他义务</w:t>
      </w:r>
      <w:r>
        <w:rPr>
          <w:rFonts w:hint="eastAsia" w:ascii="宋体" w:hAnsi="宋体" w:cs="Arial"/>
        </w:rPr>
        <w:t>：</w:t>
      </w:r>
    </w:p>
    <w:p w14:paraId="262B8DB9">
      <w:pPr>
        <w:adjustRightInd w:val="0"/>
        <w:snapToGrid w:val="0"/>
        <w:spacing w:line="360" w:lineRule="auto"/>
        <w:ind w:firstLine="420" w:firstLineChars="200"/>
        <w:jc w:val="left"/>
        <w:rPr>
          <w:rFonts w:hint="eastAsia" w:ascii="宋体" w:hAnsi="宋体" w:cs="宋体"/>
          <w:u w:val="single"/>
        </w:rPr>
      </w:pPr>
      <w:r>
        <w:rPr>
          <w:rFonts w:ascii="宋体" w:hAnsi="宋体" w:cs="宋体"/>
          <w:u w:val="single"/>
        </w:rPr>
        <w:t>承包人应履行的其他义务：承包人的投标报价里已经包括扰民、噪音污染等相关费用。具体如下：</w:t>
      </w:r>
      <w:r>
        <w:rPr>
          <w:rFonts w:ascii="宋体" w:hAnsi="宋体" w:cs="宋体"/>
          <w:u w:val="single"/>
        </w:rPr>
        <w:cr/>
      </w:r>
      <w:r>
        <w:rPr>
          <w:rFonts w:ascii="宋体" w:hAnsi="宋体" w:cs="宋体"/>
          <w:u w:val="single"/>
        </w:rPr>
        <w:t>承包人必须遵照国家、北京市政府发布的相关规定，避免或减少由于施工造成的噪音、空气污染而带来的扰民及民扰影响。承包人须主动协调同周围居民及有关单位的关系，以免造成窝工、停工、延误工期的现象发生。因噪音、空气污染等原因产生的扰民赔偿、额外费用、工期延误损失等，均由承包人承担，并在必要时按北京市有关规定标准支付补偿金。承包人不能以扰民或民扰问题处理为理由，向发包人提出索赔或工期延长的要求。</w:t>
      </w:r>
      <w:r>
        <w:rPr>
          <w:rFonts w:ascii="宋体" w:hAnsi="宋体" w:cs="宋体"/>
          <w:u w:val="single"/>
        </w:rPr>
        <w:cr/>
      </w:r>
      <w:r>
        <w:rPr>
          <w:rFonts w:ascii="宋体" w:hAnsi="宋体" w:cs="宋体"/>
          <w:u w:val="single"/>
        </w:rPr>
        <w:t>承包人确认已充分考察了解了施工现场的使用条件，充分考虑了地上地下障碍物对工程的影响，充分考虑了临电的接驳、无供水、排水等路由，承担办理施工临建设施相关的工作，并在投标报价（合同价款）中已考虑相关费用。特别是施工场地狭小发生的租用临时用地的费用及相关交通费，结算时不再调整。</w:t>
      </w:r>
      <w:r>
        <w:rPr>
          <w:rFonts w:ascii="宋体" w:hAnsi="宋体" w:cs="宋体"/>
          <w:u w:val="single"/>
        </w:rPr>
        <w:cr/>
      </w:r>
      <w:r>
        <w:rPr>
          <w:rFonts w:ascii="宋体" w:hAnsi="宋体" w:cs="宋体"/>
          <w:u w:val="single"/>
        </w:rPr>
        <w:t>对现场周边整体环境（如道路、绿化等）进行保护，如有破坏需进行修复，费用由承包人支付。</w:t>
      </w:r>
    </w:p>
    <w:p w14:paraId="6FE8AC46">
      <w:pPr>
        <w:adjustRightInd w:val="0"/>
        <w:snapToGrid w:val="0"/>
        <w:spacing w:line="360" w:lineRule="auto"/>
        <w:jc w:val="left"/>
        <w:rPr>
          <w:rFonts w:hint="eastAsia" w:ascii="宋体" w:hAnsi="宋体"/>
          <w:szCs w:val="21"/>
        </w:rPr>
      </w:pPr>
      <w:bookmarkStart w:id="941" w:name="_Hlk181606752"/>
      <w:r>
        <w:rPr>
          <w:rFonts w:hint="eastAsia" w:ascii="宋体" w:hAnsi="宋体" w:cs="宋体"/>
          <w:u w:val="single"/>
        </w:rPr>
        <w:t>废旧散热器、管道等拆除物由承包人消纳处理；具有回收价值拆除，相应价值抵扣相应项拆除费用，作为竞争性项目在相关拆除清单项中由承包人报价时予以考虑。</w:t>
      </w:r>
      <w:bookmarkEnd w:id="941"/>
      <w:r>
        <w:fldChar w:fldCharType="begin"/>
      </w:r>
      <w:r>
        <w:instrText xml:space="preserve"> AUTOTEXT  input450 \* MERGEFORMAT </w:instrText>
      </w:r>
      <w:r>
        <w:fldChar w:fldCharType="end"/>
      </w:r>
    </w:p>
    <w:p w14:paraId="4C25F0DD">
      <w:pPr>
        <w:adjustRightInd w:val="0"/>
        <w:snapToGrid w:val="0"/>
        <w:spacing w:line="360" w:lineRule="auto"/>
        <w:jc w:val="left"/>
        <w:rPr>
          <w:rFonts w:hint="eastAsia" w:ascii="宋体" w:hAnsi="宋体"/>
          <w:szCs w:val="21"/>
        </w:rPr>
      </w:pPr>
      <w:r>
        <w:fldChar w:fldCharType="begin"/>
      </w:r>
      <w:r>
        <w:instrText xml:space="preserve"> AUTOTEXT  input450 \* MERGEFORMAT </w:instrText>
      </w:r>
      <w:r>
        <w:fldChar w:fldCharType="end"/>
      </w:r>
    </w:p>
    <w:p w14:paraId="66963CCD">
      <w:pPr>
        <w:adjustRightInd w:val="0"/>
        <w:snapToGrid w:val="0"/>
        <w:spacing w:line="360" w:lineRule="auto"/>
        <w:rPr>
          <w:rFonts w:hint="eastAsia" w:ascii="宋体" w:hAnsi="宋体"/>
          <w:sz w:val="24"/>
        </w:rPr>
      </w:pPr>
      <w:r>
        <w:rPr>
          <w:rFonts w:hint="eastAsia" w:ascii="宋体" w:hAnsi="宋体"/>
          <w:sz w:val="24"/>
        </w:rPr>
        <w:t>4.2履约担保</w:t>
      </w:r>
    </w:p>
    <w:p w14:paraId="2CA7819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4.2.1承包人履约担保的格式和金额</w:t>
      </w:r>
    </w:p>
    <w:p w14:paraId="3123D7D3">
      <w:pPr>
        <w:adjustRightInd w:val="0"/>
        <w:snapToGrid w:val="0"/>
        <w:spacing w:line="360" w:lineRule="auto"/>
        <w:ind w:firstLine="420" w:firstLineChars="200"/>
        <w:rPr>
          <w:rFonts w:hint="eastAsia" w:ascii="宋体" w:hAnsi="宋体"/>
          <w:bCs/>
          <w:szCs w:val="21"/>
        </w:rPr>
      </w:pPr>
      <w:r>
        <w:rPr>
          <w:rFonts w:hint="eastAsia" w:ascii="宋体" w:hAnsi="宋体"/>
          <w:bCs/>
          <w:szCs w:val="21"/>
        </w:rPr>
        <w:t>乙方履约担保的格式和金额</w:t>
      </w:r>
    </w:p>
    <w:p w14:paraId="471B7C30">
      <w:pPr>
        <w:adjustRightInd w:val="0"/>
        <w:snapToGrid w:val="0"/>
        <w:spacing w:line="360" w:lineRule="auto"/>
        <w:ind w:firstLine="420" w:firstLineChars="200"/>
        <w:rPr>
          <w:rFonts w:hint="eastAsia" w:ascii="宋体" w:hAnsi="宋体"/>
          <w:bCs/>
          <w:szCs w:val="21"/>
        </w:rPr>
      </w:pPr>
      <w:r>
        <w:rPr>
          <w:rFonts w:hint="eastAsia" w:ascii="宋体" w:hAnsi="宋体"/>
          <w:bCs/>
          <w:szCs w:val="21"/>
        </w:rPr>
        <w:t>甲方</w:t>
      </w:r>
      <w:r>
        <w:rPr>
          <w:rFonts w:hint="eastAsia" w:ascii="宋体" w:hAnsi="宋体"/>
          <w:bCs/>
          <w:szCs w:val="21"/>
          <w:u w:val="single"/>
        </w:rPr>
        <w:t>要求</w:t>
      </w:r>
      <w:r>
        <w:rPr>
          <w:rFonts w:hint="eastAsia" w:ascii="宋体" w:hAnsi="宋体"/>
          <w:bCs/>
          <w:szCs w:val="21"/>
        </w:rPr>
        <w:t>（要求/不要求）乙方提供承包人履约担保。</w:t>
      </w:r>
    </w:p>
    <w:p w14:paraId="047822AB">
      <w:pPr>
        <w:adjustRightInd w:val="0"/>
        <w:snapToGrid w:val="0"/>
        <w:spacing w:line="360" w:lineRule="auto"/>
        <w:rPr>
          <w:rFonts w:hint="eastAsia" w:ascii="宋体" w:hAnsi="宋体"/>
          <w:bCs/>
          <w:szCs w:val="21"/>
          <w:u w:val="single"/>
        </w:rPr>
      </w:pPr>
      <w:r>
        <w:rPr>
          <w:rFonts w:hint="eastAsia" w:ascii="宋体" w:hAnsi="宋体"/>
          <w:bCs/>
          <w:szCs w:val="21"/>
        </w:rPr>
        <w:t>（1）乙方履约担保的金额为：</w:t>
      </w:r>
      <w:r>
        <w:rPr>
          <w:rFonts w:hint="eastAsia" w:ascii="宋体" w:hAnsi="宋体"/>
          <w:bCs/>
          <w:szCs w:val="21"/>
          <w:u w:val="single"/>
        </w:rPr>
        <w:t xml:space="preserve"> </w:t>
      </w:r>
      <w:r>
        <w:rPr>
          <w:rFonts w:hint="eastAsia" w:ascii="宋体" w:hAnsi="宋体"/>
          <w:szCs w:val="21"/>
          <w:u w:val="single"/>
        </w:rPr>
        <w:t>本工程签约合同价的10%</w:t>
      </w:r>
      <w:r>
        <w:rPr>
          <w:rFonts w:hint="eastAsia" w:ascii="宋体" w:hAnsi="宋体"/>
          <w:bCs/>
          <w:szCs w:val="21"/>
          <w:u w:val="single"/>
        </w:rPr>
        <w:t>。</w:t>
      </w:r>
    </w:p>
    <w:p w14:paraId="0FD6BCCF">
      <w:pPr>
        <w:adjustRightInd w:val="0"/>
        <w:snapToGrid w:val="0"/>
        <w:spacing w:line="360" w:lineRule="auto"/>
        <w:rPr>
          <w:rFonts w:hint="eastAsia" w:ascii="宋体" w:hAnsi="宋体"/>
          <w:bCs/>
          <w:szCs w:val="21"/>
          <w:u w:val="single"/>
        </w:rPr>
      </w:pPr>
      <w:r>
        <w:rPr>
          <w:rFonts w:hint="eastAsia" w:ascii="宋体" w:hAnsi="宋体"/>
          <w:bCs/>
          <w:szCs w:val="21"/>
        </w:rPr>
        <w:t>（2）履约保证金形式：</w:t>
      </w:r>
      <w:r>
        <w:rPr>
          <w:rFonts w:hint="eastAsia" w:ascii="宋体" w:hAnsi="宋体"/>
          <w:szCs w:val="21"/>
        </w:rPr>
        <w:t>采用银行保函担保</w:t>
      </w:r>
      <w:r>
        <w:fldChar w:fldCharType="begin"/>
      </w:r>
      <w:r>
        <w:instrText xml:space="preserve"> AUTOTEXT  input859 \* MERGEFORMAT </w:instrText>
      </w:r>
      <w:r>
        <w:fldChar w:fldCharType="end"/>
      </w:r>
      <w:r>
        <w:rPr>
          <w:rFonts w:hint="eastAsia" w:ascii="宋体" w:hAnsi="宋体"/>
          <w:bCs/>
          <w:szCs w:val="21"/>
        </w:rPr>
        <w:t>。</w:t>
      </w:r>
    </w:p>
    <w:p w14:paraId="3C161E00">
      <w:pPr>
        <w:adjustRightInd w:val="0"/>
        <w:snapToGrid w:val="0"/>
        <w:spacing w:line="360" w:lineRule="auto"/>
        <w:rPr>
          <w:rFonts w:hint="eastAsia" w:ascii="宋体" w:hAnsi="宋体"/>
          <w:bCs/>
          <w:szCs w:val="21"/>
          <w:u w:val="single"/>
        </w:rPr>
      </w:pPr>
      <w:r>
        <w:rPr>
          <w:rFonts w:hint="eastAsia" w:ascii="宋体" w:hAnsi="宋体"/>
          <w:bCs/>
          <w:szCs w:val="21"/>
        </w:rPr>
        <w:t>（3）履约保证金的支付期限：</w:t>
      </w:r>
      <w:r>
        <w:rPr>
          <w:rFonts w:hint="eastAsia" w:ascii="宋体" w:hAnsi="宋体"/>
          <w:bCs/>
          <w:szCs w:val="21"/>
          <w:u w:val="single"/>
        </w:rPr>
        <w:t xml:space="preserve">  发包人支付预付款前。</w:t>
      </w:r>
    </w:p>
    <w:p w14:paraId="3789C6CF">
      <w:pPr>
        <w:adjustRightInd w:val="0"/>
        <w:snapToGrid w:val="0"/>
        <w:spacing w:line="360" w:lineRule="auto"/>
        <w:rPr>
          <w:rFonts w:hint="eastAsia" w:ascii="宋体" w:hAnsi="宋体"/>
          <w:sz w:val="24"/>
        </w:rPr>
      </w:pPr>
      <w:r>
        <w:rPr>
          <w:rFonts w:hint="eastAsia" w:ascii="宋体" w:hAnsi="宋体"/>
          <w:sz w:val="24"/>
        </w:rPr>
        <w:t>4.11不利物质条件</w:t>
      </w:r>
    </w:p>
    <w:p w14:paraId="3B9CC0C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4.11.1不利物质条件的范围：</w:t>
      </w:r>
    </w:p>
    <w:p w14:paraId="079B5F85">
      <w:pPr>
        <w:adjustRightInd w:val="0"/>
        <w:snapToGrid w:val="0"/>
        <w:spacing w:line="360" w:lineRule="auto"/>
        <w:ind w:firstLine="420" w:firstLineChars="200"/>
        <w:jc w:val="left"/>
        <w:rPr>
          <w:rFonts w:hint="eastAsia" w:ascii="宋体" w:hAnsi="宋体"/>
          <w:szCs w:val="21"/>
        </w:rPr>
      </w:pPr>
      <w:r>
        <w:rPr>
          <w:rFonts w:ascii="宋体" w:hAnsi="宋体" w:cs="宋体"/>
          <w:u w:val="single"/>
        </w:rPr>
        <w:t>地下已存在的但未探明的非自然物质障碍和污染物，包括化石、文物，但不包括气候条件、不可抗力、地下管线、废旧基础等，其中地下管线和废旧基础等属于承包人在施工前即应当查明的事实。</w:t>
      </w:r>
      <w:r>
        <w:fldChar w:fldCharType="begin"/>
      </w:r>
      <w:r>
        <w:instrText xml:space="preserve"> AUTOTEXT  input452 \* MERGEFORMAT </w:instrText>
      </w:r>
      <w:r>
        <w:fldChar w:fldCharType="end"/>
      </w:r>
    </w:p>
    <w:p w14:paraId="6EAC15A7">
      <w:pPr>
        <w:adjustRightInd w:val="0"/>
        <w:snapToGrid w:val="0"/>
        <w:spacing w:line="360" w:lineRule="auto"/>
        <w:outlineLvl w:val="2"/>
        <w:rPr>
          <w:rFonts w:hint="eastAsia" w:ascii="宋体" w:hAnsi="宋体"/>
          <w:sz w:val="28"/>
        </w:rPr>
      </w:pPr>
      <w:bookmarkStart w:id="942" w:name="_Toc196225934"/>
      <w:r>
        <w:rPr>
          <w:rFonts w:hint="eastAsia" w:ascii="宋体" w:hAnsi="宋体"/>
          <w:sz w:val="28"/>
        </w:rPr>
        <w:t>5.材料和工程设备</w:t>
      </w:r>
      <w:bookmarkEnd w:id="942"/>
    </w:p>
    <w:p w14:paraId="5AC7AB8A">
      <w:pPr>
        <w:adjustRightInd w:val="0"/>
        <w:snapToGrid w:val="0"/>
        <w:spacing w:line="360" w:lineRule="auto"/>
        <w:rPr>
          <w:rFonts w:hint="eastAsia" w:ascii="宋体" w:hAnsi="宋体"/>
          <w:sz w:val="24"/>
        </w:rPr>
      </w:pPr>
      <w:r>
        <w:rPr>
          <w:rFonts w:hint="eastAsia" w:ascii="宋体" w:hAnsi="宋体"/>
          <w:sz w:val="24"/>
        </w:rPr>
        <w:t>5.1承包人提供的材料和工程设备</w:t>
      </w:r>
    </w:p>
    <w:p w14:paraId="390CC159">
      <w:pPr>
        <w:adjustRightInd w:val="0"/>
        <w:snapToGrid w:val="0"/>
        <w:spacing w:line="360" w:lineRule="auto"/>
        <w:ind w:firstLine="420" w:firstLineChars="200"/>
        <w:jc w:val="left"/>
        <w:rPr>
          <w:rFonts w:hint="eastAsia" w:ascii="宋体" w:hAnsi="宋体" w:cs="Arial"/>
        </w:rPr>
      </w:pPr>
      <w:r>
        <w:rPr>
          <w:rFonts w:hint="eastAsia" w:ascii="宋体" w:hAnsi="宋体"/>
          <w:szCs w:val="21"/>
        </w:rPr>
        <w:t>5.1.2承包人将由其提供的材料和工程设备的供货人和品种、规格、数量及供货时间等报送监理人审批的期限：</w:t>
      </w:r>
      <w:r>
        <w:rPr>
          <w:rFonts w:ascii="宋体" w:hAnsi="宋体" w:cs="宋体"/>
          <w:u w:val="single"/>
        </w:rPr>
        <w:t>采购前15天。</w:t>
      </w:r>
      <w:r>
        <w:fldChar w:fldCharType="begin"/>
      </w:r>
      <w:r>
        <w:instrText xml:space="preserve"> AUTOTEXT  input453 \* MERGEFORMAT </w:instrText>
      </w:r>
      <w:r>
        <w:fldChar w:fldCharType="end"/>
      </w:r>
    </w:p>
    <w:p w14:paraId="3962429B">
      <w:pPr>
        <w:adjustRightInd w:val="0"/>
        <w:snapToGrid w:val="0"/>
        <w:spacing w:line="360" w:lineRule="auto"/>
        <w:outlineLvl w:val="2"/>
        <w:rPr>
          <w:rFonts w:hint="eastAsia" w:ascii="宋体" w:hAnsi="宋体"/>
          <w:sz w:val="28"/>
        </w:rPr>
      </w:pPr>
      <w:bookmarkStart w:id="943" w:name="_Toc196225935"/>
      <w:r>
        <w:rPr>
          <w:rFonts w:hint="eastAsia" w:ascii="宋体" w:hAnsi="宋体"/>
          <w:sz w:val="28"/>
        </w:rPr>
        <w:t>6.施工设备和临时设施</w:t>
      </w:r>
      <w:bookmarkEnd w:id="943"/>
    </w:p>
    <w:p w14:paraId="09A214E5">
      <w:pPr>
        <w:adjustRightInd w:val="0"/>
        <w:snapToGrid w:val="0"/>
        <w:spacing w:line="360" w:lineRule="auto"/>
        <w:rPr>
          <w:rFonts w:hint="eastAsia" w:ascii="宋体" w:hAnsi="宋体"/>
          <w:sz w:val="24"/>
        </w:rPr>
      </w:pPr>
      <w:r>
        <w:rPr>
          <w:rFonts w:hint="eastAsia" w:ascii="宋体" w:hAnsi="宋体"/>
          <w:sz w:val="24"/>
        </w:rPr>
        <w:t>6.1承包人提供的施工设备和临时设施</w:t>
      </w:r>
    </w:p>
    <w:p w14:paraId="2A084DD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6.1.2</w:t>
      </w:r>
      <w:r>
        <w:rPr>
          <w:rFonts w:hint="eastAsia"/>
          <w:kern w:val="0"/>
        </w:rPr>
        <w:t>承包人</w:t>
      </w:r>
      <w:r>
        <w:rPr>
          <w:rFonts w:hint="eastAsia" w:ascii="宋体" w:hAnsi="宋体"/>
          <w:szCs w:val="21"/>
        </w:rPr>
        <w:t>承担自行修建临时设施费用的范围：</w:t>
      </w:r>
      <w:r>
        <w:rPr>
          <w:rFonts w:ascii="宋体" w:hAnsi="宋体" w:cs="宋体"/>
          <w:u w:val="single"/>
        </w:rPr>
        <w:t>/。</w:t>
      </w:r>
      <w:r>
        <w:fldChar w:fldCharType="begin"/>
      </w:r>
      <w:r>
        <w:instrText xml:space="preserve"> AUTOTEXT  input454 \* MERGEFORMAT </w:instrText>
      </w:r>
      <w:r>
        <w:fldChar w:fldCharType="end"/>
      </w:r>
    </w:p>
    <w:p w14:paraId="1B9EF0DF">
      <w:pPr>
        <w:adjustRightInd w:val="0"/>
        <w:snapToGrid w:val="0"/>
        <w:spacing w:line="360" w:lineRule="auto"/>
        <w:ind w:firstLine="420" w:firstLineChars="200"/>
        <w:jc w:val="left"/>
        <w:rPr>
          <w:rFonts w:hint="eastAsia" w:ascii="宋体" w:hAnsi="宋体"/>
        </w:rPr>
      </w:pPr>
      <w:r>
        <w:rPr>
          <w:rFonts w:hint="eastAsia" w:ascii="宋体" w:hAnsi="宋体"/>
        </w:rPr>
        <w:t>发包人办理申请手续并承担相关费用的临时占地：</w:t>
      </w:r>
    </w:p>
    <w:p w14:paraId="3B8B6498">
      <w:pPr>
        <w:adjustRightInd w:val="0"/>
        <w:snapToGrid w:val="0"/>
        <w:spacing w:line="360" w:lineRule="auto"/>
        <w:ind w:firstLine="420" w:firstLineChars="200"/>
        <w:jc w:val="left"/>
        <w:rPr>
          <w:rFonts w:hint="eastAsia" w:ascii="宋体" w:hAnsi="宋体"/>
        </w:rPr>
      </w:pPr>
      <w:r>
        <w:rPr>
          <w:rFonts w:hint="eastAsia" w:ascii="宋体" w:hAnsi="宋体" w:cs="宋体"/>
          <w:u w:val="single"/>
        </w:rPr>
        <w:t>不管发包人提供的现状施工场地（如在合同文件其它条款约定了发包人提供的临时用地，则包含此部分用地）面积是否满足承包人实施本工程需要，发包人不另（再）行提供临时用地给承包人。如现状施工场地面积狭小，不能满足需要，承包人自行解决临时用地及场地狭小给施工造成的所有困难，相关费用包含在承包人投标报价中</w:t>
      </w:r>
      <w:r>
        <w:rPr>
          <w:rFonts w:ascii="宋体" w:hAnsi="宋体" w:cs="宋体"/>
          <w:u w:val="single"/>
        </w:rPr>
        <w:t>。</w:t>
      </w:r>
      <w:r>
        <w:fldChar w:fldCharType="begin"/>
      </w:r>
      <w:r>
        <w:instrText xml:space="preserve"> AUTOTEXT  input455 \* MERGEFORMAT </w:instrText>
      </w:r>
      <w:r>
        <w:fldChar w:fldCharType="end"/>
      </w:r>
    </w:p>
    <w:p w14:paraId="6D9EDCEE">
      <w:pPr>
        <w:adjustRightInd w:val="0"/>
        <w:snapToGrid w:val="0"/>
        <w:spacing w:line="360" w:lineRule="auto"/>
        <w:rPr>
          <w:rFonts w:hint="eastAsia" w:ascii="宋体" w:hAnsi="宋体"/>
          <w:sz w:val="24"/>
        </w:rPr>
      </w:pPr>
      <w:r>
        <w:rPr>
          <w:rFonts w:hint="eastAsia" w:ascii="宋体" w:hAnsi="宋体"/>
          <w:sz w:val="24"/>
        </w:rPr>
        <w:t>6.2发包人提供的施工设备和临时设施</w:t>
      </w:r>
    </w:p>
    <w:p w14:paraId="028E7BC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发包人提供的施工设备和临时设施：</w:t>
      </w:r>
      <w:r>
        <w:rPr>
          <w:rFonts w:ascii="宋体" w:hAnsi="宋体" w:cs="宋体"/>
          <w:u w:val="single"/>
        </w:rPr>
        <w:t>/。</w:t>
      </w:r>
      <w:r>
        <w:fldChar w:fldCharType="begin"/>
      </w:r>
      <w:r>
        <w:instrText xml:space="preserve"> AUTOTEXT  input456 \* MERGEFORMAT </w:instrText>
      </w:r>
      <w:r>
        <w:fldChar w:fldCharType="end"/>
      </w:r>
    </w:p>
    <w:p w14:paraId="2F2ED7D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发包人提供的施工设备和临时设施的运行、维护、拆除、清运费用的承担人：</w:t>
      </w:r>
      <w:r>
        <w:rPr>
          <w:rFonts w:ascii="宋体" w:hAnsi="宋体" w:cs="宋体"/>
          <w:u w:val="single"/>
        </w:rPr>
        <w:t>/。</w:t>
      </w:r>
      <w:r>
        <w:fldChar w:fldCharType="begin"/>
      </w:r>
      <w:r>
        <w:instrText xml:space="preserve"> AUTOTEXT  input457 \* MERGEFORMAT </w:instrText>
      </w:r>
      <w:r>
        <w:fldChar w:fldCharType="end"/>
      </w:r>
    </w:p>
    <w:p w14:paraId="331BDB9B">
      <w:pPr>
        <w:adjustRightInd w:val="0"/>
        <w:snapToGrid w:val="0"/>
        <w:spacing w:line="360" w:lineRule="auto"/>
        <w:outlineLvl w:val="2"/>
        <w:rPr>
          <w:rFonts w:hint="eastAsia" w:ascii="宋体" w:hAnsi="宋体"/>
          <w:sz w:val="28"/>
        </w:rPr>
      </w:pPr>
      <w:bookmarkStart w:id="944" w:name="_Toc196225936"/>
      <w:r>
        <w:rPr>
          <w:rFonts w:hint="eastAsia" w:ascii="宋体" w:hAnsi="宋体"/>
          <w:sz w:val="28"/>
        </w:rPr>
        <w:t>7.交通运输</w:t>
      </w:r>
      <w:bookmarkEnd w:id="944"/>
    </w:p>
    <w:p w14:paraId="4EC49B21">
      <w:pPr>
        <w:adjustRightInd w:val="0"/>
        <w:snapToGrid w:val="0"/>
        <w:spacing w:line="360" w:lineRule="auto"/>
        <w:rPr>
          <w:rFonts w:hint="eastAsia" w:ascii="宋体" w:hAnsi="宋体"/>
          <w:sz w:val="24"/>
        </w:rPr>
      </w:pPr>
      <w:r>
        <w:rPr>
          <w:rFonts w:hint="eastAsia" w:ascii="宋体" w:hAnsi="宋体"/>
          <w:sz w:val="24"/>
        </w:rPr>
        <w:t>7.1道路通行权和场外设施</w:t>
      </w:r>
    </w:p>
    <w:p w14:paraId="6780285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负责取得道路通行权、场外设施修建权的办理人：</w:t>
      </w:r>
      <w:r>
        <w:rPr>
          <w:rFonts w:ascii="宋体" w:hAnsi="宋体" w:cs="宋体"/>
          <w:u w:val="single"/>
        </w:rPr>
        <w:t>承包人</w:t>
      </w:r>
      <w:r>
        <w:fldChar w:fldCharType="begin"/>
      </w:r>
      <w:r>
        <w:instrText xml:space="preserve"> AUTOTEXT  input458 \* MERGEFORMAT </w:instrText>
      </w:r>
      <w:r>
        <w:fldChar w:fldCharType="end"/>
      </w:r>
      <w:r>
        <w:rPr>
          <w:rFonts w:hint="eastAsia" w:ascii="宋体" w:hAnsi="宋体"/>
          <w:szCs w:val="21"/>
        </w:rPr>
        <w:t>，其相关费用由发包人承担。</w:t>
      </w:r>
    </w:p>
    <w:p w14:paraId="3A977169">
      <w:pPr>
        <w:adjustRightInd w:val="0"/>
        <w:snapToGrid w:val="0"/>
        <w:spacing w:line="360" w:lineRule="auto"/>
        <w:rPr>
          <w:rFonts w:hint="eastAsia" w:ascii="宋体" w:hAnsi="宋体"/>
          <w:sz w:val="24"/>
        </w:rPr>
      </w:pPr>
      <w:r>
        <w:rPr>
          <w:rFonts w:hint="eastAsia" w:ascii="宋体" w:hAnsi="宋体"/>
          <w:sz w:val="24"/>
        </w:rPr>
        <w:t>7.2场内施工道路</w:t>
      </w:r>
    </w:p>
    <w:p w14:paraId="5EE695A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7.2.1施工所需的场内临时道路和交通设施的修建、维护、养护和管理人：</w:t>
      </w:r>
      <w:r>
        <w:rPr>
          <w:rFonts w:ascii="宋体" w:hAnsi="宋体" w:cs="宋体"/>
          <w:u w:val="single"/>
        </w:rPr>
        <w:t>承包人</w:t>
      </w:r>
      <w:r>
        <w:fldChar w:fldCharType="begin"/>
      </w:r>
      <w:r>
        <w:instrText xml:space="preserve"> AUTOTEXT  input459 \* MERGEFORMAT </w:instrText>
      </w:r>
      <w:r>
        <w:fldChar w:fldCharType="end"/>
      </w:r>
      <w:r>
        <w:rPr>
          <w:rFonts w:hint="eastAsia" w:ascii="宋体" w:hAnsi="宋体"/>
          <w:szCs w:val="21"/>
        </w:rPr>
        <w:t>，相关费用由</w:t>
      </w:r>
      <w:r>
        <w:rPr>
          <w:rFonts w:ascii="宋体" w:hAnsi="宋体" w:cs="宋体"/>
          <w:u w:val="single"/>
        </w:rPr>
        <w:t>承包人</w:t>
      </w:r>
      <w:r>
        <w:fldChar w:fldCharType="begin"/>
      </w:r>
      <w:r>
        <w:instrText xml:space="preserve"> AUTOTEXT  input460 \* MERGEFORMAT </w:instrText>
      </w:r>
      <w:r>
        <w:fldChar w:fldCharType="end"/>
      </w:r>
      <w:r>
        <w:rPr>
          <w:rFonts w:hint="eastAsia" w:ascii="宋体" w:hAnsi="宋体"/>
          <w:szCs w:val="21"/>
        </w:rPr>
        <w:t>承担。</w:t>
      </w:r>
    </w:p>
    <w:p w14:paraId="4F07C63D">
      <w:pPr>
        <w:adjustRightInd w:val="0"/>
        <w:snapToGrid w:val="0"/>
        <w:spacing w:line="360" w:lineRule="auto"/>
        <w:rPr>
          <w:rFonts w:hint="eastAsia" w:ascii="宋体" w:hAnsi="宋体"/>
          <w:sz w:val="24"/>
        </w:rPr>
      </w:pPr>
      <w:r>
        <w:rPr>
          <w:rFonts w:hint="eastAsia" w:ascii="宋体" w:hAnsi="宋体"/>
          <w:sz w:val="24"/>
        </w:rPr>
        <w:t>7.4超大件和超重件的运输</w:t>
      </w:r>
    </w:p>
    <w:p w14:paraId="784CF03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运输超大件或超重件所需的道路和桥梁临时加固改造等费用的承担人：</w:t>
      </w:r>
      <w:r>
        <w:rPr>
          <w:rFonts w:ascii="宋体" w:hAnsi="宋体" w:cs="宋体"/>
          <w:u w:val="single"/>
        </w:rPr>
        <w:t>承包人。</w:t>
      </w:r>
      <w:r>
        <w:fldChar w:fldCharType="begin"/>
      </w:r>
      <w:r>
        <w:instrText xml:space="preserve"> AUTOTEXT  input461 \* MERGEFORMAT </w:instrText>
      </w:r>
      <w:r>
        <w:fldChar w:fldCharType="end"/>
      </w:r>
    </w:p>
    <w:p w14:paraId="3AA7866E">
      <w:pPr>
        <w:adjustRightInd w:val="0"/>
        <w:snapToGrid w:val="0"/>
        <w:spacing w:line="360" w:lineRule="auto"/>
        <w:outlineLvl w:val="2"/>
        <w:rPr>
          <w:rFonts w:hint="eastAsia" w:ascii="宋体" w:hAnsi="宋体"/>
          <w:sz w:val="28"/>
        </w:rPr>
      </w:pPr>
      <w:bookmarkStart w:id="945" w:name="_Toc196225937"/>
      <w:r>
        <w:rPr>
          <w:rFonts w:hint="eastAsia" w:ascii="宋体" w:hAnsi="宋体"/>
          <w:sz w:val="28"/>
        </w:rPr>
        <w:t>8.测量放线</w:t>
      </w:r>
      <w:bookmarkEnd w:id="945"/>
    </w:p>
    <w:p w14:paraId="47DD02E7">
      <w:pPr>
        <w:adjustRightInd w:val="0"/>
        <w:snapToGrid w:val="0"/>
        <w:spacing w:line="360" w:lineRule="auto"/>
        <w:rPr>
          <w:rFonts w:hint="eastAsia" w:ascii="宋体" w:hAnsi="宋体"/>
          <w:sz w:val="24"/>
        </w:rPr>
      </w:pPr>
      <w:r>
        <w:rPr>
          <w:rFonts w:hint="eastAsia" w:ascii="宋体" w:hAnsi="宋体"/>
          <w:sz w:val="24"/>
        </w:rPr>
        <w:t>8.1施工控制网</w:t>
      </w:r>
    </w:p>
    <w:p w14:paraId="04C522B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8.1.1发包人通过监理人提供测量基准点、基准线和水准点及其书面资料的期限：</w:t>
      </w:r>
    </w:p>
    <w:p w14:paraId="19D0EB25">
      <w:pPr>
        <w:adjustRightInd w:val="0"/>
        <w:snapToGrid w:val="0"/>
        <w:spacing w:line="360" w:lineRule="auto"/>
        <w:ind w:firstLine="420" w:firstLineChars="200"/>
        <w:jc w:val="left"/>
        <w:rPr>
          <w:rFonts w:hint="eastAsia" w:ascii="宋体" w:hAnsi="宋体"/>
          <w:szCs w:val="21"/>
        </w:rPr>
      </w:pPr>
      <w:r>
        <w:rPr>
          <w:rFonts w:ascii="宋体" w:hAnsi="宋体" w:cs="宋体"/>
          <w:u w:val="single"/>
        </w:rPr>
        <w:t>合同签订后7天内。</w:t>
      </w:r>
      <w:r>
        <w:fldChar w:fldCharType="begin"/>
      </w:r>
      <w:r>
        <w:instrText xml:space="preserve"> AUTOTEXT  input462 \* MERGEFORMAT </w:instrText>
      </w:r>
      <w:r>
        <w:fldChar w:fldCharType="end"/>
      </w:r>
    </w:p>
    <w:p w14:paraId="7ED9B42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8.1.2承包人测设施工控制网的其他要求：</w:t>
      </w:r>
    </w:p>
    <w:p w14:paraId="00E1CBA3">
      <w:pPr>
        <w:adjustRightInd w:val="0"/>
        <w:snapToGrid w:val="0"/>
        <w:spacing w:line="360" w:lineRule="auto"/>
        <w:ind w:firstLine="420" w:firstLineChars="200"/>
        <w:jc w:val="left"/>
        <w:rPr>
          <w:rFonts w:hint="eastAsia" w:ascii="宋体" w:hAnsi="宋体"/>
          <w:szCs w:val="21"/>
        </w:rPr>
      </w:pPr>
      <w:r>
        <w:rPr>
          <w:rFonts w:ascii="宋体" w:hAnsi="宋体" w:cs="宋体"/>
          <w:u w:val="single"/>
        </w:rPr>
        <w:t>根据国家测绘基准、测绘系统和工程测量技术规范，按上述基准点（线）以及合同工程精度要求，测设施工控制网。</w:t>
      </w:r>
      <w:r>
        <w:fldChar w:fldCharType="begin"/>
      </w:r>
      <w:r>
        <w:instrText xml:space="preserve"> AUTOTEXT  input463 \* MERGEFORMAT </w:instrText>
      </w:r>
      <w:r>
        <w:fldChar w:fldCharType="end"/>
      </w:r>
    </w:p>
    <w:p w14:paraId="714DE2F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承包人将施工控制网资料报送监理人审批的期限：</w:t>
      </w:r>
      <w:r>
        <w:rPr>
          <w:rFonts w:ascii="宋体" w:hAnsi="宋体" w:cs="宋体"/>
          <w:u w:val="single"/>
        </w:rPr>
        <w:t>在收到监理人按照通用合同条款第11.1.1项发出的开工通知后7天内。</w:t>
      </w:r>
      <w:r>
        <w:fldChar w:fldCharType="begin"/>
      </w:r>
      <w:r>
        <w:instrText xml:space="preserve"> AUTOTEXT  input464 \* MERGEFORMAT </w:instrText>
      </w:r>
      <w:r>
        <w:fldChar w:fldCharType="end"/>
      </w:r>
    </w:p>
    <w:p w14:paraId="5409D548">
      <w:pPr>
        <w:adjustRightInd w:val="0"/>
        <w:snapToGrid w:val="0"/>
        <w:spacing w:line="360" w:lineRule="auto"/>
        <w:outlineLvl w:val="2"/>
        <w:rPr>
          <w:rFonts w:hint="eastAsia" w:ascii="宋体" w:hAnsi="宋体"/>
          <w:sz w:val="28"/>
        </w:rPr>
      </w:pPr>
      <w:bookmarkStart w:id="946" w:name="_Toc196225938"/>
      <w:r>
        <w:rPr>
          <w:rFonts w:hint="eastAsia" w:ascii="宋体" w:hAnsi="宋体"/>
          <w:sz w:val="28"/>
        </w:rPr>
        <w:t>9.施工安全、治安保卫和环境保护</w:t>
      </w:r>
      <w:bookmarkEnd w:id="946"/>
    </w:p>
    <w:p w14:paraId="18481A94">
      <w:pPr>
        <w:adjustRightInd w:val="0"/>
        <w:snapToGrid w:val="0"/>
        <w:spacing w:line="360" w:lineRule="auto"/>
        <w:rPr>
          <w:rFonts w:hint="eastAsia" w:ascii="宋体" w:hAnsi="宋体"/>
          <w:sz w:val="24"/>
        </w:rPr>
      </w:pPr>
      <w:r>
        <w:rPr>
          <w:rFonts w:hint="eastAsia" w:ascii="宋体" w:hAnsi="宋体"/>
          <w:sz w:val="24"/>
        </w:rPr>
        <w:t>9.2承包人的施工安全责任</w:t>
      </w:r>
    </w:p>
    <w:p w14:paraId="2130571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9.2.1承包人向监理人报送施工安全措施计划的期限：</w:t>
      </w:r>
      <w:r>
        <w:rPr>
          <w:rFonts w:ascii="宋体" w:hAnsi="宋体" w:cs="宋体"/>
          <w:u w:val="single"/>
        </w:rPr>
        <w:t>在收到监理人发出的开工通知后7天内。</w:t>
      </w:r>
      <w:r>
        <w:fldChar w:fldCharType="begin"/>
      </w:r>
      <w:r>
        <w:instrText xml:space="preserve"> AUTOTEXT  input465 \* MERGEFORMAT </w:instrText>
      </w:r>
      <w:r>
        <w:fldChar w:fldCharType="end"/>
      </w:r>
    </w:p>
    <w:p w14:paraId="5688DC9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监理人收到承包人报送的施工安全措施计划后应当在</w:t>
      </w:r>
      <w:r>
        <w:rPr>
          <w:rFonts w:ascii="宋体" w:hAnsi="宋体" w:cs="宋体"/>
          <w:u w:val="single"/>
        </w:rPr>
        <w:t>7</w:t>
      </w:r>
      <w:r>
        <w:fldChar w:fldCharType="begin"/>
      </w:r>
      <w:r>
        <w:instrText xml:space="preserve"> AUTOTEXT  input466 \* MERGEFORMAT </w:instrText>
      </w:r>
      <w:r>
        <w:fldChar w:fldCharType="end"/>
      </w:r>
      <w:r>
        <w:rPr>
          <w:rFonts w:hint="eastAsia" w:ascii="宋体" w:hAnsi="宋体"/>
          <w:szCs w:val="21"/>
        </w:rPr>
        <w:t>天内给予批复。</w:t>
      </w:r>
    </w:p>
    <w:p w14:paraId="5B83C6FA">
      <w:pPr>
        <w:adjustRightInd w:val="0"/>
        <w:snapToGrid w:val="0"/>
        <w:spacing w:line="360" w:lineRule="auto"/>
        <w:rPr>
          <w:rFonts w:hint="eastAsia" w:ascii="宋体" w:hAnsi="宋体"/>
          <w:sz w:val="24"/>
        </w:rPr>
      </w:pPr>
      <w:r>
        <w:rPr>
          <w:rFonts w:hint="eastAsia" w:ascii="宋体" w:hAnsi="宋体"/>
          <w:sz w:val="24"/>
        </w:rPr>
        <w:t>9.3治安保卫</w:t>
      </w:r>
    </w:p>
    <w:p w14:paraId="6975462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9.3.3制定施工场地治安管理计划和突发治安事件紧急预案的责任人：</w:t>
      </w:r>
      <w:r>
        <w:rPr>
          <w:rFonts w:ascii="宋体" w:hAnsi="宋体" w:cs="宋体"/>
          <w:u w:val="single"/>
        </w:rPr>
        <w:t>承包人。</w:t>
      </w:r>
      <w:r>
        <w:fldChar w:fldCharType="begin"/>
      </w:r>
      <w:r>
        <w:instrText xml:space="preserve"> AUTOTEXT  input467 \* MERGEFORMAT </w:instrText>
      </w:r>
      <w:r>
        <w:fldChar w:fldCharType="end"/>
      </w:r>
    </w:p>
    <w:p w14:paraId="53111E22">
      <w:pPr>
        <w:adjustRightInd w:val="0"/>
        <w:snapToGrid w:val="0"/>
        <w:spacing w:line="360" w:lineRule="auto"/>
        <w:rPr>
          <w:rFonts w:hint="eastAsia" w:ascii="宋体" w:hAnsi="宋体"/>
          <w:sz w:val="24"/>
        </w:rPr>
      </w:pPr>
      <w:r>
        <w:rPr>
          <w:rFonts w:hint="eastAsia" w:ascii="宋体" w:hAnsi="宋体"/>
          <w:sz w:val="24"/>
        </w:rPr>
        <w:t>9.4环境保护</w:t>
      </w:r>
    </w:p>
    <w:p w14:paraId="52BDE1A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9.4.</w:t>
      </w:r>
      <w:r>
        <w:rPr>
          <w:rFonts w:ascii="宋体" w:hAnsi="宋体"/>
          <w:szCs w:val="21"/>
        </w:rPr>
        <w:t>3</w:t>
      </w:r>
      <w:r>
        <w:rPr>
          <w:rFonts w:hint="eastAsia" w:ascii="宋体" w:hAnsi="宋体"/>
          <w:szCs w:val="21"/>
        </w:rPr>
        <w:t>施工环保措施计划报送监理人审批的时间：</w:t>
      </w:r>
      <w:r>
        <w:rPr>
          <w:rFonts w:ascii="宋体" w:hAnsi="宋体" w:cs="宋体"/>
          <w:u w:val="single"/>
        </w:rPr>
        <w:t>合同签订后7天内。</w:t>
      </w:r>
      <w:r>
        <w:fldChar w:fldCharType="begin"/>
      </w:r>
      <w:r>
        <w:instrText xml:space="preserve"> AUTOTEXT  input468 \* MERGEFORMAT </w:instrText>
      </w:r>
      <w:r>
        <w:fldChar w:fldCharType="end"/>
      </w:r>
    </w:p>
    <w:p w14:paraId="5985D12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监理人收到承包人报送的施工环保措施计划后应当在</w:t>
      </w:r>
      <w:r>
        <w:rPr>
          <w:rFonts w:ascii="宋体" w:hAnsi="宋体" w:cs="宋体"/>
          <w:u w:val="single"/>
        </w:rPr>
        <w:t>7</w:t>
      </w:r>
      <w:r>
        <w:fldChar w:fldCharType="begin"/>
      </w:r>
      <w:r>
        <w:instrText xml:space="preserve"> AUTOTEXT  input469 \* MERGEFORMAT </w:instrText>
      </w:r>
      <w:r>
        <w:fldChar w:fldCharType="end"/>
      </w:r>
      <w:r>
        <w:rPr>
          <w:rFonts w:hint="eastAsia" w:ascii="宋体" w:hAnsi="宋体"/>
          <w:szCs w:val="21"/>
        </w:rPr>
        <w:t>天内给予批复。</w:t>
      </w:r>
    </w:p>
    <w:p w14:paraId="7DB69691">
      <w:pPr>
        <w:adjustRightInd w:val="0"/>
        <w:snapToGrid w:val="0"/>
        <w:spacing w:line="360" w:lineRule="auto"/>
        <w:rPr>
          <w:rFonts w:hint="eastAsia" w:ascii="宋体" w:hAnsi="宋体"/>
          <w:sz w:val="24"/>
        </w:rPr>
      </w:pPr>
      <w:r>
        <w:rPr>
          <w:rFonts w:hint="eastAsia" w:ascii="宋体" w:hAnsi="宋体"/>
          <w:sz w:val="24"/>
        </w:rPr>
        <w:t>9.6  施工现场安全生产标准化管理目标</w:t>
      </w:r>
    </w:p>
    <w:p w14:paraId="60BB361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9.6.</w:t>
      </w:r>
      <w:r>
        <w:rPr>
          <w:rFonts w:ascii="宋体" w:hAnsi="宋体"/>
          <w:szCs w:val="21"/>
        </w:rPr>
        <w:t>1</w:t>
      </w:r>
      <w:r>
        <w:rPr>
          <w:rFonts w:hint="eastAsia" w:ascii="宋体" w:hAnsi="宋体"/>
          <w:szCs w:val="21"/>
        </w:rPr>
        <w:t>未达到合同协议书中约定的安全生产标准化管理目标等级的违约金或损失赔偿金的金额或者计算方法：</w:t>
      </w:r>
      <w:r>
        <w:rPr>
          <w:rFonts w:ascii="宋体" w:hAnsi="宋体" w:cs="宋体"/>
          <w:u w:val="single"/>
        </w:rPr>
        <w:t>如果未达到合同约定的安全生产管理化目标等级，</w:t>
      </w:r>
      <w:r>
        <w:rPr>
          <w:rFonts w:hint="eastAsia" w:ascii="宋体" w:hAnsi="宋体" w:cs="宋体"/>
          <w:u w:val="single"/>
        </w:rPr>
        <w:t>发包人有权按</w:t>
      </w:r>
      <w:r>
        <w:rPr>
          <w:rFonts w:ascii="宋体" w:hAnsi="宋体" w:cs="宋体"/>
          <w:u w:val="single"/>
        </w:rPr>
        <w:t>100%扣除合同中载明的安全文明施工费总额</w:t>
      </w:r>
      <w:r>
        <w:rPr>
          <w:rFonts w:hint="eastAsia" w:ascii="宋体" w:hAnsi="宋体" w:cs="宋体"/>
          <w:u w:val="single"/>
        </w:rPr>
        <w:t>，如扣除的金额不足以弥补给发包人造成的实际损失的，发包人有权就实际产生的损失向承包人追偿</w:t>
      </w:r>
      <w:r>
        <w:rPr>
          <w:rFonts w:ascii="宋体" w:hAnsi="宋体" w:cs="宋体"/>
          <w:u w:val="single"/>
        </w:rPr>
        <w:t>。</w:t>
      </w:r>
      <w:r>
        <w:fldChar w:fldCharType="begin"/>
      </w:r>
      <w:r>
        <w:instrText xml:space="preserve"> AUTOTEXT  input883 \* MERGEFORMAT </w:instrText>
      </w:r>
      <w:r>
        <w:fldChar w:fldCharType="end"/>
      </w:r>
    </w:p>
    <w:p w14:paraId="0917865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9.6.</w:t>
      </w:r>
      <w:r>
        <w:rPr>
          <w:rFonts w:ascii="宋体" w:hAnsi="宋体"/>
          <w:szCs w:val="21"/>
        </w:rPr>
        <w:t>2</w:t>
      </w:r>
      <w:r>
        <w:rPr>
          <w:rFonts w:hint="eastAsia" w:ascii="宋体" w:hAnsi="宋体"/>
          <w:szCs w:val="21"/>
        </w:rPr>
        <w:t>发包人</w:t>
      </w:r>
      <w:r>
        <w:rPr>
          <w:rFonts w:ascii="宋体" w:hAnsi="宋体" w:cs="宋体"/>
          <w:u w:val="single"/>
        </w:rPr>
        <w:t>不给予</w:t>
      </w:r>
      <w:r>
        <w:fldChar w:fldCharType="begin"/>
      </w:r>
      <w:r>
        <w:instrText xml:space="preserve"> AUTOTEXT  input884 \* MERGEFORMAT </w:instrText>
      </w:r>
      <w:r>
        <w:fldChar w:fldCharType="end"/>
      </w:r>
      <w:r>
        <w:rPr>
          <w:rFonts w:hint="eastAsia" w:ascii="宋体" w:hAnsi="宋体"/>
          <w:szCs w:val="21"/>
        </w:rPr>
        <w:t>（给予/不给予）承包人创优奖励。发包人给予承包人创优奖励的，创优奖励金额或者计算方法：</w:t>
      </w:r>
      <w:r>
        <w:rPr>
          <w:rFonts w:ascii="宋体" w:hAnsi="宋体" w:cs="宋体"/>
          <w:u w:val="single"/>
        </w:rPr>
        <w:t>/。</w:t>
      </w:r>
      <w:r>
        <w:fldChar w:fldCharType="begin"/>
      </w:r>
      <w:r>
        <w:instrText xml:space="preserve"> AUTOTEXT  input888 \* MERGEFORMAT </w:instrText>
      </w:r>
      <w:r>
        <w:fldChar w:fldCharType="end"/>
      </w:r>
    </w:p>
    <w:p w14:paraId="6689C452">
      <w:pPr>
        <w:adjustRightInd w:val="0"/>
        <w:snapToGrid w:val="0"/>
        <w:spacing w:line="360" w:lineRule="auto"/>
        <w:rPr>
          <w:rFonts w:hint="eastAsia" w:ascii="宋体" w:hAnsi="宋体"/>
          <w:sz w:val="24"/>
        </w:rPr>
      </w:pPr>
      <w:r>
        <w:rPr>
          <w:rFonts w:hint="eastAsia" w:ascii="宋体" w:hAnsi="宋体"/>
          <w:sz w:val="24"/>
        </w:rPr>
        <w:t>9.7 特殊安全文明施工</w:t>
      </w:r>
    </w:p>
    <w:p w14:paraId="4E3D5C4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9.7.</w:t>
      </w:r>
      <w:r>
        <w:rPr>
          <w:rFonts w:ascii="宋体" w:hAnsi="宋体"/>
          <w:szCs w:val="21"/>
        </w:rPr>
        <w:t>1</w:t>
      </w:r>
      <w:r>
        <w:rPr>
          <w:rFonts w:hint="eastAsia" w:ascii="宋体" w:hAnsi="宋体"/>
          <w:szCs w:val="21"/>
        </w:rPr>
        <w:t xml:space="preserve"> 未达到合同约定的特殊安全文明施工要求的违约金或损失赔偿金的金额或者计算方法：</w:t>
      </w:r>
    </w:p>
    <w:p w14:paraId="2309C525">
      <w:pPr>
        <w:adjustRightInd w:val="0"/>
        <w:snapToGrid w:val="0"/>
        <w:spacing w:line="360" w:lineRule="auto"/>
        <w:ind w:firstLine="420" w:firstLineChars="200"/>
        <w:jc w:val="left"/>
        <w:rPr>
          <w:rFonts w:hint="eastAsia" w:ascii="宋体" w:hAnsi="宋体"/>
          <w:szCs w:val="21"/>
          <w:u w:val="single"/>
        </w:rPr>
      </w:pPr>
      <w:r>
        <w:rPr>
          <w:rFonts w:ascii="宋体" w:hAnsi="宋体" w:cs="宋体"/>
          <w:u w:val="single"/>
        </w:rPr>
        <w:t>/。</w:t>
      </w:r>
      <w:r>
        <w:fldChar w:fldCharType="begin"/>
      </w:r>
      <w:r>
        <w:instrText xml:space="preserve"> AUTOTEXT  input885 \* MERGEFORMAT </w:instrText>
      </w:r>
      <w:r>
        <w:fldChar w:fldCharType="end"/>
      </w:r>
    </w:p>
    <w:p w14:paraId="48DCDC8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9.7.</w:t>
      </w:r>
      <w:r>
        <w:rPr>
          <w:rFonts w:ascii="宋体" w:hAnsi="宋体"/>
          <w:szCs w:val="21"/>
        </w:rPr>
        <w:t>2</w:t>
      </w:r>
      <w:r>
        <w:rPr>
          <w:rFonts w:hint="eastAsia" w:ascii="宋体" w:hAnsi="宋体"/>
          <w:szCs w:val="21"/>
        </w:rPr>
        <w:t xml:space="preserve">  发包人</w:t>
      </w:r>
      <w:r>
        <w:rPr>
          <w:rFonts w:ascii="宋体" w:hAnsi="宋体" w:cs="宋体"/>
          <w:u w:val="single"/>
        </w:rPr>
        <w:t>不给予</w:t>
      </w:r>
      <w:r>
        <w:fldChar w:fldCharType="begin"/>
      </w:r>
      <w:r>
        <w:instrText xml:space="preserve"> AUTOTEXT  input886 \* MERGEFORMAT </w:instrText>
      </w:r>
      <w:r>
        <w:fldChar w:fldCharType="end"/>
      </w:r>
      <w:r>
        <w:rPr>
          <w:rFonts w:hint="eastAsia" w:ascii="宋体" w:hAnsi="宋体"/>
          <w:szCs w:val="21"/>
        </w:rPr>
        <w:t>（给予/不给予）承包人创优奖励。发包人给予承包人创优奖励的，创优奖励金额或者计算方法：</w:t>
      </w:r>
      <w:r>
        <w:rPr>
          <w:rFonts w:ascii="宋体" w:hAnsi="宋体" w:cs="宋体"/>
          <w:u w:val="single"/>
        </w:rPr>
        <w:t>/。</w:t>
      </w:r>
      <w:r>
        <w:fldChar w:fldCharType="begin"/>
      </w:r>
      <w:r>
        <w:instrText xml:space="preserve"> AUTOTEXT  input887 \* MERGEFORMAT </w:instrText>
      </w:r>
      <w:r>
        <w:fldChar w:fldCharType="end"/>
      </w:r>
      <w:r>
        <w:rPr>
          <w:rFonts w:ascii="宋体" w:hAnsi="宋体"/>
          <w:szCs w:val="21"/>
        </w:rPr>
        <w:t xml:space="preserve"> </w:t>
      </w:r>
    </w:p>
    <w:p w14:paraId="5C042651">
      <w:pPr>
        <w:adjustRightInd w:val="0"/>
        <w:snapToGrid w:val="0"/>
        <w:spacing w:line="360" w:lineRule="auto"/>
        <w:outlineLvl w:val="2"/>
        <w:rPr>
          <w:rFonts w:hint="eastAsia" w:ascii="宋体" w:hAnsi="宋体"/>
          <w:sz w:val="28"/>
        </w:rPr>
      </w:pPr>
      <w:bookmarkStart w:id="947" w:name="_Toc196225939"/>
      <w:r>
        <w:rPr>
          <w:rFonts w:hint="eastAsia" w:ascii="宋体" w:hAnsi="宋体"/>
          <w:sz w:val="28"/>
        </w:rPr>
        <w:t>10.进度计划</w:t>
      </w:r>
      <w:bookmarkEnd w:id="947"/>
    </w:p>
    <w:p w14:paraId="263EC905">
      <w:pPr>
        <w:adjustRightInd w:val="0"/>
        <w:snapToGrid w:val="0"/>
        <w:spacing w:line="360" w:lineRule="auto"/>
        <w:rPr>
          <w:rFonts w:hint="eastAsia" w:ascii="宋体" w:hAnsi="宋体"/>
          <w:sz w:val="24"/>
        </w:rPr>
      </w:pPr>
      <w:r>
        <w:rPr>
          <w:rFonts w:hint="eastAsia" w:ascii="宋体" w:hAnsi="宋体"/>
          <w:sz w:val="24"/>
        </w:rPr>
        <w:t>10.1合同进度计划</w:t>
      </w:r>
    </w:p>
    <w:p w14:paraId="51B2854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10.1.1承包人编制施工进度计划和施工方案说明的内容：</w:t>
      </w:r>
    </w:p>
    <w:p w14:paraId="48AEF08B">
      <w:pPr>
        <w:adjustRightInd w:val="0"/>
        <w:snapToGrid w:val="0"/>
        <w:spacing w:line="360" w:lineRule="auto"/>
        <w:ind w:firstLine="420" w:firstLineChars="200"/>
        <w:jc w:val="left"/>
        <w:rPr>
          <w:rFonts w:hint="eastAsia" w:ascii="宋体" w:hAnsi="宋体"/>
          <w:szCs w:val="21"/>
        </w:rPr>
      </w:pPr>
      <w:r>
        <w:rPr>
          <w:rFonts w:ascii="宋体" w:hAnsi="宋体" w:cs="宋体"/>
          <w:u w:val="single"/>
        </w:rPr>
        <w:t>施工进度计划应包含本工程施工图纸及工程量清单内包括的所有工程的施工内容；工程量；起止时间；持续时间；工作关系；施工顺序；方法要点；资源供应等。 施工方案应包含：编制依据、施工范围、施工布署及现场总平面布置、主要施工方案、进度、质量、安全文明施工及保证措施、主要资源配置。承包人有责任根据招标文件、图纸、现场实际情况及发包人监理工程师的意见和要求及时调整施工组织计划，直至得到发包人监理工程师的认可，使其具有可实施性，且对施工组织设计和工程进度计划的任何修改不能改变承包人的投标报价、承诺的投标工期，承包人不得就此提出索赔、签证等费用。施工组织设计应详细说明整个工程进度计划、劳动力计划、机械设备进场计划、材料计划、设备采购及安装计划、专业工程承包人进场计划（若有）、可能遇到的不利因素及相应措施，承包人必须按监理工程师确认的进度计划组织施工，接受监理工程师对进度的检查、监督，工程实际进度对于在竣工时间内完工过于迟缓或与确认的进度计划不符时，承包人应按监理工程师的要求提出改进措施，提交一份修订的进度计划，经监理工程师确认后执行，因承包人的原因导致实际进度与进度计划不符，承包人无权提出关于工期延误的索赔和就改进措施提出追加合同价款。</w:t>
      </w:r>
      <w:r>
        <w:fldChar w:fldCharType="begin"/>
      </w:r>
      <w:r>
        <w:instrText xml:space="preserve"> AUTOTEXT  input470 \* MERGEFORMAT </w:instrText>
      </w:r>
      <w:r>
        <w:fldChar w:fldCharType="end"/>
      </w:r>
    </w:p>
    <w:p w14:paraId="7A4EEDD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10.1.2</w:t>
      </w:r>
      <w:r>
        <w:rPr>
          <w:rFonts w:ascii="宋体" w:hAnsi="宋体"/>
          <w:szCs w:val="21"/>
        </w:rPr>
        <w:t>承包</w:t>
      </w:r>
      <w:r>
        <w:rPr>
          <w:rFonts w:hint="eastAsia" w:ascii="宋体" w:hAnsi="宋体"/>
          <w:szCs w:val="21"/>
        </w:rPr>
        <w:t>人编制</w:t>
      </w:r>
      <w:r>
        <w:rPr>
          <w:rFonts w:ascii="宋体" w:hAnsi="宋体"/>
          <w:szCs w:val="21"/>
        </w:rPr>
        <w:t>分阶段或分项</w:t>
      </w:r>
      <w:r>
        <w:rPr>
          <w:rFonts w:hint="eastAsia" w:ascii="宋体" w:hAnsi="宋体"/>
          <w:szCs w:val="21"/>
        </w:rPr>
        <w:t>施工</w:t>
      </w:r>
      <w:r>
        <w:rPr>
          <w:rFonts w:ascii="宋体" w:hAnsi="宋体"/>
          <w:szCs w:val="21"/>
        </w:rPr>
        <w:t>进度计划</w:t>
      </w:r>
      <w:r>
        <w:rPr>
          <w:rFonts w:hint="eastAsia" w:ascii="宋体" w:hAnsi="宋体"/>
          <w:szCs w:val="21"/>
        </w:rPr>
        <w:t>和施工方案说明</w:t>
      </w:r>
      <w:r>
        <w:rPr>
          <w:rFonts w:ascii="宋体" w:hAnsi="宋体"/>
          <w:szCs w:val="21"/>
        </w:rPr>
        <w:t>的内容</w:t>
      </w:r>
      <w:r>
        <w:rPr>
          <w:rFonts w:hint="eastAsia" w:ascii="宋体" w:hAnsi="宋体"/>
          <w:szCs w:val="21"/>
        </w:rPr>
        <w:t>及时限要求：</w:t>
      </w:r>
    </w:p>
    <w:p w14:paraId="41076025">
      <w:pPr>
        <w:adjustRightInd w:val="0"/>
        <w:snapToGrid w:val="0"/>
        <w:spacing w:line="360" w:lineRule="auto"/>
        <w:ind w:firstLine="420" w:firstLineChars="200"/>
        <w:jc w:val="left"/>
        <w:rPr>
          <w:rFonts w:hint="eastAsia" w:ascii="宋体" w:hAnsi="宋体"/>
          <w:szCs w:val="21"/>
        </w:rPr>
      </w:pPr>
      <w:r>
        <w:rPr>
          <w:rFonts w:ascii="宋体" w:hAnsi="宋体" w:cs="宋体"/>
          <w:u w:val="single"/>
        </w:rPr>
        <w:t>按发包人要求的内容；签订合同后7天内提供。</w:t>
      </w:r>
      <w:r>
        <w:fldChar w:fldCharType="begin"/>
      </w:r>
      <w:r>
        <w:instrText xml:space="preserve"> AUTOTEXT  input471 \* MERGEFORMAT </w:instrText>
      </w:r>
      <w:r>
        <w:fldChar w:fldCharType="end"/>
      </w:r>
    </w:p>
    <w:p w14:paraId="53003BD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10.1.3群体工程中有关编制进度计划和施工方案说明的要求：</w:t>
      </w:r>
    </w:p>
    <w:p w14:paraId="4B047D1F">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input473 \* MERGEFORMAT </w:instrText>
      </w:r>
      <w:r>
        <w:fldChar w:fldCharType="end"/>
      </w:r>
    </w:p>
    <w:p w14:paraId="0640FC2F">
      <w:pPr>
        <w:adjustRightInd w:val="0"/>
        <w:snapToGrid w:val="0"/>
        <w:spacing w:line="360" w:lineRule="auto"/>
        <w:rPr>
          <w:rFonts w:hint="eastAsia" w:ascii="宋体" w:hAnsi="宋体"/>
          <w:sz w:val="24"/>
        </w:rPr>
      </w:pPr>
      <w:r>
        <w:rPr>
          <w:rFonts w:hint="eastAsia" w:ascii="宋体" w:hAnsi="宋体"/>
          <w:sz w:val="24"/>
        </w:rPr>
        <w:t>10.2合同进度计划的修订</w:t>
      </w:r>
    </w:p>
    <w:p w14:paraId="06175C7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10.2.1承包人报送修订合同进度计划申请报告和相关资料的期限：</w:t>
      </w:r>
      <w:r>
        <w:rPr>
          <w:rFonts w:ascii="宋体" w:hAnsi="宋体" w:cs="宋体"/>
          <w:u w:val="single"/>
        </w:rPr>
        <w:t>合同签订后7天内。</w:t>
      </w:r>
      <w:r>
        <w:fldChar w:fldCharType="begin"/>
      </w:r>
      <w:r>
        <w:instrText xml:space="preserve"> AUTOTEXT  input474 \* MERGEFORMAT </w:instrText>
      </w:r>
      <w:r>
        <w:fldChar w:fldCharType="end"/>
      </w:r>
    </w:p>
    <w:p w14:paraId="4942D5F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监理人批复修订合同进度计划申请报告的期限：</w:t>
      </w:r>
      <w:r>
        <w:rPr>
          <w:rFonts w:ascii="宋体" w:hAnsi="宋体" w:cs="宋体"/>
          <w:u w:val="single"/>
        </w:rPr>
        <w:t>收到承包人报送的修订合同进度计划申请报告后7天内。</w:t>
      </w:r>
      <w:r>
        <w:fldChar w:fldCharType="begin"/>
      </w:r>
      <w:r>
        <w:instrText xml:space="preserve"> AUTOTEXT  input475 \* MERGEFORMAT </w:instrText>
      </w:r>
      <w:r>
        <w:fldChar w:fldCharType="end"/>
      </w:r>
    </w:p>
    <w:p w14:paraId="24180A74">
      <w:pPr>
        <w:adjustRightInd w:val="0"/>
        <w:snapToGrid w:val="0"/>
        <w:spacing w:line="360" w:lineRule="auto"/>
        <w:ind w:firstLine="420" w:firstLineChars="200"/>
        <w:jc w:val="left"/>
        <w:rPr>
          <w:rFonts w:hint="eastAsia" w:ascii="宋体" w:hAnsi="宋体"/>
          <w:szCs w:val="21"/>
          <w:u w:val="single"/>
        </w:rPr>
      </w:pPr>
      <w:r>
        <w:rPr>
          <w:rFonts w:hint="eastAsia" w:ascii="宋体" w:hAnsi="宋体"/>
          <w:szCs w:val="21"/>
        </w:rPr>
        <w:t>10.2.2监理人批复修订合同进度计划的期限：</w:t>
      </w:r>
      <w:r>
        <w:rPr>
          <w:rFonts w:ascii="宋体" w:hAnsi="宋体" w:cs="宋体"/>
          <w:u w:val="single"/>
        </w:rPr>
        <w:t>收到承包人报送的修订合同进度计划后7天内。</w:t>
      </w:r>
      <w:r>
        <w:fldChar w:fldCharType="begin"/>
      </w:r>
      <w:r>
        <w:instrText xml:space="preserve"> AUTOTEXT  input476 \* MERGEFORMAT </w:instrText>
      </w:r>
      <w:r>
        <w:fldChar w:fldCharType="end"/>
      </w:r>
    </w:p>
    <w:p w14:paraId="4955B8D1">
      <w:pPr>
        <w:adjustRightInd w:val="0"/>
        <w:snapToGrid w:val="0"/>
        <w:spacing w:line="360" w:lineRule="auto"/>
        <w:rPr>
          <w:rFonts w:hint="eastAsia" w:ascii="宋体" w:hAnsi="宋体"/>
          <w:sz w:val="24"/>
        </w:rPr>
      </w:pPr>
      <w:r>
        <w:rPr>
          <w:rFonts w:hint="eastAsia" w:ascii="宋体" w:hAnsi="宋体"/>
          <w:sz w:val="24"/>
        </w:rPr>
        <w:t>10.3合同进度计划的其他要求</w:t>
      </w:r>
    </w:p>
    <w:p w14:paraId="789FF7FF">
      <w:pPr>
        <w:adjustRightInd w:val="0"/>
        <w:snapToGrid w:val="0"/>
        <w:spacing w:line="360" w:lineRule="auto"/>
        <w:jc w:val="left"/>
        <w:rPr>
          <w:rFonts w:hint="eastAsia" w:ascii="宋体" w:hAnsi="宋体"/>
          <w:szCs w:val="21"/>
        </w:rPr>
      </w:pPr>
      <w:r>
        <w:rPr>
          <w:rFonts w:ascii="宋体" w:hAnsi="宋体"/>
          <w:szCs w:val="21"/>
        </w:rPr>
        <w:tab/>
      </w:r>
      <w:r>
        <w:rPr>
          <w:rFonts w:hint="eastAsia" w:ascii="宋体" w:hAnsi="宋体"/>
          <w:szCs w:val="21"/>
        </w:rPr>
        <w:t>10.3.2 施工进度计划管理的人员配置要求：</w:t>
      </w:r>
      <w:r>
        <w:rPr>
          <w:rFonts w:ascii="宋体" w:hAnsi="宋体" w:cs="宋体"/>
          <w:u w:val="single"/>
        </w:rPr>
        <w:t>承包人应制定详细的施工进度计划，由项目经理或生产经理主</w:t>
      </w:r>
      <w:r>
        <w:rPr>
          <w:rFonts w:hint="eastAsia" w:ascii="宋体" w:hAnsi="宋体" w:cs="宋体"/>
          <w:u w:val="single"/>
        </w:rPr>
        <w:t>要负</w:t>
      </w:r>
      <w:r>
        <w:rPr>
          <w:rFonts w:ascii="宋体" w:hAnsi="宋体" w:cs="宋体"/>
          <w:u w:val="single"/>
        </w:rPr>
        <w:t>责计划管理并配置一名进度计划管理员。</w:t>
      </w:r>
      <w:r>
        <w:rPr>
          <w:rFonts w:ascii="宋体" w:hAnsi="宋体"/>
          <w:szCs w:val="21"/>
          <w:u w:val="single"/>
        </w:rPr>
        <w:fldChar w:fldCharType="begin"/>
      </w:r>
      <w:r>
        <w:rPr>
          <w:rFonts w:ascii="宋体" w:hAnsi="宋体"/>
          <w:szCs w:val="21"/>
          <w:u w:val="single"/>
        </w:rPr>
        <w:instrText xml:space="preserve"> AUTOTEXT  input875 \* MERGEFORMAT </w:instrText>
      </w:r>
      <w:r>
        <w:rPr>
          <w:rFonts w:ascii="宋体" w:hAnsi="宋体"/>
          <w:szCs w:val="21"/>
          <w:u w:val="single"/>
        </w:rPr>
        <w:fldChar w:fldCharType="end"/>
      </w:r>
    </w:p>
    <w:p w14:paraId="2BF9FC2E">
      <w:pPr>
        <w:adjustRightInd w:val="0"/>
        <w:snapToGrid w:val="0"/>
        <w:spacing w:line="360" w:lineRule="auto"/>
        <w:jc w:val="left"/>
        <w:rPr>
          <w:rFonts w:hint="eastAsia" w:ascii="宋体" w:hAnsi="宋体"/>
          <w:szCs w:val="21"/>
        </w:rPr>
      </w:pPr>
      <w:r>
        <w:rPr>
          <w:rFonts w:ascii="宋体" w:hAnsi="宋体"/>
          <w:szCs w:val="21"/>
        </w:rPr>
        <w:tab/>
      </w:r>
      <w:r>
        <w:rPr>
          <w:rFonts w:hint="eastAsia" w:ascii="宋体" w:hAnsi="宋体"/>
          <w:szCs w:val="21"/>
        </w:rPr>
        <w:t>10.3.3 施工进度计划的计算机应用软件要求：</w:t>
      </w:r>
      <w:r>
        <w:rPr>
          <w:rFonts w:ascii="宋体" w:hAnsi="宋体" w:cs="宋体"/>
          <w:u w:val="single"/>
        </w:rPr>
        <w:t>承包人应当保障本项目施工过程中所使用的计算机应用软件通过官方渠道购买，能够满足施工</w:t>
      </w:r>
      <w:r>
        <w:rPr>
          <w:rFonts w:hint="eastAsia" w:ascii="宋体" w:hAnsi="宋体" w:cs="宋体"/>
          <w:u w:val="single"/>
        </w:rPr>
        <w:t>要</w:t>
      </w:r>
      <w:r>
        <w:rPr>
          <w:rFonts w:ascii="宋体" w:hAnsi="宋体" w:cs="宋体"/>
          <w:u w:val="single"/>
        </w:rPr>
        <w:t>求。且承包人承诺其对所运用的计算机应用软件具有完全的知识产权和使用权限，不会致使发包人因此被其他第三方主张知识产权或追索，否则，由承包人自行负责解决，并赔偿发包人因此遭受的损失。</w:t>
      </w:r>
      <w:r>
        <w:rPr>
          <w:rFonts w:ascii="宋体" w:hAnsi="宋体"/>
          <w:szCs w:val="21"/>
          <w:u w:val="single"/>
        </w:rPr>
        <w:fldChar w:fldCharType="begin"/>
      </w:r>
      <w:r>
        <w:rPr>
          <w:rFonts w:ascii="宋体" w:hAnsi="宋体"/>
          <w:szCs w:val="21"/>
          <w:u w:val="single"/>
        </w:rPr>
        <w:instrText xml:space="preserve"> AUTOTEXT  input876 \* MERGEFORMAT </w:instrText>
      </w:r>
      <w:r>
        <w:rPr>
          <w:rFonts w:ascii="宋体" w:hAnsi="宋体"/>
          <w:szCs w:val="21"/>
          <w:u w:val="single"/>
        </w:rPr>
        <w:fldChar w:fldCharType="end"/>
      </w:r>
    </w:p>
    <w:p w14:paraId="304C4502">
      <w:pPr>
        <w:adjustRightInd w:val="0"/>
        <w:snapToGrid w:val="0"/>
        <w:spacing w:line="360" w:lineRule="auto"/>
        <w:outlineLvl w:val="2"/>
        <w:rPr>
          <w:rFonts w:hint="eastAsia" w:ascii="宋体" w:hAnsi="宋体"/>
          <w:sz w:val="28"/>
        </w:rPr>
      </w:pPr>
      <w:bookmarkStart w:id="948" w:name="_Toc196225940"/>
      <w:r>
        <w:rPr>
          <w:rFonts w:hint="eastAsia" w:ascii="宋体" w:hAnsi="宋体"/>
          <w:sz w:val="28"/>
        </w:rPr>
        <w:t>11.开工和竣工</w:t>
      </w:r>
      <w:bookmarkEnd w:id="948"/>
    </w:p>
    <w:p w14:paraId="79001E76">
      <w:pPr>
        <w:adjustRightInd w:val="0"/>
        <w:snapToGrid w:val="0"/>
        <w:spacing w:line="360" w:lineRule="auto"/>
        <w:rPr>
          <w:rFonts w:hint="eastAsia" w:ascii="宋体" w:hAnsi="宋体"/>
          <w:sz w:val="24"/>
        </w:rPr>
      </w:pPr>
      <w:r>
        <w:rPr>
          <w:rFonts w:hint="eastAsia" w:ascii="宋体" w:hAnsi="宋体"/>
          <w:sz w:val="24"/>
        </w:rPr>
        <w:t>11.3发包人的工期延误</w:t>
      </w:r>
    </w:p>
    <w:p w14:paraId="149D92A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(8)发包人造成工期延误的其他原因：</w:t>
      </w:r>
    </w:p>
    <w:p w14:paraId="7C10A96C">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input477 \* MERGEFORMAT </w:instrText>
      </w:r>
      <w:r>
        <w:fldChar w:fldCharType="end"/>
      </w:r>
    </w:p>
    <w:p w14:paraId="26408561">
      <w:pPr>
        <w:adjustRightInd w:val="0"/>
        <w:snapToGrid w:val="0"/>
        <w:spacing w:line="360" w:lineRule="auto"/>
        <w:rPr>
          <w:rFonts w:hint="eastAsia" w:ascii="宋体" w:hAnsi="宋体"/>
          <w:sz w:val="24"/>
        </w:rPr>
      </w:pPr>
      <w:r>
        <w:rPr>
          <w:rFonts w:hint="eastAsia" w:ascii="宋体" w:hAnsi="宋体"/>
          <w:sz w:val="24"/>
        </w:rPr>
        <w:t>11.4异常恶劣的气候条件</w:t>
      </w:r>
    </w:p>
    <w:p w14:paraId="14499882">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异常恶劣的气候条件的范围和标准：</w:t>
      </w:r>
    </w:p>
    <w:p w14:paraId="666C6487">
      <w:pPr>
        <w:adjustRightInd w:val="0"/>
        <w:snapToGrid w:val="0"/>
        <w:spacing w:line="360" w:lineRule="auto"/>
        <w:ind w:firstLine="420" w:firstLineChars="200"/>
        <w:jc w:val="left"/>
        <w:rPr>
          <w:rFonts w:hint="eastAsia" w:ascii="宋体" w:hAnsi="宋体"/>
          <w:szCs w:val="21"/>
        </w:rPr>
      </w:pPr>
      <w:r>
        <w:rPr>
          <w:rFonts w:ascii="宋体" w:hAnsi="宋体" w:cs="宋体"/>
          <w:u w:val="single"/>
        </w:rPr>
        <w:t>异常恶劣的气候条件是指在施工过程中遇到的，有经验的承包人在签订合同时不可预见的，对合同履行造成实质性影响的，但尚未构成不可抗力事件的恶劣气候条件。以北京官方气象部门发布相关信息为准：八级以上大风（不包括室内施工），一日内平均降雨量达200mm的暴雨（不包括室内施工）；连续两日气温达零下三十度以下或零上四十五度以上等情况。出现上述异常恶劣气候时，造成工期延误的，可以顺延；造成费用增加的，由承包人承担。承包人应当在相应恶劣气候出现后的两天内向监理人提交工期延长申请报告，否则视同已出现的恶劣气候条件对承包人的工期没有产生影响，承包人不得据此向发包人主张工期延长。</w:t>
      </w:r>
      <w:r>
        <w:fldChar w:fldCharType="begin"/>
      </w:r>
      <w:r>
        <w:instrText xml:space="preserve"> AUTOTEXT  input478 \* MERGEFORMAT </w:instrText>
      </w:r>
      <w:r>
        <w:fldChar w:fldCharType="end"/>
      </w:r>
    </w:p>
    <w:p w14:paraId="67597CD0">
      <w:pPr>
        <w:adjustRightInd w:val="0"/>
        <w:snapToGrid w:val="0"/>
        <w:spacing w:line="360" w:lineRule="auto"/>
        <w:rPr>
          <w:rFonts w:hint="eastAsia" w:ascii="宋体" w:hAnsi="宋体"/>
          <w:sz w:val="24"/>
        </w:rPr>
      </w:pPr>
      <w:r>
        <w:rPr>
          <w:rFonts w:hint="eastAsia" w:ascii="宋体" w:hAnsi="宋体"/>
          <w:sz w:val="24"/>
        </w:rPr>
        <w:t>11.5承包人的工期延误</w:t>
      </w:r>
    </w:p>
    <w:p w14:paraId="6F16155F">
      <w:pPr>
        <w:adjustRightInd w:val="0"/>
        <w:snapToGrid w:val="0"/>
        <w:spacing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rPr>
        <w:t>1.5.</w:t>
      </w:r>
      <w:r>
        <w:rPr>
          <w:rFonts w:ascii="宋体" w:hAnsi="宋体"/>
          <w:szCs w:val="21"/>
        </w:rPr>
        <w:t>2</w:t>
      </w:r>
      <w:r>
        <w:rPr>
          <w:rFonts w:hint="eastAsia" w:ascii="宋体" w:hAnsi="宋体"/>
          <w:szCs w:val="21"/>
        </w:rPr>
        <w:t>逾期竣工违约金的计算标准和计算方法：</w:t>
      </w:r>
      <w:r>
        <w:rPr>
          <w:rFonts w:ascii="宋体" w:hAnsi="宋体" w:cs="宋体"/>
          <w:u w:val="single"/>
        </w:rPr>
        <w:t>计算标准：由承包人原因造成的工期延误，工期每延误一天，发包人有权按合同协议书中签约合同价的2‰从承包人合同款项中扣除；计算方法：合同协议书中签约合同价×2‰×逾期竣工天数（不足一天按一天计算）。逾期超过28天的，发包人有权单方解除本合同，承包人已收取的合同价款应当全部退还发包人，同时还应按照合同签约总价款的20%赔偿发包人的损失。如该金额不足以弥补发包人的实际损失的，发包人有权继续向承包人追偿。</w:t>
      </w:r>
      <w:r>
        <w:fldChar w:fldCharType="begin"/>
      </w:r>
      <w:r>
        <w:instrText xml:space="preserve"> AUTOTEXT  input479 \* MERGEFORMAT </w:instrText>
      </w:r>
      <w:r>
        <w:fldChar w:fldCharType="end"/>
      </w:r>
    </w:p>
    <w:p w14:paraId="3D3EC73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逾期竣工</w:t>
      </w:r>
      <w:r>
        <w:rPr>
          <w:rFonts w:ascii="宋体" w:hAnsi="宋体"/>
          <w:szCs w:val="21"/>
        </w:rPr>
        <w:t>违约</w:t>
      </w:r>
      <w:r>
        <w:rPr>
          <w:rFonts w:hint="eastAsia" w:ascii="宋体" w:hAnsi="宋体"/>
          <w:szCs w:val="21"/>
        </w:rPr>
        <w:t>金</w:t>
      </w:r>
      <w:r>
        <w:rPr>
          <w:rFonts w:ascii="宋体" w:hAnsi="宋体"/>
          <w:szCs w:val="21"/>
        </w:rPr>
        <w:t>最高限额</w:t>
      </w:r>
      <w:r>
        <w:rPr>
          <w:rFonts w:hint="eastAsia" w:ascii="宋体" w:hAnsi="宋体"/>
          <w:szCs w:val="21"/>
        </w:rPr>
        <w:t>：</w:t>
      </w:r>
      <w:r>
        <w:rPr>
          <w:rFonts w:ascii="宋体" w:hAnsi="宋体" w:cs="宋体"/>
          <w:u w:val="single"/>
        </w:rPr>
        <w:t>/</w:t>
      </w:r>
      <w:r>
        <w:fldChar w:fldCharType="begin"/>
      </w:r>
      <w:r>
        <w:instrText xml:space="preserve"> AUTOTEXT  input481 \* MERGEFORMAT </w:instrText>
      </w:r>
      <w:r>
        <w:fldChar w:fldCharType="end"/>
      </w:r>
    </w:p>
    <w:p w14:paraId="2C6E2E07">
      <w:pPr>
        <w:adjustRightInd w:val="0"/>
        <w:snapToGrid w:val="0"/>
        <w:spacing w:line="360" w:lineRule="auto"/>
        <w:rPr>
          <w:rFonts w:hint="eastAsia" w:ascii="宋体" w:hAnsi="宋体"/>
          <w:sz w:val="24"/>
        </w:rPr>
      </w:pPr>
      <w:r>
        <w:rPr>
          <w:rFonts w:hint="eastAsia" w:ascii="宋体" w:hAnsi="宋体"/>
          <w:sz w:val="24"/>
        </w:rPr>
        <w:t>11.6发承包双方原因导致的工期延误</w:t>
      </w:r>
    </w:p>
    <w:p w14:paraId="19E8853B">
      <w:pPr>
        <w:adjustRightInd w:val="0"/>
        <w:snapToGrid w:val="0"/>
        <w:spacing w:line="360" w:lineRule="auto"/>
        <w:rPr>
          <w:rFonts w:hint="eastAsia" w:ascii="宋体" w:hAnsi="宋体"/>
          <w:sz w:val="24"/>
        </w:rPr>
      </w:pPr>
      <w:r>
        <w:rPr>
          <w:rFonts w:ascii="宋体" w:hAnsi="宋体"/>
          <w:sz w:val="24"/>
        </w:rPr>
        <w:tab/>
      </w:r>
      <w:r>
        <w:rPr>
          <w:rFonts w:hint="eastAsia" w:ascii="宋体" w:hAnsi="宋体"/>
          <w:sz w:val="24"/>
        </w:rPr>
        <w:t>发承包双方导致工期延误的原因：</w:t>
      </w:r>
      <w:r>
        <w:rPr>
          <w:rFonts w:ascii="宋体" w:hAnsi="宋体" w:cs="宋体"/>
          <w:u w:val="single"/>
        </w:rPr>
        <w:t>/</w:t>
      </w:r>
      <w:r>
        <w:rPr>
          <w:rFonts w:ascii="宋体" w:hAnsi="宋体"/>
          <w:szCs w:val="21"/>
          <w:u w:val="single"/>
        </w:rPr>
        <w:fldChar w:fldCharType="begin"/>
      </w:r>
      <w:r>
        <w:rPr>
          <w:rFonts w:ascii="宋体" w:hAnsi="宋体"/>
          <w:szCs w:val="21"/>
          <w:u w:val="single"/>
        </w:rPr>
        <w:instrText xml:space="preserve"> AUTOTEXT  input877 \* MERGEFORMAT </w:instrText>
      </w:r>
      <w:r>
        <w:rPr>
          <w:rFonts w:ascii="宋体" w:hAnsi="宋体"/>
          <w:szCs w:val="21"/>
          <w:u w:val="single"/>
        </w:rPr>
        <w:fldChar w:fldCharType="end"/>
      </w:r>
    </w:p>
    <w:p w14:paraId="084BF53D">
      <w:pPr>
        <w:adjustRightInd w:val="0"/>
        <w:snapToGrid w:val="0"/>
        <w:spacing w:line="360" w:lineRule="auto"/>
        <w:rPr>
          <w:rFonts w:hint="eastAsia" w:ascii="宋体" w:hAnsi="宋体"/>
          <w:sz w:val="24"/>
        </w:rPr>
      </w:pPr>
      <w:r>
        <w:rPr>
          <w:rFonts w:hint="eastAsia" w:ascii="宋体" w:hAnsi="宋体"/>
          <w:sz w:val="24"/>
        </w:rPr>
        <w:t>11.7非发承包双方原因导致的工期延误</w:t>
      </w:r>
    </w:p>
    <w:p w14:paraId="650BDF9A">
      <w:pPr>
        <w:adjustRightInd w:val="0"/>
        <w:snapToGrid w:val="0"/>
        <w:spacing w:line="360" w:lineRule="auto"/>
        <w:rPr>
          <w:rFonts w:hint="eastAsia" w:ascii="宋体" w:hAnsi="宋体"/>
          <w:sz w:val="24"/>
        </w:rPr>
      </w:pPr>
      <w:r>
        <w:rPr>
          <w:rFonts w:ascii="宋体" w:hAnsi="宋体"/>
          <w:sz w:val="24"/>
        </w:rPr>
        <w:tab/>
      </w:r>
      <w:r>
        <w:rPr>
          <w:rFonts w:hint="eastAsia" w:ascii="宋体" w:hAnsi="宋体"/>
          <w:sz w:val="24"/>
        </w:rPr>
        <w:t>非发承包双方导致工期延误的原因：</w:t>
      </w:r>
      <w:r>
        <w:rPr>
          <w:rFonts w:ascii="宋体" w:hAnsi="宋体" w:cs="宋体"/>
          <w:u w:val="single"/>
        </w:rPr>
        <w:t>/</w:t>
      </w:r>
      <w:r>
        <w:rPr>
          <w:rFonts w:ascii="宋体" w:hAnsi="宋体"/>
          <w:szCs w:val="21"/>
          <w:u w:val="single"/>
        </w:rPr>
        <w:fldChar w:fldCharType="begin"/>
      </w:r>
      <w:r>
        <w:rPr>
          <w:rFonts w:ascii="宋体" w:hAnsi="宋体"/>
          <w:szCs w:val="21"/>
          <w:u w:val="single"/>
        </w:rPr>
        <w:instrText xml:space="preserve"> AUTOTEXT  input878 \* MERGEFORMAT </w:instrText>
      </w:r>
      <w:r>
        <w:rPr>
          <w:rFonts w:ascii="宋体" w:hAnsi="宋体"/>
          <w:szCs w:val="21"/>
          <w:u w:val="single"/>
        </w:rPr>
        <w:fldChar w:fldCharType="end"/>
      </w:r>
    </w:p>
    <w:p w14:paraId="138E0ADD">
      <w:pPr>
        <w:adjustRightInd w:val="0"/>
        <w:snapToGrid w:val="0"/>
        <w:spacing w:line="360" w:lineRule="auto"/>
        <w:rPr>
          <w:rFonts w:hint="eastAsia" w:ascii="宋体" w:hAnsi="宋体"/>
          <w:sz w:val="24"/>
        </w:rPr>
      </w:pPr>
      <w:r>
        <w:rPr>
          <w:rFonts w:hint="eastAsia" w:ascii="宋体" w:hAnsi="宋体"/>
          <w:sz w:val="24"/>
        </w:rPr>
        <w:t>11.</w:t>
      </w:r>
      <w:r>
        <w:rPr>
          <w:rFonts w:ascii="宋体" w:hAnsi="宋体"/>
          <w:sz w:val="24"/>
        </w:rPr>
        <w:t>8</w:t>
      </w:r>
      <w:r>
        <w:rPr>
          <w:rFonts w:hint="eastAsia" w:ascii="宋体" w:hAnsi="宋体"/>
          <w:sz w:val="24"/>
        </w:rPr>
        <w:t>工期提前</w:t>
      </w:r>
    </w:p>
    <w:p w14:paraId="4B4373B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提前竣工的奖励办法：</w:t>
      </w:r>
      <w:r>
        <w:rPr>
          <w:rFonts w:ascii="宋体" w:hAnsi="宋体" w:cs="宋体"/>
          <w:u w:val="single"/>
        </w:rPr>
        <w:t>/</w:t>
      </w:r>
      <w:r>
        <w:fldChar w:fldCharType="begin"/>
      </w:r>
      <w:r>
        <w:instrText xml:space="preserve"> AUTOTEXT  input482 \* MERGEFORMAT </w:instrText>
      </w:r>
      <w:r>
        <w:fldChar w:fldCharType="end"/>
      </w:r>
    </w:p>
    <w:p w14:paraId="75B9F1A3">
      <w:pPr>
        <w:adjustRightInd w:val="0"/>
        <w:snapToGrid w:val="0"/>
        <w:spacing w:line="360" w:lineRule="auto"/>
        <w:outlineLvl w:val="2"/>
        <w:rPr>
          <w:rFonts w:hint="eastAsia" w:ascii="宋体" w:hAnsi="宋体"/>
          <w:sz w:val="28"/>
        </w:rPr>
      </w:pPr>
      <w:bookmarkStart w:id="949" w:name="_Toc196225941"/>
      <w:r>
        <w:rPr>
          <w:rFonts w:hint="eastAsia" w:ascii="宋体" w:hAnsi="宋体"/>
          <w:sz w:val="28"/>
        </w:rPr>
        <w:t>12.暂停施工</w:t>
      </w:r>
      <w:bookmarkEnd w:id="949"/>
    </w:p>
    <w:p w14:paraId="7977FE16">
      <w:pPr>
        <w:adjustRightInd w:val="0"/>
        <w:snapToGrid w:val="0"/>
        <w:spacing w:line="360" w:lineRule="auto"/>
        <w:rPr>
          <w:rFonts w:hint="eastAsia" w:ascii="宋体" w:hAnsi="宋体"/>
          <w:sz w:val="24"/>
        </w:rPr>
      </w:pPr>
      <w:r>
        <w:rPr>
          <w:rFonts w:hint="eastAsia" w:ascii="宋体" w:hAnsi="宋体"/>
          <w:sz w:val="24"/>
        </w:rPr>
        <w:t>12.1承包人暂停施工的责任</w:t>
      </w:r>
    </w:p>
    <w:p w14:paraId="0B5B863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(4)承包人承担暂停施工责任的其他情形：</w:t>
      </w:r>
    </w:p>
    <w:p w14:paraId="51386E9A">
      <w:pPr>
        <w:adjustRightInd w:val="0"/>
        <w:snapToGrid w:val="0"/>
        <w:spacing w:line="360" w:lineRule="auto"/>
        <w:ind w:firstLine="420" w:firstLineChars="200"/>
        <w:jc w:val="left"/>
        <w:rPr>
          <w:rFonts w:hint="eastAsia" w:ascii="宋体" w:hAnsi="宋体"/>
          <w:szCs w:val="21"/>
        </w:rPr>
      </w:pPr>
      <w:r>
        <w:rPr>
          <w:rFonts w:ascii="宋体" w:hAnsi="宋体" w:cs="宋体"/>
          <w:u w:val="single"/>
        </w:rPr>
        <w:t>若因承包人的原因导致不能按合同施工或因质量、安全、环保等不符合有关部门及本合同要求而被勒令暂时停工，承包人必须立即整改，由停工日至获得复工日内给发包人造成的损失，由承包人承担（具体计算标准为每停工一日，发包人有权按合同协议书中签约合同价的2‰不足一日按一日计算），发包人有权从下一次工程进度款中扣除该费用，工期不予顺延。国家和城市庆典、运动赛事、国家高考、中考、雾霾、交通管制、扬尘处理等政府行政主管部门发布的暂停施工，承包人已将上述原因可能导致的工程暂停影响在投标报价阶段予以充分考虑，已将相关工期和费用影响计入了签约合同价和工期控制措施中。</w:t>
      </w:r>
      <w:r>
        <w:rPr>
          <w:rFonts w:ascii="宋体" w:hAnsi="宋体" w:cs="宋体"/>
          <w:u w:val="single"/>
        </w:rPr>
        <w:cr/>
      </w:r>
      <w:r>
        <w:rPr>
          <w:rFonts w:ascii="宋体" w:hAnsi="宋体" w:cs="宋体"/>
          <w:u w:val="single"/>
        </w:rPr>
        <w:t>（5）未经发包人或监理人书面同意，承包人不得以任何理由停工、怠工、取闹，每停工一日，发包人有权按合同协议书中签约合同价的2‰从承包人合同款项中扣除；计算方法：合同协议书中签约合同价×2‰×擅自停工天数（不足一天按一天计算）。经发包方书面催告后，承包仍未改正的，发包人有权解除合同承包人已收取的合同价款应当全部退还发包人，同时还应按照合同签约总价款的20%赔偿发包人的损失。如该金额不足以弥补发包人的实际损失的，发包人有权继续向承包人追偿。</w:t>
      </w:r>
      <w:r>
        <w:fldChar w:fldCharType="begin"/>
      </w:r>
      <w:r>
        <w:instrText xml:space="preserve"> AUTOTEXT  input483 \* MERGEFORMAT </w:instrText>
      </w:r>
      <w:r>
        <w:fldChar w:fldCharType="end"/>
      </w:r>
    </w:p>
    <w:p w14:paraId="7CF7F17E">
      <w:pPr>
        <w:adjustRightInd w:val="0"/>
        <w:snapToGrid w:val="0"/>
        <w:spacing w:line="360" w:lineRule="auto"/>
        <w:outlineLvl w:val="2"/>
        <w:rPr>
          <w:rFonts w:hint="eastAsia" w:ascii="宋体" w:hAnsi="宋体"/>
          <w:sz w:val="28"/>
        </w:rPr>
      </w:pPr>
      <w:bookmarkStart w:id="950" w:name="_Toc196225942"/>
      <w:r>
        <w:rPr>
          <w:rFonts w:hint="eastAsia" w:ascii="宋体" w:hAnsi="宋体"/>
          <w:sz w:val="28"/>
        </w:rPr>
        <w:t>13.工程质量</w:t>
      </w:r>
      <w:bookmarkEnd w:id="950"/>
    </w:p>
    <w:p w14:paraId="4EF87006">
      <w:pPr>
        <w:adjustRightInd w:val="0"/>
        <w:snapToGrid w:val="0"/>
        <w:spacing w:line="360" w:lineRule="auto"/>
        <w:rPr>
          <w:rFonts w:hint="eastAsia" w:ascii="宋体" w:hAnsi="宋体"/>
          <w:sz w:val="24"/>
        </w:rPr>
      </w:pPr>
      <w:r>
        <w:rPr>
          <w:rFonts w:hint="eastAsia" w:ascii="宋体" w:hAnsi="宋体"/>
          <w:sz w:val="24"/>
        </w:rPr>
        <w:t>13.2承包人的质量管理</w:t>
      </w:r>
    </w:p>
    <w:p w14:paraId="2BEE7CC2">
      <w:pPr>
        <w:adjustRightInd w:val="0"/>
        <w:snapToGrid w:val="0"/>
        <w:spacing w:line="360" w:lineRule="auto"/>
        <w:ind w:firstLine="420" w:firstLineChars="200"/>
        <w:jc w:val="left"/>
        <w:rPr>
          <w:rFonts w:hint="eastAsia" w:ascii="宋体" w:hAnsi="宋体" w:cs="Arial"/>
        </w:rPr>
      </w:pPr>
      <w:r>
        <w:rPr>
          <w:rFonts w:ascii="宋体" w:hAnsi="宋体"/>
          <w:szCs w:val="21"/>
        </w:rPr>
        <w:t>1</w:t>
      </w:r>
      <w:r>
        <w:rPr>
          <w:rFonts w:hint="eastAsia" w:ascii="宋体" w:hAnsi="宋体"/>
          <w:szCs w:val="21"/>
        </w:rPr>
        <w:t>3</w:t>
      </w:r>
      <w:r>
        <w:rPr>
          <w:rFonts w:ascii="宋体" w:hAnsi="宋体"/>
          <w:szCs w:val="21"/>
        </w:rPr>
        <w:t>.</w:t>
      </w:r>
      <w:r>
        <w:rPr>
          <w:rFonts w:hint="eastAsia" w:ascii="宋体" w:hAnsi="宋体"/>
          <w:szCs w:val="21"/>
        </w:rPr>
        <w:t>2</w:t>
      </w:r>
      <w:r>
        <w:rPr>
          <w:rFonts w:ascii="宋体" w:hAnsi="宋体"/>
          <w:szCs w:val="21"/>
        </w:rPr>
        <w:t>.</w:t>
      </w:r>
      <w:r>
        <w:rPr>
          <w:rFonts w:hint="eastAsia" w:ascii="宋体" w:hAnsi="宋体"/>
          <w:szCs w:val="21"/>
        </w:rPr>
        <w:t>1承包人向监理人提交工程质量保证措施文件的期限：</w:t>
      </w:r>
      <w:r>
        <w:rPr>
          <w:rFonts w:ascii="宋体" w:hAnsi="宋体" w:cs="宋体"/>
          <w:u w:val="single"/>
        </w:rPr>
        <w:t>签订合同后7天内。</w:t>
      </w:r>
      <w:r>
        <w:fldChar w:fldCharType="begin"/>
      </w:r>
      <w:r>
        <w:instrText xml:space="preserve"> AUTOTEXT  input484 \* MERGEFORMAT </w:instrText>
      </w:r>
      <w:r>
        <w:fldChar w:fldCharType="end"/>
      </w:r>
    </w:p>
    <w:p w14:paraId="7734EB8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监理人审批工程质量保证措施文件的期限：</w:t>
      </w:r>
      <w:r>
        <w:rPr>
          <w:rFonts w:ascii="宋体" w:hAnsi="宋体" w:cs="宋体"/>
          <w:u w:val="single"/>
        </w:rPr>
        <w:t>收到承包人报送的工程质量保证措施文件后7天内。</w:t>
      </w:r>
      <w:r>
        <w:fldChar w:fldCharType="begin"/>
      </w:r>
      <w:r>
        <w:instrText xml:space="preserve"> AUTOTEXT  input485 \* MERGEFORMAT </w:instrText>
      </w:r>
      <w:r>
        <w:fldChar w:fldCharType="end"/>
      </w:r>
    </w:p>
    <w:p w14:paraId="443B8336">
      <w:pPr>
        <w:adjustRightInd w:val="0"/>
        <w:snapToGrid w:val="0"/>
        <w:spacing w:line="360" w:lineRule="auto"/>
        <w:rPr>
          <w:rFonts w:hint="eastAsia" w:ascii="宋体" w:hAnsi="宋体"/>
          <w:sz w:val="24"/>
        </w:rPr>
      </w:pPr>
      <w:r>
        <w:rPr>
          <w:rFonts w:hint="eastAsia" w:ascii="宋体" w:hAnsi="宋体"/>
          <w:sz w:val="24"/>
        </w:rPr>
        <w:t>13.3承包人的质量检查</w:t>
      </w:r>
    </w:p>
    <w:p w14:paraId="3A25963E">
      <w:pPr>
        <w:adjustRightInd w:val="0"/>
        <w:snapToGrid w:val="0"/>
        <w:spacing w:line="360" w:lineRule="auto"/>
        <w:ind w:firstLine="420" w:firstLineChars="200"/>
        <w:jc w:val="left"/>
        <w:rPr>
          <w:rFonts w:hint="eastAsia" w:ascii="宋体" w:hAnsi="宋体" w:cs="Arial"/>
        </w:rPr>
      </w:pPr>
      <w:r>
        <w:rPr>
          <w:rFonts w:hint="eastAsia" w:ascii="宋体" w:hAnsi="宋体"/>
          <w:szCs w:val="21"/>
        </w:rPr>
        <w:t>承包人向监理人报送工程质量报表的期限：</w:t>
      </w:r>
      <w:r>
        <w:rPr>
          <w:rFonts w:ascii="宋体" w:hAnsi="宋体" w:cs="宋体"/>
          <w:u w:val="single"/>
        </w:rPr>
        <w:t>每月的25日前。</w:t>
      </w:r>
      <w:r>
        <w:fldChar w:fldCharType="begin"/>
      </w:r>
      <w:r>
        <w:instrText xml:space="preserve"> AUTOTEXT  input486 \* MERGEFORMAT </w:instrText>
      </w:r>
      <w:r>
        <w:fldChar w:fldCharType="end"/>
      </w:r>
    </w:p>
    <w:p w14:paraId="4F01AA6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承包人向监理人报送工程质量报表的要求：</w:t>
      </w:r>
      <w:r>
        <w:rPr>
          <w:rFonts w:ascii="宋体" w:hAnsi="宋体" w:cs="宋体"/>
          <w:u w:val="single"/>
        </w:rPr>
        <w:t>符合现行规范标准，还应提供详细的施工工艺全过程质量检查的相关记录。</w:t>
      </w:r>
      <w:r>
        <w:fldChar w:fldCharType="begin"/>
      </w:r>
      <w:r>
        <w:instrText xml:space="preserve"> AUTOTEXT  input487 \* MERGEFORMAT </w:instrText>
      </w:r>
      <w:r>
        <w:fldChar w:fldCharType="end"/>
      </w:r>
    </w:p>
    <w:p w14:paraId="0DF22D9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监理人审查工程质量报表的期限：</w:t>
      </w:r>
      <w:r>
        <w:rPr>
          <w:rFonts w:ascii="宋体" w:hAnsi="宋体" w:cs="宋体"/>
          <w:u w:val="single"/>
        </w:rPr>
        <w:t>收到承包人报送的工程质量报表后7天内。</w:t>
      </w:r>
      <w:r>
        <w:fldChar w:fldCharType="begin"/>
      </w:r>
      <w:r>
        <w:instrText xml:space="preserve"> AUTOTEXT  input488 \* MERGEFORMAT </w:instrText>
      </w:r>
      <w:r>
        <w:fldChar w:fldCharType="end"/>
      </w:r>
    </w:p>
    <w:p w14:paraId="1ECCF332">
      <w:pPr>
        <w:adjustRightInd w:val="0"/>
        <w:snapToGrid w:val="0"/>
        <w:spacing w:line="360" w:lineRule="auto"/>
        <w:rPr>
          <w:rFonts w:hint="eastAsia" w:ascii="宋体" w:hAnsi="宋体"/>
          <w:sz w:val="24"/>
        </w:rPr>
      </w:pPr>
      <w:r>
        <w:rPr>
          <w:rFonts w:hint="eastAsia" w:ascii="宋体" w:hAnsi="宋体"/>
          <w:sz w:val="24"/>
        </w:rPr>
        <w:t>13.4监理人的质量检查</w:t>
      </w:r>
    </w:p>
    <w:p w14:paraId="379A951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承包人应当为监理人的检查和检验提供方便，监理人可以进行察看和查阅施工原始记录的其他地方包括：</w:t>
      </w:r>
      <w:r>
        <w:rPr>
          <w:rFonts w:ascii="宋体" w:hAnsi="宋体" w:cs="宋体"/>
          <w:u w:val="single"/>
        </w:rPr>
        <w:t>施工场地、制造、加工地点或合同约定的其他地方，发包人或监理人认为有必要的地方，且承包人应当为发包人和监理人的质量检查提供方便，否则视为承包人违约。</w:t>
      </w:r>
      <w:r>
        <w:fldChar w:fldCharType="begin"/>
      </w:r>
      <w:r>
        <w:instrText xml:space="preserve"> AUTOTEXT  input489 \* MERGEFORMAT </w:instrText>
      </w:r>
      <w:r>
        <w:fldChar w:fldCharType="end"/>
      </w:r>
    </w:p>
    <w:p w14:paraId="40574C1B">
      <w:pPr>
        <w:adjustRightInd w:val="0"/>
        <w:snapToGrid w:val="0"/>
        <w:spacing w:line="360" w:lineRule="auto"/>
        <w:rPr>
          <w:rFonts w:hint="eastAsia" w:ascii="宋体" w:hAnsi="宋体"/>
          <w:sz w:val="24"/>
        </w:rPr>
      </w:pPr>
      <w:r>
        <w:rPr>
          <w:rFonts w:hint="eastAsia" w:ascii="宋体" w:hAnsi="宋体"/>
          <w:sz w:val="24"/>
        </w:rPr>
        <w:t>13.5工程隐蔽部位覆盖前的检查</w:t>
      </w:r>
    </w:p>
    <w:p w14:paraId="700F8817">
      <w:pPr>
        <w:adjustRightInd w:val="0"/>
        <w:snapToGrid w:val="0"/>
        <w:spacing w:line="360" w:lineRule="auto"/>
        <w:ind w:firstLine="420" w:firstLineChars="200"/>
        <w:jc w:val="left"/>
        <w:rPr>
          <w:rFonts w:hint="eastAsia" w:ascii="宋体" w:hAnsi="宋体" w:cs="Arial"/>
        </w:rPr>
      </w:pPr>
      <w:r>
        <w:rPr>
          <w:rFonts w:ascii="宋体" w:hAnsi="宋体"/>
          <w:szCs w:val="21"/>
        </w:rPr>
        <w:t>1</w:t>
      </w:r>
      <w:r>
        <w:rPr>
          <w:rFonts w:hint="eastAsia" w:ascii="宋体" w:hAnsi="宋体"/>
          <w:szCs w:val="21"/>
        </w:rPr>
        <w:t>3</w:t>
      </w:r>
      <w:r>
        <w:rPr>
          <w:rFonts w:ascii="宋体" w:hAnsi="宋体"/>
          <w:szCs w:val="21"/>
        </w:rPr>
        <w:t>.</w:t>
      </w:r>
      <w:r>
        <w:rPr>
          <w:rFonts w:hint="eastAsia" w:ascii="宋体" w:hAnsi="宋体"/>
          <w:szCs w:val="21"/>
        </w:rPr>
        <w:t>5</w:t>
      </w:r>
      <w:r>
        <w:rPr>
          <w:rFonts w:ascii="宋体" w:hAnsi="宋体"/>
          <w:szCs w:val="21"/>
        </w:rPr>
        <w:t>.</w:t>
      </w:r>
      <w:r>
        <w:rPr>
          <w:rFonts w:hint="eastAsia" w:ascii="宋体" w:hAnsi="宋体"/>
          <w:szCs w:val="21"/>
        </w:rPr>
        <w:t>1监理人对工程隐蔽部位进行检查的期限：</w:t>
      </w:r>
      <w:r>
        <w:rPr>
          <w:rFonts w:ascii="宋体" w:hAnsi="宋体" w:cs="宋体"/>
          <w:u w:val="single"/>
        </w:rPr>
        <w:t>收到承包人的检查通知后12小时内（太阳落山后等视线不清的情况下不予验收）。</w:t>
      </w:r>
      <w:r>
        <w:fldChar w:fldCharType="begin"/>
      </w:r>
      <w:r>
        <w:instrText xml:space="preserve"> AUTOTEXT  input490 \* MERGEFORMAT </w:instrText>
      </w:r>
      <w:r>
        <w:fldChar w:fldCharType="end"/>
      </w:r>
    </w:p>
    <w:p w14:paraId="1EE4C3DB">
      <w:pPr>
        <w:adjustRightInd w:val="0"/>
        <w:snapToGrid w:val="0"/>
        <w:spacing w:line="360" w:lineRule="auto"/>
        <w:outlineLvl w:val="2"/>
        <w:rPr>
          <w:rFonts w:hint="eastAsia" w:ascii="宋体" w:hAnsi="宋体"/>
          <w:sz w:val="28"/>
        </w:rPr>
      </w:pPr>
      <w:bookmarkStart w:id="951" w:name="_Toc196225943"/>
      <w:r>
        <w:rPr>
          <w:rFonts w:hint="eastAsia" w:ascii="宋体" w:hAnsi="宋体"/>
          <w:sz w:val="28"/>
        </w:rPr>
        <w:t>15.变更</w:t>
      </w:r>
      <w:bookmarkEnd w:id="951"/>
    </w:p>
    <w:p w14:paraId="493A78CE">
      <w:pPr>
        <w:adjustRightInd w:val="0"/>
        <w:snapToGrid w:val="0"/>
        <w:spacing w:line="360" w:lineRule="auto"/>
        <w:rPr>
          <w:rFonts w:hint="eastAsia" w:ascii="宋体" w:hAnsi="宋体"/>
          <w:sz w:val="24"/>
        </w:rPr>
      </w:pPr>
      <w:r>
        <w:rPr>
          <w:rFonts w:hint="eastAsia" w:ascii="宋体" w:hAnsi="宋体"/>
          <w:sz w:val="24"/>
        </w:rPr>
        <w:t>15.1变更的范围和内容</w:t>
      </w:r>
    </w:p>
    <w:p w14:paraId="63396547">
      <w:pPr>
        <w:adjustRightInd w:val="0"/>
        <w:snapToGrid w:val="0"/>
        <w:spacing w:line="360" w:lineRule="auto"/>
        <w:ind w:firstLine="420" w:firstLineChars="200"/>
        <w:jc w:val="left"/>
        <w:rPr>
          <w:rFonts w:hint="eastAsia" w:ascii="宋体" w:hAnsi="宋体"/>
        </w:rPr>
      </w:pPr>
      <w:r>
        <w:rPr>
          <w:rFonts w:hint="eastAsia" w:ascii="宋体" w:hAnsi="宋体"/>
          <w:szCs w:val="21"/>
        </w:rPr>
        <w:t>15.1.1</w:t>
      </w:r>
      <w:r>
        <w:rPr>
          <w:rFonts w:hint="eastAsia" w:ascii="宋体" w:hAnsi="宋体"/>
        </w:rPr>
        <w:t>在履行合同中发生以下情形之一，应按照本条规定进行变更。</w:t>
      </w:r>
    </w:p>
    <w:p w14:paraId="2BEF4AF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(6)变更的其他情形：</w:t>
      </w:r>
    </w:p>
    <w:p w14:paraId="161B5DA4">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input491 \* MERGEFORMAT </w:instrText>
      </w:r>
      <w:r>
        <w:fldChar w:fldCharType="end"/>
      </w:r>
    </w:p>
    <w:p w14:paraId="32E41EBE">
      <w:pPr>
        <w:adjustRightInd w:val="0"/>
        <w:snapToGrid w:val="0"/>
        <w:spacing w:line="360" w:lineRule="auto"/>
        <w:rPr>
          <w:rFonts w:hint="eastAsia" w:ascii="宋体" w:hAnsi="宋体"/>
          <w:sz w:val="24"/>
        </w:rPr>
      </w:pPr>
      <w:r>
        <w:rPr>
          <w:rFonts w:hint="eastAsia" w:ascii="宋体" w:hAnsi="宋体"/>
          <w:sz w:val="24"/>
        </w:rPr>
        <w:t>15.3变更程序</w:t>
      </w:r>
    </w:p>
    <w:p w14:paraId="747C2168">
      <w:pPr>
        <w:adjustRightInd w:val="0"/>
        <w:snapToGrid w:val="0"/>
        <w:spacing w:line="360" w:lineRule="auto"/>
        <w:ind w:firstLine="420" w:firstLineChars="200"/>
        <w:jc w:val="left"/>
        <w:rPr>
          <w:rFonts w:hint="eastAsia" w:ascii="宋体" w:hAnsi="宋体" w:cs="Arial"/>
        </w:rPr>
      </w:pPr>
      <w:r>
        <w:rPr>
          <w:rFonts w:hint="eastAsia" w:ascii="宋体" w:hAnsi="宋体" w:cs="Arial"/>
        </w:rPr>
        <w:t>15.3.2变更估价</w:t>
      </w:r>
    </w:p>
    <w:p w14:paraId="591A906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(1)承包人提交变更报价书的期限：</w:t>
      </w:r>
      <w:r>
        <w:rPr>
          <w:rFonts w:hint="eastAsia" w:ascii="宋体" w:hAnsi="宋体" w:cs="宋体"/>
          <w:u w:val="single"/>
        </w:rPr>
        <w:t>承包人收到变更指示或变更意向书7天内，提出变更工程价款的报告，通过监理人报发包人审核</w:t>
      </w:r>
      <w:r>
        <w:rPr>
          <w:rFonts w:ascii="宋体" w:hAnsi="宋体" w:cs="宋体"/>
          <w:u w:val="single"/>
        </w:rPr>
        <w:t>。</w:t>
      </w:r>
      <w:r>
        <w:fldChar w:fldCharType="begin"/>
      </w:r>
      <w:r>
        <w:instrText xml:space="preserve"> AUTOTEXT  input492 \* MERGEFORMAT </w:instrText>
      </w:r>
      <w:r>
        <w:fldChar w:fldCharType="end"/>
      </w:r>
    </w:p>
    <w:p w14:paraId="6B23E3B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(3)监理人商定或确定变更价格的期限：</w:t>
      </w:r>
      <w:r>
        <w:rPr>
          <w:rFonts w:ascii="宋体" w:hAnsi="宋体" w:cs="宋体"/>
          <w:u w:val="single"/>
        </w:rPr>
        <w:t>监理人收到承包人的变更报价书后的7天内，向发包人提交其变更估价审核意见，并附承包人的变更报价书；发包人收到监理人审核意见后，14天内由监理人向承包人提出发包人的审批确认意见。</w:t>
      </w:r>
      <w:r>
        <w:fldChar w:fldCharType="begin"/>
      </w:r>
      <w:r>
        <w:instrText xml:space="preserve"> AUTOTEXT  input493 \* MERGEFORMAT </w:instrText>
      </w:r>
      <w:r>
        <w:fldChar w:fldCharType="end"/>
      </w:r>
    </w:p>
    <w:p w14:paraId="5AE2D052">
      <w:pPr>
        <w:adjustRightInd w:val="0"/>
        <w:snapToGrid w:val="0"/>
        <w:spacing w:line="360" w:lineRule="auto"/>
        <w:rPr>
          <w:rFonts w:hint="eastAsia" w:ascii="宋体" w:hAnsi="宋体"/>
          <w:sz w:val="24"/>
        </w:rPr>
      </w:pPr>
      <w:r>
        <w:rPr>
          <w:rFonts w:hint="eastAsia" w:ascii="宋体" w:hAnsi="宋体"/>
          <w:sz w:val="24"/>
        </w:rPr>
        <w:t>15.4变更的估价原则</w:t>
      </w:r>
    </w:p>
    <w:p w14:paraId="4A5EBD8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15.4.5合同协议书约定采用单价合同形式时，因非承包人原因引起已标价工程量清单中列明的工程量发生增减，且单个子目工程量变化幅度在</w:t>
      </w:r>
      <w:r>
        <w:rPr>
          <w:rFonts w:ascii="宋体" w:hAnsi="宋体" w:cs="宋体"/>
          <w:u w:val="single"/>
        </w:rPr>
        <w:t>±15</w:t>
      </w:r>
      <w:r>
        <w:fldChar w:fldCharType="begin"/>
      </w:r>
      <w:r>
        <w:instrText xml:space="preserve"> AUTOTEXT  input494 \* MERGEFORMAT </w:instrText>
      </w:r>
      <w:r>
        <w:fldChar w:fldCharType="end"/>
      </w:r>
      <w:r>
        <w:rPr>
          <w:rFonts w:hint="eastAsia" w:ascii="宋体" w:hAnsi="宋体"/>
          <w:szCs w:val="21"/>
        </w:rPr>
        <w:t>%以内（含）时，应执行已标价工程量清单中列明的该子目的单价；单个子目工程量变化幅度在</w:t>
      </w:r>
      <w:r>
        <w:rPr>
          <w:rFonts w:ascii="宋体" w:hAnsi="宋体" w:cs="宋体"/>
          <w:u w:val="single"/>
        </w:rPr>
        <w:t>±15</w:t>
      </w:r>
      <w:r>
        <w:fldChar w:fldCharType="begin"/>
      </w:r>
      <w:r>
        <w:instrText xml:space="preserve"> AUTOTEXT  input495 \* MERGEFORMAT </w:instrText>
      </w:r>
      <w:r>
        <w:fldChar w:fldCharType="end"/>
      </w:r>
      <w:r>
        <w:rPr>
          <w:rFonts w:hint="eastAsia" w:ascii="宋体" w:hAnsi="宋体"/>
          <w:szCs w:val="21"/>
        </w:rPr>
        <w:t>%以外（不含），且导致分部分项工程费总额变化幅度超过</w:t>
      </w:r>
      <w:r>
        <w:rPr>
          <w:rFonts w:ascii="宋体" w:hAnsi="宋体" w:cs="宋体"/>
          <w:u w:val="single"/>
        </w:rPr>
        <w:t>±</w:t>
      </w:r>
      <w:r>
        <w:rPr>
          <w:rFonts w:hint="eastAsia" w:ascii="宋体" w:hAnsi="宋体" w:cs="宋体"/>
          <w:u w:val="single"/>
        </w:rPr>
        <w:t>2</w:t>
      </w:r>
      <w:r>
        <w:fldChar w:fldCharType="begin"/>
      </w:r>
      <w:r>
        <w:instrText xml:space="preserve"> AUTOTEXT  input496 \* MERGEFORMAT </w:instrText>
      </w:r>
      <w:r>
        <w:fldChar w:fldCharType="end"/>
      </w:r>
      <w:r>
        <w:rPr>
          <w:rFonts w:hint="eastAsia" w:ascii="宋体" w:hAnsi="宋体"/>
          <w:szCs w:val="21"/>
        </w:rPr>
        <w:t>%时，由承包人提出并由监理人按第3.5款商定或确定新的单价，该子目按修正后的新的单价计价。</w:t>
      </w:r>
    </w:p>
    <w:p w14:paraId="2F996817">
      <w:pPr>
        <w:adjustRightInd w:val="0"/>
        <w:snapToGrid w:val="0"/>
        <w:spacing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rPr>
        <w:t>5.4.6因变更引起价格调整的其他处理方式：</w:t>
      </w:r>
    </w:p>
    <w:p w14:paraId="2B3B0CDA">
      <w:pPr>
        <w:adjustRightInd w:val="0"/>
        <w:snapToGrid w:val="0"/>
        <w:spacing w:line="360" w:lineRule="auto"/>
        <w:ind w:firstLine="420" w:firstLineChars="200"/>
        <w:jc w:val="left"/>
        <w:rPr>
          <w:rFonts w:hint="eastAsia" w:ascii="宋体" w:hAnsi="宋体"/>
          <w:szCs w:val="21"/>
        </w:rPr>
      </w:pPr>
      <w:r>
        <w:rPr>
          <w:rFonts w:ascii="宋体" w:hAnsi="宋体" w:cs="宋体"/>
          <w:u w:val="single"/>
        </w:rPr>
        <w:t>工程变更（洽商、索赔）或结算重计量（结算重计量仅适用于单价合同）引起价格及合同价款变化的，其变化价格及价款按以下规定调整：</w:t>
      </w:r>
      <w:r>
        <w:rPr>
          <w:rFonts w:ascii="宋体" w:hAnsi="宋体" w:cs="宋体"/>
          <w:u w:val="single"/>
        </w:rPr>
        <w:cr/>
      </w:r>
      <w:r>
        <w:rPr>
          <w:rFonts w:ascii="宋体" w:hAnsi="宋体" w:cs="宋体"/>
          <w:u w:val="single"/>
        </w:rPr>
        <w:t>（1）调整范围仅限于分部分项工程量清单、单价措施项目清单、安全文明施工费、税金，不在前述列项范围内的项目不做调整。</w:t>
      </w:r>
      <w:r>
        <w:rPr>
          <w:rFonts w:ascii="宋体" w:hAnsi="宋体" w:cs="宋体"/>
          <w:u w:val="single"/>
        </w:rPr>
        <w:cr/>
      </w:r>
      <w:r>
        <w:rPr>
          <w:rFonts w:ascii="宋体" w:hAnsi="宋体" w:cs="宋体"/>
          <w:u w:val="single"/>
        </w:rPr>
        <w:t>（2）已标价工程量清单中有适用于变更工作的子目的，采用该子目的单价，相同子目出现多个报价时，按有利于发包人的单价执行。</w:t>
      </w:r>
      <w:r>
        <w:rPr>
          <w:rFonts w:ascii="宋体" w:hAnsi="宋体" w:cs="宋体"/>
          <w:u w:val="single"/>
        </w:rPr>
        <w:cr/>
      </w:r>
      <w:r>
        <w:rPr>
          <w:rFonts w:ascii="宋体" w:hAnsi="宋体" w:cs="宋体"/>
          <w:u w:val="single"/>
        </w:rPr>
        <w:t>（3）已标价工程量清单中无适用于变更工作的子目，但有类似子目的，可在合理范围内参照类似子目的单价（如有多个类似子目，则参照有利于发包人的类似子目），只调整差异部分,差异部分调整原则参照以下（4）条；其中材料替换，价差仅计取税金。</w:t>
      </w:r>
      <w:r>
        <w:rPr>
          <w:rFonts w:ascii="宋体" w:hAnsi="宋体" w:cs="宋体"/>
          <w:u w:val="single"/>
        </w:rPr>
        <w:cr/>
      </w:r>
      <w:r>
        <w:rPr>
          <w:rFonts w:ascii="宋体" w:hAnsi="宋体" w:cs="宋体"/>
          <w:u w:val="single"/>
        </w:rPr>
        <w:t>（4）已标价工程量清单中无适用于变更工作的子目，也无类似子目的，其组成单价的各要素确定原则为：</w:t>
      </w:r>
      <w:r>
        <w:rPr>
          <w:rFonts w:ascii="宋体" w:hAnsi="宋体" w:cs="宋体"/>
          <w:u w:val="single"/>
        </w:rPr>
        <w:cr/>
      </w:r>
      <w:r>
        <w:rPr>
          <w:rFonts w:ascii="宋体" w:hAnsi="宋体" w:cs="宋体"/>
          <w:u w:val="single"/>
        </w:rPr>
        <w:t>A:</w:t>
      </w:r>
      <w:r>
        <w:rPr>
          <w:rFonts w:hint="eastAsia" w:ascii="宋体" w:hAnsi="宋体" w:cs="宋体"/>
          <w:u w:val="single"/>
        </w:rPr>
        <w:t>已标价的工程量清单中已有相应的人工、材料、机械等消耗量的，按照已有的执行；如果没有，依据《北京市房屋修缮工程预算消耗量标准(2021)》的相关规定确定；如果《北京市房屋修缮工程预算消耗量标准(2021)》的相关规定没有的，由承包人提出发包人审批确定</w:t>
      </w:r>
      <w:r>
        <w:rPr>
          <w:rFonts w:ascii="宋体" w:hAnsi="宋体" w:cs="宋体"/>
          <w:u w:val="single"/>
        </w:rPr>
        <w:t>。</w:t>
      </w:r>
      <w:r>
        <w:rPr>
          <w:rFonts w:ascii="宋体" w:hAnsi="宋体" w:cs="宋体"/>
          <w:u w:val="single"/>
        </w:rPr>
        <w:cr/>
      </w:r>
      <w:r>
        <w:rPr>
          <w:rFonts w:ascii="宋体" w:hAnsi="宋体" w:cs="宋体"/>
          <w:u w:val="single"/>
        </w:rPr>
        <w:t>B:</w:t>
      </w:r>
      <w:r>
        <w:rPr>
          <w:rFonts w:hint="eastAsia" w:ascii="宋体" w:hAnsi="宋体" w:cs="宋体"/>
          <w:u w:val="single"/>
        </w:rPr>
        <w:t>已标价的工程量清单中已有相应的人工、主要材料、机械等价格，按照已有的执行；如果没有，新增的材料价格按照施工期项目投标当期的《北京建设工程造价信息》中的价格执行（信息价中有上下限的，按下限取定）；如果《北京建设工程造价信息》没有相应材料价格，则由承包人根据市场行情提出报价，发包人审批确定。人工单价按照已标价的工程量清单相应专业的人工单价计取，没有的按投标期的《北京建设工程造价信息》的中值计取</w:t>
      </w:r>
      <w:r>
        <w:rPr>
          <w:rFonts w:ascii="宋体" w:hAnsi="宋体" w:cs="宋体"/>
          <w:u w:val="single"/>
        </w:rPr>
        <w:t>。</w:t>
      </w:r>
      <w:r>
        <w:rPr>
          <w:rFonts w:ascii="宋体" w:hAnsi="宋体" w:cs="宋体"/>
          <w:u w:val="single"/>
        </w:rPr>
        <w:cr/>
      </w:r>
      <w:r>
        <w:rPr>
          <w:rFonts w:ascii="宋体" w:hAnsi="宋体" w:cs="宋体"/>
          <w:u w:val="single"/>
        </w:rPr>
        <w:t>C：辅助材料执行当地官方发布的信息价（信息价中有上下限的，按下限取定；信息价没有的按当地现行定额基价执行），机械费执行当地现行定额基价，其它要素按当地官方计价依据通常标准执行。</w:t>
      </w:r>
      <w:r>
        <w:rPr>
          <w:rFonts w:ascii="宋体" w:hAnsi="宋体" w:cs="宋体"/>
          <w:u w:val="single"/>
        </w:rPr>
        <w:cr/>
      </w:r>
      <w:r>
        <w:rPr>
          <w:rFonts w:ascii="宋体" w:hAnsi="宋体" w:cs="宋体"/>
          <w:u w:val="single"/>
        </w:rPr>
        <w:t>D：综合单价中的各项取费标准按照相应项目原投标费率确定，投标费率没有对应的按发包人审批确定。</w:t>
      </w:r>
      <w:r>
        <w:rPr>
          <w:rFonts w:ascii="宋体" w:hAnsi="宋体" w:cs="宋体"/>
          <w:u w:val="single"/>
        </w:rPr>
        <w:cr/>
      </w:r>
      <w:r>
        <w:rPr>
          <w:rFonts w:ascii="宋体" w:hAnsi="宋体" w:cs="宋体"/>
          <w:u w:val="single"/>
        </w:rPr>
        <w:t>（5）</w:t>
      </w:r>
      <w:r>
        <w:rPr>
          <w:rFonts w:hint="eastAsia" w:ascii="宋体" w:hAnsi="宋体" w:cs="宋体"/>
          <w:u w:val="single"/>
        </w:rPr>
        <w:t>安全文明施工费的调整按京建发〔2020〕316号文规定执行，竣工结算时根据实际工程量、工程变更（洽商、索赔）和文件中最低费率计算，调整超过部分费用。未达到合同约定的安全文明施工标准或要求的结算调整方法参见合同专用条款9.6、9.7条</w:t>
      </w:r>
      <w:r>
        <w:rPr>
          <w:rFonts w:ascii="宋体" w:hAnsi="宋体" w:cs="宋体"/>
          <w:u w:val="single"/>
        </w:rPr>
        <w:t>。</w:t>
      </w:r>
      <w:r>
        <w:fldChar w:fldCharType="begin"/>
      </w:r>
      <w:r>
        <w:instrText xml:space="preserve"> AUTOTEXT  input497 \* MERGEFORMAT </w:instrText>
      </w:r>
      <w:r>
        <w:fldChar w:fldCharType="end"/>
      </w:r>
    </w:p>
    <w:p w14:paraId="1368E083">
      <w:pPr>
        <w:adjustRightInd w:val="0"/>
        <w:snapToGrid w:val="0"/>
        <w:spacing w:line="360" w:lineRule="auto"/>
        <w:rPr>
          <w:rFonts w:hint="eastAsia" w:ascii="宋体" w:hAnsi="宋体"/>
          <w:sz w:val="24"/>
        </w:rPr>
      </w:pPr>
      <w:r>
        <w:rPr>
          <w:rFonts w:hint="eastAsia" w:ascii="宋体" w:hAnsi="宋体"/>
          <w:sz w:val="24"/>
        </w:rPr>
        <w:t>15.5承包人的合理化建议</w:t>
      </w:r>
    </w:p>
    <w:p w14:paraId="3979C8D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15.5.2对承包人提出合理化建议的奖励方法：</w:t>
      </w:r>
    </w:p>
    <w:p w14:paraId="101AFCB5">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input498 \* MERGEFORMAT </w:instrText>
      </w:r>
      <w:r>
        <w:fldChar w:fldCharType="end"/>
      </w:r>
    </w:p>
    <w:p w14:paraId="765D775B">
      <w:pPr>
        <w:adjustRightInd w:val="0"/>
        <w:snapToGrid w:val="0"/>
        <w:spacing w:line="360" w:lineRule="auto"/>
        <w:rPr>
          <w:rFonts w:hint="eastAsia" w:ascii="宋体" w:hAnsi="宋体"/>
          <w:sz w:val="24"/>
        </w:rPr>
      </w:pPr>
      <w:r>
        <w:rPr>
          <w:rFonts w:hint="eastAsia" w:ascii="宋体" w:hAnsi="宋体"/>
          <w:sz w:val="24"/>
        </w:rPr>
        <w:t>15.8暂估价</w:t>
      </w:r>
    </w:p>
    <w:p w14:paraId="7AB8C27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15.8.1按合同约定应当由发包人和承包人采用招标方式选择专项供应商或专业分包人的：</w:t>
      </w:r>
    </w:p>
    <w:p w14:paraId="1D0911F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(4)承包人报送招标计划期限：</w:t>
      </w:r>
      <w:r>
        <w:rPr>
          <w:rFonts w:ascii="宋体" w:hAnsi="宋体" w:cs="宋体"/>
          <w:u w:val="single"/>
        </w:rPr>
        <w:t>至少提前90天。</w:t>
      </w:r>
      <w:r>
        <w:fldChar w:fldCharType="begin"/>
      </w:r>
      <w:r>
        <w:instrText xml:space="preserve"> AUTOTEXT  input839 \* MERGEFORMAT </w:instrText>
      </w:r>
      <w:r>
        <w:fldChar w:fldCharType="end"/>
      </w:r>
    </w:p>
    <w:p w14:paraId="0004111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发包人审批招标工作计划时限：</w:t>
      </w:r>
      <w:r>
        <w:rPr>
          <w:rFonts w:ascii="宋体" w:hAnsi="宋体" w:cs="宋体"/>
          <w:u w:val="single"/>
        </w:rPr>
        <w:t>收到相关文件后14天内。</w:t>
      </w:r>
      <w:r>
        <w:fldChar w:fldCharType="begin"/>
      </w:r>
      <w:r>
        <w:instrText xml:space="preserve"> AUTOTEXT  input840 \* MERGEFORMAT </w:instrText>
      </w:r>
      <w:r>
        <w:fldChar w:fldCharType="end"/>
      </w:r>
    </w:p>
    <w:p w14:paraId="37118F8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(5)承包人报送相关文件时限：</w:t>
      </w:r>
      <w:r>
        <w:rPr>
          <w:rFonts w:ascii="宋体" w:hAnsi="宋体" w:cs="宋体"/>
          <w:u w:val="single"/>
        </w:rPr>
        <w:t>至少提前45天。</w:t>
      </w:r>
      <w:r>
        <w:fldChar w:fldCharType="begin"/>
      </w:r>
      <w:r>
        <w:instrText xml:space="preserve"> AUTOTEXT  input841 \* MERGEFORMAT </w:instrText>
      </w:r>
      <w:r>
        <w:fldChar w:fldCharType="end"/>
      </w:r>
    </w:p>
    <w:p w14:paraId="37BD046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发包人审批相关文件时限：</w:t>
      </w:r>
      <w:r>
        <w:rPr>
          <w:rFonts w:ascii="宋体" w:hAnsi="宋体" w:cs="宋体"/>
          <w:u w:val="single"/>
        </w:rPr>
        <w:t>收到相关文件后14天内。</w:t>
      </w:r>
      <w:r>
        <w:fldChar w:fldCharType="begin"/>
      </w:r>
      <w:r>
        <w:instrText xml:space="preserve"> AUTOTEXT  input842 \* MERGEFORMAT </w:instrText>
      </w:r>
      <w:r>
        <w:fldChar w:fldCharType="end"/>
      </w:r>
    </w:p>
    <w:p w14:paraId="695E54C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(10)承包人申报合同文件时限：</w:t>
      </w:r>
      <w:r>
        <w:rPr>
          <w:rFonts w:ascii="宋体" w:hAnsi="宋体" w:cs="宋体"/>
          <w:u w:val="single"/>
        </w:rPr>
        <w:t>此项目发放</w:t>
      </w:r>
      <w:r>
        <w:rPr>
          <w:rFonts w:hint="eastAsia" w:ascii="宋体" w:hAnsi="宋体" w:cs="宋体"/>
          <w:u w:val="single"/>
        </w:rPr>
        <w:t>成交</w:t>
      </w:r>
      <w:r>
        <w:rPr>
          <w:rFonts w:ascii="宋体" w:hAnsi="宋体" w:cs="宋体"/>
          <w:u w:val="single"/>
        </w:rPr>
        <w:t>通知书后14天内。</w:t>
      </w:r>
      <w:r>
        <w:fldChar w:fldCharType="begin"/>
      </w:r>
      <w:r>
        <w:instrText xml:space="preserve"> AUTOTEXT  input843 \* MERGEFORMAT </w:instrText>
      </w:r>
      <w:r>
        <w:fldChar w:fldCharType="end"/>
      </w:r>
    </w:p>
    <w:p w14:paraId="62E852E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发包人审批合同文件时限：</w:t>
      </w:r>
      <w:r>
        <w:rPr>
          <w:rFonts w:ascii="宋体" w:hAnsi="宋体" w:cs="宋体"/>
          <w:u w:val="single"/>
        </w:rPr>
        <w:t>收到相关文件后14天内。</w:t>
      </w:r>
      <w:r>
        <w:fldChar w:fldCharType="begin"/>
      </w:r>
      <w:r>
        <w:instrText xml:space="preserve"> AUTOTEXT  input844 \* MERGEFORMAT </w:instrText>
      </w:r>
      <w:r>
        <w:fldChar w:fldCharType="end"/>
      </w:r>
    </w:p>
    <w:p w14:paraId="05C2441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承包人报送正式签订合同副本时限：</w:t>
      </w:r>
      <w:r>
        <w:rPr>
          <w:rFonts w:ascii="宋体" w:hAnsi="宋体" w:cs="宋体"/>
          <w:u w:val="single"/>
        </w:rPr>
        <w:t>收到相关文件后14天内。</w:t>
      </w:r>
      <w:r>
        <w:fldChar w:fldCharType="begin"/>
      </w:r>
      <w:r>
        <w:instrText xml:space="preserve"> AUTOTEXT  input845 \* MERGEFORMAT </w:instrText>
      </w:r>
      <w:r>
        <w:fldChar w:fldCharType="end"/>
      </w:r>
    </w:p>
    <w:p w14:paraId="08BBC33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15.8.3发包人在工程量清单中给定暂估价的专业工程不属于依法必须招标的范围或者未达到依法必须招标的规模标准的，其最终价格的估价人为：</w:t>
      </w:r>
      <w:r>
        <w:rPr>
          <w:rFonts w:ascii="宋体" w:hAnsi="宋体" w:cs="宋体"/>
          <w:u w:val="single"/>
        </w:rPr>
        <w:t>发包人</w:t>
      </w:r>
      <w:r>
        <w:fldChar w:fldCharType="begin"/>
      </w:r>
      <w:r>
        <w:instrText xml:space="preserve"> AUTOTEXT  input506 \* MERGEFORMAT </w:instrText>
      </w:r>
      <w:r>
        <w:fldChar w:fldCharType="end"/>
      </w:r>
      <w:r>
        <w:rPr>
          <w:rFonts w:hint="eastAsia" w:ascii="宋体" w:hAnsi="宋体"/>
          <w:szCs w:val="21"/>
        </w:rPr>
        <w:t>或者按照下列约定：</w:t>
      </w:r>
      <w:r>
        <w:rPr>
          <w:rFonts w:ascii="宋体" w:hAnsi="宋体" w:cs="宋体"/>
          <w:u w:val="single"/>
        </w:rPr>
        <w:t>按发包人内部招标采购相关规定。</w:t>
      </w:r>
      <w:r>
        <w:fldChar w:fldCharType="begin"/>
      </w:r>
      <w:r>
        <w:instrText xml:space="preserve"> AUTOTEXT  input507 \* MERGEFORMAT </w:instrText>
      </w:r>
      <w:r>
        <w:fldChar w:fldCharType="end"/>
      </w:r>
    </w:p>
    <w:p w14:paraId="263D9F34">
      <w:pPr>
        <w:adjustRightInd w:val="0"/>
        <w:snapToGrid w:val="0"/>
        <w:spacing w:line="360" w:lineRule="auto"/>
        <w:outlineLvl w:val="2"/>
        <w:rPr>
          <w:rFonts w:hint="eastAsia" w:ascii="宋体" w:hAnsi="宋体"/>
          <w:sz w:val="28"/>
        </w:rPr>
      </w:pPr>
      <w:bookmarkStart w:id="952" w:name="_Toc196225944"/>
      <w:r>
        <w:rPr>
          <w:rFonts w:hint="eastAsia" w:ascii="宋体" w:hAnsi="宋体"/>
          <w:sz w:val="28"/>
        </w:rPr>
        <w:t>16.价格调整</w:t>
      </w:r>
      <w:bookmarkEnd w:id="952"/>
    </w:p>
    <w:p w14:paraId="25114F88">
      <w:pPr>
        <w:adjustRightInd w:val="0"/>
        <w:snapToGrid w:val="0"/>
        <w:spacing w:line="360" w:lineRule="auto"/>
        <w:rPr>
          <w:rFonts w:hint="eastAsia" w:ascii="宋体" w:hAnsi="宋体"/>
          <w:sz w:val="24"/>
        </w:rPr>
      </w:pPr>
      <w:r>
        <w:rPr>
          <w:rFonts w:hint="eastAsia" w:ascii="宋体" w:hAnsi="宋体"/>
          <w:sz w:val="24"/>
        </w:rPr>
        <w:t>16.1物价波动引起的价格调整</w:t>
      </w:r>
    </w:p>
    <w:p w14:paraId="2424CC6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物价波动引起价格调整方法：</w:t>
      </w:r>
      <w:r>
        <w:rPr>
          <w:rFonts w:ascii="宋体" w:hAnsi="宋体" w:cs="宋体"/>
          <w:u w:val="single"/>
        </w:rPr>
        <w:t>不调整</w:t>
      </w:r>
      <w:r>
        <w:fldChar w:fldCharType="begin"/>
      </w:r>
      <w:r>
        <w:instrText xml:space="preserve"> AUTOTEXT  input508 \* MERGEFORMAT </w:instrText>
      </w:r>
      <w:r>
        <w:fldChar w:fldCharType="end"/>
      </w:r>
    </w:p>
    <w:p w14:paraId="32C17304">
      <w:pPr>
        <w:adjustRightInd w:val="0"/>
        <w:snapToGrid w:val="0"/>
        <w:spacing w:line="360" w:lineRule="auto"/>
        <w:ind w:firstLine="420" w:firstLineChars="200"/>
        <w:jc w:val="left"/>
        <w:rPr>
          <w:rFonts w:hint="eastAsia" w:ascii="宋体" w:hAnsi="宋体"/>
        </w:rPr>
      </w:pPr>
      <w:r>
        <w:rPr>
          <w:rFonts w:hint="eastAsia" w:ascii="宋体" w:hAnsi="宋体"/>
          <w:szCs w:val="21"/>
        </w:rPr>
        <w:t>16.1.</w:t>
      </w:r>
      <w:r>
        <w:rPr>
          <w:rFonts w:ascii="宋体" w:hAnsi="宋体"/>
          <w:szCs w:val="21"/>
        </w:rPr>
        <w:t>2</w:t>
      </w:r>
      <w:r>
        <w:rPr>
          <w:rFonts w:hint="eastAsia" w:ascii="宋体" w:hAnsi="宋体"/>
        </w:rPr>
        <w:t>采用造价信息调整价格差额</w:t>
      </w:r>
    </w:p>
    <w:p w14:paraId="426628C2">
      <w:pPr>
        <w:adjustRightInd w:val="0"/>
        <w:snapToGrid w:val="0"/>
        <w:spacing w:line="360" w:lineRule="auto"/>
        <w:ind w:firstLine="420" w:firstLineChars="200"/>
        <w:jc w:val="left"/>
        <w:rPr>
          <w:rFonts w:hint="eastAsia" w:ascii="宋体" w:hAnsi="宋体"/>
          <w:szCs w:val="21"/>
        </w:rPr>
      </w:pPr>
      <w:r>
        <w:rPr>
          <w:rFonts w:ascii="宋体" w:hAnsi="宋体"/>
          <w:szCs w:val="21"/>
        </w:rPr>
        <w:t>16.1.2.1</w:t>
      </w:r>
      <w:r>
        <w:rPr>
          <w:rFonts w:ascii="宋体" w:hAnsi="宋体"/>
        </w:rPr>
        <w:t>引起价格调整的</w:t>
      </w:r>
      <w:r>
        <w:rPr>
          <w:rFonts w:hint="eastAsia" w:ascii="宋体" w:hAnsi="宋体"/>
        </w:rPr>
        <w:t>物价</w:t>
      </w:r>
      <w:r>
        <w:rPr>
          <w:rFonts w:ascii="宋体" w:hAnsi="宋体"/>
        </w:rPr>
        <w:t>波动风险范围及幅度</w:t>
      </w:r>
    </w:p>
    <w:p w14:paraId="64367F2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引起</w:t>
      </w:r>
      <w:r>
        <w:rPr>
          <w:rFonts w:ascii="宋体" w:hAnsi="宋体"/>
        </w:rPr>
        <w:t>价格调整的</w:t>
      </w:r>
      <w:r>
        <w:rPr>
          <w:rFonts w:hint="eastAsia" w:ascii="宋体" w:hAnsi="宋体"/>
          <w:szCs w:val="21"/>
        </w:rPr>
        <w:t>物价波动</w:t>
      </w:r>
      <w:r>
        <w:rPr>
          <w:rFonts w:hint="eastAsia" w:ascii="宋体" w:hAnsi="宋体"/>
        </w:rPr>
        <w:t>风险范围</w:t>
      </w:r>
      <w:r>
        <w:rPr>
          <w:rFonts w:hint="eastAsia" w:ascii="宋体" w:hAnsi="宋体"/>
          <w:szCs w:val="21"/>
        </w:rPr>
        <w:t>：</w:t>
      </w:r>
      <w:r>
        <w:rPr>
          <w:rFonts w:ascii="宋体" w:hAnsi="宋体" w:cs="宋体"/>
          <w:u w:val="single"/>
        </w:rPr>
        <w:t>/。</w:t>
      </w:r>
      <w:r>
        <w:fldChar w:fldCharType="begin"/>
      </w:r>
      <w:r>
        <w:instrText xml:space="preserve"> AUTOTEXT  input846 \* MERGEFORMAT </w:instrText>
      </w:r>
      <w:r>
        <w:fldChar w:fldCharType="end"/>
      </w:r>
    </w:p>
    <w:p w14:paraId="19B9E65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引起</w:t>
      </w:r>
      <w:r>
        <w:rPr>
          <w:rFonts w:ascii="宋体" w:hAnsi="宋体"/>
        </w:rPr>
        <w:t>价格调整的</w:t>
      </w:r>
      <w:r>
        <w:rPr>
          <w:rFonts w:hint="eastAsia" w:ascii="宋体" w:hAnsi="宋体"/>
          <w:szCs w:val="21"/>
        </w:rPr>
        <w:t>物价波动</w:t>
      </w:r>
      <w:r>
        <w:rPr>
          <w:rFonts w:ascii="宋体" w:hAnsi="宋体"/>
        </w:rPr>
        <w:t>风险幅度</w:t>
      </w:r>
      <w:r>
        <w:rPr>
          <w:rFonts w:hint="eastAsia" w:ascii="宋体" w:hAnsi="宋体"/>
        </w:rPr>
        <w:t>：</w:t>
      </w:r>
      <w:r>
        <w:rPr>
          <w:rFonts w:ascii="宋体" w:hAnsi="宋体" w:cs="宋体"/>
          <w:u w:val="single"/>
        </w:rPr>
        <w:t>/。</w:t>
      </w:r>
      <w:r>
        <w:fldChar w:fldCharType="begin"/>
      </w:r>
      <w:r>
        <w:instrText xml:space="preserve"> AUTOTEXT  input847 \* MERGEFORMAT </w:instrText>
      </w:r>
      <w:r>
        <w:fldChar w:fldCharType="end"/>
      </w:r>
    </w:p>
    <w:p w14:paraId="0BC6A79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16.1.</w:t>
      </w:r>
      <w:r>
        <w:rPr>
          <w:rFonts w:ascii="宋体" w:hAnsi="宋体"/>
          <w:szCs w:val="21"/>
        </w:rPr>
        <w:t>2</w:t>
      </w:r>
      <w:r>
        <w:rPr>
          <w:rFonts w:hint="eastAsia" w:ascii="宋体" w:hAnsi="宋体"/>
          <w:szCs w:val="21"/>
        </w:rPr>
        <w:t>.</w:t>
      </w:r>
      <w:r>
        <w:rPr>
          <w:rFonts w:ascii="宋体" w:hAnsi="宋体"/>
          <w:szCs w:val="21"/>
        </w:rPr>
        <w:t>2物价波动引起价格调整的</w:t>
      </w:r>
      <w:r>
        <w:rPr>
          <w:rFonts w:hint="eastAsia" w:ascii="宋体" w:hAnsi="宋体"/>
          <w:szCs w:val="21"/>
        </w:rPr>
        <w:t>风险</w:t>
      </w:r>
      <w:r>
        <w:rPr>
          <w:rFonts w:ascii="宋体" w:hAnsi="宋体"/>
          <w:szCs w:val="21"/>
        </w:rPr>
        <w:t>幅度的计算方法</w:t>
      </w:r>
    </w:p>
    <w:p w14:paraId="5F19369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w:t>
      </w:r>
      <w:r>
        <w:rPr>
          <w:rFonts w:ascii="宋体" w:hAnsi="宋体"/>
          <w:szCs w:val="21"/>
        </w:rPr>
        <w:t>投标报价基准期</w:t>
      </w:r>
      <w:r>
        <w:rPr>
          <w:rFonts w:hint="eastAsia" w:ascii="宋体" w:hAnsi="宋体"/>
          <w:szCs w:val="21"/>
        </w:rPr>
        <w:t>：</w:t>
      </w:r>
      <w:r>
        <w:rPr>
          <w:rFonts w:hint="eastAsia" w:ascii="宋体" w:hAnsi="宋体" w:cs="宋体"/>
          <w:u w:val="single"/>
        </w:rPr>
        <w:t xml:space="preserve">  2026  </w:t>
      </w:r>
      <w:r>
        <w:fldChar w:fldCharType="begin"/>
      </w:r>
      <w:r>
        <w:instrText xml:space="preserve"> AUTOTEXT  input848 \* MERGEFORMAT </w:instrText>
      </w:r>
      <w:r>
        <w:fldChar w:fldCharType="end"/>
      </w:r>
      <w:r>
        <w:rPr>
          <w:rFonts w:hint="eastAsia" w:ascii="宋体" w:hAnsi="宋体"/>
          <w:szCs w:val="21"/>
        </w:rPr>
        <w:t>年</w:t>
      </w:r>
      <w:r>
        <w:rPr>
          <w:rFonts w:hint="eastAsia" w:ascii="宋体" w:hAnsi="宋体" w:cs="宋体"/>
          <w:u w:val="single"/>
        </w:rPr>
        <w:t xml:space="preserve"> 5 </w:t>
      </w:r>
      <w:r>
        <w:fldChar w:fldCharType="begin"/>
      </w:r>
      <w:r>
        <w:instrText xml:space="preserve"> AUTOTEXT  input849 \* MERGEFORMAT </w:instrText>
      </w:r>
      <w:r>
        <w:fldChar w:fldCharType="end"/>
      </w:r>
      <w:r>
        <w:rPr>
          <w:rFonts w:hint="eastAsia" w:ascii="宋体" w:hAnsi="宋体"/>
          <w:szCs w:val="21"/>
        </w:rPr>
        <w:t>月。</w:t>
      </w:r>
    </w:p>
    <w:p w14:paraId="654FD85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(2)《北京工程造价信息》中工程造价信息价没有的，基准价的确定方法：</w:t>
      </w:r>
      <w:r>
        <w:rPr>
          <w:rFonts w:ascii="宋体" w:hAnsi="宋体" w:cs="宋体"/>
          <w:u w:val="single"/>
        </w:rPr>
        <w:t>/</w:t>
      </w:r>
      <w:r>
        <w:fldChar w:fldCharType="begin"/>
      </w:r>
      <w:r>
        <w:instrText xml:space="preserve"> AUTOTEXT  input850 \* MERGEFORMAT </w:instrText>
      </w:r>
      <w:r>
        <w:fldChar w:fldCharType="end"/>
      </w:r>
    </w:p>
    <w:p w14:paraId="432B056D">
      <w:pPr>
        <w:adjustRightInd w:val="0"/>
        <w:snapToGrid w:val="0"/>
        <w:spacing w:line="360" w:lineRule="auto"/>
        <w:ind w:firstLine="420" w:firstLineChars="200"/>
        <w:jc w:val="left"/>
        <w:rPr>
          <w:rFonts w:hint="eastAsia" w:ascii="宋体" w:hAnsi="宋体"/>
          <w:szCs w:val="21"/>
          <w:u w:val="single"/>
        </w:rPr>
      </w:pPr>
      <w:r>
        <w:rPr>
          <w:rFonts w:hint="eastAsia" w:ascii="宋体" w:hAnsi="宋体"/>
          <w:szCs w:val="21"/>
        </w:rPr>
        <w:t>(</w:t>
      </w:r>
      <w:r>
        <w:rPr>
          <w:rFonts w:ascii="宋体" w:hAnsi="宋体"/>
          <w:szCs w:val="21"/>
        </w:rPr>
        <w:t>3</w:t>
      </w:r>
      <w:r>
        <w:rPr>
          <w:rFonts w:hint="eastAsia" w:ascii="宋体" w:hAnsi="宋体"/>
          <w:szCs w:val="21"/>
        </w:rPr>
        <w:t>)合同履行期间价格的确定方法：</w:t>
      </w:r>
      <w:r>
        <w:rPr>
          <w:rFonts w:ascii="宋体" w:hAnsi="宋体" w:cs="宋体"/>
          <w:u w:val="single"/>
        </w:rPr>
        <w:t>/</w:t>
      </w:r>
      <w:r>
        <w:fldChar w:fldCharType="begin"/>
      </w:r>
      <w:r>
        <w:instrText xml:space="preserve"> AUTOTEXT  input851 \* MERGEFORMAT </w:instrText>
      </w:r>
      <w:r>
        <w:fldChar w:fldCharType="end"/>
      </w:r>
    </w:p>
    <w:p w14:paraId="647C0A8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(4)风险幅度的计算方法：</w:t>
      </w:r>
      <w:r>
        <w:rPr>
          <w:rFonts w:ascii="宋体" w:hAnsi="宋体" w:cs="宋体"/>
          <w:u w:val="single"/>
        </w:rPr>
        <w:t>/</w:t>
      </w:r>
      <w:r>
        <w:rPr>
          <w:rFonts w:ascii="宋体" w:hAnsi="宋体"/>
          <w:szCs w:val="21"/>
          <w:u w:val="single"/>
        </w:rPr>
        <w:fldChar w:fldCharType="begin"/>
      </w:r>
      <w:r>
        <w:rPr>
          <w:rFonts w:ascii="宋体" w:hAnsi="宋体"/>
          <w:szCs w:val="21"/>
          <w:u w:val="single"/>
        </w:rPr>
        <w:instrText xml:space="preserve"> AUTOTEXT  input857 \* MERGEFORMAT </w:instrText>
      </w:r>
      <w:r>
        <w:rPr>
          <w:rFonts w:ascii="宋体" w:hAnsi="宋体"/>
          <w:szCs w:val="21"/>
          <w:u w:val="single"/>
        </w:rPr>
        <w:fldChar w:fldCharType="end"/>
      </w:r>
    </w:p>
    <w:p w14:paraId="05ADA8E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16.1.</w:t>
      </w:r>
      <w:r>
        <w:rPr>
          <w:rFonts w:ascii="宋体" w:hAnsi="宋体"/>
          <w:szCs w:val="21"/>
        </w:rPr>
        <w:t>2</w:t>
      </w:r>
      <w:r>
        <w:rPr>
          <w:rFonts w:hint="eastAsia" w:ascii="宋体" w:hAnsi="宋体"/>
          <w:szCs w:val="21"/>
        </w:rPr>
        <w:t>.</w:t>
      </w:r>
      <w:r>
        <w:rPr>
          <w:rFonts w:ascii="宋体" w:hAnsi="宋体"/>
          <w:szCs w:val="21"/>
        </w:rPr>
        <w:t>3</w:t>
      </w:r>
      <w:r>
        <w:rPr>
          <w:rFonts w:hint="eastAsia" w:ascii="宋体" w:hAnsi="宋体"/>
          <w:szCs w:val="21"/>
        </w:rPr>
        <w:t>物价</w:t>
      </w:r>
      <w:r>
        <w:rPr>
          <w:rFonts w:ascii="宋体" w:hAnsi="宋体"/>
          <w:szCs w:val="21"/>
        </w:rPr>
        <w:t>波动引起价格调整的</w:t>
      </w:r>
      <w:r>
        <w:rPr>
          <w:rFonts w:hint="eastAsia" w:ascii="宋体" w:hAnsi="宋体"/>
          <w:szCs w:val="21"/>
        </w:rPr>
        <w:t>方法</w:t>
      </w:r>
    </w:p>
    <w:p w14:paraId="72356C0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)价格调整方法</w:t>
      </w:r>
      <w:r>
        <w:rPr>
          <w:rFonts w:ascii="宋体" w:hAnsi="宋体" w:cs="宋体"/>
          <w:u w:val="single"/>
        </w:rPr>
        <w:t>/</w:t>
      </w:r>
      <w:r>
        <w:fldChar w:fldCharType="begin"/>
      </w:r>
      <w:r>
        <w:instrText xml:space="preserve"> AUTOTEXT  input852 \* MERGEFORMAT </w:instrText>
      </w:r>
      <w:r>
        <w:fldChar w:fldCharType="end"/>
      </w:r>
      <w:r>
        <w:rPr>
          <w:rFonts w:hint="eastAsia" w:ascii="宋体" w:hAnsi="宋体"/>
          <w:szCs w:val="21"/>
        </w:rPr>
        <w:t>。</w:t>
      </w:r>
    </w:p>
    <w:p w14:paraId="067F092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16.1.</w:t>
      </w:r>
      <w:r>
        <w:rPr>
          <w:rFonts w:ascii="宋体" w:hAnsi="宋体"/>
          <w:szCs w:val="21"/>
        </w:rPr>
        <w:t>2</w:t>
      </w:r>
      <w:r>
        <w:rPr>
          <w:rFonts w:hint="eastAsia" w:ascii="宋体" w:hAnsi="宋体"/>
          <w:szCs w:val="21"/>
        </w:rPr>
        <w:t>.</w:t>
      </w:r>
      <w:r>
        <w:rPr>
          <w:rFonts w:ascii="宋体" w:hAnsi="宋体"/>
          <w:szCs w:val="21"/>
        </w:rPr>
        <w:t>4</w:t>
      </w:r>
      <w:r>
        <w:rPr>
          <w:rFonts w:hint="eastAsia" w:ascii="宋体" w:hAnsi="宋体"/>
          <w:szCs w:val="21"/>
        </w:rPr>
        <w:t>其他约定：</w:t>
      </w:r>
      <w:r>
        <w:rPr>
          <w:rFonts w:ascii="宋体" w:hAnsi="宋体" w:cs="宋体"/>
          <w:u w:val="single"/>
        </w:rPr>
        <w:t>/</w:t>
      </w:r>
      <w:r>
        <w:fldChar w:fldCharType="begin"/>
      </w:r>
      <w:r>
        <w:instrText xml:space="preserve"> AUTOTEXT  input509 \* MERGEFORMAT </w:instrText>
      </w:r>
      <w:r>
        <w:fldChar w:fldCharType="end"/>
      </w:r>
    </w:p>
    <w:p w14:paraId="528F4D0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16.1.</w:t>
      </w:r>
      <w:r>
        <w:rPr>
          <w:rFonts w:ascii="宋体" w:hAnsi="宋体"/>
          <w:szCs w:val="21"/>
        </w:rPr>
        <w:t>3</w:t>
      </w:r>
      <w:r>
        <w:rPr>
          <w:rFonts w:hint="eastAsia" w:ascii="宋体" w:hAnsi="宋体"/>
          <w:szCs w:val="21"/>
        </w:rPr>
        <w:t>其他价格调整方法</w:t>
      </w:r>
    </w:p>
    <w:p w14:paraId="5E8AC4EE">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input856 \* MERGEFORMAT </w:instrText>
      </w:r>
      <w:r>
        <w:fldChar w:fldCharType="end"/>
      </w:r>
    </w:p>
    <w:p w14:paraId="0CB1D1EE">
      <w:pPr>
        <w:adjustRightInd w:val="0"/>
        <w:snapToGrid w:val="0"/>
        <w:spacing w:line="360" w:lineRule="auto"/>
        <w:outlineLvl w:val="2"/>
        <w:rPr>
          <w:rFonts w:hint="eastAsia" w:ascii="宋体" w:hAnsi="宋体"/>
          <w:sz w:val="28"/>
        </w:rPr>
      </w:pPr>
      <w:bookmarkStart w:id="953" w:name="_Toc196225945"/>
      <w:r>
        <w:rPr>
          <w:rFonts w:hint="eastAsia" w:ascii="宋体" w:hAnsi="宋体"/>
          <w:sz w:val="28"/>
        </w:rPr>
        <w:t>17.计量与支付</w:t>
      </w:r>
      <w:bookmarkEnd w:id="953"/>
    </w:p>
    <w:p w14:paraId="1CCF476B">
      <w:pPr>
        <w:adjustRightInd w:val="0"/>
        <w:snapToGrid w:val="0"/>
        <w:spacing w:line="360" w:lineRule="auto"/>
        <w:rPr>
          <w:rFonts w:hint="eastAsia" w:ascii="宋体" w:hAnsi="宋体"/>
          <w:sz w:val="24"/>
        </w:rPr>
      </w:pPr>
      <w:r>
        <w:rPr>
          <w:rFonts w:hint="eastAsia" w:ascii="宋体" w:hAnsi="宋体"/>
          <w:sz w:val="24"/>
        </w:rPr>
        <w:t>17.1计量</w:t>
      </w:r>
    </w:p>
    <w:p w14:paraId="56F390F0">
      <w:pPr>
        <w:adjustRightInd w:val="0"/>
        <w:snapToGrid w:val="0"/>
        <w:spacing w:line="360" w:lineRule="auto"/>
        <w:ind w:firstLine="420" w:firstLineChars="200"/>
        <w:jc w:val="left"/>
        <w:rPr>
          <w:rFonts w:hint="eastAsia" w:ascii="宋体" w:hAnsi="宋体" w:cs="Arial"/>
        </w:rPr>
      </w:pPr>
      <w:r>
        <w:rPr>
          <w:rFonts w:hint="eastAsia" w:ascii="宋体" w:hAnsi="宋体" w:cs="Arial"/>
        </w:rPr>
        <w:t>17.1.3计量周期</w:t>
      </w:r>
    </w:p>
    <w:p w14:paraId="590C227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(1)每月</w:t>
      </w:r>
      <w:r>
        <w:rPr>
          <w:rFonts w:ascii="宋体" w:hAnsi="宋体" w:cs="宋体"/>
          <w:u w:val="single"/>
        </w:rPr>
        <w:t>25</w:t>
      </w:r>
      <w:r>
        <w:fldChar w:fldCharType="begin"/>
      </w:r>
      <w:r>
        <w:instrText xml:space="preserve"> AUTOTEXT  input510 \* MERGEFORMAT </w:instrText>
      </w:r>
      <w:r>
        <w:fldChar w:fldCharType="end"/>
      </w:r>
      <w:r>
        <w:rPr>
          <w:rFonts w:hint="eastAsia" w:ascii="宋体" w:hAnsi="宋体"/>
          <w:szCs w:val="21"/>
        </w:rPr>
        <w:t>日为当月计量截止日期（不含当日）和下月计量起始日期（含当日）。</w:t>
      </w:r>
    </w:p>
    <w:p w14:paraId="419278C2">
      <w:pPr>
        <w:adjustRightInd w:val="0"/>
        <w:snapToGrid w:val="0"/>
        <w:spacing w:line="360" w:lineRule="auto"/>
        <w:ind w:firstLine="420" w:firstLineChars="200"/>
        <w:jc w:val="left"/>
        <w:rPr>
          <w:rFonts w:hint="eastAsia" w:ascii="宋体" w:hAnsi="宋体" w:cs="Arial"/>
        </w:rPr>
      </w:pPr>
      <w:r>
        <w:rPr>
          <w:rFonts w:hint="eastAsia" w:ascii="宋体" w:hAnsi="宋体" w:cs="Arial"/>
        </w:rPr>
        <w:t>(2)本合同</w:t>
      </w:r>
      <w:r>
        <w:rPr>
          <w:rFonts w:ascii="宋体" w:hAnsi="宋体" w:cs="宋体"/>
          <w:u w:val="single"/>
        </w:rPr>
        <w:t>执行</w:t>
      </w:r>
      <w:r>
        <w:fldChar w:fldCharType="begin"/>
      </w:r>
      <w:r>
        <w:instrText xml:space="preserve"> AUTOTEXT  input511 \* MERGEFORMAT </w:instrText>
      </w:r>
      <w:r>
        <w:fldChar w:fldCharType="end"/>
      </w:r>
      <w:r>
        <w:rPr>
          <w:rFonts w:hint="eastAsia" w:ascii="宋体" w:hAnsi="宋体" w:cs="Arial"/>
        </w:rPr>
        <w:t>（执行（采用单价合同形式时）/不执行（采用总价合同形式时））</w:t>
      </w:r>
      <w:r>
        <w:rPr>
          <w:rFonts w:hint="eastAsia" w:ascii="宋体" w:hAnsi="宋体"/>
        </w:rPr>
        <w:t>单价子目已完成工程量按月计量</w:t>
      </w:r>
      <w:r>
        <w:rPr>
          <w:rFonts w:hint="eastAsia" w:ascii="宋体" w:hAnsi="宋体" w:cs="Arial"/>
        </w:rPr>
        <w:t>。</w:t>
      </w:r>
    </w:p>
    <w:p w14:paraId="2B2F824B">
      <w:pPr>
        <w:adjustRightInd w:val="0"/>
        <w:snapToGrid w:val="0"/>
        <w:spacing w:line="360" w:lineRule="auto"/>
        <w:ind w:firstLine="420" w:firstLineChars="200"/>
        <w:jc w:val="left"/>
        <w:rPr>
          <w:rFonts w:hint="eastAsia" w:ascii="宋体" w:hAnsi="宋体" w:cs="Arial"/>
        </w:rPr>
      </w:pPr>
      <w:r>
        <w:rPr>
          <w:rFonts w:hint="eastAsia" w:ascii="宋体" w:hAnsi="宋体" w:cs="Arial"/>
        </w:rPr>
        <w:t>(3)</w:t>
      </w:r>
      <w:r>
        <w:rPr>
          <w:rFonts w:hint="eastAsia" w:ascii="宋体" w:hAnsi="宋体"/>
          <w:szCs w:val="21"/>
        </w:rPr>
        <w:t>总价子目计量方式采用</w:t>
      </w:r>
      <w:r>
        <w:rPr>
          <w:rFonts w:ascii="宋体" w:hAnsi="宋体" w:cs="宋体"/>
          <w:u w:val="single"/>
        </w:rPr>
        <w:t>按实际完成工程量计量</w:t>
      </w:r>
      <w:r>
        <w:fldChar w:fldCharType="begin"/>
      </w:r>
      <w:r>
        <w:instrText xml:space="preserve"> AUTOTEXT  input512 \* MERGEFORMAT </w:instrText>
      </w:r>
      <w:r>
        <w:fldChar w:fldCharType="end"/>
      </w:r>
      <w:r>
        <w:rPr>
          <w:rFonts w:hint="eastAsia" w:ascii="宋体" w:hAnsi="宋体" w:cs="Arial"/>
          <w:szCs w:val="21"/>
        </w:rPr>
        <w:t>（支付分解报告/按实际完成工程量计量）</w:t>
      </w:r>
      <w:r>
        <w:rPr>
          <w:rFonts w:hint="eastAsia" w:ascii="宋体" w:hAnsi="宋体" w:cs="Arial"/>
        </w:rPr>
        <w:t>。</w:t>
      </w:r>
    </w:p>
    <w:p w14:paraId="58A64C97">
      <w:pPr>
        <w:adjustRightInd w:val="0"/>
        <w:snapToGrid w:val="0"/>
        <w:spacing w:line="360" w:lineRule="auto"/>
        <w:ind w:firstLine="420" w:firstLineChars="200"/>
        <w:jc w:val="left"/>
        <w:rPr>
          <w:rFonts w:hint="eastAsia" w:ascii="宋体" w:hAnsi="宋体"/>
        </w:rPr>
      </w:pPr>
      <w:r>
        <w:rPr>
          <w:rFonts w:hint="eastAsia" w:ascii="宋体" w:hAnsi="宋体" w:cs="Arial"/>
        </w:rPr>
        <w:t>17.1.5总价子目的计量</w:t>
      </w:r>
      <w:r>
        <w:rPr>
          <w:rFonts w:hint="eastAsia" w:ascii="宋体" w:hAnsi="宋体"/>
        </w:rPr>
        <w:t>（适用于采用支付分解报告）</w:t>
      </w:r>
    </w:p>
    <w:p w14:paraId="7ED5126C">
      <w:pPr>
        <w:adjustRightInd w:val="0"/>
        <w:snapToGrid w:val="0"/>
        <w:spacing w:line="360" w:lineRule="auto"/>
        <w:ind w:firstLine="420" w:firstLineChars="200"/>
        <w:jc w:val="left"/>
        <w:rPr>
          <w:rFonts w:hint="eastAsia" w:ascii="宋体" w:hAnsi="宋体" w:cs="Arial"/>
        </w:rPr>
      </w:pPr>
      <w:r>
        <w:rPr>
          <w:rFonts w:hint="eastAsia" w:ascii="宋体" w:hAnsi="宋体" w:cs="Arial"/>
        </w:rPr>
        <w:t>(</w:t>
      </w:r>
      <w:r>
        <w:rPr>
          <w:rFonts w:ascii="宋体" w:hAnsi="宋体" w:cs="Arial"/>
        </w:rPr>
        <w:t>1</w:t>
      </w:r>
      <w:r>
        <w:rPr>
          <w:rFonts w:hint="eastAsia" w:ascii="宋体" w:hAnsi="宋体" w:cs="Arial"/>
        </w:rPr>
        <w:t>)</w:t>
      </w:r>
      <w:r>
        <w:rPr>
          <w:rFonts w:hint="eastAsia" w:ascii="宋体" w:hAnsi="宋体"/>
        </w:rPr>
        <w:t>采用支付分解报告计量方式的，</w:t>
      </w:r>
      <w:r>
        <w:rPr>
          <w:rFonts w:hint="eastAsia" w:ascii="宋体" w:hAnsi="宋体" w:cs="Arial"/>
        </w:rPr>
        <w:t>总价</w:t>
      </w:r>
      <w:r>
        <w:rPr>
          <w:rFonts w:hint="eastAsia" w:ascii="宋体" w:hAnsi="宋体"/>
          <w:szCs w:val="21"/>
        </w:rPr>
        <w:t>子目</w:t>
      </w:r>
      <w:r>
        <w:rPr>
          <w:rFonts w:hint="eastAsia" w:ascii="宋体" w:hAnsi="宋体" w:cs="Arial"/>
        </w:rPr>
        <w:t>的价格调整方法：</w:t>
      </w:r>
    </w:p>
    <w:p w14:paraId="4F30A3B5">
      <w:pPr>
        <w:adjustRightInd w:val="0"/>
        <w:snapToGrid w:val="0"/>
        <w:spacing w:line="360" w:lineRule="auto"/>
        <w:ind w:firstLine="420" w:firstLineChars="200"/>
        <w:jc w:val="left"/>
        <w:rPr>
          <w:rFonts w:hint="eastAsia" w:ascii="宋体" w:hAnsi="宋体" w:cs="Arial"/>
        </w:rPr>
      </w:pPr>
      <w:r>
        <w:rPr>
          <w:rFonts w:ascii="宋体" w:hAnsi="宋体" w:cs="宋体"/>
          <w:u w:val="single"/>
        </w:rPr>
        <w:t>/。</w:t>
      </w:r>
      <w:r>
        <w:fldChar w:fldCharType="begin"/>
      </w:r>
      <w:r>
        <w:instrText xml:space="preserve"> AUTOTEXT  input513 \* MERGEFORMAT </w:instrText>
      </w:r>
      <w:r>
        <w:fldChar w:fldCharType="end"/>
      </w:r>
    </w:p>
    <w:p w14:paraId="180534F1">
      <w:pPr>
        <w:adjustRightInd w:val="0"/>
        <w:snapToGrid w:val="0"/>
        <w:spacing w:line="360" w:lineRule="auto"/>
        <w:ind w:firstLine="420" w:firstLineChars="200"/>
        <w:jc w:val="left"/>
        <w:rPr>
          <w:rFonts w:hint="eastAsia" w:ascii="宋体" w:hAnsi="宋体" w:cs="Arial"/>
        </w:rPr>
      </w:pPr>
      <w:r>
        <w:rPr>
          <w:rFonts w:hint="eastAsia" w:ascii="宋体" w:hAnsi="宋体" w:cs="Arial"/>
        </w:rPr>
        <w:t>17.1.5总价</w:t>
      </w:r>
      <w:r>
        <w:rPr>
          <w:rFonts w:hint="eastAsia" w:ascii="宋体" w:hAnsi="宋体"/>
          <w:szCs w:val="21"/>
        </w:rPr>
        <w:t>子目</w:t>
      </w:r>
      <w:r>
        <w:rPr>
          <w:rFonts w:hint="eastAsia" w:ascii="宋体" w:hAnsi="宋体" w:cs="Arial"/>
        </w:rPr>
        <w:t>的计量（适用于采用按实际完成工程量计量）</w:t>
      </w:r>
    </w:p>
    <w:p w14:paraId="1ACCC164">
      <w:pPr>
        <w:adjustRightInd w:val="0"/>
        <w:snapToGrid w:val="0"/>
        <w:spacing w:line="360" w:lineRule="auto"/>
        <w:ind w:firstLine="420" w:firstLineChars="200"/>
        <w:jc w:val="left"/>
        <w:rPr>
          <w:rFonts w:hint="eastAsia" w:ascii="宋体" w:hAnsi="宋体" w:cs="Arial"/>
        </w:rPr>
      </w:pPr>
      <w:r>
        <w:rPr>
          <w:rFonts w:hint="eastAsia" w:ascii="宋体" w:hAnsi="宋体" w:cs="Arial"/>
        </w:rPr>
        <w:t>(1)采用按实际完成工程量计量方式的,总价</w:t>
      </w:r>
      <w:r>
        <w:rPr>
          <w:rFonts w:hint="eastAsia" w:ascii="宋体" w:hAnsi="宋体"/>
          <w:szCs w:val="21"/>
        </w:rPr>
        <w:t>子目</w:t>
      </w:r>
      <w:r>
        <w:rPr>
          <w:rFonts w:hint="eastAsia" w:ascii="宋体" w:hAnsi="宋体" w:cs="Arial"/>
        </w:rPr>
        <w:t>的价格调整方法：</w:t>
      </w:r>
    </w:p>
    <w:p w14:paraId="3C23E9E0">
      <w:pPr>
        <w:adjustRightInd w:val="0"/>
        <w:snapToGrid w:val="0"/>
        <w:spacing w:line="360" w:lineRule="auto"/>
        <w:ind w:firstLine="420" w:firstLineChars="200"/>
        <w:jc w:val="left"/>
        <w:rPr>
          <w:rFonts w:hint="eastAsia" w:ascii="宋体" w:hAnsi="宋体" w:cs="Arial"/>
        </w:rPr>
      </w:pPr>
      <w:r>
        <w:rPr>
          <w:rFonts w:ascii="宋体" w:hAnsi="宋体" w:cs="宋体"/>
          <w:u w:val="single"/>
        </w:rPr>
        <w:t>除安全文明施工费外，其他在合同履行期间均不予以调整。</w:t>
      </w:r>
      <w:r>
        <w:fldChar w:fldCharType="begin"/>
      </w:r>
      <w:r>
        <w:instrText xml:space="preserve"> AUTOTEXT  input514 \* MERGEFORMAT </w:instrText>
      </w:r>
      <w:r>
        <w:fldChar w:fldCharType="end"/>
      </w:r>
    </w:p>
    <w:p w14:paraId="48D01A54">
      <w:pPr>
        <w:adjustRightInd w:val="0"/>
        <w:snapToGrid w:val="0"/>
        <w:spacing w:line="360" w:lineRule="auto"/>
        <w:rPr>
          <w:rFonts w:hint="eastAsia" w:ascii="宋体" w:hAnsi="宋体"/>
          <w:sz w:val="24"/>
        </w:rPr>
      </w:pPr>
      <w:r>
        <w:rPr>
          <w:rFonts w:hint="eastAsia" w:ascii="宋体" w:hAnsi="宋体"/>
          <w:sz w:val="24"/>
        </w:rPr>
        <w:t>17.2预付款</w:t>
      </w:r>
    </w:p>
    <w:p w14:paraId="728EEE31">
      <w:pPr>
        <w:adjustRightInd w:val="0"/>
        <w:snapToGrid w:val="0"/>
        <w:spacing w:line="360" w:lineRule="auto"/>
        <w:ind w:firstLine="420" w:firstLineChars="200"/>
        <w:jc w:val="left"/>
        <w:rPr>
          <w:rFonts w:hint="eastAsia" w:ascii="宋体" w:hAnsi="宋体" w:cs="Arial"/>
        </w:rPr>
      </w:pPr>
      <w:r>
        <w:rPr>
          <w:rFonts w:hint="eastAsia" w:ascii="宋体" w:hAnsi="宋体" w:cs="Arial"/>
        </w:rPr>
        <w:t>17.2.1预付款</w:t>
      </w:r>
    </w:p>
    <w:p w14:paraId="7054BA4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(1)预付款额度</w:t>
      </w:r>
    </w:p>
    <w:p w14:paraId="7D7BD00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预付款额度：</w:t>
      </w:r>
      <w:r>
        <w:rPr>
          <w:rFonts w:hint="eastAsia" w:ascii="宋体" w:hAnsi="宋体" w:cs="宋体"/>
          <w:u w:val="single"/>
        </w:rPr>
        <w:t>承包人需开具签约合同价10%的银行履约保函，发包人支付承包人签约合同价（不含安全文明施工费）的30%</w:t>
      </w:r>
      <w:r>
        <w:rPr>
          <w:rFonts w:ascii="宋体" w:hAnsi="宋体" w:cs="宋体"/>
          <w:u w:val="single"/>
        </w:rPr>
        <w:t>。</w:t>
      </w:r>
      <w:r>
        <w:fldChar w:fldCharType="begin"/>
      </w:r>
      <w:r>
        <w:instrText xml:space="preserve"> AUTOTEXT  input515 \* MERGEFORMAT </w:instrText>
      </w:r>
      <w:r>
        <w:fldChar w:fldCharType="end"/>
      </w:r>
    </w:p>
    <w:p w14:paraId="11E93F7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其中：</w:t>
      </w:r>
      <w:r>
        <w:rPr>
          <w:rFonts w:ascii="宋体" w:hAnsi="宋体" w:cs="宋体"/>
          <w:u w:val="single"/>
        </w:rPr>
        <w:t>签订合同价中的安全文明施工费用总额的100%</w:t>
      </w:r>
      <w:r>
        <w:rPr>
          <w:rFonts w:hint="eastAsia" w:ascii="宋体" w:hAnsi="宋体" w:cs="宋体"/>
          <w:u w:val="single"/>
        </w:rPr>
        <w:t>，安全文明施工的预付不抵扣。</w:t>
      </w:r>
      <w:r>
        <w:fldChar w:fldCharType="begin"/>
      </w:r>
      <w:r>
        <w:instrText xml:space="preserve"> AUTOTEXT  input517 \* MERGEFORMAT </w:instrText>
      </w:r>
      <w:r>
        <w:fldChar w:fldCharType="end"/>
      </w:r>
    </w:p>
    <w:p w14:paraId="3C35843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(2)预付办法</w:t>
      </w:r>
    </w:p>
    <w:p w14:paraId="6C1EEC3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预付款预付办法：</w:t>
      </w:r>
      <w:r>
        <w:rPr>
          <w:rFonts w:ascii="宋体" w:hAnsi="宋体" w:cs="宋体"/>
          <w:u w:val="single"/>
        </w:rPr>
        <w:t>发包人根据发票金额，预付款不迟于本工程开工日期前7天内。</w:t>
      </w:r>
      <w:r>
        <w:fldChar w:fldCharType="begin"/>
      </w:r>
      <w:r>
        <w:instrText xml:space="preserve"> AUTOTEXT  input518 \* MERGEFORMAT </w:instrText>
      </w:r>
      <w:r>
        <w:fldChar w:fldCharType="end"/>
      </w:r>
    </w:p>
    <w:p w14:paraId="795965A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预付款的支付时间：</w:t>
      </w:r>
      <w:r>
        <w:rPr>
          <w:rFonts w:ascii="宋体" w:hAnsi="宋体" w:cs="宋体"/>
          <w:u w:val="single"/>
        </w:rPr>
        <w:t>不迟于约定的开工日期前7天内</w:t>
      </w:r>
      <w:r>
        <w:rPr>
          <w:rFonts w:hint="eastAsia" w:ascii="宋体" w:hAnsi="宋体" w:cs="宋体"/>
          <w:u w:val="single"/>
        </w:rPr>
        <w:t>，且收到承包人提交的预付款支付申请、银行履约保函和符合要求的正式发票后</w:t>
      </w:r>
      <w:r>
        <w:rPr>
          <w:rFonts w:ascii="宋体" w:hAnsi="宋体" w:cs="宋体"/>
          <w:u w:val="single"/>
        </w:rPr>
        <w:t>。</w:t>
      </w:r>
      <w:r>
        <w:fldChar w:fldCharType="begin"/>
      </w:r>
      <w:r>
        <w:instrText xml:space="preserve"> AUTOTEXT  input519 \* MERGEFORMAT </w:instrText>
      </w:r>
      <w:r>
        <w:fldChar w:fldCharType="end"/>
      </w:r>
    </w:p>
    <w:p w14:paraId="759CB55D">
      <w:pPr>
        <w:adjustRightInd w:val="0"/>
        <w:snapToGrid w:val="0"/>
        <w:spacing w:line="360" w:lineRule="auto"/>
        <w:ind w:firstLine="420" w:firstLineChars="200"/>
        <w:jc w:val="left"/>
        <w:rPr>
          <w:rFonts w:hint="eastAsia" w:ascii="宋体" w:hAnsi="宋体" w:cs="Arial"/>
        </w:rPr>
      </w:pPr>
      <w:r>
        <w:rPr>
          <w:rFonts w:hint="eastAsia" w:ascii="宋体" w:hAnsi="宋体" w:cs="Arial"/>
        </w:rPr>
        <w:t>（3）安全文明施工费用预付额度及方式：（本条款不适用）</w:t>
      </w:r>
    </w:p>
    <w:p w14:paraId="17E6B5EF">
      <w:pPr>
        <w:adjustRightInd w:val="0"/>
        <w:snapToGrid w:val="0"/>
        <w:spacing w:line="360" w:lineRule="auto"/>
        <w:ind w:firstLine="420" w:firstLineChars="200"/>
        <w:jc w:val="left"/>
        <w:rPr>
          <w:rFonts w:hint="eastAsia" w:ascii="宋体" w:hAnsi="宋体" w:cs="Arial"/>
        </w:rPr>
      </w:pPr>
      <w:r>
        <w:rPr>
          <w:rFonts w:hint="eastAsia" w:ascii="宋体" w:hAnsi="宋体" w:cs="Arial"/>
        </w:rPr>
        <w:t>安全文明施工费用的预付不受上述预付办法和支付时间约定的制约。安全文明施工费用按以下时间节点和金额进行预付：</w:t>
      </w:r>
    </w:p>
    <w:p w14:paraId="08DE6320">
      <w:pPr>
        <w:adjustRightInd w:val="0"/>
        <w:snapToGrid w:val="0"/>
        <w:spacing w:line="360" w:lineRule="auto"/>
        <w:ind w:firstLine="420" w:firstLineChars="200"/>
        <w:jc w:val="left"/>
        <w:rPr>
          <w:rFonts w:hint="eastAsia" w:ascii="宋体" w:hAnsi="宋体" w:cs="Arial"/>
        </w:rPr>
      </w:pPr>
      <w:r>
        <w:rPr>
          <w:rFonts w:hint="eastAsia" w:ascii="宋体" w:hAnsi="宋体" w:cs="Arial"/>
        </w:rPr>
        <w:t>发包人应当在不迟于第11.1.1项约定的开工日期前的7天内，将签约合同价中载明的安全文明施工费用总额的50%一次性预付给承包人。</w:t>
      </w:r>
    </w:p>
    <w:p w14:paraId="568D792C">
      <w:pPr>
        <w:adjustRightInd w:val="0"/>
        <w:snapToGrid w:val="0"/>
        <w:spacing w:line="360" w:lineRule="auto"/>
        <w:ind w:firstLine="420" w:firstLineChars="200"/>
        <w:jc w:val="left"/>
        <w:rPr>
          <w:rFonts w:hint="eastAsia" w:ascii="宋体" w:hAnsi="宋体" w:cs="Arial"/>
        </w:rPr>
      </w:pPr>
      <w:r>
        <w:rPr>
          <w:rFonts w:hint="eastAsia" w:ascii="宋体" w:hAnsi="宋体" w:cs="Arial"/>
        </w:rPr>
        <w:t>发包人应当在±0.00以下主体结构施工完成或签约合同价中分部分项工程项目的完成价款比例达到30%（两者中以条件先满足的为准）7天内，预付至签约合同价中载明的安全文明施工费用总额的70%。</w:t>
      </w:r>
    </w:p>
    <w:p w14:paraId="0C6E6FD1">
      <w:pPr>
        <w:adjustRightInd w:val="0"/>
        <w:snapToGrid w:val="0"/>
        <w:spacing w:line="360" w:lineRule="auto"/>
        <w:ind w:firstLine="420" w:firstLineChars="200"/>
        <w:jc w:val="left"/>
        <w:rPr>
          <w:rFonts w:hint="eastAsia" w:ascii="宋体" w:hAnsi="宋体" w:cs="Arial"/>
        </w:rPr>
      </w:pPr>
      <w:r>
        <w:rPr>
          <w:rFonts w:hint="eastAsia" w:ascii="宋体" w:hAnsi="宋体" w:cs="Arial"/>
        </w:rPr>
        <w:t>发包人应当在安全生产标准化考评、评定达到（含整改后达到）或超过合同约定的安全生产标准化管理目标之日起7天内，预付至签约合同价中载明的安全文明施工费用总额的90%。</w:t>
      </w:r>
    </w:p>
    <w:p w14:paraId="03C46ECF">
      <w:pPr>
        <w:adjustRightInd w:val="0"/>
        <w:snapToGrid w:val="0"/>
        <w:spacing w:line="360" w:lineRule="auto"/>
        <w:ind w:firstLine="420" w:firstLineChars="200"/>
        <w:jc w:val="left"/>
        <w:rPr>
          <w:rFonts w:hint="eastAsia" w:ascii="宋体" w:hAnsi="宋体" w:cs="Arial"/>
        </w:rPr>
      </w:pPr>
      <w:r>
        <w:rPr>
          <w:rFonts w:hint="eastAsia" w:ascii="宋体" w:hAnsi="宋体" w:cs="Arial"/>
        </w:rPr>
        <w:t>发包人应当在工程竣工后，安全生产标准化考评、认定达到或超过合同约定安全生产标准化管理目标并颁发考评证书之日起的7天内，预付至签约合同价中载明的安全文明施工费用总额的100%。</w:t>
      </w:r>
    </w:p>
    <w:p w14:paraId="21DBB26C">
      <w:pPr>
        <w:adjustRightInd w:val="0"/>
        <w:snapToGrid w:val="0"/>
        <w:spacing w:line="360" w:lineRule="auto"/>
        <w:ind w:firstLine="420" w:firstLineChars="200"/>
        <w:jc w:val="left"/>
        <w:rPr>
          <w:rFonts w:hint="eastAsia" w:ascii="宋体" w:hAnsi="宋体" w:cs="Arial"/>
        </w:rPr>
      </w:pPr>
      <w:r>
        <w:rPr>
          <w:rFonts w:hint="eastAsia" w:ascii="宋体" w:hAnsi="宋体" w:cs="Arial"/>
        </w:rPr>
        <w:t>安全文明施工的预付不抵扣。</w:t>
      </w:r>
    </w:p>
    <w:p w14:paraId="0458AE0F">
      <w:pPr>
        <w:adjustRightInd w:val="0"/>
        <w:snapToGrid w:val="0"/>
        <w:spacing w:line="360" w:lineRule="auto"/>
        <w:ind w:firstLine="420" w:firstLineChars="200"/>
        <w:jc w:val="left"/>
        <w:rPr>
          <w:rFonts w:hint="eastAsia" w:ascii="宋体" w:hAnsi="宋体"/>
          <w:szCs w:val="21"/>
        </w:rPr>
      </w:pPr>
      <w:r>
        <w:fldChar w:fldCharType="begin"/>
      </w:r>
      <w:r>
        <w:instrText xml:space="preserve"> AUTOTEXT  input521 \* MERGEFORMAT </w:instrText>
      </w:r>
      <w:r>
        <w:fldChar w:fldCharType="end"/>
      </w:r>
    </w:p>
    <w:p w14:paraId="591A1A3D">
      <w:pPr>
        <w:adjustRightInd w:val="0"/>
        <w:snapToGrid w:val="0"/>
        <w:spacing w:line="360" w:lineRule="auto"/>
        <w:rPr>
          <w:rFonts w:ascii="宋体"/>
        </w:rPr>
      </w:pPr>
      <w:r>
        <w:rPr>
          <w:rFonts w:hint="eastAsia" w:ascii="宋体" w:hAnsi="宋体"/>
          <w:sz w:val="24"/>
        </w:rPr>
        <w:t>17.3工程进度付款</w:t>
      </w:r>
    </w:p>
    <w:p w14:paraId="596D771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17.3.2进度付款申请单</w:t>
      </w:r>
    </w:p>
    <w:p w14:paraId="577F956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进度付款申请单的份数：</w:t>
      </w:r>
      <w:r>
        <w:rPr>
          <w:rFonts w:ascii="宋体" w:hAnsi="宋体" w:cs="宋体"/>
          <w:u w:val="single"/>
        </w:rPr>
        <w:t>一式</w:t>
      </w:r>
      <w:r>
        <w:rPr>
          <w:rFonts w:hint="eastAsia" w:ascii="宋体" w:hAnsi="宋体" w:cs="宋体"/>
          <w:u w:val="single"/>
        </w:rPr>
        <w:t>肆</w:t>
      </w:r>
      <w:r>
        <w:rPr>
          <w:rFonts w:ascii="宋体" w:hAnsi="宋体" w:cs="宋体"/>
          <w:u w:val="single"/>
        </w:rPr>
        <w:t>份。</w:t>
      </w:r>
      <w:r>
        <w:fldChar w:fldCharType="begin"/>
      </w:r>
      <w:r>
        <w:instrText xml:space="preserve"> AUTOTEXT  input522 \* MERGEFORMAT </w:instrText>
      </w:r>
      <w:r>
        <w:fldChar w:fldCharType="end"/>
      </w:r>
    </w:p>
    <w:p w14:paraId="5492C87C">
      <w:pPr>
        <w:adjustRightInd w:val="0"/>
        <w:snapToGrid w:val="0"/>
        <w:spacing w:line="360" w:lineRule="auto"/>
        <w:ind w:firstLine="420" w:firstLineChars="200"/>
        <w:jc w:val="left"/>
        <w:rPr>
          <w:rFonts w:hint="eastAsia" w:ascii="宋体" w:hAnsi="宋体"/>
        </w:rPr>
      </w:pPr>
      <w:r>
        <w:rPr>
          <w:rFonts w:hint="eastAsia" w:ascii="宋体" w:hAnsi="宋体"/>
        </w:rPr>
        <w:t>承包人报送监理人的进度付款申请单应包括下列内容：</w:t>
      </w:r>
    </w:p>
    <w:p w14:paraId="1E222ED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6</w:t>
      </w:r>
      <w:r>
        <w:rPr>
          <w:rFonts w:hint="eastAsia" w:ascii="宋体" w:hAnsi="宋体"/>
          <w:szCs w:val="21"/>
        </w:rPr>
        <w:t>)</w:t>
      </w:r>
      <w:r>
        <w:rPr>
          <w:rFonts w:hint="eastAsia" w:ascii="宋体" w:hAnsi="宋体"/>
        </w:rPr>
        <w:t>根据合同应增加和（或）扣减的其他内容金额</w:t>
      </w:r>
      <w:r>
        <w:rPr>
          <w:rFonts w:hint="eastAsia" w:ascii="宋体" w:hAnsi="宋体"/>
          <w:szCs w:val="21"/>
        </w:rPr>
        <w:t>：</w:t>
      </w:r>
    </w:p>
    <w:p w14:paraId="206CAAC1">
      <w:pPr>
        <w:adjustRightInd w:val="0"/>
        <w:snapToGrid w:val="0"/>
        <w:spacing w:line="360" w:lineRule="auto"/>
        <w:ind w:firstLine="420" w:firstLineChars="200"/>
        <w:jc w:val="left"/>
        <w:rPr>
          <w:rFonts w:hint="eastAsia" w:ascii="宋体" w:hAnsi="宋体"/>
          <w:szCs w:val="21"/>
          <w:u w:val="single"/>
        </w:rPr>
      </w:pPr>
      <w:r>
        <w:rPr>
          <w:rFonts w:ascii="宋体" w:hAnsi="宋体" w:cs="宋体"/>
          <w:u w:val="single"/>
        </w:rPr>
        <w:t>/。</w:t>
      </w:r>
      <w:r>
        <w:fldChar w:fldCharType="begin"/>
      </w:r>
      <w:r>
        <w:instrText xml:space="preserve"> AUTOTEXT  input858 \* MERGEFORMAT </w:instrText>
      </w:r>
      <w:r>
        <w:fldChar w:fldCharType="end"/>
      </w:r>
    </w:p>
    <w:p w14:paraId="03DF791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(7)本次应付进度款：</w:t>
      </w:r>
      <w:r>
        <w:rPr>
          <w:rFonts w:ascii="宋体" w:hAnsi="宋体" w:cs="宋体"/>
          <w:u w:val="single"/>
        </w:rPr>
        <w:t>/。</w:t>
      </w:r>
      <w:r>
        <w:rPr>
          <w:rFonts w:ascii="宋体" w:hAnsi="宋体"/>
          <w:szCs w:val="21"/>
          <w:u w:val="single"/>
        </w:rPr>
        <w:fldChar w:fldCharType="begin"/>
      </w:r>
      <w:r>
        <w:rPr>
          <w:rFonts w:ascii="宋体" w:hAnsi="宋体"/>
          <w:szCs w:val="21"/>
          <w:u w:val="single"/>
        </w:rPr>
        <w:instrText xml:space="preserve"> AUTOTEXT  input691 \* MERGEFORMAT </w:instrText>
      </w:r>
      <w:r>
        <w:rPr>
          <w:rFonts w:ascii="宋体" w:hAnsi="宋体"/>
          <w:szCs w:val="21"/>
          <w:u w:val="single"/>
        </w:rPr>
        <w:fldChar w:fldCharType="end"/>
      </w:r>
    </w:p>
    <w:p w14:paraId="2F3646E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17.3.3进度付款证书和支付时间</w:t>
      </w:r>
    </w:p>
    <w:p w14:paraId="504B891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(2)逾期付款违约金的计算标准：</w:t>
      </w:r>
      <w:r>
        <w:rPr>
          <w:rFonts w:ascii="宋体" w:hAnsi="宋体" w:cs="宋体"/>
          <w:u w:val="single"/>
        </w:rPr>
        <w:t>/。</w:t>
      </w:r>
      <w:r>
        <w:fldChar w:fldCharType="begin"/>
      </w:r>
      <w:r>
        <w:instrText xml:space="preserve"> AUTOTEXT  input524 \* MERGEFORMAT </w:instrText>
      </w:r>
      <w:r>
        <w:fldChar w:fldCharType="end"/>
      </w:r>
    </w:p>
    <w:p w14:paraId="7CD77B3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逾期付款违约金的计算方法：</w:t>
      </w:r>
    </w:p>
    <w:p w14:paraId="719EE5D6">
      <w:pPr>
        <w:adjustRightInd w:val="0"/>
        <w:snapToGrid w:val="0"/>
        <w:spacing w:line="360" w:lineRule="auto"/>
        <w:ind w:firstLine="420" w:firstLineChars="200"/>
        <w:jc w:val="left"/>
        <w:rPr>
          <w:rFonts w:hint="eastAsia" w:ascii="宋体" w:hAnsi="宋体" w:cs="宋体"/>
          <w:u w:val="single"/>
        </w:rPr>
      </w:pPr>
      <w:r>
        <w:rPr>
          <w:rFonts w:ascii="宋体" w:hAnsi="宋体" w:cs="宋体"/>
          <w:u w:val="single"/>
        </w:rPr>
        <w:t>逾期付款违约金的计算标准：按照全国银行间同业拆借中心发布的贷款利率（LPR）计算</w:t>
      </w:r>
      <w:r>
        <w:rPr>
          <w:rFonts w:ascii="宋体" w:hAnsi="宋体" w:cs="宋体"/>
          <w:u w:val="single"/>
        </w:rPr>
        <w:cr/>
      </w:r>
      <w:r>
        <w:rPr>
          <w:rFonts w:hint="eastAsia" w:ascii="宋体" w:hAnsi="宋体" w:cs="宋体"/>
        </w:rPr>
        <w:t xml:space="preserve">    </w:t>
      </w:r>
      <w:r>
        <w:rPr>
          <w:rFonts w:ascii="宋体" w:hAnsi="宋体" w:cs="宋体"/>
          <w:u w:val="single"/>
        </w:rPr>
        <w:t>逾期付款违约金的计算方法：承包人应得款项×逾期付款时间×全国银行间同业拆借中心发布的贷款利率（LPR）</w:t>
      </w:r>
      <w:r>
        <w:rPr>
          <w:rFonts w:ascii="宋体" w:hAnsi="宋体" w:cs="宋体"/>
          <w:u w:val="single"/>
        </w:rPr>
        <w:fldChar w:fldCharType="begin"/>
      </w:r>
      <w:r>
        <w:rPr>
          <w:rFonts w:ascii="宋体" w:hAnsi="宋体" w:cs="宋体"/>
          <w:u w:val="single"/>
        </w:rPr>
        <w:instrText xml:space="preserve"> AUTOTEXT  input525 \* MERGEFORMAT </w:instrText>
      </w:r>
      <w:r>
        <w:rPr>
          <w:rFonts w:ascii="宋体" w:hAnsi="宋体" w:cs="宋体"/>
          <w:u w:val="single"/>
        </w:rPr>
        <w:fldChar w:fldCharType="end"/>
      </w:r>
    </w:p>
    <w:p w14:paraId="77E4427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(4)进度付款涉及政府性资金的支付方法：</w:t>
      </w:r>
    </w:p>
    <w:p w14:paraId="0AD7D07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依据形象进度工程完成70%时，经监理人签认后支付至合同价款的80%，工程最终竣工验收合格并结算完成后，承包人提交合同价款的3%的质量保证金，发包人支付至审计结算价款的100%，质量保证金待缺陷责任期（24个月）满后退还承包人。</w:t>
      </w:r>
    </w:p>
    <w:p w14:paraId="14642B7C">
      <w:pPr>
        <w:adjustRightInd w:val="0"/>
        <w:snapToGrid w:val="0"/>
        <w:spacing w:line="360" w:lineRule="auto"/>
        <w:rPr>
          <w:rFonts w:hint="eastAsia" w:ascii="宋体" w:hAnsi="宋体"/>
          <w:sz w:val="24"/>
        </w:rPr>
      </w:pPr>
      <w:r>
        <w:rPr>
          <w:rFonts w:hint="eastAsia" w:ascii="宋体" w:hAnsi="宋体"/>
          <w:sz w:val="24"/>
        </w:rPr>
        <w:t>17.</w:t>
      </w:r>
      <w:r>
        <w:rPr>
          <w:rFonts w:ascii="宋体" w:hAnsi="宋体"/>
          <w:sz w:val="24"/>
        </w:rPr>
        <w:t>4</w:t>
      </w:r>
      <w:r>
        <w:rPr>
          <w:rFonts w:hint="eastAsia" w:ascii="宋体" w:hAnsi="宋体"/>
          <w:sz w:val="24"/>
        </w:rPr>
        <w:t>质量保证金</w:t>
      </w:r>
    </w:p>
    <w:p w14:paraId="61E502D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w:t>
      </w:r>
      <w:r>
        <w:rPr>
          <w:rFonts w:ascii="宋体" w:hAnsi="宋体"/>
          <w:szCs w:val="21"/>
        </w:rPr>
        <w:t>4</w:t>
      </w:r>
      <w:r>
        <w:rPr>
          <w:rFonts w:hint="eastAsia" w:ascii="宋体" w:hAnsi="宋体"/>
          <w:szCs w:val="21"/>
        </w:rPr>
        <w:t>.</w:t>
      </w:r>
      <w:r>
        <w:rPr>
          <w:rFonts w:ascii="宋体" w:hAnsi="宋体"/>
          <w:szCs w:val="21"/>
        </w:rPr>
        <w:t>1</w:t>
      </w:r>
      <w:r>
        <w:rPr>
          <w:rFonts w:hint="eastAsia" w:ascii="宋体" w:hAnsi="宋体"/>
          <w:szCs w:val="21"/>
        </w:rPr>
        <w:t>质量保证金处理</w:t>
      </w:r>
    </w:p>
    <w:p w14:paraId="29AC022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(3)质量保证金形式：采用银行保函担保</w:t>
      </w:r>
      <w:r>
        <w:fldChar w:fldCharType="begin"/>
      </w:r>
      <w:r>
        <w:instrText xml:space="preserve"> AUTOTEXT  input859 \* MERGEFORMAT </w:instrText>
      </w:r>
      <w:r>
        <w:fldChar w:fldCharType="end"/>
      </w:r>
      <w:r>
        <w:rPr>
          <w:rFonts w:hint="eastAsia" w:ascii="宋体" w:hAnsi="宋体"/>
          <w:szCs w:val="21"/>
        </w:rPr>
        <w:t>（采用银行保函担保或其他保函担保形式╱采用扣留质量保证金）。</w:t>
      </w:r>
    </w:p>
    <w:p w14:paraId="46DB3D2D">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质量保证金约定比例：</w:t>
      </w:r>
      <w:r>
        <w:rPr>
          <w:rFonts w:ascii="宋体" w:hAnsi="宋体" w:cs="宋体"/>
          <w:u w:val="single"/>
        </w:rPr>
        <w:t>3</w:t>
      </w:r>
      <w:r>
        <w:fldChar w:fldCharType="begin"/>
      </w:r>
      <w:r>
        <w:instrText xml:space="preserve"> AUTOTEXT  input860 \* MERGEFORMAT </w:instrText>
      </w:r>
      <w:r>
        <w:fldChar w:fldCharType="end"/>
      </w:r>
      <w:r>
        <w:rPr>
          <w:rFonts w:hint="eastAsia" w:ascii="宋体" w:hAnsi="宋体"/>
          <w:szCs w:val="21"/>
        </w:rPr>
        <w:t xml:space="preserve">% </w:t>
      </w:r>
    </w:p>
    <w:p w14:paraId="63C6CB3A">
      <w:pPr>
        <w:adjustRightInd w:val="0"/>
        <w:snapToGrid w:val="0"/>
        <w:spacing w:line="360" w:lineRule="auto"/>
        <w:rPr>
          <w:rFonts w:hint="eastAsia" w:ascii="宋体" w:hAnsi="宋体"/>
          <w:sz w:val="24"/>
        </w:rPr>
      </w:pPr>
      <w:r>
        <w:rPr>
          <w:rFonts w:hint="eastAsia" w:ascii="宋体" w:hAnsi="宋体"/>
          <w:sz w:val="24"/>
        </w:rPr>
        <w:t>17.</w:t>
      </w:r>
      <w:r>
        <w:rPr>
          <w:rFonts w:ascii="宋体" w:hAnsi="宋体"/>
          <w:sz w:val="24"/>
        </w:rPr>
        <w:t>5</w:t>
      </w:r>
      <w:r>
        <w:rPr>
          <w:rFonts w:hint="eastAsia" w:ascii="宋体" w:hAnsi="宋体"/>
          <w:sz w:val="24"/>
        </w:rPr>
        <w:t>竣工结算</w:t>
      </w:r>
    </w:p>
    <w:p w14:paraId="5C6F4EC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w:t>
      </w:r>
      <w:r>
        <w:rPr>
          <w:rFonts w:ascii="宋体" w:hAnsi="宋体"/>
          <w:szCs w:val="21"/>
        </w:rPr>
        <w:t>5</w:t>
      </w:r>
      <w:r>
        <w:rPr>
          <w:rFonts w:hint="eastAsia" w:ascii="宋体" w:hAnsi="宋体"/>
          <w:szCs w:val="21"/>
        </w:rPr>
        <w:t>.1过程结算</w:t>
      </w:r>
    </w:p>
    <w:p w14:paraId="352E18E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本工程</w:t>
      </w:r>
      <w:r>
        <w:rPr>
          <w:rFonts w:ascii="宋体" w:hAnsi="宋体" w:cs="宋体"/>
          <w:u w:val="single"/>
        </w:rPr>
        <w:t>不进行</w:t>
      </w:r>
      <w:r>
        <w:rPr>
          <w:rFonts w:ascii="宋体" w:hAnsi="宋体"/>
          <w:szCs w:val="21"/>
          <w:u w:val="single"/>
        </w:rPr>
        <w:fldChar w:fldCharType="begin"/>
      </w:r>
      <w:r>
        <w:rPr>
          <w:rFonts w:ascii="宋体" w:hAnsi="宋体"/>
          <w:szCs w:val="21"/>
          <w:u w:val="single"/>
        </w:rPr>
        <w:instrText xml:space="preserve"> AUTOTEXT  input874 \* MERGEFORMAT </w:instrText>
      </w:r>
      <w:r>
        <w:rPr>
          <w:rFonts w:ascii="宋体" w:hAnsi="宋体"/>
          <w:szCs w:val="21"/>
          <w:u w:val="single"/>
        </w:rPr>
        <w:fldChar w:fldCharType="end"/>
      </w:r>
      <w:r>
        <w:rPr>
          <w:rFonts w:hint="eastAsia" w:ascii="宋体" w:hAnsi="宋体"/>
          <w:szCs w:val="21"/>
        </w:rPr>
        <w:t>（进行/不进行）过程结算。过程结算的相关要求：</w:t>
      </w:r>
      <w:r>
        <w:rPr>
          <w:rFonts w:ascii="宋体" w:hAnsi="宋体" w:cs="宋体"/>
          <w:u w:val="single"/>
        </w:rPr>
        <w:t>/。</w:t>
      </w:r>
      <w:r>
        <w:rPr>
          <w:rFonts w:ascii="宋体" w:hAnsi="宋体"/>
          <w:szCs w:val="21"/>
          <w:u w:val="single"/>
        </w:rPr>
        <w:fldChar w:fldCharType="begin"/>
      </w:r>
      <w:r>
        <w:rPr>
          <w:rFonts w:ascii="宋体" w:hAnsi="宋体"/>
          <w:szCs w:val="21"/>
          <w:u w:val="single"/>
        </w:rPr>
        <w:instrText xml:space="preserve"> AUTOTEXT  input879 \* MERGEFORMAT </w:instrText>
      </w:r>
      <w:r>
        <w:rPr>
          <w:rFonts w:ascii="宋体" w:hAnsi="宋体"/>
          <w:szCs w:val="21"/>
          <w:u w:val="single"/>
        </w:rPr>
        <w:fldChar w:fldCharType="end"/>
      </w:r>
    </w:p>
    <w:p w14:paraId="447E7CB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w:t>
      </w:r>
      <w:r>
        <w:rPr>
          <w:rFonts w:ascii="宋体" w:hAnsi="宋体"/>
          <w:szCs w:val="21"/>
        </w:rPr>
        <w:t>5</w:t>
      </w:r>
      <w:r>
        <w:rPr>
          <w:rFonts w:hint="eastAsia" w:ascii="宋体" w:hAnsi="宋体"/>
          <w:szCs w:val="21"/>
        </w:rPr>
        <w:t>.</w:t>
      </w:r>
      <w:r>
        <w:rPr>
          <w:rFonts w:ascii="宋体" w:hAnsi="宋体"/>
          <w:szCs w:val="21"/>
        </w:rPr>
        <w:t>2</w:t>
      </w:r>
      <w:r>
        <w:rPr>
          <w:rFonts w:hint="eastAsia" w:ascii="宋体" w:hAnsi="宋体"/>
          <w:szCs w:val="21"/>
        </w:rPr>
        <w:t>竣工付款申请单</w:t>
      </w:r>
    </w:p>
    <w:p w14:paraId="4383125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(1)承包人提交竣工付款申请单的份数：</w:t>
      </w:r>
      <w:r>
        <w:rPr>
          <w:rFonts w:ascii="宋体" w:hAnsi="宋体" w:cs="宋体"/>
          <w:u w:val="single"/>
        </w:rPr>
        <w:t>一式六份。</w:t>
      </w:r>
      <w:r>
        <w:fldChar w:fldCharType="begin"/>
      </w:r>
      <w:r>
        <w:instrText xml:space="preserve"> AUTOTEXT  input527 \* MERGEFORMAT </w:instrText>
      </w:r>
      <w:r>
        <w:fldChar w:fldCharType="end"/>
      </w:r>
    </w:p>
    <w:p w14:paraId="166313E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承包人提交竣工付款申请单的期限：</w:t>
      </w:r>
      <w:r>
        <w:rPr>
          <w:rFonts w:ascii="宋体" w:hAnsi="宋体" w:cs="宋体"/>
          <w:u w:val="single"/>
        </w:rPr>
        <w:t>本工程竣工验收合格后10天内，承包人应按照发包人提出的竣工结算编制要求向发包人提交结算报告（包括广联达电子软件版）和完整的竣工结算资料一式四份；且已经由发包人委托的审计单位审核确认，承包人收到发包人发出的审计单位对竣工结算的审核意见后14日内。</w:t>
      </w:r>
      <w:r>
        <w:fldChar w:fldCharType="begin"/>
      </w:r>
      <w:r>
        <w:instrText xml:space="preserve"> AUTOTEXT  input528 \* MERGEFORMAT </w:instrText>
      </w:r>
      <w:r>
        <w:fldChar w:fldCharType="end"/>
      </w:r>
    </w:p>
    <w:p w14:paraId="71FF7AA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(2)竣工付款申请单的其他内容：</w:t>
      </w:r>
      <w:r>
        <w:rPr>
          <w:rFonts w:ascii="宋体" w:hAnsi="宋体" w:cs="宋体"/>
          <w:u w:val="single"/>
        </w:rPr>
        <w:t>竣工结算合同总价、已支付的工程价款、应扣回的预付款、应扣留的质量保证金、应支付的竣工付款金额等。</w:t>
      </w:r>
      <w:r>
        <w:fldChar w:fldCharType="begin"/>
      </w:r>
      <w:r>
        <w:instrText xml:space="preserve"> AUTOTEXT  input529 \* MERGEFORMAT </w:instrText>
      </w:r>
      <w:r>
        <w:fldChar w:fldCharType="end"/>
      </w:r>
    </w:p>
    <w:p w14:paraId="71105A09">
      <w:pPr>
        <w:adjustRightInd w:val="0"/>
        <w:snapToGrid w:val="0"/>
        <w:spacing w:line="360" w:lineRule="auto"/>
        <w:rPr>
          <w:rFonts w:hint="eastAsia" w:ascii="宋体" w:hAnsi="宋体"/>
          <w:sz w:val="24"/>
        </w:rPr>
      </w:pPr>
      <w:r>
        <w:rPr>
          <w:rFonts w:hint="eastAsia" w:ascii="宋体" w:hAnsi="宋体"/>
          <w:sz w:val="24"/>
        </w:rPr>
        <w:t>17.</w:t>
      </w:r>
      <w:r>
        <w:rPr>
          <w:rFonts w:ascii="宋体" w:hAnsi="宋体"/>
          <w:sz w:val="24"/>
        </w:rPr>
        <w:t>6</w:t>
      </w:r>
      <w:r>
        <w:rPr>
          <w:rFonts w:hint="eastAsia" w:ascii="宋体" w:hAnsi="宋体"/>
          <w:sz w:val="24"/>
        </w:rPr>
        <w:t>最终结清</w:t>
      </w:r>
    </w:p>
    <w:p w14:paraId="1B5B0CA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17.</w:t>
      </w:r>
      <w:r>
        <w:rPr>
          <w:rFonts w:ascii="宋体" w:hAnsi="宋体"/>
          <w:szCs w:val="21"/>
        </w:rPr>
        <w:t>6</w:t>
      </w:r>
      <w:r>
        <w:rPr>
          <w:rFonts w:hint="eastAsia" w:ascii="宋体" w:hAnsi="宋体"/>
          <w:szCs w:val="21"/>
        </w:rPr>
        <w:t>.1最终结清申请单</w:t>
      </w:r>
    </w:p>
    <w:p w14:paraId="0F01F0A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(1)承包人提交最终结清申请单的份数：</w:t>
      </w:r>
      <w:r>
        <w:rPr>
          <w:rFonts w:ascii="宋体" w:hAnsi="宋体" w:cs="宋体"/>
          <w:u w:val="single"/>
        </w:rPr>
        <w:t>提交4份最终结清申请单。</w:t>
      </w:r>
      <w:r>
        <w:fldChar w:fldCharType="begin"/>
      </w:r>
      <w:r>
        <w:instrText xml:space="preserve"> AUTOTEXT  input530 \* MERGEFORMAT </w:instrText>
      </w:r>
      <w:r>
        <w:fldChar w:fldCharType="end"/>
      </w:r>
    </w:p>
    <w:p w14:paraId="587961F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承包人提交最终结清申请单的期限：</w:t>
      </w:r>
      <w:r>
        <w:rPr>
          <w:rFonts w:ascii="宋体" w:hAnsi="宋体" w:cs="宋体"/>
          <w:u w:val="single"/>
        </w:rPr>
        <w:t>在缺陷责任期终止证书颁发后28天内。</w:t>
      </w:r>
      <w:r>
        <w:fldChar w:fldCharType="begin"/>
      </w:r>
      <w:r>
        <w:instrText xml:space="preserve"> AUTOTEXT  input531 \* MERGEFORMAT </w:instrText>
      </w:r>
      <w:r>
        <w:fldChar w:fldCharType="end"/>
      </w:r>
    </w:p>
    <w:p w14:paraId="43B16A19">
      <w:pPr>
        <w:adjustRightInd w:val="0"/>
        <w:snapToGrid w:val="0"/>
        <w:spacing w:line="360" w:lineRule="auto"/>
        <w:ind w:firstLine="420" w:firstLineChars="200"/>
        <w:jc w:val="left"/>
        <w:rPr>
          <w:rFonts w:hint="eastAsia" w:ascii="宋体" w:hAnsi="宋体"/>
        </w:rPr>
      </w:pPr>
      <w:r>
        <w:rPr>
          <w:rFonts w:hint="eastAsia" w:ascii="宋体" w:hAnsi="宋体"/>
        </w:rPr>
        <w:t>发包人向承包人</w:t>
      </w:r>
      <w:r>
        <w:rPr>
          <w:rFonts w:ascii="宋体" w:hAnsi="宋体" w:cs="宋体"/>
          <w:u w:val="single"/>
        </w:rPr>
        <w:t>不支付</w:t>
      </w:r>
      <w:r>
        <w:fldChar w:fldCharType="begin"/>
      </w:r>
      <w:r>
        <w:instrText xml:space="preserve"> AUTOTEXT  input861 \* MERGEFORMAT </w:instrText>
      </w:r>
      <w:r>
        <w:fldChar w:fldCharType="end"/>
      </w:r>
      <w:r>
        <w:rPr>
          <w:rFonts w:hint="eastAsia" w:ascii="宋体" w:hAnsi="宋体"/>
        </w:rPr>
        <w:t>（支付/不支付）质量保证金利息。</w:t>
      </w:r>
    </w:p>
    <w:p w14:paraId="08402198">
      <w:pPr>
        <w:adjustRightInd w:val="0"/>
        <w:snapToGrid w:val="0"/>
        <w:spacing w:line="360" w:lineRule="auto"/>
        <w:ind w:firstLine="420" w:firstLineChars="200"/>
        <w:jc w:val="left"/>
        <w:rPr>
          <w:rFonts w:hint="eastAsia" w:ascii="宋体" w:hAnsi="宋体"/>
          <w:szCs w:val="21"/>
        </w:rPr>
      </w:pPr>
      <w:r>
        <w:rPr>
          <w:rFonts w:hint="eastAsia" w:ascii="宋体" w:hAnsi="宋体"/>
        </w:rPr>
        <w:t>发包人向承包人支付质量保证金利息的，利息计算方法：</w:t>
      </w:r>
      <w:r>
        <w:rPr>
          <w:rFonts w:ascii="宋体" w:hAnsi="宋体" w:cs="宋体"/>
          <w:u w:val="single"/>
        </w:rPr>
        <w:t>/。</w:t>
      </w:r>
      <w:r>
        <w:fldChar w:fldCharType="begin"/>
      </w:r>
      <w:r>
        <w:instrText xml:space="preserve"> AUTOTEXT  input862 \* MERGEFORMAT </w:instrText>
      </w:r>
      <w:r>
        <w:fldChar w:fldCharType="end"/>
      </w:r>
    </w:p>
    <w:p w14:paraId="1F5575E6">
      <w:pPr>
        <w:adjustRightInd w:val="0"/>
        <w:snapToGrid w:val="0"/>
        <w:spacing w:line="360" w:lineRule="auto"/>
        <w:outlineLvl w:val="2"/>
        <w:rPr>
          <w:rFonts w:hint="eastAsia" w:ascii="宋体" w:hAnsi="宋体"/>
          <w:sz w:val="28"/>
        </w:rPr>
      </w:pPr>
      <w:bookmarkStart w:id="954" w:name="_Toc196225946"/>
      <w:r>
        <w:rPr>
          <w:rFonts w:hint="eastAsia" w:ascii="宋体" w:hAnsi="宋体"/>
          <w:sz w:val="28"/>
        </w:rPr>
        <w:t>18.竣工验收</w:t>
      </w:r>
      <w:bookmarkEnd w:id="954"/>
    </w:p>
    <w:p w14:paraId="2C98BC71">
      <w:pPr>
        <w:adjustRightInd w:val="0"/>
        <w:snapToGrid w:val="0"/>
        <w:spacing w:line="360" w:lineRule="auto"/>
        <w:rPr>
          <w:rFonts w:hint="eastAsia" w:ascii="宋体" w:hAnsi="宋体"/>
          <w:sz w:val="24"/>
        </w:rPr>
      </w:pPr>
      <w:r>
        <w:rPr>
          <w:rFonts w:hint="eastAsia" w:ascii="宋体" w:hAnsi="宋体"/>
          <w:sz w:val="24"/>
        </w:rPr>
        <w:t>18.2竣工验收申请报告</w:t>
      </w:r>
    </w:p>
    <w:p w14:paraId="7A82044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(2)承包人负责整理和提交的竣工验收资料具体内容：</w:t>
      </w:r>
    </w:p>
    <w:p w14:paraId="68EA1D35">
      <w:pPr>
        <w:adjustRightInd w:val="0"/>
        <w:snapToGrid w:val="0"/>
        <w:spacing w:line="360" w:lineRule="auto"/>
        <w:ind w:firstLine="420" w:firstLineChars="200"/>
        <w:jc w:val="left"/>
        <w:rPr>
          <w:rFonts w:hint="eastAsia" w:ascii="宋体" w:hAnsi="宋体"/>
          <w:szCs w:val="21"/>
        </w:rPr>
      </w:pPr>
      <w:r>
        <w:rPr>
          <w:rFonts w:ascii="宋体" w:hAnsi="宋体" w:cs="宋体"/>
          <w:u w:val="single"/>
        </w:rPr>
        <w:t>除满足本合同约定及法律规定的竣工结算要求外，还需满足建设项目建档规范相关要求以及满足竣工验收所需提供的竣工图纸；竣工图纸的电子版；其他大样图纸、计算资料、产品说明书、保养维修手册、使用手册、施工过程中的影像资料等（包含专业分包项目）；项目相关管理部门（包括但不限于规划、园林、文物、气象、节能、消防、水务、交通、人防等）的竣工验收相关资料。</w:t>
      </w:r>
      <w:r>
        <w:fldChar w:fldCharType="begin"/>
      </w:r>
      <w:r>
        <w:instrText xml:space="preserve"> AUTOTEXT  input532 \* MERGEFORMAT </w:instrText>
      </w:r>
      <w:r>
        <w:fldChar w:fldCharType="end"/>
      </w:r>
    </w:p>
    <w:p w14:paraId="786F742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竣工验收资料的份数：</w:t>
      </w:r>
      <w:r>
        <w:rPr>
          <w:rFonts w:ascii="宋体" w:hAnsi="宋体" w:cs="宋体"/>
          <w:u w:val="single"/>
        </w:rPr>
        <w:t>除政府和上级部门要求外，另向甲方提交竣工图纸及电子版4份，其它资料4份。</w:t>
      </w:r>
      <w:r>
        <w:fldChar w:fldCharType="begin"/>
      </w:r>
      <w:r>
        <w:instrText xml:space="preserve"> AUTOTEXT  input533 \* MERGEFORMAT </w:instrText>
      </w:r>
      <w:r>
        <w:fldChar w:fldCharType="end"/>
      </w:r>
    </w:p>
    <w:p w14:paraId="66C8370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竣工验收资料的费用支付方式：</w:t>
      </w:r>
      <w:r>
        <w:rPr>
          <w:rFonts w:ascii="宋体" w:hAnsi="宋体" w:cs="宋体"/>
          <w:u w:val="single"/>
        </w:rPr>
        <w:t>已包括在签约合同价中，不再另行支付。</w:t>
      </w:r>
      <w:r>
        <w:fldChar w:fldCharType="begin"/>
      </w:r>
      <w:r>
        <w:instrText xml:space="preserve"> AUTOTEXT  input534 \* MERGEFORMAT </w:instrText>
      </w:r>
      <w:r>
        <w:fldChar w:fldCharType="end"/>
      </w:r>
    </w:p>
    <w:p w14:paraId="29F45513">
      <w:pPr>
        <w:adjustRightInd w:val="0"/>
        <w:snapToGrid w:val="0"/>
        <w:spacing w:line="360" w:lineRule="auto"/>
        <w:rPr>
          <w:rFonts w:hint="eastAsia" w:ascii="宋体" w:hAnsi="宋体"/>
          <w:sz w:val="24"/>
        </w:rPr>
      </w:pPr>
      <w:r>
        <w:rPr>
          <w:rFonts w:hint="eastAsia" w:ascii="宋体" w:hAnsi="宋体"/>
          <w:sz w:val="24"/>
        </w:rPr>
        <w:t>18.5施工期运行</w:t>
      </w:r>
    </w:p>
    <w:p w14:paraId="1D70769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18.5.1需要施工期运行的单位工程或设备安装工程：</w:t>
      </w:r>
      <w:r>
        <w:rPr>
          <w:rFonts w:ascii="宋体" w:hAnsi="宋体" w:cs="宋体"/>
          <w:u w:val="single"/>
        </w:rPr>
        <w:t>/。</w:t>
      </w:r>
      <w:r>
        <w:fldChar w:fldCharType="begin"/>
      </w:r>
      <w:r>
        <w:instrText xml:space="preserve"> AUTOTEXT  input535 \* MERGEFORMAT </w:instrText>
      </w:r>
      <w:r>
        <w:fldChar w:fldCharType="end"/>
      </w:r>
    </w:p>
    <w:p w14:paraId="7E828400">
      <w:pPr>
        <w:adjustRightInd w:val="0"/>
        <w:snapToGrid w:val="0"/>
        <w:spacing w:line="360" w:lineRule="auto"/>
        <w:rPr>
          <w:rFonts w:hint="eastAsia" w:ascii="宋体" w:hAnsi="宋体"/>
          <w:sz w:val="24"/>
        </w:rPr>
      </w:pPr>
      <w:r>
        <w:rPr>
          <w:rFonts w:hint="eastAsia" w:ascii="宋体" w:hAnsi="宋体"/>
          <w:sz w:val="24"/>
        </w:rPr>
        <w:t>18.8施工队伍的撤离</w:t>
      </w:r>
    </w:p>
    <w:p w14:paraId="700EEB9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18.8.3缺陷责任期满时，承包人在施工场地保留的人员和施工设备最终撤离的期限：</w:t>
      </w:r>
    </w:p>
    <w:p w14:paraId="0770AF70">
      <w:pPr>
        <w:adjustRightInd w:val="0"/>
        <w:snapToGrid w:val="0"/>
        <w:spacing w:line="360" w:lineRule="auto"/>
        <w:ind w:firstLine="420" w:firstLineChars="200"/>
        <w:jc w:val="left"/>
        <w:rPr>
          <w:rFonts w:hint="eastAsia" w:ascii="宋体" w:hAnsi="宋体"/>
          <w:szCs w:val="21"/>
        </w:rPr>
      </w:pPr>
      <w:r>
        <w:rPr>
          <w:rFonts w:ascii="宋体" w:hAnsi="宋体" w:cs="宋体"/>
          <w:u w:val="single"/>
        </w:rPr>
        <w:t>工程接收证书颁发后的28天内，除了经发包人同意需在缺陷责任期内继续工作和使用的人员、施工设备和临时工程外，其余的人员，施工设备和临时工程均应撤离施工场地或拆除，除合同另有约定外，缺陷责任期满时，承包人的人员和施工设备应全部撤离施工场地。承包人未按期撤场的，每逾期一日还应该按照合同总价的万分之一向发包人支付违约金。</w:t>
      </w:r>
      <w:r>
        <w:fldChar w:fldCharType="begin"/>
      </w:r>
      <w:r>
        <w:instrText xml:space="preserve"> AUTOTEXT  input536 \* MERGEFORMAT </w:instrText>
      </w:r>
      <w:r>
        <w:fldChar w:fldCharType="end"/>
      </w:r>
    </w:p>
    <w:p w14:paraId="09071C5B">
      <w:pPr>
        <w:adjustRightInd w:val="0"/>
        <w:snapToGrid w:val="0"/>
        <w:spacing w:line="360" w:lineRule="auto"/>
        <w:rPr>
          <w:rFonts w:hint="eastAsia" w:ascii="宋体" w:hAnsi="宋体"/>
          <w:sz w:val="24"/>
        </w:rPr>
      </w:pPr>
      <w:r>
        <w:rPr>
          <w:rFonts w:hint="eastAsia" w:ascii="宋体" w:hAnsi="宋体"/>
          <w:sz w:val="24"/>
        </w:rPr>
        <w:t>18.9中间验收</w:t>
      </w:r>
    </w:p>
    <w:p w14:paraId="70D7792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18.9.1本工程需要进行中间验收的部位：</w:t>
      </w:r>
    </w:p>
    <w:p w14:paraId="1550439C">
      <w:pPr>
        <w:adjustRightInd w:val="0"/>
        <w:snapToGrid w:val="0"/>
        <w:spacing w:line="360" w:lineRule="auto"/>
        <w:ind w:firstLine="420" w:firstLineChars="200"/>
        <w:jc w:val="left"/>
        <w:rPr>
          <w:rFonts w:hint="eastAsia" w:ascii="宋体" w:hAnsi="宋体"/>
          <w:szCs w:val="21"/>
        </w:rPr>
      </w:pPr>
      <w:r>
        <w:rPr>
          <w:rFonts w:ascii="宋体" w:hAnsi="宋体" w:cs="宋体"/>
          <w:u w:val="single"/>
        </w:rPr>
        <w:t>根据当地政府建设行政主管部门现行有关文件规定执行。</w:t>
      </w:r>
      <w:r>
        <w:fldChar w:fldCharType="begin"/>
      </w:r>
      <w:r>
        <w:instrText xml:space="preserve"> AUTOTEXT  input537 \* MERGEFORMAT </w:instrText>
      </w:r>
      <w:r>
        <w:fldChar w:fldCharType="end"/>
      </w:r>
    </w:p>
    <w:p w14:paraId="433E7B2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18.9.2验收不合格的，承包人在</w:t>
      </w:r>
      <w:r>
        <w:rPr>
          <w:rFonts w:ascii="宋体" w:hAnsi="宋体" w:cs="宋体"/>
          <w:u w:val="single"/>
        </w:rPr>
        <w:t>7天</w:t>
      </w:r>
      <w:r>
        <w:fldChar w:fldCharType="begin"/>
      </w:r>
      <w:r>
        <w:instrText xml:space="preserve"> AUTOTEXT  input538 \* MERGEFORMAT </w:instrText>
      </w:r>
      <w:r>
        <w:fldChar w:fldCharType="end"/>
      </w:r>
      <w:r>
        <w:rPr>
          <w:rFonts w:hint="eastAsia" w:ascii="宋体" w:hAnsi="宋体"/>
          <w:szCs w:val="21"/>
        </w:rPr>
        <w:t>期限内进行修改后重新验收。</w:t>
      </w:r>
    </w:p>
    <w:p w14:paraId="4F0886CD">
      <w:pPr>
        <w:adjustRightInd w:val="0"/>
        <w:snapToGrid w:val="0"/>
        <w:spacing w:line="360" w:lineRule="auto"/>
        <w:outlineLvl w:val="2"/>
        <w:rPr>
          <w:rFonts w:hint="eastAsia" w:ascii="宋体" w:hAnsi="宋体"/>
          <w:sz w:val="28"/>
        </w:rPr>
      </w:pPr>
      <w:bookmarkStart w:id="955" w:name="_Toc196225947"/>
      <w:r>
        <w:rPr>
          <w:rFonts w:hint="eastAsia" w:ascii="宋体" w:hAnsi="宋体"/>
          <w:sz w:val="28"/>
        </w:rPr>
        <w:t>19.缺陷责任与保修责任</w:t>
      </w:r>
      <w:bookmarkEnd w:id="955"/>
    </w:p>
    <w:p w14:paraId="15284051">
      <w:pPr>
        <w:adjustRightInd w:val="0"/>
        <w:snapToGrid w:val="0"/>
        <w:spacing w:line="360" w:lineRule="auto"/>
        <w:rPr>
          <w:rFonts w:hint="eastAsia" w:ascii="宋体" w:hAnsi="宋体"/>
          <w:sz w:val="24"/>
        </w:rPr>
      </w:pPr>
      <w:r>
        <w:rPr>
          <w:rFonts w:hint="eastAsia" w:ascii="宋体" w:hAnsi="宋体"/>
          <w:sz w:val="24"/>
        </w:rPr>
        <w:t>19.7保修责任</w:t>
      </w:r>
    </w:p>
    <w:p w14:paraId="44380EB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19.7.1工程质量保修范围：</w:t>
      </w:r>
      <w:r>
        <w:rPr>
          <w:rFonts w:ascii="宋体" w:hAnsi="宋体" w:cs="宋体"/>
          <w:u w:val="single"/>
        </w:rPr>
        <w:t>本合同承包范围内所有工程，同时应当遵守《建设工程质量管理条例》中工程质量保修范围的相关规定及相关国家、行业和地方规定。</w:t>
      </w:r>
      <w:r>
        <w:fldChar w:fldCharType="begin"/>
      </w:r>
      <w:r>
        <w:instrText xml:space="preserve"> AUTOTEXT  input539 \* MERGEFORMAT </w:instrText>
      </w:r>
      <w:r>
        <w:fldChar w:fldCharType="end"/>
      </w:r>
    </w:p>
    <w:p w14:paraId="359A1BB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工程质量保修期限：</w:t>
      </w:r>
      <w:r>
        <w:rPr>
          <w:rFonts w:ascii="宋体" w:hAnsi="宋体" w:cs="宋体"/>
          <w:u w:val="single"/>
        </w:rPr>
        <w:t>遵守《建设工程质量管理条例》中工程质量保修期限的相关规定（条例中没有规定的按2年执行）及相关国家、行业和地方规定。</w:t>
      </w:r>
      <w:r>
        <w:fldChar w:fldCharType="begin"/>
      </w:r>
      <w:r>
        <w:instrText xml:space="preserve"> AUTOTEXT  input540 \* MERGEFORMAT </w:instrText>
      </w:r>
      <w:r>
        <w:fldChar w:fldCharType="end"/>
      </w:r>
    </w:p>
    <w:p w14:paraId="7424FD2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工程质量保修责任：</w:t>
      </w:r>
      <w:r>
        <w:rPr>
          <w:rFonts w:ascii="宋体" w:hAnsi="宋体" w:cs="宋体"/>
          <w:u w:val="single"/>
        </w:rPr>
        <w:t>遵守《建设工程质量管理条例》中工程质量保修责任的相关规定及相关国家、行业和地方规定。1)属于保修范围的项目，承包人应当在接到保修通知之曰起24小时内派人免费保修。承包人不在约定期限内派人保修的，发包人可以委托他人修理，并按照实际维修费用的1.5倍扣减工程质量保修金，质保金不足扣减时，差额部分发包人可向承包人追偿。2)发生紧急抢修事故的，承包人在接到事故通知后，应当立即到达事故现场抢修。3)质量保修完成后，由发包人组织验收。</w:t>
      </w:r>
      <w:r>
        <w:fldChar w:fldCharType="begin"/>
      </w:r>
      <w:r>
        <w:instrText xml:space="preserve"> AUTOTEXT  input541 \* MERGEFORMAT </w:instrText>
      </w:r>
      <w:r>
        <w:fldChar w:fldCharType="end"/>
      </w:r>
    </w:p>
    <w:p w14:paraId="4A110003">
      <w:pPr>
        <w:adjustRightInd w:val="0"/>
        <w:snapToGrid w:val="0"/>
        <w:spacing w:line="360" w:lineRule="auto"/>
        <w:outlineLvl w:val="2"/>
        <w:rPr>
          <w:rFonts w:hint="eastAsia" w:ascii="宋体" w:hAnsi="宋体"/>
          <w:sz w:val="28"/>
        </w:rPr>
      </w:pPr>
      <w:bookmarkStart w:id="956" w:name="_Toc196225948"/>
      <w:r>
        <w:rPr>
          <w:rFonts w:hint="eastAsia" w:ascii="宋体" w:hAnsi="宋体"/>
          <w:sz w:val="28"/>
        </w:rPr>
        <w:t>20.保险</w:t>
      </w:r>
      <w:bookmarkEnd w:id="956"/>
    </w:p>
    <w:p w14:paraId="093A3F25">
      <w:pPr>
        <w:adjustRightInd w:val="0"/>
        <w:snapToGrid w:val="0"/>
        <w:spacing w:line="360" w:lineRule="auto"/>
        <w:rPr>
          <w:rFonts w:hint="eastAsia" w:ascii="宋体" w:hAnsi="宋体"/>
          <w:sz w:val="24"/>
        </w:rPr>
      </w:pPr>
      <w:r>
        <w:rPr>
          <w:rFonts w:hint="eastAsia" w:ascii="宋体" w:hAnsi="宋体"/>
          <w:sz w:val="24"/>
        </w:rPr>
        <w:t>20.1工程保险</w:t>
      </w:r>
    </w:p>
    <w:p w14:paraId="1A952FE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本工程</w:t>
      </w:r>
      <w:r>
        <w:rPr>
          <w:rFonts w:ascii="宋体" w:hAnsi="宋体" w:cs="宋体"/>
          <w:u w:val="single"/>
        </w:rPr>
        <w:t>投保</w:t>
      </w:r>
      <w:r>
        <w:fldChar w:fldCharType="begin"/>
      </w:r>
      <w:r>
        <w:instrText xml:space="preserve"> AUTOTEXT  input542 \* MERGEFORMAT </w:instrText>
      </w:r>
      <w:r>
        <w:fldChar w:fldCharType="end"/>
      </w:r>
      <w:r>
        <w:rPr>
          <w:rFonts w:hint="eastAsia" w:ascii="宋体" w:hAnsi="宋体"/>
          <w:szCs w:val="21"/>
        </w:rPr>
        <w:t>(投保/不投保)工程保险。投保工程保险时，险种为：</w:t>
      </w:r>
      <w:r>
        <w:rPr>
          <w:rFonts w:ascii="宋体" w:hAnsi="宋体" w:cs="宋体"/>
          <w:u w:val="single"/>
        </w:rPr>
        <w:t>建筑工程一切险</w:t>
      </w:r>
      <w:r>
        <w:fldChar w:fldCharType="begin"/>
      </w:r>
      <w:r>
        <w:instrText xml:space="preserve"> AUTOTEXT  input543 \* MERGEFORMAT </w:instrText>
      </w:r>
      <w:r>
        <w:fldChar w:fldCharType="end"/>
      </w:r>
      <w:r>
        <w:rPr>
          <w:rFonts w:hint="eastAsia" w:ascii="宋体" w:hAnsi="宋体"/>
          <w:szCs w:val="21"/>
        </w:rPr>
        <w:t>，并符合以下约定：</w:t>
      </w:r>
    </w:p>
    <w:p w14:paraId="685C8DD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(1)投保人：</w:t>
      </w:r>
      <w:r>
        <w:rPr>
          <w:rFonts w:ascii="宋体" w:hAnsi="宋体" w:cs="宋体"/>
          <w:u w:val="single"/>
        </w:rPr>
        <w:t>承包人（相关费用由承包人承担）。</w:t>
      </w:r>
      <w:r>
        <w:fldChar w:fldCharType="begin"/>
      </w:r>
      <w:r>
        <w:instrText xml:space="preserve"> AUTOTEXT  input544 \* MERGEFORMAT </w:instrText>
      </w:r>
      <w:r>
        <w:fldChar w:fldCharType="end"/>
      </w:r>
    </w:p>
    <w:p w14:paraId="41BB06F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(2)投保内容：</w:t>
      </w:r>
      <w:r>
        <w:rPr>
          <w:rFonts w:hint="eastAsia" w:ascii="宋体" w:hAnsi="宋体" w:cs="宋体"/>
          <w:u w:val="single"/>
        </w:rPr>
        <w:t>合同承包范围内的所有工程</w:t>
      </w:r>
      <w:r>
        <w:rPr>
          <w:rFonts w:ascii="宋体" w:hAnsi="宋体" w:cs="宋体"/>
          <w:u w:val="single"/>
        </w:rPr>
        <w:t>。</w:t>
      </w:r>
      <w:r>
        <w:fldChar w:fldCharType="begin"/>
      </w:r>
      <w:r>
        <w:instrText xml:space="preserve"> AUTOTEXT  input545 \* MERGEFORMAT </w:instrText>
      </w:r>
      <w:r>
        <w:fldChar w:fldCharType="end"/>
      </w:r>
    </w:p>
    <w:p w14:paraId="3F06131C">
      <w:pPr>
        <w:adjustRightInd w:val="0"/>
        <w:snapToGrid w:val="0"/>
        <w:spacing w:line="360" w:lineRule="auto"/>
        <w:ind w:firstLine="420" w:firstLineChars="200"/>
        <w:jc w:val="left"/>
        <w:rPr>
          <w:rFonts w:hint="eastAsia" w:ascii="宋体" w:hAnsi="宋体" w:cs="Arial"/>
        </w:rPr>
      </w:pPr>
      <w:r>
        <w:rPr>
          <w:rFonts w:hint="eastAsia" w:ascii="宋体" w:hAnsi="宋体"/>
          <w:szCs w:val="21"/>
        </w:rPr>
        <w:t>(3)保险费率：由投保人与合同双方同意的保险人商定</w:t>
      </w:r>
      <w:r>
        <w:rPr>
          <w:rFonts w:hint="eastAsia" w:ascii="宋体" w:hAnsi="宋体" w:cs="Arial"/>
        </w:rPr>
        <w:t>。</w:t>
      </w:r>
    </w:p>
    <w:p w14:paraId="6717DE8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(4)保险金额：</w:t>
      </w:r>
      <w:r>
        <w:rPr>
          <w:rFonts w:ascii="宋体" w:hAnsi="宋体" w:cs="宋体"/>
          <w:u w:val="single"/>
        </w:rPr>
        <w:t>/。</w:t>
      </w:r>
      <w:r>
        <w:fldChar w:fldCharType="begin"/>
      </w:r>
      <w:r>
        <w:instrText xml:space="preserve"> AUTOTEXT  input546 \* MERGEFORMAT </w:instrText>
      </w:r>
      <w:r>
        <w:fldChar w:fldCharType="end"/>
      </w:r>
    </w:p>
    <w:p w14:paraId="19C1CF12">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(5)保险期限：</w:t>
      </w:r>
      <w:r>
        <w:rPr>
          <w:rFonts w:ascii="宋体" w:hAnsi="宋体" w:cs="宋体"/>
          <w:u w:val="single"/>
        </w:rPr>
        <w:t>/。</w:t>
      </w:r>
      <w:r>
        <w:fldChar w:fldCharType="begin"/>
      </w:r>
      <w:r>
        <w:instrText xml:space="preserve"> AUTOTEXT  input547 \* MERGEFORMAT </w:instrText>
      </w:r>
      <w:r>
        <w:fldChar w:fldCharType="end"/>
      </w:r>
    </w:p>
    <w:p w14:paraId="3B31A514">
      <w:pPr>
        <w:adjustRightInd w:val="0"/>
        <w:snapToGrid w:val="0"/>
        <w:spacing w:line="360" w:lineRule="auto"/>
        <w:rPr>
          <w:rFonts w:hint="eastAsia" w:ascii="宋体" w:hAnsi="宋体"/>
          <w:sz w:val="24"/>
        </w:rPr>
      </w:pPr>
      <w:r>
        <w:rPr>
          <w:rFonts w:hint="eastAsia" w:ascii="宋体" w:hAnsi="宋体"/>
          <w:sz w:val="24"/>
        </w:rPr>
        <w:t>20.4第三者责任险</w:t>
      </w:r>
    </w:p>
    <w:p w14:paraId="7A96CB4D">
      <w:pPr>
        <w:adjustRightInd w:val="0"/>
        <w:snapToGrid w:val="0"/>
        <w:spacing w:line="360" w:lineRule="auto"/>
        <w:ind w:firstLine="420" w:firstLineChars="200"/>
        <w:jc w:val="left"/>
        <w:rPr>
          <w:rFonts w:hint="eastAsia" w:ascii="宋体" w:hAnsi="宋体" w:cs="Arial"/>
        </w:rPr>
      </w:pPr>
      <w:r>
        <w:rPr>
          <w:rFonts w:hint="eastAsia" w:ascii="宋体" w:hAnsi="宋体"/>
          <w:szCs w:val="21"/>
        </w:rPr>
        <w:t>20.4.2保险金额：</w:t>
      </w:r>
      <w:r>
        <w:rPr>
          <w:rFonts w:ascii="宋体" w:hAnsi="宋体" w:cs="宋体"/>
          <w:u w:val="single"/>
        </w:rPr>
        <w:t>/</w:t>
      </w:r>
      <w:r>
        <w:fldChar w:fldCharType="begin"/>
      </w:r>
      <w:r>
        <w:instrText xml:space="preserve"> AUTOTEXT  input548 \* MERGEFORMAT </w:instrText>
      </w:r>
      <w:r>
        <w:fldChar w:fldCharType="end"/>
      </w:r>
      <w:r>
        <w:rPr>
          <w:rFonts w:hint="eastAsia" w:ascii="宋体" w:hAnsi="宋体" w:cs="Arial"/>
        </w:rPr>
        <w:t>，</w:t>
      </w:r>
      <w:r>
        <w:rPr>
          <w:rFonts w:hint="eastAsia" w:ascii="宋体" w:hAnsi="宋体"/>
          <w:szCs w:val="21"/>
        </w:rPr>
        <w:t>保险费率由承包人与发包人同意的保险人商定，相关保险费由</w:t>
      </w:r>
      <w:r>
        <w:rPr>
          <w:rFonts w:ascii="宋体" w:hAnsi="宋体" w:cs="宋体"/>
          <w:u w:val="single"/>
        </w:rPr>
        <w:t>承包人</w:t>
      </w:r>
      <w:r>
        <w:fldChar w:fldCharType="begin"/>
      </w:r>
      <w:r>
        <w:instrText xml:space="preserve"> AUTOTEXT  input549 \* MERGEFORMAT </w:instrText>
      </w:r>
      <w:r>
        <w:fldChar w:fldCharType="end"/>
      </w:r>
      <w:r>
        <w:rPr>
          <w:rFonts w:hint="eastAsia" w:ascii="宋体" w:hAnsi="宋体"/>
          <w:szCs w:val="21"/>
        </w:rPr>
        <w:t>承担</w:t>
      </w:r>
      <w:r>
        <w:rPr>
          <w:rFonts w:hint="eastAsia" w:ascii="宋体" w:hAnsi="宋体" w:cs="Arial"/>
        </w:rPr>
        <w:t>。</w:t>
      </w:r>
    </w:p>
    <w:p w14:paraId="06023D6A">
      <w:pPr>
        <w:adjustRightInd w:val="0"/>
        <w:snapToGrid w:val="0"/>
        <w:spacing w:line="360" w:lineRule="auto"/>
        <w:rPr>
          <w:rFonts w:hint="eastAsia" w:ascii="宋体" w:hAnsi="宋体"/>
          <w:sz w:val="24"/>
        </w:rPr>
      </w:pPr>
      <w:r>
        <w:rPr>
          <w:rFonts w:hint="eastAsia" w:ascii="宋体" w:hAnsi="宋体"/>
          <w:sz w:val="24"/>
        </w:rPr>
        <w:t>20.5其他保险</w:t>
      </w:r>
    </w:p>
    <w:p w14:paraId="1EFAC97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承包人应为其施工设备、进场材料和工程设备等办理的保险：</w:t>
      </w:r>
    </w:p>
    <w:p w14:paraId="1610091E">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input550 \* MERGEFORMAT </w:instrText>
      </w:r>
      <w:r>
        <w:fldChar w:fldCharType="end"/>
      </w:r>
    </w:p>
    <w:p w14:paraId="003A756E">
      <w:pPr>
        <w:adjustRightInd w:val="0"/>
        <w:snapToGrid w:val="0"/>
        <w:spacing w:line="360" w:lineRule="auto"/>
        <w:rPr>
          <w:rFonts w:hint="eastAsia" w:ascii="宋体" w:hAnsi="宋体"/>
          <w:sz w:val="24"/>
        </w:rPr>
      </w:pPr>
      <w:r>
        <w:rPr>
          <w:rFonts w:hint="eastAsia" w:ascii="宋体" w:hAnsi="宋体"/>
          <w:sz w:val="24"/>
        </w:rPr>
        <w:t>20.6对各项保险的一般要求</w:t>
      </w:r>
    </w:p>
    <w:p w14:paraId="5DB7B2E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20.6.1保险凭证</w:t>
      </w:r>
    </w:p>
    <w:p w14:paraId="6B57661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承包人向发包人提交各项保险生效的证据和保险单副本的期限：</w:t>
      </w:r>
    </w:p>
    <w:p w14:paraId="12F47998">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input551 \* MERGEFORMAT </w:instrText>
      </w:r>
      <w:r>
        <w:fldChar w:fldCharType="end"/>
      </w:r>
    </w:p>
    <w:p w14:paraId="47E96BC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20.6.4保险金不足的补偿</w:t>
      </w:r>
    </w:p>
    <w:p w14:paraId="60D9580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保险金不足以补偿损失时，承包人和发包人负责补偿的责任分摊：</w:t>
      </w:r>
    </w:p>
    <w:p w14:paraId="0D142752">
      <w:pPr>
        <w:adjustRightInd w:val="0"/>
        <w:snapToGrid w:val="0"/>
        <w:spacing w:line="360" w:lineRule="auto"/>
        <w:ind w:firstLine="420" w:firstLineChars="200"/>
        <w:jc w:val="left"/>
        <w:rPr>
          <w:rFonts w:hint="eastAsia" w:ascii="宋体" w:hAnsi="宋体"/>
          <w:szCs w:val="21"/>
        </w:rPr>
      </w:pPr>
      <w:r>
        <w:rPr>
          <w:rFonts w:ascii="宋体" w:hAnsi="宋体" w:cs="宋体"/>
          <w:u w:val="single"/>
        </w:rPr>
        <w:t>/。</w:t>
      </w:r>
      <w:r>
        <w:fldChar w:fldCharType="begin"/>
      </w:r>
      <w:r>
        <w:instrText xml:space="preserve"> AUTOTEXT  input552 \* MERGEFORMAT </w:instrText>
      </w:r>
      <w:r>
        <w:fldChar w:fldCharType="end"/>
      </w:r>
    </w:p>
    <w:p w14:paraId="59352F88">
      <w:pPr>
        <w:adjustRightInd w:val="0"/>
        <w:snapToGrid w:val="0"/>
        <w:spacing w:line="360" w:lineRule="auto"/>
        <w:outlineLvl w:val="2"/>
        <w:rPr>
          <w:rFonts w:hint="eastAsia" w:ascii="宋体" w:hAnsi="宋体"/>
          <w:sz w:val="28"/>
        </w:rPr>
      </w:pPr>
      <w:bookmarkStart w:id="957" w:name="_Toc196225949"/>
      <w:r>
        <w:rPr>
          <w:rFonts w:hint="eastAsia" w:ascii="宋体" w:hAnsi="宋体"/>
          <w:sz w:val="28"/>
        </w:rPr>
        <w:t>21.不可抗力</w:t>
      </w:r>
      <w:bookmarkEnd w:id="957"/>
    </w:p>
    <w:p w14:paraId="686D5DD4">
      <w:pPr>
        <w:adjustRightInd w:val="0"/>
        <w:snapToGrid w:val="0"/>
        <w:spacing w:line="360" w:lineRule="auto"/>
        <w:rPr>
          <w:rFonts w:hint="eastAsia" w:ascii="宋体" w:hAnsi="宋体"/>
          <w:sz w:val="24"/>
        </w:rPr>
      </w:pPr>
      <w:r>
        <w:rPr>
          <w:rFonts w:hint="eastAsia" w:ascii="宋体" w:hAnsi="宋体"/>
          <w:sz w:val="24"/>
        </w:rPr>
        <w:t>21.1不可抗力的确认</w:t>
      </w:r>
    </w:p>
    <w:p w14:paraId="46B57DA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21.1.1合同条款通用部分第21.1.1项约定的不可抗力以外的其他情形：</w:t>
      </w:r>
    </w:p>
    <w:p w14:paraId="3BA28899">
      <w:pPr>
        <w:adjustRightInd w:val="0"/>
        <w:snapToGrid w:val="0"/>
        <w:spacing w:line="360" w:lineRule="auto"/>
        <w:ind w:firstLine="420" w:firstLineChars="200"/>
        <w:jc w:val="left"/>
        <w:rPr>
          <w:rFonts w:hint="eastAsia" w:ascii="宋体" w:hAnsi="宋体"/>
          <w:szCs w:val="21"/>
        </w:rPr>
      </w:pPr>
      <w:r>
        <w:rPr>
          <w:rFonts w:ascii="宋体" w:hAnsi="宋体" w:cs="宋体"/>
          <w:u w:val="single"/>
        </w:rPr>
        <w:t>离子辐射或放射性污染。</w:t>
      </w:r>
      <w:r>
        <w:fldChar w:fldCharType="begin"/>
      </w:r>
      <w:r>
        <w:instrText xml:space="preserve"> AUTOTEXT  input553 \* MERGEFORMAT </w:instrText>
      </w:r>
      <w:r>
        <w:fldChar w:fldCharType="end"/>
      </w:r>
    </w:p>
    <w:p w14:paraId="655F250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不可抗力的等级范围约定：</w:t>
      </w:r>
    </w:p>
    <w:p w14:paraId="0E1B85E3">
      <w:pPr>
        <w:adjustRightInd w:val="0"/>
        <w:snapToGrid w:val="0"/>
        <w:spacing w:line="360" w:lineRule="auto"/>
        <w:ind w:firstLine="420" w:firstLineChars="200"/>
        <w:jc w:val="left"/>
        <w:rPr>
          <w:rFonts w:hint="eastAsia" w:ascii="宋体" w:hAnsi="宋体"/>
          <w:szCs w:val="21"/>
        </w:rPr>
      </w:pPr>
      <w:r>
        <w:rPr>
          <w:rFonts w:ascii="宋体" w:hAnsi="宋体" w:cs="宋体"/>
          <w:u w:val="single"/>
        </w:rPr>
        <w:t>不可抗力需要满足三个条件：即不可预计、不可避免和不能克服。对于人类无法控制的大自然力量所引起的灾害事故应达到被国家权威部门发布且界定为灾害事故的程度。</w:t>
      </w:r>
      <w:r>
        <w:fldChar w:fldCharType="begin"/>
      </w:r>
      <w:r>
        <w:instrText xml:space="preserve"> AUTOTEXT  input554 \* MERGEFORMAT </w:instrText>
      </w:r>
      <w:r>
        <w:fldChar w:fldCharType="end"/>
      </w:r>
    </w:p>
    <w:p w14:paraId="50EC05DE">
      <w:pPr>
        <w:adjustRightInd w:val="0"/>
        <w:snapToGrid w:val="0"/>
        <w:spacing w:line="360" w:lineRule="auto"/>
        <w:outlineLvl w:val="2"/>
        <w:rPr>
          <w:rFonts w:hint="eastAsia" w:ascii="宋体" w:hAnsi="宋体"/>
          <w:sz w:val="28"/>
        </w:rPr>
      </w:pPr>
      <w:bookmarkStart w:id="958" w:name="_Toc196225950"/>
      <w:r>
        <w:rPr>
          <w:rFonts w:hint="eastAsia" w:ascii="宋体" w:hAnsi="宋体"/>
          <w:sz w:val="28"/>
        </w:rPr>
        <w:t>24.争议的解决</w:t>
      </w:r>
      <w:bookmarkEnd w:id="958"/>
    </w:p>
    <w:p w14:paraId="09A9FC87">
      <w:pPr>
        <w:adjustRightInd w:val="0"/>
        <w:snapToGrid w:val="0"/>
        <w:spacing w:line="360" w:lineRule="auto"/>
        <w:rPr>
          <w:rFonts w:hint="eastAsia" w:ascii="宋体" w:hAnsi="宋体"/>
          <w:sz w:val="24"/>
        </w:rPr>
      </w:pPr>
      <w:r>
        <w:rPr>
          <w:rFonts w:hint="eastAsia" w:ascii="宋体" w:hAnsi="宋体"/>
          <w:sz w:val="24"/>
        </w:rPr>
        <w:t>24.1争议的解决方式</w:t>
      </w:r>
    </w:p>
    <w:p w14:paraId="5949899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因本合同引起的或与本合同有关的任何争议，合同双方友好协商不成、不愿提请争议组评审或者不愿接受争议评审组意见的，选择下列第</w:t>
      </w:r>
      <w:r>
        <w:rPr>
          <w:rFonts w:hint="eastAsia" w:ascii="宋体" w:hAnsi="宋体"/>
          <w:szCs w:val="21"/>
          <w:u w:val="single"/>
        </w:rPr>
        <w:t>（贰）</w:t>
      </w:r>
      <w:r>
        <w:rPr>
          <w:rFonts w:hint="eastAsia" w:ascii="宋体" w:hAnsi="宋体"/>
          <w:szCs w:val="21"/>
        </w:rPr>
        <w:t>方式解决：</w:t>
      </w:r>
    </w:p>
    <w:p w14:paraId="752FD7FE">
      <w:pPr>
        <w:adjustRightInd w:val="0"/>
        <w:snapToGrid w:val="0"/>
        <w:spacing w:line="360" w:lineRule="auto"/>
        <w:ind w:firstLine="420" w:firstLineChars="200"/>
        <w:jc w:val="left"/>
        <w:rPr>
          <w:rFonts w:hint="eastAsia" w:ascii="宋体" w:hAnsi="宋体"/>
        </w:rPr>
      </w:pPr>
      <w:r>
        <w:rPr>
          <w:rFonts w:hint="eastAsia" w:ascii="宋体" w:hAnsi="宋体"/>
          <w:u w:val="single"/>
        </w:rPr>
        <w:t>（壹）</w:t>
      </w:r>
      <w:r>
        <w:rPr>
          <w:rFonts w:hint="eastAsia" w:ascii="宋体" w:hAnsi="宋体"/>
        </w:rPr>
        <w:t>提请</w:t>
      </w:r>
      <w:r>
        <w:rPr>
          <w:rFonts w:ascii="宋体" w:hAnsi="宋体" w:cs="宋体"/>
          <w:u w:val="single"/>
        </w:rPr>
        <w:t>北京</w:t>
      </w:r>
      <w:r>
        <w:fldChar w:fldCharType="begin"/>
      </w:r>
      <w:r>
        <w:instrText xml:space="preserve"> AUTOTEXT  input556 \* MERGEFORMAT </w:instrText>
      </w:r>
      <w:r>
        <w:fldChar w:fldCharType="end"/>
      </w:r>
      <w:r>
        <w:rPr>
          <w:rFonts w:hint="eastAsia" w:ascii="宋体" w:hAnsi="宋体"/>
        </w:rPr>
        <w:t>仲裁委员会按照该会仲裁规则进行仲裁，仲裁裁决是终局的，对合同双方均有约束力。</w:t>
      </w:r>
    </w:p>
    <w:p w14:paraId="477E1453">
      <w:pPr>
        <w:adjustRightInd w:val="0"/>
        <w:snapToGrid w:val="0"/>
        <w:spacing w:line="360" w:lineRule="auto"/>
        <w:ind w:firstLine="420" w:firstLineChars="200"/>
        <w:jc w:val="left"/>
        <w:rPr>
          <w:rFonts w:hint="eastAsia" w:ascii="宋体" w:hAnsi="宋体"/>
          <w:szCs w:val="21"/>
        </w:rPr>
      </w:pPr>
      <w:r>
        <w:rPr>
          <w:rFonts w:hint="eastAsia" w:ascii="宋体" w:hAnsi="宋体"/>
          <w:szCs w:val="21"/>
          <w:u w:val="single"/>
        </w:rPr>
        <w:t>（贰）</w:t>
      </w:r>
      <w:r>
        <w:rPr>
          <w:rFonts w:hint="eastAsia" w:ascii="宋体" w:hAnsi="宋体"/>
          <w:szCs w:val="21"/>
        </w:rPr>
        <w:t>向工程所在地有管辖权的人民法院提起诉讼。</w:t>
      </w:r>
    </w:p>
    <w:p w14:paraId="4ADE811A">
      <w:pPr>
        <w:adjustRightInd w:val="0"/>
        <w:snapToGrid w:val="0"/>
        <w:spacing w:line="360" w:lineRule="auto"/>
        <w:rPr>
          <w:rFonts w:hint="eastAsia" w:ascii="宋体" w:hAnsi="宋体"/>
          <w:sz w:val="24"/>
        </w:rPr>
      </w:pPr>
      <w:r>
        <w:rPr>
          <w:rFonts w:hint="eastAsia" w:ascii="宋体" w:hAnsi="宋体"/>
          <w:sz w:val="24"/>
        </w:rPr>
        <w:t>24.3争议评审</w:t>
      </w:r>
    </w:p>
    <w:p w14:paraId="550BB13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24.3.4争议评审组邀请合同双方代表人和有关人员举行调查会的期限：</w:t>
      </w:r>
      <w:r>
        <w:rPr>
          <w:rFonts w:ascii="宋体" w:hAnsi="宋体" w:cs="宋体"/>
          <w:u w:val="single"/>
        </w:rPr>
        <w:t>/。</w:t>
      </w:r>
      <w:r>
        <w:fldChar w:fldCharType="begin"/>
      </w:r>
      <w:r>
        <w:instrText xml:space="preserve"> AUTOTEXT  input557 \* MERGEFORMAT </w:instrText>
      </w:r>
      <w:r>
        <w:fldChar w:fldCharType="end"/>
      </w:r>
    </w:p>
    <w:p w14:paraId="3C996A1C">
      <w:pPr>
        <w:adjustRightInd w:val="0"/>
        <w:snapToGrid w:val="0"/>
        <w:spacing w:line="360" w:lineRule="auto"/>
        <w:ind w:firstLine="420" w:firstLineChars="200"/>
        <w:jc w:val="left"/>
        <w:rPr>
          <w:rFonts w:hint="eastAsia" w:ascii="宋体" w:hAnsi="宋体" w:cs="宋体"/>
          <w:u w:val="single"/>
        </w:rPr>
      </w:pPr>
      <w:r>
        <w:rPr>
          <w:rFonts w:hint="eastAsia" w:ascii="宋体" w:hAnsi="宋体"/>
          <w:szCs w:val="21"/>
        </w:rPr>
        <w:t>24.3.5争议评审组在调查会后作出争议评审意见的期限：</w:t>
      </w:r>
      <w:r>
        <w:rPr>
          <w:rFonts w:ascii="宋体" w:hAnsi="宋体" w:cs="宋体"/>
          <w:u w:val="single"/>
        </w:rPr>
        <w:t>/。</w:t>
      </w:r>
    </w:p>
    <w:p w14:paraId="64888EAF">
      <w:pPr>
        <w:adjustRightInd w:val="0"/>
        <w:snapToGrid w:val="0"/>
        <w:spacing w:line="360" w:lineRule="auto"/>
        <w:outlineLvl w:val="2"/>
        <w:rPr>
          <w:rFonts w:hint="eastAsia" w:ascii="宋体" w:hAnsi="宋体"/>
          <w:sz w:val="28"/>
        </w:rPr>
      </w:pPr>
      <w:bookmarkStart w:id="959" w:name="_Toc173438886"/>
      <w:bookmarkStart w:id="960" w:name="_Toc196225951"/>
      <w:bookmarkStart w:id="961" w:name="_Toc45010934"/>
      <w:r>
        <w:rPr>
          <w:rFonts w:hint="eastAsia" w:ascii="宋体" w:hAnsi="宋体"/>
          <w:sz w:val="28"/>
        </w:rPr>
        <w:t>25.补充条款</w:t>
      </w:r>
      <w:bookmarkEnd w:id="959"/>
      <w:bookmarkEnd w:id="960"/>
      <w:bookmarkEnd w:id="961"/>
    </w:p>
    <w:p w14:paraId="65D6B999">
      <w:pPr>
        <w:spacing w:line="360" w:lineRule="auto"/>
        <w:rPr>
          <w:rFonts w:hint="eastAsia" w:ascii="宋体" w:hAnsi="宋体" w:cs="宋体"/>
          <w:szCs w:val="21"/>
        </w:rPr>
      </w:pPr>
      <w:r>
        <w:rPr>
          <w:rFonts w:hint="eastAsia" w:ascii="宋体" w:hAnsi="宋体" w:cs="宋体"/>
          <w:szCs w:val="21"/>
        </w:rPr>
        <w:t>25.1</w:t>
      </w:r>
      <w:r>
        <w:rPr>
          <w:rFonts w:ascii="宋体" w:hAnsi="宋体" w:cs="宋体"/>
          <w:szCs w:val="21"/>
        </w:rPr>
        <w:t xml:space="preserve"> </w:t>
      </w:r>
      <w:r>
        <w:rPr>
          <w:rFonts w:hint="eastAsia" w:ascii="宋体" w:hAnsi="宋体" w:cs="宋体"/>
          <w:szCs w:val="21"/>
        </w:rPr>
        <w:t>施工过程相关技术方案的确定,仅为对技术方案的确定,不涉及费用增加,如涉及费用增加的相关技术方案,必须单独申报费用并得到发包人批准后方可执行。不经发包人批准,承包人擅自调整技术方案而增加的相关费用由承包人自行承担。</w:t>
      </w:r>
    </w:p>
    <w:p w14:paraId="799AFD3E">
      <w:pPr>
        <w:spacing w:line="36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5.2 </w:t>
      </w:r>
      <w:r>
        <w:rPr>
          <w:rFonts w:hint="eastAsia" w:ascii="宋体" w:hAnsi="宋体" w:cs="宋体"/>
          <w:szCs w:val="21"/>
        </w:rPr>
        <w:t>本工程中承包人绘制的节点图、深化图仅承包人实施工程的依据,不涉及费用增加；如涉及费用增加的节点图、深化图,须得到施工图设计单位的签认并单独申报费用且获得发包人批准，未经发包人批准的费用由承包人承担。</w:t>
      </w:r>
    </w:p>
    <w:p w14:paraId="49F22B7C">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 xml:space="preserve">3 </w:t>
      </w:r>
      <w:r>
        <w:rPr>
          <w:rFonts w:hint="eastAsia" w:ascii="宋体" w:hAnsi="宋体" w:cs="宋体"/>
          <w:szCs w:val="21"/>
        </w:rPr>
        <w:t>施工过程中发包人确定的计量与价款支付仅作为进度款支付依据,不作为竣工结算依据。</w:t>
      </w:r>
    </w:p>
    <w:p w14:paraId="6A7B068A">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4</w:t>
      </w:r>
      <w:r>
        <w:rPr>
          <w:rFonts w:hint="eastAsia" w:ascii="宋体" w:hAnsi="宋体" w:cs="宋体"/>
          <w:szCs w:val="21"/>
        </w:rPr>
        <w:t xml:space="preserve"> 本合同中的“变更估价”是指变更实施前各方确定的变更预计价格,此价格不能取代工程变更项目的结算价款,变更价款的最终结算价款必须在变更实施完成并经验收合格后,由承包人报送,经发包人最终审定的价格。</w:t>
      </w:r>
    </w:p>
    <w:p w14:paraId="0CB6DBD0">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5</w:t>
      </w:r>
      <w:r>
        <w:rPr>
          <w:rFonts w:hint="eastAsia" w:ascii="宋体" w:hAnsi="宋体" w:cs="宋体"/>
          <w:szCs w:val="21"/>
        </w:rPr>
        <w:t xml:space="preserve"> 在施工期间,凡发包人发书面通知要求承包人整改或配合的,承包人应严格遵照执行。若因承包人整改导致工作完成时间逾期的,则承包人承担工程逾期的违约责任。除应承担相应的违约责任外，承包人还应承担实际发生的损失。</w:t>
      </w:r>
    </w:p>
    <w:p w14:paraId="5E1B81D1">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6</w:t>
      </w:r>
      <w:r>
        <w:rPr>
          <w:rFonts w:hint="eastAsia" w:ascii="宋体" w:hAnsi="宋体" w:cs="宋体"/>
          <w:szCs w:val="21"/>
        </w:rPr>
        <w:t xml:space="preserve"> 承包人必须遵守北京市、发包人有关疫情防控的有关要求，其发生的相关费用及一切后果由承包人自行承担。</w:t>
      </w:r>
    </w:p>
    <w:p w14:paraId="60502529">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7</w:t>
      </w:r>
      <w:r>
        <w:rPr>
          <w:rFonts w:hint="eastAsia" w:ascii="宋体" w:hAnsi="宋体" w:cs="宋体"/>
          <w:szCs w:val="21"/>
        </w:rPr>
        <w:t xml:space="preserve"> 竣工结算价款的确定：</w:t>
      </w:r>
    </w:p>
    <w:p w14:paraId="7DAE87DB">
      <w:pPr>
        <w:spacing w:line="360" w:lineRule="auto"/>
        <w:rPr>
          <w:rFonts w:hint="eastAsia" w:ascii="宋体" w:hAnsi="宋体" w:cs="宋体"/>
          <w:szCs w:val="21"/>
        </w:rPr>
      </w:pPr>
      <w:r>
        <w:rPr>
          <w:rFonts w:hint="eastAsia" w:ascii="宋体" w:hAnsi="宋体" w:cs="宋体"/>
          <w:szCs w:val="21"/>
        </w:rPr>
        <w:t>（1）本工程竣工验收合格后</w:t>
      </w:r>
      <w:r>
        <w:rPr>
          <w:rFonts w:ascii="宋体" w:hAnsi="宋体" w:cs="宋体"/>
          <w:szCs w:val="21"/>
        </w:rPr>
        <w:t>1</w:t>
      </w:r>
      <w:r>
        <w:rPr>
          <w:rFonts w:hint="eastAsia" w:ascii="宋体" w:hAnsi="宋体" w:cs="宋体"/>
          <w:szCs w:val="21"/>
        </w:rPr>
        <w:t>0天内,承包人应核照发包人提出的竣工结算编制要求向发包人提交结算报告（包括广联达电子软件版）和完整的竣工结算资料一式三份。</w:t>
      </w:r>
    </w:p>
    <w:p w14:paraId="2B9EE754">
      <w:pPr>
        <w:spacing w:line="360" w:lineRule="auto"/>
        <w:rPr>
          <w:rFonts w:hint="eastAsia" w:ascii="宋体" w:hAnsi="宋体" w:cs="宋体"/>
          <w:szCs w:val="21"/>
        </w:rPr>
      </w:pPr>
      <w:r>
        <w:rPr>
          <w:rFonts w:hint="eastAsia" w:ascii="宋体" w:hAnsi="宋体" w:cs="宋体"/>
          <w:szCs w:val="21"/>
        </w:rPr>
        <w:t>（2）承包人提交的竣工结算报告和竣工结算资料并不能直接构成本合同的结算，发包人可按合同文件的规定拒绝、认可或更改结算，并委托本工程的造价咨询单位对承包人的结算提供审计意见。</w:t>
      </w:r>
    </w:p>
    <w:p w14:paraId="0A1D4448">
      <w:pPr>
        <w:spacing w:line="360" w:lineRule="auto"/>
        <w:rPr>
          <w:rFonts w:hint="eastAsia" w:ascii="宋体" w:hAnsi="宋体" w:cs="宋体"/>
          <w:szCs w:val="21"/>
        </w:rPr>
      </w:pPr>
      <w:r>
        <w:rPr>
          <w:rFonts w:hint="eastAsia" w:ascii="宋体" w:hAnsi="宋体" w:cs="宋体"/>
          <w:szCs w:val="21"/>
        </w:rPr>
        <w:t>（3）发包人收到承包人的竣工结算报告及竣工结算资料后，以任何方式提出异议的，包括要求承包人补充资料、口头或书面不同意的表示、质疑、要求召开协商的会议、要求签订与承包人提出的报告不一致的协议或备忘录等，均视为对承包人报告不认可。即使发包人在合同约定的期限内未做表示，亦不应被认为是认可了承包人的竣工结算报告。</w:t>
      </w:r>
    </w:p>
    <w:p w14:paraId="1FD12B91">
      <w:pPr>
        <w:spacing w:line="360" w:lineRule="auto"/>
        <w:rPr>
          <w:rFonts w:hint="eastAsia" w:ascii="宋体" w:hAnsi="宋体" w:cs="宋体"/>
          <w:szCs w:val="21"/>
        </w:rPr>
      </w:pPr>
      <w:r>
        <w:rPr>
          <w:rFonts w:hint="eastAsia" w:ascii="宋体" w:hAnsi="宋体" w:cs="宋体"/>
          <w:szCs w:val="21"/>
        </w:rPr>
        <w:t>（4）承包人已知悉：本工程是使用国有资金的基本建设项目，须按有关规定接受建设项目审计。承包人同意并接受：在完成国家建设项目工程结算审计、审批后向其提供的结算审核的最终确认意见，并以该结算审计作为承发包双方工程款结算的唯一依据。</w:t>
      </w:r>
    </w:p>
    <w:p w14:paraId="36811000">
      <w:pPr>
        <w:spacing w:line="360" w:lineRule="auto"/>
        <w:rPr>
          <w:rFonts w:hint="eastAsia" w:ascii="宋体" w:hAnsi="宋体" w:cs="宋体"/>
          <w:szCs w:val="21"/>
        </w:rPr>
      </w:pPr>
      <w:r>
        <w:rPr>
          <w:rFonts w:hint="eastAsia" w:ascii="宋体" w:hAnsi="宋体" w:cs="宋体"/>
          <w:szCs w:val="21"/>
        </w:rPr>
        <w:t>（5）报送结算资料时，按发包人相关规定提交结算审计承诺书。</w:t>
      </w:r>
    </w:p>
    <w:p w14:paraId="104F9DEE">
      <w:pPr>
        <w:spacing w:line="360" w:lineRule="auto"/>
        <w:rPr>
          <w:rFonts w:hint="eastAsia" w:ascii="宋体" w:hAnsi="宋体" w:cs="宋体"/>
          <w:szCs w:val="21"/>
        </w:rPr>
      </w:pPr>
      <w:r>
        <w:rPr>
          <w:rFonts w:hint="eastAsia" w:ascii="宋体" w:hAnsi="宋体" w:cs="宋体"/>
          <w:szCs w:val="21"/>
        </w:rPr>
        <w:t>（6）承包人不得将工程再次进行分包。</w:t>
      </w:r>
    </w:p>
    <w:p w14:paraId="596A6357">
      <w:pPr>
        <w:spacing w:line="360" w:lineRule="auto"/>
        <w:rPr>
          <w:rFonts w:hint="eastAsia" w:ascii="宋体" w:hAnsi="宋体" w:cs="宋体"/>
          <w:szCs w:val="21"/>
        </w:rPr>
      </w:pPr>
      <w:r>
        <w:rPr>
          <w:rFonts w:hint="eastAsia" w:ascii="宋体" w:hAnsi="宋体" w:cs="宋体"/>
          <w:szCs w:val="21"/>
        </w:rPr>
        <w:t>2</w:t>
      </w:r>
      <w:r>
        <w:rPr>
          <w:rFonts w:ascii="宋体" w:hAnsi="宋体" w:cs="宋体"/>
          <w:szCs w:val="21"/>
        </w:rPr>
        <w:t>5.8</w:t>
      </w:r>
      <w:r>
        <w:rPr>
          <w:rFonts w:hint="eastAsia" w:ascii="宋体" w:hAnsi="宋体" w:cs="宋体"/>
          <w:szCs w:val="21"/>
        </w:rPr>
        <w:t>承包人需按照中华人民共和国国务院令第724号令《保障农民工工资支付条例》执行农民工工资支付，农民工工资专户的金额不得少于当期完成产值的人工费总额或实际应支付农民工工资总额。</w:t>
      </w:r>
    </w:p>
    <w:p w14:paraId="6171DD11">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 xml:space="preserve">9 </w:t>
      </w:r>
      <w:r>
        <w:rPr>
          <w:rFonts w:hint="eastAsia" w:ascii="宋体" w:hAnsi="宋体" w:cs="宋体"/>
          <w:szCs w:val="21"/>
        </w:rPr>
        <w:t>发包人制定的有关学校内建设管理制度作为本合同一部分,承包人应认真遵守,不符合要求的,发包人有权依据管理办法进行处理。</w:t>
      </w:r>
    </w:p>
    <w:p w14:paraId="683AB48F">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10</w:t>
      </w:r>
      <w:r>
        <w:rPr>
          <w:rFonts w:hint="eastAsia" w:ascii="宋体" w:hAnsi="宋体" w:cs="宋体"/>
          <w:szCs w:val="21"/>
        </w:rPr>
        <w:t xml:space="preserve"> 本工程需要由发包人和承包人共同进行试验和检验的材料、工程设备和工艺：需相关部门专项验收或检测的工程由承包人确保验收合格，相应的费用已包含在投标报价中。</w:t>
      </w:r>
    </w:p>
    <w:p w14:paraId="2F2DB48E">
      <w:pPr>
        <w:spacing w:line="360" w:lineRule="auto"/>
        <w:rPr>
          <w:rFonts w:hint="eastAsia" w:ascii="宋体" w:hAnsi="宋体" w:cs="宋体"/>
          <w:szCs w:val="21"/>
        </w:rPr>
      </w:pPr>
      <w:r>
        <w:rPr>
          <w:rFonts w:hint="eastAsia" w:ascii="宋体" w:hAnsi="宋体" w:cs="宋体"/>
          <w:szCs w:val="21"/>
        </w:rPr>
        <w:t>25.</w:t>
      </w:r>
      <w:r>
        <w:rPr>
          <w:rFonts w:ascii="宋体" w:hAnsi="宋体" w:cs="宋体"/>
          <w:szCs w:val="21"/>
        </w:rPr>
        <w:t>11</w:t>
      </w:r>
      <w:r>
        <w:rPr>
          <w:rFonts w:hint="eastAsia" w:ascii="宋体" w:hAnsi="宋体" w:cs="宋体"/>
          <w:szCs w:val="21"/>
        </w:rPr>
        <w:t xml:space="preserve"> 承包人必须对发包人提供的临时供电设施进行看护、管理，并承担全部管理责任。工程和生活用水、电每月向发包人缴纳费用，发包人提供事业单位票据。相应的费用已包含在投标报价中。</w:t>
      </w:r>
    </w:p>
    <w:p w14:paraId="077486ED">
      <w:pPr>
        <w:spacing w:line="360" w:lineRule="auto"/>
        <w:rPr>
          <w:rFonts w:hint="eastAsia" w:ascii="宋体" w:hAnsi="宋体" w:cs="宋体"/>
          <w:kern w:val="0"/>
          <w:szCs w:val="21"/>
        </w:rPr>
      </w:pPr>
      <w:r>
        <w:rPr>
          <w:rFonts w:hint="eastAsia" w:ascii="宋体" w:hAnsi="宋体" w:cs="宋体"/>
          <w:szCs w:val="21"/>
        </w:rPr>
        <w:t>25.</w:t>
      </w:r>
      <w:r>
        <w:rPr>
          <w:rFonts w:ascii="宋体" w:hAnsi="宋体" w:cs="宋体"/>
          <w:szCs w:val="21"/>
        </w:rPr>
        <w:t>12</w:t>
      </w:r>
      <w:r>
        <w:rPr>
          <w:rFonts w:hint="eastAsia" w:ascii="宋体" w:hAnsi="宋体" w:cs="宋体"/>
          <w:szCs w:val="21"/>
        </w:rPr>
        <w:t xml:space="preserve"> 拆除工程</w:t>
      </w:r>
      <w:r>
        <w:rPr>
          <w:rFonts w:hint="eastAsia" w:ascii="宋体" w:hAnsi="宋体" w:cs="宋体"/>
          <w:kern w:val="0"/>
          <w:szCs w:val="21"/>
        </w:rPr>
        <w:t>相应的费用已包含在投标报价中。</w:t>
      </w:r>
    </w:p>
    <w:bookmarkEnd w:id="933"/>
    <w:p w14:paraId="1C68F5AF">
      <w:pPr>
        <w:spacing w:line="360" w:lineRule="auto"/>
        <w:rPr>
          <w:rFonts w:hint="eastAsia" w:ascii="宋体" w:hAnsi="宋体" w:cs="宋体"/>
          <w:sz w:val="24"/>
        </w:rPr>
      </w:pPr>
      <w:r>
        <w:rPr>
          <w:rFonts w:ascii="宋体" w:hAnsi="宋体" w:cs="宋体"/>
          <w:kern w:val="0"/>
          <w:sz w:val="24"/>
        </w:rPr>
        <w:br w:type="page"/>
      </w:r>
    </w:p>
    <w:bookmarkEnd w:id="935"/>
    <w:bookmarkEnd w:id="936"/>
    <w:bookmarkEnd w:id="937"/>
    <w:p w14:paraId="01A60E46">
      <w:pPr>
        <w:adjustRightInd w:val="0"/>
        <w:snapToGrid w:val="0"/>
        <w:spacing w:line="360" w:lineRule="auto"/>
        <w:outlineLvl w:val="2"/>
        <w:rPr>
          <w:rFonts w:hint="eastAsia" w:ascii="宋体" w:hAnsi="宋体"/>
          <w:sz w:val="24"/>
        </w:rPr>
      </w:pPr>
      <w:bookmarkStart w:id="962" w:name="_Toc196225952"/>
      <w:bookmarkStart w:id="963" w:name="_Toc342296517"/>
      <w:bookmarkStart w:id="964" w:name="_Toc241459758"/>
      <w:bookmarkStart w:id="965" w:name="_Toc111445503"/>
      <w:bookmarkStart w:id="966" w:name="_Toc503536378"/>
      <w:r>
        <w:rPr>
          <w:rFonts w:hint="eastAsia" w:ascii="宋体" w:hAnsi="宋体"/>
          <w:sz w:val="24"/>
        </w:rPr>
        <w:t>附件一：合同协议书</w:t>
      </w:r>
      <w:bookmarkEnd w:id="962"/>
    </w:p>
    <w:p w14:paraId="5A7E42C8">
      <w:pPr>
        <w:adjustRightInd w:val="0"/>
        <w:snapToGrid w:val="0"/>
        <w:spacing w:line="360" w:lineRule="auto"/>
        <w:jc w:val="center"/>
        <w:rPr>
          <w:rFonts w:hint="eastAsia" w:ascii="宋体" w:hAnsi="宋体"/>
          <w:sz w:val="28"/>
          <w:szCs w:val="28"/>
        </w:rPr>
      </w:pPr>
      <w:r>
        <w:rPr>
          <w:rFonts w:hint="eastAsia" w:ascii="宋体" w:hAnsi="宋体"/>
          <w:b/>
          <w:sz w:val="28"/>
          <w:szCs w:val="28"/>
        </w:rPr>
        <w:t>合同协议书</w:t>
      </w:r>
    </w:p>
    <w:p w14:paraId="38D4EB11">
      <w:pPr>
        <w:adjustRightInd w:val="0"/>
        <w:snapToGrid w:val="0"/>
        <w:spacing w:line="360" w:lineRule="auto"/>
        <w:ind w:firstLine="5250" w:firstLineChars="2500"/>
        <w:jc w:val="left"/>
        <w:rPr>
          <w:rFonts w:hint="eastAsia" w:ascii="宋体" w:hAnsi="宋体"/>
        </w:rPr>
      </w:pPr>
      <w:r>
        <w:rPr>
          <w:rFonts w:hint="eastAsia" w:ascii="宋体" w:hAnsi="宋体"/>
        </w:rPr>
        <w:t>编号：</w:t>
      </w:r>
      <w:r>
        <w:rPr>
          <w:rFonts w:ascii="宋体" w:hAnsi="宋体"/>
          <w:u w:val="single"/>
        </w:rPr>
        <w:t>___________________</w:t>
      </w:r>
    </w:p>
    <w:p w14:paraId="5B4ACC82">
      <w:pPr>
        <w:adjustRightInd w:val="0"/>
        <w:snapToGrid w:val="0"/>
        <w:spacing w:line="360" w:lineRule="auto"/>
        <w:rPr>
          <w:rFonts w:hint="eastAsia" w:ascii="宋体" w:hAnsi="宋体" w:cs="Arial"/>
          <w:szCs w:val="21"/>
        </w:rPr>
      </w:pPr>
      <w:r>
        <w:rPr>
          <w:rFonts w:ascii="宋体" w:hAnsi="宋体" w:cs="Arial"/>
          <w:szCs w:val="21"/>
        </w:rPr>
        <w:t>发包人</w:t>
      </w:r>
      <w:r>
        <w:rPr>
          <w:rFonts w:hint="eastAsia" w:ascii="宋体" w:hAnsi="宋体" w:cs="Arial"/>
          <w:szCs w:val="21"/>
        </w:rPr>
        <w:t>（全称）</w:t>
      </w:r>
      <w:r>
        <w:rPr>
          <w:rFonts w:ascii="宋体" w:hAnsi="宋体" w:cs="Arial"/>
          <w:szCs w:val="21"/>
        </w:rPr>
        <w:t>：</w:t>
      </w:r>
      <w:r>
        <w:rPr>
          <w:rFonts w:ascii="宋体" w:hAnsi="宋体" w:cs="Arial"/>
          <w:szCs w:val="21"/>
          <w:u w:val="single"/>
        </w:rPr>
        <w:t>______________________________________________________________</w:t>
      </w:r>
    </w:p>
    <w:p w14:paraId="5F946F31">
      <w:pPr>
        <w:adjustRightInd w:val="0"/>
        <w:snapToGrid w:val="0"/>
        <w:spacing w:line="360" w:lineRule="auto"/>
        <w:rPr>
          <w:rFonts w:hint="eastAsia" w:ascii="宋体" w:hAnsi="宋体"/>
          <w:szCs w:val="21"/>
        </w:rPr>
      </w:pPr>
      <w:r>
        <w:rPr>
          <w:rFonts w:hint="eastAsia" w:ascii="宋体" w:hAnsi="宋体"/>
          <w:szCs w:val="21"/>
        </w:rPr>
        <w:t>法 定 代 表 人：</w:t>
      </w:r>
      <w:r>
        <w:rPr>
          <w:rFonts w:ascii="宋体" w:hAnsi="宋体" w:cs="Arial"/>
          <w:szCs w:val="21"/>
          <w:u w:val="single"/>
        </w:rPr>
        <w:t>_____________________________________________________________</w:t>
      </w:r>
    </w:p>
    <w:p w14:paraId="5C7A8E14">
      <w:pPr>
        <w:adjustRightInd w:val="0"/>
        <w:snapToGrid w:val="0"/>
        <w:spacing w:line="360" w:lineRule="auto"/>
        <w:rPr>
          <w:rFonts w:hint="eastAsia" w:ascii="宋体" w:hAnsi="宋体"/>
          <w:szCs w:val="21"/>
        </w:rPr>
      </w:pPr>
      <w:r>
        <w:rPr>
          <w:rFonts w:hint="eastAsia" w:ascii="宋体" w:hAnsi="宋体"/>
          <w:szCs w:val="21"/>
        </w:rPr>
        <w:t>法定注册地址：</w:t>
      </w:r>
      <w:r>
        <w:rPr>
          <w:rFonts w:ascii="宋体" w:hAnsi="宋体"/>
          <w:szCs w:val="21"/>
          <w:u w:val="single"/>
        </w:rPr>
        <w:t>_______________________________________________________________</w:t>
      </w:r>
    </w:p>
    <w:p w14:paraId="64A988F4">
      <w:pPr>
        <w:adjustRightInd w:val="0"/>
        <w:snapToGrid w:val="0"/>
        <w:spacing w:line="360" w:lineRule="auto"/>
        <w:rPr>
          <w:rFonts w:hint="eastAsia" w:ascii="宋体" w:hAnsi="宋体"/>
          <w:szCs w:val="21"/>
        </w:rPr>
      </w:pPr>
      <w:r>
        <w:rPr>
          <w:rFonts w:hint="eastAsia" w:ascii="宋体" w:hAnsi="宋体"/>
          <w:szCs w:val="21"/>
        </w:rPr>
        <w:t>承包人（全称）：</w:t>
      </w:r>
      <w:r>
        <w:rPr>
          <w:rFonts w:ascii="宋体" w:hAnsi="宋体"/>
          <w:szCs w:val="21"/>
          <w:u w:val="single"/>
        </w:rPr>
        <w:t>______________________________________________________________</w:t>
      </w:r>
    </w:p>
    <w:p w14:paraId="56F7E3DD">
      <w:pPr>
        <w:adjustRightInd w:val="0"/>
        <w:snapToGrid w:val="0"/>
        <w:spacing w:line="360" w:lineRule="auto"/>
        <w:rPr>
          <w:rFonts w:hint="eastAsia" w:ascii="宋体" w:hAnsi="宋体"/>
          <w:szCs w:val="21"/>
        </w:rPr>
      </w:pPr>
      <w:r>
        <w:rPr>
          <w:rFonts w:hint="eastAsia" w:ascii="宋体" w:hAnsi="宋体"/>
          <w:szCs w:val="21"/>
        </w:rPr>
        <w:t>法 定 代 表 人：</w:t>
      </w:r>
      <w:r>
        <w:rPr>
          <w:rFonts w:ascii="宋体" w:hAnsi="宋体" w:cs="Arial"/>
          <w:szCs w:val="21"/>
          <w:u w:val="single"/>
        </w:rPr>
        <w:t>_____________________________________________________________</w:t>
      </w:r>
    </w:p>
    <w:p w14:paraId="7EED6C59">
      <w:pPr>
        <w:adjustRightInd w:val="0"/>
        <w:snapToGrid w:val="0"/>
        <w:spacing w:line="360" w:lineRule="auto"/>
        <w:rPr>
          <w:rFonts w:hint="eastAsia" w:ascii="宋体" w:hAnsi="宋体"/>
          <w:szCs w:val="21"/>
        </w:rPr>
      </w:pPr>
      <w:r>
        <w:rPr>
          <w:rFonts w:hint="eastAsia" w:ascii="宋体" w:hAnsi="宋体"/>
          <w:szCs w:val="21"/>
        </w:rPr>
        <w:t>法定注册地址：</w:t>
      </w:r>
      <w:r>
        <w:rPr>
          <w:rFonts w:ascii="宋体" w:hAnsi="宋体"/>
          <w:szCs w:val="21"/>
          <w:u w:val="single"/>
        </w:rPr>
        <w:t>_______________________________________________________________</w:t>
      </w:r>
    </w:p>
    <w:p w14:paraId="75629514">
      <w:pPr>
        <w:adjustRightInd w:val="0"/>
        <w:snapToGrid w:val="0"/>
        <w:spacing w:line="360" w:lineRule="auto"/>
        <w:ind w:firstLine="420" w:firstLineChars="200"/>
        <w:jc w:val="left"/>
        <w:rPr>
          <w:rFonts w:hint="eastAsia" w:ascii="宋体" w:hAnsi="宋体"/>
        </w:rPr>
      </w:pPr>
    </w:p>
    <w:p w14:paraId="61FE1F1E">
      <w:pPr>
        <w:adjustRightInd w:val="0"/>
        <w:snapToGrid w:val="0"/>
        <w:spacing w:line="360" w:lineRule="auto"/>
        <w:ind w:firstLine="420" w:firstLineChars="200"/>
        <w:jc w:val="left"/>
        <w:rPr>
          <w:rFonts w:hint="eastAsia" w:ascii="宋体" w:hAnsi="宋体"/>
        </w:rPr>
      </w:pPr>
      <w:r>
        <w:rPr>
          <w:rFonts w:hint="eastAsia" w:ascii="宋体" w:hAnsi="宋体"/>
          <w:szCs w:val="21"/>
        </w:rPr>
        <w:t>发包人为建设</w:t>
      </w:r>
      <w:r>
        <w:rPr>
          <w:rFonts w:ascii="宋体" w:hAnsi="宋体"/>
          <w:u w:val="single"/>
        </w:rPr>
        <w:t>_______________________________</w:t>
      </w:r>
      <w:r>
        <w:rPr>
          <w:rFonts w:hint="eastAsia" w:ascii="宋体" w:hAnsi="宋体"/>
          <w:szCs w:val="21"/>
        </w:rPr>
        <w:t>（以下简称“本工程”），已接受承包人提出的承担本工程的施工、竣工、交付并维修其任何缺陷的投标。</w:t>
      </w:r>
      <w:r>
        <w:rPr>
          <w:rFonts w:hint="eastAsia" w:ascii="宋体" w:hAnsi="宋体"/>
        </w:rPr>
        <w:t>依照《中华人民共和国招标投标法》、《中华人民共和国民法典》、《中华人民共和国建筑法》、及其他有关法律、行政法规，遵循平等、自愿、公平和诚实信用的原则，双方共同达成并订立如下协议。</w:t>
      </w:r>
    </w:p>
    <w:p w14:paraId="6CFCAFAA">
      <w:pPr>
        <w:adjustRightInd w:val="0"/>
        <w:snapToGrid w:val="0"/>
        <w:spacing w:line="360" w:lineRule="auto"/>
        <w:ind w:firstLine="420" w:firstLineChars="200"/>
        <w:jc w:val="left"/>
        <w:rPr>
          <w:rFonts w:hint="eastAsia" w:ascii="宋体" w:hAnsi="宋体"/>
        </w:rPr>
      </w:pPr>
      <w:r>
        <w:rPr>
          <w:rFonts w:hint="eastAsia" w:ascii="宋体" w:hAnsi="宋体"/>
        </w:rPr>
        <w:t>一、工程概况</w:t>
      </w:r>
    </w:p>
    <w:p w14:paraId="34EC10EF">
      <w:pPr>
        <w:adjustRightInd w:val="0"/>
        <w:snapToGrid w:val="0"/>
        <w:spacing w:line="360" w:lineRule="auto"/>
        <w:ind w:firstLine="420" w:firstLineChars="200"/>
        <w:jc w:val="left"/>
        <w:rPr>
          <w:rFonts w:hint="eastAsia" w:ascii="宋体" w:hAnsi="宋体"/>
        </w:rPr>
      </w:pPr>
      <w:r>
        <w:rPr>
          <w:rFonts w:hint="eastAsia" w:ascii="宋体" w:hAnsi="宋体"/>
        </w:rPr>
        <w:t>工程名称：</w:t>
      </w:r>
      <w:r>
        <w:rPr>
          <w:rFonts w:ascii="宋体" w:hAnsi="宋体"/>
          <w:u w:val="single"/>
        </w:rPr>
        <w:t>_________________________________________________________________</w:t>
      </w:r>
    </w:p>
    <w:p w14:paraId="5F52642F">
      <w:pPr>
        <w:adjustRightInd w:val="0"/>
        <w:snapToGrid w:val="0"/>
        <w:spacing w:line="360" w:lineRule="auto"/>
        <w:ind w:firstLine="420" w:firstLineChars="200"/>
        <w:jc w:val="left"/>
        <w:rPr>
          <w:rFonts w:hint="eastAsia" w:ascii="宋体" w:hAnsi="宋体"/>
        </w:rPr>
      </w:pPr>
      <w:r>
        <w:rPr>
          <w:rFonts w:hint="eastAsia" w:ascii="宋体" w:hAnsi="宋体"/>
        </w:rPr>
        <w:t>工程地点：</w:t>
      </w:r>
      <w:r>
        <w:rPr>
          <w:rFonts w:ascii="宋体" w:hAnsi="宋体"/>
          <w:u w:val="single"/>
        </w:rPr>
        <w:t>_________________________________________________________________</w:t>
      </w:r>
    </w:p>
    <w:p w14:paraId="76DA4439">
      <w:pPr>
        <w:adjustRightInd w:val="0"/>
        <w:snapToGrid w:val="0"/>
        <w:spacing w:line="360" w:lineRule="auto"/>
        <w:ind w:firstLine="420" w:firstLineChars="200"/>
        <w:jc w:val="left"/>
        <w:rPr>
          <w:rFonts w:hint="eastAsia" w:ascii="宋体" w:hAnsi="宋体"/>
        </w:rPr>
      </w:pPr>
      <w:r>
        <w:rPr>
          <w:rFonts w:hint="eastAsia" w:ascii="宋体" w:hAnsi="宋体"/>
        </w:rPr>
        <w:t>工程内容：</w:t>
      </w:r>
      <w:r>
        <w:rPr>
          <w:rFonts w:ascii="宋体" w:hAnsi="宋体"/>
          <w:u w:val="single"/>
        </w:rPr>
        <w:t>_________________________________________________________________</w:t>
      </w:r>
    </w:p>
    <w:p w14:paraId="2E784727">
      <w:pPr>
        <w:adjustRightInd w:val="0"/>
        <w:snapToGrid w:val="0"/>
        <w:spacing w:line="360" w:lineRule="auto"/>
        <w:ind w:firstLine="420" w:firstLineChars="200"/>
        <w:jc w:val="left"/>
        <w:rPr>
          <w:rFonts w:hint="eastAsia" w:ascii="宋体" w:hAnsi="宋体"/>
        </w:rPr>
      </w:pPr>
      <w:r>
        <w:rPr>
          <w:rFonts w:hint="eastAsia" w:ascii="宋体" w:hAnsi="宋体"/>
        </w:rPr>
        <w:t>群体工程应附“承包人承揽工程项目一览表”（附件二）</w:t>
      </w:r>
    </w:p>
    <w:p w14:paraId="574E742A">
      <w:pPr>
        <w:adjustRightInd w:val="0"/>
        <w:snapToGrid w:val="0"/>
        <w:spacing w:line="360" w:lineRule="auto"/>
        <w:ind w:firstLine="420" w:firstLineChars="200"/>
        <w:jc w:val="left"/>
        <w:rPr>
          <w:rFonts w:hint="eastAsia" w:ascii="宋体" w:hAnsi="宋体"/>
        </w:rPr>
      </w:pPr>
      <w:r>
        <w:rPr>
          <w:rFonts w:hint="eastAsia" w:ascii="宋体" w:hAnsi="宋体"/>
        </w:rPr>
        <w:t>工程立项批准文号：</w:t>
      </w:r>
      <w:r>
        <w:rPr>
          <w:rFonts w:ascii="宋体" w:hAnsi="宋体"/>
          <w:u w:val="single"/>
        </w:rPr>
        <w:t>_________________________________________________________</w:t>
      </w:r>
    </w:p>
    <w:p w14:paraId="77CB56A8">
      <w:pPr>
        <w:adjustRightInd w:val="0"/>
        <w:snapToGrid w:val="0"/>
        <w:spacing w:line="360" w:lineRule="auto"/>
        <w:ind w:firstLine="420" w:firstLineChars="200"/>
        <w:jc w:val="left"/>
        <w:rPr>
          <w:rFonts w:hint="eastAsia" w:ascii="宋体" w:hAnsi="宋体"/>
        </w:rPr>
      </w:pPr>
      <w:r>
        <w:rPr>
          <w:rFonts w:hint="eastAsia" w:ascii="宋体" w:hAnsi="宋体"/>
        </w:rPr>
        <w:t>资金来源：</w:t>
      </w:r>
      <w:r>
        <w:rPr>
          <w:rFonts w:ascii="宋体" w:hAnsi="宋体"/>
          <w:u w:val="single"/>
        </w:rPr>
        <w:t>_________________________________________________________________</w:t>
      </w:r>
    </w:p>
    <w:p w14:paraId="4EC85E58">
      <w:pPr>
        <w:adjustRightInd w:val="0"/>
        <w:snapToGrid w:val="0"/>
        <w:spacing w:line="360" w:lineRule="auto"/>
        <w:ind w:firstLine="420" w:firstLineChars="200"/>
        <w:jc w:val="left"/>
        <w:rPr>
          <w:rFonts w:hint="eastAsia" w:ascii="宋体" w:hAnsi="宋体"/>
        </w:rPr>
      </w:pPr>
      <w:r>
        <w:rPr>
          <w:rFonts w:hint="eastAsia" w:ascii="宋体" w:hAnsi="宋体"/>
        </w:rPr>
        <w:t>二、工程承包范围</w:t>
      </w:r>
    </w:p>
    <w:p w14:paraId="77D844C9">
      <w:pPr>
        <w:adjustRightInd w:val="0"/>
        <w:snapToGrid w:val="0"/>
        <w:spacing w:line="360" w:lineRule="auto"/>
        <w:ind w:firstLine="420" w:firstLineChars="200"/>
        <w:jc w:val="left"/>
        <w:rPr>
          <w:rFonts w:hint="eastAsia" w:ascii="宋体" w:hAnsi="宋体"/>
        </w:rPr>
      </w:pPr>
      <w:r>
        <w:rPr>
          <w:rFonts w:hint="eastAsia" w:ascii="宋体" w:hAnsi="宋体"/>
        </w:rPr>
        <w:t>承包范围：</w:t>
      </w:r>
      <w:r>
        <w:rPr>
          <w:rFonts w:ascii="宋体" w:hAnsi="宋体"/>
          <w:u w:val="single"/>
        </w:rPr>
        <w:t>_________________________________________________________________</w:t>
      </w:r>
    </w:p>
    <w:p w14:paraId="3ED3C5A9">
      <w:pPr>
        <w:adjustRightInd w:val="0"/>
        <w:snapToGrid w:val="0"/>
        <w:spacing w:line="360" w:lineRule="auto"/>
        <w:ind w:firstLine="420" w:firstLineChars="200"/>
        <w:jc w:val="left"/>
        <w:rPr>
          <w:rFonts w:hint="eastAsia" w:ascii="宋体" w:hAnsi="宋体"/>
        </w:rPr>
      </w:pPr>
      <w:r>
        <w:rPr>
          <w:rFonts w:hint="eastAsia" w:ascii="宋体" w:hAnsi="宋体"/>
        </w:rPr>
        <w:t>详细承包范围见第五章“技术标准和要求”。</w:t>
      </w:r>
    </w:p>
    <w:p w14:paraId="5D52BAEF">
      <w:pPr>
        <w:adjustRightInd w:val="0"/>
        <w:snapToGrid w:val="0"/>
        <w:spacing w:line="360" w:lineRule="auto"/>
        <w:ind w:firstLine="420" w:firstLineChars="200"/>
        <w:jc w:val="left"/>
        <w:rPr>
          <w:rFonts w:hint="eastAsia" w:ascii="宋体" w:hAnsi="宋体"/>
        </w:rPr>
      </w:pPr>
      <w:r>
        <w:rPr>
          <w:rFonts w:hint="eastAsia" w:ascii="宋体" w:hAnsi="宋体"/>
        </w:rPr>
        <w:t>三、合同工期</w:t>
      </w:r>
    </w:p>
    <w:p w14:paraId="49DA5B29">
      <w:pPr>
        <w:adjustRightInd w:val="0"/>
        <w:snapToGrid w:val="0"/>
        <w:spacing w:line="360" w:lineRule="auto"/>
        <w:ind w:firstLine="420" w:firstLineChars="200"/>
        <w:jc w:val="left"/>
        <w:rPr>
          <w:rFonts w:hint="eastAsia" w:ascii="宋体" w:hAnsi="宋体"/>
        </w:rPr>
      </w:pPr>
      <w:r>
        <w:rPr>
          <w:rFonts w:hint="eastAsia" w:ascii="宋体" w:hAnsi="宋体"/>
        </w:rPr>
        <w:t>计划开工日期：</w:t>
      </w:r>
      <w:r>
        <w:rPr>
          <w:rFonts w:ascii="宋体" w:hAnsi="宋体"/>
          <w:u w:val="single"/>
        </w:rPr>
        <w:t>________</w:t>
      </w:r>
      <w:r>
        <w:rPr>
          <w:rFonts w:hint="eastAsia" w:ascii="宋体" w:hAnsi="宋体"/>
        </w:rPr>
        <w:t>年</w:t>
      </w:r>
      <w:r>
        <w:rPr>
          <w:rFonts w:ascii="宋体" w:hAnsi="宋体"/>
          <w:u w:val="single"/>
        </w:rPr>
        <w:t>________</w:t>
      </w:r>
      <w:r>
        <w:rPr>
          <w:rFonts w:hint="eastAsia" w:ascii="宋体" w:hAnsi="宋体"/>
        </w:rPr>
        <w:t>月</w:t>
      </w:r>
      <w:r>
        <w:rPr>
          <w:rFonts w:ascii="宋体" w:hAnsi="宋体"/>
          <w:u w:val="single"/>
        </w:rPr>
        <w:t>________</w:t>
      </w:r>
      <w:r>
        <w:rPr>
          <w:rFonts w:hint="eastAsia" w:ascii="宋体" w:hAnsi="宋体"/>
        </w:rPr>
        <w:t>日</w:t>
      </w:r>
    </w:p>
    <w:p w14:paraId="58E802CB">
      <w:pPr>
        <w:adjustRightInd w:val="0"/>
        <w:snapToGrid w:val="0"/>
        <w:spacing w:line="360" w:lineRule="auto"/>
        <w:ind w:firstLine="420" w:firstLineChars="200"/>
        <w:jc w:val="left"/>
        <w:rPr>
          <w:rFonts w:hint="eastAsia" w:ascii="宋体" w:hAnsi="宋体"/>
        </w:rPr>
      </w:pPr>
      <w:r>
        <w:rPr>
          <w:rFonts w:hint="eastAsia" w:ascii="宋体" w:hAnsi="宋体"/>
        </w:rPr>
        <w:t>计划竣工日期：</w:t>
      </w:r>
      <w:r>
        <w:rPr>
          <w:rFonts w:ascii="宋体" w:hAnsi="宋体"/>
          <w:u w:val="single"/>
        </w:rPr>
        <w:t>________</w:t>
      </w:r>
      <w:r>
        <w:rPr>
          <w:rFonts w:hint="eastAsia" w:ascii="宋体" w:hAnsi="宋体"/>
        </w:rPr>
        <w:t>年</w:t>
      </w:r>
      <w:r>
        <w:rPr>
          <w:rFonts w:ascii="宋体" w:hAnsi="宋体"/>
          <w:u w:val="single"/>
        </w:rPr>
        <w:t>________</w:t>
      </w:r>
      <w:r>
        <w:rPr>
          <w:rFonts w:hint="eastAsia" w:ascii="宋体" w:hAnsi="宋体"/>
        </w:rPr>
        <w:t>月</w:t>
      </w:r>
      <w:r>
        <w:rPr>
          <w:rFonts w:ascii="宋体" w:hAnsi="宋体"/>
          <w:u w:val="single"/>
        </w:rPr>
        <w:t>________</w:t>
      </w:r>
      <w:r>
        <w:rPr>
          <w:rFonts w:hint="eastAsia" w:ascii="宋体" w:hAnsi="宋体"/>
        </w:rPr>
        <w:t>日</w:t>
      </w:r>
    </w:p>
    <w:p w14:paraId="57C009D9">
      <w:pPr>
        <w:adjustRightInd w:val="0"/>
        <w:snapToGrid w:val="0"/>
        <w:spacing w:line="360" w:lineRule="auto"/>
        <w:ind w:firstLine="420" w:firstLineChars="200"/>
        <w:jc w:val="left"/>
        <w:rPr>
          <w:rFonts w:hint="eastAsia" w:ascii="宋体" w:hAnsi="宋体"/>
        </w:rPr>
      </w:pPr>
      <w:r>
        <w:rPr>
          <w:rFonts w:hint="eastAsia" w:ascii="宋体" w:hAnsi="宋体"/>
        </w:rPr>
        <w:t>工期总日历天数</w:t>
      </w:r>
      <w:r>
        <w:rPr>
          <w:rFonts w:ascii="宋体" w:hAnsi="宋体"/>
          <w:u w:val="single"/>
        </w:rPr>
        <w:t>________________________</w:t>
      </w:r>
      <w:r>
        <w:rPr>
          <w:rFonts w:hint="eastAsia" w:ascii="宋体" w:hAnsi="宋体"/>
        </w:rPr>
        <w:t>天，自监理人发出的开工通知中载明的开工日期起算。</w:t>
      </w:r>
    </w:p>
    <w:p w14:paraId="7D46BD71">
      <w:pPr>
        <w:adjustRightInd w:val="0"/>
        <w:snapToGrid w:val="0"/>
        <w:spacing w:line="360" w:lineRule="auto"/>
        <w:ind w:firstLine="420" w:firstLineChars="200"/>
        <w:jc w:val="left"/>
        <w:rPr>
          <w:rFonts w:hint="eastAsia" w:ascii="宋体" w:hAnsi="宋体"/>
        </w:rPr>
      </w:pPr>
      <w:r>
        <w:rPr>
          <w:rFonts w:hint="eastAsia" w:ascii="宋体" w:hAnsi="宋体"/>
        </w:rPr>
        <w:t>四、质量标准</w:t>
      </w:r>
    </w:p>
    <w:p w14:paraId="1DDEA2AC">
      <w:pPr>
        <w:adjustRightInd w:val="0"/>
        <w:snapToGrid w:val="0"/>
        <w:spacing w:line="360" w:lineRule="auto"/>
        <w:ind w:firstLine="420" w:firstLineChars="200"/>
        <w:jc w:val="left"/>
        <w:rPr>
          <w:rFonts w:hint="eastAsia" w:ascii="宋体" w:hAnsi="宋体"/>
        </w:rPr>
      </w:pPr>
      <w:r>
        <w:rPr>
          <w:rFonts w:hint="eastAsia" w:ascii="宋体" w:hAnsi="宋体"/>
        </w:rPr>
        <w:t>工程质量标准：</w:t>
      </w:r>
      <w:r>
        <w:rPr>
          <w:rFonts w:ascii="宋体" w:hAnsi="宋体"/>
          <w:u w:val="single"/>
        </w:rPr>
        <w:t>_____________________________________________________________</w:t>
      </w:r>
    </w:p>
    <w:p w14:paraId="01135576">
      <w:pPr>
        <w:adjustRightInd w:val="0"/>
        <w:snapToGrid w:val="0"/>
        <w:spacing w:line="360" w:lineRule="auto"/>
        <w:ind w:firstLine="420" w:firstLineChars="200"/>
        <w:jc w:val="left"/>
        <w:rPr>
          <w:rFonts w:hint="eastAsia" w:ascii="宋体" w:hAnsi="宋体"/>
        </w:rPr>
      </w:pPr>
      <w:r>
        <w:rPr>
          <w:rFonts w:hint="eastAsia" w:ascii="宋体" w:hAnsi="宋体"/>
        </w:rPr>
        <w:t>五、施工现场安全生产标准化管理目标等级要求</w:t>
      </w:r>
    </w:p>
    <w:p w14:paraId="5DC25373">
      <w:pPr>
        <w:adjustRightInd w:val="0"/>
        <w:snapToGrid w:val="0"/>
        <w:spacing w:line="360" w:lineRule="auto"/>
        <w:ind w:firstLine="420" w:firstLineChars="200"/>
        <w:jc w:val="left"/>
        <w:rPr>
          <w:rFonts w:hint="eastAsia" w:ascii="宋体" w:hAnsi="宋体"/>
        </w:rPr>
      </w:pPr>
      <w:r>
        <w:rPr>
          <w:rFonts w:hint="eastAsia" w:ascii="宋体" w:hAnsi="宋体"/>
        </w:rPr>
        <w:t>施工现场安全生产标准化管理目标等级：</w:t>
      </w:r>
      <w:r>
        <w:rPr>
          <w:rFonts w:ascii="宋体" w:hAnsi="宋体"/>
          <w:u w:val="single"/>
        </w:rPr>
        <w:t>_______________________________________</w:t>
      </w:r>
    </w:p>
    <w:p w14:paraId="03085CD7">
      <w:pPr>
        <w:adjustRightInd w:val="0"/>
        <w:snapToGrid w:val="0"/>
        <w:spacing w:line="360" w:lineRule="auto"/>
        <w:ind w:firstLine="420" w:firstLineChars="200"/>
        <w:jc w:val="left"/>
        <w:rPr>
          <w:rFonts w:hint="eastAsia" w:ascii="宋体" w:hAnsi="宋体"/>
        </w:rPr>
      </w:pPr>
      <w:r>
        <w:rPr>
          <w:rFonts w:hint="eastAsia" w:ascii="宋体" w:hAnsi="宋体"/>
        </w:rPr>
        <w:t>六、合同形式</w:t>
      </w:r>
    </w:p>
    <w:p w14:paraId="72DE5EEC">
      <w:pPr>
        <w:adjustRightInd w:val="0"/>
        <w:snapToGrid w:val="0"/>
        <w:spacing w:line="360" w:lineRule="auto"/>
        <w:ind w:firstLine="420" w:firstLineChars="200"/>
        <w:jc w:val="left"/>
        <w:rPr>
          <w:rFonts w:hint="eastAsia" w:ascii="宋体" w:hAnsi="宋体"/>
        </w:rPr>
      </w:pPr>
      <w:r>
        <w:rPr>
          <w:rFonts w:hint="eastAsia" w:ascii="宋体" w:hAnsi="宋体"/>
        </w:rPr>
        <w:t>本合同采用</w:t>
      </w:r>
      <w:r>
        <w:rPr>
          <w:rFonts w:ascii="宋体" w:hAnsi="宋体"/>
          <w:u w:val="single"/>
        </w:rPr>
        <w:t>_______________________________________________________</w:t>
      </w:r>
      <w:r>
        <w:rPr>
          <w:rFonts w:hint="eastAsia" w:ascii="宋体" w:hAnsi="宋体"/>
        </w:rPr>
        <w:t>合同形式</w:t>
      </w:r>
      <w:r>
        <w:rPr>
          <w:rFonts w:ascii="宋体" w:hAnsi="宋体"/>
        </w:rPr>
        <w:t>。</w:t>
      </w:r>
    </w:p>
    <w:p w14:paraId="57EC7421">
      <w:pPr>
        <w:adjustRightInd w:val="0"/>
        <w:snapToGrid w:val="0"/>
        <w:spacing w:line="360" w:lineRule="auto"/>
        <w:ind w:firstLine="420" w:firstLineChars="200"/>
        <w:jc w:val="left"/>
        <w:rPr>
          <w:rFonts w:hint="eastAsia" w:ascii="宋体" w:hAnsi="宋体"/>
          <w:bCs/>
        </w:rPr>
      </w:pPr>
      <w:r>
        <w:rPr>
          <w:rFonts w:hint="eastAsia" w:ascii="宋体" w:hAnsi="宋体"/>
          <w:bCs/>
        </w:rPr>
        <w:t>七、签约合同价</w:t>
      </w:r>
    </w:p>
    <w:p w14:paraId="252FF23A">
      <w:pPr>
        <w:adjustRightInd w:val="0"/>
        <w:snapToGrid w:val="0"/>
        <w:spacing w:line="360" w:lineRule="auto"/>
        <w:ind w:firstLine="420" w:firstLineChars="200"/>
        <w:jc w:val="left"/>
        <w:rPr>
          <w:rFonts w:hint="eastAsia" w:ascii="宋体" w:hAnsi="宋体"/>
        </w:rPr>
      </w:pPr>
      <w:r>
        <w:rPr>
          <w:rFonts w:hint="eastAsia" w:ascii="宋体" w:hAnsi="宋体"/>
        </w:rPr>
        <w:t>金额（大写）：</w:t>
      </w:r>
      <w:r>
        <w:rPr>
          <w:rFonts w:ascii="宋体" w:hAnsi="宋体"/>
          <w:u w:val="single"/>
        </w:rPr>
        <w:t>____________________________________________________</w:t>
      </w:r>
      <w:r>
        <w:rPr>
          <w:rFonts w:hint="eastAsia" w:ascii="宋体" w:hAnsi="宋体"/>
        </w:rPr>
        <w:t>（人民币）</w:t>
      </w:r>
    </w:p>
    <w:p w14:paraId="3B6C658D">
      <w:pPr>
        <w:adjustRightInd w:val="0"/>
        <w:snapToGrid w:val="0"/>
        <w:spacing w:line="360" w:lineRule="auto"/>
        <w:ind w:firstLine="420" w:firstLineChars="200"/>
        <w:jc w:val="left"/>
        <w:rPr>
          <w:rFonts w:hint="eastAsia" w:ascii="宋体" w:hAnsi="宋体"/>
        </w:rPr>
      </w:pPr>
      <w:r>
        <w:rPr>
          <w:rFonts w:hint="eastAsia" w:ascii="宋体" w:hAnsi="宋体"/>
        </w:rPr>
        <w:t>（小写）</w:t>
      </w:r>
      <w:r>
        <w:t>¥</w:t>
      </w:r>
      <w:r>
        <w:rPr>
          <w:rFonts w:hint="eastAsia" w:ascii="宋体" w:hAnsi="宋体"/>
        </w:rPr>
        <w:t>：</w:t>
      </w:r>
      <w:r>
        <w:rPr>
          <w:rFonts w:ascii="宋体" w:hAnsi="宋体"/>
          <w:u w:val="single"/>
        </w:rPr>
        <w:t>_____________________________________________________________</w:t>
      </w:r>
      <w:r>
        <w:rPr>
          <w:rFonts w:hint="eastAsia" w:ascii="宋体" w:hAnsi="宋体"/>
        </w:rPr>
        <w:t>元</w:t>
      </w:r>
    </w:p>
    <w:p w14:paraId="48809AD4">
      <w:pPr>
        <w:adjustRightInd w:val="0"/>
        <w:snapToGrid w:val="0"/>
        <w:spacing w:line="360" w:lineRule="auto"/>
        <w:ind w:firstLine="420" w:firstLineChars="200"/>
        <w:jc w:val="left"/>
        <w:rPr>
          <w:rFonts w:hint="eastAsia" w:ascii="宋体" w:hAnsi="宋体"/>
        </w:rPr>
      </w:pPr>
      <w:r>
        <w:rPr>
          <w:rFonts w:hint="eastAsia" w:ascii="宋体" w:hAnsi="宋体"/>
        </w:rPr>
        <w:t>其中：安全文明施工费（含税）：</w:t>
      </w:r>
      <w:r>
        <w:rPr>
          <w:rFonts w:ascii="宋体" w:hAnsi="宋体"/>
          <w:u w:val="single"/>
        </w:rPr>
        <w:t>___________________________________________</w:t>
      </w:r>
      <w:r>
        <w:rPr>
          <w:rFonts w:hint="eastAsia" w:ascii="宋体" w:hAnsi="宋体"/>
        </w:rPr>
        <w:t>元</w:t>
      </w:r>
    </w:p>
    <w:p w14:paraId="08C0913C">
      <w:pPr>
        <w:adjustRightInd w:val="0"/>
        <w:snapToGrid w:val="0"/>
        <w:spacing w:line="360" w:lineRule="auto"/>
        <w:ind w:firstLine="420" w:firstLineChars="200"/>
        <w:jc w:val="left"/>
        <w:rPr>
          <w:rFonts w:hint="eastAsia" w:ascii="宋体" w:hAnsi="宋体"/>
        </w:rPr>
      </w:pPr>
      <w:r>
        <w:rPr>
          <w:rFonts w:hint="eastAsia" w:ascii="宋体" w:hAnsi="宋体"/>
        </w:rPr>
        <w:t>建筑垃圾运输处置费（含税）：</w:t>
      </w:r>
      <w:r>
        <w:rPr>
          <w:rFonts w:ascii="宋体" w:hAnsi="宋体"/>
          <w:u w:val="single"/>
        </w:rPr>
        <w:t>_____________________________________________</w:t>
      </w:r>
      <w:r>
        <w:rPr>
          <w:rFonts w:hint="eastAsia" w:ascii="宋体" w:hAnsi="宋体"/>
        </w:rPr>
        <w:t>元</w:t>
      </w:r>
    </w:p>
    <w:p w14:paraId="5E905295">
      <w:pPr>
        <w:adjustRightInd w:val="0"/>
        <w:snapToGrid w:val="0"/>
        <w:spacing w:line="360" w:lineRule="auto"/>
        <w:ind w:firstLine="420" w:firstLineChars="200"/>
        <w:jc w:val="left"/>
        <w:rPr>
          <w:rFonts w:hint="eastAsia" w:ascii="宋体" w:hAnsi="宋体"/>
        </w:rPr>
      </w:pPr>
      <w:r>
        <w:rPr>
          <w:rFonts w:hint="eastAsia" w:ascii="宋体" w:hAnsi="宋体"/>
        </w:rPr>
        <w:t>暂列金额（含税）：</w:t>
      </w:r>
      <w:r>
        <w:rPr>
          <w:rFonts w:ascii="宋体" w:hAnsi="宋体"/>
          <w:u w:val="single"/>
        </w:rPr>
        <w:t>________________________________________________</w:t>
      </w:r>
      <w:r>
        <w:rPr>
          <w:rFonts w:hint="eastAsia" w:ascii="宋体" w:hAnsi="宋体"/>
        </w:rPr>
        <w:t>元</w:t>
      </w:r>
    </w:p>
    <w:p w14:paraId="61BD0946">
      <w:pPr>
        <w:adjustRightInd w:val="0"/>
        <w:snapToGrid w:val="0"/>
        <w:spacing w:line="360" w:lineRule="auto"/>
        <w:ind w:firstLine="420" w:firstLineChars="200"/>
        <w:jc w:val="left"/>
        <w:rPr>
          <w:rFonts w:hint="eastAsia" w:ascii="宋体" w:hAnsi="宋体"/>
        </w:rPr>
      </w:pPr>
      <w:r>
        <w:rPr>
          <w:rFonts w:hint="eastAsia" w:ascii="宋体" w:hAnsi="宋体"/>
          <w:bCs/>
        </w:rPr>
        <w:t>专业工程暂估价</w:t>
      </w:r>
      <w:r>
        <w:rPr>
          <w:rFonts w:hint="eastAsia" w:ascii="宋体" w:hAnsi="宋体"/>
        </w:rPr>
        <w:t>（含税）</w:t>
      </w:r>
      <w:r>
        <w:rPr>
          <w:rFonts w:hint="eastAsia" w:ascii="宋体" w:hAnsi="宋体"/>
          <w:bCs/>
        </w:rPr>
        <w:t>：</w:t>
      </w:r>
      <w:r>
        <w:rPr>
          <w:rFonts w:ascii="宋体" w:hAnsi="宋体"/>
          <w:u w:val="single"/>
        </w:rPr>
        <w:t>__________________________________________</w:t>
      </w:r>
      <w:r>
        <w:rPr>
          <w:rFonts w:hint="eastAsia" w:ascii="宋体" w:hAnsi="宋体"/>
        </w:rPr>
        <w:t>元</w:t>
      </w:r>
    </w:p>
    <w:p w14:paraId="2C19B8E5">
      <w:pPr>
        <w:adjustRightInd w:val="0"/>
        <w:snapToGrid w:val="0"/>
        <w:spacing w:line="360" w:lineRule="auto"/>
        <w:ind w:firstLine="420" w:firstLineChars="200"/>
        <w:jc w:val="left"/>
        <w:rPr>
          <w:rFonts w:hint="eastAsia" w:ascii="宋体" w:hAnsi="宋体"/>
        </w:rPr>
      </w:pPr>
      <w:r>
        <w:rPr>
          <w:rFonts w:ascii="宋体" w:hAnsi="宋体"/>
        </w:rPr>
        <w:t>……</w:t>
      </w:r>
    </w:p>
    <w:p w14:paraId="71D6E355">
      <w:pPr>
        <w:adjustRightInd w:val="0"/>
        <w:snapToGrid w:val="0"/>
        <w:spacing w:line="360" w:lineRule="auto"/>
        <w:ind w:firstLine="420" w:firstLineChars="200"/>
        <w:jc w:val="left"/>
        <w:rPr>
          <w:rFonts w:hint="eastAsia" w:ascii="宋体" w:hAnsi="宋体"/>
          <w:bCs/>
        </w:rPr>
      </w:pPr>
      <w:r>
        <w:rPr>
          <w:rFonts w:hint="eastAsia" w:ascii="宋体" w:hAnsi="宋体"/>
          <w:bCs/>
        </w:rPr>
        <w:t>八、承包人项目经理：</w:t>
      </w:r>
    </w:p>
    <w:p w14:paraId="5BDC324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姓名：</w:t>
      </w:r>
      <w:r>
        <w:rPr>
          <w:rFonts w:ascii="宋体" w:hAnsi="宋体"/>
          <w:szCs w:val="21"/>
          <w:u w:val="single"/>
        </w:rPr>
        <w:t>___________________________</w:t>
      </w:r>
      <w:r>
        <w:rPr>
          <w:rFonts w:hint="eastAsia" w:ascii="宋体" w:hAnsi="宋体"/>
          <w:szCs w:val="21"/>
        </w:rPr>
        <w:t>；      职称：</w:t>
      </w:r>
      <w:r>
        <w:rPr>
          <w:rFonts w:ascii="宋体" w:hAnsi="宋体"/>
          <w:szCs w:val="21"/>
          <w:u w:val="single"/>
        </w:rPr>
        <w:t>__________________________</w:t>
      </w:r>
      <w:r>
        <w:rPr>
          <w:rFonts w:hint="eastAsia" w:ascii="宋体" w:hAnsi="宋体"/>
          <w:szCs w:val="21"/>
        </w:rPr>
        <w:t>；</w:t>
      </w:r>
    </w:p>
    <w:p w14:paraId="2981DE7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身份证号：</w:t>
      </w:r>
      <w:r>
        <w:rPr>
          <w:rFonts w:ascii="宋体" w:hAnsi="宋体"/>
          <w:szCs w:val="21"/>
          <w:u w:val="single"/>
        </w:rPr>
        <w:t>_______________________</w:t>
      </w:r>
      <w:r>
        <w:rPr>
          <w:rFonts w:hint="eastAsia" w:ascii="宋体" w:hAnsi="宋体"/>
          <w:szCs w:val="21"/>
        </w:rPr>
        <w:t>；      建造师执业资格证书号：</w:t>
      </w:r>
      <w:r>
        <w:rPr>
          <w:rFonts w:ascii="宋体" w:hAnsi="宋体"/>
          <w:szCs w:val="21"/>
          <w:u w:val="single"/>
        </w:rPr>
        <w:t>__________</w:t>
      </w:r>
      <w:r>
        <w:rPr>
          <w:rFonts w:hint="eastAsia" w:ascii="宋体" w:hAnsi="宋体"/>
          <w:szCs w:val="21"/>
        </w:rPr>
        <w:t>；</w:t>
      </w:r>
    </w:p>
    <w:p w14:paraId="7640E4DB">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建造师注册证书号：</w:t>
      </w:r>
      <w:r>
        <w:rPr>
          <w:rFonts w:ascii="宋体" w:hAnsi="宋体"/>
          <w:szCs w:val="21"/>
          <w:u w:val="single"/>
        </w:rPr>
        <w:t>_______________________________________________________</w:t>
      </w:r>
      <w:r>
        <w:rPr>
          <w:rFonts w:hint="eastAsia" w:ascii="宋体" w:hAnsi="宋体"/>
          <w:szCs w:val="21"/>
        </w:rPr>
        <w:t>。</w:t>
      </w:r>
    </w:p>
    <w:p w14:paraId="32988D0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建造师执业印章号：</w:t>
      </w:r>
      <w:r>
        <w:rPr>
          <w:rFonts w:ascii="宋体" w:hAnsi="宋体"/>
          <w:szCs w:val="21"/>
          <w:u w:val="single"/>
        </w:rPr>
        <w:t>_______________________________________________________</w:t>
      </w:r>
      <w:r>
        <w:rPr>
          <w:rFonts w:hint="eastAsia" w:ascii="宋体" w:hAnsi="宋体"/>
          <w:szCs w:val="21"/>
        </w:rPr>
        <w:t>。</w:t>
      </w:r>
    </w:p>
    <w:p w14:paraId="2167664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安全生产考核合格证书号：</w:t>
      </w:r>
      <w:r>
        <w:rPr>
          <w:rFonts w:ascii="宋体" w:hAnsi="宋体"/>
          <w:szCs w:val="21"/>
          <w:u w:val="single"/>
        </w:rPr>
        <w:t>_________________________________________________</w:t>
      </w:r>
      <w:r>
        <w:rPr>
          <w:rFonts w:hint="eastAsia" w:ascii="宋体" w:hAnsi="宋体"/>
          <w:szCs w:val="21"/>
        </w:rPr>
        <w:t>。</w:t>
      </w:r>
    </w:p>
    <w:p w14:paraId="16CB09EF">
      <w:pPr>
        <w:adjustRightInd w:val="0"/>
        <w:snapToGrid w:val="0"/>
        <w:spacing w:line="360" w:lineRule="auto"/>
        <w:ind w:firstLine="420" w:firstLineChars="200"/>
        <w:jc w:val="left"/>
        <w:rPr>
          <w:rFonts w:hint="eastAsia" w:ascii="宋体" w:hAnsi="宋体"/>
        </w:rPr>
      </w:pPr>
      <w:r>
        <w:rPr>
          <w:rFonts w:hint="eastAsia" w:ascii="宋体" w:hAnsi="宋体"/>
        </w:rPr>
        <w:t>九、合同文件的组成</w:t>
      </w:r>
    </w:p>
    <w:p w14:paraId="0648D76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下列文件共同构成合同文件：</w:t>
      </w:r>
    </w:p>
    <w:p w14:paraId="337BC855">
      <w:pPr>
        <w:adjustRightInd w:val="0"/>
        <w:snapToGrid w:val="0"/>
        <w:spacing w:line="360" w:lineRule="auto"/>
        <w:ind w:firstLine="420" w:firstLineChars="200"/>
        <w:jc w:val="left"/>
        <w:rPr>
          <w:rFonts w:hint="eastAsia" w:ascii="宋体" w:hAnsi="宋体"/>
        </w:rPr>
      </w:pPr>
      <w:r>
        <w:rPr>
          <w:rFonts w:hint="eastAsia" w:ascii="宋体" w:hAnsi="宋体"/>
        </w:rPr>
        <w:t>1、本协议书；</w:t>
      </w:r>
    </w:p>
    <w:p w14:paraId="2EC136C7">
      <w:pPr>
        <w:adjustRightInd w:val="0"/>
        <w:snapToGrid w:val="0"/>
        <w:spacing w:line="360" w:lineRule="auto"/>
        <w:ind w:firstLine="420" w:firstLineChars="200"/>
        <w:jc w:val="left"/>
        <w:rPr>
          <w:rFonts w:hint="eastAsia" w:ascii="宋体" w:hAnsi="宋体"/>
        </w:rPr>
      </w:pPr>
      <w:r>
        <w:rPr>
          <w:rFonts w:hint="eastAsia" w:ascii="宋体" w:hAnsi="宋体"/>
        </w:rPr>
        <w:t>2、成交通知书；</w:t>
      </w:r>
    </w:p>
    <w:p w14:paraId="455F3839">
      <w:pPr>
        <w:adjustRightInd w:val="0"/>
        <w:snapToGrid w:val="0"/>
        <w:spacing w:line="360" w:lineRule="auto"/>
        <w:ind w:firstLine="420" w:firstLineChars="200"/>
        <w:jc w:val="left"/>
        <w:rPr>
          <w:rFonts w:hint="eastAsia" w:ascii="宋体" w:hAnsi="宋体"/>
        </w:rPr>
      </w:pPr>
      <w:r>
        <w:rPr>
          <w:rFonts w:hint="eastAsia" w:ascii="宋体" w:hAnsi="宋体"/>
        </w:rPr>
        <w:t>3、</w:t>
      </w:r>
      <w:r>
        <w:rPr>
          <w:rFonts w:hint="eastAsia" w:ascii="宋体" w:hAnsi="宋体"/>
          <w:szCs w:val="21"/>
        </w:rPr>
        <w:t>投标函及投标函附录</w:t>
      </w:r>
      <w:r>
        <w:rPr>
          <w:rFonts w:hint="eastAsia" w:ascii="宋体" w:hAnsi="宋体"/>
        </w:rPr>
        <w:t>；</w:t>
      </w:r>
    </w:p>
    <w:p w14:paraId="70FCCAEE">
      <w:pPr>
        <w:adjustRightInd w:val="0"/>
        <w:snapToGrid w:val="0"/>
        <w:spacing w:line="360" w:lineRule="auto"/>
        <w:ind w:firstLine="420" w:firstLineChars="200"/>
        <w:jc w:val="left"/>
        <w:rPr>
          <w:rFonts w:hint="eastAsia" w:ascii="宋体" w:hAnsi="宋体"/>
        </w:rPr>
      </w:pPr>
      <w:r>
        <w:rPr>
          <w:rFonts w:hint="eastAsia" w:ascii="宋体" w:hAnsi="宋体"/>
        </w:rPr>
        <w:t>4、合同条款专用部分；</w:t>
      </w:r>
    </w:p>
    <w:p w14:paraId="2D01FFB4">
      <w:pPr>
        <w:adjustRightInd w:val="0"/>
        <w:snapToGrid w:val="0"/>
        <w:spacing w:line="360" w:lineRule="auto"/>
        <w:ind w:firstLine="420" w:firstLineChars="200"/>
        <w:jc w:val="left"/>
        <w:rPr>
          <w:rFonts w:hint="eastAsia" w:ascii="宋体" w:hAnsi="宋体"/>
        </w:rPr>
      </w:pPr>
      <w:r>
        <w:rPr>
          <w:rFonts w:hint="eastAsia" w:ascii="宋体" w:hAnsi="宋体"/>
        </w:rPr>
        <w:t>5、合同条款通用部分；</w:t>
      </w:r>
    </w:p>
    <w:p w14:paraId="40BB5DF4">
      <w:pPr>
        <w:adjustRightInd w:val="0"/>
        <w:snapToGrid w:val="0"/>
        <w:spacing w:line="360" w:lineRule="auto"/>
        <w:ind w:firstLine="420" w:firstLineChars="200"/>
        <w:jc w:val="left"/>
        <w:rPr>
          <w:rFonts w:hint="eastAsia" w:ascii="宋体" w:hAnsi="宋体"/>
        </w:rPr>
      </w:pPr>
      <w:r>
        <w:rPr>
          <w:rFonts w:hint="eastAsia" w:ascii="宋体" w:hAnsi="宋体"/>
        </w:rPr>
        <w:t>6、</w:t>
      </w:r>
      <w:r>
        <w:rPr>
          <w:rFonts w:hint="eastAsia" w:ascii="宋体" w:hAnsi="宋体"/>
          <w:szCs w:val="21"/>
        </w:rPr>
        <w:t>技术标准和要求；</w:t>
      </w:r>
    </w:p>
    <w:p w14:paraId="6F103101">
      <w:pPr>
        <w:adjustRightInd w:val="0"/>
        <w:snapToGrid w:val="0"/>
        <w:spacing w:line="360" w:lineRule="auto"/>
        <w:ind w:firstLine="420" w:firstLineChars="200"/>
        <w:jc w:val="left"/>
        <w:rPr>
          <w:rFonts w:hint="eastAsia" w:ascii="宋体" w:hAnsi="宋体"/>
        </w:rPr>
      </w:pPr>
      <w:r>
        <w:rPr>
          <w:rFonts w:hint="eastAsia" w:ascii="宋体" w:hAnsi="宋体"/>
        </w:rPr>
        <w:t>7、图纸；</w:t>
      </w:r>
    </w:p>
    <w:p w14:paraId="5B34EB9F">
      <w:pPr>
        <w:adjustRightInd w:val="0"/>
        <w:snapToGrid w:val="0"/>
        <w:spacing w:line="360" w:lineRule="auto"/>
        <w:ind w:firstLine="420" w:firstLineChars="200"/>
        <w:jc w:val="left"/>
        <w:rPr>
          <w:rFonts w:hint="eastAsia" w:ascii="宋体" w:hAnsi="宋体"/>
        </w:rPr>
      </w:pPr>
      <w:r>
        <w:rPr>
          <w:rFonts w:hint="eastAsia" w:ascii="宋体" w:hAnsi="宋体"/>
        </w:rPr>
        <w:t>8、已标价工程量清单；</w:t>
      </w:r>
    </w:p>
    <w:p w14:paraId="18402122">
      <w:pPr>
        <w:adjustRightInd w:val="0"/>
        <w:snapToGrid w:val="0"/>
        <w:spacing w:line="360" w:lineRule="auto"/>
        <w:ind w:firstLine="420" w:firstLineChars="200"/>
        <w:jc w:val="left"/>
        <w:rPr>
          <w:rFonts w:hint="eastAsia" w:ascii="宋体" w:hAnsi="宋体"/>
        </w:rPr>
      </w:pPr>
      <w:r>
        <w:rPr>
          <w:rFonts w:hint="eastAsia" w:ascii="宋体" w:hAnsi="宋体"/>
        </w:rPr>
        <w:t>9、其他合同文件。</w:t>
      </w:r>
    </w:p>
    <w:p w14:paraId="6F43DE2E">
      <w:pPr>
        <w:adjustRightInd w:val="0"/>
        <w:snapToGrid w:val="0"/>
        <w:spacing w:line="360" w:lineRule="auto"/>
        <w:ind w:firstLine="420" w:firstLineChars="200"/>
        <w:jc w:val="left"/>
        <w:rPr>
          <w:rFonts w:hint="eastAsia" w:ascii="宋体" w:hAnsi="宋体"/>
          <w:szCs w:val="21"/>
        </w:rPr>
      </w:pPr>
      <w:r>
        <w:rPr>
          <w:rFonts w:ascii="宋体" w:hAnsi="宋体"/>
          <w:szCs w:val="21"/>
        </w:rPr>
        <w:t>上述文件互相补充和解释，如有不明确或不一致之处，以合同约定次序在先者为准。</w:t>
      </w:r>
    </w:p>
    <w:p w14:paraId="19AF79D5">
      <w:pPr>
        <w:adjustRightInd w:val="0"/>
        <w:snapToGrid w:val="0"/>
        <w:spacing w:line="360" w:lineRule="auto"/>
        <w:ind w:firstLine="420" w:firstLineChars="200"/>
        <w:jc w:val="left"/>
        <w:rPr>
          <w:rFonts w:hint="eastAsia" w:ascii="宋体" w:hAnsi="宋体"/>
        </w:rPr>
      </w:pPr>
      <w:r>
        <w:rPr>
          <w:rFonts w:hint="eastAsia" w:ascii="宋体" w:hAnsi="宋体"/>
        </w:rPr>
        <w:t>十、本协议书中有关词语定义与合同条款中的定义相同。</w:t>
      </w:r>
    </w:p>
    <w:p w14:paraId="7BE1A23D">
      <w:pPr>
        <w:adjustRightInd w:val="0"/>
        <w:snapToGrid w:val="0"/>
        <w:spacing w:line="360" w:lineRule="auto"/>
        <w:ind w:firstLine="420" w:firstLineChars="200"/>
        <w:jc w:val="left"/>
        <w:rPr>
          <w:rFonts w:hint="eastAsia" w:ascii="宋体" w:hAnsi="宋体"/>
        </w:rPr>
      </w:pPr>
      <w:r>
        <w:rPr>
          <w:rFonts w:hint="eastAsia" w:ascii="宋体" w:hAnsi="宋体"/>
        </w:rPr>
        <w:t>十一、承包人承诺按照合同约定进行施工、竣工、交付并承担质量缺陷保修责任。</w:t>
      </w:r>
    </w:p>
    <w:p w14:paraId="1A19F167">
      <w:pPr>
        <w:adjustRightInd w:val="0"/>
        <w:snapToGrid w:val="0"/>
        <w:spacing w:line="360" w:lineRule="auto"/>
        <w:ind w:firstLine="420" w:firstLineChars="200"/>
        <w:jc w:val="left"/>
        <w:rPr>
          <w:rFonts w:hint="eastAsia" w:ascii="宋体" w:hAnsi="宋体"/>
        </w:rPr>
      </w:pPr>
      <w:r>
        <w:rPr>
          <w:rFonts w:hint="eastAsia" w:ascii="宋体" w:hAnsi="宋体"/>
        </w:rPr>
        <w:t>十二、发包人承诺按照合同约定的条件、期限和方式向承包人支付合同价款。</w:t>
      </w:r>
    </w:p>
    <w:p w14:paraId="704EBDFA">
      <w:pPr>
        <w:adjustRightInd w:val="0"/>
        <w:snapToGrid w:val="0"/>
        <w:spacing w:line="360" w:lineRule="auto"/>
        <w:ind w:firstLine="420" w:firstLineChars="200"/>
        <w:jc w:val="left"/>
        <w:rPr>
          <w:rFonts w:hint="eastAsia" w:ascii="宋体" w:hAnsi="宋体"/>
        </w:rPr>
      </w:pPr>
      <w:r>
        <w:rPr>
          <w:rFonts w:hint="eastAsia" w:ascii="宋体" w:hAnsi="宋体"/>
        </w:rPr>
        <w:t>十三、本协议自双方法定代表人或委托代理人签字并加盖公章或合同专用章之日起生效。本协议书连同其他合同文件正本一式两份，合同双方各执一份，具同等法律效力；副本一式</w:t>
      </w:r>
      <w:r>
        <w:rPr>
          <w:rFonts w:ascii="宋体" w:hAnsi="宋体"/>
        </w:rPr>
        <w:t>___</w:t>
      </w:r>
      <w:r>
        <w:rPr>
          <w:rFonts w:hint="eastAsia" w:ascii="宋体" w:hAnsi="宋体"/>
        </w:rPr>
        <w:t>。</w:t>
      </w:r>
    </w:p>
    <w:p w14:paraId="17DB1D8E">
      <w:pPr>
        <w:adjustRightInd w:val="0"/>
        <w:snapToGrid w:val="0"/>
        <w:spacing w:line="360" w:lineRule="auto"/>
        <w:ind w:firstLine="420" w:firstLineChars="200"/>
        <w:jc w:val="left"/>
        <w:rPr>
          <w:rFonts w:hint="eastAsia" w:ascii="宋体" w:hAnsi="宋体"/>
        </w:rPr>
      </w:pPr>
      <w:r>
        <w:rPr>
          <w:rFonts w:hint="eastAsia" w:ascii="宋体" w:hAnsi="宋体"/>
        </w:rPr>
        <w:t>十四、合同未尽事宜，双方另行签订补充协议，但不得背离本协议第九条所约定的合同文件的实质性内容。补充协议是合同文件的组成部分</w:t>
      </w:r>
      <w:r>
        <w:rPr>
          <w:rFonts w:ascii="宋体" w:hAnsi="宋体"/>
        </w:rPr>
        <w:t>。</w:t>
      </w:r>
    </w:p>
    <w:p w14:paraId="4C097C45">
      <w:pPr>
        <w:adjustRightInd w:val="0"/>
        <w:snapToGrid w:val="0"/>
        <w:spacing w:line="360" w:lineRule="auto"/>
        <w:ind w:firstLine="420" w:firstLineChars="200"/>
        <w:jc w:val="left"/>
        <w:rPr>
          <w:rFonts w:hint="eastAsia" w:ascii="宋体" w:hAnsi="宋体"/>
          <w:szCs w:val="21"/>
        </w:rPr>
      </w:pPr>
    </w:p>
    <w:p w14:paraId="22F138F0">
      <w:pPr>
        <w:adjustRightInd w:val="0"/>
        <w:snapToGrid w:val="0"/>
        <w:spacing w:line="360" w:lineRule="auto"/>
        <w:ind w:firstLine="420" w:firstLineChars="200"/>
        <w:jc w:val="left"/>
        <w:rPr>
          <w:rFonts w:hint="eastAsia" w:ascii="宋体" w:hAnsi="宋体"/>
          <w:bCs/>
          <w:szCs w:val="21"/>
        </w:rPr>
      </w:pPr>
    </w:p>
    <w:p w14:paraId="1B2208CF">
      <w:pPr>
        <w:adjustRightInd w:val="0"/>
        <w:snapToGrid w:val="0"/>
        <w:spacing w:line="360" w:lineRule="auto"/>
        <w:jc w:val="left"/>
        <w:rPr>
          <w:rFonts w:hint="eastAsia" w:ascii="宋体" w:hAnsi="宋体"/>
          <w:szCs w:val="21"/>
        </w:rPr>
      </w:pPr>
      <w:r>
        <w:rPr>
          <w:rFonts w:ascii="宋体" w:hAnsi="宋体"/>
          <w:bCs/>
          <w:szCs w:val="21"/>
        </w:rPr>
        <w:t>发包人：</w:t>
      </w:r>
      <w:r>
        <w:rPr>
          <w:rFonts w:ascii="宋体" w:hAnsi="宋体"/>
          <w:szCs w:val="21"/>
        </w:rPr>
        <w:t>________________（盖单位章）</w:t>
      </w:r>
      <w:r>
        <w:rPr>
          <w:rFonts w:hint="eastAsia" w:ascii="宋体" w:hAnsi="宋体"/>
          <w:szCs w:val="21"/>
        </w:rPr>
        <w:t xml:space="preserve"> </w:t>
      </w:r>
      <w:r>
        <w:rPr>
          <w:rFonts w:ascii="宋体" w:hAnsi="宋体"/>
          <w:szCs w:val="21"/>
        </w:rPr>
        <w:t xml:space="preserve">    </w:t>
      </w:r>
      <w:r>
        <w:rPr>
          <w:rFonts w:ascii="宋体" w:hAnsi="宋体"/>
          <w:bCs/>
          <w:szCs w:val="21"/>
        </w:rPr>
        <w:t>承包人：</w:t>
      </w:r>
      <w:r>
        <w:rPr>
          <w:rFonts w:ascii="宋体" w:hAnsi="宋体"/>
          <w:szCs w:val="21"/>
        </w:rPr>
        <w:t>______________（盖单位章）</w:t>
      </w:r>
    </w:p>
    <w:p w14:paraId="03B8BAD4">
      <w:pPr>
        <w:adjustRightInd w:val="0"/>
        <w:snapToGrid w:val="0"/>
        <w:spacing w:line="360" w:lineRule="auto"/>
        <w:jc w:val="left"/>
        <w:rPr>
          <w:rFonts w:hint="eastAsia" w:ascii="宋体" w:hAnsi="宋体"/>
          <w:szCs w:val="21"/>
        </w:rPr>
      </w:pPr>
    </w:p>
    <w:p w14:paraId="60E41162">
      <w:pPr>
        <w:adjustRightInd w:val="0"/>
        <w:snapToGrid w:val="0"/>
        <w:spacing w:line="360" w:lineRule="auto"/>
        <w:jc w:val="left"/>
        <w:rPr>
          <w:rFonts w:hint="eastAsia" w:ascii="宋体" w:hAnsi="宋体"/>
          <w:szCs w:val="21"/>
        </w:rPr>
      </w:pPr>
      <w:r>
        <w:rPr>
          <w:rFonts w:ascii="宋体" w:hAnsi="宋体"/>
          <w:bCs/>
          <w:szCs w:val="21"/>
        </w:rPr>
        <w:t>法定代表人或其</w:t>
      </w:r>
      <w:r>
        <w:rPr>
          <w:rFonts w:hint="eastAsia" w:ascii="宋体" w:hAnsi="宋体"/>
          <w:bCs/>
          <w:szCs w:val="21"/>
        </w:rPr>
        <w:t xml:space="preserve"> </w:t>
      </w:r>
      <w:r>
        <w:rPr>
          <w:rFonts w:ascii="宋体" w:hAnsi="宋体"/>
          <w:bCs/>
          <w:szCs w:val="21"/>
        </w:rPr>
        <w:t xml:space="preserve">                          法定代表人或其</w:t>
      </w:r>
    </w:p>
    <w:p w14:paraId="287BC98D">
      <w:pPr>
        <w:adjustRightInd w:val="0"/>
        <w:snapToGrid w:val="0"/>
        <w:spacing w:line="360" w:lineRule="auto"/>
        <w:jc w:val="left"/>
        <w:rPr>
          <w:rFonts w:hint="eastAsia" w:ascii="宋体" w:hAnsi="宋体"/>
          <w:szCs w:val="21"/>
        </w:rPr>
      </w:pPr>
      <w:r>
        <w:rPr>
          <w:rFonts w:hint="eastAsia" w:ascii="宋体" w:hAnsi="宋体"/>
          <w:bCs/>
          <w:szCs w:val="21"/>
        </w:rPr>
        <w:t>委托代理人</w:t>
      </w:r>
      <w:r>
        <w:rPr>
          <w:rFonts w:ascii="宋体" w:hAnsi="宋体"/>
          <w:bCs/>
          <w:szCs w:val="21"/>
        </w:rPr>
        <w:t>：</w:t>
      </w:r>
      <w:r>
        <w:rPr>
          <w:rFonts w:ascii="宋体" w:hAnsi="宋体"/>
          <w:szCs w:val="21"/>
        </w:rPr>
        <w:t>___________________（签字）</w:t>
      </w:r>
      <w:r>
        <w:rPr>
          <w:rFonts w:hint="eastAsia" w:ascii="宋体" w:hAnsi="宋体"/>
          <w:szCs w:val="21"/>
        </w:rPr>
        <w:t xml:space="preserve"> </w:t>
      </w:r>
      <w:r>
        <w:rPr>
          <w:rFonts w:ascii="宋体" w:hAnsi="宋体"/>
          <w:szCs w:val="21"/>
        </w:rPr>
        <w:t xml:space="preserve"> </w:t>
      </w:r>
      <w:r>
        <w:rPr>
          <w:rFonts w:hint="eastAsia" w:ascii="宋体" w:hAnsi="宋体"/>
          <w:bCs/>
          <w:szCs w:val="21"/>
        </w:rPr>
        <w:t>委托代理人</w:t>
      </w:r>
      <w:r>
        <w:rPr>
          <w:rFonts w:ascii="宋体" w:hAnsi="宋体"/>
          <w:bCs/>
          <w:szCs w:val="21"/>
        </w:rPr>
        <w:t>：</w:t>
      </w:r>
      <w:r>
        <w:rPr>
          <w:rFonts w:ascii="宋体" w:hAnsi="宋体"/>
          <w:szCs w:val="21"/>
        </w:rPr>
        <w:t>__________________（签字）</w:t>
      </w:r>
    </w:p>
    <w:p w14:paraId="2FEFDDBF">
      <w:pPr>
        <w:adjustRightInd w:val="0"/>
        <w:snapToGrid w:val="0"/>
        <w:spacing w:line="360" w:lineRule="auto"/>
        <w:jc w:val="left"/>
        <w:rPr>
          <w:rFonts w:hint="eastAsia" w:ascii="宋体" w:hAnsi="宋体"/>
          <w:szCs w:val="21"/>
        </w:rPr>
      </w:pPr>
    </w:p>
    <w:p w14:paraId="201AB2B8">
      <w:pPr>
        <w:adjustRightInd w:val="0"/>
        <w:snapToGrid w:val="0"/>
        <w:spacing w:line="360" w:lineRule="auto"/>
        <w:jc w:val="left"/>
        <w:rPr>
          <w:rFonts w:hint="eastAsia" w:ascii="宋体" w:hAnsi="宋体"/>
          <w:szCs w:val="21"/>
        </w:rPr>
      </w:pPr>
      <w:r>
        <w:rPr>
          <w:rFonts w:ascii="宋体" w:hAnsi="宋体"/>
          <w:szCs w:val="21"/>
        </w:rPr>
        <w:t>__________年____月______日</w:t>
      </w:r>
      <w:r>
        <w:rPr>
          <w:rFonts w:hint="eastAsia" w:ascii="宋体" w:hAnsi="宋体"/>
          <w:szCs w:val="21"/>
        </w:rPr>
        <w:t xml:space="preserve">               </w:t>
      </w:r>
      <w:r>
        <w:rPr>
          <w:rFonts w:ascii="宋体" w:hAnsi="宋体"/>
          <w:szCs w:val="21"/>
        </w:rPr>
        <w:t>_________年____月_____日</w:t>
      </w:r>
    </w:p>
    <w:p w14:paraId="3B46F783">
      <w:pPr>
        <w:adjustRightInd w:val="0"/>
        <w:snapToGrid w:val="0"/>
        <w:spacing w:line="360" w:lineRule="auto"/>
        <w:jc w:val="left"/>
        <w:rPr>
          <w:rFonts w:hint="eastAsia" w:ascii="宋体" w:hAnsi="宋体"/>
          <w:szCs w:val="21"/>
        </w:rPr>
      </w:pPr>
    </w:p>
    <w:p w14:paraId="2C923F0C">
      <w:pPr>
        <w:adjustRightInd w:val="0"/>
        <w:snapToGrid w:val="0"/>
        <w:spacing w:line="360" w:lineRule="auto"/>
        <w:jc w:val="left"/>
        <w:rPr>
          <w:rFonts w:hint="eastAsia" w:ascii="宋体" w:hAnsi="宋体"/>
          <w:szCs w:val="21"/>
        </w:rPr>
      </w:pPr>
      <w:r>
        <w:rPr>
          <w:rFonts w:hint="eastAsia" w:ascii="宋体" w:hAnsi="宋体"/>
          <w:szCs w:val="21"/>
        </w:rPr>
        <w:t>签约地点：</w:t>
      </w:r>
      <w:r>
        <w:rPr>
          <w:rFonts w:ascii="宋体" w:hAnsi="宋体"/>
          <w:szCs w:val="21"/>
        </w:rPr>
        <w:t>____________________________________________________________________</w:t>
      </w:r>
    </w:p>
    <w:p w14:paraId="01897CC4">
      <w:r>
        <w:br w:type="page"/>
      </w:r>
    </w:p>
    <w:p w14:paraId="128410AC">
      <w:pPr>
        <w:adjustRightInd w:val="0"/>
        <w:snapToGrid w:val="0"/>
        <w:spacing w:line="360" w:lineRule="auto"/>
        <w:outlineLvl w:val="2"/>
        <w:rPr>
          <w:rFonts w:hint="eastAsia" w:ascii="宋体" w:hAnsi="宋体"/>
          <w:sz w:val="24"/>
        </w:rPr>
      </w:pPr>
      <w:bookmarkStart w:id="967" w:name="_Toc196225953"/>
      <w:r>
        <w:rPr>
          <w:rFonts w:hint="eastAsia" w:ascii="宋体" w:hAnsi="宋体"/>
          <w:sz w:val="24"/>
        </w:rPr>
        <w:t>附件二：承包人承揽工程项目一览表</w:t>
      </w:r>
      <w:bookmarkEnd w:id="967"/>
    </w:p>
    <w:p w14:paraId="6F804311">
      <w:pPr>
        <w:adjustRightInd w:val="0"/>
        <w:snapToGrid w:val="0"/>
        <w:spacing w:line="360" w:lineRule="auto"/>
        <w:jc w:val="center"/>
        <w:rPr>
          <w:rFonts w:hint="eastAsia" w:ascii="宋体" w:hAnsi="宋体"/>
          <w:sz w:val="28"/>
          <w:szCs w:val="28"/>
        </w:rPr>
      </w:pPr>
      <w:r>
        <w:rPr>
          <w:rFonts w:hint="eastAsia" w:ascii="宋体" w:hAnsi="宋体"/>
          <w:b/>
          <w:sz w:val="28"/>
          <w:szCs w:val="28"/>
        </w:rPr>
        <w:t>承包人承揽工程项目一览表</w:t>
      </w:r>
    </w:p>
    <w:tbl>
      <w:tblPr>
        <w:tblStyle w:val="4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839"/>
        <w:gridCol w:w="1224"/>
        <w:gridCol w:w="555"/>
        <w:gridCol w:w="555"/>
        <w:gridCol w:w="776"/>
        <w:gridCol w:w="1222"/>
        <w:gridCol w:w="776"/>
        <w:gridCol w:w="776"/>
        <w:gridCol w:w="774"/>
      </w:tblGrid>
      <w:tr w14:paraId="77803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2699CB71">
            <w:pPr>
              <w:adjustRightInd w:val="0"/>
              <w:snapToGrid w:val="0"/>
              <w:spacing w:line="360" w:lineRule="auto"/>
              <w:jc w:val="center"/>
              <w:rPr>
                <w:rFonts w:hint="eastAsia" w:ascii="宋体" w:hAnsi="宋体"/>
              </w:rPr>
            </w:pPr>
            <w:r>
              <w:rPr>
                <w:rFonts w:hint="eastAsia" w:ascii="宋体" w:hAnsi="宋体"/>
              </w:rPr>
              <w:t>单位工程</w:t>
            </w:r>
          </w:p>
          <w:p w14:paraId="751E6B44">
            <w:pPr>
              <w:adjustRightInd w:val="0"/>
              <w:snapToGrid w:val="0"/>
              <w:spacing w:line="360" w:lineRule="auto"/>
              <w:jc w:val="center"/>
              <w:rPr>
                <w:rFonts w:hint="eastAsia" w:ascii="宋体" w:hAnsi="宋体"/>
              </w:rPr>
            </w:pPr>
            <w:r>
              <w:rPr>
                <w:rFonts w:hint="eastAsia" w:ascii="宋体" w:hAnsi="宋体"/>
              </w:rPr>
              <w:t>名称</w:t>
            </w:r>
          </w:p>
        </w:tc>
        <w:tc>
          <w:tcPr>
            <w:tcW w:w="839" w:type="dxa"/>
            <w:vAlign w:val="center"/>
          </w:tcPr>
          <w:p w14:paraId="2B05F8E7">
            <w:pPr>
              <w:adjustRightInd w:val="0"/>
              <w:snapToGrid w:val="0"/>
              <w:spacing w:line="360" w:lineRule="auto"/>
              <w:jc w:val="center"/>
              <w:rPr>
                <w:rFonts w:hint="eastAsia" w:ascii="宋体" w:hAnsi="宋体"/>
              </w:rPr>
            </w:pPr>
            <w:r>
              <w:rPr>
                <w:rFonts w:hint="eastAsia" w:ascii="宋体" w:hAnsi="宋体"/>
              </w:rPr>
              <w:t>建设</w:t>
            </w:r>
          </w:p>
          <w:p w14:paraId="1F2A90A9">
            <w:pPr>
              <w:adjustRightInd w:val="0"/>
              <w:snapToGrid w:val="0"/>
              <w:spacing w:line="360" w:lineRule="auto"/>
              <w:jc w:val="center"/>
              <w:rPr>
                <w:rFonts w:hint="eastAsia" w:ascii="宋体" w:hAnsi="宋体"/>
              </w:rPr>
            </w:pPr>
            <w:r>
              <w:rPr>
                <w:rFonts w:hint="eastAsia" w:ascii="宋体" w:hAnsi="宋体"/>
              </w:rPr>
              <w:t>规模</w:t>
            </w:r>
          </w:p>
        </w:tc>
        <w:tc>
          <w:tcPr>
            <w:tcW w:w="1224" w:type="dxa"/>
            <w:vAlign w:val="center"/>
          </w:tcPr>
          <w:p w14:paraId="3EFC5599">
            <w:pPr>
              <w:adjustRightInd w:val="0"/>
              <w:snapToGrid w:val="0"/>
              <w:spacing w:line="360" w:lineRule="auto"/>
              <w:jc w:val="center"/>
              <w:rPr>
                <w:rFonts w:hint="eastAsia" w:ascii="宋体" w:hAnsi="宋体"/>
              </w:rPr>
            </w:pPr>
            <w:r>
              <w:rPr>
                <w:rFonts w:hint="eastAsia" w:ascii="宋体" w:hAnsi="宋体"/>
              </w:rPr>
              <w:t>建筑面积</w:t>
            </w:r>
          </w:p>
          <w:p w14:paraId="716C9CE1">
            <w:pPr>
              <w:adjustRightInd w:val="0"/>
              <w:snapToGrid w:val="0"/>
              <w:spacing w:line="360" w:lineRule="auto"/>
              <w:jc w:val="center"/>
              <w:rPr>
                <w:rFonts w:hint="eastAsia" w:ascii="宋体" w:hAnsi="宋体"/>
              </w:rPr>
            </w:pPr>
            <w:r>
              <w:rPr>
                <w:rFonts w:ascii="宋体" w:hAnsi="宋体"/>
              </w:rPr>
              <w:t>(</w:t>
            </w:r>
            <w:r>
              <w:rPr>
                <w:rFonts w:hint="eastAsia" w:ascii="宋体" w:hAnsi="宋体"/>
              </w:rPr>
              <w:t>平方米</w:t>
            </w:r>
            <w:r>
              <w:rPr>
                <w:rFonts w:ascii="宋体" w:hAnsi="宋体"/>
              </w:rPr>
              <w:t>)</w:t>
            </w:r>
          </w:p>
        </w:tc>
        <w:tc>
          <w:tcPr>
            <w:tcW w:w="555" w:type="dxa"/>
            <w:vAlign w:val="center"/>
          </w:tcPr>
          <w:p w14:paraId="6ECB5CD2">
            <w:pPr>
              <w:adjustRightInd w:val="0"/>
              <w:snapToGrid w:val="0"/>
              <w:spacing w:line="360" w:lineRule="auto"/>
              <w:jc w:val="center"/>
              <w:rPr>
                <w:rFonts w:hint="eastAsia" w:ascii="宋体" w:hAnsi="宋体"/>
              </w:rPr>
            </w:pPr>
            <w:r>
              <w:rPr>
                <w:rFonts w:hint="eastAsia" w:ascii="宋体" w:hAnsi="宋体"/>
              </w:rPr>
              <w:t>结</w:t>
            </w:r>
          </w:p>
          <w:p w14:paraId="0AB4D283">
            <w:pPr>
              <w:adjustRightInd w:val="0"/>
              <w:snapToGrid w:val="0"/>
              <w:spacing w:line="360" w:lineRule="auto"/>
              <w:jc w:val="center"/>
              <w:rPr>
                <w:rFonts w:hint="eastAsia" w:ascii="宋体" w:hAnsi="宋体"/>
              </w:rPr>
            </w:pPr>
            <w:r>
              <w:rPr>
                <w:rFonts w:hint="eastAsia" w:ascii="宋体" w:hAnsi="宋体"/>
              </w:rPr>
              <w:t>构</w:t>
            </w:r>
          </w:p>
        </w:tc>
        <w:tc>
          <w:tcPr>
            <w:tcW w:w="555" w:type="dxa"/>
            <w:vAlign w:val="center"/>
          </w:tcPr>
          <w:p w14:paraId="55FCA68F">
            <w:pPr>
              <w:adjustRightInd w:val="0"/>
              <w:snapToGrid w:val="0"/>
              <w:spacing w:line="360" w:lineRule="auto"/>
              <w:jc w:val="center"/>
              <w:rPr>
                <w:rFonts w:hint="eastAsia" w:ascii="宋体" w:hAnsi="宋体"/>
              </w:rPr>
            </w:pPr>
            <w:r>
              <w:rPr>
                <w:rFonts w:hint="eastAsia" w:ascii="宋体" w:hAnsi="宋体"/>
              </w:rPr>
              <w:t>层</w:t>
            </w:r>
          </w:p>
          <w:p w14:paraId="588E93EA">
            <w:pPr>
              <w:adjustRightInd w:val="0"/>
              <w:snapToGrid w:val="0"/>
              <w:spacing w:line="360" w:lineRule="auto"/>
              <w:jc w:val="center"/>
              <w:rPr>
                <w:rFonts w:hint="eastAsia" w:ascii="宋体" w:hAnsi="宋体"/>
              </w:rPr>
            </w:pPr>
            <w:r>
              <w:rPr>
                <w:rFonts w:hint="eastAsia" w:ascii="宋体" w:hAnsi="宋体"/>
              </w:rPr>
              <w:t>数</w:t>
            </w:r>
          </w:p>
        </w:tc>
        <w:tc>
          <w:tcPr>
            <w:tcW w:w="776" w:type="dxa"/>
            <w:vAlign w:val="center"/>
          </w:tcPr>
          <w:p w14:paraId="70CD5B49">
            <w:pPr>
              <w:adjustRightInd w:val="0"/>
              <w:snapToGrid w:val="0"/>
              <w:spacing w:line="360" w:lineRule="auto"/>
              <w:jc w:val="center"/>
              <w:rPr>
                <w:rFonts w:hint="eastAsia" w:ascii="宋体" w:hAnsi="宋体"/>
              </w:rPr>
            </w:pPr>
            <w:r>
              <w:rPr>
                <w:rFonts w:hint="eastAsia" w:ascii="宋体" w:hAnsi="宋体"/>
              </w:rPr>
              <w:t>跨度</w:t>
            </w:r>
            <w:r>
              <w:rPr>
                <w:rFonts w:ascii="宋体" w:hAnsi="宋体"/>
              </w:rPr>
              <w:t>(</w:t>
            </w:r>
            <w:r>
              <w:rPr>
                <w:rFonts w:hint="eastAsia" w:ascii="宋体" w:hAnsi="宋体"/>
              </w:rPr>
              <w:t>米</w:t>
            </w:r>
            <w:r>
              <w:rPr>
                <w:rFonts w:ascii="宋体" w:hAnsi="宋体"/>
              </w:rPr>
              <w:t>)</w:t>
            </w:r>
          </w:p>
        </w:tc>
        <w:tc>
          <w:tcPr>
            <w:tcW w:w="1222" w:type="dxa"/>
            <w:vAlign w:val="center"/>
          </w:tcPr>
          <w:p w14:paraId="1133F336">
            <w:pPr>
              <w:adjustRightInd w:val="0"/>
              <w:snapToGrid w:val="0"/>
              <w:spacing w:line="360" w:lineRule="auto"/>
              <w:jc w:val="center"/>
              <w:rPr>
                <w:rFonts w:hint="eastAsia" w:ascii="宋体" w:hAnsi="宋体"/>
              </w:rPr>
            </w:pPr>
            <w:r>
              <w:rPr>
                <w:rFonts w:hint="eastAsia" w:ascii="宋体" w:hAnsi="宋体"/>
              </w:rPr>
              <w:t>设备安装</w:t>
            </w:r>
          </w:p>
          <w:p w14:paraId="1106237B">
            <w:pPr>
              <w:adjustRightInd w:val="0"/>
              <w:snapToGrid w:val="0"/>
              <w:spacing w:line="360" w:lineRule="auto"/>
              <w:jc w:val="center"/>
              <w:rPr>
                <w:rFonts w:hint="eastAsia" w:ascii="宋体" w:hAnsi="宋体"/>
              </w:rPr>
            </w:pPr>
            <w:r>
              <w:rPr>
                <w:rFonts w:hint="eastAsia" w:ascii="宋体" w:hAnsi="宋体"/>
              </w:rPr>
              <w:t>内容</w:t>
            </w:r>
          </w:p>
        </w:tc>
        <w:tc>
          <w:tcPr>
            <w:tcW w:w="776" w:type="dxa"/>
            <w:vAlign w:val="center"/>
          </w:tcPr>
          <w:p w14:paraId="338BD663">
            <w:pPr>
              <w:adjustRightInd w:val="0"/>
              <w:snapToGrid w:val="0"/>
              <w:spacing w:line="360" w:lineRule="auto"/>
              <w:jc w:val="center"/>
              <w:rPr>
                <w:rFonts w:hint="eastAsia" w:ascii="宋体" w:hAnsi="宋体"/>
              </w:rPr>
            </w:pPr>
            <w:r>
              <w:rPr>
                <w:rFonts w:hint="eastAsia" w:ascii="宋体" w:hAnsi="宋体"/>
              </w:rPr>
              <w:t>工程造价</w:t>
            </w:r>
          </w:p>
          <w:p w14:paraId="16AC705B">
            <w:pPr>
              <w:adjustRightInd w:val="0"/>
              <w:snapToGrid w:val="0"/>
              <w:spacing w:line="360" w:lineRule="auto"/>
              <w:jc w:val="center"/>
              <w:rPr>
                <w:rFonts w:hint="eastAsia" w:ascii="宋体" w:hAnsi="宋体"/>
              </w:rPr>
            </w:pPr>
            <w:r>
              <w:rPr>
                <w:rFonts w:ascii="宋体" w:hAnsi="宋体"/>
              </w:rPr>
              <w:t>(</w:t>
            </w:r>
            <w:r>
              <w:rPr>
                <w:rFonts w:hint="eastAsia" w:ascii="宋体" w:hAnsi="宋体"/>
              </w:rPr>
              <w:t>元</w:t>
            </w:r>
            <w:r>
              <w:rPr>
                <w:rFonts w:ascii="宋体" w:hAnsi="宋体"/>
              </w:rPr>
              <w:t>)</w:t>
            </w:r>
          </w:p>
        </w:tc>
        <w:tc>
          <w:tcPr>
            <w:tcW w:w="776" w:type="dxa"/>
            <w:vAlign w:val="center"/>
          </w:tcPr>
          <w:p w14:paraId="705F051C">
            <w:pPr>
              <w:adjustRightInd w:val="0"/>
              <w:snapToGrid w:val="0"/>
              <w:spacing w:line="360" w:lineRule="auto"/>
              <w:jc w:val="center"/>
              <w:rPr>
                <w:rFonts w:hint="eastAsia" w:ascii="宋体" w:hAnsi="宋体"/>
              </w:rPr>
            </w:pPr>
            <w:r>
              <w:rPr>
                <w:rFonts w:hint="eastAsia" w:ascii="宋体" w:hAnsi="宋体"/>
              </w:rPr>
              <w:t>开工</w:t>
            </w:r>
          </w:p>
          <w:p w14:paraId="0853E9E7">
            <w:pPr>
              <w:adjustRightInd w:val="0"/>
              <w:snapToGrid w:val="0"/>
              <w:spacing w:line="360" w:lineRule="auto"/>
              <w:jc w:val="center"/>
              <w:rPr>
                <w:rFonts w:hint="eastAsia" w:ascii="宋体" w:hAnsi="宋体"/>
              </w:rPr>
            </w:pPr>
            <w:r>
              <w:rPr>
                <w:rFonts w:hint="eastAsia" w:ascii="宋体" w:hAnsi="宋体"/>
              </w:rPr>
              <w:t>日期</w:t>
            </w:r>
          </w:p>
        </w:tc>
        <w:tc>
          <w:tcPr>
            <w:tcW w:w="774" w:type="dxa"/>
            <w:vAlign w:val="center"/>
          </w:tcPr>
          <w:p w14:paraId="1640F798">
            <w:pPr>
              <w:adjustRightInd w:val="0"/>
              <w:snapToGrid w:val="0"/>
              <w:spacing w:line="360" w:lineRule="auto"/>
              <w:jc w:val="center"/>
              <w:rPr>
                <w:rFonts w:hint="eastAsia" w:ascii="宋体" w:hAnsi="宋体"/>
              </w:rPr>
            </w:pPr>
            <w:r>
              <w:rPr>
                <w:rFonts w:hint="eastAsia" w:ascii="宋体" w:hAnsi="宋体"/>
              </w:rPr>
              <w:t>竣工</w:t>
            </w:r>
          </w:p>
          <w:p w14:paraId="5567504B">
            <w:pPr>
              <w:adjustRightInd w:val="0"/>
              <w:snapToGrid w:val="0"/>
              <w:spacing w:line="360" w:lineRule="auto"/>
              <w:jc w:val="center"/>
              <w:rPr>
                <w:rFonts w:hint="eastAsia" w:ascii="宋体" w:hAnsi="宋体"/>
              </w:rPr>
            </w:pPr>
            <w:r>
              <w:rPr>
                <w:rFonts w:hint="eastAsia" w:ascii="宋体" w:hAnsi="宋体"/>
              </w:rPr>
              <w:t>日期</w:t>
            </w:r>
          </w:p>
        </w:tc>
      </w:tr>
      <w:tr w14:paraId="4632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BF4F6D2">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4FAD900F">
            <w:pPr>
              <w:adjustRightInd w:val="0"/>
              <w:snapToGrid w:val="0"/>
              <w:spacing w:line="360" w:lineRule="auto"/>
              <w:jc w:val="center"/>
              <w:rPr>
                <w:rFonts w:hint="eastAsia" w:ascii="宋体" w:hAnsi="宋体"/>
              </w:rPr>
            </w:pPr>
          </w:p>
        </w:tc>
        <w:tc>
          <w:tcPr>
            <w:tcW w:w="1224" w:type="dxa"/>
            <w:vAlign w:val="center"/>
          </w:tcPr>
          <w:p w14:paraId="507C6B03">
            <w:pPr>
              <w:adjustRightInd w:val="0"/>
              <w:snapToGrid w:val="0"/>
              <w:spacing w:line="360" w:lineRule="auto"/>
              <w:jc w:val="center"/>
              <w:rPr>
                <w:rFonts w:hint="eastAsia" w:ascii="宋体" w:hAnsi="宋体"/>
              </w:rPr>
            </w:pPr>
          </w:p>
        </w:tc>
        <w:tc>
          <w:tcPr>
            <w:tcW w:w="555" w:type="dxa"/>
            <w:vAlign w:val="center"/>
          </w:tcPr>
          <w:p w14:paraId="50222A94">
            <w:pPr>
              <w:adjustRightInd w:val="0"/>
              <w:snapToGrid w:val="0"/>
              <w:spacing w:line="360" w:lineRule="auto"/>
              <w:jc w:val="center"/>
              <w:rPr>
                <w:rFonts w:hint="eastAsia" w:ascii="宋体" w:hAnsi="宋体"/>
              </w:rPr>
            </w:pPr>
          </w:p>
        </w:tc>
        <w:tc>
          <w:tcPr>
            <w:tcW w:w="555" w:type="dxa"/>
            <w:vAlign w:val="center"/>
          </w:tcPr>
          <w:p w14:paraId="49C85D76">
            <w:pPr>
              <w:adjustRightInd w:val="0"/>
              <w:snapToGrid w:val="0"/>
              <w:spacing w:line="360" w:lineRule="auto"/>
              <w:jc w:val="center"/>
              <w:rPr>
                <w:rFonts w:hint="eastAsia" w:ascii="宋体" w:hAnsi="宋体"/>
              </w:rPr>
            </w:pPr>
          </w:p>
        </w:tc>
        <w:tc>
          <w:tcPr>
            <w:tcW w:w="776" w:type="dxa"/>
            <w:vAlign w:val="center"/>
          </w:tcPr>
          <w:p w14:paraId="26B64EB6">
            <w:pPr>
              <w:adjustRightInd w:val="0"/>
              <w:snapToGrid w:val="0"/>
              <w:spacing w:line="360" w:lineRule="auto"/>
              <w:jc w:val="center"/>
              <w:rPr>
                <w:rFonts w:hint="eastAsia" w:ascii="宋体" w:hAnsi="宋体"/>
              </w:rPr>
            </w:pPr>
          </w:p>
        </w:tc>
        <w:tc>
          <w:tcPr>
            <w:tcW w:w="1222" w:type="dxa"/>
            <w:vAlign w:val="center"/>
          </w:tcPr>
          <w:p w14:paraId="3AF66399">
            <w:pPr>
              <w:adjustRightInd w:val="0"/>
              <w:snapToGrid w:val="0"/>
              <w:spacing w:line="360" w:lineRule="auto"/>
              <w:jc w:val="center"/>
              <w:rPr>
                <w:rFonts w:hint="eastAsia" w:ascii="宋体" w:hAnsi="宋体"/>
              </w:rPr>
            </w:pPr>
          </w:p>
        </w:tc>
        <w:tc>
          <w:tcPr>
            <w:tcW w:w="776" w:type="dxa"/>
            <w:vAlign w:val="center"/>
          </w:tcPr>
          <w:p w14:paraId="1957C95D">
            <w:pPr>
              <w:adjustRightInd w:val="0"/>
              <w:snapToGrid w:val="0"/>
              <w:spacing w:line="360" w:lineRule="auto"/>
              <w:jc w:val="center"/>
              <w:rPr>
                <w:rFonts w:hint="eastAsia" w:ascii="宋体" w:hAnsi="宋体"/>
              </w:rPr>
            </w:pPr>
          </w:p>
        </w:tc>
        <w:tc>
          <w:tcPr>
            <w:tcW w:w="776" w:type="dxa"/>
            <w:vAlign w:val="center"/>
          </w:tcPr>
          <w:p w14:paraId="57D4B406">
            <w:pPr>
              <w:adjustRightInd w:val="0"/>
              <w:snapToGrid w:val="0"/>
              <w:spacing w:line="360" w:lineRule="auto"/>
              <w:jc w:val="center"/>
              <w:rPr>
                <w:rFonts w:hint="eastAsia" w:ascii="宋体" w:hAnsi="宋体"/>
              </w:rPr>
            </w:pPr>
          </w:p>
        </w:tc>
        <w:tc>
          <w:tcPr>
            <w:tcW w:w="774" w:type="dxa"/>
            <w:vAlign w:val="center"/>
          </w:tcPr>
          <w:p w14:paraId="160B2FB6">
            <w:pPr>
              <w:adjustRightInd w:val="0"/>
              <w:snapToGrid w:val="0"/>
              <w:spacing w:line="360" w:lineRule="auto"/>
              <w:jc w:val="center"/>
              <w:rPr>
                <w:rFonts w:hint="eastAsia" w:ascii="宋体" w:hAnsi="宋体"/>
              </w:rPr>
            </w:pPr>
          </w:p>
        </w:tc>
      </w:tr>
      <w:tr w14:paraId="67133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9CF0CBF">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6728B754">
            <w:pPr>
              <w:adjustRightInd w:val="0"/>
              <w:snapToGrid w:val="0"/>
              <w:spacing w:line="360" w:lineRule="auto"/>
              <w:jc w:val="center"/>
              <w:rPr>
                <w:rFonts w:hint="eastAsia" w:ascii="宋体" w:hAnsi="宋体"/>
              </w:rPr>
            </w:pPr>
          </w:p>
        </w:tc>
        <w:tc>
          <w:tcPr>
            <w:tcW w:w="1224" w:type="dxa"/>
            <w:vAlign w:val="center"/>
          </w:tcPr>
          <w:p w14:paraId="200DF758">
            <w:pPr>
              <w:adjustRightInd w:val="0"/>
              <w:snapToGrid w:val="0"/>
              <w:spacing w:line="360" w:lineRule="auto"/>
              <w:jc w:val="center"/>
              <w:rPr>
                <w:rFonts w:hint="eastAsia" w:ascii="宋体" w:hAnsi="宋体"/>
              </w:rPr>
            </w:pPr>
          </w:p>
        </w:tc>
        <w:tc>
          <w:tcPr>
            <w:tcW w:w="555" w:type="dxa"/>
            <w:vAlign w:val="center"/>
          </w:tcPr>
          <w:p w14:paraId="52D6BF0A">
            <w:pPr>
              <w:adjustRightInd w:val="0"/>
              <w:snapToGrid w:val="0"/>
              <w:spacing w:line="360" w:lineRule="auto"/>
              <w:jc w:val="center"/>
              <w:rPr>
                <w:rFonts w:hint="eastAsia" w:ascii="宋体" w:hAnsi="宋体"/>
              </w:rPr>
            </w:pPr>
          </w:p>
        </w:tc>
        <w:tc>
          <w:tcPr>
            <w:tcW w:w="555" w:type="dxa"/>
            <w:vAlign w:val="center"/>
          </w:tcPr>
          <w:p w14:paraId="136BB4D5">
            <w:pPr>
              <w:adjustRightInd w:val="0"/>
              <w:snapToGrid w:val="0"/>
              <w:spacing w:line="360" w:lineRule="auto"/>
              <w:jc w:val="center"/>
              <w:rPr>
                <w:rFonts w:hint="eastAsia" w:ascii="宋体" w:hAnsi="宋体"/>
              </w:rPr>
            </w:pPr>
          </w:p>
        </w:tc>
        <w:tc>
          <w:tcPr>
            <w:tcW w:w="776" w:type="dxa"/>
            <w:vAlign w:val="center"/>
          </w:tcPr>
          <w:p w14:paraId="26050CD2">
            <w:pPr>
              <w:adjustRightInd w:val="0"/>
              <w:snapToGrid w:val="0"/>
              <w:spacing w:line="360" w:lineRule="auto"/>
              <w:jc w:val="center"/>
              <w:rPr>
                <w:rFonts w:hint="eastAsia" w:ascii="宋体" w:hAnsi="宋体"/>
              </w:rPr>
            </w:pPr>
          </w:p>
        </w:tc>
        <w:tc>
          <w:tcPr>
            <w:tcW w:w="1222" w:type="dxa"/>
            <w:vAlign w:val="center"/>
          </w:tcPr>
          <w:p w14:paraId="2AC9AC08">
            <w:pPr>
              <w:adjustRightInd w:val="0"/>
              <w:snapToGrid w:val="0"/>
              <w:spacing w:line="360" w:lineRule="auto"/>
              <w:jc w:val="center"/>
              <w:rPr>
                <w:rFonts w:hint="eastAsia" w:ascii="宋体" w:hAnsi="宋体"/>
              </w:rPr>
            </w:pPr>
          </w:p>
        </w:tc>
        <w:tc>
          <w:tcPr>
            <w:tcW w:w="776" w:type="dxa"/>
            <w:vAlign w:val="center"/>
          </w:tcPr>
          <w:p w14:paraId="15D97D49">
            <w:pPr>
              <w:adjustRightInd w:val="0"/>
              <w:snapToGrid w:val="0"/>
              <w:spacing w:line="360" w:lineRule="auto"/>
              <w:jc w:val="center"/>
              <w:rPr>
                <w:rFonts w:hint="eastAsia" w:ascii="宋体" w:hAnsi="宋体"/>
              </w:rPr>
            </w:pPr>
          </w:p>
        </w:tc>
        <w:tc>
          <w:tcPr>
            <w:tcW w:w="776" w:type="dxa"/>
            <w:vAlign w:val="center"/>
          </w:tcPr>
          <w:p w14:paraId="53A80CD8">
            <w:pPr>
              <w:adjustRightInd w:val="0"/>
              <w:snapToGrid w:val="0"/>
              <w:spacing w:line="360" w:lineRule="auto"/>
              <w:jc w:val="center"/>
              <w:rPr>
                <w:rFonts w:hint="eastAsia" w:ascii="宋体" w:hAnsi="宋体"/>
              </w:rPr>
            </w:pPr>
          </w:p>
        </w:tc>
        <w:tc>
          <w:tcPr>
            <w:tcW w:w="774" w:type="dxa"/>
            <w:vAlign w:val="center"/>
          </w:tcPr>
          <w:p w14:paraId="7101A491">
            <w:pPr>
              <w:adjustRightInd w:val="0"/>
              <w:snapToGrid w:val="0"/>
              <w:spacing w:line="360" w:lineRule="auto"/>
              <w:jc w:val="center"/>
              <w:rPr>
                <w:rFonts w:hint="eastAsia" w:ascii="宋体" w:hAnsi="宋体"/>
              </w:rPr>
            </w:pPr>
          </w:p>
        </w:tc>
      </w:tr>
      <w:tr w14:paraId="43B7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6631143F">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03E2B505">
            <w:pPr>
              <w:adjustRightInd w:val="0"/>
              <w:snapToGrid w:val="0"/>
              <w:spacing w:line="360" w:lineRule="auto"/>
              <w:jc w:val="center"/>
              <w:rPr>
                <w:rFonts w:hint="eastAsia" w:ascii="宋体" w:hAnsi="宋体"/>
              </w:rPr>
            </w:pPr>
          </w:p>
        </w:tc>
        <w:tc>
          <w:tcPr>
            <w:tcW w:w="1224" w:type="dxa"/>
            <w:vAlign w:val="center"/>
          </w:tcPr>
          <w:p w14:paraId="2B472529">
            <w:pPr>
              <w:adjustRightInd w:val="0"/>
              <w:snapToGrid w:val="0"/>
              <w:spacing w:line="360" w:lineRule="auto"/>
              <w:jc w:val="center"/>
              <w:rPr>
                <w:rFonts w:hint="eastAsia" w:ascii="宋体" w:hAnsi="宋体"/>
              </w:rPr>
            </w:pPr>
          </w:p>
        </w:tc>
        <w:tc>
          <w:tcPr>
            <w:tcW w:w="555" w:type="dxa"/>
            <w:vAlign w:val="center"/>
          </w:tcPr>
          <w:p w14:paraId="63694D0A">
            <w:pPr>
              <w:adjustRightInd w:val="0"/>
              <w:snapToGrid w:val="0"/>
              <w:spacing w:line="360" w:lineRule="auto"/>
              <w:jc w:val="center"/>
              <w:rPr>
                <w:rFonts w:hint="eastAsia" w:ascii="宋体" w:hAnsi="宋体"/>
              </w:rPr>
            </w:pPr>
          </w:p>
        </w:tc>
        <w:tc>
          <w:tcPr>
            <w:tcW w:w="555" w:type="dxa"/>
            <w:vAlign w:val="center"/>
          </w:tcPr>
          <w:p w14:paraId="59BD6CD8">
            <w:pPr>
              <w:adjustRightInd w:val="0"/>
              <w:snapToGrid w:val="0"/>
              <w:spacing w:line="360" w:lineRule="auto"/>
              <w:jc w:val="center"/>
              <w:rPr>
                <w:rFonts w:hint="eastAsia" w:ascii="宋体" w:hAnsi="宋体"/>
              </w:rPr>
            </w:pPr>
          </w:p>
        </w:tc>
        <w:tc>
          <w:tcPr>
            <w:tcW w:w="776" w:type="dxa"/>
            <w:vAlign w:val="center"/>
          </w:tcPr>
          <w:p w14:paraId="5305901B">
            <w:pPr>
              <w:adjustRightInd w:val="0"/>
              <w:snapToGrid w:val="0"/>
              <w:spacing w:line="360" w:lineRule="auto"/>
              <w:jc w:val="center"/>
              <w:rPr>
                <w:rFonts w:hint="eastAsia" w:ascii="宋体" w:hAnsi="宋体"/>
              </w:rPr>
            </w:pPr>
          </w:p>
        </w:tc>
        <w:tc>
          <w:tcPr>
            <w:tcW w:w="1222" w:type="dxa"/>
            <w:vAlign w:val="center"/>
          </w:tcPr>
          <w:p w14:paraId="17763C65">
            <w:pPr>
              <w:adjustRightInd w:val="0"/>
              <w:snapToGrid w:val="0"/>
              <w:spacing w:line="360" w:lineRule="auto"/>
              <w:jc w:val="center"/>
              <w:rPr>
                <w:rFonts w:hint="eastAsia" w:ascii="宋体" w:hAnsi="宋体"/>
              </w:rPr>
            </w:pPr>
          </w:p>
        </w:tc>
        <w:tc>
          <w:tcPr>
            <w:tcW w:w="776" w:type="dxa"/>
            <w:vAlign w:val="center"/>
          </w:tcPr>
          <w:p w14:paraId="2DF7A757">
            <w:pPr>
              <w:adjustRightInd w:val="0"/>
              <w:snapToGrid w:val="0"/>
              <w:spacing w:line="360" w:lineRule="auto"/>
              <w:jc w:val="center"/>
              <w:rPr>
                <w:rFonts w:hint="eastAsia" w:ascii="宋体" w:hAnsi="宋体"/>
              </w:rPr>
            </w:pPr>
          </w:p>
        </w:tc>
        <w:tc>
          <w:tcPr>
            <w:tcW w:w="776" w:type="dxa"/>
            <w:vAlign w:val="center"/>
          </w:tcPr>
          <w:p w14:paraId="10DB745F">
            <w:pPr>
              <w:adjustRightInd w:val="0"/>
              <w:snapToGrid w:val="0"/>
              <w:spacing w:line="360" w:lineRule="auto"/>
              <w:jc w:val="center"/>
              <w:rPr>
                <w:rFonts w:hint="eastAsia" w:ascii="宋体" w:hAnsi="宋体"/>
              </w:rPr>
            </w:pPr>
          </w:p>
        </w:tc>
        <w:tc>
          <w:tcPr>
            <w:tcW w:w="774" w:type="dxa"/>
            <w:vAlign w:val="center"/>
          </w:tcPr>
          <w:p w14:paraId="4E0C2A17">
            <w:pPr>
              <w:adjustRightInd w:val="0"/>
              <w:snapToGrid w:val="0"/>
              <w:spacing w:line="360" w:lineRule="auto"/>
              <w:jc w:val="center"/>
              <w:rPr>
                <w:rFonts w:hint="eastAsia" w:ascii="宋体" w:hAnsi="宋体"/>
              </w:rPr>
            </w:pPr>
          </w:p>
        </w:tc>
      </w:tr>
      <w:tr w14:paraId="0A4F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75F90D43">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6E7EB35B">
            <w:pPr>
              <w:adjustRightInd w:val="0"/>
              <w:snapToGrid w:val="0"/>
              <w:spacing w:line="360" w:lineRule="auto"/>
              <w:jc w:val="center"/>
              <w:rPr>
                <w:rFonts w:hint="eastAsia" w:ascii="宋体" w:hAnsi="宋体"/>
              </w:rPr>
            </w:pPr>
          </w:p>
        </w:tc>
        <w:tc>
          <w:tcPr>
            <w:tcW w:w="1224" w:type="dxa"/>
            <w:vAlign w:val="center"/>
          </w:tcPr>
          <w:p w14:paraId="0DB3992E">
            <w:pPr>
              <w:adjustRightInd w:val="0"/>
              <w:snapToGrid w:val="0"/>
              <w:spacing w:line="360" w:lineRule="auto"/>
              <w:jc w:val="center"/>
              <w:rPr>
                <w:rFonts w:hint="eastAsia" w:ascii="宋体" w:hAnsi="宋体"/>
              </w:rPr>
            </w:pPr>
          </w:p>
        </w:tc>
        <w:tc>
          <w:tcPr>
            <w:tcW w:w="555" w:type="dxa"/>
            <w:vAlign w:val="center"/>
          </w:tcPr>
          <w:p w14:paraId="3E083B93">
            <w:pPr>
              <w:adjustRightInd w:val="0"/>
              <w:snapToGrid w:val="0"/>
              <w:spacing w:line="360" w:lineRule="auto"/>
              <w:jc w:val="center"/>
              <w:rPr>
                <w:rFonts w:hint="eastAsia" w:ascii="宋体" w:hAnsi="宋体"/>
              </w:rPr>
            </w:pPr>
          </w:p>
        </w:tc>
        <w:tc>
          <w:tcPr>
            <w:tcW w:w="555" w:type="dxa"/>
            <w:vAlign w:val="center"/>
          </w:tcPr>
          <w:p w14:paraId="5CE24347">
            <w:pPr>
              <w:adjustRightInd w:val="0"/>
              <w:snapToGrid w:val="0"/>
              <w:spacing w:line="360" w:lineRule="auto"/>
              <w:jc w:val="center"/>
              <w:rPr>
                <w:rFonts w:hint="eastAsia" w:ascii="宋体" w:hAnsi="宋体"/>
              </w:rPr>
            </w:pPr>
          </w:p>
        </w:tc>
        <w:tc>
          <w:tcPr>
            <w:tcW w:w="776" w:type="dxa"/>
            <w:vAlign w:val="center"/>
          </w:tcPr>
          <w:p w14:paraId="6F3BE291">
            <w:pPr>
              <w:adjustRightInd w:val="0"/>
              <w:snapToGrid w:val="0"/>
              <w:spacing w:line="360" w:lineRule="auto"/>
              <w:jc w:val="center"/>
              <w:rPr>
                <w:rFonts w:hint="eastAsia" w:ascii="宋体" w:hAnsi="宋体"/>
              </w:rPr>
            </w:pPr>
          </w:p>
        </w:tc>
        <w:tc>
          <w:tcPr>
            <w:tcW w:w="1222" w:type="dxa"/>
            <w:vAlign w:val="center"/>
          </w:tcPr>
          <w:p w14:paraId="676FC477">
            <w:pPr>
              <w:adjustRightInd w:val="0"/>
              <w:snapToGrid w:val="0"/>
              <w:spacing w:line="360" w:lineRule="auto"/>
              <w:jc w:val="center"/>
              <w:rPr>
                <w:rFonts w:hint="eastAsia" w:ascii="宋体" w:hAnsi="宋体"/>
              </w:rPr>
            </w:pPr>
          </w:p>
        </w:tc>
        <w:tc>
          <w:tcPr>
            <w:tcW w:w="776" w:type="dxa"/>
            <w:vAlign w:val="center"/>
          </w:tcPr>
          <w:p w14:paraId="45D109BC">
            <w:pPr>
              <w:adjustRightInd w:val="0"/>
              <w:snapToGrid w:val="0"/>
              <w:spacing w:line="360" w:lineRule="auto"/>
              <w:jc w:val="center"/>
              <w:rPr>
                <w:rFonts w:hint="eastAsia" w:ascii="宋体" w:hAnsi="宋体"/>
              </w:rPr>
            </w:pPr>
          </w:p>
        </w:tc>
        <w:tc>
          <w:tcPr>
            <w:tcW w:w="776" w:type="dxa"/>
            <w:vAlign w:val="center"/>
          </w:tcPr>
          <w:p w14:paraId="7F6F387A">
            <w:pPr>
              <w:adjustRightInd w:val="0"/>
              <w:snapToGrid w:val="0"/>
              <w:spacing w:line="360" w:lineRule="auto"/>
              <w:jc w:val="center"/>
              <w:rPr>
                <w:rFonts w:hint="eastAsia" w:ascii="宋体" w:hAnsi="宋体"/>
              </w:rPr>
            </w:pPr>
          </w:p>
        </w:tc>
        <w:tc>
          <w:tcPr>
            <w:tcW w:w="774" w:type="dxa"/>
            <w:vAlign w:val="center"/>
          </w:tcPr>
          <w:p w14:paraId="68D68F96">
            <w:pPr>
              <w:adjustRightInd w:val="0"/>
              <w:snapToGrid w:val="0"/>
              <w:spacing w:line="360" w:lineRule="auto"/>
              <w:jc w:val="center"/>
              <w:rPr>
                <w:rFonts w:hint="eastAsia" w:ascii="宋体" w:hAnsi="宋体"/>
              </w:rPr>
            </w:pPr>
          </w:p>
        </w:tc>
      </w:tr>
      <w:tr w14:paraId="0108B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22AEE8AB">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2B20AA49">
            <w:pPr>
              <w:adjustRightInd w:val="0"/>
              <w:snapToGrid w:val="0"/>
              <w:spacing w:line="360" w:lineRule="auto"/>
              <w:jc w:val="center"/>
              <w:rPr>
                <w:rFonts w:hint="eastAsia" w:ascii="宋体" w:hAnsi="宋体"/>
              </w:rPr>
            </w:pPr>
          </w:p>
        </w:tc>
        <w:tc>
          <w:tcPr>
            <w:tcW w:w="1224" w:type="dxa"/>
            <w:vAlign w:val="center"/>
          </w:tcPr>
          <w:p w14:paraId="1F3174E9">
            <w:pPr>
              <w:adjustRightInd w:val="0"/>
              <w:snapToGrid w:val="0"/>
              <w:spacing w:line="360" w:lineRule="auto"/>
              <w:jc w:val="center"/>
              <w:rPr>
                <w:rFonts w:hint="eastAsia" w:ascii="宋体" w:hAnsi="宋体"/>
              </w:rPr>
            </w:pPr>
          </w:p>
        </w:tc>
        <w:tc>
          <w:tcPr>
            <w:tcW w:w="555" w:type="dxa"/>
            <w:vAlign w:val="center"/>
          </w:tcPr>
          <w:p w14:paraId="475EBF93">
            <w:pPr>
              <w:adjustRightInd w:val="0"/>
              <w:snapToGrid w:val="0"/>
              <w:spacing w:line="360" w:lineRule="auto"/>
              <w:jc w:val="center"/>
              <w:rPr>
                <w:rFonts w:hint="eastAsia" w:ascii="宋体" w:hAnsi="宋体"/>
              </w:rPr>
            </w:pPr>
          </w:p>
        </w:tc>
        <w:tc>
          <w:tcPr>
            <w:tcW w:w="555" w:type="dxa"/>
            <w:vAlign w:val="center"/>
          </w:tcPr>
          <w:p w14:paraId="18E83555">
            <w:pPr>
              <w:adjustRightInd w:val="0"/>
              <w:snapToGrid w:val="0"/>
              <w:spacing w:line="360" w:lineRule="auto"/>
              <w:jc w:val="center"/>
              <w:rPr>
                <w:rFonts w:hint="eastAsia" w:ascii="宋体" w:hAnsi="宋体"/>
              </w:rPr>
            </w:pPr>
          </w:p>
        </w:tc>
        <w:tc>
          <w:tcPr>
            <w:tcW w:w="776" w:type="dxa"/>
            <w:vAlign w:val="center"/>
          </w:tcPr>
          <w:p w14:paraId="1F52C9EF">
            <w:pPr>
              <w:adjustRightInd w:val="0"/>
              <w:snapToGrid w:val="0"/>
              <w:spacing w:line="360" w:lineRule="auto"/>
              <w:jc w:val="center"/>
              <w:rPr>
                <w:rFonts w:hint="eastAsia" w:ascii="宋体" w:hAnsi="宋体"/>
              </w:rPr>
            </w:pPr>
          </w:p>
        </w:tc>
        <w:tc>
          <w:tcPr>
            <w:tcW w:w="1222" w:type="dxa"/>
            <w:vAlign w:val="center"/>
          </w:tcPr>
          <w:p w14:paraId="46199750">
            <w:pPr>
              <w:adjustRightInd w:val="0"/>
              <w:snapToGrid w:val="0"/>
              <w:spacing w:line="360" w:lineRule="auto"/>
              <w:jc w:val="center"/>
              <w:rPr>
                <w:rFonts w:hint="eastAsia" w:ascii="宋体" w:hAnsi="宋体"/>
              </w:rPr>
            </w:pPr>
          </w:p>
        </w:tc>
        <w:tc>
          <w:tcPr>
            <w:tcW w:w="776" w:type="dxa"/>
            <w:vAlign w:val="center"/>
          </w:tcPr>
          <w:p w14:paraId="5ECEA876">
            <w:pPr>
              <w:adjustRightInd w:val="0"/>
              <w:snapToGrid w:val="0"/>
              <w:spacing w:line="360" w:lineRule="auto"/>
              <w:jc w:val="center"/>
              <w:rPr>
                <w:rFonts w:hint="eastAsia" w:ascii="宋体" w:hAnsi="宋体"/>
              </w:rPr>
            </w:pPr>
          </w:p>
        </w:tc>
        <w:tc>
          <w:tcPr>
            <w:tcW w:w="776" w:type="dxa"/>
            <w:vAlign w:val="center"/>
          </w:tcPr>
          <w:p w14:paraId="39218CE3">
            <w:pPr>
              <w:adjustRightInd w:val="0"/>
              <w:snapToGrid w:val="0"/>
              <w:spacing w:line="360" w:lineRule="auto"/>
              <w:jc w:val="center"/>
              <w:rPr>
                <w:rFonts w:hint="eastAsia" w:ascii="宋体" w:hAnsi="宋体"/>
              </w:rPr>
            </w:pPr>
          </w:p>
        </w:tc>
        <w:tc>
          <w:tcPr>
            <w:tcW w:w="774" w:type="dxa"/>
            <w:vAlign w:val="center"/>
          </w:tcPr>
          <w:p w14:paraId="5726A805">
            <w:pPr>
              <w:adjustRightInd w:val="0"/>
              <w:snapToGrid w:val="0"/>
              <w:spacing w:line="360" w:lineRule="auto"/>
              <w:jc w:val="center"/>
              <w:rPr>
                <w:rFonts w:hint="eastAsia" w:ascii="宋体" w:hAnsi="宋体"/>
              </w:rPr>
            </w:pPr>
          </w:p>
        </w:tc>
      </w:tr>
      <w:tr w14:paraId="699B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5DD7CCB">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5D095DA6">
            <w:pPr>
              <w:adjustRightInd w:val="0"/>
              <w:snapToGrid w:val="0"/>
              <w:spacing w:line="360" w:lineRule="auto"/>
              <w:jc w:val="center"/>
              <w:rPr>
                <w:rFonts w:hint="eastAsia" w:ascii="宋体" w:hAnsi="宋体"/>
              </w:rPr>
            </w:pPr>
          </w:p>
        </w:tc>
        <w:tc>
          <w:tcPr>
            <w:tcW w:w="1224" w:type="dxa"/>
            <w:vAlign w:val="center"/>
          </w:tcPr>
          <w:p w14:paraId="4B5A8FCE">
            <w:pPr>
              <w:adjustRightInd w:val="0"/>
              <w:snapToGrid w:val="0"/>
              <w:spacing w:line="360" w:lineRule="auto"/>
              <w:jc w:val="center"/>
              <w:rPr>
                <w:rFonts w:hint="eastAsia" w:ascii="宋体" w:hAnsi="宋体"/>
              </w:rPr>
            </w:pPr>
          </w:p>
        </w:tc>
        <w:tc>
          <w:tcPr>
            <w:tcW w:w="555" w:type="dxa"/>
            <w:vAlign w:val="center"/>
          </w:tcPr>
          <w:p w14:paraId="6C4BBE41">
            <w:pPr>
              <w:adjustRightInd w:val="0"/>
              <w:snapToGrid w:val="0"/>
              <w:spacing w:line="360" w:lineRule="auto"/>
              <w:jc w:val="center"/>
              <w:rPr>
                <w:rFonts w:hint="eastAsia" w:ascii="宋体" w:hAnsi="宋体"/>
              </w:rPr>
            </w:pPr>
          </w:p>
        </w:tc>
        <w:tc>
          <w:tcPr>
            <w:tcW w:w="555" w:type="dxa"/>
            <w:vAlign w:val="center"/>
          </w:tcPr>
          <w:p w14:paraId="30CEBD73">
            <w:pPr>
              <w:adjustRightInd w:val="0"/>
              <w:snapToGrid w:val="0"/>
              <w:spacing w:line="360" w:lineRule="auto"/>
              <w:jc w:val="center"/>
              <w:rPr>
                <w:rFonts w:hint="eastAsia" w:ascii="宋体" w:hAnsi="宋体"/>
              </w:rPr>
            </w:pPr>
          </w:p>
        </w:tc>
        <w:tc>
          <w:tcPr>
            <w:tcW w:w="776" w:type="dxa"/>
            <w:vAlign w:val="center"/>
          </w:tcPr>
          <w:p w14:paraId="0646A5BE">
            <w:pPr>
              <w:adjustRightInd w:val="0"/>
              <w:snapToGrid w:val="0"/>
              <w:spacing w:line="360" w:lineRule="auto"/>
              <w:jc w:val="center"/>
              <w:rPr>
                <w:rFonts w:hint="eastAsia" w:ascii="宋体" w:hAnsi="宋体"/>
              </w:rPr>
            </w:pPr>
          </w:p>
        </w:tc>
        <w:tc>
          <w:tcPr>
            <w:tcW w:w="1222" w:type="dxa"/>
            <w:vAlign w:val="center"/>
          </w:tcPr>
          <w:p w14:paraId="5F513001">
            <w:pPr>
              <w:adjustRightInd w:val="0"/>
              <w:snapToGrid w:val="0"/>
              <w:spacing w:line="360" w:lineRule="auto"/>
              <w:jc w:val="center"/>
              <w:rPr>
                <w:rFonts w:hint="eastAsia" w:ascii="宋体" w:hAnsi="宋体"/>
              </w:rPr>
            </w:pPr>
          </w:p>
        </w:tc>
        <w:tc>
          <w:tcPr>
            <w:tcW w:w="776" w:type="dxa"/>
            <w:vAlign w:val="center"/>
          </w:tcPr>
          <w:p w14:paraId="48AB893A">
            <w:pPr>
              <w:adjustRightInd w:val="0"/>
              <w:snapToGrid w:val="0"/>
              <w:spacing w:line="360" w:lineRule="auto"/>
              <w:jc w:val="center"/>
              <w:rPr>
                <w:rFonts w:hint="eastAsia" w:ascii="宋体" w:hAnsi="宋体"/>
              </w:rPr>
            </w:pPr>
          </w:p>
        </w:tc>
        <w:tc>
          <w:tcPr>
            <w:tcW w:w="776" w:type="dxa"/>
            <w:vAlign w:val="center"/>
          </w:tcPr>
          <w:p w14:paraId="77BC615D">
            <w:pPr>
              <w:adjustRightInd w:val="0"/>
              <w:snapToGrid w:val="0"/>
              <w:spacing w:line="360" w:lineRule="auto"/>
              <w:jc w:val="center"/>
              <w:rPr>
                <w:rFonts w:hint="eastAsia" w:ascii="宋体" w:hAnsi="宋体"/>
              </w:rPr>
            </w:pPr>
          </w:p>
        </w:tc>
        <w:tc>
          <w:tcPr>
            <w:tcW w:w="774" w:type="dxa"/>
            <w:vAlign w:val="center"/>
          </w:tcPr>
          <w:p w14:paraId="10F03130">
            <w:pPr>
              <w:adjustRightInd w:val="0"/>
              <w:snapToGrid w:val="0"/>
              <w:spacing w:line="360" w:lineRule="auto"/>
              <w:jc w:val="center"/>
              <w:rPr>
                <w:rFonts w:hint="eastAsia" w:ascii="宋体" w:hAnsi="宋体"/>
              </w:rPr>
            </w:pPr>
          </w:p>
        </w:tc>
      </w:tr>
      <w:tr w14:paraId="4575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14CBB245">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6582B9C9">
            <w:pPr>
              <w:adjustRightInd w:val="0"/>
              <w:snapToGrid w:val="0"/>
              <w:spacing w:line="360" w:lineRule="auto"/>
              <w:jc w:val="center"/>
              <w:rPr>
                <w:rFonts w:hint="eastAsia" w:ascii="宋体" w:hAnsi="宋体"/>
              </w:rPr>
            </w:pPr>
          </w:p>
        </w:tc>
        <w:tc>
          <w:tcPr>
            <w:tcW w:w="1224" w:type="dxa"/>
            <w:vAlign w:val="center"/>
          </w:tcPr>
          <w:p w14:paraId="631E411D">
            <w:pPr>
              <w:adjustRightInd w:val="0"/>
              <w:snapToGrid w:val="0"/>
              <w:spacing w:line="360" w:lineRule="auto"/>
              <w:jc w:val="center"/>
              <w:rPr>
                <w:rFonts w:hint="eastAsia" w:ascii="宋体" w:hAnsi="宋体"/>
              </w:rPr>
            </w:pPr>
          </w:p>
        </w:tc>
        <w:tc>
          <w:tcPr>
            <w:tcW w:w="555" w:type="dxa"/>
            <w:vAlign w:val="center"/>
          </w:tcPr>
          <w:p w14:paraId="1AB4E15C">
            <w:pPr>
              <w:adjustRightInd w:val="0"/>
              <w:snapToGrid w:val="0"/>
              <w:spacing w:line="360" w:lineRule="auto"/>
              <w:jc w:val="center"/>
              <w:rPr>
                <w:rFonts w:hint="eastAsia" w:ascii="宋体" w:hAnsi="宋体"/>
              </w:rPr>
            </w:pPr>
          </w:p>
        </w:tc>
        <w:tc>
          <w:tcPr>
            <w:tcW w:w="555" w:type="dxa"/>
            <w:vAlign w:val="center"/>
          </w:tcPr>
          <w:p w14:paraId="28364883">
            <w:pPr>
              <w:adjustRightInd w:val="0"/>
              <w:snapToGrid w:val="0"/>
              <w:spacing w:line="360" w:lineRule="auto"/>
              <w:jc w:val="center"/>
              <w:rPr>
                <w:rFonts w:hint="eastAsia" w:ascii="宋体" w:hAnsi="宋体"/>
              </w:rPr>
            </w:pPr>
          </w:p>
        </w:tc>
        <w:tc>
          <w:tcPr>
            <w:tcW w:w="776" w:type="dxa"/>
            <w:vAlign w:val="center"/>
          </w:tcPr>
          <w:p w14:paraId="45888502">
            <w:pPr>
              <w:adjustRightInd w:val="0"/>
              <w:snapToGrid w:val="0"/>
              <w:spacing w:line="360" w:lineRule="auto"/>
              <w:jc w:val="center"/>
              <w:rPr>
                <w:rFonts w:hint="eastAsia" w:ascii="宋体" w:hAnsi="宋体"/>
              </w:rPr>
            </w:pPr>
          </w:p>
        </w:tc>
        <w:tc>
          <w:tcPr>
            <w:tcW w:w="1222" w:type="dxa"/>
            <w:vAlign w:val="center"/>
          </w:tcPr>
          <w:p w14:paraId="21637924">
            <w:pPr>
              <w:adjustRightInd w:val="0"/>
              <w:snapToGrid w:val="0"/>
              <w:spacing w:line="360" w:lineRule="auto"/>
              <w:jc w:val="center"/>
              <w:rPr>
                <w:rFonts w:hint="eastAsia" w:ascii="宋体" w:hAnsi="宋体"/>
              </w:rPr>
            </w:pPr>
          </w:p>
        </w:tc>
        <w:tc>
          <w:tcPr>
            <w:tcW w:w="776" w:type="dxa"/>
            <w:vAlign w:val="center"/>
          </w:tcPr>
          <w:p w14:paraId="002B24A3">
            <w:pPr>
              <w:adjustRightInd w:val="0"/>
              <w:snapToGrid w:val="0"/>
              <w:spacing w:line="360" w:lineRule="auto"/>
              <w:jc w:val="center"/>
              <w:rPr>
                <w:rFonts w:hint="eastAsia" w:ascii="宋体" w:hAnsi="宋体"/>
              </w:rPr>
            </w:pPr>
          </w:p>
        </w:tc>
        <w:tc>
          <w:tcPr>
            <w:tcW w:w="776" w:type="dxa"/>
            <w:vAlign w:val="center"/>
          </w:tcPr>
          <w:p w14:paraId="12292A6E">
            <w:pPr>
              <w:adjustRightInd w:val="0"/>
              <w:snapToGrid w:val="0"/>
              <w:spacing w:line="360" w:lineRule="auto"/>
              <w:jc w:val="center"/>
              <w:rPr>
                <w:rFonts w:hint="eastAsia" w:ascii="宋体" w:hAnsi="宋体"/>
              </w:rPr>
            </w:pPr>
          </w:p>
        </w:tc>
        <w:tc>
          <w:tcPr>
            <w:tcW w:w="774" w:type="dxa"/>
            <w:vAlign w:val="center"/>
          </w:tcPr>
          <w:p w14:paraId="504D6DB1">
            <w:pPr>
              <w:adjustRightInd w:val="0"/>
              <w:snapToGrid w:val="0"/>
              <w:spacing w:line="360" w:lineRule="auto"/>
              <w:jc w:val="center"/>
              <w:rPr>
                <w:rFonts w:hint="eastAsia" w:ascii="宋体" w:hAnsi="宋体"/>
              </w:rPr>
            </w:pPr>
          </w:p>
        </w:tc>
      </w:tr>
      <w:tr w14:paraId="5ED3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5A58CE7F">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1BF6D127">
            <w:pPr>
              <w:adjustRightInd w:val="0"/>
              <w:snapToGrid w:val="0"/>
              <w:spacing w:line="360" w:lineRule="auto"/>
              <w:jc w:val="center"/>
              <w:rPr>
                <w:rFonts w:hint="eastAsia" w:ascii="宋体" w:hAnsi="宋体"/>
              </w:rPr>
            </w:pPr>
          </w:p>
        </w:tc>
        <w:tc>
          <w:tcPr>
            <w:tcW w:w="1224" w:type="dxa"/>
            <w:vAlign w:val="center"/>
          </w:tcPr>
          <w:p w14:paraId="66C29809">
            <w:pPr>
              <w:adjustRightInd w:val="0"/>
              <w:snapToGrid w:val="0"/>
              <w:spacing w:line="360" w:lineRule="auto"/>
              <w:jc w:val="center"/>
              <w:rPr>
                <w:rFonts w:hint="eastAsia" w:ascii="宋体" w:hAnsi="宋体"/>
              </w:rPr>
            </w:pPr>
          </w:p>
        </w:tc>
        <w:tc>
          <w:tcPr>
            <w:tcW w:w="555" w:type="dxa"/>
            <w:vAlign w:val="center"/>
          </w:tcPr>
          <w:p w14:paraId="524F8D6D">
            <w:pPr>
              <w:adjustRightInd w:val="0"/>
              <w:snapToGrid w:val="0"/>
              <w:spacing w:line="360" w:lineRule="auto"/>
              <w:jc w:val="center"/>
              <w:rPr>
                <w:rFonts w:hint="eastAsia" w:ascii="宋体" w:hAnsi="宋体"/>
              </w:rPr>
            </w:pPr>
          </w:p>
        </w:tc>
        <w:tc>
          <w:tcPr>
            <w:tcW w:w="555" w:type="dxa"/>
            <w:vAlign w:val="center"/>
          </w:tcPr>
          <w:p w14:paraId="50F1679D">
            <w:pPr>
              <w:adjustRightInd w:val="0"/>
              <w:snapToGrid w:val="0"/>
              <w:spacing w:line="360" w:lineRule="auto"/>
              <w:jc w:val="center"/>
              <w:rPr>
                <w:rFonts w:hint="eastAsia" w:ascii="宋体" w:hAnsi="宋体"/>
              </w:rPr>
            </w:pPr>
          </w:p>
        </w:tc>
        <w:tc>
          <w:tcPr>
            <w:tcW w:w="776" w:type="dxa"/>
            <w:vAlign w:val="center"/>
          </w:tcPr>
          <w:p w14:paraId="5820C3C8">
            <w:pPr>
              <w:adjustRightInd w:val="0"/>
              <w:snapToGrid w:val="0"/>
              <w:spacing w:line="360" w:lineRule="auto"/>
              <w:jc w:val="center"/>
              <w:rPr>
                <w:rFonts w:hint="eastAsia" w:ascii="宋体" w:hAnsi="宋体"/>
              </w:rPr>
            </w:pPr>
          </w:p>
        </w:tc>
        <w:tc>
          <w:tcPr>
            <w:tcW w:w="1222" w:type="dxa"/>
            <w:vAlign w:val="center"/>
          </w:tcPr>
          <w:p w14:paraId="7C03B003">
            <w:pPr>
              <w:adjustRightInd w:val="0"/>
              <w:snapToGrid w:val="0"/>
              <w:spacing w:line="360" w:lineRule="auto"/>
              <w:jc w:val="center"/>
              <w:rPr>
                <w:rFonts w:hint="eastAsia" w:ascii="宋体" w:hAnsi="宋体"/>
              </w:rPr>
            </w:pPr>
          </w:p>
        </w:tc>
        <w:tc>
          <w:tcPr>
            <w:tcW w:w="776" w:type="dxa"/>
            <w:vAlign w:val="center"/>
          </w:tcPr>
          <w:p w14:paraId="3484538F">
            <w:pPr>
              <w:adjustRightInd w:val="0"/>
              <w:snapToGrid w:val="0"/>
              <w:spacing w:line="360" w:lineRule="auto"/>
              <w:jc w:val="center"/>
              <w:rPr>
                <w:rFonts w:hint="eastAsia" w:ascii="宋体" w:hAnsi="宋体"/>
              </w:rPr>
            </w:pPr>
          </w:p>
        </w:tc>
        <w:tc>
          <w:tcPr>
            <w:tcW w:w="776" w:type="dxa"/>
            <w:vAlign w:val="center"/>
          </w:tcPr>
          <w:p w14:paraId="53866127">
            <w:pPr>
              <w:adjustRightInd w:val="0"/>
              <w:snapToGrid w:val="0"/>
              <w:spacing w:line="360" w:lineRule="auto"/>
              <w:jc w:val="center"/>
              <w:rPr>
                <w:rFonts w:hint="eastAsia" w:ascii="宋体" w:hAnsi="宋体"/>
              </w:rPr>
            </w:pPr>
          </w:p>
        </w:tc>
        <w:tc>
          <w:tcPr>
            <w:tcW w:w="774" w:type="dxa"/>
            <w:vAlign w:val="center"/>
          </w:tcPr>
          <w:p w14:paraId="6549E497">
            <w:pPr>
              <w:adjustRightInd w:val="0"/>
              <w:snapToGrid w:val="0"/>
              <w:spacing w:line="360" w:lineRule="auto"/>
              <w:jc w:val="center"/>
              <w:rPr>
                <w:rFonts w:hint="eastAsia" w:ascii="宋体" w:hAnsi="宋体"/>
              </w:rPr>
            </w:pPr>
          </w:p>
        </w:tc>
      </w:tr>
      <w:tr w14:paraId="7CED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6E9830A4">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5F8EEA74">
            <w:pPr>
              <w:adjustRightInd w:val="0"/>
              <w:snapToGrid w:val="0"/>
              <w:spacing w:line="360" w:lineRule="auto"/>
              <w:jc w:val="center"/>
              <w:rPr>
                <w:rFonts w:hint="eastAsia" w:ascii="宋体" w:hAnsi="宋体"/>
              </w:rPr>
            </w:pPr>
          </w:p>
        </w:tc>
        <w:tc>
          <w:tcPr>
            <w:tcW w:w="1224" w:type="dxa"/>
            <w:vAlign w:val="center"/>
          </w:tcPr>
          <w:p w14:paraId="08C54D1E">
            <w:pPr>
              <w:adjustRightInd w:val="0"/>
              <w:snapToGrid w:val="0"/>
              <w:spacing w:line="360" w:lineRule="auto"/>
              <w:jc w:val="center"/>
              <w:rPr>
                <w:rFonts w:hint="eastAsia" w:ascii="宋体" w:hAnsi="宋体"/>
              </w:rPr>
            </w:pPr>
          </w:p>
        </w:tc>
        <w:tc>
          <w:tcPr>
            <w:tcW w:w="555" w:type="dxa"/>
            <w:vAlign w:val="center"/>
          </w:tcPr>
          <w:p w14:paraId="142C3DBC">
            <w:pPr>
              <w:adjustRightInd w:val="0"/>
              <w:snapToGrid w:val="0"/>
              <w:spacing w:line="360" w:lineRule="auto"/>
              <w:jc w:val="center"/>
              <w:rPr>
                <w:rFonts w:hint="eastAsia" w:ascii="宋体" w:hAnsi="宋体"/>
              </w:rPr>
            </w:pPr>
          </w:p>
        </w:tc>
        <w:tc>
          <w:tcPr>
            <w:tcW w:w="555" w:type="dxa"/>
            <w:vAlign w:val="center"/>
          </w:tcPr>
          <w:p w14:paraId="004913DE">
            <w:pPr>
              <w:adjustRightInd w:val="0"/>
              <w:snapToGrid w:val="0"/>
              <w:spacing w:line="360" w:lineRule="auto"/>
              <w:jc w:val="center"/>
              <w:rPr>
                <w:rFonts w:hint="eastAsia" w:ascii="宋体" w:hAnsi="宋体"/>
              </w:rPr>
            </w:pPr>
          </w:p>
        </w:tc>
        <w:tc>
          <w:tcPr>
            <w:tcW w:w="776" w:type="dxa"/>
            <w:vAlign w:val="center"/>
          </w:tcPr>
          <w:p w14:paraId="0E8BD277">
            <w:pPr>
              <w:adjustRightInd w:val="0"/>
              <w:snapToGrid w:val="0"/>
              <w:spacing w:line="360" w:lineRule="auto"/>
              <w:jc w:val="center"/>
              <w:rPr>
                <w:rFonts w:hint="eastAsia" w:ascii="宋体" w:hAnsi="宋体"/>
              </w:rPr>
            </w:pPr>
          </w:p>
        </w:tc>
        <w:tc>
          <w:tcPr>
            <w:tcW w:w="1222" w:type="dxa"/>
            <w:vAlign w:val="center"/>
          </w:tcPr>
          <w:p w14:paraId="2515D628">
            <w:pPr>
              <w:adjustRightInd w:val="0"/>
              <w:snapToGrid w:val="0"/>
              <w:spacing w:line="360" w:lineRule="auto"/>
              <w:jc w:val="center"/>
              <w:rPr>
                <w:rFonts w:hint="eastAsia" w:ascii="宋体" w:hAnsi="宋体"/>
              </w:rPr>
            </w:pPr>
          </w:p>
        </w:tc>
        <w:tc>
          <w:tcPr>
            <w:tcW w:w="776" w:type="dxa"/>
            <w:vAlign w:val="center"/>
          </w:tcPr>
          <w:p w14:paraId="51C583D8">
            <w:pPr>
              <w:adjustRightInd w:val="0"/>
              <w:snapToGrid w:val="0"/>
              <w:spacing w:line="360" w:lineRule="auto"/>
              <w:jc w:val="center"/>
              <w:rPr>
                <w:rFonts w:hint="eastAsia" w:ascii="宋体" w:hAnsi="宋体"/>
              </w:rPr>
            </w:pPr>
          </w:p>
        </w:tc>
        <w:tc>
          <w:tcPr>
            <w:tcW w:w="776" w:type="dxa"/>
            <w:vAlign w:val="center"/>
          </w:tcPr>
          <w:p w14:paraId="215FD42E">
            <w:pPr>
              <w:adjustRightInd w:val="0"/>
              <w:snapToGrid w:val="0"/>
              <w:spacing w:line="360" w:lineRule="auto"/>
              <w:jc w:val="center"/>
              <w:rPr>
                <w:rFonts w:hint="eastAsia" w:ascii="宋体" w:hAnsi="宋体"/>
              </w:rPr>
            </w:pPr>
          </w:p>
        </w:tc>
        <w:tc>
          <w:tcPr>
            <w:tcW w:w="774" w:type="dxa"/>
            <w:vAlign w:val="center"/>
          </w:tcPr>
          <w:p w14:paraId="745BB2F6">
            <w:pPr>
              <w:adjustRightInd w:val="0"/>
              <w:snapToGrid w:val="0"/>
              <w:spacing w:line="360" w:lineRule="auto"/>
              <w:jc w:val="center"/>
              <w:rPr>
                <w:rFonts w:hint="eastAsia" w:ascii="宋体" w:hAnsi="宋体"/>
              </w:rPr>
            </w:pPr>
          </w:p>
        </w:tc>
      </w:tr>
      <w:tr w14:paraId="4EC55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3F7F5D79">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1431C5FF">
            <w:pPr>
              <w:adjustRightInd w:val="0"/>
              <w:snapToGrid w:val="0"/>
              <w:spacing w:line="360" w:lineRule="auto"/>
              <w:jc w:val="center"/>
              <w:rPr>
                <w:rFonts w:hint="eastAsia" w:ascii="宋体" w:hAnsi="宋体"/>
              </w:rPr>
            </w:pPr>
          </w:p>
        </w:tc>
        <w:tc>
          <w:tcPr>
            <w:tcW w:w="1224" w:type="dxa"/>
            <w:vAlign w:val="center"/>
          </w:tcPr>
          <w:p w14:paraId="548595B6">
            <w:pPr>
              <w:adjustRightInd w:val="0"/>
              <w:snapToGrid w:val="0"/>
              <w:spacing w:line="360" w:lineRule="auto"/>
              <w:jc w:val="center"/>
              <w:rPr>
                <w:rFonts w:hint="eastAsia" w:ascii="宋体" w:hAnsi="宋体"/>
              </w:rPr>
            </w:pPr>
          </w:p>
        </w:tc>
        <w:tc>
          <w:tcPr>
            <w:tcW w:w="555" w:type="dxa"/>
            <w:vAlign w:val="center"/>
          </w:tcPr>
          <w:p w14:paraId="23CD4B4C">
            <w:pPr>
              <w:adjustRightInd w:val="0"/>
              <w:snapToGrid w:val="0"/>
              <w:spacing w:line="360" w:lineRule="auto"/>
              <w:jc w:val="center"/>
              <w:rPr>
                <w:rFonts w:hint="eastAsia" w:ascii="宋体" w:hAnsi="宋体"/>
              </w:rPr>
            </w:pPr>
          </w:p>
        </w:tc>
        <w:tc>
          <w:tcPr>
            <w:tcW w:w="555" w:type="dxa"/>
            <w:vAlign w:val="center"/>
          </w:tcPr>
          <w:p w14:paraId="15CE76D5">
            <w:pPr>
              <w:adjustRightInd w:val="0"/>
              <w:snapToGrid w:val="0"/>
              <w:spacing w:line="360" w:lineRule="auto"/>
              <w:jc w:val="center"/>
              <w:rPr>
                <w:rFonts w:hint="eastAsia" w:ascii="宋体" w:hAnsi="宋体"/>
              </w:rPr>
            </w:pPr>
          </w:p>
        </w:tc>
        <w:tc>
          <w:tcPr>
            <w:tcW w:w="776" w:type="dxa"/>
            <w:vAlign w:val="center"/>
          </w:tcPr>
          <w:p w14:paraId="2CB18326">
            <w:pPr>
              <w:adjustRightInd w:val="0"/>
              <w:snapToGrid w:val="0"/>
              <w:spacing w:line="360" w:lineRule="auto"/>
              <w:jc w:val="center"/>
              <w:rPr>
                <w:rFonts w:hint="eastAsia" w:ascii="宋体" w:hAnsi="宋体"/>
              </w:rPr>
            </w:pPr>
          </w:p>
        </w:tc>
        <w:tc>
          <w:tcPr>
            <w:tcW w:w="1222" w:type="dxa"/>
            <w:vAlign w:val="center"/>
          </w:tcPr>
          <w:p w14:paraId="3101245E">
            <w:pPr>
              <w:adjustRightInd w:val="0"/>
              <w:snapToGrid w:val="0"/>
              <w:spacing w:line="360" w:lineRule="auto"/>
              <w:jc w:val="center"/>
              <w:rPr>
                <w:rFonts w:hint="eastAsia" w:ascii="宋体" w:hAnsi="宋体"/>
              </w:rPr>
            </w:pPr>
          </w:p>
        </w:tc>
        <w:tc>
          <w:tcPr>
            <w:tcW w:w="776" w:type="dxa"/>
            <w:vAlign w:val="center"/>
          </w:tcPr>
          <w:p w14:paraId="13DD02A4">
            <w:pPr>
              <w:adjustRightInd w:val="0"/>
              <w:snapToGrid w:val="0"/>
              <w:spacing w:line="360" w:lineRule="auto"/>
              <w:jc w:val="center"/>
              <w:rPr>
                <w:rFonts w:hint="eastAsia" w:ascii="宋体" w:hAnsi="宋体"/>
              </w:rPr>
            </w:pPr>
          </w:p>
        </w:tc>
        <w:tc>
          <w:tcPr>
            <w:tcW w:w="776" w:type="dxa"/>
            <w:vAlign w:val="center"/>
          </w:tcPr>
          <w:p w14:paraId="20BB14E9">
            <w:pPr>
              <w:adjustRightInd w:val="0"/>
              <w:snapToGrid w:val="0"/>
              <w:spacing w:line="360" w:lineRule="auto"/>
              <w:jc w:val="center"/>
              <w:rPr>
                <w:rFonts w:hint="eastAsia" w:ascii="宋体" w:hAnsi="宋体"/>
              </w:rPr>
            </w:pPr>
          </w:p>
        </w:tc>
        <w:tc>
          <w:tcPr>
            <w:tcW w:w="774" w:type="dxa"/>
            <w:vAlign w:val="center"/>
          </w:tcPr>
          <w:p w14:paraId="441E057D">
            <w:pPr>
              <w:adjustRightInd w:val="0"/>
              <w:snapToGrid w:val="0"/>
              <w:spacing w:line="360" w:lineRule="auto"/>
              <w:jc w:val="center"/>
              <w:rPr>
                <w:rFonts w:hint="eastAsia" w:ascii="宋体" w:hAnsi="宋体"/>
              </w:rPr>
            </w:pPr>
          </w:p>
        </w:tc>
      </w:tr>
      <w:tr w14:paraId="6E75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330369C">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6BABBDE9">
            <w:pPr>
              <w:adjustRightInd w:val="0"/>
              <w:snapToGrid w:val="0"/>
              <w:spacing w:line="360" w:lineRule="auto"/>
              <w:jc w:val="center"/>
              <w:rPr>
                <w:rFonts w:hint="eastAsia" w:ascii="宋体" w:hAnsi="宋体"/>
              </w:rPr>
            </w:pPr>
          </w:p>
        </w:tc>
        <w:tc>
          <w:tcPr>
            <w:tcW w:w="1224" w:type="dxa"/>
            <w:vAlign w:val="center"/>
          </w:tcPr>
          <w:p w14:paraId="36A1792D">
            <w:pPr>
              <w:adjustRightInd w:val="0"/>
              <w:snapToGrid w:val="0"/>
              <w:spacing w:line="360" w:lineRule="auto"/>
              <w:jc w:val="center"/>
              <w:rPr>
                <w:rFonts w:hint="eastAsia" w:ascii="宋体" w:hAnsi="宋体"/>
              </w:rPr>
            </w:pPr>
          </w:p>
        </w:tc>
        <w:tc>
          <w:tcPr>
            <w:tcW w:w="555" w:type="dxa"/>
            <w:vAlign w:val="center"/>
          </w:tcPr>
          <w:p w14:paraId="6BB2828B">
            <w:pPr>
              <w:adjustRightInd w:val="0"/>
              <w:snapToGrid w:val="0"/>
              <w:spacing w:line="360" w:lineRule="auto"/>
              <w:jc w:val="center"/>
              <w:rPr>
                <w:rFonts w:hint="eastAsia" w:ascii="宋体" w:hAnsi="宋体"/>
              </w:rPr>
            </w:pPr>
          </w:p>
        </w:tc>
        <w:tc>
          <w:tcPr>
            <w:tcW w:w="555" w:type="dxa"/>
            <w:vAlign w:val="center"/>
          </w:tcPr>
          <w:p w14:paraId="3A470E79">
            <w:pPr>
              <w:adjustRightInd w:val="0"/>
              <w:snapToGrid w:val="0"/>
              <w:spacing w:line="360" w:lineRule="auto"/>
              <w:jc w:val="center"/>
              <w:rPr>
                <w:rFonts w:hint="eastAsia" w:ascii="宋体" w:hAnsi="宋体"/>
              </w:rPr>
            </w:pPr>
          </w:p>
        </w:tc>
        <w:tc>
          <w:tcPr>
            <w:tcW w:w="776" w:type="dxa"/>
            <w:vAlign w:val="center"/>
          </w:tcPr>
          <w:p w14:paraId="53031B16">
            <w:pPr>
              <w:adjustRightInd w:val="0"/>
              <w:snapToGrid w:val="0"/>
              <w:spacing w:line="360" w:lineRule="auto"/>
              <w:jc w:val="center"/>
              <w:rPr>
                <w:rFonts w:hint="eastAsia" w:ascii="宋体" w:hAnsi="宋体"/>
              </w:rPr>
            </w:pPr>
          </w:p>
        </w:tc>
        <w:tc>
          <w:tcPr>
            <w:tcW w:w="1222" w:type="dxa"/>
            <w:vAlign w:val="center"/>
          </w:tcPr>
          <w:p w14:paraId="393300BF">
            <w:pPr>
              <w:adjustRightInd w:val="0"/>
              <w:snapToGrid w:val="0"/>
              <w:spacing w:line="360" w:lineRule="auto"/>
              <w:jc w:val="center"/>
              <w:rPr>
                <w:rFonts w:hint="eastAsia" w:ascii="宋体" w:hAnsi="宋体"/>
              </w:rPr>
            </w:pPr>
          </w:p>
        </w:tc>
        <w:tc>
          <w:tcPr>
            <w:tcW w:w="776" w:type="dxa"/>
            <w:vAlign w:val="center"/>
          </w:tcPr>
          <w:p w14:paraId="74B06C7C">
            <w:pPr>
              <w:adjustRightInd w:val="0"/>
              <w:snapToGrid w:val="0"/>
              <w:spacing w:line="360" w:lineRule="auto"/>
              <w:jc w:val="center"/>
              <w:rPr>
                <w:rFonts w:hint="eastAsia" w:ascii="宋体" w:hAnsi="宋体"/>
              </w:rPr>
            </w:pPr>
          </w:p>
        </w:tc>
        <w:tc>
          <w:tcPr>
            <w:tcW w:w="776" w:type="dxa"/>
            <w:vAlign w:val="center"/>
          </w:tcPr>
          <w:p w14:paraId="2F3ECDBB">
            <w:pPr>
              <w:adjustRightInd w:val="0"/>
              <w:snapToGrid w:val="0"/>
              <w:spacing w:line="360" w:lineRule="auto"/>
              <w:jc w:val="center"/>
              <w:rPr>
                <w:rFonts w:hint="eastAsia" w:ascii="宋体" w:hAnsi="宋体"/>
              </w:rPr>
            </w:pPr>
          </w:p>
        </w:tc>
        <w:tc>
          <w:tcPr>
            <w:tcW w:w="774" w:type="dxa"/>
            <w:vAlign w:val="center"/>
          </w:tcPr>
          <w:p w14:paraId="17673C01">
            <w:pPr>
              <w:adjustRightInd w:val="0"/>
              <w:snapToGrid w:val="0"/>
              <w:spacing w:line="360" w:lineRule="auto"/>
              <w:jc w:val="center"/>
              <w:rPr>
                <w:rFonts w:hint="eastAsia" w:ascii="宋体" w:hAnsi="宋体"/>
              </w:rPr>
            </w:pPr>
          </w:p>
        </w:tc>
      </w:tr>
      <w:tr w14:paraId="544D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329E9852">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094659AF">
            <w:pPr>
              <w:adjustRightInd w:val="0"/>
              <w:snapToGrid w:val="0"/>
              <w:spacing w:line="360" w:lineRule="auto"/>
              <w:jc w:val="center"/>
              <w:rPr>
                <w:rFonts w:hint="eastAsia" w:ascii="宋体" w:hAnsi="宋体"/>
              </w:rPr>
            </w:pPr>
          </w:p>
        </w:tc>
        <w:tc>
          <w:tcPr>
            <w:tcW w:w="1224" w:type="dxa"/>
            <w:vAlign w:val="center"/>
          </w:tcPr>
          <w:p w14:paraId="6AEB4485">
            <w:pPr>
              <w:adjustRightInd w:val="0"/>
              <w:snapToGrid w:val="0"/>
              <w:spacing w:line="360" w:lineRule="auto"/>
              <w:jc w:val="center"/>
              <w:rPr>
                <w:rFonts w:hint="eastAsia" w:ascii="宋体" w:hAnsi="宋体"/>
              </w:rPr>
            </w:pPr>
          </w:p>
        </w:tc>
        <w:tc>
          <w:tcPr>
            <w:tcW w:w="555" w:type="dxa"/>
            <w:vAlign w:val="center"/>
          </w:tcPr>
          <w:p w14:paraId="5EB09A20">
            <w:pPr>
              <w:adjustRightInd w:val="0"/>
              <w:snapToGrid w:val="0"/>
              <w:spacing w:line="360" w:lineRule="auto"/>
              <w:jc w:val="center"/>
              <w:rPr>
                <w:rFonts w:hint="eastAsia" w:ascii="宋体" w:hAnsi="宋体"/>
              </w:rPr>
            </w:pPr>
          </w:p>
        </w:tc>
        <w:tc>
          <w:tcPr>
            <w:tcW w:w="555" w:type="dxa"/>
            <w:vAlign w:val="center"/>
          </w:tcPr>
          <w:p w14:paraId="3815A88C">
            <w:pPr>
              <w:adjustRightInd w:val="0"/>
              <w:snapToGrid w:val="0"/>
              <w:spacing w:line="360" w:lineRule="auto"/>
              <w:jc w:val="center"/>
              <w:rPr>
                <w:rFonts w:hint="eastAsia" w:ascii="宋体" w:hAnsi="宋体"/>
              </w:rPr>
            </w:pPr>
          </w:p>
        </w:tc>
        <w:tc>
          <w:tcPr>
            <w:tcW w:w="776" w:type="dxa"/>
            <w:vAlign w:val="center"/>
          </w:tcPr>
          <w:p w14:paraId="31EFE46B">
            <w:pPr>
              <w:adjustRightInd w:val="0"/>
              <w:snapToGrid w:val="0"/>
              <w:spacing w:line="360" w:lineRule="auto"/>
              <w:jc w:val="center"/>
              <w:rPr>
                <w:rFonts w:hint="eastAsia" w:ascii="宋体" w:hAnsi="宋体"/>
              </w:rPr>
            </w:pPr>
          </w:p>
        </w:tc>
        <w:tc>
          <w:tcPr>
            <w:tcW w:w="1222" w:type="dxa"/>
            <w:vAlign w:val="center"/>
          </w:tcPr>
          <w:p w14:paraId="5B1AA361">
            <w:pPr>
              <w:adjustRightInd w:val="0"/>
              <w:snapToGrid w:val="0"/>
              <w:spacing w:line="360" w:lineRule="auto"/>
              <w:jc w:val="center"/>
              <w:rPr>
                <w:rFonts w:hint="eastAsia" w:ascii="宋体" w:hAnsi="宋体"/>
              </w:rPr>
            </w:pPr>
          </w:p>
        </w:tc>
        <w:tc>
          <w:tcPr>
            <w:tcW w:w="776" w:type="dxa"/>
            <w:vAlign w:val="center"/>
          </w:tcPr>
          <w:p w14:paraId="27FA9728">
            <w:pPr>
              <w:adjustRightInd w:val="0"/>
              <w:snapToGrid w:val="0"/>
              <w:spacing w:line="360" w:lineRule="auto"/>
              <w:jc w:val="center"/>
              <w:rPr>
                <w:rFonts w:hint="eastAsia" w:ascii="宋体" w:hAnsi="宋体"/>
              </w:rPr>
            </w:pPr>
          </w:p>
        </w:tc>
        <w:tc>
          <w:tcPr>
            <w:tcW w:w="776" w:type="dxa"/>
            <w:vAlign w:val="center"/>
          </w:tcPr>
          <w:p w14:paraId="5385A7FB">
            <w:pPr>
              <w:adjustRightInd w:val="0"/>
              <w:snapToGrid w:val="0"/>
              <w:spacing w:line="360" w:lineRule="auto"/>
              <w:jc w:val="center"/>
              <w:rPr>
                <w:rFonts w:hint="eastAsia" w:ascii="宋体" w:hAnsi="宋体"/>
              </w:rPr>
            </w:pPr>
          </w:p>
        </w:tc>
        <w:tc>
          <w:tcPr>
            <w:tcW w:w="774" w:type="dxa"/>
            <w:vAlign w:val="center"/>
          </w:tcPr>
          <w:p w14:paraId="498A28D7">
            <w:pPr>
              <w:adjustRightInd w:val="0"/>
              <w:snapToGrid w:val="0"/>
              <w:spacing w:line="360" w:lineRule="auto"/>
              <w:jc w:val="center"/>
              <w:rPr>
                <w:rFonts w:hint="eastAsia" w:ascii="宋体" w:hAnsi="宋体"/>
              </w:rPr>
            </w:pPr>
          </w:p>
        </w:tc>
      </w:tr>
      <w:tr w14:paraId="4D0E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1E955A3">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2F87182C">
            <w:pPr>
              <w:adjustRightInd w:val="0"/>
              <w:snapToGrid w:val="0"/>
              <w:spacing w:line="360" w:lineRule="auto"/>
              <w:jc w:val="center"/>
              <w:rPr>
                <w:rFonts w:hint="eastAsia" w:ascii="宋体" w:hAnsi="宋体"/>
              </w:rPr>
            </w:pPr>
          </w:p>
        </w:tc>
        <w:tc>
          <w:tcPr>
            <w:tcW w:w="1224" w:type="dxa"/>
            <w:vAlign w:val="center"/>
          </w:tcPr>
          <w:p w14:paraId="6CB70E2C">
            <w:pPr>
              <w:adjustRightInd w:val="0"/>
              <w:snapToGrid w:val="0"/>
              <w:spacing w:line="360" w:lineRule="auto"/>
              <w:jc w:val="center"/>
              <w:rPr>
                <w:rFonts w:hint="eastAsia" w:ascii="宋体" w:hAnsi="宋体"/>
              </w:rPr>
            </w:pPr>
          </w:p>
        </w:tc>
        <w:tc>
          <w:tcPr>
            <w:tcW w:w="555" w:type="dxa"/>
            <w:vAlign w:val="center"/>
          </w:tcPr>
          <w:p w14:paraId="45A7A50C">
            <w:pPr>
              <w:adjustRightInd w:val="0"/>
              <w:snapToGrid w:val="0"/>
              <w:spacing w:line="360" w:lineRule="auto"/>
              <w:jc w:val="center"/>
              <w:rPr>
                <w:rFonts w:hint="eastAsia" w:ascii="宋体" w:hAnsi="宋体"/>
              </w:rPr>
            </w:pPr>
          </w:p>
        </w:tc>
        <w:tc>
          <w:tcPr>
            <w:tcW w:w="555" w:type="dxa"/>
            <w:vAlign w:val="center"/>
          </w:tcPr>
          <w:p w14:paraId="4B7388F6">
            <w:pPr>
              <w:adjustRightInd w:val="0"/>
              <w:snapToGrid w:val="0"/>
              <w:spacing w:line="360" w:lineRule="auto"/>
              <w:jc w:val="center"/>
              <w:rPr>
                <w:rFonts w:hint="eastAsia" w:ascii="宋体" w:hAnsi="宋体"/>
              </w:rPr>
            </w:pPr>
          </w:p>
        </w:tc>
        <w:tc>
          <w:tcPr>
            <w:tcW w:w="776" w:type="dxa"/>
            <w:vAlign w:val="center"/>
          </w:tcPr>
          <w:p w14:paraId="2A5A29C6">
            <w:pPr>
              <w:adjustRightInd w:val="0"/>
              <w:snapToGrid w:val="0"/>
              <w:spacing w:line="360" w:lineRule="auto"/>
              <w:jc w:val="center"/>
              <w:rPr>
                <w:rFonts w:hint="eastAsia" w:ascii="宋体" w:hAnsi="宋体"/>
              </w:rPr>
            </w:pPr>
          </w:p>
        </w:tc>
        <w:tc>
          <w:tcPr>
            <w:tcW w:w="1222" w:type="dxa"/>
            <w:vAlign w:val="center"/>
          </w:tcPr>
          <w:p w14:paraId="600153B0">
            <w:pPr>
              <w:adjustRightInd w:val="0"/>
              <w:snapToGrid w:val="0"/>
              <w:spacing w:line="360" w:lineRule="auto"/>
              <w:jc w:val="center"/>
              <w:rPr>
                <w:rFonts w:hint="eastAsia" w:ascii="宋体" w:hAnsi="宋体"/>
              </w:rPr>
            </w:pPr>
          </w:p>
        </w:tc>
        <w:tc>
          <w:tcPr>
            <w:tcW w:w="776" w:type="dxa"/>
            <w:vAlign w:val="center"/>
          </w:tcPr>
          <w:p w14:paraId="2DF48112">
            <w:pPr>
              <w:adjustRightInd w:val="0"/>
              <w:snapToGrid w:val="0"/>
              <w:spacing w:line="360" w:lineRule="auto"/>
              <w:jc w:val="center"/>
              <w:rPr>
                <w:rFonts w:hint="eastAsia" w:ascii="宋体" w:hAnsi="宋体"/>
              </w:rPr>
            </w:pPr>
          </w:p>
        </w:tc>
        <w:tc>
          <w:tcPr>
            <w:tcW w:w="776" w:type="dxa"/>
            <w:vAlign w:val="center"/>
          </w:tcPr>
          <w:p w14:paraId="18086C3A">
            <w:pPr>
              <w:adjustRightInd w:val="0"/>
              <w:snapToGrid w:val="0"/>
              <w:spacing w:line="360" w:lineRule="auto"/>
              <w:jc w:val="center"/>
              <w:rPr>
                <w:rFonts w:hint="eastAsia" w:ascii="宋体" w:hAnsi="宋体"/>
              </w:rPr>
            </w:pPr>
          </w:p>
        </w:tc>
        <w:tc>
          <w:tcPr>
            <w:tcW w:w="774" w:type="dxa"/>
            <w:vAlign w:val="center"/>
          </w:tcPr>
          <w:p w14:paraId="162CBB00">
            <w:pPr>
              <w:adjustRightInd w:val="0"/>
              <w:snapToGrid w:val="0"/>
              <w:spacing w:line="360" w:lineRule="auto"/>
              <w:jc w:val="center"/>
              <w:rPr>
                <w:rFonts w:hint="eastAsia" w:ascii="宋体" w:hAnsi="宋体"/>
              </w:rPr>
            </w:pPr>
          </w:p>
        </w:tc>
      </w:tr>
      <w:tr w14:paraId="79CE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4F1FA33">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121855EA">
            <w:pPr>
              <w:adjustRightInd w:val="0"/>
              <w:snapToGrid w:val="0"/>
              <w:spacing w:line="360" w:lineRule="auto"/>
              <w:jc w:val="center"/>
              <w:rPr>
                <w:rFonts w:hint="eastAsia" w:ascii="宋体" w:hAnsi="宋体"/>
              </w:rPr>
            </w:pPr>
          </w:p>
        </w:tc>
        <w:tc>
          <w:tcPr>
            <w:tcW w:w="1224" w:type="dxa"/>
            <w:vAlign w:val="center"/>
          </w:tcPr>
          <w:p w14:paraId="4AA4AE40">
            <w:pPr>
              <w:adjustRightInd w:val="0"/>
              <w:snapToGrid w:val="0"/>
              <w:spacing w:line="360" w:lineRule="auto"/>
              <w:jc w:val="center"/>
              <w:rPr>
                <w:rFonts w:hint="eastAsia" w:ascii="宋体" w:hAnsi="宋体"/>
              </w:rPr>
            </w:pPr>
          </w:p>
        </w:tc>
        <w:tc>
          <w:tcPr>
            <w:tcW w:w="555" w:type="dxa"/>
            <w:vAlign w:val="center"/>
          </w:tcPr>
          <w:p w14:paraId="2ABDA897">
            <w:pPr>
              <w:adjustRightInd w:val="0"/>
              <w:snapToGrid w:val="0"/>
              <w:spacing w:line="360" w:lineRule="auto"/>
              <w:jc w:val="center"/>
              <w:rPr>
                <w:rFonts w:hint="eastAsia" w:ascii="宋体" w:hAnsi="宋体"/>
              </w:rPr>
            </w:pPr>
          </w:p>
        </w:tc>
        <w:tc>
          <w:tcPr>
            <w:tcW w:w="555" w:type="dxa"/>
            <w:vAlign w:val="center"/>
          </w:tcPr>
          <w:p w14:paraId="48F96C71">
            <w:pPr>
              <w:adjustRightInd w:val="0"/>
              <w:snapToGrid w:val="0"/>
              <w:spacing w:line="360" w:lineRule="auto"/>
              <w:jc w:val="center"/>
              <w:rPr>
                <w:rFonts w:hint="eastAsia" w:ascii="宋体" w:hAnsi="宋体"/>
              </w:rPr>
            </w:pPr>
          </w:p>
        </w:tc>
        <w:tc>
          <w:tcPr>
            <w:tcW w:w="776" w:type="dxa"/>
            <w:vAlign w:val="center"/>
          </w:tcPr>
          <w:p w14:paraId="23C1FEBF">
            <w:pPr>
              <w:adjustRightInd w:val="0"/>
              <w:snapToGrid w:val="0"/>
              <w:spacing w:line="360" w:lineRule="auto"/>
              <w:jc w:val="center"/>
              <w:rPr>
                <w:rFonts w:hint="eastAsia" w:ascii="宋体" w:hAnsi="宋体"/>
              </w:rPr>
            </w:pPr>
          </w:p>
        </w:tc>
        <w:tc>
          <w:tcPr>
            <w:tcW w:w="1222" w:type="dxa"/>
            <w:vAlign w:val="center"/>
          </w:tcPr>
          <w:p w14:paraId="6456BB1A">
            <w:pPr>
              <w:adjustRightInd w:val="0"/>
              <w:snapToGrid w:val="0"/>
              <w:spacing w:line="360" w:lineRule="auto"/>
              <w:jc w:val="center"/>
              <w:rPr>
                <w:rFonts w:hint="eastAsia" w:ascii="宋体" w:hAnsi="宋体"/>
              </w:rPr>
            </w:pPr>
          </w:p>
        </w:tc>
        <w:tc>
          <w:tcPr>
            <w:tcW w:w="776" w:type="dxa"/>
            <w:vAlign w:val="center"/>
          </w:tcPr>
          <w:p w14:paraId="6E54CCDA">
            <w:pPr>
              <w:adjustRightInd w:val="0"/>
              <w:snapToGrid w:val="0"/>
              <w:spacing w:line="360" w:lineRule="auto"/>
              <w:jc w:val="center"/>
              <w:rPr>
                <w:rFonts w:hint="eastAsia" w:ascii="宋体" w:hAnsi="宋体"/>
              </w:rPr>
            </w:pPr>
          </w:p>
        </w:tc>
        <w:tc>
          <w:tcPr>
            <w:tcW w:w="776" w:type="dxa"/>
            <w:vAlign w:val="center"/>
          </w:tcPr>
          <w:p w14:paraId="4643C36D">
            <w:pPr>
              <w:adjustRightInd w:val="0"/>
              <w:snapToGrid w:val="0"/>
              <w:spacing w:line="360" w:lineRule="auto"/>
              <w:jc w:val="center"/>
              <w:rPr>
                <w:rFonts w:hint="eastAsia" w:ascii="宋体" w:hAnsi="宋体"/>
              </w:rPr>
            </w:pPr>
          </w:p>
        </w:tc>
        <w:tc>
          <w:tcPr>
            <w:tcW w:w="774" w:type="dxa"/>
            <w:vAlign w:val="center"/>
          </w:tcPr>
          <w:p w14:paraId="30AD0CBB">
            <w:pPr>
              <w:adjustRightInd w:val="0"/>
              <w:snapToGrid w:val="0"/>
              <w:spacing w:line="360" w:lineRule="auto"/>
              <w:jc w:val="center"/>
              <w:rPr>
                <w:rFonts w:hint="eastAsia" w:ascii="宋体" w:hAnsi="宋体"/>
              </w:rPr>
            </w:pPr>
          </w:p>
        </w:tc>
      </w:tr>
      <w:tr w14:paraId="5BD0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781A09A0">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19F02CE6">
            <w:pPr>
              <w:adjustRightInd w:val="0"/>
              <w:snapToGrid w:val="0"/>
              <w:spacing w:line="360" w:lineRule="auto"/>
              <w:jc w:val="center"/>
              <w:rPr>
                <w:rFonts w:hint="eastAsia" w:ascii="宋体" w:hAnsi="宋体"/>
              </w:rPr>
            </w:pPr>
          </w:p>
        </w:tc>
        <w:tc>
          <w:tcPr>
            <w:tcW w:w="1224" w:type="dxa"/>
            <w:vAlign w:val="center"/>
          </w:tcPr>
          <w:p w14:paraId="2DF72B14">
            <w:pPr>
              <w:adjustRightInd w:val="0"/>
              <w:snapToGrid w:val="0"/>
              <w:spacing w:line="360" w:lineRule="auto"/>
              <w:jc w:val="center"/>
              <w:rPr>
                <w:rFonts w:hint="eastAsia" w:ascii="宋体" w:hAnsi="宋体"/>
              </w:rPr>
            </w:pPr>
          </w:p>
        </w:tc>
        <w:tc>
          <w:tcPr>
            <w:tcW w:w="555" w:type="dxa"/>
            <w:vAlign w:val="center"/>
          </w:tcPr>
          <w:p w14:paraId="7E3C6897">
            <w:pPr>
              <w:adjustRightInd w:val="0"/>
              <w:snapToGrid w:val="0"/>
              <w:spacing w:line="360" w:lineRule="auto"/>
              <w:jc w:val="center"/>
              <w:rPr>
                <w:rFonts w:hint="eastAsia" w:ascii="宋体" w:hAnsi="宋体"/>
              </w:rPr>
            </w:pPr>
          </w:p>
        </w:tc>
        <w:tc>
          <w:tcPr>
            <w:tcW w:w="555" w:type="dxa"/>
            <w:vAlign w:val="center"/>
          </w:tcPr>
          <w:p w14:paraId="6E857040">
            <w:pPr>
              <w:adjustRightInd w:val="0"/>
              <w:snapToGrid w:val="0"/>
              <w:spacing w:line="360" w:lineRule="auto"/>
              <w:jc w:val="center"/>
              <w:rPr>
                <w:rFonts w:hint="eastAsia" w:ascii="宋体" w:hAnsi="宋体"/>
              </w:rPr>
            </w:pPr>
          </w:p>
        </w:tc>
        <w:tc>
          <w:tcPr>
            <w:tcW w:w="776" w:type="dxa"/>
            <w:vAlign w:val="center"/>
          </w:tcPr>
          <w:p w14:paraId="103029C9">
            <w:pPr>
              <w:adjustRightInd w:val="0"/>
              <w:snapToGrid w:val="0"/>
              <w:spacing w:line="360" w:lineRule="auto"/>
              <w:jc w:val="center"/>
              <w:rPr>
                <w:rFonts w:hint="eastAsia" w:ascii="宋体" w:hAnsi="宋体"/>
              </w:rPr>
            </w:pPr>
          </w:p>
        </w:tc>
        <w:tc>
          <w:tcPr>
            <w:tcW w:w="1222" w:type="dxa"/>
            <w:vAlign w:val="center"/>
          </w:tcPr>
          <w:p w14:paraId="22BFB21A">
            <w:pPr>
              <w:adjustRightInd w:val="0"/>
              <w:snapToGrid w:val="0"/>
              <w:spacing w:line="360" w:lineRule="auto"/>
              <w:jc w:val="center"/>
              <w:rPr>
                <w:rFonts w:hint="eastAsia" w:ascii="宋体" w:hAnsi="宋体"/>
              </w:rPr>
            </w:pPr>
          </w:p>
        </w:tc>
        <w:tc>
          <w:tcPr>
            <w:tcW w:w="776" w:type="dxa"/>
            <w:vAlign w:val="center"/>
          </w:tcPr>
          <w:p w14:paraId="2F205E1F">
            <w:pPr>
              <w:adjustRightInd w:val="0"/>
              <w:snapToGrid w:val="0"/>
              <w:spacing w:line="360" w:lineRule="auto"/>
              <w:jc w:val="center"/>
              <w:rPr>
                <w:rFonts w:hint="eastAsia" w:ascii="宋体" w:hAnsi="宋体"/>
              </w:rPr>
            </w:pPr>
          </w:p>
        </w:tc>
        <w:tc>
          <w:tcPr>
            <w:tcW w:w="776" w:type="dxa"/>
            <w:vAlign w:val="center"/>
          </w:tcPr>
          <w:p w14:paraId="07C79A77">
            <w:pPr>
              <w:adjustRightInd w:val="0"/>
              <w:snapToGrid w:val="0"/>
              <w:spacing w:line="360" w:lineRule="auto"/>
              <w:jc w:val="center"/>
              <w:rPr>
                <w:rFonts w:hint="eastAsia" w:ascii="宋体" w:hAnsi="宋体"/>
              </w:rPr>
            </w:pPr>
          </w:p>
        </w:tc>
        <w:tc>
          <w:tcPr>
            <w:tcW w:w="774" w:type="dxa"/>
            <w:vAlign w:val="center"/>
          </w:tcPr>
          <w:p w14:paraId="0F7D7A7C">
            <w:pPr>
              <w:adjustRightInd w:val="0"/>
              <w:snapToGrid w:val="0"/>
              <w:spacing w:line="360" w:lineRule="auto"/>
              <w:jc w:val="center"/>
              <w:rPr>
                <w:rFonts w:hint="eastAsia" w:ascii="宋体" w:hAnsi="宋体"/>
              </w:rPr>
            </w:pPr>
          </w:p>
        </w:tc>
      </w:tr>
      <w:tr w14:paraId="1F4C0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6E294850">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40C81887">
            <w:pPr>
              <w:adjustRightInd w:val="0"/>
              <w:snapToGrid w:val="0"/>
              <w:spacing w:line="360" w:lineRule="auto"/>
              <w:jc w:val="center"/>
              <w:rPr>
                <w:rFonts w:hint="eastAsia" w:ascii="宋体" w:hAnsi="宋体"/>
              </w:rPr>
            </w:pPr>
          </w:p>
        </w:tc>
        <w:tc>
          <w:tcPr>
            <w:tcW w:w="1224" w:type="dxa"/>
            <w:vAlign w:val="center"/>
          </w:tcPr>
          <w:p w14:paraId="5761C96F">
            <w:pPr>
              <w:adjustRightInd w:val="0"/>
              <w:snapToGrid w:val="0"/>
              <w:spacing w:line="360" w:lineRule="auto"/>
              <w:jc w:val="center"/>
              <w:rPr>
                <w:rFonts w:hint="eastAsia" w:ascii="宋体" w:hAnsi="宋体"/>
              </w:rPr>
            </w:pPr>
          </w:p>
        </w:tc>
        <w:tc>
          <w:tcPr>
            <w:tcW w:w="555" w:type="dxa"/>
            <w:vAlign w:val="center"/>
          </w:tcPr>
          <w:p w14:paraId="5D7991B9">
            <w:pPr>
              <w:adjustRightInd w:val="0"/>
              <w:snapToGrid w:val="0"/>
              <w:spacing w:line="360" w:lineRule="auto"/>
              <w:jc w:val="center"/>
              <w:rPr>
                <w:rFonts w:hint="eastAsia" w:ascii="宋体" w:hAnsi="宋体"/>
              </w:rPr>
            </w:pPr>
          </w:p>
        </w:tc>
        <w:tc>
          <w:tcPr>
            <w:tcW w:w="555" w:type="dxa"/>
            <w:vAlign w:val="center"/>
          </w:tcPr>
          <w:p w14:paraId="1BD83D5A">
            <w:pPr>
              <w:adjustRightInd w:val="0"/>
              <w:snapToGrid w:val="0"/>
              <w:spacing w:line="360" w:lineRule="auto"/>
              <w:jc w:val="center"/>
              <w:rPr>
                <w:rFonts w:hint="eastAsia" w:ascii="宋体" w:hAnsi="宋体"/>
              </w:rPr>
            </w:pPr>
          </w:p>
        </w:tc>
        <w:tc>
          <w:tcPr>
            <w:tcW w:w="776" w:type="dxa"/>
            <w:vAlign w:val="center"/>
          </w:tcPr>
          <w:p w14:paraId="51B662B0">
            <w:pPr>
              <w:adjustRightInd w:val="0"/>
              <w:snapToGrid w:val="0"/>
              <w:spacing w:line="360" w:lineRule="auto"/>
              <w:jc w:val="center"/>
              <w:rPr>
                <w:rFonts w:hint="eastAsia" w:ascii="宋体" w:hAnsi="宋体"/>
              </w:rPr>
            </w:pPr>
          </w:p>
        </w:tc>
        <w:tc>
          <w:tcPr>
            <w:tcW w:w="1222" w:type="dxa"/>
            <w:vAlign w:val="center"/>
          </w:tcPr>
          <w:p w14:paraId="5CF4CE3B">
            <w:pPr>
              <w:adjustRightInd w:val="0"/>
              <w:snapToGrid w:val="0"/>
              <w:spacing w:line="360" w:lineRule="auto"/>
              <w:jc w:val="center"/>
              <w:rPr>
                <w:rFonts w:hint="eastAsia" w:ascii="宋体" w:hAnsi="宋体"/>
              </w:rPr>
            </w:pPr>
          </w:p>
        </w:tc>
        <w:tc>
          <w:tcPr>
            <w:tcW w:w="776" w:type="dxa"/>
            <w:vAlign w:val="center"/>
          </w:tcPr>
          <w:p w14:paraId="36989489">
            <w:pPr>
              <w:adjustRightInd w:val="0"/>
              <w:snapToGrid w:val="0"/>
              <w:spacing w:line="360" w:lineRule="auto"/>
              <w:jc w:val="center"/>
              <w:rPr>
                <w:rFonts w:hint="eastAsia" w:ascii="宋体" w:hAnsi="宋体"/>
              </w:rPr>
            </w:pPr>
          </w:p>
        </w:tc>
        <w:tc>
          <w:tcPr>
            <w:tcW w:w="776" w:type="dxa"/>
            <w:vAlign w:val="center"/>
          </w:tcPr>
          <w:p w14:paraId="16872337">
            <w:pPr>
              <w:adjustRightInd w:val="0"/>
              <w:snapToGrid w:val="0"/>
              <w:spacing w:line="360" w:lineRule="auto"/>
              <w:jc w:val="center"/>
              <w:rPr>
                <w:rFonts w:hint="eastAsia" w:ascii="宋体" w:hAnsi="宋体"/>
              </w:rPr>
            </w:pPr>
          </w:p>
        </w:tc>
        <w:tc>
          <w:tcPr>
            <w:tcW w:w="774" w:type="dxa"/>
            <w:vAlign w:val="center"/>
          </w:tcPr>
          <w:p w14:paraId="595EA77B">
            <w:pPr>
              <w:adjustRightInd w:val="0"/>
              <w:snapToGrid w:val="0"/>
              <w:spacing w:line="360" w:lineRule="auto"/>
              <w:jc w:val="center"/>
              <w:rPr>
                <w:rFonts w:hint="eastAsia" w:ascii="宋体" w:hAnsi="宋体"/>
              </w:rPr>
            </w:pPr>
          </w:p>
        </w:tc>
      </w:tr>
      <w:tr w14:paraId="236F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23CD129">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3230DB40">
            <w:pPr>
              <w:adjustRightInd w:val="0"/>
              <w:snapToGrid w:val="0"/>
              <w:spacing w:line="360" w:lineRule="auto"/>
              <w:jc w:val="center"/>
              <w:rPr>
                <w:rFonts w:hint="eastAsia" w:ascii="宋体" w:hAnsi="宋体"/>
              </w:rPr>
            </w:pPr>
          </w:p>
        </w:tc>
        <w:tc>
          <w:tcPr>
            <w:tcW w:w="1224" w:type="dxa"/>
            <w:vAlign w:val="center"/>
          </w:tcPr>
          <w:p w14:paraId="1757F96C">
            <w:pPr>
              <w:adjustRightInd w:val="0"/>
              <w:snapToGrid w:val="0"/>
              <w:spacing w:line="360" w:lineRule="auto"/>
              <w:jc w:val="center"/>
              <w:rPr>
                <w:rFonts w:hint="eastAsia" w:ascii="宋体" w:hAnsi="宋体"/>
              </w:rPr>
            </w:pPr>
          </w:p>
        </w:tc>
        <w:tc>
          <w:tcPr>
            <w:tcW w:w="555" w:type="dxa"/>
            <w:vAlign w:val="center"/>
          </w:tcPr>
          <w:p w14:paraId="25086F8A">
            <w:pPr>
              <w:adjustRightInd w:val="0"/>
              <w:snapToGrid w:val="0"/>
              <w:spacing w:line="360" w:lineRule="auto"/>
              <w:jc w:val="center"/>
              <w:rPr>
                <w:rFonts w:hint="eastAsia" w:ascii="宋体" w:hAnsi="宋体"/>
              </w:rPr>
            </w:pPr>
          </w:p>
        </w:tc>
        <w:tc>
          <w:tcPr>
            <w:tcW w:w="555" w:type="dxa"/>
            <w:vAlign w:val="center"/>
          </w:tcPr>
          <w:p w14:paraId="4FABC9AA">
            <w:pPr>
              <w:adjustRightInd w:val="0"/>
              <w:snapToGrid w:val="0"/>
              <w:spacing w:line="360" w:lineRule="auto"/>
              <w:jc w:val="center"/>
              <w:rPr>
                <w:rFonts w:hint="eastAsia" w:ascii="宋体" w:hAnsi="宋体"/>
              </w:rPr>
            </w:pPr>
          </w:p>
        </w:tc>
        <w:tc>
          <w:tcPr>
            <w:tcW w:w="776" w:type="dxa"/>
            <w:vAlign w:val="center"/>
          </w:tcPr>
          <w:p w14:paraId="0C645202">
            <w:pPr>
              <w:adjustRightInd w:val="0"/>
              <w:snapToGrid w:val="0"/>
              <w:spacing w:line="360" w:lineRule="auto"/>
              <w:jc w:val="center"/>
              <w:rPr>
                <w:rFonts w:hint="eastAsia" w:ascii="宋体" w:hAnsi="宋体"/>
              </w:rPr>
            </w:pPr>
          </w:p>
        </w:tc>
        <w:tc>
          <w:tcPr>
            <w:tcW w:w="1222" w:type="dxa"/>
            <w:vAlign w:val="center"/>
          </w:tcPr>
          <w:p w14:paraId="7FAAC2A2">
            <w:pPr>
              <w:adjustRightInd w:val="0"/>
              <w:snapToGrid w:val="0"/>
              <w:spacing w:line="360" w:lineRule="auto"/>
              <w:jc w:val="center"/>
              <w:rPr>
                <w:rFonts w:hint="eastAsia" w:ascii="宋体" w:hAnsi="宋体"/>
              </w:rPr>
            </w:pPr>
          </w:p>
        </w:tc>
        <w:tc>
          <w:tcPr>
            <w:tcW w:w="776" w:type="dxa"/>
            <w:vAlign w:val="center"/>
          </w:tcPr>
          <w:p w14:paraId="54F9ABA0">
            <w:pPr>
              <w:adjustRightInd w:val="0"/>
              <w:snapToGrid w:val="0"/>
              <w:spacing w:line="360" w:lineRule="auto"/>
              <w:jc w:val="center"/>
              <w:rPr>
                <w:rFonts w:hint="eastAsia" w:ascii="宋体" w:hAnsi="宋体"/>
              </w:rPr>
            </w:pPr>
          </w:p>
        </w:tc>
        <w:tc>
          <w:tcPr>
            <w:tcW w:w="776" w:type="dxa"/>
            <w:vAlign w:val="center"/>
          </w:tcPr>
          <w:p w14:paraId="0939ECD3">
            <w:pPr>
              <w:adjustRightInd w:val="0"/>
              <w:snapToGrid w:val="0"/>
              <w:spacing w:line="360" w:lineRule="auto"/>
              <w:jc w:val="center"/>
              <w:rPr>
                <w:rFonts w:hint="eastAsia" w:ascii="宋体" w:hAnsi="宋体"/>
              </w:rPr>
            </w:pPr>
          </w:p>
        </w:tc>
        <w:tc>
          <w:tcPr>
            <w:tcW w:w="774" w:type="dxa"/>
            <w:vAlign w:val="center"/>
          </w:tcPr>
          <w:p w14:paraId="0E3F0A03">
            <w:pPr>
              <w:adjustRightInd w:val="0"/>
              <w:snapToGrid w:val="0"/>
              <w:spacing w:line="360" w:lineRule="auto"/>
              <w:jc w:val="center"/>
              <w:rPr>
                <w:rFonts w:hint="eastAsia" w:ascii="宋体" w:hAnsi="宋体"/>
              </w:rPr>
            </w:pPr>
          </w:p>
        </w:tc>
      </w:tr>
      <w:tr w14:paraId="756F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114341CD">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5C400F17">
            <w:pPr>
              <w:adjustRightInd w:val="0"/>
              <w:snapToGrid w:val="0"/>
              <w:spacing w:line="360" w:lineRule="auto"/>
              <w:jc w:val="center"/>
              <w:rPr>
                <w:rFonts w:hint="eastAsia" w:ascii="宋体" w:hAnsi="宋体"/>
              </w:rPr>
            </w:pPr>
          </w:p>
        </w:tc>
        <w:tc>
          <w:tcPr>
            <w:tcW w:w="1224" w:type="dxa"/>
            <w:vAlign w:val="center"/>
          </w:tcPr>
          <w:p w14:paraId="208FD959">
            <w:pPr>
              <w:adjustRightInd w:val="0"/>
              <w:snapToGrid w:val="0"/>
              <w:spacing w:line="360" w:lineRule="auto"/>
              <w:jc w:val="center"/>
              <w:rPr>
                <w:rFonts w:hint="eastAsia" w:ascii="宋体" w:hAnsi="宋体"/>
              </w:rPr>
            </w:pPr>
          </w:p>
        </w:tc>
        <w:tc>
          <w:tcPr>
            <w:tcW w:w="555" w:type="dxa"/>
            <w:vAlign w:val="center"/>
          </w:tcPr>
          <w:p w14:paraId="4991E5B3">
            <w:pPr>
              <w:adjustRightInd w:val="0"/>
              <w:snapToGrid w:val="0"/>
              <w:spacing w:line="360" w:lineRule="auto"/>
              <w:jc w:val="center"/>
              <w:rPr>
                <w:rFonts w:hint="eastAsia" w:ascii="宋体" w:hAnsi="宋体"/>
              </w:rPr>
            </w:pPr>
          </w:p>
        </w:tc>
        <w:tc>
          <w:tcPr>
            <w:tcW w:w="555" w:type="dxa"/>
            <w:vAlign w:val="center"/>
          </w:tcPr>
          <w:p w14:paraId="7D25F0F8">
            <w:pPr>
              <w:adjustRightInd w:val="0"/>
              <w:snapToGrid w:val="0"/>
              <w:spacing w:line="360" w:lineRule="auto"/>
              <w:jc w:val="center"/>
              <w:rPr>
                <w:rFonts w:hint="eastAsia" w:ascii="宋体" w:hAnsi="宋体"/>
              </w:rPr>
            </w:pPr>
          </w:p>
        </w:tc>
        <w:tc>
          <w:tcPr>
            <w:tcW w:w="776" w:type="dxa"/>
            <w:vAlign w:val="center"/>
          </w:tcPr>
          <w:p w14:paraId="339A5E58">
            <w:pPr>
              <w:adjustRightInd w:val="0"/>
              <w:snapToGrid w:val="0"/>
              <w:spacing w:line="360" w:lineRule="auto"/>
              <w:jc w:val="center"/>
              <w:rPr>
                <w:rFonts w:hint="eastAsia" w:ascii="宋体" w:hAnsi="宋体"/>
              </w:rPr>
            </w:pPr>
          </w:p>
        </w:tc>
        <w:tc>
          <w:tcPr>
            <w:tcW w:w="1222" w:type="dxa"/>
            <w:vAlign w:val="center"/>
          </w:tcPr>
          <w:p w14:paraId="4422205F">
            <w:pPr>
              <w:adjustRightInd w:val="0"/>
              <w:snapToGrid w:val="0"/>
              <w:spacing w:line="360" w:lineRule="auto"/>
              <w:jc w:val="center"/>
              <w:rPr>
                <w:rFonts w:hint="eastAsia" w:ascii="宋体" w:hAnsi="宋体"/>
              </w:rPr>
            </w:pPr>
          </w:p>
        </w:tc>
        <w:tc>
          <w:tcPr>
            <w:tcW w:w="776" w:type="dxa"/>
            <w:vAlign w:val="center"/>
          </w:tcPr>
          <w:p w14:paraId="6C40C483">
            <w:pPr>
              <w:adjustRightInd w:val="0"/>
              <w:snapToGrid w:val="0"/>
              <w:spacing w:line="360" w:lineRule="auto"/>
              <w:jc w:val="center"/>
              <w:rPr>
                <w:rFonts w:hint="eastAsia" w:ascii="宋体" w:hAnsi="宋体"/>
              </w:rPr>
            </w:pPr>
          </w:p>
        </w:tc>
        <w:tc>
          <w:tcPr>
            <w:tcW w:w="776" w:type="dxa"/>
            <w:vAlign w:val="center"/>
          </w:tcPr>
          <w:p w14:paraId="0BBFB3EE">
            <w:pPr>
              <w:adjustRightInd w:val="0"/>
              <w:snapToGrid w:val="0"/>
              <w:spacing w:line="360" w:lineRule="auto"/>
              <w:jc w:val="center"/>
              <w:rPr>
                <w:rFonts w:hint="eastAsia" w:ascii="宋体" w:hAnsi="宋体"/>
              </w:rPr>
            </w:pPr>
          </w:p>
        </w:tc>
        <w:tc>
          <w:tcPr>
            <w:tcW w:w="774" w:type="dxa"/>
            <w:vAlign w:val="center"/>
          </w:tcPr>
          <w:p w14:paraId="546658F2">
            <w:pPr>
              <w:adjustRightInd w:val="0"/>
              <w:snapToGrid w:val="0"/>
              <w:spacing w:line="360" w:lineRule="auto"/>
              <w:jc w:val="center"/>
              <w:rPr>
                <w:rFonts w:hint="eastAsia" w:ascii="宋体" w:hAnsi="宋体"/>
              </w:rPr>
            </w:pPr>
          </w:p>
        </w:tc>
      </w:tr>
      <w:tr w14:paraId="15BE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5CCCECE">
            <w:pPr>
              <w:adjustRightInd w:val="0"/>
              <w:snapToGrid w:val="0"/>
              <w:spacing w:line="360" w:lineRule="auto"/>
              <w:jc w:val="center"/>
              <w:rPr>
                <w:rFonts w:hint="eastAsia" w:ascii="宋体" w:hAnsi="宋体"/>
              </w:rPr>
            </w:pPr>
            <w:r>
              <w:rPr>
                <w:rFonts w:hint="eastAsia" w:ascii="宋体" w:hAnsi="宋体"/>
              </w:rPr>
              <w:t>　</w:t>
            </w:r>
          </w:p>
        </w:tc>
        <w:tc>
          <w:tcPr>
            <w:tcW w:w="839" w:type="dxa"/>
            <w:vAlign w:val="center"/>
          </w:tcPr>
          <w:p w14:paraId="5D2693EB">
            <w:pPr>
              <w:adjustRightInd w:val="0"/>
              <w:snapToGrid w:val="0"/>
              <w:spacing w:line="360" w:lineRule="auto"/>
              <w:jc w:val="center"/>
              <w:rPr>
                <w:rFonts w:hint="eastAsia" w:ascii="宋体" w:hAnsi="宋体"/>
              </w:rPr>
            </w:pPr>
          </w:p>
        </w:tc>
        <w:tc>
          <w:tcPr>
            <w:tcW w:w="1224" w:type="dxa"/>
            <w:vAlign w:val="center"/>
          </w:tcPr>
          <w:p w14:paraId="2C058B78">
            <w:pPr>
              <w:adjustRightInd w:val="0"/>
              <w:snapToGrid w:val="0"/>
              <w:spacing w:line="360" w:lineRule="auto"/>
              <w:jc w:val="center"/>
              <w:rPr>
                <w:rFonts w:hint="eastAsia" w:ascii="宋体" w:hAnsi="宋体"/>
              </w:rPr>
            </w:pPr>
          </w:p>
        </w:tc>
        <w:tc>
          <w:tcPr>
            <w:tcW w:w="555" w:type="dxa"/>
            <w:vAlign w:val="center"/>
          </w:tcPr>
          <w:p w14:paraId="6BC4400D">
            <w:pPr>
              <w:adjustRightInd w:val="0"/>
              <w:snapToGrid w:val="0"/>
              <w:spacing w:line="360" w:lineRule="auto"/>
              <w:jc w:val="center"/>
              <w:rPr>
                <w:rFonts w:hint="eastAsia" w:ascii="宋体" w:hAnsi="宋体"/>
              </w:rPr>
            </w:pPr>
          </w:p>
        </w:tc>
        <w:tc>
          <w:tcPr>
            <w:tcW w:w="555" w:type="dxa"/>
            <w:vAlign w:val="center"/>
          </w:tcPr>
          <w:p w14:paraId="62DA1B2C">
            <w:pPr>
              <w:adjustRightInd w:val="0"/>
              <w:snapToGrid w:val="0"/>
              <w:spacing w:line="360" w:lineRule="auto"/>
              <w:jc w:val="center"/>
              <w:rPr>
                <w:rFonts w:hint="eastAsia" w:ascii="宋体" w:hAnsi="宋体"/>
              </w:rPr>
            </w:pPr>
          </w:p>
        </w:tc>
        <w:tc>
          <w:tcPr>
            <w:tcW w:w="776" w:type="dxa"/>
            <w:vAlign w:val="center"/>
          </w:tcPr>
          <w:p w14:paraId="645148EA">
            <w:pPr>
              <w:adjustRightInd w:val="0"/>
              <w:snapToGrid w:val="0"/>
              <w:spacing w:line="360" w:lineRule="auto"/>
              <w:jc w:val="center"/>
              <w:rPr>
                <w:rFonts w:hint="eastAsia" w:ascii="宋体" w:hAnsi="宋体"/>
              </w:rPr>
            </w:pPr>
          </w:p>
        </w:tc>
        <w:tc>
          <w:tcPr>
            <w:tcW w:w="1222" w:type="dxa"/>
            <w:vAlign w:val="center"/>
          </w:tcPr>
          <w:p w14:paraId="1D67225C">
            <w:pPr>
              <w:adjustRightInd w:val="0"/>
              <w:snapToGrid w:val="0"/>
              <w:spacing w:line="360" w:lineRule="auto"/>
              <w:jc w:val="center"/>
              <w:rPr>
                <w:rFonts w:hint="eastAsia" w:ascii="宋体" w:hAnsi="宋体"/>
              </w:rPr>
            </w:pPr>
          </w:p>
        </w:tc>
        <w:tc>
          <w:tcPr>
            <w:tcW w:w="776" w:type="dxa"/>
            <w:vAlign w:val="center"/>
          </w:tcPr>
          <w:p w14:paraId="189DE5BC">
            <w:pPr>
              <w:adjustRightInd w:val="0"/>
              <w:snapToGrid w:val="0"/>
              <w:spacing w:line="360" w:lineRule="auto"/>
              <w:jc w:val="center"/>
              <w:rPr>
                <w:rFonts w:hint="eastAsia" w:ascii="宋体" w:hAnsi="宋体"/>
              </w:rPr>
            </w:pPr>
          </w:p>
        </w:tc>
        <w:tc>
          <w:tcPr>
            <w:tcW w:w="776" w:type="dxa"/>
            <w:vAlign w:val="center"/>
          </w:tcPr>
          <w:p w14:paraId="7C832D9E">
            <w:pPr>
              <w:adjustRightInd w:val="0"/>
              <w:snapToGrid w:val="0"/>
              <w:spacing w:line="360" w:lineRule="auto"/>
              <w:jc w:val="center"/>
              <w:rPr>
                <w:rFonts w:hint="eastAsia" w:ascii="宋体" w:hAnsi="宋体"/>
              </w:rPr>
            </w:pPr>
          </w:p>
        </w:tc>
        <w:tc>
          <w:tcPr>
            <w:tcW w:w="774" w:type="dxa"/>
            <w:vAlign w:val="center"/>
          </w:tcPr>
          <w:p w14:paraId="4F79FBCF">
            <w:pPr>
              <w:adjustRightInd w:val="0"/>
              <w:snapToGrid w:val="0"/>
              <w:spacing w:line="360" w:lineRule="auto"/>
              <w:jc w:val="center"/>
              <w:rPr>
                <w:rFonts w:hint="eastAsia" w:ascii="宋体" w:hAnsi="宋体"/>
              </w:rPr>
            </w:pPr>
          </w:p>
        </w:tc>
      </w:tr>
    </w:tbl>
    <w:p w14:paraId="3AD0BD67">
      <w:r>
        <w:br w:type="page"/>
      </w:r>
    </w:p>
    <w:p w14:paraId="74FEF94C">
      <w:pPr>
        <w:adjustRightInd w:val="0"/>
        <w:snapToGrid w:val="0"/>
        <w:spacing w:line="360" w:lineRule="auto"/>
        <w:outlineLvl w:val="2"/>
        <w:rPr>
          <w:rFonts w:hint="eastAsia" w:ascii="宋体" w:hAnsi="宋体"/>
          <w:sz w:val="24"/>
        </w:rPr>
      </w:pPr>
      <w:bookmarkStart w:id="968" w:name="_Toc196225954"/>
      <w:r>
        <w:rPr>
          <w:rFonts w:hint="eastAsia" w:ascii="宋体" w:hAnsi="宋体"/>
          <w:sz w:val="24"/>
        </w:rPr>
        <w:t>附件三：承包人提供的材料和工程设备一览表</w:t>
      </w:r>
      <w:bookmarkEnd w:id="968"/>
    </w:p>
    <w:p w14:paraId="74AED37D">
      <w:pPr>
        <w:adjustRightInd w:val="0"/>
        <w:snapToGrid w:val="0"/>
        <w:spacing w:line="360" w:lineRule="auto"/>
        <w:jc w:val="center"/>
        <w:rPr>
          <w:rFonts w:hint="eastAsia" w:ascii="宋体" w:hAnsi="宋体"/>
          <w:sz w:val="28"/>
        </w:rPr>
      </w:pPr>
      <w:r>
        <w:rPr>
          <w:rFonts w:hint="eastAsia" w:ascii="宋体" w:hAnsi="宋体"/>
          <w:b/>
          <w:sz w:val="28"/>
        </w:rPr>
        <w:t>承包人提供的材料和工程设备一览表</w:t>
      </w:r>
    </w:p>
    <w:tbl>
      <w:tblPr>
        <w:tblStyle w:val="4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354"/>
        <w:gridCol w:w="1229"/>
        <w:gridCol w:w="737"/>
        <w:gridCol w:w="615"/>
        <w:gridCol w:w="860"/>
        <w:gridCol w:w="982"/>
        <w:gridCol w:w="982"/>
        <w:gridCol w:w="860"/>
        <w:gridCol w:w="1103"/>
      </w:tblGrid>
      <w:tr w14:paraId="4949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1F45E6A">
            <w:pPr>
              <w:adjustRightInd w:val="0"/>
              <w:snapToGrid w:val="0"/>
              <w:spacing w:line="360" w:lineRule="auto"/>
              <w:jc w:val="center"/>
              <w:rPr>
                <w:rFonts w:hint="eastAsia" w:ascii="宋体" w:hAnsi="宋体"/>
              </w:rPr>
            </w:pPr>
            <w:r>
              <w:rPr>
                <w:rFonts w:hint="eastAsia" w:ascii="宋体" w:hAnsi="宋体"/>
              </w:rPr>
              <w:t>序</w:t>
            </w:r>
          </w:p>
          <w:p w14:paraId="46D6FA06">
            <w:pPr>
              <w:adjustRightInd w:val="0"/>
              <w:snapToGrid w:val="0"/>
              <w:spacing w:line="360" w:lineRule="auto"/>
              <w:jc w:val="center"/>
              <w:rPr>
                <w:rFonts w:hint="eastAsia" w:ascii="宋体" w:hAnsi="宋体"/>
              </w:rPr>
            </w:pPr>
            <w:r>
              <w:rPr>
                <w:rFonts w:hint="eastAsia" w:ascii="宋体" w:hAnsi="宋体"/>
              </w:rPr>
              <w:t>号</w:t>
            </w:r>
          </w:p>
        </w:tc>
        <w:tc>
          <w:tcPr>
            <w:tcW w:w="1354" w:type="dxa"/>
            <w:vAlign w:val="center"/>
          </w:tcPr>
          <w:p w14:paraId="40429936">
            <w:pPr>
              <w:adjustRightInd w:val="0"/>
              <w:snapToGrid w:val="0"/>
              <w:spacing w:line="360" w:lineRule="auto"/>
              <w:jc w:val="center"/>
              <w:rPr>
                <w:rFonts w:hint="eastAsia" w:ascii="宋体" w:hAnsi="宋体"/>
              </w:rPr>
            </w:pPr>
            <w:r>
              <w:rPr>
                <w:rFonts w:hint="eastAsia" w:ascii="宋体" w:hAnsi="宋体"/>
              </w:rPr>
              <w:t>材料设备</w:t>
            </w:r>
          </w:p>
          <w:p w14:paraId="55FC8F12">
            <w:pPr>
              <w:adjustRightInd w:val="0"/>
              <w:snapToGrid w:val="0"/>
              <w:spacing w:line="360" w:lineRule="auto"/>
              <w:jc w:val="center"/>
              <w:rPr>
                <w:rFonts w:hint="eastAsia" w:ascii="宋体" w:hAnsi="宋体"/>
              </w:rPr>
            </w:pPr>
            <w:r>
              <w:rPr>
                <w:rFonts w:hint="eastAsia" w:ascii="宋体" w:hAnsi="宋体"/>
              </w:rPr>
              <w:t>名    称</w:t>
            </w:r>
          </w:p>
        </w:tc>
        <w:tc>
          <w:tcPr>
            <w:tcW w:w="1229" w:type="dxa"/>
            <w:vAlign w:val="center"/>
          </w:tcPr>
          <w:p w14:paraId="5509994D">
            <w:pPr>
              <w:adjustRightInd w:val="0"/>
              <w:snapToGrid w:val="0"/>
              <w:spacing w:line="360" w:lineRule="auto"/>
              <w:jc w:val="center"/>
              <w:rPr>
                <w:rFonts w:hint="eastAsia" w:ascii="宋体" w:hAnsi="宋体"/>
              </w:rPr>
            </w:pPr>
            <w:r>
              <w:rPr>
                <w:rFonts w:hint="eastAsia" w:ascii="宋体" w:hAnsi="宋体"/>
              </w:rPr>
              <w:t>规格</w:t>
            </w:r>
          </w:p>
          <w:p w14:paraId="6C4B1129">
            <w:pPr>
              <w:adjustRightInd w:val="0"/>
              <w:snapToGrid w:val="0"/>
              <w:spacing w:line="360" w:lineRule="auto"/>
              <w:jc w:val="center"/>
              <w:rPr>
                <w:rFonts w:hint="eastAsia" w:ascii="宋体" w:hAnsi="宋体"/>
              </w:rPr>
            </w:pPr>
            <w:r>
              <w:rPr>
                <w:rFonts w:hint="eastAsia" w:ascii="宋体" w:hAnsi="宋体"/>
              </w:rPr>
              <w:t>型号</w:t>
            </w:r>
          </w:p>
        </w:tc>
        <w:tc>
          <w:tcPr>
            <w:tcW w:w="737" w:type="dxa"/>
            <w:vAlign w:val="center"/>
          </w:tcPr>
          <w:p w14:paraId="16DE4B35">
            <w:pPr>
              <w:adjustRightInd w:val="0"/>
              <w:snapToGrid w:val="0"/>
              <w:spacing w:line="360" w:lineRule="auto"/>
              <w:jc w:val="center"/>
              <w:rPr>
                <w:rFonts w:hint="eastAsia" w:ascii="宋体" w:hAnsi="宋体"/>
              </w:rPr>
            </w:pPr>
            <w:r>
              <w:rPr>
                <w:rFonts w:hint="eastAsia" w:ascii="宋体" w:hAnsi="宋体"/>
              </w:rPr>
              <w:t>单</w:t>
            </w:r>
          </w:p>
          <w:p w14:paraId="68F7E6B9">
            <w:pPr>
              <w:adjustRightInd w:val="0"/>
              <w:snapToGrid w:val="0"/>
              <w:spacing w:line="360" w:lineRule="auto"/>
              <w:jc w:val="center"/>
              <w:rPr>
                <w:rFonts w:hint="eastAsia" w:ascii="宋体" w:hAnsi="宋体"/>
              </w:rPr>
            </w:pPr>
            <w:r>
              <w:rPr>
                <w:rFonts w:hint="eastAsia" w:ascii="宋体" w:hAnsi="宋体"/>
              </w:rPr>
              <w:t>位</w:t>
            </w:r>
          </w:p>
        </w:tc>
        <w:tc>
          <w:tcPr>
            <w:tcW w:w="615" w:type="dxa"/>
            <w:vAlign w:val="center"/>
          </w:tcPr>
          <w:p w14:paraId="095B4970">
            <w:pPr>
              <w:adjustRightInd w:val="0"/>
              <w:snapToGrid w:val="0"/>
              <w:spacing w:line="360" w:lineRule="auto"/>
              <w:jc w:val="center"/>
              <w:rPr>
                <w:rFonts w:hint="eastAsia" w:ascii="宋体" w:hAnsi="宋体"/>
              </w:rPr>
            </w:pPr>
            <w:r>
              <w:rPr>
                <w:rFonts w:hint="eastAsia" w:ascii="宋体" w:hAnsi="宋体"/>
              </w:rPr>
              <w:t>数</w:t>
            </w:r>
          </w:p>
          <w:p w14:paraId="0E1CF554">
            <w:pPr>
              <w:adjustRightInd w:val="0"/>
              <w:snapToGrid w:val="0"/>
              <w:spacing w:line="360" w:lineRule="auto"/>
              <w:jc w:val="center"/>
              <w:rPr>
                <w:rFonts w:hint="eastAsia" w:ascii="宋体" w:hAnsi="宋体"/>
              </w:rPr>
            </w:pPr>
            <w:r>
              <w:rPr>
                <w:rFonts w:hint="eastAsia" w:ascii="宋体" w:hAnsi="宋体"/>
              </w:rPr>
              <w:t>量</w:t>
            </w:r>
          </w:p>
        </w:tc>
        <w:tc>
          <w:tcPr>
            <w:tcW w:w="860" w:type="dxa"/>
            <w:vAlign w:val="center"/>
          </w:tcPr>
          <w:p w14:paraId="07FC4E5E">
            <w:pPr>
              <w:adjustRightInd w:val="0"/>
              <w:snapToGrid w:val="0"/>
              <w:spacing w:line="360" w:lineRule="auto"/>
              <w:jc w:val="center"/>
              <w:rPr>
                <w:rFonts w:hint="eastAsia" w:ascii="宋体" w:hAnsi="宋体"/>
              </w:rPr>
            </w:pPr>
            <w:r>
              <w:rPr>
                <w:rFonts w:hint="eastAsia" w:ascii="宋体" w:hAnsi="宋体"/>
              </w:rPr>
              <w:t>单</w:t>
            </w:r>
          </w:p>
          <w:p w14:paraId="75571E1F">
            <w:pPr>
              <w:adjustRightInd w:val="0"/>
              <w:snapToGrid w:val="0"/>
              <w:spacing w:line="360" w:lineRule="auto"/>
              <w:jc w:val="center"/>
              <w:rPr>
                <w:rFonts w:hint="eastAsia" w:ascii="宋体" w:hAnsi="宋体"/>
              </w:rPr>
            </w:pPr>
            <w:r>
              <w:rPr>
                <w:rFonts w:hint="eastAsia" w:ascii="宋体" w:hAnsi="宋体"/>
              </w:rPr>
              <w:t>价</w:t>
            </w:r>
          </w:p>
        </w:tc>
        <w:tc>
          <w:tcPr>
            <w:tcW w:w="982" w:type="dxa"/>
            <w:vAlign w:val="center"/>
          </w:tcPr>
          <w:p w14:paraId="2A2B9163">
            <w:pPr>
              <w:adjustRightInd w:val="0"/>
              <w:snapToGrid w:val="0"/>
              <w:spacing w:line="360" w:lineRule="auto"/>
              <w:jc w:val="center"/>
              <w:rPr>
                <w:rFonts w:hint="eastAsia" w:ascii="宋体" w:hAnsi="宋体"/>
              </w:rPr>
            </w:pPr>
            <w:r>
              <w:rPr>
                <w:rFonts w:hint="eastAsia" w:ascii="宋体" w:hAnsi="宋体"/>
              </w:rPr>
              <w:t>交货</w:t>
            </w:r>
          </w:p>
          <w:p w14:paraId="64753BD5">
            <w:pPr>
              <w:adjustRightInd w:val="0"/>
              <w:snapToGrid w:val="0"/>
              <w:spacing w:line="360" w:lineRule="auto"/>
              <w:jc w:val="center"/>
              <w:rPr>
                <w:rFonts w:hint="eastAsia" w:ascii="宋体" w:hAnsi="宋体"/>
              </w:rPr>
            </w:pPr>
            <w:r>
              <w:rPr>
                <w:rFonts w:hint="eastAsia" w:ascii="宋体" w:hAnsi="宋体"/>
              </w:rPr>
              <w:t>方式</w:t>
            </w:r>
          </w:p>
        </w:tc>
        <w:tc>
          <w:tcPr>
            <w:tcW w:w="982" w:type="dxa"/>
            <w:vAlign w:val="center"/>
          </w:tcPr>
          <w:p w14:paraId="0085556A">
            <w:pPr>
              <w:adjustRightInd w:val="0"/>
              <w:snapToGrid w:val="0"/>
              <w:spacing w:line="360" w:lineRule="auto"/>
              <w:jc w:val="center"/>
              <w:rPr>
                <w:rFonts w:hint="eastAsia" w:ascii="宋体" w:hAnsi="宋体"/>
              </w:rPr>
            </w:pPr>
            <w:r>
              <w:rPr>
                <w:rFonts w:hint="eastAsia" w:ascii="宋体" w:hAnsi="宋体"/>
              </w:rPr>
              <w:t>交货</w:t>
            </w:r>
          </w:p>
          <w:p w14:paraId="162A80BA">
            <w:pPr>
              <w:adjustRightInd w:val="0"/>
              <w:snapToGrid w:val="0"/>
              <w:spacing w:line="360" w:lineRule="auto"/>
              <w:jc w:val="center"/>
              <w:rPr>
                <w:rFonts w:hint="eastAsia" w:ascii="宋体" w:hAnsi="宋体"/>
              </w:rPr>
            </w:pPr>
            <w:r>
              <w:rPr>
                <w:rFonts w:hint="eastAsia" w:ascii="宋体" w:hAnsi="宋体"/>
              </w:rPr>
              <w:t>地点</w:t>
            </w:r>
          </w:p>
        </w:tc>
        <w:tc>
          <w:tcPr>
            <w:tcW w:w="860" w:type="dxa"/>
            <w:vAlign w:val="center"/>
          </w:tcPr>
          <w:p w14:paraId="77992268">
            <w:pPr>
              <w:adjustRightInd w:val="0"/>
              <w:snapToGrid w:val="0"/>
              <w:spacing w:line="360" w:lineRule="auto"/>
              <w:jc w:val="center"/>
              <w:rPr>
                <w:rFonts w:hint="eastAsia" w:ascii="宋体" w:hAnsi="宋体"/>
              </w:rPr>
            </w:pPr>
            <w:r>
              <w:rPr>
                <w:rFonts w:hint="eastAsia" w:ascii="宋体" w:hAnsi="宋体"/>
              </w:rPr>
              <w:t>计划交货</w:t>
            </w:r>
          </w:p>
          <w:p w14:paraId="48C9D605">
            <w:pPr>
              <w:adjustRightInd w:val="0"/>
              <w:snapToGrid w:val="0"/>
              <w:spacing w:line="360" w:lineRule="auto"/>
              <w:jc w:val="center"/>
              <w:rPr>
                <w:rFonts w:hint="eastAsia" w:ascii="宋体" w:hAnsi="宋体"/>
              </w:rPr>
            </w:pPr>
            <w:r>
              <w:rPr>
                <w:rFonts w:hint="eastAsia" w:ascii="宋体" w:hAnsi="宋体"/>
              </w:rPr>
              <w:t>时间</w:t>
            </w:r>
          </w:p>
        </w:tc>
        <w:tc>
          <w:tcPr>
            <w:tcW w:w="1103" w:type="dxa"/>
            <w:vAlign w:val="center"/>
          </w:tcPr>
          <w:p w14:paraId="02246526">
            <w:pPr>
              <w:adjustRightInd w:val="0"/>
              <w:snapToGrid w:val="0"/>
              <w:spacing w:line="360" w:lineRule="auto"/>
              <w:jc w:val="center"/>
              <w:rPr>
                <w:rFonts w:hint="eastAsia" w:ascii="宋体" w:hAnsi="宋体"/>
              </w:rPr>
            </w:pPr>
            <w:r>
              <w:rPr>
                <w:rFonts w:hint="eastAsia" w:ascii="宋体" w:hAnsi="宋体"/>
              </w:rPr>
              <w:t>备注</w:t>
            </w:r>
          </w:p>
        </w:tc>
      </w:tr>
      <w:tr w14:paraId="7F98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10EEDC1B">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367EAD62">
            <w:pPr>
              <w:adjustRightInd w:val="0"/>
              <w:snapToGrid w:val="0"/>
              <w:spacing w:line="360" w:lineRule="auto"/>
              <w:jc w:val="center"/>
              <w:rPr>
                <w:rFonts w:hint="eastAsia" w:ascii="宋体" w:hAnsi="宋体"/>
                <w:szCs w:val="28"/>
              </w:rPr>
            </w:pPr>
          </w:p>
        </w:tc>
        <w:tc>
          <w:tcPr>
            <w:tcW w:w="1229" w:type="dxa"/>
            <w:vAlign w:val="center"/>
          </w:tcPr>
          <w:p w14:paraId="34CE5D92">
            <w:pPr>
              <w:adjustRightInd w:val="0"/>
              <w:snapToGrid w:val="0"/>
              <w:spacing w:line="360" w:lineRule="auto"/>
              <w:jc w:val="center"/>
              <w:rPr>
                <w:rFonts w:hint="eastAsia" w:ascii="宋体" w:hAnsi="宋体"/>
                <w:szCs w:val="28"/>
              </w:rPr>
            </w:pPr>
          </w:p>
        </w:tc>
        <w:tc>
          <w:tcPr>
            <w:tcW w:w="737" w:type="dxa"/>
            <w:vAlign w:val="center"/>
          </w:tcPr>
          <w:p w14:paraId="6BE88320">
            <w:pPr>
              <w:adjustRightInd w:val="0"/>
              <w:snapToGrid w:val="0"/>
              <w:spacing w:line="360" w:lineRule="auto"/>
              <w:jc w:val="center"/>
              <w:rPr>
                <w:rFonts w:hint="eastAsia" w:ascii="宋体" w:hAnsi="宋体"/>
                <w:szCs w:val="28"/>
              </w:rPr>
            </w:pPr>
          </w:p>
        </w:tc>
        <w:tc>
          <w:tcPr>
            <w:tcW w:w="615" w:type="dxa"/>
            <w:vAlign w:val="center"/>
          </w:tcPr>
          <w:p w14:paraId="51FB61B4">
            <w:pPr>
              <w:adjustRightInd w:val="0"/>
              <w:snapToGrid w:val="0"/>
              <w:spacing w:line="360" w:lineRule="auto"/>
              <w:jc w:val="center"/>
              <w:rPr>
                <w:rFonts w:hint="eastAsia" w:ascii="宋体" w:hAnsi="宋体"/>
                <w:szCs w:val="28"/>
              </w:rPr>
            </w:pPr>
          </w:p>
        </w:tc>
        <w:tc>
          <w:tcPr>
            <w:tcW w:w="860" w:type="dxa"/>
            <w:vAlign w:val="center"/>
          </w:tcPr>
          <w:p w14:paraId="33E012A1">
            <w:pPr>
              <w:adjustRightInd w:val="0"/>
              <w:snapToGrid w:val="0"/>
              <w:spacing w:line="360" w:lineRule="auto"/>
              <w:jc w:val="center"/>
              <w:rPr>
                <w:rFonts w:hint="eastAsia" w:ascii="宋体" w:hAnsi="宋体"/>
                <w:szCs w:val="28"/>
              </w:rPr>
            </w:pPr>
          </w:p>
        </w:tc>
        <w:tc>
          <w:tcPr>
            <w:tcW w:w="982" w:type="dxa"/>
            <w:vAlign w:val="center"/>
          </w:tcPr>
          <w:p w14:paraId="363774F8">
            <w:pPr>
              <w:adjustRightInd w:val="0"/>
              <w:snapToGrid w:val="0"/>
              <w:spacing w:line="360" w:lineRule="auto"/>
              <w:jc w:val="center"/>
              <w:rPr>
                <w:rFonts w:hint="eastAsia" w:ascii="宋体" w:hAnsi="宋体"/>
                <w:szCs w:val="28"/>
              </w:rPr>
            </w:pPr>
          </w:p>
        </w:tc>
        <w:tc>
          <w:tcPr>
            <w:tcW w:w="982" w:type="dxa"/>
            <w:vAlign w:val="center"/>
          </w:tcPr>
          <w:p w14:paraId="088F16B4">
            <w:pPr>
              <w:adjustRightInd w:val="0"/>
              <w:snapToGrid w:val="0"/>
              <w:spacing w:line="360" w:lineRule="auto"/>
              <w:jc w:val="center"/>
              <w:rPr>
                <w:rFonts w:hint="eastAsia" w:ascii="宋体" w:hAnsi="宋体"/>
                <w:szCs w:val="28"/>
              </w:rPr>
            </w:pPr>
          </w:p>
        </w:tc>
        <w:tc>
          <w:tcPr>
            <w:tcW w:w="860" w:type="dxa"/>
            <w:vAlign w:val="center"/>
          </w:tcPr>
          <w:p w14:paraId="7466AB3D">
            <w:pPr>
              <w:adjustRightInd w:val="0"/>
              <w:snapToGrid w:val="0"/>
              <w:spacing w:line="360" w:lineRule="auto"/>
              <w:jc w:val="center"/>
              <w:rPr>
                <w:rFonts w:hint="eastAsia" w:ascii="宋体" w:hAnsi="宋体"/>
                <w:szCs w:val="28"/>
              </w:rPr>
            </w:pPr>
          </w:p>
        </w:tc>
        <w:tc>
          <w:tcPr>
            <w:tcW w:w="1103" w:type="dxa"/>
            <w:vAlign w:val="center"/>
          </w:tcPr>
          <w:p w14:paraId="21C437AD">
            <w:pPr>
              <w:adjustRightInd w:val="0"/>
              <w:snapToGrid w:val="0"/>
              <w:spacing w:line="360" w:lineRule="auto"/>
              <w:jc w:val="center"/>
              <w:rPr>
                <w:rFonts w:hint="eastAsia" w:ascii="宋体" w:hAnsi="宋体"/>
                <w:szCs w:val="28"/>
              </w:rPr>
            </w:pPr>
          </w:p>
        </w:tc>
      </w:tr>
      <w:tr w14:paraId="0015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1F2672D3">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210FBED4">
            <w:pPr>
              <w:adjustRightInd w:val="0"/>
              <w:snapToGrid w:val="0"/>
              <w:spacing w:line="360" w:lineRule="auto"/>
              <w:jc w:val="center"/>
              <w:rPr>
                <w:rFonts w:hint="eastAsia" w:ascii="宋体" w:hAnsi="宋体"/>
                <w:szCs w:val="28"/>
              </w:rPr>
            </w:pPr>
          </w:p>
        </w:tc>
        <w:tc>
          <w:tcPr>
            <w:tcW w:w="1229" w:type="dxa"/>
            <w:vAlign w:val="center"/>
          </w:tcPr>
          <w:p w14:paraId="74188B00">
            <w:pPr>
              <w:adjustRightInd w:val="0"/>
              <w:snapToGrid w:val="0"/>
              <w:spacing w:line="360" w:lineRule="auto"/>
              <w:jc w:val="center"/>
              <w:rPr>
                <w:rFonts w:hint="eastAsia" w:ascii="宋体" w:hAnsi="宋体"/>
                <w:szCs w:val="28"/>
              </w:rPr>
            </w:pPr>
          </w:p>
        </w:tc>
        <w:tc>
          <w:tcPr>
            <w:tcW w:w="737" w:type="dxa"/>
            <w:vAlign w:val="center"/>
          </w:tcPr>
          <w:p w14:paraId="6C9983D8">
            <w:pPr>
              <w:adjustRightInd w:val="0"/>
              <w:snapToGrid w:val="0"/>
              <w:spacing w:line="360" w:lineRule="auto"/>
              <w:jc w:val="center"/>
              <w:rPr>
                <w:rFonts w:hint="eastAsia" w:ascii="宋体" w:hAnsi="宋体"/>
                <w:szCs w:val="28"/>
              </w:rPr>
            </w:pPr>
          </w:p>
        </w:tc>
        <w:tc>
          <w:tcPr>
            <w:tcW w:w="615" w:type="dxa"/>
            <w:vAlign w:val="center"/>
          </w:tcPr>
          <w:p w14:paraId="5863F79E">
            <w:pPr>
              <w:adjustRightInd w:val="0"/>
              <w:snapToGrid w:val="0"/>
              <w:spacing w:line="360" w:lineRule="auto"/>
              <w:jc w:val="center"/>
              <w:rPr>
                <w:rFonts w:hint="eastAsia" w:ascii="宋体" w:hAnsi="宋体"/>
                <w:szCs w:val="28"/>
              </w:rPr>
            </w:pPr>
          </w:p>
        </w:tc>
        <w:tc>
          <w:tcPr>
            <w:tcW w:w="860" w:type="dxa"/>
            <w:vAlign w:val="center"/>
          </w:tcPr>
          <w:p w14:paraId="0E1F55DF">
            <w:pPr>
              <w:adjustRightInd w:val="0"/>
              <w:snapToGrid w:val="0"/>
              <w:spacing w:line="360" w:lineRule="auto"/>
              <w:jc w:val="center"/>
              <w:rPr>
                <w:rFonts w:hint="eastAsia" w:ascii="宋体" w:hAnsi="宋体"/>
                <w:szCs w:val="28"/>
              </w:rPr>
            </w:pPr>
          </w:p>
        </w:tc>
        <w:tc>
          <w:tcPr>
            <w:tcW w:w="982" w:type="dxa"/>
            <w:vAlign w:val="center"/>
          </w:tcPr>
          <w:p w14:paraId="632E0DF2">
            <w:pPr>
              <w:adjustRightInd w:val="0"/>
              <w:snapToGrid w:val="0"/>
              <w:spacing w:line="360" w:lineRule="auto"/>
              <w:jc w:val="center"/>
              <w:rPr>
                <w:rFonts w:hint="eastAsia" w:ascii="宋体" w:hAnsi="宋体"/>
                <w:szCs w:val="28"/>
              </w:rPr>
            </w:pPr>
          </w:p>
        </w:tc>
        <w:tc>
          <w:tcPr>
            <w:tcW w:w="982" w:type="dxa"/>
            <w:vAlign w:val="center"/>
          </w:tcPr>
          <w:p w14:paraId="78D9F71E">
            <w:pPr>
              <w:adjustRightInd w:val="0"/>
              <w:snapToGrid w:val="0"/>
              <w:spacing w:line="360" w:lineRule="auto"/>
              <w:jc w:val="center"/>
              <w:rPr>
                <w:rFonts w:hint="eastAsia" w:ascii="宋体" w:hAnsi="宋体"/>
                <w:szCs w:val="28"/>
              </w:rPr>
            </w:pPr>
          </w:p>
        </w:tc>
        <w:tc>
          <w:tcPr>
            <w:tcW w:w="860" w:type="dxa"/>
            <w:vAlign w:val="center"/>
          </w:tcPr>
          <w:p w14:paraId="5CEA43EA">
            <w:pPr>
              <w:adjustRightInd w:val="0"/>
              <w:snapToGrid w:val="0"/>
              <w:spacing w:line="360" w:lineRule="auto"/>
              <w:jc w:val="center"/>
              <w:rPr>
                <w:rFonts w:hint="eastAsia" w:ascii="宋体" w:hAnsi="宋体"/>
                <w:szCs w:val="28"/>
              </w:rPr>
            </w:pPr>
          </w:p>
        </w:tc>
        <w:tc>
          <w:tcPr>
            <w:tcW w:w="1103" w:type="dxa"/>
            <w:vAlign w:val="center"/>
          </w:tcPr>
          <w:p w14:paraId="223C5854">
            <w:pPr>
              <w:adjustRightInd w:val="0"/>
              <w:snapToGrid w:val="0"/>
              <w:spacing w:line="360" w:lineRule="auto"/>
              <w:jc w:val="center"/>
              <w:rPr>
                <w:rFonts w:hint="eastAsia" w:ascii="宋体" w:hAnsi="宋体"/>
                <w:szCs w:val="28"/>
              </w:rPr>
            </w:pPr>
          </w:p>
        </w:tc>
      </w:tr>
      <w:tr w14:paraId="0AB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4C2C8C74">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641509AB">
            <w:pPr>
              <w:adjustRightInd w:val="0"/>
              <w:snapToGrid w:val="0"/>
              <w:spacing w:line="360" w:lineRule="auto"/>
              <w:jc w:val="center"/>
              <w:rPr>
                <w:rFonts w:hint="eastAsia" w:ascii="宋体" w:hAnsi="宋体"/>
                <w:szCs w:val="28"/>
              </w:rPr>
            </w:pPr>
          </w:p>
        </w:tc>
        <w:tc>
          <w:tcPr>
            <w:tcW w:w="1229" w:type="dxa"/>
            <w:vAlign w:val="center"/>
          </w:tcPr>
          <w:p w14:paraId="1620D032">
            <w:pPr>
              <w:adjustRightInd w:val="0"/>
              <w:snapToGrid w:val="0"/>
              <w:spacing w:line="360" w:lineRule="auto"/>
              <w:jc w:val="center"/>
              <w:rPr>
                <w:rFonts w:hint="eastAsia" w:ascii="宋体" w:hAnsi="宋体"/>
                <w:szCs w:val="28"/>
              </w:rPr>
            </w:pPr>
          </w:p>
        </w:tc>
        <w:tc>
          <w:tcPr>
            <w:tcW w:w="737" w:type="dxa"/>
            <w:vAlign w:val="center"/>
          </w:tcPr>
          <w:p w14:paraId="03DFD74C">
            <w:pPr>
              <w:adjustRightInd w:val="0"/>
              <w:snapToGrid w:val="0"/>
              <w:spacing w:line="360" w:lineRule="auto"/>
              <w:jc w:val="center"/>
              <w:rPr>
                <w:rFonts w:hint="eastAsia" w:ascii="宋体" w:hAnsi="宋体"/>
                <w:szCs w:val="28"/>
              </w:rPr>
            </w:pPr>
          </w:p>
        </w:tc>
        <w:tc>
          <w:tcPr>
            <w:tcW w:w="615" w:type="dxa"/>
            <w:vAlign w:val="center"/>
          </w:tcPr>
          <w:p w14:paraId="3D533CE0">
            <w:pPr>
              <w:adjustRightInd w:val="0"/>
              <w:snapToGrid w:val="0"/>
              <w:spacing w:line="360" w:lineRule="auto"/>
              <w:jc w:val="center"/>
              <w:rPr>
                <w:rFonts w:hint="eastAsia" w:ascii="宋体" w:hAnsi="宋体"/>
                <w:szCs w:val="28"/>
              </w:rPr>
            </w:pPr>
          </w:p>
        </w:tc>
        <w:tc>
          <w:tcPr>
            <w:tcW w:w="860" w:type="dxa"/>
            <w:vAlign w:val="center"/>
          </w:tcPr>
          <w:p w14:paraId="3D53350B">
            <w:pPr>
              <w:adjustRightInd w:val="0"/>
              <w:snapToGrid w:val="0"/>
              <w:spacing w:line="360" w:lineRule="auto"/>
              <w:jc w:val="center"/>
              <w:rPr>
                <w:rFonts w:hint="eastAsia" w:ascii="宋体" w:hAnsi="宋体"/>
                <w:szCs w:val="28"/>
              </w:rPr>
            </w:pPr>
          </w:p>
        </w:tc>
        <w:tc>
          <w:tcPr>
            <w:tcW w:w="982" w:type="dxa"/>
            <w:vAlign w:val="center"/>
          </w:tcPr>
          <w:p w14:paraId="3C26AE67">
            <w:pPr>
              <w:adjustRightInd w:val="0"/>
              <w:snapToGrid w:val="0"/>
              <w:spacing w:line="360" w:lineRule="auto"/>
              <w:jc w:val="center"/>
              <w:rPr>
                <w:rFonts w:hint="eastAsia" w:ascii="宋体" w:hAnsi="宋体"/>
                <w:szCs w:val="28"/>
              </w:rPr>
            </w:pPr>
          </w:p>
        </w:tc>
        <w:tc>
          <w:tcPr>
            <w:tcW w:w="982" w:type="dxa"/>
            <w:vAlign w:val="center"/>
          </w:tcPr>
          <w:p w14:paraId="32FD833B">
            <w:pPr>
              <w:adjustRightInd w:val="0"/>
              <w:snapToGrid w:val="0"/>
              <w:spacing w:line="360" w:lineRule="auto"/>
              <w:jc w:val="center"/>
              <w:rPr>
                <w:rFonts w:hint="eastAsia" w:ascii="宋体" w:hAnsi="宋体"/>
                <w:szCs w:val="28"/>
              </w:rPr>
            </w:pPr>
          </w:p>
        </w:tc>
        <w:tc>
          <w:tcPr>
            <w:tcW w:w="860" w:type="dxa"/>
            <w:vAlign w:val="center"/>
          </w:tcPr>
          <w:p w14:paraId="42A031CB">
            <w:pPr>
              <w:adjustRightInd w:val="0"/>
              <w:snapToGrid w:val="0"/>
              <w:spacing w:line="360" w:lineRule="auto"/>
              <w:jc w:val="center"/>
              <w:rPr>
                <w:rFonts w:hint="eastAsia" w:ascii="宋体" w:hAnsi="宋体"/>
                <w:szCs w:val="28"/>
              </w:rPr>
            </w:pPr>
          </w:p>
        </w:tc>
        <w:tc>
          <w:tcPr>
            <w:tcW w:w="1103" w:type="dxa"/>
            <w:vAlign w:val="center"/>
          </w:tcPr>
          <w:p w14:paraId="16A31DE7">
            <w:pPr>
              <w:adjustRightInd w:val="0"/>
              <w:snapToGrid w:val="0"/>
              <w:spacing w:line="360" w:lineRule="auto"/>
              <w:jc w:val="center"/>
              <w:rPr>
                <w:rFonts w:hint="eastAsia" w:ascii="宋体" w:hAnsi="宋体"/>
                <w:szCs w:val="28"/>
              </w:rPr>
            </w:pPr>
          </w:p>
        </w:tc>
      </w:tr>
      <w:tr w14:paraId="57CE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58095823">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79871725">
            <w:pPr>
              <w:adjustRightInd w:val="0"/>
              <w:snapToGrid w:val="0"/>
              <w:spacing w:line="360" w:lineRule="auto"/>
              <w:jc w:val="center"/>
              <w:rPr>
                <w:rFonts w:hint="eastAsia" w:ascii="宋体" w:hAnsi="宋体"/>
                <w:szCs w:val="28"/>
              </w:rPr>
            </w:pPr>
          </w:p>
        </w:tc>
        <w:tc>
          <w:tcPr>
            <w:tcW w:w="1229" w:type="dxa"/>
            <w:vAlign w:val="center"/>
          </w:tcPr>
          <w:p w14:paraId="4E8FDDE0">
            <w:pPr>
              <w:adjustRightInd w:val="0"/>
              <w:snapToGrid w:val="0"/>
              <w:spacing w:line="360" w:lineRule="auto"/>
              <w:jc w:val="center"/>
              <w:rPr>
                <w:rFonts w:hint="eastAsia" w:ascii="宋体" w:hAnsi="宋体"/>
                <w:szCs w:val="28"/>
              </w:rPr>
            </w:pPr>
          </w:p>
        </w:tc>
        <w:tc>
          <w:tcPr>
            <w:tcW w:w="737" w:type="dxa"/>
            <w:vAlign w:val="center"/>
          </w:tcPr>
          <w:p w14:paraId="003FC8E6">
            <w:pPr>
              <w:adjustRightInd w:val="0"/>
              <w:snapToGrid w:val="0"/>
              <w:spacing w:line="360" w:lineRule="auto"/>
              <w:jc w:val="center"/>
              <w:rPr>
                <w:rFonts w:hint="eastAsia" w:ascii="宋体" w:hAnsi="宋体"/>
                <w:szCs w:val="28"/>
              </w:rPr>
            </w:pPr>
          </w:p>
        </w:tc>
        <w:tc>
          <w:tcPr>
            <w:tcW w:w="615" w:type="dxa"/>
            <w:vAlign w:val="center"/>
          </w:tcPr>
          <w:p w14:paraId="2A0ACFF6">
            <w:pPr>
              <w:adjustRightInd w:val="0"/>
              <w:snapToGrid w:val="0"/>
              <w:spacing w:line="360" w:lineRule="auto"/>
              <w:jc w:val="center"/>
              <w:rPr>
                <w:rFonts w:hint="eastAsia" w:ascii="宋体" w:hAnsi="宋体"/>
                <w:szCs w:val="28"/>
              </w:rPr>
            </w:pPr>
          </w:p>
        </w:tc>
        <w:tc>
          <w:tcPr>
            <w:tcW w:w="860" w:type="dxa"/>
            <w:vAlign w:val="center"/>
          </w:tcPr>
          <w:p w14:paraId="7BD8D0E1">
            <w:pPr>
              <w:adjustRightInd w:val="0"/>
              <w:snapToGrid w:val="0"/>
              <w:spacing w:line="360" w:lineRule="auto"/>
              <w:jc w:val="center"/>
              <w:rPr>
                <w:rFonts w:hint="eastAsia" w:ascii="宋体" w:hAnsi="宋体"/>
                <w:szCs w:val="28"/>
              </w:rPr>
            </w:pPr>
          </w:p>
        </w:tc>
        <w:tc>
          <w:tcPr>
            <w:tcW w:w="982" w:type="dxa"/>
            <w:vAlign w:val="center"/>
          </w:tcPr>
          <w:p w14:paraId="47D23F06">
            <w:pPr>
              <w:adjustRightInd w:val="0"/>
              <w:snapToGrid w:val="0"/>
              <w:spacing w:line="360" w:lineRule="auto"/>
              <w:jc w:val="center"/>
              <w:rPr>
                <w:rFonts w:hint="eastAsia" w:ascii="宋体" w:hAnsi="宋体"/>
                <w:szCs w:val="28"/>
              </w:rPr>
            </w:pPr>
          </w:p>
        </w:tc>
        <w:tc>
          <w:tcPr>
            <w:tcW w:w="982" w:type="dxa"/>
            <w:vAlign w:val="center"/>
          </w:tcPr>
          <w:p w14:paraId="67C8A99C">
            <w:pPr>
              <w:adjustRightInd w:val="0"/>
              <w:snapToGrid w:val="0"/>
              <w:spacing w:line="360" w:lineRule="auto"/>
              <w:jc w:val="center"/>
              <w:rPr>
                <w:rFonts w:hint="eastAsia" w:ascii="宋体" w:hAnsi="宋体"/>
                <w:szCs w:val="28"/>
              </w:rPr>
            </w:pPr>
          </w:p>
        </w:tc>
        <w:tc>
          <w:tcPr>
            <w:tcW w:w="860" w:type="dxa"/>
            <w:vAlign w:val="center"/>
          </w:tcPr>
          <w:p w14:paraId="181FBD1C">
            <w:pPr>
              <w:adjustRightInd w:val="0"/>
              <w:snapToGrid w:val="0"/>
              <w:spacing w:line="360" w:lineRule="auto"/>
              <w:jc w:val="center"/>
              <w:rPr>
                <w:rFonts w:hint="eastAsia" w:ascii="宋体" w:hAnsi="宋体"/>
                <w:szCs w:val="28"/>
              </w:rPr>
            </w:pPr>
          </w:p>
        </w:tc>
        <w:tc>
          <w:tcPr>
            <w:tcW w:w="1103" w:type="dxa"/>
            <w:vAlign w:val="center"/>
          </w:tcPr>
          <w:p w14:paraId="14A6A32E">
            <w:pPr>
              <w:adjustRightInd w:val="0"/>
              <w:snapToGrid w:val="0"/>
              <w:spacing w:line="360" w:lineRule="auto"/>
              <w:jc w:val="center"/>
              <w:rPr>
                <w:rFonts w:hint="eastAsia" w:ascii="宋体" w:hAnsi="宋体"/>
                <w:szCs w:val="28"/>
              </w:rPr>
            </w:pPr>
          </w:p>
        </w:tc>
      </w:tr>
      <w:tr w14:paraId="2ED7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37227141">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3F5F8C67">
            <w:pPr>
              <w:adjustRightInd w:val="0"/>
              <w:snapToGrid w:val="0"/>
              <w:spacing w:line="360" w:lineRule="auto"/>
              <w:jc w:val="center"/>
              <w:rPr>
                <w:rFonts w:hint="eastAsia" w:ascii="宋体" w:hAnsi="宋体"/>
                <w:szCs w:val="28"/>
              </w:rPr>
            </w:pPr>
          </w:p>
        </w:tc>
        <w:tc>
          <w:tcPr>
            <w:tcW w:w="1229" w:type="dxa"/>
            <w:vAlign w:val="center"/>
          </w:tcPr>
          <w:p w14:paraId="4F9A1153">
            <w:pPr>
              <w:adjustRightInd w:val="0"/>
              <w:snapToGrid w:val="0"/>
              <w:spacing w:line="360" w:lineRule="auto"/>
              <w:jc w:val="center"/>
              <w:rPr>
                <w:rFonts w:hint="eastAsia" w:ascii="宋体" w:hAnsi="宋体"/>
                <w:szCs w:val="28"/>
              </w:rPr>
            </w:pPr>
          </w:p>
        </w:tc>
        <w:tc>
          <w:tcPr>
            <w:tcW w:w="737" w:type="dxa"/>
            <w:vAlign w:val="center"/>
          </w:tcPr>
          <w:p w14:paraId="6497890C">
            <w:pPr>
              <w:adjustRightInd w:val="0"/>
              <w:snapToGrid w:val="0"/>
              <w:spacing w:line="360" w:lineRule="auto"/>
              <w:jc w:val="center"/>
              <w:rPr>
                <w:rFonts w:hint="eastAsia" w:ascii="宋体" w:hAnsi="宋体"/>
                <w:szCs w:val="28"/>
              </w:rPr>
            </w:pPr>
          </w:p>
        </w:tc>
        <w:tc>
          <w:tcPr>
            <w:tcW w:w="615" w:type="dxa"/>
            <w:vAlign w:val="center"/>
          </w:tcPr>
          <w:p w14:paraId="247180C8">
            <w:pPr>
              <w:adjustRightInd w:val="0"/>
              <w:snapToGrid w:val="0"/>
              <w:spacing w:line="360" w:lineRule="auto"/>
              <w:jc w:val="center"/>
              <w:rPr>
                <w:rFonts w:hint="eastAsia" w:ascii="宋体" w:hAnsi="宋体"/>
                <w:szCs w:val="28"/>
              </w:rPr>
            </w:pPr>
          </w:p>
        </w:tc>
        <w:tc>
          <w:tcPr>
            <w:tcW w:w="860" w:type="dxa"/>
            <w:vAlign w:val="center"/>
          </w:tcPr>
          <w:p w14:paraId="31662FF4">
            <w:pPr>
              <w:adjustRightInd w:val="0"/>
              <w:snapToGrid w:val="0"/>
              <w:spacing w:line="360" w:lineRule="auto"/>
              <w:jc w:val="center"/>
              <w:rPr>
                <w:rFonts w:hint="eastAsia" w:ascii="宋体" w:hAnsi="宋体"/>
                <w:szCs w:val="28"/>
              </w:rPr>
            </w:pPr>
          </w:p>
        </w:tc>
        <w:tc>
          <w:tcPr>
            <w:tcW w:w="982" w:type="dxa"/>
            <w:vAlign w:val="center"/>
          </w:tcPr>
          <w:p w14:paraId="384A7F6E">
            <w:pPr>
              <w:adjustRightInd w:val="0"/>
              <w:snapToGrid w:val="0"/>
              <w:spacing w:line="360" w:lineRule="auto"/>
              <w:jc w:val="center"/>
              <w:rPr>
                <w:rFonts w:hint="eastAsia" w:ascii="宋体" w:hAnsi="宋体"/>
                <w:szCs w:val="28"/>
              </w:rPr>
            </w:pPr>
          </w:p>
        </w:tc>
        <w:tc>
          <w:tcPr>
            <w:tcW w:w="982" w:type="dxa"/>
            <w:vAlign w:val="center"/>
          </w:tcPr>
          <w:p w14:paraId="1D0765FF">
            <w:pPr>
              <w:adjustRightInd w:val="0"/>
              <w:snapToGrid w:val="0"/>
              <w:spacing w:line="360" w:lineRule="auto"/>
              <w:jc w:val="center"/>
              <w:rPr>
                <w:rFonts w:hint="eastAsia" w:ascii="宋体" w:hAnsi="宋体"/>
                <w:szCs w:val="28"/>
              </w:rPr>
            </w:pPr>
          </w:p>
        </w:tc>
        <w:tc>
          <w:tcPr>
            <w:tcW w:w="860" w:type="dxa"/>
            <w:vAlign w:val="center"/>
          </w:tcPr>
          <w:p w14:paraId="3FE0A29B">
            <w:pPr>
              <w:adjustRightInd w:val="0"/>
              <w:snapToGrid w:val="0"/>
              <w:spacing w:line="360" w:lineRule="auto"/>
              <w:jc w:val="center"/>
              <w:rPr>
                <w:rFonts w:hint="eastAsia" w:ascii="宋体" w:hAnsi="宋体"/>
                <w:szCs w:val="28"/>
              </w:rPr>
            </w:pPr>
          </w:p>
        </w:tc>
        <w:tc>
          <w:tcPr>
            <w:tcW w:w="1103" w:type="dxa"/>
            <w:vAlign w:val="center"/>
          </w:tcPr>
          <w:p w14:paraId="27CAEC47">
            <w:pPr>
              <w:adjustRightInd w:val="0"/>
              <w:snapToGrid w:val="0"/>
              <w:spacing w:line="360" w:lineRule="auto"/>
              <w:jc w:val="center"/>
              <w:rPr>
                <w:rFonts w:hint="eastAsia" w:ascii="宋体" w:hAnsi="宋体"/>
                <w:szCs w:val="28"/>
              </w:rPr>
            </w:pPr>
          </w:p>
        </w:tc>
      </w:tr>
      <w:tr w14:paraId="6972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0D753F72">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660FBD45">
            <w:pPr>
              <w:adjustRightInd w:val="0"/>
              <w:snapToGrid w:val="0"/>
              <w:spacing w:line="360" w:lineRule="auto"/>
              <w:jc w:val="center"/>
              <w:rPr>
                <w:rFonts w:hint="eastAsia" w:ascii="宋体" w:hAnsi="宋体"/>
                <w:szCs w:val="28"/>
              </w:rPr>
            </w:pPr>
          </w:p>
        </w:tc>
        <w:tc>
          <w:tcPr>
            <w:tcW w:w="1229" w:type="dxa"/>
            <w:vAlign w:val="center"/>
          </w:tcPr>
          <w:p w14:paraId="04DCFD80">
            <w:pPr>
              <w:adjustRightInd w:val="0"/>
              <w:snapToGrid w:val="0"/>
              <w:spacing w:line="360" w:lineRule="auto"/>
              <w:jc w:val="center"/>
              <w:rPr>
                <w:rFonts w:hint="eastAsia" w:ascii="宋体" w:hAnsi="宋体"/>
                <w:szCs w:val="28"/>
              </w:rPr>
            </w:pPr>
          </w:p>
        </w:tc>
        <w:tc>
          <w:tcPr>
            <w:tcW w:w="737" w:type="dxa"/>
            <w:vAlign w:val="center"/>
          </w:tcPr>
          <w:p w14:paraId="2CF5CD86">
            <w:pPr>
              <w:adjustRightInd w:val="0"/>
              <w:snapToGrid w:val="0"/>
              <w:spacing w:line="360" w:lineRule="auto"/>
              <w:jc w:val="center"/>
              <w:rPr>
                <w:rFonts w:hint="eastAsia" w:ascii="宋体" w:hAnsi="宋体"/>
                <w:szCs w:val="28"/>
              </w:rPr>
            </w:pPr>
          </w:p>
        </w:tc>
        <w:tc>
          <w:tcPr>
            <w:tcW w:w="615" w:type="dxa"/>
            <w:vAlign w:val="center"/>
          </w:tcPr>
          <w:p w14:paraId="6CDA6618">
            <w:pPr>
              <w:adjustRightInd w:val="0"/>
              <w:snapToGrid w:val="0"/>
              <w:spacing w:line="360" w:lineRule="auto"/>
              <w:jc w:val="center"/>
              <w:rPr>
                <w:rFonts w:hint="eastAsia" w:ascii="宋体" w:hAnsi="宋体"/>
                <w:szCs w:val="28"/>
              </w:rPr>
            </w:pPr>
          </w:p>
        </w:tc>
        <w:tc>
          <w:tcPr>
            <w:tcW w:w="860" w:type="dxa"/>
            <w:vAlign w:val="center"/>
          </w:tcPr>
          <w:p w14:paraId="118B8D73">
            <w:pPr>
              <w:adjustRightInd w:val="0"/>
              <w:snapToGrid w:val="0"/>
              <w:spacing w:line="360" w:lineRule="auto"/>
              <w:jc w:val="center"/>
              <w:rPr>
                <w:rFonts w:hint="eastAsia" w:ascii="宋体" w:hAnsi="宋体"/>
                <w:szCs w:val="28"/>
              </w:rPr>
            </w:pPr>
          </w:p>
        </w:tc>
        <w:tc>
          <w:tcPr>
            <w:tcW w:w="982" w:type="dxa"/>
            <w:vAlign w:val="center"/>
          </w:tcPr>
          <w:p w14:paraId="31BE2974">
            <w:pPr>
              <w:adjustRightInd w:val="0"/>
              <w:snapToGrid w:val="0"/>
              <w:spacing w:line="360" w:lineRule="auto"/>
              <w:jc w:val="center"/>
              <w:rPr>
                <w:rFonts w:hint="eastAsia" w:ascii="宋体" w:hAnsi="宋体"/>
                <w:szCs w:val="28"/>
              </w:rPr>
            </w:pPr>
          </w:p>
        </w:tc>
        <w:tc>
          <w:tcPr>
            <w:tcW w:w="982" w:type="dxa"/>
            <w:vAlign w:val="center"/>
          </w:tcPr>
          <w:p w14:paraId="67491537">
            <w:pPr>
              <w:adjustRightInd w:val="0"/>
              <w:snapToGrid w:val="0"/>
              <w:spacing w:line="360" w:lineRule="auto"/>
              <w:jc w:val="center"/>
              <w:rPr>
                <w:rFonts w:hint="eastAsia" w:ascii="宋体" w:hAnsi="宋体"/>
                <w:szCs w:val="28"/>
              </w:rPr>
            </w:pPr>
          </w:p>
        </w:tc>
        <w:tc>
          <w:tcPr>
            <w:tcW w:w="860" w:type="dxa"/>
            <w:vAlign w:val="center"/>
          </w:tcPr>
          <w:p w14:paraId="79BFC328">
            <w:pPr>
              <w:adjustRightInd w:val="0"/>
              <w:snapToGrid w:val="0"/>
              <w:spacing w:line="360" w:lineRule="auto"/>
              <w:jc w:val="center"/>
              <w:rPr>
                <w:rFonts w:hint="eastAsia" w:ascii="宋体" w:hAnsi="宋体"/>
                <w:szCs w:val="28"/>
              </w:rPr>
            </w:pPr>
          </w:p>
        </w:tc>
        <w:tc>
          <w:tcPr>
            <w:tcW w:w="1103" w:type="dxa"/>
            <w:vAlign w:val="center"/>
          </w:tcPr>
          <w:p w14:paraId="4CAED01D">
            <w:pPr>
              <w:adjustRightInd w:val="0"/>
              <w:snapToGrid w:val="0"/>
              <w:spacing w:line="360" w:lineRule="auto"/>
              <w:jc w:val="center"/>
              <w:rPr>
                <w:rFonts w:hint="eastAsia" w:ascii="宋体" w:hAnsi="宋体"/>
                <w:szCs w:val="28"/>
              </w:rPr>
            </w:pPr>
          </w:p>
        </w:tc>
      </w:tr>
      <w:tr w14:paraId="5ED9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38923AE">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6F2AC910">
            <w:pPr>
              <w:adjustRightInd w:val="0"/>
              <w:snapToGrid w:val="0"/>
              <w:spacing w:line="360" w:lineRule="auto"/>
              <w:jc w:val="center"/>
              <w:rPr>
                <w:rFonts w:hint="eastAsia" w:ascii="宋体" w:hAnsi="宋体"/>
                <w:szCs w:val="28"/>
              </w:rPr>
            </w:pPr>
          </w:p>
        </w:tc>
        <w:tc>
          <w:tcPr>
            <w:tcW w:w="1229" w:type="dxa"/>
            <w:vAlign w:val="center"/>
          </w:tcPr>
          <w:p w14:paraId="57705895">
            <w:pPr>
              <w:adjustRightInd w:val="0"/>
              <w:snapToGrid w:val="0"/>
              <w:spacing w:line="360" w:lineRule="auto"/>
              <w:jc w:val="center"/>
              <w:rPr>
                <w:rFonts w:hint="eastAsia" w:ascii="宋体" w:hAnsi="宋体"/>
                <w:szCs w:val="28"/>
              </w:rPr>
            </w:pPr>
          </w:p>
        </w:tc>
        <w:tc>
          <w:tcPr>
            <w:tcW w:w="737" w:type="dxa"/>
            <w:vAlign w:val="center"/>
          </w:tcPr>
          <w:p w14:paraId="0C032A04">
            <w:pPr>
              <w:adjustRightInd w:val="0"/>
              <w:snapToGrid w:val="0"/>
              <w:spacing w:line="360" w:lineRule="auto"/>
              <w:jc w:val="center"/>
              <w:rPr>
                <w:rFonts w:hint="eastAsia" w:ascii="宋体" w:hAnsi="宋体"/>
                <w:szCs w:val="28"/>
              </w:rPr>
            </w:pPr>
          </w:p>
        </w:tc>
        <w:tc>
          <w:tcPr>
            <w:tcW w:w="615" w:type="dxa"/>
            <w:vAlign w:val="center"/>
          </w:tcPr>
          <w:p w14:paraId="706FA5C8">
            <w:pPr>
              <w:adjustRightInd w:val="0"/>
              <w:snapToGrid w:val="0"/>
              <w:spacing w:line="360" w:lineRule="auto"/>
              <w:jc w:val="center"/>
              <w:rPr>
                <w:rFonts w:hint="eastAsia" w:ascii="宋体" w:hAnsi="宋体"/>
                <w:szCs w:val="28"/>
              </w:rPr>
            </w:pPr>
          </w:p>
        </w:tc>
        <w:tc>
          <w:tcPr>
            <w:tcW w:w="860" w:type="dxa"/>
            <w:vAlign w:val="center"/>
          </w:tcPr>
          <w:p w14:paraId="0637CAB1">
            <w:pPr>
              <w:adjustRightInd w:val="0"/>
              <w:snapToGrid w:val="0"/>
              <w:spacing w:line="360" w:lineRule="auto"/>
              <w:jc w:val="center"/>
              <w:rPr>
                <w:rFonts w:hint="eastAsia" w:ascii="宋体" w:hAnsi="宋体"/>
                <w:szCs w:val="28"/>
              </w:rPr>
            </w:pPr>
          </w:p>
        </w:tc>
        <w:tc>
          <w:tcPr>
            <w:tcW w:w="982" w:type="dxa"/>
            <w:vAlign w:val="center"/>
          </w:tcPr>
          <w:p w14:paraId="2567A478">
            <w:pPr>
              <w:adjustRightInd w:val="0"/>
              <w:snapToGrid w:val="0"/>
              <w:spacing w:line="360" w:lineRule="auto"/>
              <w:jc w:val="center"/>
              <w:rPr>
                <w:rFonts w:hint="eastAsia" w:ascii="宋体" w:hAnsi="宋体"/>
                <w:szCs w:val="28"/>
              </w:rPr>
            </w:pPr>
          </w:p>
        </w:tc>
        <w:tc>
          <w:tcPr>
            <w:tcW w:w="982" w:type="dxa"/>
            <w:vAlign w:val="center"/>
          </w:tcPr>
          <w:p w14:paraId="141D63F7">
            <w:pPr>
              <w:adjustRightInd w:val="0"/>
              <w:snapToGrid w:val="0"/>
              <w:spacing w:line="360" w:lineRule="auto"/>
              <w:jc w:val="center"/>
              <w:rPr>
                <w:rFonts w:hint="eastAsia" w:ascii="宋体" w:hAnsi="宋体"/>
                <w:szCs w:val="28"/>
              </w:rPr>
            </w:pPr>
          </w:p>
        </w:tc>
        <w:tc>
          <w:tcPr>
            <w:tcW w:w="860" w:type="dxa"/>
            <w:vAlign w:val="center"/>
          </w:tcPr>
          <w:p w14:paraId="4690C270">
            <w:pPr>
              <w:adjustRightInd w:val="0"/>
              <w:snapToGrid w:val="0"/>
              <w:spacing w:line="360" w:lineRule="auto"/>
              <w:jc w:val="center"/>
              <w:rPr>
                <w:rFonts w:hint="eastAsia" w:ascii="宋体" w:hAnsi="宋体"/>
                <w:szCs w:val="28"/>
              </w:rPr>
            </w:pPr>
          </w:p>
        </w:tc>
        <w:tc>
          <w:tcPr>
            <w:tcW w:w="1103" w:type="dxa"/>
            <w:vAlign w:val="center"/>
          </w:tcPr>
          <w:p w14:paraId="3A801602">
            <w:pPr>
              <w:adjustRightInd w:val="0"/>
              <w:snapToGrid w:val="0"/>
              <w:spacing w:line="360" w:lineRule="auto"/>
              <w:jc w:val="center"/>
              <w:rPr>
                <w:rFonts w:hint="eastAsia" w:ascii="宋体" w:hAnsi="宋体"/>
                <w:szCs w:val="28"/>
              </w:rPr>
            </w:pPr>
          </w:p>
        </w:tc>
      </w:tr>
      <w:tr w14:paraId="0C30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4B45A162">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494D0099">
            <w:pPr>
              <w:adjustRightInd w:val="0"/>
              <w:snapToGrid w:val="0"/>
              <w:spacing w:line="360" w:lineRule="auto"/>
              <w:jc w:val="center"/>
              <w:rPr>
                <w:rFonts w:hint="eastAsia" w:ascii="宋体" w:hAnsi="宋体"/>
                <w:szCs w:val="28"/>
              </w:rPr>
            </w:pPr>
          </w:p>
        </w:tc>
        <w:tc>
          <w:tcPr>
            <w:tcW w:w="1229" w:type="dxa"/>
            <w:vAlign w:val="center"/>
          </w:tcPr>
          <w:p w14:paraId="2A1CB8D0">
            <w:pPr>
              <w:adjustRightInd w:val="0"/>
              <w:snapToGrid w:val="0"/>
              <w:spacing w:line="360" w:lineRule="auto"/>
              <w:jc w:val="center"/>
              <w:rPr>
                <w:rFonts w:hint="eastAsia" w:ascii="宋体" w:hAnsi="宋体"/>
                <w:szCs w:val="28"/>
              </w:rPr>
            </w:pPr>
          </w:p>
        </w:tc>
        <w:tc>
          <w:tcPr>
            <w:tcW w:w="737" w:type="dxa"/>
            <w:vAlign w:val="center"/>
          </w:tcPr>
          <w:p w14:paraId="2AEAC520">
            <w:pPr>
              <w:adjustRightInd w:val="0"/>
              <w:snapToGrid w:val="0"/>
              <w:spacing w:line="360" w:lineRule="auto"/>
              <w:jc w:val="center"/>
              <w:rPr>
                <w:rFonts w:hint="eastAsia" w:ascii="宋体" w:hAnsi="宋体"/>
                <w:szCs w:val="28"/>
              </w:rPr>
            </w:pPr>
          </w:p>
        </w:tc>
        <w:tc>
          <w:tcPr>
            <w:tcW w:w="615" w:type="dxa"/>
            <w:vAlign w:val="center"/>
          </w:tcPr>
          <w:p w14:paraId="0B9933FF">
            <w:pPr>
              <w:adjustRightInd w:val="0"/>
              <w:snapToGrid w:val="0"/>
              <w:spacing w:line="360" w:lineRule="auto"/>
              <w:jc w:val="center"/>
              <w:rPr>
                <w:rFonts w:hint="eastAsia" w:ascii="宋体" w:hAnsi="宋体"/>
                <w:szCs w:val="28"/>
              </w:rPr>
            </w:pPr>
          </w:p>
        </w:tc>
        <w:tc>
          <w:tcPr>
            <w:tcW w:w="860" w:type="dxa"/>
            <w:vAlign w:val="center"/>
          </w:tcPr>
          <w:p w14:paraId="0F6C692C">
            <w:pPr>
              <w:adjustRightInd w:val="0"/>
              <w:snapToGrid w:val="0"/>
              <w:spacing w:line="360" w:lineRule="auto"/>
              <w:jc w:val="center"/>
              <w:rPr>
                <w:rFonts w:hint="eastAsia" w:ascii="宋体" w:hAnsi="宋体"/>
                <w:szCs w:val="28"/>
              </w:rPr>
            </w:pPr>
          </w:p>
        </w:tc>
        <w:tc>
          <w:tcPr>
            <w:tcW w:w="982" w:type="dxa"/>
            <w:vAlign w:val="center"/>
          </w:tcPr>
          <w:p w14:paraId="4D0B84EA">
            <w:pPr>
              <w:adjustRightInd w:val="0"/>
              <w:snapToGrid w:val="0"/>
              <w:spacing w:line="360" w:lineRule="auto"/>
              <w:jc w:val="center"/>
              <w:rPr>
                <w:rFonts w:hint="eastAsia" w:ascii="宋体" w:hAnsi="宋体"/>
                <w:szCs w:val="28"/>
              </w:rPr>
            </w:pPr>
          </w:p>
        </w:tc>
        <w:tc>
          <w:tcPr>
            <w:tcW w:w="982" w:type="dxa"/>
            <w:vAlign w:val="center"/>
          </w:tcPr>
          <w:p w14:paraId="4DF6ED3C">
            <w:pPr>
              <w:adjustRightInd w:val="0"/>
              <w:snapToGrid w:val="0"/>
              <w:spacing w:line="360" w:lineRule="auto"/>
              <w:jc w:val="center"/>
              <w:rPr>
                <w:rFonts w:hint="eastAsia" w:ascii="宋体" w:hAnsi="宋体"/>
                <w:szCs w:val="28"/>
              </w:rPr>
            </w:pPr>
          </w:p>
        </w:tc>
        <w:tc>
          <w:tcPr>
            <w:tcW w:w="860" w:type="dxa"/>
            <w:vAlign w:val="center"/>
          </w:tcPr>
          <w:p w14:paraId="14F7E3AD">
            <w:pPr>
              <w:adjustRightInd w:val="0"/>
              <w:snapToGrid w:val="0"/>
              <w:spacing w:line="360" w:lineRule="auto"/>
              <w:jc w:val="center"/>
              <w:rPr>
                <w:rFonts w:hint="eastAsia" w:ascii="宋体" w:hAnsi="宋体"/>
                <w:szCs w:val="28"/>
              </w:rPr>
            </w:pPr>
          </w:p>
        </w:tc>
        <w:tc>
          <w:tcPr>
            <w:tcW w:w="1103" w:type="dxa"/>
            <w:vAlign w:val="center"/>
          </w:tcPr>
          <w:p w14:paraId="04E62544">
            <w:pPr>
              <w:adjustRightInd w:val="0"/>
              <w:snapToGrid w:val="0"/>
              <w:spacing w:line="360" w:lineRule="auto"/>
              <w:jc w:val="center"/>
              <w:rPr>
                <w:rFonts w:hint="eastAsia" w:ascii="宋体" w:hAnsi="宋体"/>
                <w:szCs w:val="28"/>
              </w:rPr>
            </w:pPr>
          </w:p>
        </w:tc>
      </w:tr>
      <w:tr w14:paraId="7359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32CB13B5">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33BFCDF0">
            <w:pPr>
              <w:adjustRightInd w:val="0"/>
              <w:snapToGrid w:val="0"/>
              <w:spacing w:line="360" w:lineRule="auto"/>
              <w:jc w:val="center"/>
              <w:rPr>
                <w:rFonts w:hint="eastAsia" w:ascii="宋体" w:hAnsi="宋体"/>
                <w:szCs w:val="28"/>
              </w:rPr>
            </w:pPr>
          </w:p>
        </w:tc>
        <w:tc>
          <w:tcPr>
            <w:tcW w:w="1229" w:type="dxa"/>
            <w:vAlign w:val="center"/>
          </w:tcPr>
          <w:p w14:paraId="604C3917">
            <w:pPr>
              <w:adjustRightInd w:val="0"/>
              <w:snapToGrid w:val="0"/>
              <w:spacing w:line="360" w:lineRule="auto"/>
              <w:jc w:val="center"/>
              <w:rPr>
                <w:rFonts w:hint="eastAsia" w:ascii="宋体" w:hAnsi="宋体"/>
                <w:szCs w:val="28"/>
              </w:rPr>
            </w:pPr>
          </w:p>
        </w:tc>
        <w:tc>
          <w:tcPr>
            <w:tcW w:w="737" w:type="dxa"/>
            <w:vAlign w:val="center"/>
          </w:tcPr>
          <w:p w14:paraId="67371D71">
            <w:pPr>
              <w:adjustRightInd w:val="0"/>
              <w:snapToGrid w:val="0"/>
              <w:spacing w:line="360" w:lineRule="auto"/>
              <w:jc w:val="center"/>
              <w:rPr>
                <w:rFonts w:hint="eastAsia" w:ascii="宋体" w:hAnsi="宋体"/>
                <w:szCs w:val="28"/>
              </w:rPr>
            </w:pPr>
          </w:p>
        </w:tc>
        <w:tc>
          <w:tcPr>
            <w:tcW w:w="615" w:type="dxa"/>
            <w:vAlign w:val="center"/>
          </w:tcPr>
          <w:p w14:paraId="48715C14">
            <w:pPr>
              <w:adjustRightInd w:val="0"/>
              <w:snapToGrid w:val="0"/>
              <w:spacing w:line="360" w:lineRule="auto"/>
              <w:jc w:val="center"/>
              <w:rPr>
                <w:rFonts w:hint="eastAsia" w:ascii="宋体" w:hAnsi="宋体"/>
                <w:szCs w:val="28"/>
              </w:rPr>
            </w:pPr>
          </w:p>
        </w:tc>
        <w:tc>
          <w:tcPr>
            <w:tcW w:w="860" w:type="dxa"/>
            <w:vAlign w:val="center"/>
          </w:tcPr>
          <w:p w14:paraId="3FE657E9">
            <w:pPr>
              <w:adjustRightInd w:val="0"/>
              <w:snapToGrid w:val="0"/>
              <w:spacing w:line="360" w:lineRule="auto"/>
              <w:jc w:val="center"/>
              <w:rPr>
                <w:rFonts w:hint="eastAsia" w:ascii="宋体" w:hAnsi="宋体"/>
                <w:szCs w:val="28"/>
              </w:rPr>
            </w:pPr>
          </w:p>
        </w:tc>
        <w:tc>
          <w:tcPr>
            <w:tcW w:w="982" w:type="dxa"/>
            <w:vAlign w:val="center"/>
          </w:tcPr>
          <w:p w14:paraId="02C76E06">
            <w:pPr>
              <w:adjustRightInd w:val="0"/>
              <w:snapToGrid w:val="0"/>
              <w:spacing w:line="360" w:lineRule="auto"/>
              <w:jc w:val="center"/>
              <w:rPr>
                <w:rFonts w:hint="eastAsia" w:ascii="宋体" w:hAnsi="宋体"/>
                <w:szCs w:val="28"/>
              </w:rPr>
            </w:pPr>
          </w:p>
        </w:tc>
        <w:tc>
          <w:tcPr>
            <w:tcW w:w="982" w:type="dxa"/>
            <w:vAlign w:val="center"/>
          </w:tcPr>
          <w:p w14:paraId="37D490A1">
            <w:pPr>
              <w:adjustRightInd w:val="0"/>
              <w:snapToGrid w:val="0"/>
              <w:spacing w:line="360" w:lineRule="auto"/>
              <w:jc w:val="center"/>
              <w:rPr>
                <w:rFonts w:hint="eastAsia" w:ascii="宋体" w:hAnsi="宋体"/>
                <w:szCs w:val="28"/>
              </w:rPr>
            </w:pPr>
          </w:p>
        </w:tc>
        <w:tc>
          <w:tcPr>
            <w:tcW w:w="860" w:type="dxa"/>
            <w:vAlign w:val="center"/>
          </w:tcPr>
          <w:p w14:paraId="70BD5006">
            <w:pPr>
              <w:adjustRightInd w:val="0"/>
              <w:snapToGrid w:val="0"/>
              <w:spacing w:line="360" w:lineRule="auto"/>
              <w:jc w:val="center"/>
              <w:rPr>
                <w:rFonts w:hint="eastAsia" w:ascii="宋体" w:hAnsi="宋体"/>
                <w:szCs w:val="28"/>
              </w:rPr>
            </w:pPr>
          </w:p>
        </w:tc>
        <w:tc>
          <w:tcPr>
            <w:tcW w:w="1103" w:type="dxa"/>
            <w:vAlign w:val="center"/>
          </w:tcPr>
          <w:p w14:paraId="29B3D75D">
            <w:pPr>
              <w:adjustRightInd w:val="0"/>
              <w:snapToGrid w:val="0"/>
              <w:spacing w:line="360" w:lineRule="auto"/>
              <w:jc w:val="center"/>
              <w:rPr>
                <w:rFonts w:hint="eastAsia" w:ascii="宋体" w:hAnsi="宋体"/>
                <w:szCs w:val="28"/>
              </w:rPr>
            </w:pPr>
          </w:p>
        </w:tc>
      </w:tr>
      <w:tr w14:paraId="5A65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5848FAF4">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02D05177">
            <w:pPr>
              <w:adjustRightInd w:val="0"/>
              <w:snapToGrid w:val="0"/>
              <w:spacing w:line="360" w:lineRule="auto"/>
              <w:jc w:val="center"/>
              <w:rPr>
                <w:rFonts w:hint="eastAsia" w:ascii="宋体" w:hAnsi="宋体"/>
                <w:szCs w:val="28"/>
              </w:rPr>
            </w:pPr>
          </w:p>
        </w:tc>
        <w:tc>
          <w:tcPr>
            <w:tcW w:w="1229" w:type="dxa"/>
            <w:vAlign w:val="center"/>
          </w:tcPr>
          <w:p w14:paraId="0CD1E826">
            <w:pPr>
              <w:adjustRightInd w:val="0"/>
              <w:snapToGrid w:val="0"/>
              <w:spacing w:line="360" w:lineRule="auto"/>
              <w:jc w:val="center"/>
              <w:rPr>
                <w:rFonts w:hint="eastAsia" w:ascii="宋体" w:hAnsi="宋体"/>
                <w:szCs w:val="28"/>
              </w:rPr>
            </w:pPr>
          </w:p>
        </w:tc>
        <w:tc>
          <w:tcPr>
            <w:tcW w:w="737" w:type="dxa"/>
            <w:vAlign w:val="center"/>
          </w:tcPr>
          <w:p w14:paraId="6BC3A9D5">
            <w:pPr>
              <w:adjustRightInd w:val="0"/>
              <w:snapToGrid w:val="0"/>
              <w:spacing w:line="360" w:lineRule="auto"/>
              <w:jc w:val="center"/>
              <w:rPr>
                <w:rFonts w:hint="eastAsia" w:ascii="宋体" w:hAnsi="宋体"/>
                <w:szCs w:val="28"/>
              </w:rPr>
            </w:pPr>
          </w:p>
        </w:tc>
        <w:tc>
          <w:tcPr>
            <w:tcW w:w="615" w:type="dxa"/>
            <w:vAlign w:val="center"/>
          </w:tcPr>
          <w:p w14:paraId="4C5751C5">
            <w:pPr>
              <w:adjustRightInd w:val="0"/>
              <w:snapToGrid w:val="0"/>
              <w:spacing w:line="360" w:lineRule="auto"/>
              <w:jc w:val="center"/>
              <w:rPr>
                <w:rFonts w:hint="eastAsia" w:ascii="宋体" w:hAnsi="宋体"/>
                <w:szCs w:val="28"/>
              </w:rPr>
            </w:pPr>
          </w:p>
        </w:tc>
        <w:tc>
          <w:tcPr>
            <w:tcW w:w="860" w:type="dxa"/>
            <w:vAlign w:val="center"/>
          </w:tcPr>
          <w:p w14:paraId="4CE8D7CB">
            <w:pPr>
              <w:adjustRightInd w:val="0"/>
              <w:snapToGrid w:val="0"/>
              <w:spacing w:line="360" w:lineRule="auto"/>
              <w:jc w:val="center"/>
              <w:rPr>
                <w:rFonts w:hint="eastAsia" w:ascii="宋体" w:hAnsi="宋体"/>
                <w:szCs w:val="28"/>
              </w:rPr>
            </w:pPr>
          </w:p>
        </w:tc>
        <w:tc>
          <w:tcPr>
            <w:tcW w:w="982" w:type="dxa"/>
            <w:vAlign w:val="center"/>
          </w:tcPr>
          <w:p w14:paraId="1BAB6FCC">
            <w:pPr>
              <w:adjustRightInd w:val="0"/>
              <w:snapToGrid w:val="0"/>
              <w:spacing w:line="360" w:lineRule="auto"/>
              <w:jc w:val="center"/>
              <w:rPr>
                <w:rFonts w:hint="eastAsia" w:ascii="宋体" w:hAnsi="宋体"/>
                <w:szCs w:val="28"/>
              </w:rPr>
            </w:pPr>
          </w:p>
        </w:tc>
        <w:tc>
          <w:tcPr>
            <w:tcW w:w="982" w:type="dxa"/>
            <w:vAlign w:val="center"/>
          </w:tcPr>
          <w:p w14:paraId="1AECB1EA">
            <w:pPr>
              <w:adjustRightInd w:val="0"/>
              <w:snapToGrid w:val="0"/>
              <w:spacing w:line="360" w:lineRule="auto"/>
              <w:jc w:val="center"/>
              <w:rPr>
                <w:rFonts w:hint="eastAsia" w:ascii="宋体" w:hAnsi="宋体"/>
                <w:szCs w:val="28"/>
              </w:rPr>
            </w:pPr>
          </w:p>
        </w:tc>
        <w:tc>
          <w:tcPr>
            <w:tcW w:w="860" w:type="dxa"/>
            <w:vAlign w:val="center"/>
          </w:tcPr>
          <w:p w14:paraId="05721875">
            <w:pPr>
              <w:adjustRightInd w:val="0"/>
              <w:snapToGrid w:val="0"/>
              <w:spacing w:line="360" w:lineRule="auto"/>
              <w:jc w:val="center"/>
              <w:rPr>
                <w:rFonts w:hint="eastAsia" w:ascii="宋体" w:hAnsi="宋体"/>
                <w:szCs w:val="28"/>
              </w:rPr>
            </w:pPr>
          </w:p>
        </w:tc>
        <w:tc>
          <w:tcPr>
            <w:tcW w:w="1103" w:type="dxa"/>
            <w:vAlign w:val="center"/>
          </w:tcPr>
          <w:p w14:paraId="0520E7B2">
            <w:pPr>
              <w:adjustRightInd w:val="0"/>
              <w:snapToGrid w:val="0"/>
              <w:spacing w:line="360" w:lineRule="auto"/>
              <w:jc w:val="center"/>
              <w:rPr>
                <w:rFonts w:hint="eastAsia" w:ascii="宋体" w:hAnsi="宋体"/>
                <w:szCs w:val="28"/>
              </w:rPr>
            </w:pPr>
          </w:p>
        </w:tc>
      </w:tr>
      <w:tr w14:paraId="5C9F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AFD95E0">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6D6BB63F">
            <w:pPr>
              <w:adjustRightInd w:val="0"/>
              <w:snapToGrid w:val="0"/>
              <w:spacing w:line="360" w:lineRule="auto"/>
              <w:jc w:val="center"/>
              <w:rPr>
                <w:rFonts w:hint="eastAsia" w:ascii="宋体" w:hAnsi="宋体"/>
                <w:szCs w:val="28"/>
              </w:rPr>
            </w:pPr>
          </w:p>
        </w:tc>
        <w:tc>
          <w:tcPr>
            <w:tcW w:w="1229" w:type="dxa"/>
            <w:vAlign w:val="center"/>
          </w:tcPr>
          <w:p w14:paraId="583B8319">
            <w:pPr>
              <w:adjustRightInd w:val="0"/>
              <w:snapToGrid w:val="0"/>
              <w:spacing w:line="360" w:lineRule="auto"/>
              <w:jc w:val="center"/>
              <w:rPr>
                <w:rFonts w:hint="eastAsia" w:ascii="宋体" w:hAnsi="宋体"/>
                <w:szCs w:val="28"/>
              </w:rPr>
            </w:pPr>
          </w:p>
        </w:tc>
        <w:tc>
          <w:tcPr>
            <w:tcW w:w="737" w:type="dxa"/>
            <w:vAlign w:val="center"/>
          </w:tcPr>
          <w:p w14:paraId="7E214BCA">
            <w:pPr>
              <w:adjustRightInd w:val="0"/>
              <w:snapToGrid w:val="0"/>
              <w:spacing w:line="360" w:lineRule="auto"/>
              <w:jc w:val="center"/>
              <w:rPr>
                <w:rFonts w:hint="eastAsia" w:ascii="宋体" w:hAnsi="宋体"/>
                <w:szCs w:val="28"/>
              </w:rPr>
            </w:pPr>
          </w:p>
        </w:tc>
        <w:tc>
          <w:tcPr>
            <w:tcW w:w="615" w:type="dxa"/>
            <w:vAlign w:val="center"/>
          </w:tcPr>
          <w:p w14:paraId="5E65924C">
            <w:pPr>
              <w:adjustRightInd w:val="0"/>
              <w:snapToGrid w:val="0"/>
              <w:spacing w:line="360" w:lineRule="auto"/>
              <w:jc w:val="center"/>
              <w:rPr>
                <w:rFonts w:hint="eastAsia" w:ascii="宋体" w:hAnsi="宋体"/>
                <w:szCs w:val="28"/>
              </w:rPr>
            </w:pPr>
          </w:p>
        </w:tc>
        <w:tc>
          <w:tcPr>
            <w:tcW w:w="860" w:type="dxa"/>
            <w:vAlign w:val="center"/>
          </w:tcPr>
          <w:p w14:paraId="79AA48A5">
            <w:pPr>
              <w:adjustRightInd w:val="0"/>
              <w:snapToGrid w:val="0"/>
              <w:spacing w:line="360" w:lineRule="auto"/>
              <w:jc w:val="center"/>
              <w:rPr>
                <w:rFonts w:hint="eastAsia" w:ascii="宋体" w:hAnsi="宋体"/>
                <w:szCs w:val="28"/>
              </w:rPr>
            </w:pPr>
          </w:p>
        </w:tc>
        <w:tc>
          <w:tcPr>
            <w:tcW w:w="982" w:type="dxa"/>
            <w:vAlign w:val="center"/>
          </w:tcPr>
          <w:p w14:paraId="14B1D662">
            <w:pPr>
              <w:adjustRightInd w:val="0"/>
              <w:snapToGrid w:val="0"/>
              <w:spacing w:line="360" w:lineRule="auto"/>
              <w:jc w:val="center"/>
              <w:rPr>
                <w:rFonts w:hint="eastAsia" w:ascii="宋体" w:hAnsi="宋体"/>
                <w:szCs w:val="28"/>
              </w:rPr>
            </w:pPr>
          </w:p>
        </w:tc>
        <w:tc>
          <w:tcPr>
            <w:tcW w:w="982" w:type="dxa"/>
            <w:vAlign w:val="center"/>
          </w:tcPr>
          <w:p w14:paraId="057A2B92">
            <w:pPr>
              <w:adjustRightInd w:val="0"/>
              <w:snapToGrid w:val="0"/>
              <w:spacing w:line="360" w:lineRule="auto"/>
              <w:jc w:val="center"/>
              <w:rPr>
                <w:rFonts w:hint="eastAsia" w:ascii="宋体" w:hAnsi="宋体"/>
                <w:szCs w:val="28"/>
              </w:rPr>
            </w:pPr>
          </w:p>
        </w:tc>
        <w:tc>
          <w:tcPr>
            <w:tcW w:w="860" w:type="dxa"/>
            <w:vAlign w:val="center"/>
          </w:tcPr>
          <w:p w14:paraId="3AE63BD5">
            <w:pPr>
              <w:adjustRightInd w:val="0"/>
              <w:snapToGrid w:val="0"/>
              <w:spacing w:line="360" w:lineRule="auto"/>
              <w:jc w:val="center"/>
              <w:rPr>
                <w:rFonts w:hint="eastAsia" w:ascii="宋体" w:hAnsi="宋体"/>
                <w:szCs w:val="28"/>
              </w:rPr>
            </w:pPr>
          </w:p>
        </w:tc>
        <w:tc>
          <w:tcPr>
            <w:tcW w:w="1103" w:type="dxa"/>
            <w:vAlign w:val="center"/>
          </w:tcPr>
          <w:p w14:paraId="2D923245">
            <w:pPr>
              <w:adjustRightInd w:val="0"/>
              <w:snapToGrid w:val="0"/>
              <w:spacing w:line="360" w:lineRule="auto"/>
              <w:jc w:val="center"/>
              <w:rPr>
                <w:rFonts w:hint="eastAsia" w:ascii="宋体" w:hAnsi="宋体"/>
                <w:szCs w:val="28"/>
              </w:rPr>
            </w:pPr>
          </w:p>
        </w:tc>
      </w:tr>
      <w:tr w14:paraId="5E76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68CE23AF">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473BDB6C">
            <w:pPr>
              <w:adjustRightInd w:val="0"/>
              <w:snapToGrid w:val="0"/>
              <w:spacing w:line="360" w:lineRule="auto"/>
              <w:jc w:val="center"/>
              <w:rPr>
                <w:rFonts w:hint="eastAsia" w:ascii="宋体" w:hAnsi="宋体"/>
                <w:szCs w:val="28"/>
              </w:rPr>
            </w:pPr>
          </w:p>
        </w:tc>
        <w:tc>
          <w:tcPr>
            <w:tcW w:w="1229" w:type="dxa"/>
            <w:vAlign w:val="center"/>
          </w:tcPr>
          <w:p w14:paraId="5E5D98D2">
            <w:pPr>
              <w:adjustRightInd w:val="0"/>
              <w:snapToGrid w:val="0"/>
              <w:spacing w:line="360" w:lineRule="auto"/>
              <w:jc w:val="center"/>
              <w:rPr>
                <w:rFonts w:hint="eastAsia" w:ascii="宋体" w:hAnsi="宋体"/>
                <w:szCs w:val="28"/>
              </w:rPr>
            </w:pPr>
          </w:p>
        </w:tc>
        <w:tc>
          <w:tcPr>
            <w:tcW w:w="737" w:type="dxa"/>
            <w:vAlign w:val="center"/>
          </w:tcPr>
          <w:p w14:paraId="47BCA148">
            <w:pPr>
              <w:adjustRightInd w:val="0"/>
              <w:snapToGrid w:val="0"/>
              <w:spacing w:line="360" w:lineRule="auto"/>
              <w:jc w:val="center"/>
              <w:rPr>
                <w:rFonts w:hint="eastAsia" w:ascii="宋体" w:hAnsi="宋体"/>
                <w:szCs w:val="28"/>
              </w:rPr>
            </w:pPr>
          </w:p>
        </w:tc>
        <w:tc>
          <w:tcPr>
            <w:tcW w:w="615" w:type="dxa"/>
            <w:vAlign w:val="center"/>
          </w:tcPr>
          <w:p w14:paraId="2A841DB3">
            <w:pPr>
              <w:adjustRightInd w:val="0"/>
              <w:snapToGrid w:val="0"/>
              <w:spacing w:line="360" w:lineRule="auto"/>
              <w:jc w:val="center"/>
              <w:rPr>
                <w:rFonts w:hint="eastAsia" w:ascii="宋体" w:hAnsi="宋体"/>
                <w:szCs w:val="28"/>
              </w:rPr>
            </w:pPr>
          </w:p>
        </w:tc>
        <w:tc>
          <w:tcPr>
            <w:tcW w:w="860" w:type="dxa"/>
            <w:vAlign w:val="center"/>
          </w:tcPr>
          <w:p w14:paraId="29742E00">
            <w:pPr>
              <w:adjustRightInd w:val="0"/>
              <w:snapToGrid w:val="0"/>
              <w:spacing w:line="360" w:lineRule="auto"/>
              <w:jc w:val="center"/>
              <w:rPr>
                <w:rFonts w:hint="eastAsia" w:ascii="宋体" w:hAnsi="宋体"/>
                <w:szCs w:val="28"/>
              </w:rPr>
            </w:pPr>
          </w:p>
        </w:tc>
        <w:tc>
          <w:tcPr>
            <w:tcW w:w="982" w:type="dxa"/>
            <w:vAlign w:val="center"/>
          </w:tcPr>
          <w:p w14:paraId="691584E6">
            <w:pPr>
              <w:adjustRightInd w:val="0"/>
              <w:snapToGrid w:val="0"/>
              <w:spacing w:line="360" w:lineRule="auto"/>
              <w:jc w:val="center"/>
              <w:rPr>
                <w:rFonts w:hint="eastAsia" w:ascii="宋体" w:hAnsi="宋体"/>
                <w:szCs w:val="28"/>
              </w:rPr>
            </w:pPr>
          </w:p>
        </w:tc>
        <w:tc>
          <w:tcPr>
            <w:tcW w:w="982" w:type="dxa"/>
            <w:vAlign w:val="center"/>
          </w:tcPr>
          <w:p w14:paraId="79984FA8">
            <w:pPr>
              <w:adjustRightInd w:val="0"/>
              <w:snapToGrid w:val="0"/>
              <w:spacing w:line="360" w:lineRule="auto"/>
              <w:jc w:val="center"/>
              <w:rPr>
                <w:rFonts w:hint="eastAsia" w:ascii="宋体" w:hAnsi="宋体"/>
                <w:szCs w:val="28"/>
              </w:rPr>
            </w:pPr>
          </w:p>
        </w:tc>
        <w:tc>
          <w:tcPr>
            <w:tcW w:w="860" w:type="dxa"/>
            <w:vAlign w:val="center"/>
          </w:tcPr>
          <w:p w14:paraId="6334D3A5">
            <w:pPr>
              <w:adjustRightInd w:val="0"/>
              <w:snapToGrid w:val="0"/>
              <w:spacing w:line="360" w:lineRule="auto"/>
              <w:jc w:val="center"/>
              <w:rPr>
                <w:rFonts w:hint="eastAsia" w:ascii="宋体" w:hAnsi="宋体"/>
                <w:szCs w:val="28"/>
              </w:rPr>
            </w:pPr>
          </w:p>
        </w:tc>
        <w:tc>
          <w:tcPr>
            <w:tcW w:w="1103" w:type="dxa"/>
            <w:vAlign w:val="center"/>
          </w:tcPr>
          <w:p w14:paraId="7CA84544">
            <w:pPr>
              <w:adjustRightInd w:val="0"/>
              <w:snapToGrid w:val="0"/>
              <w:spacing w:line="360" w:lineRule="auto"/>
              <w:jc w:val="center"/>
              <w:rPr>
                <w:rFonts w:hint="eastAsia" w:ascii="宋体" w:hAnsi="宋体"/>
                <w:szCs w:val="28"/>
              </w:rPr>
            </w:pPr>
          </w:p>
        </w:tc>
      </w:tr>
      <w:tr w14:paraId="0FDA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B0A44BF">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53FC3DA2">
            <w:pPr>
              <w:adjustRightInd w:val="0"/>
              <w:snapToGrid w:val="0"/>
              <w:spacing w:line="360" w:lineRule="auto"/>
              <w:jc w:val="center"/>
              <w:rPr>
                <w:rFonts w:hint="eastAsia" w:ascii="宋体" w:hAnsi="宋体"/>
                <w:szCs w:val="28"/>
              </w:rPr>
            </w:pPr>
          </w:p>
        </w:tc>
        <w:tc>
          <w:tcPr>
            <w:tcW w:w="1229" w:type="dxa"/>
            <w:vAlign w:val="center"/>
          </w:tcPr>
          <w:p w14:paraId="0ED55F93">
            <w:pPr>
              <w:adjustRightInd w:val="0"/>
              <w:snapToGrid w:val="0"/>
              <w:spacing w:line="360" w:lineRule="auto"/>
              <w:jc w:val="center"/>
              <w:rPr>
                <w:rFonts w:hint="eastAsia" w:ascii="宋体" w:hAnsi="宋体"/>
                <w:szCs w:val="28"/>
              </w:rPr>
            </w:pPr>
          </w:p>
        </w:tc>
        <w:tc>
          <w:tcPr>
            <w:tcW w:w="737" w:type="dxa"/>
            <w:vAlign w:val="center"/>
          </w:tcPr>
          <w:p w14:paraId="2AC03736">
            <w:pPr>
              <w:adjustRightInd w:val="0"/>
              <w:snapToGrid w:val="0"/>
              <w:spacing w:line="360" w:lineRule="auto"/>
              <w:jc w:val="center"/>
              <w:rPr>
                <w:rFonts w:hint="eastAsia" w:ascii="宋体" w:hAnsi="宋体"/>
                <w:szCs w:val="28"/>
              </w:rPr>
            </w:pPr>
          </w:p>
        </w:tc>
        <w:tc>
          <w:tcPr>
            <w:tcW w:w="615" w:type="dxa"/>
            <w:vAlign w:val="center"/>
          </w:tcPr>
          <w:p w14:paraId="2B12DDEC">
            <w:pPr>
              <w:adjustRightInd w:val="0"/>
              <w:snapToGrid w:val="0"/>
              <w:spacing w:line="360" w:lineRule="auto"/>
              <w:jc w:val="center"/>
              <w:rPr>
                <w:rFonts w:hint="eastAsia" w:ascii="宋体" w:hAnsi="宋体"/>
                <w:szCs w:val="28"/>
              </w:rPr>
            </w:pPr>
          </w:p>
        </w:tc>
        <w:tc>
          <w:tcPr>
            <w:tcW w:w="860" w:type="dxa"/>
            <w:vAlign w:val="center"/>
          </w:tcPr>
          <w:p w14:paraId="0DD86F45">
            <w:pPr>
              <w:adjustRightInd w:val="0"/>
              <w:snapToGrid w:val="0"/>
              <w:spacing w:line="360" w:lineRule="auto"/>
              <w:jc w:val="center"/>
              <w:rPr>
                <w:rFonts w:hint="eastAsia" w:ascii="宋体" w:hAnsi="宋体"/>
                <w:szCs w:val="28"/>
              </w:rPr>
            </w:pPr>
          </w:p>
        </w:tc>
        <w:tc>
          <w:tcPr>
            <w:tcW w:w="982" w:type="dxa"/>
            <w:vAlign w:val="center"/>
          </w:tcPr>
          <w:p w14:paraId="433156F3">
            <w:pPr>
              <w:adjustRightInd w:val="0"/>
              <w:snapToGrid w:val="0"/>
              <w:spacing w:line="360" w:lineRule="auto"/>
              <w:jc w:val="center"/>
              <w:rPr>
                <w:rFonts w:hint="eastAsia" w:ascii="宋体" w:hAnsi="宋体"/>
                <w:szCs w:val="28"/>
              </w:rPr>
            </w:pPr>
          </w:p>
        </w:tc>
        <w:tc>
          <w:tcPr>
            <w:tcW w:w="982" w:type="dxa"/>
            <w:vAlign w:val="center"/>
          </w:tcPr>
          <w:p w14:paraId="56E17A8C">
            <w:pPr>
              <w:adjustRightInd w:val="0"/>
              <w:snapToGrid w:val="0"/>
              <w:spacing w:line="360" w:lineRule="auto"/>
              <w:jc w:val="center"/>
              <w:rPr>
                <w:rFonts w:hint="eastAsia" w:ascii="宋体" w:hAnsi="宋体"/>
                <w:szCs w:val="28"/>
              </w:rPr>
            </w:pPr>
          </w:p>
        </w:tc>
        <w:tc>
          <w:tcPr>
            <w:tcW w:w="860" w:type="dxa"/>
            <w:vAlign w:val="center"/>
          </w:tcPr>
          <w:p w14:paraId="232737A2">
            <w:pPr>
              <w:adjustRightInd w:val="0"/>
              <w:snapToGrid w:val="0"/>
              <w:spacing w:line="360" w:lineRule="auto"/>
              <w:jc w:val="center"/>
              <w:rPr>
                <w:rFonts w:hint="eastAsia" w:ascii="宋体" w:hAnsi="宋体"/>
                <w:szCs w:val="28"/>
              </w:rPr>
            </w:pPr>
          </w:p>
        </w:tc>
        <w:tc>
          <w:tcPr>
            <w:tcW w:w="1103" w:type="dxa"/>
            <w:vAlign w:val="center"/>
          </w:tcPr>
          <w:p w14:paraId="328E1579">
            <w:pPr>
              <w:adjustRightInd w:val="0"/>
              <w:snapToGrid w:val="0"/>
              <w:spacing w:line="360" w:lineRule="auto"/>
              <w:jc w:val="center"/>
              <w:rPr>
                <w:rFonts w:hint="eastAsia" w:ascii="宋体" w:hAnsi="宋体"/>
                <w:szCs w:val="28"/>
              </w:rPr>
            </w:pPr>
          </w:p>
        </w:tc>
      </w:tr>
      <w:tr w14:paraId="77AF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4F14A2EC">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65BB0D3A">
            <w:pPr>
              <w:adjustRightInd w:val="0"/>
              <w:snapToGrid w:val="0"/>
              <w:spacing w:line="360" w:lineRule="auto"/>
              <w:jc w:val="center"/>
              <w:rPr>
                <w:rFonts w:hint="eastAsia" w:ascii="宋体" w:hAnsi="宋体"/>
                <w:szCs w:val="28"/>
              </w:rPr>
            </w:pPr>
          </w:p>
        </w:tc>
        <w:tc>
          <w:tcPr>
            <w:tcW w:w="1229" w:type="dxa"/>
            <w:vAlign w:val="center"/>
          </w:tcPr>
          <w:p w14:paraId="53F74D93">
            <w:pPr>
              <w:adjustRightInd w:val="0"/>
              <w:snapToGrid w:val="0"/>
              <w:spacing w:line="360" w:lineRule="auto"/>
              <w:jc w:val="center"/>
              <w:rPr>
                <w:rFonts w:hint="eastAsia" w:ascii="宋体" w:hAnsi="宋体"/>
                <w:szCs w:val="28"/>
              </w:rPr>
            </w:pPr>
          </w:p>
        </w:tc>
        <w:tc>
          <w:tcPr>
            <w:tcW w:w="737" w:type="dxa"/>
            <w:vAlign w:val="center"/>
          </w:tcPr>
          <w:p w14:paraId="5167E2A2">
            <w:pPr>
              <w:adjustRightInd w:val="0"/>
              <w:snapToGrid w:val="0"/>
              <w:spacing w:line="360" w:lineRule="auto"/>
              <w:jc w:val="center"/>
              <w:rPr>
                <w:rFonts w:hint="eastAsia" w:ascii="宋体" w:hAnsi="宋体"/>
                <w:szCs w:val="28"/>
              </w:rPr>
            </w:pPr>
          </w:p>
        </w:tc>
        <w:tc>
          <w:tcPr>
            <w:tcW w:w="615" w:type="dxa"/>
            <w:vAlign w:val="center"/>
          </w:tcPr>
          <w:p w14:paraId="196E3FB7">
            <w:pPr>
              <w:adjustRightInd w:val="0"/>
              <w:snapToGrid w:val="0"/>
              <w:spacing w:line="360" w:lineRule="auto"/>
              <w:jc w:val="center"/>
              <w:rPr>
                <w:rFonts w:hint="eastAsia" w:ascii="宋体" w:hAnsi="宋体"/>
                <w:szCs w:val="28"/>
              </w:rPr>
            </w:pPr>
          </w:p>
        </w:tc>
        <w:tc>
          <w:tcPr>
            <w:tcW w:w="860" w:type="dxa"/>
            <w:vAlign w:val="center"/>
          </w:tcPr>
          <w:p w14:paraId="358F014F">
            <w:pPr>
              <w:adjustRightInd w:val="0"/>
              <w:snapToGrid w:val="0"/>
              <w:spacing w:line="360" w:lineRule="auto"/>
              <w:jc w:val="center"/>
              <w:rPr>
                <w:rFonts w:hint="eastAsia" w:ascii="宋体" w:hAnsi="宋体"/>
                <w:szCs w:val="28"/>
              </w:rPr>
            </w:pPr>
          </w:p>
        </w:tc>
        <w:tc>
          <w:tcPr>
            <w:tcW w:w="982" w:type="dxa"/>
            <w:vAlign w:val="center"/>
          </w:tcPr>
          <w:p w14:paraId="4A320585">
            <w:pPr>
              <w:adjustRightInd w:val="0"/>
              <w:snapToGrid w:val="0"/>
              <w:spacing w:line="360" w:lineRule="auto"/>
              <w:jc w:val="center"/>
              <w:rPr>
                <w:rFonts w:hint="eastAsia" w:ascii="宋体" w:hAnsi="宋体"/>
                <w:szCs w:val="28"/>
              </w:rPr>
            </w:pPr>
          </w:p>
        </w:tc>
        <w:tc>
          <w:tcPr>
            <w:tcW w:w="982" w:type="dxa"/>
            <w:vAlign w:val="center"/>
          </w:tcPr>
          <w:p w14:paraId="7C0AA6A4">
            <w:pPr>
              <w:adjustRightInd w:val="0"/>
              <w:snapToGrid w:val="0"/>
              <w:spacing w:line="360" w:lineRule="auto"/>
              <w:jc w:val="center"/>
              <w:rPr>
                <w:rFonts w:hint="eastAsia" w:ascii="宋体" w:hAnsi="宋体"/>
                <w:szCs w:val="28"/>
              </w:rPr>
            </w:pPr>
          </w:p>
        </w:tc>
        <w:tc>
          <w:tcPr>
            <w:tcW w:w="860" w:type="dxa"/>
            <w:vAlign w:val="center"/>
          </w:tcPr>
          <w:p w14:paraId="3FA7CDED">
            <w:pPr>
              <w:adjustRightInd w:val="0"/>
              <w:snapToGrid w:val="0"/>
              <w:spacing w:line="360" w:lineRule="auto"/>
              <w:jc w:val="center"/>
              <w:rPr>
                <w:rFonts w:hint="eastAsia" w:ascii="宋体" w:hAnsi="宋体"/>
                <w:szCs w:val="28"/>
              </w:rPr>
            </w:pPr>
          </w:p>
        </w:tc>
        <w:tc>
          <w:tcPr>
            <w:tcW w:w="1103" w:type="dxa"/>
            <w:vAlign w:val="center"/>
          </w:tcPr>
          <w:p w14:paraId="2393C9C0">
            <w:pPr>
              <w:adjustRightInd w:val="0"/>
              <w:snapToGrid w:val="0"/>
              <w:spacing w:line="360" w:lineRule="auto"/>
              <w:jc w:val="center"/>
              <w:rPr>
                <w:rFonts w:hint="eastAsia" w:ascii="宋体" w:hAnsi="宋体"/>
                <w:szCs w:val="28"/>
              </w:rPr>
            </w:pPr>
          </w:p>
        </w:tc>
      </w:tr>
      <w:tr w14:paraId="583C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273EB28E">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2B54CAAD">
            <w:pPr>
              <w:adjustRightInd w:val="0"/>
              <w:snapToGrid w:val="0"/>
              <w:spacing w:line="360" w:lineRule="auto"/>
              <w:jc w:val="center"/>
              <w:rPr>
                <w:rFonts w:hint="eastAsia" w:ascii="宋体" w:hAnsi="宋体"/>
                <w:szCs w:val="28"/>
              </w:rPr>
            </w:pPr>
          </w:p>
        </w:tc>
        <w:tc>
          <w:tcPr>
            <w:tcW w:w="1229" w:type="dxa"/>
            <w:vAlign w:val="center"/>
          </w:tcPr>
          <w:p w14:paraId="6EF0278F">
            <w:pPr>
              <w:adjustRightInd w:val="0"/>
              <w:snapToGrid w:val="0"/>
              <w:spacing w:line="360" w:lineRule="auto"/>
              <w:jc w:val="center"/>
              <w:rPr>
                <w:rFonts w:hint="eastAsia" w:ascii="宋体" w:hAnsi="宋体"/>
                <w:szCs w:val="28"/>
              </w:rPr>
            </w:pPr>
          </w:p>
        </w:tc>
        <w:tc>
          <w:tcPr>
            <w:tcW w:w="737" w:type="dxa"/>
            <w:vAlign w:val="center"/>
          </w:tcPr>
          <w:p w14:paraId="0E2A9B8D">
            <w:pPr>
              <w:adjustRightInd w:val="0"/>
              <w:snapToGrid w:val="0"/>
              <w:spacing w:line="360" w:lineRule="auto"/>
              <w:jc w:val="center"/>
              <w:rPr>
                <w:rFonts w:hint="eastAsia" w:ascii="宋体" w:hAnsi="宋体"/>
                <w:szCs w:val="28"/>
              </w:rPr>
            </w:pPr>
          </w:p>
        </w:tc>
        <w:tc>
          <w:tcPr>
            <w:tcW w:w="615" w:type="dxa"/>
            <w:vAlign w:val="center"/>
          </w:tcPr>
          <w:p w14:paraId="139E3AC8">
            <w:pPr>
              <w:adjustRightInd w:val="0"/>
              <w:snapToGrid w:val="0"/>
              <w:spacing w:line="360" w:lineRule="auto"/>
              <w:jc w:val="center"/>
              <w:rPr>
                <w:rFonts w:hint="eastAsia" w:ascii="宋体" w:hAnsi="宋体"/>
                <w:szCs w:val="28"/>
              </w:rPr>
            </w:pPr>
          </w:p>
        </w:tc>
        <w:tc>
          <w:tcPr>
            <w:tcW w:w="860" w:type="dxa"/>
            <w:vAlign w:val="center"/>
          </w:tcPr>
          <w:p w14:paraId="3841B3DE">
            <w:pPr>
              <w:adjustRightInd w:val="0"/>
              <w:snapToGrid w:val="0"/>
              <w:spacing w:line="360" w:lineRule="auto"/>
              <w:jc w:val="center"/>
              <w:rPr>
                <w:rFonts w:hint="eastAsia" w:ascii="宋体" w:hAnsi="宋体"/>
                <w:szCs w:val="28"/>
              </w:rPr>
            </w:pPr>
          </w:p>
        </w:tc>
        <w:tc>
          <w:tcPr>
            <w:tcW w:w="982" w:type="dxa"/>
            <w:vAlign w:val="center"/>
          </w:tcPr>
          <w:p w14:paraId="4B9E21BE">
            <w:pPr>
              <w:adjustRightInd w:val="0"/>
              <w:snapToGrid w:val="0"/>
              <w:spacing w:line="360" w:lineRule="auto"/>
              <w:jc w:val="center"/>
              <w:rPr>
                <w:rFonts w:hint="eastAsia" w:ascii="宋体" w:hAnsi="宋体"/>
                <w:szCs w:val="28"/>
              </w:rPr>
            </w:pPr>
          </w:p>
        </w:tc>
        <w:tc>
          <w:tcPr>
            <w:tcW w:w="982" w:type="dxa"/>
            <w:vAlign w:val="center"/>
          </w:tcPr>
          <w:p w14:paraId="0C81448D">
            <w:pPr>
              <w:adjustRightInd w:val="0"/>
              <w:snapToGrid w:val="0"/>
              <w:spacing w:line="360" w:lineRule="auto"/>
              <w:jc w:val="center"/>
              <w:rPr>
                <w:rFonts w:hint="eastAsia" w:ascii="宋体" w:hAnsi="宋体"/>
                <w:szCs w:val="28"/>
              </w:rPr>
            </w:pPr>
          </w:p>
        </w:tc>
        <w:tc>
          <w:tcPr>
            <w:tcW w:w="860" w:type="dxa"/>
            <w:vAlign w:val="center"/>
          </w:tcPr>
          <w:p w14:paraId="562F967C">
            <w:pPr>
              <w:adjustRightInd w:val="0"/>
              <w:snapToGrid w:val="0"/>
              <w:spacing w:line="360" w:lineRule="auto"/>
              <w:jc w:val="center"/>
              <w:rPr>
                <w:rFonts w:hint="eastAsia" w:ascii="宋体" w:hAnsi="宋体"/>
                <w:szCs w:val="28"/>
              </w:rPr>
            </w:pPr>
          </w:p>
        </w:tc>
        <w:tc>
          <w:tcPr>
            <w:tcW w:w="1103" w:type="dxa"/>
            <w:vAlign w:val="center"/>
          </w:tcPr>
          <w:p w14:paraId="7AACF4E6">
            <w:pPr>
              <w:adjustRightInd w:val="0"/>
              <w:snapToGrid w:val="0"/>
              <w:spacing w:line="360" w:lineRule="auto"/>
              <w:jc w:val="center"/>
              <w:rPr>
                <w:rFonts w:hint="eastAsia" w:ascii="宋体" w:hAnsi="宋体"/>
                <w:szCs w:val="28"/>
              </w:rPr>
            </w:pPr>
          </w:p>
        </w:tc>
      </w:tr>
      <w:tr w14:paraId="6BCF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1649647C">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18A0999A">
            <w:pPr>
              <w:adjustRightInd w:val="0"/>
              <w:snapToGrid w:val="0"/>
              <w:spacing w:line="360" w:lineRule="auto"/>
              <w:jc w:val="center"/>
              <w:rPr>
                <w:rFonts w:hint="eastAsia" w:ascii="宋体" w:hAnsi="宋体"/>
                <w:szCs w:val="28"/>
              </w:rPr>
            </w:pPr>
          </w:p>
        </w:tc>
        <w:tc>
          <w:tcPr>
            <w:tcW w:w="1229" w:type="dxa"/>
            <w:vAlign w:val="center"/>
          </w:tcPr>
          <w:p w14:paraId="64317765">
            <w:pPr>
              <w:adjustRightInd w:val="0"/>
              <w:snapToGrid w:val="0"/>
              <w:spacing w:line="360" w:lineRule="auto"/>
              <w:jc w:val="center"/>
              <w:rPr>
                <w:rFonts w:hint="eastAsia" w:ascii="宋体" w:hAnsi="宋体"/>
                <w:szCs w:val="28"/>
              </w:rPr>
            </w:pPr>
          </w:p>
        </w:tc>
        <w:tc>
          <w:tcPr>
            <w:tcW w:w="737" w:type="dxa"/>
            <w:vAlign w:val="center"/>
          </w:tcPr>
          <w:p w14:paraId="58BE3E59">
            <w:pPr>
              <w:adjustRightInd w:val="0"/>
              <w:snapToGrid w:val="0"/>
              <w:spacing w:line="360" w:lineRule="auto"/>
              <w:jc w:val="center"/>
              <w:rPr>
                <w:rFonts w:hint="eastAsia" w:ascii="宋体" w:hAnsi="宋体"/>
                <w:szCs w:val="28"/>
              </w:rPr>
            </w:pPr>
          </w:p>
        </w:tc>
        <w:tc>
          <w:tcPr>
            <w:tcW w:w="615" w:type="dxa"/>
            <w:vAlign w:val="center"/>
          </w:tcPr>
          <w:p w14:paraId="156AC250">
            <w:pPr>
              <w:adjustRightInd w:val="0"/>
              <w:snapToGrid w:val="0"/>
              <w:spacing w:line="360" w:lineRule="auto"/>
              <w:jc w:val="center"/>
              <w:rPr>
                <w:rFonts w:hint="eastAsia" w:ascii="宋体" w:hAnsi="宋体"/>
                <w:szCs w:val="28"/>
              </w:rPr>
            </w:pPr>
          </w:p>
        </w:tc>
        <w:tc>
          <w:tcPr>
            <w:tcW w:w="860" w:type="dxa"/>
            <w:vAlign w:val="center"/>
          </w:tcPr>
          <w:p w14:paraId="3BAD32B5">
            <w:pPr>
              <w:adjustRightInd w:val="0"/>
              <w:snapToGrid w:val="0"/>
              <w:spacing w:line="360" w:lineRule="auto"/>
              <w:jc w:val="center"/>
              <w:rPr>
                <w:rFonts w:hint="eastAsia" w:ascii="宋体" w:hAnsi="宋体"/>
                <w:szCs w:val="28"/>
              </w:rPr>
            </w:pPr>
          </w:p>
        </w:tc>
        <w:tc>
          <w:tcPr>
            <w:tcW w:w="982" w:type="dxa"/>
            <w:vAlign w:val="center"/>
          </w:tcPr>
          <w:p w14:paraId="7E7F13B4">
            <w:pPr>
              <w:adjustRightInd w:val="0"/>
              <w:snapToGrid w:val="0"/>
              <w:spacing w:line="360" w:lineRule="auto"/>
              <w:jc w:val="center"/>
              <w:rPr>
                <w:rFonts w:hint="eastAsia" w:ascii="宋体" w:hAnsi="宋体"/>
                <w:szCs w:val="28"/>
              </w:rPr>
            </w:pPr>
          </w:p>
        </w:tc>
        <w:tc>
          <w:tcPr>
            <w:tcW w:w="982" w:type="dxa"/>
            <w:vAlign w:val="center"/>
          </w:tcPr>
          <w:p w14:paraId="6C23EB4E">
            <w:pPr>
              <w:adjustRightInd w:val="0"/>
              <w:snapToGrid w:val="0"/>
              <w:spacing w:line="360" w:lineRule="auto"/>
              <w:jc w:val="center"/>
              <w:rPr>
                <w:rFonts w:hint="eastAsia" w:ascii="宋体" w:hAnsi="宋体"/>
                <w:szCs w:val="28"/>
              </w:rPr>
            </w:pPr>
          </w:p>
        </w:tc>
        <w:tc>
          <w:tcPr>
            <w:tcW w:w="860" w:type="dxa"/>
            <w:vAlign w:val="center"/>
          </w:tcPr>
          <w:p w14:paraId="3907068C">
            <w:pPr>
              <w:adjustRightInd w:val="0"/>
              <w:snapToGrid w:val="0"/>
              <w:spacing w:line="360" w:lineRule="auto"/>
              <w:jc w:val="center"/>
              <w:rPr>
                <w:rFonts w:hint="eastAsia" w:ascii="宋体" w:hAnsi="宋体"/>
                <w:szCs w:val="28"/>
              </w:rPr>
            </w:pPr>
          </w:p>
        </w:tc>
        <w:tc>
          <w:tcPr>
            <w:tcW w:w="1103" w:type="dxa"/>
            <w:vAlign w:val="center"/>
          </w:tcPr>
          <w:p w14:paraId="5D930266">
            <w:pPr>
              <w:adjustRightInd w:val="0"/>
              <w:snapToGrid w:val="0"/>
              <w:spacing w:line="360" w:lineRule="auto"/>
              <w:jc w:val="center"/>
              <w:rPr>
                <w:rFonts w:hint="eastAsia" w:ascii="宋体" w:hAnsi="宋体"/>
                <w:szCs w:val="28"/>
              </w:rPr>
            </w:pPr>
          </w:p>
        </w:tc>
      </w:tr>
      <w:tr w14:paraId="3C06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20B32ADB">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147FE05D">
            <w:pPr>
              <w:adjustRightInd w:val="0"/>
              <w:snapToGrid w:val="0"/>
              <w:spacing w:line="360" w:lineRule="auto"/>
              <w:jc w:val="center"/>
              <w:rPr>
                <w:rFonts w:hint="eastAsia" w:ascii="宋体" w:hAnsi="宋体"/>
                <w:szCs w:val="28"/>
              </w:rPr>
            </w:pPr>
          </w:p>
        </w:tc>
        <w:tc>
          <w:tcPr>
            <w:tcW w:w="1229" w:type="dxa"/>
            <w:vAlign w:val="center"/>
          </w:tcPr>
          <w:p w14:paraId="08CF0A3C">
            <w:pPr>
              <w:adjustRightInd w:val="0"/>
              <w:snapToGrid w:val="0"/>
              <w:spacing w:line="360" w:lineRule="auto"/>
              <w:jc w:val="center"/>
              <w:rPr>
                <w:rFonts w:hint="eastAsia" w:ascii="宋体" w:hAnsi="宋体"/>
                <w:szCs w:val="28"/>
              </w:rPr>
            </w:pPr>
          </w:p>
        </w:tc>
        <w:tc>
          <w:tcPr>
            <w:tcW w:w="737" w:type="dxa"/>
            <w:vAlign w:val="center"/>
          </w:tcPr>
          <w:p w14:paraId="09C846FD">
            <w:pPr>
              <w:adjustRightInd w:val="0"/>
              <w:snapToGrid w:val="0"/>
              <w:spacing w:line="360" w:lineRule="auto"/>
              <w:jc w:val="center"/>
              <w:rPr>
                <w:rFonts w:hint="eastAsia" w:ascii="宋体" w:hAnsi="宋体"/>
                <w:szCs w:val="28"/>
              </w:rPr>
            </w:pPr>
          </w:p>
        </w:tc>
        <w:tc>
          <w:tcPr>
            <w:tcW w:w="615" w:type="dxa"/>
            <w:vAlign w:val="center"/>
          </w:tcPr>
          <w:p w14:paraId="63580B4F">
            <w:pPr>
              <w:adjustRightInd w:val="0"/>
              <w:snapToGrid w:val="0"/>
              <w:spacing w:line="360" w:lineRule="auto"/>
              <w:jc w:val="center"/>
              <w:rPr>
                <w:rFonts w:hint="eastAsia" w:ascii="宋体" w:hAnsi="宋体"/>
                <w:szCs w:val="28"/>
              </w:rPr>
            </w:pPr>
          </w:p>
        </w:tc>
        <w:tc>
          <w:tcPr>
            <w:tcW w:w="860" w:type="dxa"/>
            <w:vAlign w:val="center"/>
          </w:tcPr>
          <w:p w14:paraId="43B6C6C4">
            <w:pPr>
              <w:adjustRightInd w:val="0"/>
              <w:snapToGrid w:val="0"/>
              <w:spacing w:line="360" w:lineRule="auto"/>
              <w:jc w:val="center"/>
              <w:rPr>
                <w:rFonts w:hint="eastAsia" w:ascii="宋体" w:hAnsi="宋体"/>
                <w:szCs w:val="28"/>
              </w:rPr>
            </w:pPr>
          </w:p>
        </w:tc>
        <w:tc>
          <w:tcPr>
            <w:tcW w:w="982" w:type="dxa"/>
            <w:vAlign w:val="center"/>
          </w:tcPr>
          <w:p w14:paraId="55F42AB6">
            <w:pPr>
              <w:adjustRightInd w:val="0"/>
              <w:snapToGrid w:val="0"/>
              <w:spacing w:line="360" w:lineRule="auto"/>
              <w:jc w:val="center"/>
              <w:rPr>
                <w:rFonts w:hint="eastAsia" w:ascii="宋体" w:hAnsi="宋体"/>
                <w:szCs w:val="28"/>
              </w:rPr>
            </w:pPr>
          </w:p>
        </w:tc>
        <w:tc>
          <w:tcPr>
            <w:tcW w:w="982" w:type="dxa"/>
            <w:vAlign w:val="center"/>
          </w:tcPr>
          <w:p w14:paraId="13177C56">
            <w:pPr>
              <w:adjustRightInd w:val="0"/>
              <w:snapToGrid w:val="0"/>
              <w:spacing w:line="360" w:lineRule="auto"/>
              <w:jc w:val="center"/>
              <w:rPr>
                <w:rFonts w:hint="eastAsia" w:ascii="宋体" w:hAnsi="宋体"/>
                <w:szCs w:val="28"/>
              </w:rPr>
            </w:pPr>
          </w:p>
        </w:tc>
        <w:tc>
          <w:tcPr>
            <w:tcW w:w="860" w:type="dxa"/>
            <w:vAlign w:val="center"/>
          </w:tcPr>
          <w:p w14:paraId="07099828">
            <w:pPr>
              <w:adjustRightInd w:val="0"/>
              <w:snapToGrid w:val="0"/>
              <w:spacing w:line="360" w:lineRule="auto"/>
              <w:jc w:val="center"/>
              <w:rPr>
                <w:rFonts w:hint="eastAsia" w:ascii="宋体" w:hAnsi="宋体"/>
                <w:szCs w:val="28"/>
              </w:rPr>
            </w:pPr>
          </w:p>
        </w:tc>
        <w:tc>
          <w:tcPr>
            <w:tcW w:w="1103" w:type="dxa"/>
            <w:vAlign w:val="center"/>
          </w:tcPr>
          <w:p w14:paraId="161EF0C1">
            <w:pPr>
              <w:adjustRightInd w:val="0"/>
              <w:snapToGrid w:val="0"/>
              <w:spacing w:line="360" w:lineRule="auto"/>
              <w:jc w:val="center"/>
              <w:rPr>
                <w:rFonts w:hint="eastAsia" w:ascii="宋体" w:hAnsi="宋体"/>
                <w:szCs w:val="28"/>
              </w:rPr>
            </w:pPr>
          </w:p>
        </w:tc>
      </w:tr>
      <w:tr w14:paraId="7DA1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6D1CFC9A">
            <w:pPr>
              <w:adjustRightInd w:val="0"/>
              <w:snapToGrid w:val="0"/>
              <w:spacing w:line="360" w:lineRule="auto"/>
              <w:jc w:val="center"/>
              <w:rPr>
                <w:rFonts w:hint="eastAsia" w:ascii="宋体" w:hAnsi="宋体"/>
                <w:szCs w:val="28"/>
              </w:rPr>
            </w:pPr>
            <w:r>
              <w:rPr>
                <w:rFonts w:hint="eastAsia" w:ascii="宋体" w:hAnsi="宋体"/>
                <w:szCs w:val="28"/>
              </w:rPr>
              <w:t>　</w:t>
            </w:r>
          </w:p>
        </w:tc>
        <w:tc>
          <w:tcPr>
            <w:tcW w:w="1354" w:type="dxa"/>
            <w:vAlign w:val="center"/>
          </w:tcPr>
          <w:p w14:paraId="0C138FE4">
            <w:pPr>
              <w:adjustRightInd w:val="0"/>
              <w:snapToGrid w:val="0"/>
              <w:spacing w:line="360" w:lineRule="auto"/>
              <w:jc w:val="center"/>
              <w:rPr>
                <w:rFonts w:hint="eastAsia" w:ascii="宋体" w:hAnsi="宋体"/>
                <w:szCs w:val="28"/>
              </w:rPr>
            </w:pPr>
          </w:p>
        </w:tc>
        <w:tc>
          <w:tcPr>
            <w:tcW w:w="1229" w:type="dxa"/>
            <w:vAlign w:val="center"/>
          </w:tcPr>
          <w:p w14:paraId="6583DFB0">
            <w:pPr>
              <w:adjustRightInd w:val="0"/>
              <w:snapToGrid w:val="0"/>
              <w:spacing w:line="360" w:lineRule="auto"/>
              <w:jc w:val="center"/>
              <w:rPr>
                <w:rFonts w:hint="eastAsia" w:ascii="宋体" w:hAnsi="宋体"/>
                <w:szCs w:val="28"/>
              </w:rPr>
            </w:pPr>
          </w:p>
        </w:tc>
        <w:tc>
          <w:tcPr>
            <w:tcW w:w="737" w:type="dxa"/>
            <w:vAlign w:val="center"/>
          </w:tcPr>
          <w:p w14:paraId="0F29562E">
            <w:pPr>
              <w:adjustRightInd w:val="0"/>
              <w:snapToGrid w:val="0"/>
              <w:spacing w:line="360" w:lineRule="auto"/>
              <w:jc w:val="center"/>
              <w:rPr>
                <w:rFonts w:hint="eastAsia" w:ascii="宋体" w:hAnsi="宋体"/>
                <w:szCs w:val="28"/>
              </w:rPr>
            </w:pPr>
          </w:p>
        </w:tc>
        <w:tc>
          <w:tcPr>
            <w:tcW w:w="615" w:type="dxa"/>
            <w:vAlign w:val="center"/>
          </w:tcPr>
          <w:p w14:paraId="3FDBE420">
            <w:pPr>
              <w:adjustRightInd w:val="0"/>
              <w:snapToGrid w:val="0"/>
              <w:spacing w:line="360" w:lineRule="auto"/>
              <w:jc w:val="center"/>
              <w:rPr>
                <w:rFonts w:hint="eastAsia" w:ascii="宋体" w:hAnsi="宋体"/>
                <w:szCs w:val="28"/>
              </w:rPr>
            </w:pPr>
          </w:p>
        </w:tc>
        <w:tc>
          <w:tcPr>
            <w:tcW w:w="860" w:type="dxa"/>
            <w:vAlign w:val="center"/>
          </w:tcPr>
          <w:p w14:paraId="71CB690D">
            <w:pPr>
              <w:adjustRightInd w:val="0"/>
              <w:snapToGrid w:val="0"/>
              <w:spacing w:line="360" w:lineRule="auto"/>
              <w:jc w:val="center"/>
              <w:rPr>
                <w:rFonts w:hint="eastAsia" w:ascii="宋体" w:hAnsi="宋体"/>
                <w:szCs w:val="28"/>
              </w:rPr>
            </w:pPr>
          </w:p>
        </w:tc>
        <w:tc>
          <w:tcPr>
            <w:tcW w:w="982" w:type="dxa"/>
            <w:vAlign w:val="center"/>
          </w:tcPr>
          <w:p w14:paraId="238A183A">
            <w:pPr>
              <w:adjustRightInd w:val="0"/>
              <w:snapToGrid w:val="0"/>
              <w:spacing w:line="360" w:lineRule="auto"/>
              <w:jc w:val="center"/>
              <w:rPr>
                <w:rFonts w:hint="eastAsia" w:ascii="宋体" w:hAnsi="宋体"/>
                <w:szCs w:val="28"/>
              </w:rPr>
            </w:pPr>
          </w:p>
        </w:tc>
        <w:tc>
          <w:tcPr>
            <w:tcW w:w="982" w:type="dxa"/>
            <w:vAlign w:val="center"/>
          </w:tcPr>
          <w:p w14:paraId="03D03055">
            <w:pPr>
              <w:adjustRightInd w:val="0"/>
              <w:snapToGrid w:val="0"/>
              <w:spacing w:line="360" w:lineRule="auto"/>
              <w:jc w:val="center"/>
              <w:rPr>
                <w:rFonts w:hint="eastAsia" w:ascii="宋体" w:hAnsi="宋体"/>
                <w:szCs w:val="28"/>
              </w:rPr>
            </w:pPr>
          </w:p>
        </w:tc>
        <w:tc>
          <w:tcPr>
            <w:tcW w:w="860" w:type="dxa"/>
            <w:vAlign w:val="center"/>
          </w:tcPr>
          <w:p w14:paraId="64DAD663">
            <w:pPr>
              <w:adjustRightInd w:val="0"/>
              <w:snapToGrid w:val="0"/>
              <w:spacing w:line="360" w:lineRule="auto"/>
              <w:jc w:val="center"/>
              <w:rPr>
                <w:rFonts w:hint="eastAsia" w:ascii="宋体" w:hAnsi="宋体"/>
                <w:szCs w:val="28"/>
              </w:rPr>
            </w:pPr>
          </w:p>
        </w:tc>
        <w:tc>
          <w:tcPr>
            <w:tcW w:w="1103" w:type="dxa"/>
            <w:vAlign w:val="center"/>
          </w:tcPr>
          <w:p w14:paraId="3A5F85EE">
            <w:pPr>
              <w:adjustRightInd w:val="0"/>
              <w:snapToGrid w:val="0"/>
              <w:spacing w:line="360" w:lineRule="auto"/>
              <w:jc w:val="center"/>
              <w:rPr>
                <w:rFonts w:hint="eastAsia" w:ascii="宋体" w:hAnsi="宋体"/>
                <w:szCs w:val="28"/>
              </w:rPr>
            </w:pPr>
          </w:p>
        </w:tc>
      </w:tr>
    </w:tbl>
    <w:p w14:paraId="46160A69">
      <w:r>
        <w:br w:type="page"/>
      </w:r>
    </w:p>
    <w:p w14:paraId="569A31FD">
      <w:pPr>
        <w:adjustRightInd w:val="0"/>
        <w:snapToGrid w:val="0"/>
        <w:spacing w:line="360" w:lineRule="auto"/>
        <w:outlineLvl w:val="2"/>
        <w:rPr>
          <w:rFonts w:hint="eastAsia" w:ascii="宋体" w:hAnsi="宋体"/>
          <w:sz w:val="24"/>
        </w:rPr>
      </w:pPr>
      <w:bookmarkStart w:id="969" w:name="_Toc196225955"/>
      <w:r>
        <w:rPr>
          <w:rFonts w:hint="eastAsia" w:ascii="宋体" w:hAnsi="宋体"/>
          <w:sz w:val="24"/>
        </w:rPr>
        <w:t>附件四：发包人提供的材料和工程设备一览表</w:t>
      </w:r>
      <w:bookmarkEnd w:id="969"/>
    </w:p>
    <w:p w14:paraId="747C9A90">
      <w:pPr>
        <w:adjustRightInd w:val="0"/>
        <w:snapToGrid w:val="0"/>
        <w:spacing w:line="360" w:lineRule="auto"/>
        <w:jc w:val="center"/>
        <w:rPr>
          <w:rFonts w:hint="eastAsia" w:ascii="宋体" w:hAnsi="宋体"/>
          <w:sz w:val="28"/>
        </w:rPr>
      </w:pPr>
      <w:r>
        <w:rPr>
          <w:rFonts w:hint="eastAsia" w:ascii="宋体" w:hAnsi="宋体"/>
          <w:b/>
          <w:sz w:val="28"/>
        </w:rPr>
        <w:t>发包人提供的材料和工程设备一览表</w:t>
      </w:r>
    </w:p>
    <w:tbl>
      <w:tblPr>
        <w:tblStyle w:val="4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353"/>
        <w:gridCol w:w="1230"/>
        <w:gridCol w:w="737"/>
        <w:gridCol w:w="615"/>
        <w:gridCol w:w="860"/>
        <w:gridCol w:w="982"/>
        <w:gridCol w:w="982"/>
        <w:gridCol w:w="860"/>
        <w:gridCol w:w="1105"/>
      </w:tblGrid>
      <w:tr w14:paraId="6E58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6B42767A">
            <w:pPr>
              <w:adjustRightInd w:val="0"/>
              <w:snapToGrid w:val="0"/>
              <w:spacing w:line="360" w:lineRule="auto"/>
              <w:jc w:val="center"/>
              <w:rPr>
                <w:rFonts w:hint="eastAsia" w:ascii="宋体" w:hAnsi="宋体"/>
              </w:rPr>
            </w:pPr>
            <w:r>
              <w:rPr>
                <w:rFonts w:hint="eastAsia" w:ascii="宋体" w:hAnsi="宋体"/>
              </w:rPr>
              <w:t>序</w:t>
            </w:r>
          </w:p>
          <w:p w14:paraId="6FC8235F">
            <w:pPr>
              <w:adjustRightInd w:val="0"/>
              <w:snapToGrid w:val="0"/>
              <w:spacing w:line="360" w:lineRule="auto"/>
              <w:jc w:val="center"/>
              <w:rPr>
                <w:rFonts w:hint="eastAsia" w:ascii="宋体" w:hAnsi="宋体"/>
              </w:rPr>
            </w:pPr>
            <w:r>
              <w:rPr>
                <w:rFonts w:hint="eastAsia" w:ascii="宋体" w:hAnsi="宋体"/>
              </w:rPr>
              <w:t>号</w:t>
            </w:r>
          </w:p>
        </w:tc>
        <w:tc>
          <w:tcPr>
            <w:tcW w:w="1353" w:type="dxa"/>
            <w:vAlign w:val="center"/>
          </w:tcPr>
          <w:p w14:paraId="6C01F9DB">
            <w:pPr>
              <w:adjustRightInd w:val="0"/>
              <w:snapToGrid w:val="0"/>
              <w:spacing w:line="360" w:lineRule="auto"/>
              <w:jc w:val="center"/>
              <w:rPr>
                <w:rFonts w:hint="eastAsia" w:ascii="宋体" w:hAnsi="宋体"/>
              </w:rPr>
            </w:pPr>
            <w:r>
              <w:rPr>
                <w:rFonts w:hint="eastAsia" w:ascii="宋体" w:hAnsi="宋体"/>
              </w:rPr>
              <w:t>材料设备</w:t>
            </w:r>
          </w:p>
          <w:p w14:paraId="22DB3AA0">
            <w:pPr>
              <w:adjustRightInd w:val="0"/>
              <w:snapToGrid w:val="0"/>
              <w:spacing w:line="360" w:lineRule="auto"/>
              <w:jc w:val="center"/>
              <w:rPr>
                <w:rFonts w:hint="eastAsia" w:ascii="宋体" w:hAnsi="宋体"/>
              </w:rPr>
            </w:pPr>
            <w:r>
              <w:rPr>
                <w:rFonts w:hint="eastAsia" w:ascii="宋体" w:hAnsi="宋体"/>
              </w:rPr>
              <w:t>名    称</w:t>
            </w:r>
          </w:p>
        </w:tc>
        <w:tc>
          <w:tcPr>
            <w:tcW w:w="1230" w:type="dxa"/>
            <w:vAlign w:val="center"/>
          </w:tcPr>
          <w:p w14:paraId="4F64CD89">
            <w:pPr>
              <w:adjustRightInd w:val="0"/>
              <w:snapToGrid w:val="0"/>
              <w:spacing w:line="360" w:lineRule="auto"/>
              <w:jc w:val="center"/>
              <w:rPr>
                <w:rFonts w:hint="eastAsia" w:ascii="宋体" w:hAnsi="宋体"/>
              </w:rPr>
            </w:pPr>
            <w:r>
              <w:rPr>
                <w:rFonts w:hint="eastAsia" w:ascii="宋体" w:hAnsi="宋体"/>
              </w:rPr>
              <w:t>规格</w:t>
            </w:r>
          </w:p>
          <w:p w14:paraId="692DF08F">
            <w:pPr>
              <w:adjustRightInd w:val="0"/>
              <w:snapToGrid w:val="0"/>
              <w:spacing w:line="360" w:lineRule="auto"/>
              <w:jc w:val="center"/>
              <w:rPr>
                <w:rFonts w:hint="eastAsia" w:ascii="宋体" w:hAnsi="宋体"/>
              </w:rPr>
            </w:pPr>
            <w:r>
              <w:rPr>
                <w:rFonts w:hint="eastAsia" w:ascii="宋体" w:hAnsi="宋体"/>
              </w:rPr>
              <w:t>型号</w:t>
            </w:r>
          </w:p>
        </w:tc>
        <w:tc>
          <w:tcPr>
            <w:tcW w:w="737" w:type="dxa"/>
            <w:vAlign w:val="center"/>
          </w:tcPr>
          <w:p w14:paraId="22729E74">
            <w:pPr>
              <w:adjustRightInd w:val="0"/>
              <w:snapToGrid w:val="0"/>
              <w:spacing w:line="360" w:lineRule="auto"/>
              <w:jc w:val="center"/>
              <w:rPr>
                <w:rFonts w:hint="eastAsia" w:ascii="宋体" w:hAnsi="宋体"/>
              </w:rPr>
            </w:pPr>
            <w:r>
              <w:rPr>
                <w:rFonts w:hint="eastAsia" w:ascii="宋体" w:hAnsi="宋体"/>
              </w:rPr>
              <w:t>单</w:t>
            </w:r>
          </w:p>
          <w:p w14:paraId="22358F53">
            <w:pPr>
              <w:adjustRightInd w:val="0"/>
              <w:snapToGrid w:val="0"/>
              <w:spacing w:line="360" w:lineRule="auto"/>
              <w:jc w:val="center"/>
              <w:rPr>
                <w:rFonts w:hint="eastAsia" w:ascii="宋体" w:hAnsi="宋体"/>
              </w:rPr>
            </w:pPr>
            <w:r>
              <w:rPr>
                <w:rFonts w:hint="eastAsia" w:ascii="宋体" w:hAnsi="宋体"/>
              </w:rPr>
              <w:t>位</w:t>
            </w:r>
          </w:p>
        </w:tc>
        <w:tc>
          <w:tcPr>
            <w:tcW w:w="615" w:type="dxa"/>
            <w:vAlign w:val="center"/>
          </w:tcPr>
          <w:p w14:paraId="7BC82C0E">
            <w:pPr>
              <w:adjustRightInd w:val="0"/>
              <w:snapToGrid w:val="0"/>
              <w:spacing w:line="360" w:lineRule="auto"/>
              <w:jc w:val="center"/>
              <w:rPr>
                <w:rFonts w:hint="eastAsia" w:ascii="宋体" w:hAnsi="宋体"/>
              </w:rPr>
            </w:pPr>
            <w:r>
              <w:rPr>
                <w:rFonts w:hint="eastAsia" w:ascii="宋体" w:hAnsi="宋体"/>
              </w:rPr>
              <w:t>数</w:t>
            </w:r>
          </w:p>
          <w:p w14:paraId="494F0B2C">
            <w:pPr>
              <w:adjustRightInd w:val="0"/>
              <w:snapToGrid w:val="0"/>
              <w:spacing w:line="360" w:lineRule="auto"/>
              <w:jc w:val="center"/>
              <w:rPr>
                <w:rFonts w:hint="eastAsia" w:ascii="宋体" w:hAnsi="宋体"/>
              </w:rPr>
            </w:pPr>
            <w:r>
              <w:rPr>
                <w:rFonts w:hint="eastAsia" w:ascii="宋体" w:hAnsi="宋体"/>
              </w:rPr>
              <w:t>量</w:t>
            </w:r>
          </w:p>
        </w:tc>
        <w:tc>
          <w:tcPr>
            <w:tcW w:w="860" w:type="dxa"/>
            <w:vAlign w:val="center"/>
          </w:tcPr>
          <w:p w14:paraId="786C7B03">
            <w:pPr>
              <w:adjustRightInd w:val="0"/>
              <w:snapToGrid w:val="0"/>
              <w:spacing w:line="360" w:lineRule="auto"/>
              <w:jc w:val="center"/>
              <w:rPr>
                <w:rFonts w:hint="eastAsia" w:ascii="宋体" w:hAnsi="宋体"/>
              </w:rPr>
            </w:pPr>
            <w:r>
              <w:rPr>
                <w:rFonts w:hint="eastAsia" w:ascii="宋体" w:hAnsi="宋体"/>
              </w:rPr>
              <w:t>单</w:t>
            </w:r>
          </w:p>
          <w:p w14:paraId="74B80EBC">
            <w:pPr>
              <w:adjustRightInd w:val="0"/>
              <w:snapToGrid w:val="0"/>
              <w:spacing w:line="360" w:lineRule="auto"/>
              <w:jc w:val="center"/>
              <w:rPr>
                <w:rFonts w:hint="eastAsia" w:ascii="宋体" w:hAnsi="宋体"/>
              </w:rPr>
            </w:pPr>
            <w:r>
              <w:rPr>
                <w:rFonts w:hint="eastAsia" w:ascii="宋体" w:hAnsi="宋体"/>
              </w:rPr>
              <w:t>价</w:t>
            </w:r>
          </w:p>
        </w:tc>
        <w:tc>
          <w:tcPr>
            <w:tcW w:w="982" w:type="dxa"/>
            <w:vAlign w:val="center"/>
          </w:tcPr>
          <w:p w14:paraId="541A2AD2">
            <w:pPr>
              <w:adjustRightInd w:val="0"/>
              <w:snapToGrid w:val="0"/>
              <w:spacing w:line="360" w:lineRule="auto"/>
              <w:jc w:val="center"/>
              <w:rPr>
                <w:rFonts w:hint="eastAsia" w:ascii="宋体" w:hAnsi="宋体"/>
              </w:rPr>
            </w:pPr>
            <w:r>
              <w:rPr>
                <w:rFonts w:hint="eastAsia" w:ascii="宋体" w:hAnsi="宋体"/>
              </w:rPr>
              <w:t>交货</w:t>
            </w:r>
          </w:p>
          <w:p w14:paraId="0AE9A31E">
            <w:pPr>
              <w:adjustRightInd w:val="0"/>
              <w:snapToGrid w:val="0"/>
              <w:spacing w:line="360" w:lineRule="auto"/>
              <w:jc w:val="center"/>
              <w:rPr>
                <w:rFonts w:hint="eastAsia" w:ascii="宋体" w:hAnsi="宋体"/>
              </w:rPr>
            </w:pPr>
            <w:r>
              <w:rPr>
                <w:rFonts w:hint="eastAsia" w:ascii="宋体" w:hAnsi="宋体"/>
              </w:rPr>
              <w:t>方式</w:t>
            </w:r>
          </w:p>
        </w:tc>
        <w:tc>
          <w:tcPr>
            <w:tcW w:w="982" w:type="dxa"/>
            <w:vAlign w:val="center"/>
          </w:tcPr>
          <w:p w14:paraId="40236DCC">
            <w:pPr>
              <w:adjustRightInd w:val="0"/>
              <w:snapToGrid w:val="0"/>
              <w:spacing w:line="360" w:lineRule="auto"/>
              <w:jc w:val="center"/>
              <w:rPr>
                <w:rFonts w:hint="eastAsia" w:ascii="宋体" w:hAnsi="宋体"/>
              </w:rPr>
            </w:pPr>
            <w:r>
              <w:rPr>
                <w:rFonts w:hint="eastAsia" w:ascii="宋体" w:hAnsi="宋体"/>
              </w:rPr>
              <w:t>交货</w:t>
            </w:r>
          </w:p>
          <w:p w14:paraId="2A37F1EB">
            <w:pPr>
              <w:adjustRightInd w:val="0"/>
              <w:snapToGrid w:val="0"/>
              <w:spacing w:line="360" w:lineRule="auto"/>
              <w:jc w:val="center"/>
              <w:rPr>
                <w:rFonts w:hint="eastAsia" w:ascii="宋体" w:hAnsi="宋体"/>
              </w:rPr>
            </w:pPr>
            <w:r>
              <w:rPr>
                <w:rFonts w:hint="eastAsia" w:ascii="宋体" w:hAnsi="宋体"/>
              </w:rPr>
              <w:t>地点</w:t>
            </w:r>
          </w:p>
        </w:tc>
        <w:tc>
          <w:tcPr>
            <w:tcW w:w="860" w:type="dxa"/>
            <w:vAlign w:val="center"/>
          </w:tcPr>
          <w:p w14:paraId="3F4890CC">
            <w:pPr>
              <w:adjustRightInd w:val="0"/>
              <w:snapToGrid w:val="0"/>
              <w:spacing w:line="360" w:lineRule="auto"/>
              <w:jc w:val="center"/>
              <w:rPr>
                <w:rFonts w:hint="eastAsia" w:ascii="宋体" w:hAnsi="宋体"/>
              </w:rPr>
            </w:pPr>
            <w:r>
              <w:rPr>
                <w:rFonts w:hint="eastAsia" w:ascii="宋体" w:hAnsi="宋体"/>
              </w:rPr>
              <w:t>计划交货</w:t>
            </w:r>
          </w:p>
          <w:p w14:paraId="5DE7C670">
            <w:pPr>
              <w:adjustRightInd w:val="0"/>
              <w:snapToGrid w:val="0"/>
              <w:spacing w:line="360" w:lineRule="auto"/>
              <w:jc w:val="center"/>
              <w:rPr>
                <w:rFonts w:hint="eastAsia" w:ascii="宋体" w:hAnsi="宋体"/>
              </w:rPr>
            </w:pPr>
            <w:r>
              <w:rPr>
                <w:rFonts w:hint="eastAsia" w:ascii="宋体" w:hAnsi="宋体"/>
              </w:rPr>
              <w:t>时间</w:t>
            </w:r>
          </w:p>
        </w:tc>
        <w:tc>
          <w:tcPr>
            <w:tcW w:w="1105" w:type="dxa"/>
            <w:vAlign w:val="center"/>
          </w:tcPr>
          <w:p w14:paraId="1FB498D9">
            <w:pPr>
              <w:adjustRightInd w:val="0"/>
              <w:snapToGrid w:val="0"/>
              <w:spacing w:line="360" w:lineRule="auto"/>
              <w:jc w:val="center"/>
              <w:rPr>
                <w:rFonts w:hint="eastAsia" w:ascii="宋体" w:hAnsi="宋体"/>
              </w:rPr>
            </w:pPr>
            <w:r>
              <w:rPr>
                <w:rFonts w:hint="eastAsia" w:ascii="宋体" w:hAnsi="宋体"/>
              </w:rPr>
              <w:t>备注</w:t>
            </w:r>
          </w:p>
        </w:tc>
      </w:tr>
      <w:tr w14:paraId="12856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518E9BBC">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66F94CBE">
            <w:pPr>
              <w:adjustRightInd w:val="0"/>
              <w:snapToGrid w:val="0"/>
              <w:spacing w:line="360" w:lineRule="auto"/>
              <w:jc w:val="center"/>
              <w:rPr>
                <w:rFonts w:hint="eastAsia" w:ascii="宋体" w:hAnsi="宋体"/>
                <w:szCs w:val="28"/>
              </w:rPr>
            </w:pPr>
          </w:p>
        </w:tc>
        <w:tc>
          <w:tcPr>
            <w:tcW w:w="1230" w:type="dxa"/>
            <w:vAlign w:val="center"/>
          </w:tcPr>
          <w:p w14:paraId="0501FFE0">
            <w:pPr>
              <w:adjustRightInd w:val="0"/>
              <w:snapToGrid w:val="0"/>
              <w:spacing w:line="360" w:lineRule="auto"/>
              <w:jc w:val="center"/>
              <w:rPr>
                <w:rFonts w:hint="eastAsia" w:ascii="宋体" w:hAnsi="宋体"/>
                <w:szCs w:val="28"/>
              </w:rPr>
            </w:pPr>
          </w:p>
        </w:tc>
        <w:tc>
          <w:tcPr>
            <w:tcW w:w="737" w:type="dxa"/>
            <w:vAlign w:val="center"/>
          </w:tcPr>
          <w:p w14:paraId="38C1E89A">
            <w:pPr>
              <w:adjustRightInd w:val="0"/>
              <w:snapToGrid w:val="0"/>
              <w:spacing w:line="360" w:lineRule="auto"/>
              <w:jc w:val="center"/>
              <w:rPr>
                <w:rFonts w:hint="eastAsia" w:ascii="宋体" w:hAnsi="宋体"/>
                <w:szCs w:val="28"/>
              </w:rPr>
            </w:pPr>
          </w:p>
        </w:tc>
        <w:tc>
          <w:tcPr>
            <w:tcW w:w="615" w:type="dxa"/>
            <w:vAlign w:val="center"/>
          </w:tcPr>
          <w:p w14:paraId="02052694">
            <w:pPr>
              <w:adjustRightInd w:val="0"/>
              <w:snapToGrid w:val="0"/>
              <w:spacing w:line="360" w:lineRule="auto"/>
              <w:jc w:val="center"/>
              <w:rPr>
                <w:rFonts w:hint="eastAsia" w:ascii="宋体" w:hAnsi="宋体"/>
                <w:szCs w:val="28"/>
              </w:rPr>
            </w:pPr>
          </w:p>
        </w:tc>
        <w:tc>
          <w:tcPr>
            <w:tcW w:w="860" w:type="dxa"/>
            <w:vAlign w:val="center"/>
          </w:tcPr>
          <w:p w14:paraId="1AA5ABF2">
            <w:pPr>
              <w:adjustRightInd w:val="0"/>
              <w:snapToGrid w:val="0"/>
              <w:spacing w:line="360" w:lineRule="auto"/>
              <w:jc w:val="center"/>
              <w:rPr>
                <w:rFonts w:hint="eastAsia" w:ascii="宋体" w:hAnsi="宋体"/>
                <w:szCs w:val="28"/>
              </w:rPr>
            </w:pPr>
          </w:p>
        </w:tc>
        <w:tc>
          <w:tcPr>
            <w:tcW w:w="982" w:type="dxa"/>
            <w:vAlign w:val="center"/>
          </w:tcPr>
          <w:p w14:paraId="60C234E3">
            <w:pPr>
              <w:adjustRightInd w:val="0"/>
              <w:snapToGrid w:val="0"/>
              <w:spacing w:line="360" w:lineRule="auto"/>
              <w:jc w:val="center"/>
              <w:rPr>
                <w:rFonts w:hint="eastAsia" w:ascii="宋体" w:hAnsi="宋体"/>
                <w:szCs w:val="28"/>
              </w:rPr>
            </w:pPr>
          </w:p>
        </w:tc>
        <w:tc>
          <w:tcPr>
            <w:tcW w:w="982" w:type="dxa"/>
            <w:vAlign w:val="center"/>
          </w:tcPr>
          <w:p w14:paraId="1573CE5F">
            <w:pPr>
              <w:adjustRightInd w:val="0"/>
              <w:snapToGrid w:val="0"/>
              <w:spacing w:line="360" w:lineRule="auto"/>
              <w:jc w:val="center"/>
              <w:rPr>
                <w:rFonts w:hint="eastAsia" w:ascii="宋体" w:hAnsi="宋体"/>
                <w:szCs w:val="28"/>
              </w:rPr>
            </w:pPr>
          </w:p>
        </w:tc>
        <w:tc>
          <w:tcPr>
            <w:tcW w:w="860" w:type="dxa"/>
            <w:vAlign w:val="center"/>
          </w:tcPr>
          <w:p w14:paraId="16C0C730">
            <w:pPr>
              <w:adjustRightInd w:val="0"/>
              <w:snapToGrid w:val="0"/>
              <w:spacing w:line="360" w:lineRule="auto"/>
              <w:jc w:val="center"/>
              <w:rPr>
                <w:rFonts w:hint="eastAsia" w:ascii="宋体" w:hAnsi="宋体"/>
                <w:szCs w:val="28"/>
              </w:rPr>
            </w:pPr>
          </w:p>
        </w:tc>
        <w:tc>
          <w:tcPr>
            <w:tcW w:w="1105" w:type="dxa"/>
            <w:vAlign w:val="center"/>
          </w:tcPr>
          <w:p w14:paraId="7CA64A82">
            <w:pPr>
              <w:adjustRightInd w:val="0"/>
              <w:snapToGrid w:val="0"/>
              <w:spacing w:line="360" w:lineRule="auto"/>
              <w:jc w:val="center"/>
              <w:rPr>
                <w:rFonts w:hint="eastAsia" w:ascii="宋体" w:hAnsi="宋体"/>
                <w:szCs w:val="28"/>
              </w:rPr>
            </w:pPr>
          </w:p>
        </w:tc>
      </w:tr>
      <w:tr w14:paraId="3DF9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2EAC4DD">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238F1306">
            <w:pPr>
              <w:adjustRightInd w:val="0"/>
              <w:snapToGrid w:val="0"/>
              <w:spacing w:line="360" w:lineRule="auto"/>
              <w:jc w:val="center"/>
              <w:rPr>
                <w:rFonts w:hint="eastAsia" w:ascii="宋体" w:hAnsi="宋体"/>
                <w:szCs w:val="28"/>
              </w:rPr>
            </w:pPr>
          </w:p>
        </w:tc>
        <w:tc>
          <w:tcPr>
            <w:tcW w:w="1230" w:type="dxa"/>
            <w:vAlign w:val="center"/>
          </w:tcPr>
          <w:p w14:paraId="42D9A49F">
            <w:pPr>
              <w:adjustRightInd w:val="0"/>
              <w:snapToGrid w:val="0"/>
              <w:spacing w:line="360" w:lineRule="auto"/>
              <w:jc w:val="center"/>
              <w:rPr>
                <w:rFonts w:hint="eastAsia" w:ascii="宋体" w:hAnsi="宋体"/>
                <w:szCs w:val="28"/>
              </w:rPr>
            </w:pPr>
          </w:p>
        </w:tc>
        <w:tc>
          <w:tcPr>
            <w:tcW w:w="737" w:type="dxa"/>
            <w:vAlign w:val="center"/>
          </w:tcPr>
          <w:p w14:paraId="328D40A1">
            <w:pPr>
              <w:adjustRightInd w:val="0"/>
              <w:snapToGrid w:val="0"/>
              <w:spacing w:line="360" w:lineRule="auto"/>
              <w:jc w:val="center"/>
              <w:rPr>
                <w:rFonts w:hint="eastAsia" w:ascii="宋体" w:hAnsi="宋体"/>
                <w:szCs w:val="28"/>
              </w:rPr>
            </w:pPr>
          </w:p>
        </w:tc>
        <w:tc>
          <w:tcPr>
            <w:tcW w:w="615" w:type="dxa"/>
            <w:vAlign w:val="center"/>
          </w:tcPr>
          <w:p w14:paraId="6FF5244C">
            <w:pPr>
              <w:adjustRightInd w:val="0"/>
              <w:snapToGrid w:val="0"/>
              <w:spacing w:line="360" w:lineRule="auto"/>
              <w:jc w:val="center"/>
              <w:rPr>
                <w:rFonts w:hint="eastAsia" w:ascii="宋体" w:hAnsi="宋体"/>
                <w:szCs w:val="28"/>
              </w:rPr>
            </w:pPr>
          </w:p>
        </w:tc>
        <w:tc>
          <w:tcPr>
            <w:tcW w:w="860" w:type="dxa"/>
            <w:vAlign w:val="center"/>
          </w:tcPr>
          <w:p w14:paraId="2A7E6036">
            <w:pPr>
              <w:adjustRightInd w:val="0"/>
              <w:snapToGrid w:val="0"/>
              <w:spacing w:line="360" w:lineRule="auto"/>
              <w:jc w:val="center"/>
              <w:rPr>
                <w:rFonts w:hint="eastAsia" w:ascii="宋体" w:hAnsi="宋体"/>
                <w:szCs w:val="28"/>
              </w:rPr>
            </w:pPr>
          </w:p>
        </w:tc>
        <w:tc>
          <w:tcPr>
            <w:tcW w:w="982" w:type="dxa"/>
            <w:vAlign w:val="center"/>
          </w:tcPr>
          <w:p w14:paraId="4D3DC0F9">
            <w:pPr>
              <w:adjustRightInd w:val="0"/>
              <w:snapToGrid w:val="0"/>
              <w:spacing w:line="360" w:lineRule="auto"/>
              <w:jc w:val="center"/>
              <w:rPr>
                <w:rFonts w:hint="eastAsia" w:ascii="宋体" w:hAnsi="宋体"/>
                <w:szCs w:val="28"/>
              </w:rPr>
            </w:pPr>
          </w:p>
        </w:tc>
        <w:tc>
          <w:tcPr>
            <w:tcW w:w="982" w:type="dxa"/>
            <w:vAlign w:val="center"/>
          </w:tcPr>
          <w:p w14:paraId="5520E3A0">
            <w:pPr>
              <w:adjustRightInd w:val="0"/>
              <w:snapToGrid w:val="0"/>
              <w:spacing w:line="360" w:lineRule="auto"/>
              <w:jc w:val="center"/>
              <w:rPr>
                <w:rFonts w:hint="eastAsia" w:ascii="宋体" w:hAnsi="宋体"/>
                <w:szCs w:val="28"/>
              </w:rPr>
            </w:pPr>
          </w:p>
        </w:tc>
        <w:tc>
          <w:tcPr>
            <w:tcW w:w="860" w:type="dxa"/>
            <w:vAlign w:val="center"/>
          </w:tcPr>
          <w:p w14:paraId="69C962CA">
            <w:pPr>
              <w:adjustRightInd w:val="0"/>
              <w:snapToGrid w:val="0"/>
              <w:spacing w:line="360" w:lineRule="auto"/>
              <w:jc w:val="center"/>
              <w:rPr>
                <w:rFonts w:hint="eastAsia" w:ascii="宋体" w:hAnsi="宋体"/>
                <w:szCs w:val="28"/>
              </w:rPr>
            </w:pPr>
          </w:p>
        </w:tc>
        <w:tc>
          <w:tcPr>
            <w:tcW w:w="1105" w:type="dxa"/>
            <w:vAlign w:val="center"/>
          </w:tcPr>
          <w:p w14:paraId="6DDFCE46">
            <w:pPr>
              <w:adjustRightInd w:val="0"/>
              <w:snapToGrid w:val="0"/>
              <w:spacing w:line="360" w:lineRule="auto"/>
              <w:jc w:val="center"/>
              <w:rPr>
                <w:rFonts w:hint="eastAsia" w:ascii="宋体" w:hAnsi="宋体"/>
                <w:szCs w:val="28"/>
              </w:rPr>
            </w:pPr>
          </w:p>
        </w:tc>
      </w:tr>
      <w:tr w14:paraId="5B6DE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00D4AFB">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39024A90">
            <w:pPr>
              <w:adjustRightInd w:val="0"/>
              <w:snapToGrid w:val="0"/>
              <w:spacing w:line="360" w:lineRule="auto"/>
              <w:jc w:val="center"/>
              <w:rPr>
                <w:rFonts w:hint="eastAsia" w:ascii="宋体" w:hAnsi="宋体"/>
                <w:szCs w:val="28"/>
              </w:rPr>
            </w:pPr>
          </w:p>
        </w:tc>
        <w:tc>
          <w:tcPr>
            <w:tcW w:w="1230" w:type="dxa"/>
            <w:vAlign w:val="center"/>
          </w:tcPr>
          <w:p w14:paraId="27F345D0">
            <w:pPr>
              <w:adjustRightInd w:val="0"/>
              <w:snapToGrid w:val="0"/>
              <w:spacing w:line="360" w:lineRule="auto"/>
              <w:jc w:val="center"/>
              <w:rPr>
                <w:rFonts w:hint="eastAsia" w:ascii="宋体" w:hAnsi="宋体"/>
                <w:szCs w:val="28"/>
              </w:rPr>
            </w:pPr>
          </w:p>
        </w:tc>
        <w:tc>
          <w:tcPr>
            <w:tcW w:w="737" w:type="dxa"/>
            <w:vAlign w:val="center"/>
          </w:tcPr>
          <w:p w14:paraId="3ACA0BB0">
            <w:pPr>
              <w:adjustRightInd w:val="0"/>
              <w:snapToGrid w:val="0"/>
              <w:spacing w:line="360" w:lineRule="auto"/>
              <w:jc w:val="center"/>
              <w:rPr>
                <w:rFonts w:hint="eastAsia" w:ascii="宋体" w:hAnsi="宋体"/>
                <w:szCs w:val="28"/>
              </w:rPr>
            </w:pPr>
          </w:p>
        </w:tc>
        <w:tc>
          <w:tcPr>
            <w:tcW w:w="615" w:type="dxa"/>
            <w:vAlign w:val="center"/>
          </w:tcPr>
          <w:p w14:paraId="742F3195">
            <w:pPr>
              <w:adjustRightInd w:val="0"/>
              <w:snapToGrid w:val="0"/>
              <w:spacing w:line="360" w:lineRule="auto"/>
              <w:jc w:val="center"/>
              <w:rPr>
                <w:rFonts w:hint="eastAsia" w:ascii="宋体" w:hAnsi="宋体"/>
                <w:szCs w:val="28"/>
              </w:rPr>
            </w:pPr>
          </w:p>
        </w:tc>
        <w:tc>
          <w:tcPr>
            <w:tcW w:w="860" w:type="dxa"/>
            <w:vAlign w:val="center"/>
          </w:tcPr>
          <w:p w14:paraId="518E0861">
            <w:pPr>
              <w:adjustRightInd w:val="0"/>
              <w:snapToGrid w:val="0"/>
              <w:spacing w:line="360" w:lineRule="auto"/>
              <w:jc w:val="center"/>
              <w:rPr>
                <w:rFonts w:hint="eastAsia" w:ascii="宋体" w:hAnsi="宋体"/>
                <w:szCs w:val="28"/>
              </w:rPr>
            </w:pPr>
          </w:p>
        </w:tc>
        <w:tc>
          <w:tcPr>
            <w:tcW w:w="982" w:type="dxa"/>
            <w:vAlign w:val="center"/>
          </w:tcPr>
          <w:p w14:paraId="50E456C4">
            <w:pPr>
              <w:adjustRightInd w:val="0"/>
              <w:snapToGrid w:val="0"/>
              <w:spacing w:line="360" w:lineRule="auto"/>
              <w:jc w:val="center"/>
              <w:rPr>
                <w:rFonts w:hint="eastAsia" w:ascii="宋体" w:hAnsi="宋体"/>
                <w:szCs w:val="28"/>
              </w:rPr>
            </w:pPr>
          </w:p>
        </w:tc>
        <w:tc>
          <w:tcPr>
            <w:tcW w:w="982" w:type="dxa"/>
            <w:vAlign w:val="center"/>
          </w:tcPr>
          <w:p w14:paraId="62E17BC3">
            <w:pPr>
              <w:adjustRightInd w:val="0"/>
              <w:snapToGrid w:val="0"/>
              <w:spacing w:line="360" w:lineRule="auto"/>
              <w:jc w:val="center"/>
              <w:rPr>
                <w:rFonts w:hint="eastAsia" w:ascii="宋体" w:hAnsi="宋体"/>
                <w:szCs w:val="28"/>
              </w:rPr>
            </w:pPr>
          </w:p>
        </w:tc>
        <w:tc>
          <w:tcPr>
            <w:tcW w:w="860" w:type="dxa"/>
            <w:vAlign w:val="center"/>
          </w:tcPr>
          <w:p w14:paraId="7F55CA84">
            <w:pPr>
              <w:adjustRightInd w:val="0"/>
              <w:snapToGrid w:val="0"/>
              <w:spacing w:line="360" w:lineRule="auto"/>
              <w:jc w:val="center"/>
              <w:rPr>
                <w:rFonts w:hint="eastAsia" w:ascii="宋体" w:hAnsi="宋体"/>
                <w:szCs w:val="28"/>
              </w:rPr>
            </w:pPr>
          </w:p>
        </w:tc>
        <w:tc>
          <w:tcPr>
            <w:tcW w:w="1105" w:type="dxa"/>
            <w:vAlign w:val="center"/>
          </w:tcPr>
          <w:p w14:paraId="194732A0">
            <w:pPr>
              <w:adjustRightInd w:val="0"/>
              <w:snapToGrid w:val="0"/>
              <w:spacing w:line="360" w:lineRule="auto"/>
              <w:jc w:val="center"/>
              <w:rPr>
                <w:rFonts w:hint="eastAsia" w:ascii="宋体" w:hAnsi="宋体"/>
                <w:szCs w:val="28"/>
              </w:rPr>
            </w:pPr>
          </w:p>
        </w:tc>
      </w:tr>
      <w:tr w14:paraId="1371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1C0EBED">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0127B54C">
            <w:pPr>
              <w:adjustRightInd w:val="0"/>
              <w:snapToGrid w:val="0"/>
              <w:spacing w:line="360" w:lineRule="auto"/>
              <w:jc w:val="center"/>
              <w:rPr>
                <w:rFonts w:hint="eastAsia" w:ascii="宋体" w:hAnsi="宋体"/>
                <w:szCs w:val="28"/>
              </w:rPr>
            </w:pPr>
          </w:p>
        </w:tc>
        <w:tc>
          <w:tcPr>
            <w:tcW w:w="1230" w:type="dxa"/>
            <w:vAlign w:val="center"/>
          </w:tcPr>
          <w:p w14:paraId="6B62E20C">
            <w:pPr>
              <w:adjustRightInd w:val="0"/>
              <w:snapToGrid w:val="0"/>
              <w:spacing w:line="360" w:lineRule="auto"/>
              <w:jc w:val="center"/>
              <w:rPr>
                <w:rFonts w:hint="eastAsia" w:ascii="宋体" w:hAnsi="宋体"/>
                <w:szCs w:val="28"/>
              </w:rPr>
            </w:pPr>
          </w:p>
        </w:tc>
        <w:tc>
          <w:tcPr>
            <w:tcW w:w="737" w:type="dxa"/>
            <w:vAlign w:val="center"/>
          </w:tcPr>
          <w:p w14:paraId="4B86E477">
            <w:pPr>
              <w:adjustRightInd w:val="0"/>
              <w:snapToGrid w:val="0"/>
              <w:spacing w:line="360" w:lineRule="auto"/>
              <w:jc w:val="center"/>
              <w:rPr>
                <w:rFonts w:hint="eastAsia" w:ascii="宋体" w:hAnsi="宋体"/>
                <w:szCs w:val="28"/>
              </w:rPr>
            </w:pPr>
          </w:p>
        </w:tc>
        <w:tc>
          <w:tcPr>
            <w:tcW w:w="615" w:type="dxa"/>
            <w:vAlign w:val="center"/>
          </w:tcPr>
          <w:p w14:paraId="10F78339">
            <w:pPr>
              <w:adjustRightInd w:val="0"/>
              <w:snapToGrid w:val="0"/>
              <w:spacing w:line="360" w:lineRule="auto"/>
              <w:jc w:val="center"/>
              <w:rPr>
                <w:rFonts w:hint="eastAsia" w:ascii="宋体" w:hAnsi="宋体"/>
                <w:szCs w:val="28"/>
              </w:rPr>
            </w:pPr>
          </w:p>
        </w:tc>
        <w:tc>
          <w:tcPr>
            <w:tcW w:w="860" w:type="dxa"/>
            <w:vAlign w:val="center"/>
          </w:tcPr>
          <w:p w14:paraId="0271DAF5">
            <w:pPr>
              <w:adjustRightInd w:val="0"/>
              <w:snapToGrid w:val="0"/>
              <w:spacing w:line="360" w:lineRule="auto"/>
              <w:jc w:val="center"/>
              <w:rPr>
                <w:rFonts w:hint="eastAsia" w:ascii="宋体" w:hAnsi="宋体"/>
                <w:szCs w:val="28"/>
              </w:rPr>
            </w:pPr>
          </w:p>
        </w:tc>
        <w:tc>
          <w:tcPr>
            <w:tcW w:w="982" w:type="dxa"/>
            <w:vAlign w:val="center"/>
          </w:tcPr>
          <w:p w14:paraId="64E993C9">
            <w:pPr>
              <w:adjustRightInd w:val="0"/>
              <w:snapToGrid w:val="0"/>
              <w:spacing w:line="360" w:lineRule="auto"/>
              <w:jc w:val="center"/>
              <w:rPr>
                <w:rFonts w:hint="eastAsia" w:ascii="宋体" w:hAnsi="宋体"/>
                <w:szCs w:val="28"/>
              </w:rPr>
            </w:pPr>
          </w:p>
        </w:tc>
        <w:tc>
          <w:tcPr>
            <w:tcW w:w="982" w:type="dxa"/>
            <w:vAlign w:val="center"/>
          </w:tcPr>
          <w:p w14:paraId="6FD77B5B">
            <w:pPr>
              <w:adjustRightInd w:val="0"/>
              <w:snapToGrid w:val="0"/>
              <w:spacing w:line="360" w:lineRule="auto"/>
              <w:jc w:val="center"/>
              <w:rPr>
                <w:rFonts w:hint="eastAsia" w:ascii="宋体" w:hAnsi="宋体"/>
                <w:szCs w:val="28"/>
              </w:rPr>
            </w:pPr>
          </w:p>
        </w:tc>
        <w:tc>
          <w:tcPr>
            <w:tcW w:w="860" w:type="dxa"/>
            <w:vAlign w:val="center"/>
          </w:tcPr>
          <w:p w14:paraId="38A45423">
            <w:pPr>
              <w:adjustRightInd w:val="0"/>
              <w:snapToGrid w:val="0"/>
              <w:spacing w:line="360" w:lineRule="auto"/>
              <w:jc w:val="center"/>
              <w:rPr>
                <w:rFonts w:hint="eastAsia" w:ascii="宋体" w:hAnsi="宋体"/>
                <w:szCs w:val="28"/>
              </w:rPr>
            </w:pPr>
          </w:p>
        </w:tc>
        <w:tc>
          <w:tcPr>
            <w:tcW w:w="1105" w:type="dxa"/>
            <w:vAlign w:val="center"/>
          </w:tcPr>
          <w:p w14:paraId="133C82C8">
            <w:pPr>
              <w:adjustRightInd w:val="0"/>
              <w:snapToGrid w:val="0"/>
              <w:spacing w:line="360" w:lineRule="auto"/>
              <w:jc w:val="center"/>
              <w:rPr>
                <w:rFonts w:hint="eastAsia" w:ascii="宋体" w:hAnsi="宋体"/>
                <w:szCs w:val="28"/>
              </w:rPr>
            </w:pPr>
          </w:p>
        </w:tc>
      </w:tr>
      <w:tr w14:paraId="6497F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155403FB">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5329749F">
            <w:pPr>
              <w:adjustRightInd w:val="0"/>
              <w:snapToGrid w:val="0"/>
              <w:spacing w:line="360" w:lineRule="auto"/>
              <w:jc w:val="center"/>
              <w:rPr>
                <w:rFonts w:hint="eastAsia" w:ascii="宋体" w:hAnsi="宋体"/>
                <w:szCs w:val="28"/>
              </w:rPr>
            </w:pPr>
          </w:p>
        </w:tc>
        <w:tc>
          <w:tcPr>
            <w:tcW w:w="1230" w:type="dxa"/>
            <w:vAlign w:val="center"/>
          </w:tcPr>
          <w:p w14:paraId="786BD9B1">
            <w:pPr>
              <w:adjustRightInd w:val="0"/>
              <w:snapToGrid w:val="0"/>
              <w:spacing w:line="360" w:lineRule="auto"/>
              <w:jc w:val="center"/>
              <w:rPr>
                <w:rFonts w:hint="eastAsia" w:ascii="宋体" w:hAnsi="宋体"/>
                <w:szCs w:val="28"/>
              </w:rPr>
            </w:pPr>
          </w:p>
        </w:tc>
        <w:tc>
          <w:tcPr>
            <w:tcW w:w="737" w:type="dxa"/>
            <w:vAlign w:val="center"/>
          </w:tcPr>
          <w:p w14:paraId="5C8B44A6">
            <w:pPr>
              <w:adjustRightInd w:val="0"/>
              <w:snapToGrid w:val="0"/>
              <w:spacing w:line="360" w:lineRule="auto"/>
              <w:jc w:val="center"/>
              <w:rPr>
                <w:rFonts w:hint="eastAsia" w:ascii="宋体" w:hAnsi="宋体"/>
                <w:szCs w:val="28"/>
              </w:rPr>
            </w:pPr>
          </w:p>
        </w:tc>
        <w:tc>
          <w:tcPr>
            <w:tcW w:w="615" w:type="dxa"/>
            <w:vAlign w:val="center"/>
          </w:tcPr>
          <w:p w14:paraId="65D57D21">
            <w:pPr>
              <w:adjustRightInd w:val="0"/>
              <w:snapToGrid w:val="0"/>
              <w:spacing w:line="360" w:lineRule="auto"/>
              <w:jc w:val="center"/>
              <w:rPr>
                <w:rFonts w:hint="eastAsia" w:ascii="宋体" w:hAnsi="宋体"/>
                <w:szCs w:val="28"/>
              </w:rPr>
            </w:pPr>
          </w:p>
        </w:tc>
        <w:tc>
          <w:tcPr>
            <w:tcW w:w="860" w:type="dxa"/>
            <w:vAlign w:val="center"/>
          </w:tcPr>
          <w:p w14:paraId="4A2E393F">
            <w:pPr>
              <w:adjustRightInd w:val="0"/>
              <w:snapToGrid w:val="0"/>
              <w:spacing w:line="360" w:lineRule="auto"/>
              <w:jc w:val="center"/>
              <w:rPr>
                <w:rFonts w:hint="eastAsia" w:ascii="宋体" w:hAnsi="宋体"/>
                <w:szCs w:val="28"/>
              </w:rPr>
            </w:pPr>
          </w:p>
        </w:tc>
        <w:tc>
          <w:tcPr>
            <w:tcW w:w="982" w:type="dxa"/>
            <w:vAlign w:val="center"/>
          </w:tcPr>
          <w:p w14:paraId="6A57130E">
            <w:pPr>
              <w:adjustRightInd w:val="0"/>
              <w:snapToGrid w:val="0"/>
              <w:spacing w:line="360" w:lineRule="auto"/>
              <w:jc w:val="center"/>
              <w:rPr>
                <w:rFonts w:hint="eastAsia" w:ascii="宋体" w:hAnsi="宋体"/>
                <w:szCs w:val="28"/>
              </w:rPr>
            </w:pPr>
          </w:p>
        </w:tc>
        <w:tc>
          <w:tcPr>
            <w:tcW w:w="982" w:type="dxa"/>
            <w:vAlign w:val="center"/>
          </w:tcPr>
          <w:p w14:paraId="2982F2E1">
            <w:pPr>
              <w:adjustRightInd w:val="0"/>
              <w:snapToGrid w:val="0"/>
              <w:spacing w:line="360" w:lineRule="auto"/>
              <w:jc w:val="center"/>
              <w:rPr>
                <w:rFonts w:hint="eastAsia" w:ascii="宋体" w:hAnsi="宋体"/>
                <w:szCs w:val="28"/>
              </w:rPr>
            </w:pPr>
          </w:p>
        </w:tc>
        <w:tc>
          <w:tcPr>
            <w:tcW w:w="860" w:type="dxa"/>
            <w:vAlign w:val="center"/>
          </w:tcPr>
          <w:p w14:paraId="1FAC5FB5">
            <w:pPr>
              <w:adjustRightInd w:val="0"/>
              <w:snapToGrid w:val="0"/>
              <w:spacing w:line="360" w:lineRule="auto"/>
              <w:jc w:val="center"/>
              <w:rPr>
                <w:rFonts w:hint="eastAsia" w:ascii="宋体" w:hAnsi="宋体"/>
                <w:szCs w:val="28"/>
              </w:rPr>
            </w:pPr>
          </w:p>
        </w:tc>
        <w:tc>
          <w:tcPr>
            <w:tcW w:w="1105" w:type="dxa"/>
            <w:vAlign w:val="center"/>
          </w:tcPr>
          <w:p w14:paraId="32E05E8C">
            <w:pPr>
              <w:adjustRightInd w:val="0"/>
              <w:snapToGrid w:val="0"/>
              <w:spacing w:line="360" w:lineRule="auto"/>
              <w:jc w:val="center"/>
              <w:rPr>
                <w:rFonts w:hint="eastAsia" w:ascii="宋体" w:hAnsi="宋体"/>
                <w:szCs w:val="28"/>
              </w:rPr>
            </w:pPr>
          </w:p>
        </w:tc>
      </w:tr>
      <w:tr w14:paraId="05576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352EBA10">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5CA4C942">
            <w:pPr>
              <w:adjustRightInd w:val="0"/>
              <w:snapToGrid w:val="0"/>
              <w:spacing w:line="360" w:lineRule="auto"/>
              <w:jc w:val="center"/>
              <w:rPr>
                <w:rFonts w:hint="eastAsia" w:ascii="宋体" w:hAnsi="宋体"/>
                <w:szCs w:val="28"/>
              </w:rPr>
            </w:pPr>
          </w:p>
        </w:tc>
        <w:tc>
          <w:tcPr>
            <w:tcW w:w="1230" w:type="dxa"/>
            <w:vAlign w:val="center"/>
          </w:tcPr>
          <w:p w14:paraId="38C9D3D3">
            <w:pPr>
              <w:adjustRightInd w:val="0"/>
              <w:snapToGrid w:val="0"/>
              <w:spacing w:line="360" w:lineRule="auto"/>
              <w:jc w:val="center"/>
              <w:rPr>
                <w:rFonts w:hint="eastAsia" w:ascii="宋体" w:hAnsi="宋体"/>
                <w:szCs w:val="28"/>
              </w:rPr>
            </w:pPr>
          </w:p>
        </w:tc>
        <w:tc>
          <w:tcPr>
            <w:tcW w:w="737" w:type="dxa"/>
            <w:vAlign w:val="center"/>
          </w:tcPr>
          <w:p w14:paraId="31D0203E">
            <w:pPr>
              <w:adjustRightInd w:val="0"/>
              <w:snapToGrid w:val="0"/>
              <w:spacing w:line="360" w:lineRule="auto"/>
              <w:jc w:val="center"/>
              <w:rPr>
                <w:rFonts w:hint="eastAsia" w:ascii="宋体" w:hAnsi="宋体"/>
                <w:szCs w:val="28"/>
              </w:rPr>
            </w:pPr>
          </w:p>
        </w:tc>
        <w:tc>
          <w:tcPr>
            <w:tcW w:w="615" w:type="dxa"/>
            <w:vAlign w:val="center"/>
          </w:tcPr>
          <w:p w14:paraId="1871B528">
            <w:pPr>
              <w:adjustRightInd w:val="0"/>
              <w:snapToGrid w:val="0"/>
              <w:spacing w:line="360" w:lineRule="auto"/>
              <w:jc w:val="center"/>
              <w:rPr>
                <w:rFonts w:hint="eastAsia" w:ascii="宋体" w:hAnsi="宋体"/>
                <w:szCs w:val="28"/>
              </w:rPr>
            </w:pPr>
          </w:p>
        </w:tc>
        <w:tc>
          <w:tcPr>
            <w:tcW w:w="860" w:type="dxa"/>
            <w:vAlign w:val="center"/>
          </w:tcPr>
          <w:p w14:paraId="5D3F6FB5">
            <w:pPr>
              <w:adjustRightInd w:val="0"/>
              <w:snapToGrid w:val="0"/>
              <w:spacing w:line="360" w:lineRule="auto"/>
              <w:jc w:val="center"/>
              <w:rPr>
                <w:rFonts w:hint="eastAsia" w:ascii="宋体" w:hAnsi="宋体"/>
                <w:szCs w:val="28"/>
              </w:rPr>
            </w:pPr>
          </w:p>
        </w:tc>
        <w:tc>
          <w:tcPr>
            <w:tcW w:w="982" w:type="dxa"/>
            <w:vAlign w:val="center"/>
          </w:tcPr>
          <w:p w14:paraId="65AD6B16">
            <w:pPr>
              <w:adjustRightInd w:val="0"/>
              <w:snapToGrid w:val="0"/>
              <w:spacing w:line="360" w:lineRule="auto"/>
              <w:jc w:val="center"/>
              <w:rPr>
                <w:rFonts w:hint="eastAsia" w:ascii="宋体" w:hAnsi="宋体"/>
                <w:szCs w:val="28"/>
              </w:rPr>
            </w:pPr>
          </w:p>
        </w:tc>
        <w:tc>
          <w:tcPr>
            <w:tcW w:w="982" w:type="dxa"/>
            <w:vAlign w:val="center"/>
          </w:tcPr>
          <w:p w14:paraId="48F22041">
            <w:pPr>
              <w:adjustRightInd w:val="0"/>
              <w:snapToGrid w:val="0"/>
              <w:spacing w:line="360" w:lineRule="auto"/>
              <w:jc w:val="center"/>
              <w:rPr>
                <w:rFonts w:hint="eastAsia" w:ascii="宋体" w:hAnsi="宋体"/>
                <w:szCs w:val="28"/>
              </w:rPr>
            </w:pPr>
          </w:p>
        </w:tc>
        <w:tc>
          <w:tcPr>
            <w:tcW w:w="860" w:type="dxa"/>
            <w:vAlign w:val="center"/>
          </w:tcPr>
          <w:p w14:paraId="0BCC41B9">
            <w:pPr>
              <w:adjustRightInd w:val="0"/>
              <w:snapToGrid w:val="0"/>
              <w:spacing w:line="360" w:lineRule="auto"/>
              <w:jc w:val="center"/>
              <w:rPr>
                <w:rFonts w:hint="eastAsia" w:ascii="宋体" w:hAnsi="宋体"/>
                <w:szCs w:val="28"/>
              </w:rPr>
            </w:pPr>
          </w:p>
        </w:tc>
        <w:tc>
          <w:tcPr>
            <w:tcW w:w="1105" w:type="dxa"/>
            <w:vAlign w:val="center"/>
          </w:tcPr>
          <w:p w14:paraId="3601FD19">
            <w:pPr>
              <w:adjustRightInd w:val="0"/>
              <w:snapToGrid w:val="0"/>
              <w:spacing w:line="360" w:lineRule="auto"/>
              <w:jc w:val="center"/>
              <w:rPr>
                <w:rFonts w:hint="eastAsia" w:ascii="宋体" w:hAnsi="宋体"/>
                <w:szCs w:val="28"/>
              </w:rPr>
            </w:pPr>
          </w:p>
        </w:tc>
      </w:tr>
      <w:tr w14:paraId="4C0D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04EFDCA6">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00F081F5">
            <w:pPr>
              <w:adjustRightInd w:val="0"/>
              <w:snapToGrid w:val="0"/>
              <w:spacing w:line="360" w:lineRule="auto"/>
              <w:jc w:val="center"/>
              <w:rPr>
                <w:rFonts w:hint="eastAsia" w:ascii="宋体" w:hAnsi="宋体"/>
                <w:szCs w:val="28"/>
              </w:rPr>
            </w:pPr>
          </w:p>
        </w:tc>
        <w:tc>
          <w:tcPr>
            <w:tcW w:w="1230" w:type="dxa"/>
            <w:vAlign w:val="center"/>
          </w:tcPr>
          <w:p w14:paraId="25B64994">
            <w:pPr>
              <w:adjustRightInd w:val="0"/>
              <w:snapToGrid w:val="0"/>
              <w:spacing w:line="360" w:lineRule="auto"/>
              <w:jc w:val="center"/>
              <w:rPr>
                <w:rFonts w:hint="eastAsia" w:ascii="宋体" w:hAnsi="宋体"/>
                <w:szCs w:val="28"/>
              </w:rPr>
            </w:pPr>
          </w:p>
        </w:tc>
        <w:tc>
          <w:tcPr>
            <w:tcW w:w="737" w:type="dxa"/>
            <w:vAlign w:val="center"/>
          </w:tcPr>
          <w:p w14:paraId="5D3187BC">
            <w:pPr>
              <w:adjustRightInd w:val="0"/>
              <w:snapToGrid w:val="0"/>
              <w:spacing w:line="360" w:lineRule="auto"/>
              <w:jc w:val="center"/>
              <w:rPr>
                <w:rFonts w:hint="eastAsia" w:ascii="宋体" w:hAnsi="宋体"/>
                <w:szCs w:val="28"/>
              </w:rPr>
            </w:pPr>
          </w:p>
        </w:tc>
        <w:tc>
          <w:tcPr>
            <w:tcW w:w="615" w:type="dxa"/>
            <w:vAlign w:val="center"/>
          </w:tcPr>
          <w:p w14:paraId="50311BE3">
            <w:pPr>
              <w:adjustRightInd w:val="0"/>
              <w:snapToGrid w:val="0"/>
              <w:spacing w:line="360" w:lineRule="auto"/>
              <w:jc w:val="center"/>
              <w:rPr>
                <w:rFonts w:hint="eastAsia" w:ascii="宋体" w:hAnsi="宋体"/>
                <w:szCs w:val="28"/>
              </w:rPr>
            </w:pPr>
          </w:p>
        </w:tc>
        <w:tc>
          <w:tcPr>
            <w:tcW w:w="860" w:type="dxa"/>
            <w:vAlign w:val="center"/>
          </w:tcPr>
          <w:p w14:paraId="0707BADF">
            <w:pPr>
              <w:adjustRightInd w:val="0"/>
              <w:snapToGrid w:val="0"/>
              <w:spacing w:line="360" w:lineRule="auto"/>
              <w:jc w:val="center"/>
              <w:rPr>
                <w:rFonts w:hint="eastAsia" w:ascii="宋体" w:hAnsi="宋体"/>
                <w:szCs w:val="28"/>
              </w:rPr>
            </w:pPr>
          </w:p>
        </w:tc>
        <w:tc>
          <w:tcPr>
            <w:tcW w:w="982" w:type="dxa"/>
            <w:vAlign w:val="center"/>
          </w:tcPr>
          <w:p w14:paraId="4E98A399">
            <w:pPr>
              <w:adjustRightInd w:val="0"/>
              <w:snapToGrid w:val="0"/>
              <w:spacing w:line="360" w:lineRule="auto"/>
              <w:jc w:val="center"/>
              <w:rPr>
                <w:rFonts w:hint="eastAsia" w:ascii="宋体" w:hAnsi="宋体"/>
                <w:szCs w:val="28"/>
              </w:rPr>
            </w:pPr>
          </w:p>
        </w:tc>
        <w:tc>
          <w:tcPr>
            <w:tcW w:w="982" w:type="dxa"/>
            <w:vAlign w:val="center"/>
          </w:tcPr>
          <w:p w14:paraId="50C91353">
            <w:pPr>
              <w:adjustRightInd w:val="0"/>
              <w:snapToGrid w:val="0"/>
              <w:spacing w:line="360" w:lineRule="auto"/>
              <w:jc w:val="center"/>
              <w:rPr>
                <w:rFonts w:hint="eastAsia" w:ascii="宋体" w:hAnsi="宋体"/>
                <w:szCs w:val="28"/>
              </w:rPr>
            </w:pPr>
          </w:p>
        </w:tc>
        <w:tc>
          <w:tcPr>
            <w:tcW w:w="860" w:type="dxa"/>
            <w:vAlign w:val="center"/>
          </w:tcPr>
          <w:p w14:paraId="4CF742D3">
            <w:pPr>
              <w:adjustRightInd w:val="0"/>
              <w:snapToGrid w:val="0"/>
              <w:spacing w:line="360" w:lineRule="auto"/>
              <w:jc w:val="center"/>
              <w:rPr>
                <w:rFonts w:hint="eastAsia" w:ascii="宋体" w:hAnsi="宋体"/>
                <w:szCs w:val="28"/>
              </w:rPr>
            </w:pPr>
          </w:p>
        </w:tc>
        <w:tc>
          <w:tcPr>
            <w:tcW w:w="1105" w:type="dxa"/>
            <w:vAlign w:val="center"/>
          </w:tcPr>
          <w:p w14:paraId="44CB732A">
            <w:pPr>
              <w:adjustRightInd w:val="0"/>
              <w:snapToGrid w:val="0"/>
              <w:spacing w:line="360" w:lineRule="auto"/>
              <w:jc w:val="center"/>
              <w:rPr>
                <w:rFonts w:hint="eastAsia" w:ascii="宋体" w:hAnsi="宋体"/>
                <w:szCs w:val="28"/>
              </w:rPr>
            </w:pPr>
          </w:p>
        </w:tc>
      </w:tr>
      <w:tr w14:paraId="3B79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4F9430D2">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0321B9E4">
            <w:pPr>
              <w:adjustRightInd w:val="0"/>
              <w:snapToGrid w:val="0"/>
              <w:spacing w:line="360" w:lineRule="auto"/>
              <w:jc w:val="center"/>
              <w:rPr>
                <w:rFonts w:hint="eastAsia" w:ascii="宋体" w:hAnsi="宋体"/>
                <w:szCs w:val="28"/>
              </w:rPr>
            </w:pPr>
          </w:p>
        </w:tc>
        <w:tc>
          <w:tcPr>
            <w:tcW w:w="1230" w:type="dxa"/>
            <w:vAlign w:val="center"/>
          </w:tcPr>
          <w:p w14:paraId="3FE50BE3">
            <w:pPr>
              <w:adjustRightInd w:val="0"/>
              <w:snapToGrid w:val="0"/>
              <w:spacing w:line="360" w:lineRule="auto"/>
              <w:jc w:val="center"/>
              <w:rPr>
                <w:rFonts w:hint="eastAsia" w:ascii="宋体" w:hAnsi="宋体"/>
                <w:szCs w:val="28"/>
              </w:rPr>
            </w:pPr>
          </w:p>
        </w:tc>
        <w:tc>
          <w:tcPr>
            <w:tcW w:w="737" w:type="dxa"/>
            <w:vAlign w:val="center"/>
          </w:tcPr>
          <w:p w14:paraId="5105D5D0">
            <w:pPr>
              <w:adjustRightInd w:val="0"/>
              <w:snapToGrid w:val="0"/>
              <w:spacing w:line="360" w:lineRule="auto"/>
              <w:jc w:val="center"/>
              <w:rPr>
                <w:rFonts w:hint="eastAsia" w:ascii="宋体" w:hAnsi="宋体"/>
                <w:szCs w:val="28"/>
              </w:rPr>
            </w:pPr>
          </w:p>
        </w:tc>
        <w:tc>
          <w:tcPr>
            <w:tcW w:w="615" w:type="dxa"/>
            <w:vAlign w:val="center"/>
          </w:tcPr>
          <w:p w14:paraId="67E86EF1">
            <w:pPr>
              <w:adjustRightInd w:val="0"/>
              <w:snapToGrid w:val="0"/>
              <w:spacing w:line="360" w:lineRule="auto"/>
              <w:jc w:val="center"/>
              <w:rPr>
                <w:rFonts w:hint="eastAsia" w:ascii="宋体" w:hAnsi="宋体"/>
                <w:szCs w:val="28"/>
              </w:rPr>
            </w:pPr>
          </w:p>
        </w:tc>
        <w:tc>
          <w:tcPr>
            <w:tcW w:w="860" w:type="dxa"/>
            <w:vAlign w:val="center"/>
          </w:tcPr>
          <w:p w14:paraId="5AF50058">
            <w:pPr>
              <w:adjustRightInd w:val="0"/>
              <w:snapToGrid w:val="0"/>
              <w:spacing w:line="360" w:lineRule="auto"/>
              <w:jc w:val="center"/>
              <w:rPr>
                <w:rFonts w:hint="eastAsia" w:ascii="宋体" w:hAnsi="宋体"/>
                <w:szCs w:val="28"/>
              </w:rPr>
            </w:pPr>
          </w:p>
        </w:tc>
        <w:tc>
          <w:tcPr>
            <w:tcW w:w="982" w:type="dxa"/>
            <w:vAlign w:val="center"/>
          </w:tcPr>
          <w:p w14:paraId="041B2649">
            <w:pPr>
              <w:adjustRightInd w:val="0"/>
              <w:snapToGrid w:val="0"/>
              <w:spacing w:line="360" w:lineRule="auto"/>
              <w:jc w:val="center"/>
              <w:rPr>
                <w:rFonts w:hint="eastAsia" w:ascii="宋体" w:hAnsi="宋体"/>
                <w:szCs w:val="28"/>
              </w:rPr>
            </w:pPr>
          </w:p>
        </w:tc>
        <w:tc>
          <w:tcPr>
            <w:tcW w:w="982" w:type="dxa"/>
            <w:vAlign w:val="center"/>
          </w:tcPr>
          <w:p w14:paraId="20986ABB">
            <w:pPr>
              <w:adjustRightInd w:val="0"/>
              <w:snapToGrid w:val="0"/>
              <w:spacing w:line="360" w:lineRule="auto"/>
              <w:jc w:val="center"/>
              <w:rPr>
                <w:rFonts w:hint="eastAsia" w:ascii="宋体" w:hAnsi="宋体"/>
                <w:szCs w:val="28"/>
              </w:rPr>
            </w:pPr>
          </w:p>
        </w:tc>
        <w:tc>
          <w:tcPr>
            <w:tcW w:w="860" w:type="dxa"/>
            <w:vAlign w:val="center"/>
          </w:tcPr>
          <w:p w14:paraId="124341DB">
            <w:pPr>
              <w:adjustRightInd w:val="0"/>
              <w:snapToGrid w:val="0"/>
              <w:spacing w:line="360" w:lineRule="auto"/>
              <w:jc w:val="center"/>
              <w:rPr>
                <w:rFonts w:hint="eastAsia" w:ascii="宋体" w:hAnsi="宋体"/>
                <w:szCs w:val="28"/>
              </w:rPr>
            </w:pPr>
          </w:p>
        </w:tc>
        <w:tc>
          <w:tcPr>
            <w:tcW w:w="1105" w:type="dxa"/>
            <w:vAlign w:val="center"/>
          </w:tcPr>
          <w:p w14:paraId="394231B2">
            <w:pPr>
              <w:adjustRightInd w:val="0"/>
              <w:snapToGrid w:val="0"/>
              <w:spacing w:line="360" w:lineRule="auto"/>
              <w:jc w:val="center"/>
              <w:rPr>
                <w:rFonts w:hint="eastAsia" w:ascii="宋体" w:hAnsi="宋体"/>
                <w:szCs w:val="28"/>
              </w:rPr>
            </w:pPr>
          </w:p>
        </w:tc>
      </w:tr>
      <w:tr w14:paraId="25F0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37155E17">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49C76827">
            <w:pPr>
              <w:adjustRightInd w:val="0"/>
              <w:snapToGrid w:val="0"/>
              <w:spacing w:line="360" w:lineRule="auto"/>
              <w:jc w:val="center"/>
              <w:rPr>
                <w:rFonts w:hint="eastAsia" w:ascii="宋体" w:hAnsi="宋体"/>
                <w:szCs w:val="28"/>
              </w:rPr>
            </w:pPr>
          </w:p>
        </w:tc>
        <w:tc>
          <w:tcPr>
            <w:tcW w:w="1230" w:type="dxa"/>
            <w:vAlign w:val="center"/>
          </w:tcPr>
          <w:p w14:paraId="01F38B2B">
            <w:pPr>
              <w:adjustRightInd w:val="0"/>
              <w:snapToGrid w:val="0"/>
              <w:spacing w:line="360" w:lineRule="auto"/>
              <w:jc w:val="center"/>
              <w:rPr>
                <w:rFonts w:hint="eastAsia" w:ascii="宋体" w:hAnsi="宋体"/>
                <w:szCs w:val="28"/>
              </w:rPr>
            </w:pPr>
          </w:p>
        </w:tc>
        <w:tc>
          <w:tcPr>
            <w:tcW w:w="737" w:type="dxa"/>
            <w:vAlign w:val="center"/>
          </w:tcPr>
          <w:p w14:paraId="772EB2C8">
            <w:pPr>
              <w:adjustRightInd w:val="0"/>
              <w:snapToGrid w:val="0"/>
              <w:spacing w:line="360" w:lineRule="auto"/>
              <w:jc w:val="center"/>
              <w:rPr>
                <w:rFonts w:hint="eastAsia" w:ascii="宋体" w:hAnsi="宋体"/>
                <w:szCs w:val="28"/>
              </w:rPr>
            </w:pPr>
          </w:p>
        </w:tc>
        <w:tc>
          <w:tcPr>
            <w:tcW w:w="615" w:type="dxa"/>
            <w:vAlign w:val="center"/>
          </w:tcPr>
          <w:p w14:paraId="558D8B68">
            <w:pPr>
              <w:adjustRightInd w:val="0"/>
              <w:snapToGrid w:val="0"/>
              <w:spacing w:line="360" w:lineRule="auto"/>
              <w:jc w:val="center"/>
              <w:rPr>
                <w:rFonts w:hint="eastAsia" w:ascii="宋体" w:hAnsi="宋体"/>
                <w:szCs w:val="28"/>
              </w:rPr>
            </w:pPr>
          </w:p>
        </w:tc>
        <w:tc>
          <w:tcPr>
            <w:tcW w:w="860" w:type="dxa"/>
            <w:vAlign w:val="center"/>
          </w:tcPr>
          <w:p w14:paraId="322A0327">
            <w:pPr>
              <w:adjustRightInd w:val="0"/>
              <w:snapToGrid w:val="0"/>
              <w:spacing w:line="360" w:lineRule="auto"/>
              <w:jc w:val="center"/>
              <w:rPr>
                <w:rFonts w:hint="eastAsia" w:ascii="宋体" w:hAnsi="宋体"/>
                <w:szCs w:val="28"/>
              </w:rPr>
            </w:pPr>
          </w:p>
        </w:tc>
        <w:tc>
          <w:tcPr>
            <w:tcW w:w="982" w:type="dxa"/>
            <w:vAlign w:val="center"/>
          </w:tcPr>
          <w:p w14:paraId="10C7B800">
            <w:pPr>
              <w:adjustRightInd w:val="0"/>
              <w:snapToGrid w:val="0"/>
              <w:spacing w:line="360" w:lineRule="auto"/>
              <w:jc w:val="center"/>
              <w:rPr>
                <w:rFonts w:hint="eastAsia" w:ascii="宋体" w:hAnsi="宋体"/>
                <w:szCs w:val="28"/>
              </w:rPr>
            </w:pPr>
          </w:p>
        </w:tc>
        <w:tc>
          <w:tcPr>
            <w:tcW w:w="982" w:type="dxa"/>
            <w:vAlign w:val="center"/>
          </w:tcPr>
          <w:p w14:paraId="58EAA0C1">
            <w:pPr>
              <w:adjustRightInd w:val="0"/>
              <w:snapToGrid w:val="0"/>
              <w:spacing w:line="360" w:lineRule="auto"/>
              <w:jc w:val="center"/>
              <w:rPr>
                <w:rFonts w:hint="eastAsia" w:ascii="宋体" w:hAnsi="宋体"/>
                <w:szCs w:val="28"/>
              </w:rPr>
            </w:pPr>
          </w:p>
        </w:tc>
        <w:tc>
          <w:tcPr>
            <w:tcW w:w="860" w:type="dxa"/>
            <w:vAlign w:val="center"/>
          </w:tcPr>
          <w:p w14:paraId="3C25F444">
            <w:pPr>
              <w:adjustRightInd w:val="0"/>
              <w:snapToGrid w:val="0"/>
              <w:spacing w:line="360" w:lineRule="auto"/>
              <w:jc w:val="center"/>
              <w:rPr>
                <w:rFonts w:hint="eastAsia" w:ascii="宋体" w:hAnsi="宋体"/>
                <w:szCs w:val="28"/>
              </w:rPr>
            </w:pPr>
          </w:p>
        </w:tc>
        <w:tc>
          <w:tcPr>
            <w:tcW w:w="1105" w:type="dxa"/>
            <w:vAlign w:val="center"/>
          </w:tcPr>
          <w:p w14:paraId="17189A9D">
            <w:pPr>
              <w:adjustRightInd w:val="0"/>
              <w:snapToGrid w:val="0"/>
              <w:spacing w:line="360" w:lineRule="auto"/>
              <w:jc w:val="center"/>
              <w:rPr>
                <w:rFonts w:hint="eastAsia" w:ascii="宋体" w:hAnsi="宋体"/>
                <w:szCs w:val="28"/>
              </w:rPr>
            </w:pPr>
          </w:p>
        </w:tc>
      </w:tr>
      <w:tr w14:paraId="5D62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0C9D3019">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054AE662">
            <w:pPr>
              <w:adjustRightInd w:val="0"/>
              <w:snapToGrid w:val="0"/>
              <w:spacing w:line="360" w:lineRule="auto"/>
              <w:jc w:val="center"/>
              <w:rPr>
                <w:rFonts w:hint="eastAsia" w:ascii="宋体" w:hAnsi="宋体"/>
                <w:szCs w:val="28"/>
              </w:rPr>
            </w:pPr>
          </w:p>
        </w:tc>
        <w:tc>
          <w:tcPr>
            <w:tcW w:w="1230" w:type="dxa"/>
            <w:vAlign w:val="center"/>
          </w:tcPr>
          <w:p w14:paraId="2574F307">
            <w:pPr>
              <w:adjustRightInd w:val="0"/>
              <w:snapToGrid w:val="0"/>
              <w:spacing w:line="360" w:lineRule="auto"/>
              <w:jc w:val="center"/>
              <w:rPr>
                <w:rFonts w:hint="eastAsia" w:ascii="宋体" w:hAnsi="宋体"/>
                <w:szCs w:val="28"/>
              </w:rPr>
            </w:pPr>
          </w:p>
        </w:tc>
        <w:tc>
          <w:tcPr>
            <w:tcW w:w="737" w:type="dxa"/>
            <w:vAlign w:val="center"/>
          </w:tcPr>
          <w:p w14:paraId="129C1A94">
            <w:pPr>
              <w:adjustRightInd w:val="0"/>
              <w:snapToGrid w:val="0"/>
              <w:spacing w:line="360" w:lineRule="auto"/>
              <w:jc w:val="center"/>
              <w:rPr>
                <w:rFonts w:hint="eastAsia" w:ascii="宋体" w:hAnsi="宋体"/>
                <w:szCs w:val="28"/>
              </w:rPr>
            </w:pPr>
          </w:p>
        </w:tc>
        <w:tc>
          <w:tcPr>
            <w:tcW w:w="615" w:type="dxa"/>
            <w:vAlign w:val="center"/>
          </w:tcPr>
          <w:p w14:paraId="09B45ABD">
            <w:pPr>
              <w:adjustRightInd w:val="0"/>
              <w:snapToGrid w:val="0"/>
              <w:spacing w:line="360" w:lineRule="auto"/>
              <w:jc w:val="center"/>
              <w:rPr>
                <w:rFonts w:hint="eastAsia" w:ascii="宋体" w:hAnsi="宋体"/>
                <w:szCs w:val="28"/>
              </w:rPr>
            </w:pPr>
          </w:p>
        </w:tc>
        <w:tc>
          <w:tcPr>
            <w:tcW w:w="860" w:type="dxa"/>
            <w:vAlign w:val="center"/>
          </w:tcPr>
          <w:p w14:paraId="6709B643">
            <w:pPr>
              <w:adjustRightInd w:val="0"/>
              <w:snapToGrid w:val="0"/>
              <w:spacing w:line="360" w:lineRule="auto"/>
              <w:jc w:val="center"/>
              <w:rPr>
                <w:rFonts w:hint="eastAsia" w:ascii="宋体" w:hAnsi="宋体"/>
                <w:szCs w:val="28"/>
              </w:rPr>
            </w:pPr>
          </w:p>
        </w:tc>
        <w:tc>
          <w:tcPr>
            <w:tcW w:w="982" w:type="dxa"/>
            <w:vAlign w:val="center"/>
          </w:tcPr>
          <w:p w14:paraId="7AA20B9E">
            <w:pPr>
              <w:adjustRightInd w:val="0"/>
              <w:snapToGrid w:val="0"/>
              <w:spacing w:line="360" w:lineRule="auto"/>
              <w:jc w:val="center"/>
              <w:rPr>
                <w:rFonts w:hint="eastAsia" w:ascii="宋体" w:hAnsi="宋体"/>
                <w:szCs w:val="28"/>
              </w:rPr>
            </w:pPr>
          </w:p>
        </w:tc>
        <w:tc>
          <w:tcPr>
            <w:tcW w:w="982" w:type="dxa"/>
            <w:vAlign w:val="center"/>
          </w:tcPr>
          <w:p w14:paraId="35A4A017">
            <w:pPr>
              <w:adjustRightInd w:val="0"/>
              <w:snapToGrid w:val="0"/>
              <w:spacing w:line="360" w:lineRule="auto"/>
              <w:jc w:val="center"/>
              <w:rPr>
                <w:rFonts w:hint="eastAsia" w:ascii="宋体" w:hAnsi="宋体"/>
                <w:szCs w:val="28"/>
              </w:rPr>
            </w:pPr>
          </w:p>
        </w:tc>
        <w:tc>
          <w:tcPr>
            <w:tcW w:w="860" w:type="dxa"/>
            <w:vAlign w:val="center"/>
          </w:tcPr>
          <w:p w14:paraId="079E5738">
            <w:pPr>
              <w:adjustRightInd w:val="0"/>
              <w:snapToGrid w:val="0"/>
              <w:spacing w:line="360" w:lineRule="auto"/>
              <w:jc w:val="center"/>
              <w:rPr>
                <w:rFonts w:hint="eastAsia" w:ascii="宋体" w:hAnsi="宋体"/>
                <w:szCs w:val="28"/>
              </w:rPr>
            </w:pPr>
          </w:p>
        </w:tc>
        <w:tc>
          <w:tcPr>
            <w:tcW w:w="1105" w:type="dxa"/>
            <w:vAlign w:val="center"/>
          </w:tcPr>
          <w:p w14:paraId="6084B00C">
            <w:pPr>
              <w:adjustRightInd w:val="0"/>
              <w:snapToGrid w:val="0"/>
              <w:spacing w:line="360" w:lineRule="auto"/>
              <w:jc w:val="center"/>
              <w:rPr>
                <w:rFonts w:hint="eastAsia" w:ascii="宋体" w:hAnsi="宋体"/>
                <w:szCs w:val="28"/>
              </w:rPr>
            </w:pPr>
          </w:p>
        </w:tc>
      </w:tr>
      <w:tr w14:paraId="3D60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A8AAFCE">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25873234">
            <w:pPr>
              <w:adjustRightInd w:val="0"/>
              <w:snapToGrid w:val="0"/>
              <w:spacing w:line="360" w:lineRule="auto"/>
              <w:jc w:val="center"/>
              <w:rPr>
                <w:rFonts w:hint="eastAsia" w:ascii="宋体" w:hAnsi="宋体"/>
                <w:szCs w:val="28"/>
              </w:rPr>
            </w:pPr>
          </w:p>
        </w:tc>
        <w:tc>
          <w:tcPr>
            <w:tcW w:w="1230" w:type="dxa"/>
            <w:vAlign w:val="center"/>
          </w:tcPr>
          <w:p w14:paraId="4E9DA97D">
            <w:pPr>
              <w:adjustRightInd w:val="0"/>
              <w:snapToGrid w:val="0"/>
              <w:spacing w:line="360" w:lineRule="auto"/>
              <w:jc w:val="center"/>
              <w:rPr>
                <w:rFonts w:hint="eastAsia" w:ascii="宋体" w:hAnsi="宋体"/>
                <w:szCs w:val="28"/>
              </w:rPr>
            </w:pPr>
          </w:p>
        </w:tc>
        <w:tc>
          <w:tcPr>
            <w:tcW w:w="737" w:type="dxa"/>
            <w:vAlign w:val="center"/>
          </w:tcPr>
          <w:p w14:paraId="117C0DE2">
            <w:pPr>
              <w:adjustRightInd w:val="0"/>
              <w:snapToGrid w:val="0"/>
              <w:spacing w:line="360" w:lineRule="auto"/>
              <w:jc w:val="center"/>
              <w:rPr>
                <w:rFonts w:hint="eastAsia" w:ascii="宋体" w:hAnsi="宋体"/>
                <w:szCs w:val="28"/>
              </w:rPr>
            </w:pPr>
          </w:p>
        </w:tc>
        <w:tc>
          <w:tcPr>
            <w:tcW w:w="615" w:type="dxa"/>
            <w:vAlign w:val="center"/>
          </w:tcPr>
          <w:p w14:paraId="5F2D5909">
            <w:pPr>
              <w:adjustRightInd w:val="0"/>
              <w:snapToGrid w:val="0"/>
              <w:spacing w:line="360" w:lineRule="auto"/>
              <w:jc w:val="center"/>
              <w:rPr>
                <w:rFonts w:hint="eastAsia" w:ascii="宋体" w:hAnsi="宋体"/>
                <w:szCs w:val="28"/>
              </w:rPr>
            </w:pPr>
          </w:p>
        </w:tc>
        <w:tc>
          <w:tcPr>
            <w:tcW w:w="860" w:type="dxa"/>
            <w:vAlign w:val="center"/>
          </w:tcPr>
          <w:p w14:paraId="69BDA87A">
            <w:pPr>
              <w:adjustRightInd w:val="0"/>
              <w:snapToGrid w:val="0"/>
              <w:spacing w:line="360" w:lineRule="auto"/>
              <w:jc w:val="center"/>
              <w:rPr>
                <w:rFonts w:hint="eastAsia" w:ascii="宋体" w:hAnsi="宋体"/>
                <w:szCs w:val="28"/>
              </w:rPr>
            </w:pPr>
          </w:p>
        </w:tc>
        <w:tc>
          <w:tcPr>
            <w:tcW w:w="982" w:type="dxa"/>
            <w:vAlign w:val="center"/>
          </w:tcPr>
          <w:p w14:paraId="2BF533FA">
            <w:pPr>
              <w:adjustRightInd w:val="0"/>
              <w:snapToGrid w:val="0"/>
              <w:spacing w:line="360" w:lineRule="auto"/>
              <w:jc w:val="center"/>
              <w:rPr>
                <w:rFonts w:hint="eastAsia" w:ascii="宋体" w:hAnsi="宋体"/>
                <w:szCs w:val="28"/>
              </w:rPr>
            </w:pPr>
          </w:p>
        </w:tc>
        <w:tc>
          <w:tcPr>
            <w:tcW w:w="982" w:type="dxa"/>
            <w:vAlign w:val="center"/>
          </w:tcPr>
          <w:p w14:paraId="78D7C79F">
            <w:pPr>
              <w:adjustRightInd w:val="0"/>
              <w:snapToGrid w:val="0"/>
              <w:spacing w:line="360" w:lineRule="auto"/>
              <w:jc w:val="center"/>
              <w:rPr>
                <w:rFonts w:hint="eastAsia" w:ascii="宋体" w:hAnsi="宋体"/>
                <w:szCs w:val="28"/>
              </w:rPr>
            </w:pPr>
          </w:p>
        </w:tc>
        <w:tc>
          <w:tcPr>
            <w:tcW w:w="860" w:type="dxa"/>
            <w:vAlign w:val="center"/>
          </w:tcPr>
          <w:p w14:paraId="09121BBF">
            <w:pPr>
              <w:adjustRightInd w:val="0"/>
              <w:snapToGrid w:val="0"/>
              <w:spacing w:line="360" w:lineRule="auto"/>
              <w:jc w:val="center"/>
              <w:rPr>
                <w:rFonts w:hint="eastAsia" w:ascii="宋体" w:hAnsi="宋体"/>
                <w:szCs w:val="28"/>
              </w:rPr>
            </w:pPr>
          </w:p>
        </w:tc>
        <w:tc>
          <w:tcPr>
            <w:tcW w:w="1105" w:type="dxa"/>
            <w:vAlign w:val="center"/>
          </w:tcPr>
          <w:p w14:paraId="16BF20F7">
            <w:pPr>
              <w:adjustRightInd w:val="0"/>
              <w:snapToGrid w:val="0"/>
              <w:spacing w:line="360" w:lineRule="auto"/>
              <w:jc w:val="center"/>
              <w:rPr>
                <w:rFonts w:hint="eastAsia" w:ascii="宋体" w:hAnsi="宋体"/>
                <w:szCs w:val="28"/>
              </w:rPr>
            </w:pPr>
          </w:p>
        </w:tc>
      </w:tr>
      <w:tr w14:paraId="4FE3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377C55B5">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37F0CA7C">
            <w:pPr>
              <w:adjustRightInd w:val="0"/>
              <w:snapToGrid w:val="0"/>
              <w:spacing w:line="360" w:lineRule="auto"/>
              <w:jc w:val="center"/>
              <w:rPr>
                <w:rFonts w:hint="eastAsia" w:ascii="宋体" w:hAnsi="宋体"/>
                <w:szCs w:val="28"/>
              </w:rPr>
            </w:pPr>
          </w:p>
        </w:tc>
        <w:tc>
          <w:tcPr>
            <w:tcW w:w="1230" w:type="dxa"/>
            <w:vAlign w:val="center"/>
          </w:tcPr>
          <w:p w14:paraId="2B94C6B2">
            <w:pPr>
              <w:adjustRightInd w:val="0"/>
              <w:snapToGrid w:val="0"/>
              <w:spacing w:line="360" w:lineRule="auto"/>
              <w:jc w:val="center"/>
              <w:rPr>
                <w:rFonts w:hint="eastAsia" w:ascii="宋体" w:hAnsi="宋体"/>
                <w:szCs w:val="28"/>
              </w:rPr>
            </w:pPr>
          </w:p>
        </w:tc>
        <w:tc>
          <w:tcPr>
            <w:tcW w:w="737" w:type="dxa"/>
            <w:vAlign w:val="center"/>
          </w:tcPr>
          <w:p w14:paraId="059777BB">
            <w:pPr>
              <w:adjustRightInd w:val="0"/>
              <w:snapToGrid w:val="0"/>
              <w:spacing w:line="360" w:lineRule="auto"/>
              <w:jc w:val="center"/>
              <w:rPr>
                <w:rFonts w:hint="eastAsia" w:ascii="宋体" w:hAnsi="宋体"/>
                <w:szCs w:val="28"/>
              </w:rPr>
            </w:pPr>
          </w:p>
        </w:tc>
        <w:tc>
          <w:tcPr>
            <w:tcW w:w="615" w:type="dxa"/>
            <w:vAlign w:val="center"/>
          </w:tcPr>
          <w:p w14:paraId="1ED8E4FA">
            <w:pPr>
              <w:adjustRightInd w:val="0"/>
              <w:snapToGrid w:val="0"/>
              <w:spacing w:line="360" w:lineRule="auto"/>
              <w:jc w:val="center"/>
              <w:rPr>
                <w:rFonts w:hint="eastAsia" w:ascii="宋体" w:hAnsi="宋体"/>
                <w:szCs w:val="28"/>
              </w:rPr>
            </w:pPr>
          </w:p>
        </w:tc>
        <w:tc>
          <w:tcPr>
            <w:tcW w:w="860" w:type="dxa"/>
            <w:vAlign w:val="center"/>
          </w:tcPr>
          <w:p w14:paraId="01D50C76">
            <w:pPr>
              <w:adjustRightInd w:val="0"/>
              <w:snapToGrid w:val="0"/>
              <w:spacing w:line="360" w:lineRule="auto"/>
              <w:jc w:val="center"/>
              <w:rPr>
                <w:rFonts w:hint="eastAsia" w:ascii="宋体" w:hAnsi="宋体"/>
                <w:szCs w:val="28"/>
              </w:rPr>
            </w:pPr>
          </w:p>
        </w:tc>
        <w:tc>
          <w:tcPr>
            <w:tcW w:w="982" w:type="dxa"/>
            <w:vAlign w:val="center"/>
          </w:tcPr>
          <w:p w14:paraId="654BC2D6">
            <w:pPr>
              <w:adjustRightInd w:val="0"/>
              <w:snapToGrid w:val="0"/>
              <w:spacing w:line="360" w:lineRule="auto"/>
              <w:jc w:val="center"/>
              <w:rPr>
                <w:rFonts w:hint="eastAsia" w:ascii="宋体" w:hAnsi="宋体"/>
                <w:szCs w:val="28"/>
              </w:rPr>
            </w:pPr>
          </w:p>
        </w:tc>
        <w:tc>
          <w:tcPr>
            <w:tcW w:w="982" w:type="dxa"/>
            <w:vAlign w:val="center"/>
          </w:tcPr>
          <w:p w14:paraId="267E7FE3">
            <w:pPr>
              <w:adjustRightInd w:val="0"/>
              <w:snapToGrid w:val="0"/>
              <w:spacing w:line="360" w:lineRule="auto"/>
              <w:jc w:val="center"/>
              <w:rPr>
                <w:rFonts w:hint="eastAsia" w:ascii="宋体" w:hAnsi="宋体"/>
                <w:szCs w:val="28"/>
              </w:rPr>
            </w:pPr>
          </w:p>
        </w:tc>
        <w:tc>
          <w:tcPr>
            <w:tcW w:w="860" w:type="dxa"/>
            <w:vAlign w:val="center"/>
          </w:tcPr>
          <w:p w14:paraId="5DFCE069">
            <w:pPr>
              <w:adjustRightInd w:val="0"/>
              <w:snapToGrid w:val="0"/>
              <w:spacing w:line="360" w:lineRule="auto"/>
              <w:jc w:val="center"/>
              <w:rPr>
                <w:rFonts w:hint="eastAsia" w:ascii="宋体" w:hAnsi="宋体"/>
                <w:szCs w:val="28"/>
              </w:rPr>
            </w:pPr>
          </w:p>
        </w:tc>
        <w:tc>
          <w:tcPr>
            <w:tcW w:w="1105" w:type="dxa"/>
            <w:vAlign w:val="center"/>
          </w:tcPr>
          <w:p w14:paraId="4939F7C8">
            <w:pPr>
              <w:adjustRightInd w:val="0"/>
              <w:snapToGrid w:val="0"/>
              <w:spacing w:line="360" w:lineRule="auto"/>
              <w:jc w:val="center"/>
              <w:rPr>
                <w:rFonts w:hint="eastAsia" w:ascii="宋体" w:hAnsi="宋体"/>
                <w:szCs w:val="28"/>
              </w:rPr>
            </w:pPr>
          </w:p>
        </w:tc>
      </w:tr>
      <w:tr w14:paraId="673E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688FA91B">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6A576E63">
            <w:pPr>
              <w:adjustRightInd w:val="0"/>
              <w:snapToGrid w:val="0"/>
              <w:spacing w:line="360" w:lineRule="auto"/>
              <w:jc w:val="center"/>
              <w:rPr>
                <w:rFonts w:hint="eastAsia" w:ascii="宋体" w:hAnsi="宋体"/>
                <w:szCs w:val="28"/>
              </w:rPr>
            </w:pPr>
          </w:p>
        </w:tc>
        <w:tc>
          <w:tcPr>
            <w:tcW w:w="1230" w:type="dxa"/>
            <w:vAlign w:val="center"/>
          </w:tcPr>
          <w:p w14:paraId="3732B64A">
            <w:pPr>
              <w:adjustRightInd w:val="0"/>
              <w:snapToGrid w:val="0"/>
              <w:spacing w:line="360" w:lineRule="auto"/>
              <w:jc w:val="center"/>
              <w:rPr>
                <w:rFonts w:hint="eastAsia" w:ascii="宋体" w:hAnsi="宋体"/>
                <w:szCs w:val="28"/>
              </w:rPr>
            </w:pPr>
          </w:p>
        </w:tc>
        <w:tc>
          <w:tcPr>
            <w:tcW w:w="737" w:type="dxa"/>
            <w:vAlign w:val="center"/>
          </w:tcPr>
          <w:p w14:paraId="2F88050F">
            <w:pPr>
              <w:adjustRightInd w:val="0"/>
              <w:snapToGrid w:val="0"/>
              <w:spacing w:line="360" w:lineRule="auto"/>
              <w:jc w:val="center"/>
              <w:rPr>
                <w:rFonts w:hint="eastAsia" w:ascii="宋体" w:hAnsi="宋体"/>
                <w:szCs w:val="28"/>
              </w:rPr>
            </w:pPr>
          </w:p>
        </w:tc>
        <w:tc>
          <w:tcPr>
            <w:tcW w:w="615" w:type="dxa"/>
            <w:vAlign w:val="center"/>
          </w:tcPr>
          <w:p w14:paraId="1036D191">
            <w:pPr>
              <w:adjustRightInd w:val="0"/>
              <w:snapToGrid w:val="0"/>
              <w:spacing w:line="360" w:lineRule="auto"/>
              <w:jc w:val="center"/>
              <w:rPr>
                <w:rFonts w:hint="eastAsia" w:ascii="宋体" w:hAnsi="宋体"/>
                <w:szCs w:val="28"/>
              </w:rPr>
            </w:pPr>
          </w:p>
        </w:tc>
        <w:tc>
          <w:tcPr>
            <w:tcW w:w="860" w:type="dxa"/>
            <w:vAlign w:val="center"/>
          </w:tcPr>
          <w:p w14:paraId="2212553C">
            <w:pPr>
              <w:adjustRightInd w:val="0"/>
              <w:snapToGrid w:val="0"/>
              <w:spacing w:line="360" w:lineRule="auto"/>
              <w:jc w:val="center"/>
              <w:rPr>
                <w:rFonts w:hint="eastAsia" w:ascii="宋体" w:hAnsi="宋体"/>
                <w:szCs w:val="28"/>
              </w:rPr>
            </w:pPr>
          </w:p>
        </w:tc>
        <w:tc>
          <w:tcPr>
            <w:tcW w:w="982" w:type="dxa"/>
            <w:vAlign w:val="center"/>
          </w:tcPr>
          <w:p w14:paraId="345CA30F">
            <w:pPr>
              <w:adjustRightInd w:val="0"/>
              <w:snapToGrid w:val="0"/>
              <w:spacing w:line="360" w:lineRule="auto"/>
              <w:jc w:val="center"/>
              <w:rPr>
                <w:rFonts w:hint="eastAsia" w:ascii="宋体" w:hAnsi="宋体"/>
                <w:szCs w:val="28"/>
              </w:rPr>
            </w:pPr>
          </w:p>
        </w:tc>
        <w:tc>
          <w:tcPr>
            <w:tcW w:w="982" w:type="dxa"/>
            <w:vAlign w:val="center"/>
          </w:tcPr>
          <w:p w14:paraId="60E83C21">
            <w:pPr>
              <w:adjustRightInd w:val="0"/>
              <w:snapToGrid w:val="0"/>
              <w:spacing w:line="360" w:lineRule="auto"/>
              <w:jc w:val="center"/>
              <w:rPr>
                <w:rFonts w:hint="eastAsia" w:ascii="宋体" w:hAnsi="宋体"/>
                <w:szCs w:val="28"/>
              </w:rPr>
            </w:pPr>
          </w:p>
        </w:tc>
        <w:tc>
          <w:tcPr>
            <w:tcW w:w="860" w:type="dxa"/>
            <w:vAlign w:val="center"/>
          </w:tcPr>
          <w:p w14:paraId="4857BB58">
            <w:pPr>
              <w:adjustRightInd w:val="0"/>
              <w:snapToGrid w:val="0"/>
              <w:spacing w:line="360" w:lineRule="auto"/>
              <w:jc w:val="center"/>
              <w:rPr>
                <w:rFonts w:hint="eastAsia" w:ascii="宋体" w:hAnsi="宋体"/>
                <w:szCs w:val="28"/>
              </w:rPr>
            </w:pPr>
          </w:p>
        </w:tc>
        <w:tc>
          <w:tcPr>
            <w:tcW w:w="1105" w:type="dxa"/>
            <w:vAlign w:val="center"/>
          </w:tcPr>
          <w:p w14:paraId="68BAF463">
            <w:pPr>
              <w:adjustRightInd w:val="0"/>
              <w:snapToGrid w:val="0"/>
              <w:spacing w:line="360" w:lineRule="auto"/>
              <w:jc w:val="center"/>
              <w:rPr>
                <w:rFonts w:hint="eastAsia" w:ascii="宋体" w:hAnsi="宋体"/>
                <w:szCs w:val="28"/>
              </w:rPr>
            </w:pPr>
          </w:p>
        </w:tc>
      </w:tr>
      <w:tr w14:paraId="1097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5D8952DA">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783C53AD">
            <w:pPr>
              <w:adjustRightInd w:val="0"/>
              <w:snapToGrid w:val="0"/>
              <w:spacing w:line="360" w:lineRule="auto"/>
              <w:jc w:val="center"/>
              <w:rPr>
                <w:rFonts w:hint="eastAsia" w:ascii="宋体" w:hAnsi="宋体"/>
                <w:szCs w:val="28"/>
              </w:rPr>
            </w:pPr>
          </w:p>
        </w:tc>
        <w:tc>
          <w:tcPr>
            <w:tcW w:w="1230" w:type="dxa"/>
            <w:vAlign w:val="center"/>
          </w:tcPr>
          <w:p w14:paraId="3D6315EC">
            <w:pPr>
              <w:adjustRightInd w:val="0"/>
              <w:snapToGrid w:val="0"/>
              <w:spacing w:line="360" w:lineRule="auto"/>
              <w:jc w:val="center"/>
              <w:rPr>
                <w:rFonts w:hint="eastAsia" w:ascii="宋体" w:hAnsi="宋体"/>
                <w:szCs w:val="28"/>
              </w:rPr>
            </w:pPr>
          </w:p>
        </w:tc>
        <w:tc>
          <w:tcPr>
            <w:tcW w:w="737" w:type="dxa"/>
            <w:vAlign w:val="center"/>
          </w:tcPr>
          <w:p w14:paraId="1D4CE52A">
            <w:pPr>
              <w:adjustRightInd w:val="0"/>
              <w:snapToGrid w:val="0"/>
              <w:spacing w:line="360" w:lineRule="auto"/>
              <w:jc w:val="center"/>
              <w:rPr>
                <w:rFonts w:hint="eastAsia" w:ascii="宋体" w:hAnsi="宋体"/>
                <w:szCs w:val="28"/>
              </w:rPr>
            </w:pPr>
          </w:p>
        </w:tc>
        <w:tc>
          <w:tcPr>
            <w:tcW w:w="615" w:type="dxa"/>
            <w:vAlign w:val="center"/>
          </w:tcPr>
          <w:p w14:paraId="2A003B59">
            <w:pPr>
              <w:adjustRightInd w:val="0"/>
              <w:snapToGrid w:val="0"/>
              <w:spacing w:line="360" w:lineRule="auto"/>
              <w:jc w:val="center"/>
              <w:rPr>
                <w:rFonts w:hint="eastAsia" w:ascii="宋体" w:hAnsi="宋体"/>
                <w:szCs w:val="28"/>
              </w:rPr>
            </w:pPr>
          </w:p>
        </w:tc>
        <w:tc>
          <w:tcPr>
            <w:tcW w:w="860" w:type="dxa"/>
            <w:vAlign w:val="center"/>
          </w:tcPr>
          <w:p w14:paraId="65F19CEC">
            <w:pPr>
              <w:adjustRightInd w:val="0"/>
              <w:snapToGrid w:val="0"/>
              <w:spacing w:line="360" w:lineRule="auto"/>
              <w:jc w:val="center"/>
              <w:rPr>
                <w:rFonts w:hint="eastAsia" w:ascii="宋体" w:hAnsi="宋体"/>
                <w:szCs w:val="28"/>
              </w:rPr>
            </w:pPr>
          </w:p>
        </w:tc>
        <w:tc>
          <w:tcPr>
            <w:tcW w:w="982" w:type="dxa"/>
            <w:vAlign w:val="center"/>
          </w:tcPr>
          <w:p w14:paraId="011DF08A">
            <w:pPr>
              <w:adjustRightInd w:val="0"/>
              <w:snapToGrid w:val="0"/>
              <w:spacing w:line="360" w:lineRule="auto"/>
              <w:jc w:val="center"/>
              <w:rPr>
                <w:rFonts w:hint="eastAsia" w:ascii="宋体" w:hAnsi="宋体"/>
                <w:szCs w:val="28"/>
              </w:rPr>
            </w:pPr>
          </w:p>
        </w:tc>
        <w:tc>
          <w:tcPr>
            <w:tcW w:w="982" w:type="dxa"/>
            <w:vAlign w:val="center"/>
          </w:tcPr>
          <w:p w14:paraId="74A199B3">
            <w:pPr>
              <w:adjustRightInd w:val="0"/>
              <w:snapToGrid w:val="0"/>
              <w:spacing w:line="360" w:lineRule="auto"/>
              <w:jc w:val="center"/>
              <w:rPr>
                <w:rFonts w:hint="eastAsia" w:ascii="宋体" w:hAnsi="宋体"/>
                <w:szCs w:val="28"/>
              </w:rPr>
            </w:pPr>
          </w:p>
        </w:tc>
        <w:tc>
          <w:tcPr>
            <w:tcW w:w="860" w:type="dxa"/>
            <w:vAlign w:val="center"/>
          </w:tcPr>
          <w:p w14:paraId="76925160">
            <w:pPr>
              <w:adjustRightInd w:val="0"/>
              <w:snapToGrid w:val="0"/>
              <w:spacing w:line="360" w:lineRule="auto"/>
              <w:jc w:val="center"/>
              <w:rPr>
                <w:rFonts w:hint="eastAsia" w:ascii="宋体" w:hAnsi="宋体"/>
                <w:szCs w:val="28"/>
              </w:rPr>
            </w:pPr>
          </w:p>
        </w:tc>
        <w:tc>
          <w:tcPr>
            <w:tcW w:w="1105" w:type="dxa"/>
            <w:vAlign w:val="center"/>
          </w:tcPr>
          <w:p w14:paraId="6648C416">
            <w:pPr>
              <w:adjustRightInd w:val="0"/>
              <w:snapToGrid w:val="0"/>
              <w:spacing w:line="360" w:lineRule="auto"/>
              <w:jc w:val="center"/>
              <w:rPr>
                <w:rFonts w:hint="eastAsia" w:ascii="宋体" w:hAnsi="宋体"/>
                <w:szCs w:val="28"/>
              </w:rPr>
            </w:pPr>
          </w:p>
        </w:tc>
      </w:tr>
      <w:tr w14:paraId="717F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1D8B61F2">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07393571">
            <w:pPr>
              <w:adjustRightInd w:val="0"/>
              <w:snapToGrid w:val="0"/>
              <w:spacing w:line="360" w:lineRule="auto"/>
              <w:jc w:val="center"/>
              <w:rPr>
                <w:rFonts w:hint="eastAsia" w:ascii="宋体" w:hAnsi="宋体"/>
                <w:szCs w:val="28"/>
              </w:rPr>
            </w:pPr>
          </w:p>
        </w:tc>
        <w:tc>
          <w:tcPr>
            <w:tcW w:w="1230" w:type="dxa"/>
            <w:vAlign w:val="center"/>
          </w:tcPr>
          <w:p w14:paraId="38C3F031">
            <w:pPr>
              <w:adjustRightInd w:val="0"/>
              <w:snapToGrid w:val="0"/>
              <w:spacing w:line="360" w:lineRule="auto"/>
              <w:jc w:val="center"/>
              <w:rPr>
                <w:rFonts w:hint="eastAsia" w:ascii="宋体" w:hAnsi="宋体"/>
                <w:szCs w:val="28"/>
              </w:rPr>
            </w:pPr>
          </w:p>
        </w:tc>
        <w:tc>
          <w:tcPr>
            <w:tcW w:w="737" w:type="dxa"/>
            <w:vAlign w:val="center"/>
          </w:tcPr>
          <w:p w14:paraId="4FE24DDC">
            <w:pPr>
              <w:adjustRightInd w:val="0"/>
              <w:snapToGrid w:val="0"/>
              <w:spacing w:line="360" w:lineRule="auto"/>
              <w:jc w:val="center"/>
              <w:rPr>
                <w:rFonts w:hint="eastAsia" w:ascii="宋体" w:hAnsi="宋体"/>
                <w:szCs w:val="28"/>
              </w:rPr>
            </w:pPr>
          </w:p>
        </w:tc>
        <w:tc>
          <w:tcPr>
            <w:tcW w:w="615" w:type="dxa"/>
            <w:vAlign w:val="center"/>
          </w:tcPr>
          <w:p w14:paraId="37D1C465">
            <w:pPr>
              <w:adjustRightInd w:val="0"/>
              <w:snapToGrid w:val="0"/>
              <w:spacing w:line="360" w:lineRule="auto"/>
              <w:jc w:val="center"/>
              <w:rPr>
                <w:rFonts w:hint="eastAsia" w:ascii="宋体" w:hAnsi="宋体"/>
                <w:szCs w:val="28"/>
              </w:rPr>
            </w:pPr>
          </w:p>
        </w:tc>
        <w:tc>
          <w:tcPr>
            <w:tcW w:w="860" w:type="dxa"/>
            <w:vAlign w:val="center"/>
          </w:tcPr>
          <w:p w14:paraId="05681782">
            <w:pPr>
              <w:adjustRightInd w:val="0"/>
              <w:snapToGrid w:val="0"/>
              <w:spacing w:line="360" w:lineRule="auto"/>
              <w:jc w:val="center"/>
              <w:rPr>
                <w:rFonts w:hint="eastAsia" w:ascii="宋体" w:hAnsi="宋体"/>
                <w:szCs w:val="28"/>
              </w:rPr>
            </w:pPr>
          </w:p>
        </w:tc>
        <w:tc>
          <w:tcPr>
            <w:tcW w:w="982" w:type="dxa"/>
            <w:vAlign w:val="center"/>
          </w:tcPr>
          <w:p w14:paraId="055A8E47">
            <w:pPr>
              <w:adjustRightInd w:val="0"/>
              <w:snapToGrid w:val="0"/>
              <w:spacing w:line="360" w:lineRule="auto"/>
              <w:jc w:val="center"/>
              <w:rPr>
                <w:rFonts w:hint="eastAsia" w:ascii="宋体" w:hAnsi="宋体"/>
                <w:szCs w:val="28"/>
              </w:rPr>
            </w:pPr>
          </w:p>
        </w:tc>
        <w:tc>
          <w:tcPr>
            <w:tcW w:w="982" w:type="dxa"/>
            <w:vAlign w:val="center"/>
          </w:tcPr>
          <w:p w14:paraId="7E10E82C">
            <w:pPr>
              <w:adjustRightInd w:val="0"/>
              <w:snapToGrid w:val="0"/>
              <w:spacing w:line="360" w:lineRule="auto"/>
              <w:jc w:val="center"/>
              <w:rPr>
                <w:rFonts w:hint="eastAsia" w:ascii="宋体" w:hAnsi="宋体"/>
                <w:szCs w:val="28"/>
              </w:rPr>
            </w:pPr>
          </w:p>
        </w:tc>
        <w:tc>
          <w:tcPr>
            <w:tcW w:w="860" w:type="dxa"/>
            <w:vAlign w:val="center"/>
          </w:tcPr>
          <w:p w14:paraId="69A7CA88">
            <w:pPr>
              <w:adjustRightInd w:val="0"/>
              <w:snapToGrid w:val="0"/>
              <w:spacing w:line="360" w:lineRule="auto"/>
              <w:jc w:val="center"/>
              <w:rPr>
                <w:rFonts w:hint="eastAsia" w:ascii="宋体" w:hAnsi="宋体"/>
                <w:szCs w:val="28"/>
              </w:rPr>
            </w:pPr>
          </w:p>
        </w:tc>
        <w:tc>
          <w:tcPr>
            <w:tcW w:w="1105" w:type="dxa"/>
            <w:vAlign w:val="center"/>
          </w:tcPr>
          <w:p w14:paraId="6511A8A2">
            <w:pPr>
              <w:adjustRightInd w:val="0"/>
              <w:snapToGrid w:val="0"/>
              <w:spacing w:line="360" w:lineRule="auto"/>
              <w:jc w:val="center"/>
              <w:rPr>
                <w:rFonts w:hint="eastAsia" w:ascii="宋体" w:hAnsi="宋体"/>
                <w:szCs w:val="28"/>
              </w:rPr>
            </w:pPr>
          </w:p>
        </w:tc>
      </w:tr>
      <w:tr w14:paraId="7CFB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389065B8">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169B24BB">
            <w:pPr>
              <w:adjustRightInd w:val="0"/>
              <w:snapToGrid w:val="0"/>
              <w:spacing w:line="360" w:lineRule="auto"/>
              <w:jc w:val="center"/>
              <w:rPr>
                <w:rFonts w:hint="eastAsia" w:ascii="宋体" w:hAnsi="宋体"/>
                <w:szCs w:val="28"/>
              </w:rPr>
            </w:pPr>
          </w:p>
        </w:tc>
        <w:tc>
          <w:tcPr>
            <w:tcW w:w="1230" w:type="dxa"/>
            <w:vAlign w:val="center"/>
          </w:tcPr>
          <w:p w14:paraId="58DCC817">
            <w:pPr>
              <w:adjustRightInd w:val="0"/>
              <w:snapToGrid w:val="0"/>
              <w:spacing w:line="360" w:lineRule="auto"/>
              <w:jc w:val="center"/>
              <w:rPr>
                <w:rFonts w:hint="eastAsia" w:ascii="宋体" w:hAnsi="宋体"/>
                <w:szCs w:val="28"/>
              </w:rPr>
            </w:pPr>
          </w:p>
        </w:tc>
        <w:tc>
          <w:tcPr>
            <w:tcW w:w="737" w:type="dxa"/>
            <w:vAlign w:val="center"/>
          </w:tcPr>
          <w:p w14:paraId="28F4F000">
            <w:pPr>
              <w:adjustRightInd w:val="0"/>
              <w:snapToGrid w:val="0"/>
              <w:spacing w:line="360" w:lineRule="auto"/>
              <w:jc w:val="center"/>
              <w:rPr>
                <w:rFonts w:hint="eastAsia" w:ascii="宋体" w:hAnsi="宋体"/>
                <w:szCs w:val="28"/>
              </w:rPr>
            </w:pPr>
          </w:p>
        </w:tc>
        <w:tc>
          <w:tcPr>
            <w:tcW w:w="615" w:type="dxa"/>
            <w:vAlign w:val="center"/>
          </w:tcPr>
          <w:p w14:paraId="57A7FB14">
            <w:pPr>
              <w:adjustRightInd w:val="0"/>
              <w:snapToGrid w:val="0"/>
              <w:spacing w:line="360" w:lineRule="auto"/>
              <w:jc w:val="center"/>
              <w:rPr>
                <w:rFonts w:hint="eastAsia" w:ascii="宋体" w:hAnsi="宋体"/>
                <w:szCs w:val="28"/>
              </w:rPr>
            </w:pPr>
          </w:p>
        </w:tc>
        <w:tc>
          <w:tcPr>
            <w:tcW w:w="860" w:type="dxa"/>
            <w:vAlign w:val="center"/>
          </w:tcPr>
          <w:p w14:paraId="62580841">
            <w:pPr>
              <w:adjustRightInd w:val="0"/>
              <w:snapToGrid w:val="0"/>
              <w:spacing w:line="360" w:lineRule="auto"/>
              <w:jc w:val="center"/>
              <w:rPr>
                <w:rFonts w:hint="eastAsia" w:ascii="宋体" w:hAnsi="宋体"/>
                <w:szCs w:val="28"/>
              </w:rPr>
            </w:pPr>
          </w:p>
        </w:tc>
        <w:tc>
          <w:tcPr>
            <w:tcW w:w="982" w:type="dxa"/>
            <w:vAlign w:val="center"/>
          </w:tcPr>
          <w:p w14:paraId="66418538">
            <w:pPr>
              <w:adjustRightInd w:val="0"/>
              <w:snapToGrid w:val="0"/>
              <w:spacing w:line="360" w:lineRule="auto"/>
              <w:jc w:val="center"/>
              <w:rPr>
                <w:rFonts w:hint="eastAsia" w:ascii="宋体" w:hAnsi="宋体"/>
                <w:szCs w:val="28"/>
              </w:rPr>
            </w:pPr>
          </w:p>
        </w:tc>
        <w:tc>
          <w:tcPr>
            <w:tcW w:w="982" w:type="dxa"/>
            <w:vAlign w:val="center"/>
          </w:tcPr>
          <w:p w14:paraId="7AA0ACDA">
            <w:pPr>
              <w:adjustRightInd w:val="0"/>
              <w:snapToGrid w:val="0"/>
              <w:spacing w:line="360" w:lineRule="auto"/>
              <w:jc w:val="center"/>
              <w:rPr>
                <w:rFonts w:hint="eastAsia" w:ascii="宋体" w:hAnsi="宋体"/>
                <w:szCs w:val="28"/>
              </w:rPr>
            </w:pPr>
          </w:p>
        </w:tc>
        <w:tc>
          <w:tcPr>
            <w:tcW w:w="860" w:type="dxa"/>
            <w:vAlign w:val="center"/>
          </w:tcPr>
          <w:p w14:paraId="01141C8A">
            <w:pPr>
              <w:adjustRightInd w:val="0"/>
              <w:snapToGrid w:val="0"/>
              <w:spacing w:line="360" w:lineRule="auto"/>
              <w:jc w:val="center"/>
              <w:rPr>
                <w:rFonts w:hint="eastAsia" w:ascii="宋体" w:hAnsi="宋体"/>
                <w:szCs w:val="28"/>
              </w:rPr>
            </w:pPr>
          </w:p>
        </w:tc>
        <w:tc>
          <w:tcPr>
            <w:tcW w:w="1105" w:type="dxa"/>
            <w:vAlign w:val="center"/>
          </w:tcPr>
          <w:p w14:paraId="7B9778A0">
            <w:pPr>
              <w:adjustRightInd w:val="0"/>
              <w:snapToGrid w:val="0"/>
              <w:spacing w:line="360" w:lineRule="auto"/>
              <w:jc w:val="center"/>
              <w:rPr>
                <w:rFonts w:hint="eastAsia" w:ascii="宋体" w:hAnsi="宋体"/>
                <w:szCs w:val="28"/>
              </w:rPr>
            </w:pPr>
          </w:p>
        </w:tc>
      </w:tr>
      <w:tr w14:paraId="05A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59BF2283">
            <w:pPr>
              <w:adjustRightInd w:val="0"/>
              <w:snapToGrid w:val="0"/>
              <w:spacing w:line="360" w:lineRule="auto"/>
              <w:jc w:val="center"/>
              <w:rPr>
                <w:rFonts w:hint="eastAsia" w:ascii="宋体" w:hAnsi="宋体"/>
                <w:szCs w:val="28"/>
              </w:rPr>
            </w:pPr>
            <w:r>
              <w:rPr>
                <w:rFonts w:hint="eastAsia" w:ascii="宋体" w:hAnsi="宋体"/>
                <w:szCs w:val="28"/>
              </w:rPr>
              <w:t>　</w:t>
            </w:r>
          </w:p>
        </w:tc>
        <w:tc>
          <w:tcPr>
            <w:tcW w:w="1353" w:type="dxa"/>
            <w:vAlign w:val="center"/>
          </w:tcPr>
          <w:p w14:paraId="149BD309">
            <w:pPr>
              <w:adjustRightInd w:val="0"/>
              <w:snapToGrid w:val="0"/>
              <w:spacing w:line="360" w:lineRule="auto"/>
              <w:jc w:val="center"/>
              <w:rPr>
                <w:rFonts w:hint="eastAsia" w:ascii="宋体" w:hAnsi="宋体"/>
                <w:szCs w:val="28"/>
              </w:rPr>
            </w:pPr>
          </w:p>
        </w:tc>
        <w:tc>
          <w:tcPr>
            <w:tcW w:w="1230" w:type="dxa"/>
            <w:vAlign w:val="center"/>
          </w:tcPr>
          <w:p w14:paraId="38FBB2C6">
            <w:pPr>
              <w:adjustRightInd w:val="0"/>
              <w:snapToGrid w:val="0"/>
              <w:spacing w:line="360" w:lineRule="auto"/>
              <w:jc w:val="center"/>
              <w:rPr>
                <w:rFonts w:hint="eastAsia" w:ascii="宋体" w:hAnsi="宋体"/>
                <w:szCs w:val="28"/>
              </w:rPr>
            </w:pPr>
          </w:p>
        </w:tc>
        <w:tc>
          <w:tcPr>
            <w:tcW w:w="737" w:type="dxa"/>
            <w:vAlign w:val="center"/>
          </w:tcPr>
          <w:p w14:paraId="2B0619BE">
            <w:pPr>
              <w:adjustRightInd w:val="0"/>
              <w:snapToGrid w:val="0"/>
              <w:spacing w:line="360" w:lineRule="auto"/>
              <w:jc w:val="center"/>
              <w:rPr>
                <w:rFonts w:hint="eastAsia" w:ascii="宋体" w:hAnsi="宋体"/>
                <w:szCs w:val="28"/>
              </w:rPr>
            </w:pPr>
          </w:p>
        </w:tc>
        <w:tc>
          <w:tcPr>
            <w:tcW w:w="615" w:type="dxa"/>
            <w:vAlign w:val="center"/>
          </w:tcPr>
          <w:p w14:paraId="24165043">
            <w:pPr>
              <w:adjustRightInd w:val="0"/>
              <w:snapToGrid w:val="0"/>
              <w:spacing w:line="360" w:lineRule="auto"/>
              <w:jc w:val="center"/>
              <w:rPr>
                <w:rFonts w:hint="eastAsia" w:ascii="宋体" w:hAnsi="宋体"/>
                <w:szCs w:val="28"/>
              </w:rPr>
            </w:pPr>
          </w:p>
        </w:tc>
        <w:tc>
          <w:tcPr>
            <w:tcW w:w="860" w:type="dxa"/>
            <w:vAlign w:val="center"/>
          </w:tcPr>
          <w:p w14:paraId="0711E3B3">
            <w:pPr>
              <w:adjustRightInd w:val="0"/>
              <w:snapToGrid w:val="0"/>
              <w:spacing w:line="360" w:lineRule="auto"/>
              <w:jc w:val="center"/>
              <w:rPr>
                <w:rFonts w:hint="eastAsia" w:ascii="宋体" w:hAnsi="宋体"/>
                <w:szCs w:val="28"/>
              </w:rPr>
            </w:pPr>
          </w:p>
        </w:tc>
        <w:tc>
          <w:tcPr>
            <w:tcW w:w="982" w:type="dxa"/>
            <w:vAlign w:val="center"/>
          </w:tcPr>
          <w:p w14:paraId="5458F6D5">
            <w:pPr>
              <w:adjustRightInd w:val="0"/>
              <w:snapToGrid w:val="0"/>
              <w:spacing w:line="360" w:lineRule="auto"/>
              <w:jc w:val="center"/>
              <w:rPr>
                <w:rFonts w:hint="eastAsia" w:ascii="宋体" w:hAnsi="宋体"/>
                <w:szCs w:val="28"/>
              </w:rPr>
            </w:pPr>
          </w:p>
        </w:tc>
        <w:tc>
          <w:tcPr>
            <w:tcW w:w="982" w:type="dxa"/>
            <w:vAlign w:val="center"/>
          </w:tcPr>
          <w:p w14:paraId="74023B0B">
            <w:pPr>
              <w:adjustRightInd w:val="0"/>
              <w:snapToGrid w:val="0"/>
              <w:spacing w:line="360" w:lineRule="auto"/>
              <w:jc w:val="center"/>
              <w:rPr>
                <w:rFonts w:hint="eastAsia" w:ascii="宋体" w:hAnsi="宋体"/>
                <w:szCs w:val="28"/>
              </w:rPr>
            </w:pPr>
          </w:p>
        </w:tc>
        <w:tc>
          <w:tcPr>
            <w:tcW w:w="860" w:type="dxa"/>
            <w:vAlign w:val="center"/>
          </w:tcPr>
          <w:p w14:paraId="14A003E5">
            <w:pPr>
              <w:adjustRightInd w:val="0"/>
              <w:snapToGrid w:val="0"/>
              <w:spacing w:line="360" w:lineRule="auto"/>
              <w:jc w:val="center"/>
              <w:rPr>
                <w:rFonts w:hint="eastAsia" w:ascii="宋体" w:hAnsi="宋体"/>
                <w:szCs w:val="28"/>
              </w:rPr>
            </w:pPr>
          </w:p>
        </w:tc>
        <w:tc>
          <w:tcPr>
            <w:tcW w:w="1105" w:type="dxa"/>
            <w:vAlign w:val="center"/>
          </w:tcPr>
          <w:p w14:paraId="59C21512">
            <w:pPr>
              <w:adjustRightInd w:val="0"/>
              <w:snapToGrid w:val="0"/>
              <w:spacing w:line="360" w:lineRule="auto"/>
              <w:jc w:val="center"/>
              <w:rPr>
                <w:rFonts w:hint="eastAsia" w:ascii="宋体" w:hAnsi="宋体"/>
                <w:szCs w:val="28"/>
              </w:rPr>
            </w:pPr>
          </w:p>
        </w:tc>
      </w:tr>
    </w:tbl>
    <w:p w14:paraId="310A1EC2">
      <w:pPr>
        <w:tabs>
          <w:tab w:val="left" w:pos="1440"/>
        </w:tabs>
        <w:adjustRightInd w:val="0"/>
        <w:snapToGrid w:val="0"/>
        <w:spacing w:line="360" w:lineRule="auto"/>
        <w:rPr>
          <w:rFonts w:hint="eastAsia" w:ascii="宋体" w:hAnsi="宋体"/>
          <w:szCs w:val="21"/>
        </w:rPr>
      </w:pPr>
      <w:r>
        <w:rPr>
          <w:rFonts w:hint="eastAsia" w:ascii="宋体" w:hAnsi="宋体"/>
          <w:szCs w:val="21"/>
        </w:rPr>
        <w:t>备注：除合同另有约定外，本表所列发包人供应材料和工程设备的数量不考虑施工损耗，施工损耗被认为已经包括在承包人的投标价格中。</w:t>
      </w:r>
    </w:p>
    <w:p w14:paraId="6C4ACC18">
      <w:r>
        <w:fldChar w:fldCharType="begin"/>
      </w:r>
      <w:r>
        <w:instrText xml:space="preserve"> </w:instrText>
      </w:r>
      <w:r>
        <w:rPr>
          <w:rFonts w:hint="eastAsia"/>
        </w:rPr>
        <w:instrText xml:space="preserve">AUTOTEXT  支付担保格式 \* MERGEFORMAT</w:instrText>
      </w:r>
      <w:r>
        <w:instrText xml:space="preserve"> </w:instrText>
      </w:r>
      <w:r>
        <w:fldChar w:fldCharType="end"/>
      </w:r>
      <w:r>
        <w:br w:type="page"/>
      </w:r>
    </w:p>
    <w:p w14:paraId="0C84A9D6">
      <w:pPr>
        <w:adjustRightInd w:val="0"/>
        <w:snapToGrid w:val="0"/>
        <w:spacing w:line="360" w:lineRule="auto"/>
        <w:outlineLvl w:val="2"/>
        <w:rPr>
          <w:rFonts w:hint="eastAsia" w:ascii="宋体" w:hAnsi="宋体"/>
          <w:sz w:val="24"/>
        </w:rPr>
      </w:pPr>
      <w:bookmarkStart w:id="970" w:name="_Toc196225958"/>
      <w:r>
        <w:rPr>
          <w:rFonts w:hint="eastAsia" w:ascii="宋体" w:hAnsi="宋体"/>
          <w:sz w:val="24"/>
        </w:rPr>
        <w:t>附件五：质量保修书格式</w:t>
      </w:r>
      <w:bookmarkEnd w:id="970"/>
    </w:p>
    <w:p w14:paraId="5874269F">
      <w:pPr>
        <w:tabs>
          <w:tab w:val="left" w:pos="3855"/>
        </w:tabs>
        <w:adjustRightInd w:val="0"/>
        <w:snapToGrid w:val="0"/>
        <w:spacing w:line="360" w:lineRule="auto"/>
        <w:jc w:val="center"/>
        <w:rPr>
          <w:rFonts w:hint="eastAsia" w:ascii="宋体" w:hAnsi="宋体"/>
          <w:sz w:val="28"/>
        </w:rPr>
      </w:pPr>
      <w:r>
        <w:rPr>
          <w:rFonts w:hint="eastAsia" w:ascii="宋体" w:hAnsi="宋体"/>
          <w:b/>
          <w:sz w:val="28"/>
        </w:rPr>
        <w:t>房屋建筑工程质量保修书</w:t>
      </w:r>
    </w:p>
    <w:p w14:paraId="7AFA7E38">
      <w:pPr>
        <w:adjustRightInd w:val="0"/>
        <w:snapToGrid w:val="0"/>
        <w:spacing w:line="360" w:lineRule="auto"/>
        <w:rPr>
          <w:rFonts w:hint="eastAsia" w:ascii="宋体" w:hAnsi="宋体"/>
        </w:rPr>
      </w:pPr>
    </w:p>
    <w:p w14:paraId="76C93016">
      <w:pPr>
        <w:adjustRightInd w:val="0"/>
        <w:snapToGrid w:val="0"/>
        <w:spacing w:line="360" w:lineRule="auto"/>
        <w:rPr>
          <w:rFonts w:hint="eastAsia" w:ascii="宋体" w:hAnsi="宋体"/>
        </w:rPr>
      </w:pPr>
      <w:r>
        <w:rPr>
          <w:rFonts w:hint="eastAsia" w:ascii="宋体" w:hAnsi="宋体"/>
        </w:rPr>
        <w:t>发包人：</w:t>
      </w:r>
      <w:r>
        <w:rPr>
          <w:rFonts w:ascii="宋体" w:hAnsi="宋体"/>
          <w:u w:val="single"/>
        </w:rPr>
        <w:t>_________________________________________________________________</w:t>
      </w:r>
    </w:p>
    <w:p w14:paraId="1F46C50A">
      <w:pPr>
        <w:adjustRightInd w:val="0"/>
        <w:snapToGrid w:val="0"/>
        <w:spacing w:line="360" w:lineRule="auto"/>
        <w:rPr>
          <w:rFonts w:hint="eastAsia" w:ascii="宋体" w:hAnsi="宋体"/>
        </w:rPr>
      </w:pPr>
      <w:r>
        <w:rPr>
          <w:rFonts w:hint="eastAsia" w:ascii="宋体" w:hAnsi="宋体"/>
        </w:rPr>
        <w:t>承包人：</w:t>
      </w:r>
      <w:r>
        <w:rPr>
          <w:rFonts w:ascii="宋体" w:hAnsi="宋体"/>
          <w:u w:val="single"/>
        </w:rPr>
        <w:t>__________________________________________________________________</w:t>
      </w:r>
    </w:p>
    <w:p w14:paraId="7901CCA6">
      <w:pPr>
        <w:adjustRightInd w:val="0"/>
        <w:snapToGrid w:val="0"/>
        <w:spacing w:line="360" w:lineRule="auto"/>
        <w:ind w:firstLine="420" w:firstLineChars="200"/>
        <w:jc w:val="left"/>
        <w:rPr>
          <w:rFonts w:hint="eastAsia" w:ascii="宋体" w:hAnsi="宋体"/>
        </w:rPr>
      </w:pPr>
    </w:p>
    <w:p w14:paraId="5514E919">
      <w:pPr>
        <w:adjustRightInd w:val="0"/>
        <w:snapToGrid w:val="0"/>
        <w:spacing w:line="360" w:lineRule="auto"/>
        <w:ind w:firstLine="420" w:firstLineChars="200"/>
        <w:jc w:val="left"/>
        <w:rPr>
          <w:rFonts w:hint="eastAsia" w:ascii="宋体" w:hAnsi="宋体"/>
        </w:rPr>
      </w:pPr>
      <w:r>
        <w:rPr>
          <w:rFonts w:hint="eastAsia" w:ascii="宋体" w:hAnsi="宋体"/>
        </w:rPr>
        <w:t>发包人、承包人根据《中华人民共和国建筑法》、《建设工程质量管理条例》和《房屋建筑工程质量保修办法》，经协商一致，对</w:t>
      </w:r>
      <w:r>
        <w:rPr>
          <w:rFonts w:ascii="宋体" w:hAnsi="宋体"/>
          <w:u w:val="single"/>
        </w:rPr>
        <w:t>___________________________</w:t>
      </w:r>
      <w:r>
        <w:rPr>
          <w:rFonts w:hint="eastAsia" w:ascii="宋体" w:hAnsi="宋体"/>
        </w:rPr>
        <w:t>（</w:t>
      </w:r>
      <w:r>
        <w:rPr>
          <w:rFonts w:hint="eastAsia" w:ascii="宋体" w:hAnsi="宋体"/>
          <w:szCs w:val="21"/>
        </w:rPr>
        <w:t>工程</w:t>
      </w:r>
      <w:r>
        <w:rPr>
          <w:rFonts w:hint="eastAsia" w:ascii="宋体" w:hAnsi="宋体"/>
        </w:rPr>
        <w:t>名称）签订保修书。</w:t>
      </w:r>
    </w:p>
    <w:p w14:paraId="1E3F5A65">
      <w:pPr>
        <w:adjustRightInd w:val="0"/>
        <w:snapToGrid w:val="0"/>
        <w:spacing w:line="360" w:lineRule="auto"/>
        <w:ind w:firstLine="420" w:firstLineChars="200"/>
        <w:jc w:val="left"/>
        <w:rPr>
          <w:rFonts w:hint="eastAsia" w:ascii="宋体" w:hAnsi="宋体"/>
        </w:rPr>
      </w:pPr>
      <w:r>
        <w:rPr>
          <w:rFonts w:hint="eastAsia" w:ascii="宋体" w:hAnsi="宋体"/>
        </w:rPr>
        <w:t>一、工程保修范围和内容</w:t>
      </w:r>
    </w:p>
    <w:p w14:paraId="7F7BA742">
      <w:pPr>
        <w:adjustRightInd w:val="0"/>
        <w:snapToGrid w:val="0"/>
        <w:spacing w:line="360" w:lineRule="auto"/>
        <w:ind w:firstLine="420" w:firstLineChars="200"/>
        <w:jc w:val="left"/>
        <w:rPr>
          <w:rFonts w:hint="eastAsia" w:ascii="宋体" w:hAnsi="宋体"/>
        </w:rPr>
      </w:pPr>
      <w:r>
        <w:rPr>
          <w:rFonts w:hint="eastAsia" w:ascii="宋体" w:hAnsi="宋体"/>
        </w:rPr>
        <w:t>承包人在保修期内，按照有关法律、法规、规章的管理规定和双方约定，承担本工程保修责任。</w:t>
      </w:r>
    </w:p>
    <w:p w14:paraId="45CC959F">
      <w:pPr>
        <w:adjustRightInd w:val="0"/>
        <w:snapToGrid w:val="0"/>
        <w:spacing w:line="360" w:lineRule="auto"/>
        <w:ind w:firstLine="420" w:firstLineChars="200"/>
        <w:jc w:val="left"/>
        <w:rPr>
          <w:rFonts w:hint="eastAsia" w:ascii="宋体" w:hAnsi="宋体"/>
        </w:rPr>
      </w:pPr>
      <w:r>
        <w:rPr>
          <w:rFonts w:hint="eastAsia" w:ascii="宋体" w:hAnsi="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494DE56">
      <w:pPr>
        <w:adjustRightInd w:val="0"/>
        <w:snapToGrid w:val="0"/>
        <w:spacing w:line="360" w:lineRule="auto"/>
        <w:ind w:firstLine="420" w:firstLineChars="200"/>
        <w:jc w:val="left"/>
        <w:rPr>
          <w:rFonts w:hint="eastAsia" w:ascii="宋体" w:hAnsi="宋体"/>
        </w:rPr>
      </w:pPr>
      <w:r>
        <w:rPr>
          <w:rFonts w:ascii="宋体" w:hAnsi="宋体"/>
          <w:u w:val="single"/>
        </w:rPr>
        <w:t>__</w:t>
      </w:r>
      <w:r>
        <w:rPr>
          <w:rFonts w:hint="eastAsia" w:ascii="宋体" w:hAnsi="宋体" w:cs="Arial"/>
          <w:szCs w:val="21"/>
          <w:u w:val="single"/>
        </w:rPr>
        <w:t>施工合同约定的所有施工承包范围内工程质量保修责任</w:t>
      </w:r>
      <w:r>
        <w:rPr>
          <w:rFonts w:ascii="宋体" w:hAnsi="宋体"/>
          <w:u w:val="single"/>
        </w:rPr>
        <w:t>______________</w:t>
      </w:r>
      <w:r>
        <w:rPr>
          <w:rFonts w:hint="eastAsia" w:ascii="宋体" w:hAnsi="宋体"/>
        </w:rPr>
        <w:t>。</w:t>
      </w:r>
    </w:p>
    <w:p w14:paraId="6E226075">
      <w:pPr>
        <w:adjustRightInd w:val="0"/>
        <w:snapToGrid w:val="0"/>
        <w:spacing w:line="360" w:lineRule="auto"/>
        <w:ind w:firstLine="420" w:firstLineChars="200"/>
        <w:jc w:val="left"/>
        <w:rPr>
          <w:rFonts w:hint="eastAsia" w:ascii="宋体" w:hAnsi="宋体"/>
        </w:rPr>
      </w:pPr>
      <w:r>
        <w:rPr>
          <w:rFonts w:hint="eastAsia" w:ascii="宋体" w:hAnsi="宋体"/>
        </w:rPr>
        <w:t>二、保修期</w:t>
      </w:r>
    </w:p>
    <w:p w14:paraId="37DB52D4">
      <w:pPr>
        <w:adjustRightInd w:val="0"/>
        <w:snapToGrid w:val="0"/>
        <w:spacing w:line="360" w:lineRule="auto"/>
        <w:ind w:firstLine="420" w:firstLineChars="200"/>
        <w:jc w:val="left"/>
        <w:rPr>
          <w:rFonts w:hint="eastAsia" w:ascii="宋体" w:hAnsi="宋体"/>
        </w:rPr>
      </w:pPr>
      <w:r>
        <w:rPr>
          <w:rFonts w:hint="eastAsia" w:ascii="宋体" w:hAnsi="宋体"/>
        </w:rPr>
        <w:t>双方根据《建设工程质量管理条例》及有关规定，约定本工程的保修期如下：</w:t>
      </w:r>
    </w:p>
    <w:p w14:paraId="74055F43">
      <w:pPr>
        <w:adjustRightInd w:val="0"/>
        <w:snapToGrid w:val="0"/>
        <w:spacing w:line="360" w:lineRule="auto"/>
        <w:ind w:firstLine="420" w:firstLineChars="200"/>
        <w:jc w:val="left"/>
        <w:rPr>
          <w:rFonts w:hint="eastAsia" w:ascii="宋体" w:hAnsi="宋体"/>
        </w:rPr>
      </w:pPr>
      <w:r>
        <w:rPr>
          <w:rFonts w:hint="eastAsia" w:ascii="宋体" w:hAnsi="宋体"/>
        </w:rPr>
        <w:t>地基基础工程和主体结构工程为设计文件规定的该工程合理使用年限；</w:t>
      </w:r>
    </w:p>
    <w:p w14:paraId="0D247BCA">
      <w:pPr>
        <w:adjustRightInd w:val="0"/>
        <w:snapToGrid w:val="0"/>
        <w:spacing w:line="360" w:lineRule="auto"/>
        <w:ind w:firstLine="420" w:firstLineChars="200"/>
        <w:jc w:val="left"/>
        <w:rPr>
          <w:rFonts w:hint="eastAsia" w:ascii="宋体" w:hAnsi="宋体"/>
        </w:rPr>
      </w:pPr>
      <w:r>
        <w:rPr>
          <w:rFonts w:hint="eastAsia" w:ascii="宋体" w:hAnsi="宋体"/>
        </w:rPr>
        <w:t>屋面防水工程、有防水要求的卫生间、房间和外墙面的防渗漏为</w:t>
      </w:r>
      <w:r>
        <w:rPr>
          <w:rFonts w:ascii="宋体" w:hAnsi="宋体"/>
          <w:u w:val="single"/>
        </w:rPr>
        <w:t>____</w:t>
      </w:r>
      <w:r>
        <w:rPr>
          <w:rFonts w:hint="eastAsia" w:ascii="宋体" w:hAnsi="宋体"/>
          <w:u w:val="single"/>
        </w:rPr>
        <w:t>5</w:t>
      </w:r>
      <w:r>
        <w:rPr>
          <w:rFonts w:ascii="宋体" w:hAnsi="宋体"/>
          <w:u w:val="single"/>
        </w:rPr>
        <w:t>____</w:t>
      </w:r>
      <w:r>
        <w:rPr>
          <w:rFonts w:hint="eastAsia" w:ascii="宋体" w:hAnsi="宋体"/>
        </w:rPr>
        <w:t>年；</w:t>
      </w:r>
    </w:p>
    <w:p w14:paraId="4BAD9DF8">
      <w:pPr>
        <w:adjustRightInd w:val="0"/>
        <w:snapToGrid w:val="0"/>
        <w:spacing w:line="360" w:lineRule="auto"/>
        <w:ind w:firstLine="420" w:firstLineChars="200"/>
        <w:jc w:val="left"/>
        <w:rPr>
          <w:rFonts w:hint="eastAsia" w:ascii="宋体" w:hAnsi="宋体"/>
        </w:rPr>
      </w:pPr>
      <w:r>
        <w:rPr>
          <w:rFonts w:hint="eastAsia" w:ascii="宋体" w:hAnsi="宋体"/>
        </w:rPr>
        <w:t>外窗工程为</w:t>
      </w:r>
      <w:r>
        <w:rPr>
          <w:rFonts w:ascii="宋体" w:hAnsi="宋体"/>
          <w:u w:val="single"/>
        </w:rPr>
        <w:t>___</w:t>
      </w:r>
      <w:r>
        <w:rPr>
          <w:rFonts w:hint="eastAsia" w:ascii="宋体" w:hAnsi="宋体"/>
          <w:u w:val="single"/>
        </w:rPr>
        <w:t>2</w:t>
      </w:r>
      <w:r>
        <w:rPr>
          <w:rFonts w:ascii="宋体" w:hAnsi="宋体"/>
          <w:u w:val="single"/>
        </w:rPr>
        <w:t>____</w:t>
      </w:r>
      <w:r>
        <w:rPr>
          <w:rFonts w:hint="eastAsia" w:ascii="宋体" w:hAnsi="宋体"/>
        </w:rPr>
        <w:t>年，外窗防渗漏为</w:t>
      </w:r>
      <w:r>
        <w:rPr>
          <w:rFonts w:ascii="宋体" w:hAnsi="宋体"/>
          <w:u w:val="single"/>
        </w:rPr>
        <w:t>______</w:t>
      </w:r>
      <w:r>
        <w:rPr>
          <w:rFonts w:hint="eastAsia" w:ascii="宋体" w:hAnsi="宋体"/>
          <w:u w:val="single"/>
        </w:rPr>
        <w:t>5</w:t>
      </w:r>
      <w:r>
        <w:rPr>
          <w:rFonts w:ascii="宋体" w:hAnsi="宋体"/>
          <w:u w:val="single"/>
        </w:rPr>
        <w:t>____</w:t>
      </w:r>
      <w:r>
        <w:rPr>
          <w:rFonts w:hint="eastAsia" w:ascii="宋体" w:hAnsi="宋体"/>
        </w:rPr>
        <w:t>年；</w:t>
      </w:r>
    </w:p>
    <w:p w14:paraId="5E9205AA">
      <w:pPr>
        <w:adjustRightInd w:val="0"/>
        <w:snapToGrid w:val="0"/>
        <w:spacing w:line="360" w:lineRule="auto"/>
        <w:ind w:firstLine="420" w:firstLineChars="200"/>
        <w:jc w:val="left"/>
        <w:rPr>
          <w:rFonts w:hint="eastAsia" w:ascii="宋体" w:hAnsi="宋体"/>
        </w:rPr>
      </w:pPr>
      <w:r>
        <w:rPr>
          <w:rFonts w:hint="eastAsia" w:ascii="宋体" w:hAnsi="宋体"/>
        </w:rPr>
        <w:t>装修工程为</w:t>
      </w:r>
      <w:r>
        <w:rPr>
          <w:rFonts w:ascii="宋体" w:hAnsi="宋体"/>
          <w:u w:val="single"/>
        </w:rPr>
        <w:t>_____</w:t>
      </w:r>
      <w:r>
        <w:rPr>
          <w:rFonts w:hint="eastAsia" w:ascii="宋体" w:hAnsi="宋体"/>
          <w:u w:val="single"/>
        </w:rPr>
        <w:t>2</w:t>
      </w:r>
      <w:r>
        <w:rPr>
          <w:rFonts w:ascii="宋体" w:hAnsi="宋体"/>
          <w:u w:val="single"/>
        </w:rPr>
        <w:t>_____</w:t>
      </w:r>
      <w:r>
        <w:rPr>
          <w:rFonts w:hint="eastAsia" w:ascii="宋体" w:hAnsi="宋体"/>
        </w:rPr>
        <w:t>年；</w:t>
      </w:r>
    </w:p>
    <w:p w14:paraId="22F02B0B">
      <w:pPr>
        <w:adjustRightInd w:val="0"/>
        <w:snapToGrid w:val="0"/>
        <w:spacing w:line="360" w:lineRule="auto"/>
        <w:ind w:firstLine="420" w:firstLineChars="200"/>
        <w:jc w:val="left"/>
        <w:rPr>
          <w:rFonts w:hint="eastAsia" w:ascii="宋体" w:hAnsi="宋体"/>
        </w:rPr>
      </w:pPr>
      <w:r>
        <w:rPr>
          <w:rFonts w:hint="eastAsia" w:ascii="宋体" w:hAnsi="宋体"/>
        </w:rPr>
        <w:t>电气管线、给排水管道、设备安装工程为</w:t>
      </w:r>
      <w:r>
        <w:rPr>
          <w:rFonts w:ascii="宋体" w:hAnsi="宋体"/>
          <w:u w:val="single"/>
        </w:rPr>
        <w:t>_____</w:t>
      </w:r>
      <w:r>
        <w:rPr>
          <w:rFonts w:hint="eastAsia" w:ascii="宋体" w:hAnsi="宋体"/>
          <w:u w:val="single"/>
        </w:rPr>
        <w:t>2</w:t>
      </w:r>
      <w:r>
        <w:rPr>
          <w:rFonts w:ascii="宋体" w:hAnsi="宋体"/>
          <w:u w:val="single"/>
        </w:rPr>
        <w:t>_____</w:t>
      </w:r>
      <w:r>
        <w:rPr>
          <w:rFonts w:hint="eastAsia" w:ascii="宋体" w:hAnsi="宋体"/>
        </w:rPr>
        <w:t>年；</w:t>
      </w:r>
    </w:p>
    <w:p w14:paraId="72B00821">
      <w:pPr>
        <w:adjustRightInd w:val="0"/>
        <w:snapToGrid w:val="0"/>
        <w:spacing w:line="360" w:lineRule="auto"/>
        <w:ind w:firstLine="420" w:firstLineChars="200"/>
        <w:jc w:val="left"/>
        <w:rPr>
          <w:rFonts w:hint="eastAsia" w:ascii="宋体" w:hAnsi="宋体"/>
        </w:rPr>
      </w:pPr>
      <w:r>
        <w:rPr>
          <w:rFonts w:hint="eastAsia" w:ascii="宋体" w:hAnsi="宋体"/>
        </w:rPr>
        <w:t>供热与供冷系统为</w:t>
      </w:r>
      <w:r>
        <w:rPr>
          <w:rFonts w:ascii="宋体" w:hAnsi="宋体"/>
          <w:u w:val="single"/>
        </w:rPr>
        <w:t>_____</w:t>
      </w:r>
      <w:r>
        <w:rPr>
          <w:rFonts w:hint="eastAsia" w:ascii="宋体" w:hAnsi="宋体"/>
          <w:u w:val="single"/>
        </w:rPr>
        <w:t>2</w:t>
      </w:r>
      <w:r>
        <w:rPr>
          <w:rFonts w:ascii="宋体" w:hAnsi="宋体"/>
          <w:u w:val="single"/>
        </w:rPr>
        <w:t>_____</w:t>
      </w:r>
      <w:r>
        <w:rPr>
          <w:rFonts w:hint="eastAsia" w:ascii="宋体" w:hAnsi="宋体"/>
        </w:rPr>
        <w:t>个采暖期、供冷期；</w:t>
      </w:r>
    </w:p>
    <w:p w14:paraId="6634D099">
      <w:pPr>
        <w:adjustRightInd w:val="0"/>
        <w:snapToGrid w:val="0"/>
        <w:spacing w:line="360" w:lineRule="auto"/>
        <w:ind w:firstLine="420" w:firstLineChars="200"/>
        <w:jc w:val="left"/>
        <w:rPr>
          <w:rFonts w:hint="eastAsia" w:ascii="宋体" w:hAnsi="宋体"/>
        </w:rPr>
      </w:pPr>
      <w:r>
        <w:rPr>
          <w:rFonts w:hint="eastAsia" w:ascii="宋体" w:hAnsi="宋体"/>
        </w:rPr>
        <w:t>住宅小区内的给排水设施、道路等配套工程为</w:t>
      </w:r>
      <w:r>
        <w:rPr>
          <w:rFonts w:ascii="宋体" w:hAnsi="宋体"/>
          <w:u w:val="single"/>
        </w:rPr>
        <w:t>_____</w:t>
      </w:r>
      <w:r>
        <w:rPr>
          <w:rFonts w:hint="eastAsia" w:ascii="宋体" w:hAnsi="宋体"/>
          <w:u w:val="single"/>
        </w:rPr>
        <w:t>2</w:t>
      </w:r>
      <w:r>
        <w:rPr>
          <w:rFonts w:ascii="宋体" w:hAnsi="宋体"/>
          <w:u w:val="single"/>
        </w:rPr>
        <w:t>_____</w:t>
      </w:r>
      <w:r>
        <w:rPr>
          <w:rFonts w:hint="eastAsia" w:ascii="宋体" w:hAnsi="宋体"/>
        </w:rPr>
        <w:t>年；</w:t>
      </w:r>
    </w:p>
    <w:p w14:paraId="13336C1B">
      <w:pPr>
        <w:adjustRightInd w:val="0"/>
        <w:snapToGrid w:val="0"/>
        <w:spacing w:line="360" w:lineRule="auto"/>
        <w:ind w:firstLine="420" w:firstLineChars="200"/>
        <w:jc w:val="left"/>
        <w:rPr>
          <w:rFonts w:hint="eastAsia" w:ascii="宋体" w:hAnsi="宋体"/>
        </w:rPr>
      </w:pPr>
      <w:r>
        <w:rPr>
          <w:rFonts w:hint="eastAsia" w:ascii="宋体" w:hAnsi="宋体"/>
        </w:rPr>
        <w:t>其他项目保修期限约定如下：</w:t>
      </w:r>
    </w:p>
    <w:p w14:paraId="36C6F837">
      <w:pPr>
        <w:adjustRightInd w:val="0"/>
        <w:snapToGrid w:val="0"/>
        <w:spacing w:line="360" w:lineRule="auto"/>
        <w:ind w:firstLine="420" w:firstLineChars="200"/>
        <w:jc w:val="left"/>
        <w:rPr>
          <w:rFonts w:hint="eastAsia" w:ascii="宋体" w:hAnsi="宋体"/>
        </w:rPr>
      </w:pPr>
      <w:r>
        <w:rPr>
          <w:rFonts w:ascii="宋体" w:hAnsi="宋体"/>
          <w:u w:val="single"/>
        </w:rPr>
        <w:t>____</w:t>
      </w:r>
      <w:r>
        <w:rPr>
          <w:rFonts w:hint="eastAsia" w:ascii="宋体" w:hAnsi="宋体" w:cs="Arial"/>
          <w:szCs w:val="21"/>
          <w:u w:val="single"/>
        </w:rPr>
        <w:t>按照国家、行业和地方相关规定执行。</w:t>
      </w:r>
      <w:r>
        <w:rPr>
          <w:rFonts w:ascii="宋体" w:hAnsi="宋体"/>
          <w:u w:val="single"/>
        </w:rPr>
        <w:t>_________</w:t>
      </w:r>
      <w:r>
        <w:rPr>
          <w:rFonts w:hint="eastAsia" w:ascii="宋体" w:hAnsi="宋体"/>
        </w:rPr>
        <w:t>。</w:t>
      </w:r>
    </w:p>
    <w:p w14:paraId="0A2D167F">
      <w:pPr>
        <w:adjustRightInd w:val="0"/>
        <w:snapToGrid w:val="0"/>
        <w:spacing w:line="360" w:lineRule="auto"/>
        <w:ind w:firstLine="420" w:firstLineChars="200"/>
        <w:jc w:val="left"/>
        <w:rPr>
          <w:rFonts w:hint="eastAsia" w:ascii="宋体" w:hAnsi="宋体"/>
        </w:rPr>
      </w:pPr>
      <w:r>
        <w:rPr>
          <w:rFonts w:hint="eastAsia" w:ascii="宋体" w:hAnsi="宋体"/>
        </w:rPr>
        <w:t>三、保修责任</w:t>
      </w:r>
    </w:p>
    <w:p w14:paraId="7EC4C8AB">
      <w:pPr>
        <w:adjustRightInd w:val="0"/>
        <w:snapToGrid w:val="0"/>
        <w:spacing w:line="360" w:lineRule="auto"/>
        <w:ind w:firstLine="420" w:firstLineChars="200"/>
        <w:jc w:val="left"/>
        <w:rPr>
          <w:rFonts w:hint="eastAsia" w:ascii="宋体" w:hAnsi="宋体"/>
        </w:rPr>
      </w:pPr>
      <w:r>
        <w:rPr>
          <w:rFonts w:hint="eastAsia" w:ascii="宋体" w:hAnsi="宋体"/>
        </w:rPr>
        <w:t>1、属于责任范围、内容的项目，承包人应当在接到保修通知之日起7天内派人保修。承包人不在约定期限内派人保修的，发包人可以委托他人修理。</w:t>
      </w:r>
    </w:p>
    <w:p w14:paraId="5E5353B6">
      <w:pPr>
        <w:adjustRightInd w:val="0"/>
        <w:snapToGrid w:val="0"/>
        <w:spacing w:line="360" w:lineRule="auto"/>
        <w:ind w:firstLine="420" w:firstLineChars="200"/>
        <w:jc w:val="left"/>
        <w:rPr>
          <w:rFonts w:hint="eastAsia" w:ascii="宋体" w:hAnsi="宋体"/>
        </w:rPr>
      </w:pPr>
      <w:r>
        <w:rPr>
          <w:rFonts w:hint="eastAsia" w:ascii="宋体" w:hAnsi="宋体"/>
        </w:rPr>
        <w:t>2、发生紧急抢修事故的，承包人在接到事故通知后，应当立即到达事故现场抢修。</w:t>
      </w:r>
    </w:p>
    <w:p w14:paraId="3DBF563E">
      <w:pPr>
        <w:adjustRightInd w:val="0"/>
        <w:snapToGrid w:val="0"/>
        <w:spacing w:line="360" w:lineRule="auto"/>
        <w:ind w:firstLine="420" w:firstLineChars="200"/>
        <w:jc w:val="left"/>
        <w:rPr>
          <w:rFonts w:hint="eastAsia" w:ascii="宋体" w:hAnsi="宋体"/>
        </w:rPr>
      </w:pPr>
      <w:r>
        <w:rPr>
          <w:rFonts w:hint="eastAsia" w:ascii="宋体" w:hAnsi="宋体"/>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705C5C4A">
      <w:pPr>
        <w:adjustRightInd w:val="0"/>
        <w:snapToGrid w:val="0"/>
        <w:spacing w:line="360" w:lineRule="auto"/>
        <w:ind w:firstLine="420" w:firstLineChars="200"/>
        <w:jc w:val="left"/>
        <w:rPr>
          <w:rFonts w:hint="eastAsia" w:ascii="宋体" w:hAnsi="宋体"/>
        </w:rPr>
      </w:pPr>
      <w:r>
        <w:rPr>
          <w:rFonts w:hint="eastAsia" w:ascii="宋体" w:hAnsi="宋体"/>
        </w:rPr>
        <w:t>4、质量保修完成后，由发包人组织验收。</w:t>
      </w:r>
    </w:p>
    <w:p w14:paraId="224D85EF">
      <w:pPr>
        <w:adjustRightInd w:val="0"/>
        <w:snapToGrid w:val="0"/>
        <w:spacing w:line="360" w:lineRule="auto"/>
        <w:ind w:firstLine="420" w:firstLineChars="200"/>
        <w:jc w:val="left"/>
        <w:rPr>
          <w:rFonts w:hint="eastAsia" w:ascii="宋体" w:hAnsi="宋体"/>
        </w:rPr>
      </w:pPr>
      <w:r>
        <w:rPr>
          <w:rFonts w:hint="eastAsia" w:ascii="宋体" w:hAnsi="宋体"/>
        </w:rPr>
        <w:t>四、保修费用</w:t>
      </w:r>
    </w:p>
    <w:p w14:paraId="1317EFD4">
      <w:pPr>
        <w:adjustRightInd w:val="0"/>
        <w:snapToGrid w:val="0"/>
        <w:spacing w:line="360" w:lineRule="auto"/>
        <w:ind w:firstLine="420" w:firstLineChars="200"/>
        <w:jc w:val="left"/>
        <w:rPr>
          <w:rFonts w:hint="eastAsia" w:ascii="宋体" w:hAnsi="宋体"/>
        </w:rPr>
      </w:pPr>
      <w:r>
        <w:rPr>
          <w:rFonts w:hint="eastAsia" w:ascii="宋体" w:hAnsi="宋体"/>
        </w:rPr>
        <w:t>保修费用由造成质量缺陷的责任方承担。</w:t>
      </w:r>
    </w:p>
    <w:p w14:paraId="18584EDE">
      <w:pPr>
        <w:adjustRightInd w:val="0"/>
        <w:snapToGrid w:val="0"/>
        <w:spacing w:line="360" w:lineRule="auto"/>
        <w:ind w:firstLine="420" w:firstLineChars="200"/>
        <w:jc w:val="left"/>
        <w:rPr>
          <w:rFonts w:hint="eastAsia" w:ascii="宋体" w:hAnsi="宋体"/>
        </w:rPr>
      </w:pPr>
      <w:r>
        <w:rPr>
          <w:rFonts w:hint="eastAsia" w:ascii="宋体" w:hAnsi="宋体"/>
        </w:rPr>
        <w:t>五、其 他</w:t>
      </w:r>
    </w:p>
    <w:p w14:paraId="0ED64CA1">
      <w:pPr>
        <w:adjustRightInd w:val="0"/>
        <w:snapToGrid w:val="0"/>
        <w:spacing w:line="360" w:lineRule="auto"/>
        <w:ind w:firstLine="420" w:firstLineChars="200"/>
        <w:jc w:val="left"/>
        <w:rPr>
          <w:rFonts w:hint="eastAsia" w:ascii="宋体" w:hAnsi="宋体"/>
        </w:rPr>
      </w:pPr>
      <w:r>
        <w:rPr>
          <w:rFonts w:hint="eastAsia" w:ascii="宋体" w:hAnsi="宋体"/>
        </w:rPr>
        <w:t>双方约定的其他工程保修责任事项：</w:t>
      </w:r>
    </w:p>
    <w:p w14:paraId="4E4675E2">
      <w:pPr>
        <w:adjustRightInd w:val="0"/>
        <w:snapToGrid w:val="0"/>
        <w:spacing w:line="360" w:lineRule="auto"/>
        <w:ind w:firstLine="420" w:firstLineChars="200"/>
        <w:jc w:val="left"/>
        <w:rPr>
          <w:rFonts w:hint="eastAsia" w:ascii="宋体" w:hAnsi="宋体"/>
        </w:rPr>
      </w:pPr>
      <w:r>
        <w:rPr>
          <w:rFonts w:ascii="宋体" w:hAnsi="宋体"/>
          <w:u w:val="single"/>
        </w:rPr>
        <w:t>______</w:t>
      </w:r>
      <w:r>
        <w:rPr>
          <w:rFonts w:hint="eastAsia" w:ascii="宋体" w:hAnsi="宋体" w:cs="Arial"/>
          <w:szCs w:val="21"/>
          <w:u w:val="single"/>
        </w:rPr>
        <w:t>按照国家、行业和地方相关规定执行。</w:t>
      </w:r>
      <w:r>
        <w:rPr>
          <w:rFonts w:ascii="宋体" w:hAnsi="宋体"/>
          <w:u w:val="single"/>
        </w:rPr>
        <w:t>____________</w:t>
      </w:r>
      <w:r>
        <w:rPr>
          <w:rFonts w:hint="eastAsia" w:ascii="宋体" w:hAnsi="宋体"/>
        </w:rPr>
        <w:t>。</w:t>
      </w:r>
    </w:p>
    <w:p w14:paraId="00253E31">
      <w:pPr>
        <w:adjustRightInd w:val="0"/>
        <w:snapToGrid w:val="0"/>
        <w:spacing w:line="360" w:lineRule="auto"/>
        <w:ind w:firstLine="420" w:firstLineChars="200"/>
        <w:jc w:val="left"/>
        <w:rPr>
          <w:rFonts w:hint="eastAsia" w:ascii="宋体" w:hAnsi="宋体"/>
        </w:rPr>
      </w:pPr>
      <w:r>
        <w:rPr>
          <w:rFonts w:hint="eastAsia" w:ascii="宋体" w:hAnsi="宋体"/>
        </w:rPr>
        <w:t>本工程保修书，由施工合同发包人、承包人双方在竣工验收前共同签署，作为施工合同附件，其有效期限至保修期满。</w:t>
      </w:r>
    </w:p>
    <w:p w14:paraId="2FCF7E2C">
      <w:pPr>
        <w:adjustRightInd w:val="0"/>
        <w:snapToGrid w:val="0"/>
        <w:spacing w:line="360" w:lineRule="auto"/>
        <w:ind w:firstLine="420" w:firstLineChars="200"/>
        <w:jc w:val="left"/>
        <w:rPr>
          <w:rFonts w:hint="eastAsia" w:ascii="宋体" w:hAnsi="宋体"/>
        </w:rPr>
      </w:pPr>
    </w:p>
    <w:p w14:paraId="46282372">
      <w:pPr>
        <w:adjustRightInd w:val="0"/>
        <w:snapToGrid w:val="0"/>
        <w:spacing w:line="360" w:lineRule="auto"/>
        <w:jc w:val="left"/>
        <w:rPr>
          <w:rFonts w:hint="eastAsia" w:ascii="宋体" w:hAnsi="宋体"/>
        </w:rPr>
      </w:pPr>
      <w:r>
        <w:rPr>
          <w:rFonts w:hint="eastAsia" w:ascii="宋体" w:hAnsi="宋体"/>
        </w:rPr>
        <w:t>发包人：</w:t>
      </w:r>
      <w:r>
        <w:rPr>
          <w:rFonts w:ascii="宋体" w:hAnsi="宋体"/>
          <w:u w:val="single"/>
        </w:rPr>
        <w:t>__________________</w:t>
      </w:r>
      <w:r>
        <w:rPr>
          <w:rFonts w:hint="eastAsia" w:ascii="宋体" w:hAnsi="宋体"/>
        </w:rPr>
        <w:t>（公章）   承包人：</w:t>
      </w:r>
      <w:r>
        <w:rPr>
          <w:rFonts w:ascii="宋体" w:hAnsi="宋体"/>
          <w:u w:val="single"/>
        </w:rPr>
        <w:t>__________________________</w:t>
      </w:r>
      <w:r>
        <w:rPr>
          <w:rFonts w:hint="eastAsia" w:ascii="宋体" w:hAnsi="宋体"/>
        </w:rPr>
        <w:t>（公章）</w:t>
      </w:r>
    </w:p>
    <w:p w14:paraId="0CE49CE4">
      <w:pPr>
        <w:adjustRightInd w:val="0"/>
        <w:snapToGrid w:val="0"/>
        <w:spacing w:line="360" w:lineRule="auto"/>
        <w:jc w:val="left"/>
        <w:rPr>
          <w:rFonts w:hint="eastAsia" w:ascii="宋体" w:hAnsi="宋体"/>
        </w:rPr>
      </w:pPr>
      <w:r>
        <w:rPr>
          <w:rFonts w:hint="eastAsia" w:ascii="宋体" w:hAnsi="宋体"/>
        </w:rPr>
        <w:t>法定地址：</w:t>
      </w:r>
      <w:r>
        <w:rPr>
          <w:rFonts w:ascii="宋体" w:hAnsi="宋体"/>
          <w:u w:val="single"/>
        </w:rPr>
        <w:t>_______________________</w:t>
      </w:r>
      <w:r>
        <w:rPr>
          <w:rFonts w:hint="eastAsia" w:ascii="宋体" w:hAnsi="宋体"/>
        </w:rPr>
        <w:t xml:space="preserve">    法定地址：</w:t>
      </w:r>
      <w:r>
        <w:rPr>
          <w:rFonts w:ascii="宋体" w:hAnsi="宋体"/>
          <w:u w:val="single"/>
        </w:rPr>
        <w:t>_______________________________</w:t>
      </w:r>
      <w:r>
        <w:rPr>
          <w:rFonts w:ascii="宋体" w:hAnsi="宋体"/>
        </w:rPr>
        <w:t>_</w:t>
      </w:r>
    </w:p>
    <w:p w14:paraId="39638D74">
      <w:pPr>
        <w:adjustRightInd w:val="0"/>
        <w:snapToGrid w:val="0"/>
        <w:spacing w:line="360" w:lineRule="auto"/>
        <w:jc w:val="left"/>
        <w:rPr>
          <w:rFonts w:hint="eastAsia" w:ascii="宋体" w:hAnsi="宋体"/>
        </w:rPr>
      </w:pPr>
      <w:r>
        <w:rPr>
          <w:rFonts w:hint="eastAsia" w:ascii="宋体" w:hAnsi="宋体"/>
        </w:rPr>
        <w:t>法定代表人或其                       法定代表人或其</w:t>
      </w:r>
    </w:p>
    <w:p w14:paraId="3B365E94">
      <w:pPr>
        <w:adjustRightInd w:val="0"/>
        <w:snapToGrid w:val="0"/>
        <w:spacing w:line="360" w:lineRule="auto"/>
        <w:jc w:val="left"/>
        <w:rPr>
          <w:rFonts w:hint="eastAsia" w:ascii="宋体" w:hAnsi="宋体"/>
        </w:rPr>
      </w:pPr>
      <w:r>
        <w:rPr>
          <w:rFonts w:hint="eastAsia" w:ascii="宋体" w:hAnsi="宋体"/>
        </w:rPr>
        <w:t>委托代理人：</w:t>
      </w:r>
      <w:r>
        <w:rPr>
          <w:rFonts w:ascii="宋体" w:hAnsi="宋体"/>
          <w:u w:val="single"/>
        </w:rPr>
        <w:t>_______________</w:t>
      </w:r>
      <w:r>
        <w:rPr>
          <w:rFonts w:hint="eastAsia" w:ascii="宋体" w:hAnsi="宋体"/>
        </w:rPr>
        <w:t>（签字）  委托代理人：</w:t>
      </w:r>
      <w:r>
        <w:rPr>
          <w:rFonts w:ascii="宋体" w:hAnsi="宋体"/>
          <w:u w:val="single"/>
        </w:rPr>
        <w:t>______________________</w:t>
      </w:r>
      <w:r>
        <w:rPr>
          <w:rFonts w:hint="eastAsia" w:ascii="宋体" w:hAnsi="宋体"/>
        </w:rPr>
        <w:t>（签字）</w:t>
      </w:r>
    </w:p>
    <w:p w14:paraId="2FD71986">
      <w:pPr>
        <w:adjustRightInd w:val="0"/>
        <w:snapToGrid w:val="0"/>
        <w:spacing w:line="360" w:lineRule="auto"/>
        <w:jc w:val="left"/>
        <w:rPr>
          <w:rFonts w:hint="eastAsia" w:ascii="宋体" w:hAnsi="宋体"/>
        </w:rPr>
      </w:pPr>
      <w:r>
        <w:rPr>
          <w:rFonts w:hint="eastAsia" w:ascii="宋体" w:hAnsi="宋体"/>
        </w:rPr>
        <w:t>电话：</w:t>
      </w:r>
      <w:r>
        <w:rPr>
          <w:rFonts w:ascii="宋体" w:hAnsi="宋体"/>
          <w:u w:val="single"/>
        </w:rPr>
        <w:t>____________________________</w:t>
      </w:r>
      <w:r>
        <w:rPr>
          <w:rFonts w:hint="eastAsia" w:ascii="宋体" w:hAnsi="宋体"/>
        </w:rPr>
        <w:t xml:space="preserve">   电话：</w:t>
      </w:r>
      <w:r>
        <w:rPr>
          <w:rFonts w:ascii="宋体" w:hAnsi="宋体"/>
          <w:u w:val="single"/>
        </w:rPr>
        <w:t>___________________________________</w:t>
      </w:r>
    </w:p>
    <w:p w14:paraId="69FB07A3">
      <w:pPr>
        <w:adjustRightInd w:val="0"/>
        <w:snapToGrid w:val="0"/>
        <w:spacing w:line="360" w:lineRule="auto"/>
        <w:jc w:val="left"/>
        <w:rPr>
          <w:rFonts w:hint="eastAsia" w:ascii="宋体" w:hAnsi="宋体"/>
        </w:rPr>
      </w:pPr>
      <w:r>
        <w:rPr>
          <w:rFonts w:hint="eastAsia" w:ascii="宋体" w:hAnsi="宋体"/>
        </w:rPr>
        <w:t>传真：</w:t>
      </w:r>
      <w:r>
        <w:rPr>
          <w:rFonts w:ascii="宋体" w:hAnsi="宋体"/>
          <w:u w:val="single"/>
        </w:rPr>
        <w:t>____________________________</w:t>
      </w:r>
      <w:r>
        <w:rPr>
          <w:rFonts w:hint="eastAsia" w:ascii="宋体" w:hAnsi="宋体"/>
        </w:rPr>
        <w:t xml:space="preserve">   传真：</w:t>
      </w:r>
      <w:r>
        <w:rPr>
          <w:rFonts w:ascii="宋体" w:hAnsi="宋体"/>
          <w:u w:val="single"/>
        </w:rPr>
        <w:t>___________________________________</w:t>
      </w:r>
    </w:p>
    <w:p w14:paraId="5E60EFE0">
      <w:pPr>
        <w:adjustRightInd w:val="0"/>
        <w:snapToGrid w:val="0"/>
        <w:spacing w:line="360" w:lineRule="auto"/>
        <w:jc w:val="left"/>
        <w:rPr>
          <w:rFonts w:hint="eastAsia" w:ascii="宋体" w:hAnsi="宋体"/>
        </w:rPr>
      </w:pPr>
      <w:r>
        <w:rPr>
          <w:rFonts w:hint="eastAsia" w:ascii="宋体" w:hAnsi="宋体"/>
        </w:rPr>
        <w:t>电子邮箱：</w:t>
      </w:r>
      <w:r>
        <w:rPr>
          <w:rFonts w:ascii="宋体" w:hAnsi="宋体"/>
          <w:u w:val="single"/>
        </w:rPr>
        <w:t>________________________</w:t>
      </w:r>
      <w:r>
        <w:rPr>
          <w:rFonts w:hint="eastAsia" w:ascii="宋体" w:hAnsi="宋体"/>
        </w:rPr>
        <w:t xml:space="preserve">   电子邮箱：</w:t>
      </w:r>
      <w:r>
        <w:rPr>
          <w:rFonts w:ascii="宋体" w:hAnsi="宋体"/>
          <w:u w:val="single"/>
        </w:rPr>
        <w:t>______________________________</w:t>
      </w:r>
    </w:p>
    <w:p w14:paraId="47DF4149">
      <w:pPr>
        <w:adjustRightInd w:val="0"/>
        <w:snapToGrid w:val="0"/>
        <w:spacing w:line="360" w:lineRule="auto"/>
        <w:jc w:val="left"/>
        <w:rPr>
          <w:rFonts w:hint="eastAsia" w:ascii="宋体" w:hAnsi="宋体"/>
        </w:rPr>
      </w:pPr>
      <w:r>
        <w:rPr>
          <w:rFonts w:hint="eastAsia" w:ascii="宋体" w:hAnsi="宋体"/>
        </w:rPr>
        <w:t>开户银行：</w:t>
      </w:r>
      <w:r>
        <w:rPr>
          <w:rFonts w:ascii="宋体" w:hAnsi="宋体"/>
          <w:u w:val="single"/>
        </w:rPr>
        <w:t>________________________</w:t>
      </w:r>
      <w:r>
        <w:rPr>
          <w:rFonts w:hint="eastAsia" w:ascii="宋体" w:hAnsi="宋体"/>
        </w:rPr>
        <w:t xml:space="preserve">   开户银行：</w:t>
      </w:r>
      <w:r>
        <w:rPr>
          <w:rFonts w:ascii="宋体" w:hAnsi="宋体"/>
          <w:u w:val="single"/>
        </w:rPr>
        <w:t>______________________________</w:t>
      </w:r>
    </w:p>
    <w:p w14:paraId="5AD87059">
      <w:pPr>
        <w:adjustRightInd w:val="0"/>
        <w:snapToGrid w:val="0"/>
        <w:spacing w:line="360" w:lineRule="auto"/>
        <w:jc w:val="left"/>
        <w:rPr>
          <w:rFonts w:hint="eastAsia" w:ascii="宋体" w:hAnsi="宋体"/>
        </w:rPr>
      </w:pPr>
      <w:r>
        <w:rPr>
          <w:rFonts w:hint="eastAsia" w:ascii="宋体" w:hAnsi="宋体"/>
        </w:rPr>
        <w:t>帐号：</w:t>
      </w:r>
      <w:r>
        <w:rPr>
          <w:rFonts w:ascii="宋体" w:hAnsi="宋体"/>
          <w:u w:val="single"/>
        </w:rPr>
        <w:t>____________________________</w:t>
      </w:r>
      <w:r>
        <w:rPr>
          <w:rFonts w:hint="eastAsia" w:ascii="宋体" w:hAnsi="宋体"/>
        </w:rPr>
        <w:t xml:space="preserve">   帐号：</w:t>
      </w:r>
      <w:r>
        <w:rPr>
          <w:rFonts w:ascii="宋体" w:hAnsi="宋体"/>
          <w:u w:val="single"/>
        </w:rPr>
        <w:t>__________________________________</w:t>
      </w:r>
    </w:p>
    <w:p w14:paraId="3C5AF693">
      <w:pPr>
        <w:adjustRightInd w:val="0"/>
        <w:snapToGrid w:val="0"/>
        <w:spacing w:line="360" w:lineRule="auto"/>
        <w:jc w:val="left"/>
        <w:rPr>
          <w:rFonts w:hint="eastAsia" w:ascii="宋体" w:hAnsi="宋体"/>
        </w:rPr>
      </w:pPr>
      <w:r>
        <w:rPr>
          <w:rFonts w:hint="eastAsia" w:ascii="宋体" w:hAnsi="宋体"/>
        </w:rPr>
        <w:t>邮政编码：</w:t>
      </w:r>
      <w:r>
        <w:rPr>
          <w:rFonts w:ascii="宋体" w:hAnsi="宋体"/>
          <w:u w:val="single"/>
        </w:rPr>
        <w:t>________________________</w:t>
      </w:r>
      <w:r>
        <w:rPr>
          <w:rFonts w:hint="eastAsia" w:ascii="宋体" w:hAnsi="宋体"/>
        </w:rPr>
        <w:t xml:space="preserve">   邮政编码：</w:t>
      </w:r>
      <w:r>
        <w:rPr>
          <w:rFonts w:ascii="宋体" w:hAnsi="宋体"/>
          <w:u w:val="single"/>
        </w:rPr>
        <w:t>______________________________</w:t>
      </w:r>
    </w:p>
    <w:p w14:paraId="08B242FE">
      <w:r>
        <w:br w:type="page"/>
      </w:r>
    </w:p>
    <w:p w14:paraId="39C0B8BB">
      <w:pPr>
        <w:adjustRightInd w:val="0"/>
        <w:snapToGrid w:val="0"/>
        <w:spacing w:line="360" w:lineRule="auto"/>
        <w:outlineLvl w:val="2"/>
        <w:rPr>
          <w:rFonts w:hint="eastAsia" w:ascii="宋体" w:hAnsi="宋体"/>
          <w:sz w:val="24"/>
        </w:rPr>
      </w:pPr>
      <w:bookmarkStart w:id="971" w:name="_Toc196225959"/>
      <w:r>
        <w:rPr>
          <w:rFonts w:hint="eastAsia" w:ascii="宋体" w:hAnsi="宋体"/>
          <w:sz w:val="24"/>
        </w:rPr>
        <w:t>附件六：廉政责任书格式</w:t>
      </w:r>
      <w:bookmarkEnd w:id="971"/>
    </w:p>
    <w:p w14:paraId="317BA916">
      <w:pPr>
        <w:adjustRightInd w:val="0"/>
        <w:snapToGrid w:val="0"/>
        <w:spacing w:line="360" w:lineRule="auto"/>
        <w:jc w:val="center"/>
        <w:rPr>
          <w:rFonts w:hint="eastAsia" w:ascii="宋体" w:hAnsi="宋体"/>
          <w:sz w:val="28"/>
        </w:rPr>
      </w:pPr>
      <w:r>
        <w:rPr>
          <w:rFonts w:hint="eastAsia" w:ascii="宋体" w:hAnsi="宋体"/>
          <w:b/>
          <w:sz w:val="28"/>
        </w:rPr>
        <w:t>建设工程廉政责任书</w:t>
      </w:r>
    </w:p>
    <w:p w14:paraId="701291F2">
      <w:pPr>
        <w:adjustRightInd w:val="0"/>
        <w:snapToGrid w:val="0"/>
        <w:spacing w:line="360" w:lineRule="auto"/>
        <w:jc w:val="left"/>
        <w:rPr>
          <w:rFonts w:hint="eastAsia" w:ascii="宋体" w:hAnsi="宋体"/>
        </w:rPr>
      </w:pPr>
    </w:p>
    <w:p w14:paraId="1375F2C5">
      <w:pPr>
        <w:adjustRightInd w:val="0"/>
        <w:snapToGrid w:val="0"/>
        <w:spacing w:line="360" w:lineRule="auto"/>
        <w:jc w:val="left"/>
        <w:rPr>
          <w:rFonts w:hint="eastAsia" w:ascii="宋体" w:hAnsi="宋体"/>
        </w:rPr>
      </w:pPr>
      <w:r>
        <w:rPr>
          <w:rFonts w:hint="eastAsia" w:ascii="宋体" w:hAnsi="宋体"/>
        </w:rPr>
        <w:t>发包人：</w:t>
      </w:r>
      <w:r>
        <w:rPr>
          <w:rFonts w:ascii="宋体" w:hAnsi="宋体"/>
          <w:u w:val="single"/>
        </w:rPr>
        <w:t>______________________________________________________________________</w:t>
      </w:r>
    </w:p>
    <w:p w14:paraId="2EEF1ACD">
      <w:pPr>
        <w:adjustRightInd w:val="0"/>
        <w:snapToGrid w:val="0"/>
        <w:spacing w:line="360" w:lineRule="auto"/>
        <w:jc w:val="left"/>
        <w:rPr>
          <w:rFonts w:hint="eastAsia" w:ascii="宋体" w:hAnsi="宋体"/>
        </w:rPr>
      </w:pPr>
      <w:r>
        <w:rPr>
          <w:rFonts w:hint="eastAsia" w:ascii="宋体" w:hAnsi="宋体"/>
        </w:rPr>
        <w:t>承包人：</w:t>
      </w:r>
      <w:r>
        <w:rPr>
          <w:rFonts w:ascii="宋体" w:hAnsi="宋体"/>
          <w:u w:val="single"/>
        </w:rPr>
        <w:t>______________________________________________________________________</w:t>
      </w:r>
    </w:p>
    <w:p w14:paraId="25E3FCE5">
      <w:pPr>
        <w:adjustRightInd w:val="0"/>
        <w:snapToGrid w:val="0"/>
        <w:spacing w:line="360" w:lineRule="auto"/>
        <w:jc w:val="left"/>
        <w:rPr>
          <w:rFonts w:hint="eastAsia" w:ascii="宋体" w:hAnsi="宋体"/>
        </w:rPr>
      </w:pPr>
    </w:p>
    <w:p w14:paraId="3669AF8A">
      <w:pPr>
        <w:adjustRightInd w:val="0"/>
        <w:snapToGrid w:val="0"/>
        <w:spacing w:line="360" w:lineRule="auto"/>
        <w:ind w:firstLine="420" w:firstLineChars="200"/>
        <w:jc w:val="left"/>
        <w:rPr>
          <w:rFonts w:hint="eastAsia" w:ascii="宋体" w:hAnsi="宋体"/>
          <w:szCs w:val="28"/>
        </w:rPr>
      </w:pPr>
      <w:r>
        <w:rPr>
          <w:rFonts w:ascii="宋体" w:hAnsi="宋体"/>
          <w:szCs w:val="28"/>
        </w:rPr>
        <w:t>为加强建设工程廉政建设，规范</w:t>
      </w:r>
      <w:r>
        <w:rPr>
          <w:rFonts w:hint="eastAsia" w:ascii="宋体" w:hAnsi="宋体"/>
          <w:szCs w:val="28"/>
        </w:rPr>
        <w:t>建设工程</w:t>
      </w:r>
      <w:r>
        <w:rPr>
          <w:rFonts w:ascii="宋体" w:hAnsi="宋体"/>
          <w:szCs w:val="28"/>
        </w:rPr>
        <w:t>各项活动</w:t>
      </w:r>
      <w:r>
        <w:rPr>
          <w:rFonts w:hint="eastAsia" w:ascii="宋体" w:hAnsi="宋体"/>
          <w:szCs w:val="28"/>
        </w:rPr>
        <w:t>中发包人承包人双方的行为</w:t>
      </w:r>
      <w:r>
        <w:rPr>
          <w:rFonts w:ascii="宋体" w:hAnsi="宋体"/>
          <w:szCs w:val="28"/>
        </w:rPr>
        <w:t>，防止谋取不正当利益的违法违纪</w:t>
      </w:r>
      <w:r>
        <w:rPr>
          <w:rFonts w:hint="eastAsia" w:ascii="宋体" w:hAnsi="宋体"/>
          <w:szCs w:val="28"/>
        </w:rPr>
        <w:t>现象的</w:t>
      </w:r>
      <w:r>
        <w:rPr>
          <w:rFonts w:ascii="宋体" w:hAnsi="宋体"/>
          <w:szCs w:val="28"/>
        </w:rPr>
        <w:t>发生，保护国家、集体和当事人的合法权益，根据国家有关工程建设的法律法规和廉政建设</w:t>
      </w:r>
      <w:r>
        <w:rPr>
          <w:rFonts w:hint="eastAsia" w:ascii="宋体" w:hAnsi="宋体"/>
          <w:szCs w:val="28"/>
        </w:rPr>
        <w:t>的有关规定</w:t>
      </w:r>
      <w:r>
        <w:rPr>
          <w:rFonts w:ascii="宋体" w:hAnsi="宋体"/>
          <w:szCs w:val="28"/>
        </w:rPr>
        <w:t>，订立本廉政责任书。</w:t>
      </w:r>
    </w:p>
    <w:p w14:paraId="0F800C84">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一、双方的责任</w:t>
      </w:r>
    </w:p>
    <w:p w14:paraId="3E6CCD17">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1</w:t>
      </w:r>
      <w:r>
        <w:rPr>
          <w:rFonts w:ascii="宋体" w:hAnsi="宋体"/>
          <w:szCs w:val="28"/>
        </w:rPr>
        <w:t>.1应严格遵守国家关于</w:t>
      </w:r>
      <w:r>
        <w:rPr>
          <w:rFonts w:hint="eastAsia" w:ascii="宋体" w:hAnsi="宋体"/>
          <w:szCs w:val="28"/>
        </w:rPr>
        <w:t>建设工程</w:t>
      </w:r>
      <w:r>
        <w:rPr>
          <w:rFonts w:ascii="宋体" w:hAnsi="宋体"/>
          <w:szCs w:val="28"/>
        </w:rPr>
        <w:t>的有关法律、法规，相关政策，以及廉政建设的各项规定。</w:t>
      </w:r>
    </w:p>
    <w:p w14:paraId="6F04BA7A">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1</w:t>
      </w:r>
      <w:r>
        <w:rPr>
          <w:rFonts w:ascii="宋体" w:hAnsi="宋体"/>
          <w:szCs w:val="28"/>
        </w:rPr>
        <w:t>.</w:t>
      </w:r>
      <w:r>
        <w:rPr>
          <w:rFonts w:hint="eastAsia" w:ascii="宋体" w:hAnsi="宋体"/>
          <w:szCs w:val="28"/>
        </w:rPr>
        <w:t>2</w:t>
      </w:r>
      <w:r>
        <w:rPr>
          <w:rFonts w:ascii="宋体" w:hAnsi="宋体"/>
          <w:szCs w:val="28"/>
        </w:rPr>
        <w:t>严格执行建设工程合同文件，自觉按合同办事。</w:t>
      </w:r>
    </w:p>
    <w:p w14:paraId="2372D355">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1</w:t>
      </w:r>
      <w:r>
        <w:rPr>
          <w:rFonts w:ascii="宋体" w:hAnsi="宋体"/>
          <w:szCs w:val="28"/>
        </w:rPr>
        <w:t>.</w:t>
      </w:r>
      <w:r>
        <w:rPr>
          <w:rFonts w:hint="eastAsia" w:ascii="宋体" w:hAnsi="宋体"/>
          <w:szCs w:val="28"/>
        </w:rPr>
        <w:t>3各项</w:t>
      </w:r>
      <w:r>
        <w:rPr>
          <w:rFonts w:ascii="宋体" w:hAnsi="宋体"/>
          <w:szCs w:val="28"/>
        </w:rPr>
        <w:t>活动必须坚持公开、公平、公正、诚信、透明的原则（除法律法规另有规定者外），不得为获取不正当的利益，损害国家、集体和对方利益，不得违反建设工程管理的规章制度。</w:t>
      </w:r>
    </w:p>
    <w:p w14:paraId="072224D8">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1</w:t>
      </w:r>
      <w:r>
        <w:rPr>
          <w:rFonts w:ascii="宋体" w:hAnsi="宋体"/>
          <w:szCs w:val="28"/>
        </w:rPr>
        <w:t>.</w:t>
      </w:r>
      <w:r>
        <w:rPr>
          <w:rFonts w:hint="eastAsia" w:ascii="宋体" w:hAnsi="宋体"/>
          <w:szCs w:val="28"/>
        </w:rPr>
        <w:t>4</w:t>
      </w:r>
      <w:r>
        <w:rPr>
          <w:rFonts w:ascii="宋体" w:hAnsi="宋体"/>
          <w:szCs w:val="28"/>
        </w:rPr>
        <w:t>发现对方在业务活动中有违规、违纪、违法行为的，应及时提醒对方，情节严重的，应向其上级主管部门或纪检监察、司法等有关机关举报。</w:t>
      </w:r>
    </w:p>
    <w:p w14:paraId="43EC3874">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二、发包人责任</w:t>
      </w:r>
    </w:p>
    <w:p w14:paraId="583E86A4">
      <w:pPr>
        <w:adjustRightInd w:val="0"/>
        <w:snapToGrid w:val="0"/>
        <w:spacing w:line="360" w:lineRule="auto"/>
        <w:ind w:firstLine="420" w:firstLineChars="200"/>
        <w:jc w:val="left"/>
        <w:rPr>
          <w:rFonts w:hint="eastAsia" w:ascii="宋体" w:hAnsi="宋体"/>
          <w:szCs w:val="28"/>
        </w:rPr>
      </w:pPr>
      <w:r>
        <w:rPr>
          <w:rFonts w:ascii="宋体" w:hAnsi="宋体"/>
          <w:szCs w:val="28"/>
        </w:rPr>
        <w:t>发包人的领导和从事该建设工程项目的工作人员，在工程建设的事前、事中、事后应遵守以下规定：</w:t>
      </w:r>
    </w:p>
    <w:p w14:paraId="71C02CDF">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2</w:t>
      </w:r>
      <w:r>
        <w:rPr>
          <w:rFonts w:ascii="宋体" w:hAnsi="宋体"/>
          <w:szCs w:val="28"/>
        </w:rPr>
        <w:t>.</w:t>
      </w:r>
      <w:r>
        <w:rPr>
          <w:rFonts w:hint="eastAsia" w:ascii="宋体" w:hAnsi="宋体"/>
          <w:szCs w:val="28"/>
        </w:rPr>
        <w:t>1</w:t>
      </w:r>
      <w:r>
        <w:rPr>
          <w:rFonts w:ascii="宋体" w:hAnsi="宋体"/>
          <w:szCs w:val="28"/>
        </w:rPr>
        <w:t>不得向承包人和相关单位索要或接受回扣、礼金、有价证券、贵重物品和好处费、感谢费等。</w:t>
      </w:r>
    </w:p>
    <w:p w14:paraId="74866B68">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2</w:t>
      </w:r>
      <w:r>
        <w:rPr>
          <w:rFonts w:ascii="宋体" w:hAnsi="宋体"/>
          <w:szCs w:val="28"/>
        </w:rPr>
        <w:t>.</w:t>
      </w:r>
      <w:r>
        <w:rPr>
          <w:rFonts w:hint="eastAsia" w:ascii="宋体" w:hAnsi="宋体"/>
          <w:szCs w:val="28"/>
        </w:rPr>
        <w:t>2</w:t>
      </w:r>
      <w:r>
        <w:rPr>
          <w:rFonts w:ascii="宋体" w:hAnsi="宋体"/>
          <w:szCs w:val="28"/>
        </w:rPr>
        <w:t>不得在承包人和相关单位报销任何应由发包人或个人支付的费用。</w:t>
      </w:r>
    </w:p>
    <w:p w14:paraId="63D3737C">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2</w:t>
      </w:r>
      <w:r>
        <w:rPr>
          <w:rFonts w:ascii="宋体" w:hAnsi="宋体"/>
          <w:szCs w:val="28"/>
        </w:rPr>
        <w:t>.</w:t>
      </w:r>
      <w:r>
        <w:rPr>
          <w:rFonts w:hint="eastAsia" w:ascii="宋体" w:hAnsi="宋体"/>
          <w:szCs w:val="28"/>
        </w:rPr>
        <w:t>3</w:t>
      </w:r>
      <w:r>
        <w:rPr>
          <w:rFonts w:ascii="宋体" w:hAnsi="宋体"/>
          <w:szCs w:val="28"/>
        </w:rPr>
        <w:t>不得要求、暗示或接受承包人和相关单位为个人装修住房、婚丧嫁娶、配偶子女的工作安排以及出国（境）、旅游等提供方便。</w:t>
      </w:r>
    </w:p>
    <w:p w14:paraId="42023BE1">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2</w:t>
      </w:r>
      <w:r>
        <w:rPr>
          <w:rFonts w:ascii="宋体" w:hAnsi="宋体"/>
          <w:szCs w:val="28"/>
        </w:rPr>
        <w:t>.</w:t>
      </w:r>
      <w:r>
        <w:rPr>
          <w:rFonts w:hint="eastAsia" w:ascii="宋体" w:hAnsi="宋体"/>
          <w:szCs w:val="28"/>
        </w:rPr>
        <w:t>4</w:t>
      </w:r>
      <w:r>
        <w:rPr>
          <w:rFonts w:ascii="宋体" w:hAnsi="宋体"/>
          <w:szCs w:val="28"/>
        </w:rPr>
        <w:t>不得参加有可能影响公正执行公务的承包人和相关单位的宴请、健身、娱乐等活动。</w:t>
      </w:r>
    </w:p>
    <w:p w14:paraId="6AC00CCA">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2</w:t>
      </w:r>
      <w:r>
        <w:rPr>
          <w:rFonts w:ascii="宋体" w:hAnsi="宋体"/>
          <w:szCs w:val="28"/>
        </w:rPr>
        <w:t>.</w:t>
      </w:r>
      <w:r>
        <w:rPr>
          <w:rFonts w:hint="eastAsia" w:ascii="宋体" w:hAnsi="宋体"/>
          <w:szCs w:val="28"/>
        </w:rPr>
        <w:t>5</w:t>
      </w:r>
      <w:r>
        <w:rPr>
          <w:rFonts w:ascii="宋体" w:hAnsi="宋体"/>
          <w:szCs w:val="28"/>
        </w:rPr>
        <w:t>不得向承包人和相关单位介绍或为配偶、子女、亲属参与同发包人</w:t>
      </w:r>
      <w:r>
        <w:rPr>
          <w:rFonts w:hint="eastAsia" w:ascii="宋体" w:hAnsi="宋体"/>
          <w:szCs w:val="28"/>
        </w:rPr>
        <w:t>工程建设管理</w:t>
      </w:r>
      <w:r>
        <w:rPr>
          <w:rFonts w:ascii="宋体" w:hAnsi="宋体"/>
          <w:szCs w:val="28"/>
        </w:rPr>
        <w:t>合同有关的业务活动</w:t>
      </w:r>
      <w:r>
        <w:rPr>
          <w:rFonts w:hint="eastAsia" w:ascii="宋体" w:hAnsi="宋体"/>
          <w:szCs w:val="28"/>
        </w:rPr>
        <w:t>；</w:t>
      </w:r>
      <w:r>
        <w:rPr>
          <w:rFonts w:ascii="宋体" w:hAnsi="宋体"/>
          <w:szCs w:val="28"/>
        </w:rPr>
        <w:t>不得以任何理由要求承包人和相关单位使用某种产品、材料和设备。</w:t>
      </w:r>
    </w:p>
    <w:p w14:paraId="64B78A5B">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三、承包人责任</w:t>
      </w:r>
    </w:p>
    <w:p w14:paraId="7043B141">
      <w:pPr>
        <w:adjustRightInd w:val="0"/>
        <w:snapToGrid w:val="0"/>
        <w:spacing w:line="360" w:lineRule="auto"/>
        <w:ind w:firstLine="420" w:firstLineChars="200"/>
        <w:jc w:val="left"/>
        <w:rPr>
          <w:rFonts w:hint="eastAsia" w:ascii="宋体" w:hAnsi="宋体"/>
          <w:szCs w:val="28"/>
        </w:rPr>
      </w:pPr>
      <w:r>
        <w:rPr>
          <w:rFonts w:ascii="宋体" w:hAnsi="宋体"/>
          <w:szCs w:val="28"/>
        </w:rPr>
        <w:t>应与发包人保持正常的业务交往，按照有关法律法规和程序开展业务工作，严格执行工程建设的有关方针、政策，</w:t>
      </w:r>
      <w:r>
        <w:rPr>
          <w:rFonts w:hint="eastAsia" w:ascii="宋体" w:hAnsi="宋体"/>
          <w:szCs w:val="28"/>
        </w:rPr>
        <w:t>执行工程建设</w:t>
      </w:r>
      <w:r>
        <w:rPr>
          <w:rFonts w:ascii="宋体" w:hAnsi="宋体"/>
          <w:szCs w:val="28"/>
        </w:rPr>
        <w:t>强制性标准，并遵守以下规定：</w:t>
      </w:r>
    </w:p>
    <w:p w14:paraId="6FF3EF8A">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3</w:t>
      </w:r>
      <w:r>
        <w:rPr>
          <w:rFonts w:ascii="宋体" w:hAnsi="宋体"/>
          <w:szCs w:val="28"/>
        </w:rPr>
        <w:t>.</w:t>
      </w:r>
      <w:r>
        <w:rPr>
          <w:rFonts w:hint="eastAsia" w:ascii="宋体" w:hAnsi="宋体"/>
          <w:szCs w:val="28"/>
        </w:rPr>
        <w:t>1</w:t>
      </w:r>
      <w:r>
        <w:rPr>
          <w:rFonts w:ascii="宋体" w:hAnsi="宋体"/>
          <w:szCs w:val="28"/>
        </w:rPr>
        <w:t>不得以任何理由向发包人及其工作人员索要、接受或赠送礼金、有价证券、贵重物品及回扣、好处费、感谢费等。</w:t>
      </w:r>
    </w:p>
    <w:p w14:paraId="7C3974BE">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3</w:t>
      </w:r>
      <w:r>
        <w:rPr>
          <w:rFonts w:ascii="宋体" w:hAnsi="宋体"/>
          <w:szCs w:val="28"/>
        </w:rPr>
        <w:t>.</w:t>
      </w:r>
      <w:r>
        <w:rPr>
          <w:rFonts w:hint="eastAsia" w:ascii="宋体" w:hAnsi="宋体"/>
          <w:szCs w:val="28"/>
        </w:rPr>
        <w:t>2</w:t>
      </w:r>
      <w:r>
        <w:rPr>
          <w:rFonts w:ascii="宋体" w:hAnsi="宋体"/>
          <w:szCs w:val="28"/>
        </w:rPr>
        <w:t>不得以任何理由为发包人和相关单位报销应由对方或个人支付的费用。</w:t>
      </w:r>
    </w:p>
    <w:p w14:paraId="4340A7B7">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3</w:t>
      </w:r>
      <w:r>
        <w:rPr>
          <w:rFonts w:ascii="宋体" w:hAnsi="宋体"/>
          <w:szCs w:val="28"/>
        </w:rPr>
        <w:t>.</w:t>
      </w:r>
      <w:r>
        <w:rPr>
          <w:rFonts w:hint="eastAsia" w:ascii="宋体" w:hAnsi="宋体"/>
          <w:szCs w:val="28"/>
        </w:rPr>
        <w:t>3</w:t>
      </w:r>
      <w:r>
        <w:rPr>
          <w:rFonts w:ascii="宋体" w:hAnsi="宋体"/>
          <w:szCs w:val="28"/>
        </w:rPr>
        <w:t>不得接受或暗示为发包人、相关单位或个人装修住房、婚丧嫁娶、配偶子女的工作安排以及出国（境）、旅游等提供方便。</w:t>
      </w:r>
    </w:p>
    <w:p w14:paraId="226EF9B7">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3</w:t>
      </w:r>
      <w:r>
        <w:rPr>
          <w:rFonts w:ascii="宋体" w:hAnsi="宋体"/>
          <w:szCs w:val="28"/>
        </w:rPr>
        <w:t>.</w:t>
      </w:r>
      <w:r>
        <w:rPr>
          <w:rFonts w:hint="eastAsia" w:ascii="宋体" w:hAnsi="宋体"/>
          <w:szCs w:val="28"/>
        </w:rPr>
        <w:t>4</w:t>
      </w:r>
      <w:r>
        <w:rPr>
          <w:rFonts w:ascii="宋体" w:hAnsi="宋体"/>
          <w:szCs w:val="28"/>
        </w:rPr>
        <w:t>不得以任何理由为发包人、相关单位或个人组织有可能影响公正执行公务的宴请、健身、娱乐等活动。</w:t>
      </w:r>
    </w:p>
    <w:p w14:paraId="166E99FB">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四、违约责任</w:t>
      </w:r>
    </w:p>
    <w:p w14:paraId="2C15E403">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4</w:t>
      </w:r>
      <w:r>
        <w:rPr>
          <w:rFonts w:ascii="宋体" w:hAnsi="宋体"/>
          <w:szCs w:val="28"/>
        </w:rPr>
        <w:t>.</w:t>
      </w:r>
      <w:r>
        <w:rPr>
          <w:rFonts w:hint="eastAsia" w:ascii="宋体" w:hAnsi="宋体"/>
          <w:szCs w:val="28"/>
        </w:rPr>
        <w:t>1</w:t>
      </w:r>
      <w:r>
        <w:rPr>
          <w:rFonts w:ascii="宋体" w:hAnsi="宋体"/>
          <w:szCs w:val="28"/>
        </w:rPr>
        <w:t>发包人工作人员有违反本责任书第一、二条责任行为的，依据有关法律</w:t>
      </w:r>
      <w:r>
        <w:rPr>
          <w:rFonts w:hint="eastAsia" w:ascii="宋体" w:hAnsi="宋体"/>
          <w:szCs w:val="28"/>
        </w:rPr>
        <w:t>、</w:t>
      </w:r>
      <w:r>
        <w:rPr>
          <w:rFonts w:ascii="宋体" w:hAnsi="宋体"/>
          <w:szCs w:val="28"/>
        </w:rPr>
        <w:t>法规给予处理；涉嫌犯罪的，移交司法机关追究刑事责任；给承包人单位造成经济损失的，应予以赔偿。</w:t>
      </w:r>
    </w:p>
    <w:p w14:paraId="5ED918E9">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4</w:t>
      </w:r>
      <w:r>
        <w:rPr>
          <w:rFonts w:ascii="宋体" w:hAnsi="宋体"/>
          <w:szCs w:val="28"/>
        </w:rPr>
        <w:t>.</w:t>
      </w:r>
      <w:r>
        <w:rPr>
          <w:rFonts w:hint="eastAsia" w:ascii="宋体" w:hAnsi="宋体"/>
          <w:szCs w:val="28"/>
        </w:rPr>
        <w:t>2</w:t>
      </w:r>
      <w:r>
        <w:rPr>
          <w:rFonts w:ascii="宋体" w:hAnsi="宋体"/>
          <w:szCs w:val="28"/>
        </w:rPr>
        <w:t>承包人工作人员有违反本责任书第一、三条责任行为的，依据有关法律法规处理；涉嫌犯罪的，移交司法机关追究刑事责任；给发包人单位造成经济损失的，应予以赔偿。</w:t>
      </w:r>
    </w:p>
    <w:p w14:paraId="499D89F8">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4</w:t>
      </w:r>
      <w:r>
        <w:rPr>
          <w:rFonts w:ascii="宋体" w:hAnsi="宋体"/>
          <w:szCs w:val="28"/>
        </w:rPr>
        <w:t>.</w:t>
      </w:r>
      <w:r>
        <w:rPr>
          <w:rFonts w:hint="eastAsia" w:ascii="宋体" w:hAnsi="宋体"/>
          <w:szCs w:val="28"/>
        </w:rPr>
        <w:t>3</w:t>
      </w:r>
      <w:r>
        <w:rPr>
          <w:rFonts w:ascii="宋体" w:hAnsi="宋体"/>
          <w:szCs w:val="28"/>
        </w:rPr>
        <w:t>本责任书作为</w:t>
      </w:r>
      <w:r>
        <w:rPr>
          <w:rFonts w:hint="eastAsia" w:ascii="宋体" w:hAnsi="宋体"/>
          <w:szCs w:val="28"/>
        </w:rPr>
        <w:t>建设</w:t>
      </w:r>
      <w:r>
        <w:rPr>
          <w:rFonts w:ascii="宋体" w:hAnsi="宋体"/>
          <w:szCs w:val="28"/>
        </w:rPr>
        <w:t>工程合同的</w:t>
      </w:r>
      <w:r>
        <w:rPr>
          <w:rFonts w:hint="eastAsia" w:ascii="宋体" w:hAnsi="宋体"/>
          <w:szCs w:val="28"/>
        </w:rPr>
        <w:t>组成部分</w:t>
      </w:r>
      <w:r>
        <w:rPr>
          <w:rFonts w:ascii="宋体" w:hAnsi="宋体"/>
          <w:szCs w:val="28"/>
        </w:rPr>
        <w:t>，与</w:t>
      </w:r>
      <w:r>
        <w:rPr>
          <w:rFonts w:hint="eastAsia" w:ascii="宋体" w:hAnsi="宋体"/>
          <w:szCs w:val="28"/>
        </w:rPr>
        <w:t>建设</w:t>
      </w:r>
      <w:r>
        <w:rPr>
          <w:rFonts w:ascii="宋体" w:hAnsi="宋体"/>
          <w:szCs w:val="28"/>
        </w:rPr>
        <w:t>工程合同具有同等法律效力。经双方签署后立即生效。</w:t>
      </w:r>
    </w:p>
    <w:p w14:paraId="3BC2DB71">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五、责任书有效期</w:t>
      </w:r>
    </w:p>
    <w:p w14:paraId="3D694A8E">
      <w:pPr>
        <w:adjustRightInd w:val="0"/>
        <w:snapToGrid w:val="0"/>
        <w:spacing w:line="360" w:lineRule="auto"/>
        <w:ind w:firstLine="420" w:firstLineChars="200"/>
        <w:jc w:val="left"/>
        <w:rPr>
          <w:rFonts w:hint="eastAsia" w:ascii="宋体" w:hAnsi="宋体"/>
          <w:szCs w:val="28"/>
        </w:rPr>
      </w:pPr>
      <w:r>
        <w:rPr>
          <w:rFonts w:ascii="宋体" w:hAnsi="宋体"/>
          <w:szCs w:val="28"/>
        </w:rPr>
        <w:t>本责任书的有效期为双方签署之日起至该工程项目竣工验收合格时止。</w:t>
      </w:r>
    </w:p>
    <w:p w14:paraId="0B5DEE86">
      <w:pPr>
        <w:adjustRightInd w:val="0"/>
        <w:snapToGrid w:val="0"/>
        <w:spacing w:line="360" w:lineRule="auto"/>
        <w:ind w:firstLine="420" w:firstLineChars="200"/>
        <w:jc w:val="left"/>
        <w:rPr>
          <w:rFonts w:hint="eastAsia" w:ascii="宋体" w:hAnsi="宋体"/>
          <w:szCs w:val="28"/>
        </w:rPr>
      </w:pPr>
      <w:r>
        <w:rPr>
          <w:rFonts w:hint="eastAsia" w:ascii="宋体" w:hAnsi="宋体"/>
          <w:szCs w:val="28"/>
        </w:rPr>
        <w:t>六、责任书份数</w:t>
      </w:r>
    </w:p>
    <w:p w14:paraId="2D94425A">
      <w:pPr>
        <w:adjustRightInd w:val="0"/>
        <w:snapToGrid w:val="0"/>
        <w:spacing w:line="360" w:lineRule="auto"/>
        <w:ind w:firstLine="420" w:firstLineChars="200"/>
        <w:jc w:val="left"/>
        <w:rPr>
          <w:rFonts w:hint="eastAsia" w:ascii="宋体" w:hAnsi="宋体"/>
          <w:szCs w:val="28"/>
        </w:rPr>
      </w:pPr>
      <w:r>
        <w:rPr>
          <w:rFonts w:ascii="宋体" w:hAnsi="宋体"/>
          <w:szCs w:val="28"/>
        </w:rPr>
        <w:t>本责任书一式</w:t>
      </w:r>
      <w:r>
        <w:rPr>
          <w:rFonts w:hint="eastAsia" w:ascii="宋体" w:hAnsi="宋体"/>
          <w:szCs w:val="28"/>
        </w:rPr>
        <w:t>二</w:t>
      </w:r>
      <w:r>
        <w:rPr>
          <w:rFonts w:ascii="宋体" w:hAnsi="宋体"/>
          <w:szCs w:val="28"/>
        </w:rPr>
        <w:t>份，</w:t>
      </w:r>
      <w:r>
        <w:rPr>
          <w:rFonts w:hint="eastAsia" w:ascii="宋体" w:hAnsi="宋体"/>
          <w:szCs w:val="28"/>
        </w:rPr>
        <w:t>发包人承包人</w:t>
      </w:r>
      <w:r>
        <w:rPr>
          <w:rFonts w:ascii="宋体" w:hAnsi="宋体"/>
          <w:szCs w:val="28"/>
        </w:rPr>
        <w:t>各执一份，</w:t>
      </w:r>
      <w:r>
        <w:rPr>
          <w:rFonts w:hint="eastAsia" w:ascii="宋体" w:hAnsi="宋体"/>
          <w:szCs w:val="28"/>
        </w:rPr>
        <w:t>具有同等效力</w:t>
      </w:r>
      <w:r>
        <w:rPr>
          <w:rFonts w:ascii="宋体" w:hAnsi="宋体"/>
          <w:szCs w:val="28"/>
        </w:rPr>
        <w:t>。</w:t>
      </w:r>
    </w:p>
    <w:p w14:paraId="2BC24EF6">
      <w:pPr>
        <w:adjustRightInd w:val="0"/>
        <w:snapToGrid w:val="0"/>
        <w:spacing w:line="360" w:lineRule="auto"/>
        <w:ind w:firstLine="420" w:firstLineChars="200"/>
        <w:jc w:val="left"/>
        <w:rPr>
          <w:rFonts w:hint="eastAsia" w:ascii="宋体" w:hAnsi="宋体"/>
          <w:szCs w:val="28"/>
        </w:rPr>
      </w:pPr>
    </w:p>
    <w:p w14:paraId="585C0C28">
      <w:pPr>
        <w:adjustRightInd w:val="0"/>
        <w:snapToGrid w:val="0"/>
        <w:spacing w:line="360" w:lineRule="auto"/>
        <w:jc w:val="left"/>
        <w:rPr>
          <w:rFonts w:hint="eastAsia" w:ascii="宋体" w:hAnsi="宋体"/>
        </w:rPr>
      </w:pPr>
      <w:r>
        <w:rPr>
          <w:rFonts w:hint="eastAsia" w:ascii="宋体" w:hAnsi="宋体"/>
        </w:rPr>
        <w:t>发包人：</w:t>
      </w:r>
      <w:r>
        <w:rPr>
          <w:rFonts w:ascii="宋体" w:hAnsi="宋体"/>
          <w:u w:val="single"/>
        </w:rPr>
        <w:t>__________________</w:t>
      </w:r>
      <w:r>
        <w:rPr>
          <w:rFonts w:hint="eastAsia" w:ascii="宋体" w:hAnsi="宋体"/>
        </w:rPr>
        <w:t>（公章）   承包人：</w:t>
      </w:r>
      <w:r>
        <w:rPr>
          <w:rFonts w:ascii="宋体" w:hAnsi="宋体"/>
          <w:u w:val="single"/>
        </w:rPr>
        <w:t>__________________________</w:t>
      </w:r>
      <w:r>
        <w:rPr>
          <w:rFonts w:hint="eastAsia" w:ascii="宋体" w:hAnsi="宋体"/>
        </w:rPr>
        <w:t>（公章）</w:t>
      </w:r>
    </w:p>
    <w:p w14:paraId="5E4B3DBC">
      <w:pPr>
        <w:adjustRightInd w:val="0"/>
        <w:snapToGrid w:val="0"/>
        <w:spacing w:line="360" w:lineRule="auto"/>
        <w:jc w:val="left"/>
        <w:rPr>
          <w:rFonts w:hint="eastAsia" w:ascii="宋体" w:hAnsi="宋体"/>
        </w:rPr>
      </w:pPr>
      <w:r>
        <w:rPr>
          <w:rFonts w:hint="eastAsia" w:ascii="宋体" w:hAnsi="宋体"/>
        </w:rPr>
        <w:t>法定地址：</w:t>
      </w:r>
      <w:r>
        <w:rPr>
          <w:rFonts w:ascii="宋体" w:hAnsi="宋体"/>
          <w:u w:val="single"/>
        </w:rPr>
        <w:t>_______________________</w:t>
      </w:r>
      <w:r>
        <w:rPr>
          <w:rFonts w:hint="eastAsia" w:ascii="宋体" w:hAnsi="宋体"/>
        </w:rPr>
        <w:t xml:space="preserve">    法定地址：</w:t>
      </w:r>
      <w:r>
        <w:rPr>
          <w:rFonts w:ascii="宋体" w:hAnsi="宋体"/>
          <w:u w:val="single"/>
        </w:rPr>
        <w:t>_______________________________</w:t>
      </w:r>
    </w:p>
    <w:p w14:paraId="078C4206">
      <w:pPr>
        <w:adjustRightInd w:val="0"/>
        <w:snapToGrid w:val="0"/>
        <w:spacing w:line="360" w:lineRule="auto"/>
        <w:jc w:val="left"/>
        <w:rPr>
          <w:rFonts w:hint="eastAsia" w:ascii="宋体" w:hAnsi="宋体"/>
        </w:rPr>
      </w:pPr>
      <w:r>
        <w:rPr>
          <w:rFonts w:hint="eastAsia" w:ascii="宋体" w:hAnsi="宋体"/>
        </w:rPr>
        <w:t>法定代表人或其                       法定代表人或其</w:t>
      </w:r>
    </w:p>
    <w:p w14:paraId="2ACD82CC">
      <w:pPr>
        <w:adjustRightInd w:val="0"/>
        <w:snapToGrid w:val="0"/>
        <w:spacing w:line="360" w:lineRule="auto"/>
        <w:jc w:val="left"/>
        <w:rPr>
          <w:rFonts w:hint="eastAsia" w:ascii="宋体" w:hAnsi="宋体"/>
        </w:rPr>
      </w:pPr>
      <w:r>
        <w:rPr>
          <w:rFonts w:hint="eastAsia" w:ascii="宋体" w:hAnsi="宋体"/>
        </w:rPr>
        <w:t>委托代理人：</w:t>
      </w:r>
      <w:r>
        <w:rPr>
          <w:rFonts w:ascii="宋体" w:hAnsi="宋体"/>
          <w:u w:val="single"/>
        </w:rPr>
        <w:t>_______________</w:t>
      </w:r>
      <w:r>
        <w:rPr>
          <w:rFonts w:hint="eastAsia" w:ascii="宋体" w:hAnsi="宋体"/>
        </w:rPr>
        <w:t>（签字）  委托代理人：</w:t>
      </w:r>
      <w:r>
        <w:rPr>
          <w:rFonts w:ascii="宋体" w:hAnsi="宋体"/>
          <w:u w:val="single"/>
        </w:rPr>
        <w:t>______________________</w:t>
      </w:r>
      <w:r>
        <w:rPr>
          <w:rFonts w:hint="eastAsia" w:ascii="宋体" w:hAnsi="宋体"/>
        </w:rPr>
        <w:t>（签字）</w:t>
      </w:r>
    </w:p>
    <w:p w14:paraId="291FA2CE">
      <w:pPr>
        <w:adjustRightInd w:val="0"/>
        <w:snapToGrid w:val="0"/>
        <w:spacing w:line="360" w:lineRule="auto"/>
        <w:jc w:val="left"/>
        <w:rPr>
          <w:rFonts w:hint="eastAsia" w:ascii="宋体" w:hAnsi="宋体"/>
        </w:rPr>
      </w:pPr>
      <w:r>
        <w:rPr>
          <w:rFonts w:hint="eastAsia" w:ascii="宋体" w:hAnsi="宋体"/>
        </w:rPr>
        <w:t>电话：</w:t>
      </w:r>
      <w:r>
        <w:rPr>
          <w:rFonts w:ascii="宋体" w:hAnsi="宋体"/>
          <w:u w:val="single"/>
        </w:rPr>
        <w:t>____________________________</w:t>
      </w:r>
      <w:r>
        <w:rPr>
          <w:rFonts w:hint="eastAsia" w:ascii="宋体" w:hAnsi="宋体"/>
        </w:rPr>
        <w:t xml:space="preserve">   电话：</w:t>
      </w:r>
      <w:r>
        <w:rPr>
          <w:rFonts w:ascii="宋体" w:hAnsi="宋体"/>
          <w:u w:val="single"/>
        </w:rPr>
        <w:t>___________________________________</w:t>
      </w:r>
    </w:p>
    <w:p w14:paraId="3DB57262">
      <w:pPr>
        <w:adjustRightInd w:val="0"/>
        <w:snapToGrid w:val="0"/>
        <w:spacing w:line="360" w:lineRule="auto"/>
        <w:jc w:val="left"/>
        <w:rPr>
          <w:rFonts w:hint="eastAsia" w:ascii="宋体" w:hAnsi="宋体"/>
        </w:rPr>
      </w:pPr>
      <w:r>
        <w:rPr>
          <w:rFonts w:hint="eastAsia" w:ascii="宋体" w:hAnsi="宋体"/>
        </w:rPr>
        <w:t>传真：</w:t>
      </w:r>
      <w:r>
        <w:rPr>
          <w:rFonts w:ascii="宋体" w:hAnsi="宋体"/>
          <w:u w:val="single"/>
        </w:rPr>
        <w:t>____________________________</w:t>
      </w:r>
      <w:r>
        <w:rPr>
          <w:rFonts w:hint="eastAsia" w:ascii="宋体" w:hAnsi="宋体"/>
        </w:rPr>
        <w:t xml:space="preserve">   传真：</w:t>
      </w:r>
      <w:r>
        <w:rPr>
          <w:rFonts w:ascii="宋体" w:hAnsi="宋体"/>
          <w:u w:val="single"/>
        </w:rPr>
        <w:t>___________________________________</w:t>
      </w:r>
    </w:p>
    <w:p w14:paraId="74F1E042">
      <w:pPr>
        <w:adjustRightInd w:val="0"/>
        <w:snapToGrid w:val="0"/>
        <w:spacing w:line="360" w:lineRule="auto"/>
        <w:jc w:val="left"/>
        <w:rPr>
          <w:rFonts w:hint="eastAsia" w:ascii="宋体" w:hAnsi="宋体"/>
        </w:rPr>
      </w:pPr>
      <w:r>
        <w:rPr>
          <w:rFonts w:hint="eastAsia" w:ascii="宋体" w:hAnsi="宋体"/>
        </w:rPr>
        <w:t>电子邮箱：</w:t>
      </w:r>
      <w:r>
        <w:rPr>
          <w:rFonts w:ascii="宋体" w:hAnsi="宋体"/>
          <w:u w:val="single"/>
        </w:rPr>
        <w:t>________________________</w:t>
      </w:r>
      <w:r>
        <w:rPr>
          <w:rFonts w:hint="eastAsia" w:ascii="宋体" w:hAnsi="宋体"/>
        </w:rPr>
        <w:t xml:space="preserve">   电子邮箱：</w:t>
      </w:r>
      <w:r>
        <w:rPr>
          <w:rFonts w:ascii="宋体" w:hAnsi="宋体"/>
          <w:u w:val="single"/>
        </w:rPr>
        <w:t>________________________________</w:t>
      </w:r>
    </w:p>
    <w:p w14:paraId="7E3528D4">
      <w:pPr>
        <w:adjustRightInd w:val="0"/>
        <w:snapToGrid w:val="0"/>
        <w:spacing w:line="360" w:lineRule="auto"/>
        <w:jc w:val="left"/>
        <w:rPr>
          <w:rFonts w:hint="eastAsia" w:ascii="宋体" w:hAnsi="宋体"/>
        </w:rPr>
      </w:pPr>
      <w:r>
        <w:rPr>
          <w:rFonts w:hint="eastAsia" w:ascii="宋体" w:hAnsi="宋体"/>
        </w:rPr>
        <w:t>开户银行：</w:t>
      </w:r>
      <w:r>
        <w:rPr>
          <w:rFonts w:ascii="宋体" w:hAnsi="宋体"/>
          <w:u w:val="single"/>
        </w:rPr>
        <w:t>________________________</w:t>
      </w:r>
      <w:r>
        <w:rPr>
          <w:rFonts w:hint="eastAsia" w:ascii="宋体" w:hAnsi="宋体"/>
        </w:rPr>
        <w:t xml:space="preserve">   开户银行：</w:t>
      </w:r>
      <w:r>
        <w:rPr>
          <w:rFonts w:ascii="宋体" w:hAnsi="宋体"/>
          <w:u w:val="single"/>
        </w:rPr>
        <w:t>________________________________</w:t>
      </w:r>
    </w:p>
    <w:p w14:paraId="586C39BC">
      <w:pPr>
        <w:adjustRightInd w:val="0"/>
        <w:snapToGrid w:val="0"/>
        <w:spacing w:line="360" w:lineRule="auto"/>
        <w:jc w:val="left"/>
        <w:rPr>
          <w:rFonts w:hint="eastAsia" w:ascii="宋体" w:hAnsi="宋体"/>
        </w:rPr>
      </w:pPr>
      <w:r>
        <w:rPr>
          <w:rFonts w:hint="eastAsia" w:ascii="宋体" w:hAnsi="宋体"/>
        </w:rPr>
        <w:t>帐号：</w:t>
      </w:r>
      <w:r>
        <w:rPr>
          <w:rFonts w:ascii="宋体" w:hAnsi="宋体"/>
          <w:u w:val="single"/>
        </w:rPr>
        <w:t>____________________________</w:t>
      </w:r>
      <w:r>
        <w:rPr>
          <w:rFonts w:hint="eastAsia" w:ascii="宋体" w:hAnsi="宋体"/>
        </w:rPr>
        <w:t xml:space="preserve">   帐号：</w:t>
      </w:r>
      <w:r>
        <w:rPr>
          <w:rFonts w:ascii="宋体" w:hAnsi="宋体"/>
          <w:u w:val="single"/>
        </w:rPr>
        <w:t>____________________________________</w:t>
      </w:r>
    </w:p>
    <w:p w14:paraId="4AEFD0B7">
      <w:pPr>
        <w:adjustRightInd w:val="0"/>
        <w:snapToGrid w:val="0"/>
        <w:spacing w:line="360" w:lineRule="auto"/>
        <w:jc w:val="left"/>
        <w:rPr>
          <w:rFonts w:hint="eastAsia" w:ascii="宋体" w:hAnsi="宋体"/>
        </w:rPr>
      </w:pPr>
      <w:r>
        <w:rPr>
          <w:rFonts w:hint="eastAsia" w:ascii="宋体" w:hAnsi="宋体"/>
        </w:rPr>
        <w:t>邮政编码：</w:t>
      </w:r>
      <w:r>
        <w:rPr>
          <w:rFonts w:ascii="宋体" w:hAnsi="宋体"/>
          <w:u w:val="single"/>
        </w:rPr>
        <w:t>________________________</w:t>
      </w:r>
      <w:r>
        <w:rPr>
          <w:rFonts w:hint="eastAsia" w:ascii="宋体" w:hAnsi="宋体"/>
        </w:rPr>
        <w:t xml:space="preserve">   邮政编码：</w:t>
      </w:r>
      <w:r>
        <w:rPr>
          <w:rFonts w:ascii="宋体" w:hAnsi="宋体"/>
          <w:u w:val="single"/>
        </w:rPr>
        <w:t>________________________________</w:t>
      </w:r>
    </w:p>
    <w:p w14:paraId="6D26DA23">
      <w:pPr>
        <w:snapToGrid w:val="0"/>
        <w:rPr>
          <w:rFonts w:hint="eastAsia" w:ascii="宋体" w:hAnsi="宋体" w:cs="宋体"/>
          <w:sz w:val="24"/>
        </w:rPr>
        <w:sectPr>
          <w:footerReference r:id="rId12" w:type="default"/>
          <w:pgSz w:w="11906" w:h="16838"/>
          <w:pgMar w:top="1440" w:right="1797" w:bottom="1440" w:left="1797" w:header="851" w:footer="992" w:gutter="0"/>
          <w:cols w:space="720" w:num="1"/>
          <w:docGrid w:linePitch="312" w:charSpace="0"/>
        </w:sectPr>
      </w:pPr>
      <w:r>
        <w:rPr>
          <w:rFonts w:hint="eastAsia" w:ascii="宋体" w:hAnsi="宋体"/>
        </w:rPr>
        <w:t>监督单位：</w:t>
      </w:r>
      <w:r>
        <w:rPr>
          <w:rFonts w:ascii="宋体" w:hAnsi="宋体"/>
          <w:u w:val="single"/>
        </w:rPr>
        <w:t>__________________</w:t>
      </w:r>
      <w:r>
        <w:rPr>
          <w:rFonts w:hint="eastAsia" w:ascii="宋体" w:hAnsi="宋体"/>
        </w:rPr>
        <w:t>（盖章） 监督单位：</w:t>
      </w:r>
      <w:r>
        <w:rPr>
          <w:rFonts w:ascii="宋体" w:hAnsi="宋体"/>
          <w:u w:val="single"/>
        </w:rPr>
        <w:t>_________________________</w:t>
      </w:r>
      <w:r>
        <w:rPr>
          <w:rFonts w:hint="eastAsia" w:ascii="宋体" w:hAnsi="宋体"/>
        </w:rPr>
        <w:t>（盖章）</w:t>
      </w:r>
      <w:bookmarkEnd w:id="963"/>
      <w:bookmarkEnd w:id="964"/>
      <w:bookmarkEnd w:id="965"/>
      <w:bookmarkEnd w:id="966"/>
    </w:p>
    <w:bookmarkEnd w:id="674"/>
    <w:p w14:paraId="068B72DE">
      <w:pPr>
        <w:spacing w:line="360" w:lineRule="auto"/>
        <w:jc w:val="center"/>
        <w:outlineLvl w:val="0"/>
        <w:rPr>
          <w:rFonts w:hint="eastAsia" w:ascii="宋体" w:hAnsi="宋体" w:cstheme="minorEastAsia"/>
          <w:b/>
          <w:sz w:val="36"/>
          <w:szCs w:val="36"/>
        </w:rPr>
      </w:pPr>
      <w:bookmarkStart w:id="972" w:name="_Toc232493962"/>
      <w:bookmarkStart w:id="973" w:name="_Toc27824"/>
      <w:bookmarkStart w:id="974" w:name="_Toc3778"/>
      <w:r>
        <w:rPr>
          <w:rFonts w:hint="eastAsia" w:ascii="宋体" w:hAnsi="宋体" w:cstheme="minorEastAsia"/>
          <w:b/>
          <w:sz w:val="36"/>
          <w:szCs w:val="36"/>
        </w:rPr>
        <w:t>第六章   响应文件格式</w:t>
      </w:r>
      <w:bookmarkEnd w:id="972"/>
      <w:bookmarkEnd w:id="973"/>
      <w:bookmarkEnd w:id="974"/>
    </w:p>
    <w:p w14:paraId="2EC275C2">
      <w:pPr>
        <w:widowControl/>
        <w:spacing w:line="360" w:lineRule="auto"/>
        <w:jc w:val="left"/>
        <w:rPr>
          <w:rFonts w:hint="eastAsia" w:ascii="宋体" w:hAnsi="宋体" w:cstheme="minorEastAsia"/>
          <w:b/>
          <w:sz w:val="24"/>
        </w:rPr>
      </w:pPr>
    </w:p>
    <w:p w14:paraId="752C5569">
      <w:pPr>
        <w:tabs>
          <w:tab w:val="left" w:pos="900"/>
          <w:tab w:val="left" w:pos="1980"/>
        </w:tabs>
        <w:snapToGrid w:val="0"/>
        <w:spacing w:line="360" w:lineRule="auto"/>
        <w:ind w:left="142"/>
        <w:rPr>
          <w:rFonts w:hint="eastAsia" w:ascii="宋体" w:hAnsi="宋体" w:cstheme="minorEastAsia"/>
          <w:b/>
          <w:kern w:val="0"/>
          <w:sz w:val="24"/>
        </w:rPr>
      </w:pPr>
      <w:r>
        <w:rPr>
          <w:rFonts w:hint="eastAsia" w:ascii="宋体" w:hAnsi="宋体" w:cstheme="minorEastAsia"/>
          <w:b/>
          <w:kern w:val="0"/>
          <w:sz w:val="24"/>
        </w:rPr>
        <w:t>供应商编制文件须知</w:t>
      </w:r>
    </w:p>
    <w:p w14:paraId="40D5975A">
      <w:pPr>
        <w:tabs>
          <w:tab w:val="left" w:pos="900"/>
          <w:tab w:val="left" w:pos="1980"/>
        </w:tabs>
        <w:snapToGrid w:val="0"/>
        <w:spacing w:line="360" w:lineRule="auto"/>
        <w:ind w:left="142"/>
        <w:rPr>
          <w:rFonts w:hint="eastAsia" w:ascii="宋体" w:hAnsi="宋体" w:cstheme="minorEastAsia"/>
          <w:sz w:val="24"/>
        </w:rPr>
      </w:pPr>
      <w:r>
        <w:rPr>
          <w:rFonts w:hint="eastAsia" w:ascii="宋体" w:hAnsi="宋体" w:cstheme="minorEastAsia"/>
          <w:sz w:val="24"/>
        </w:rPr>
        <w:t>1、供应商按照本部分的顺序编制响应文件，编制中涉及格式资料的，应按照本部分提供的内容和格式（所有表格的格式可扩展）填写提交。</w:t>
      </w:r>
    </w:p>
    <w:p w14:paraId="5D1C3B6C">
      <w:pPr>
        <w:tabs>
          <w:tab w:val="left" w:pos="900"/>
          <w:tab w:val="left" w:pos="1980"/>
        </w:tabs>
        <w:snapToGrid w:val="0"/>
        <w:spacing w:line="360" w:lineRule="auto"/>
        <w:ind w:left="142"/>
        <w:rPr>
          <w:rFonts w:hint="eastAsia" w:ascii="宋体" w:hAnsi="宋体" w:cstheme="minorEastAsia"/>
          <w:kern w:val="0"/>
          <w:sz w:val="24"/>
        </w:rPr>
      </w:pPr>
      <w:r>
        <w:rPr>
          <w:rFonts w:hint="eastAsia" w:ascii="宋体" w:hAnsi="宋体" w:cstheme="minorEastAsia"/>
          <w:sz w:val="24"/>
        </w:rPr>
        <w:t>2、</w:t>
      </w:r>
      <w:r>
        <w:rPr>
          <w:rFonts w:hint="eastAsia" w:ascii="宋体" w:hAnsi="宋体" w:cstheme="minorEastAsia"/>
          <w:kern w:val="0"/>
          <w:sz w:val="24"/>
        </w:rPr>
        <w:t>对于竞争性磋商文件中标记了“实质性格式”文件的，供应商</w:t>
      </w:r>
      <w:r>
        <w:rPr>
          <w:rFonts w:hint="eastAsia" w:ascii="宋体" w:hAnsi="宋体" w:cs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theme="minorEastAsia"/>
          <w:b/>
          <w:kern w:val="0"/>
          <w:sz w:val="24"/>
        </w:rPr>
        <w:t>否则响应无效</w:t>
      </w:r>
      <w:r>
        <w:rPr>
          <w:rFonts w:hint="eastAsia" w:ascii="宋体" w:hAnsi="宋体" w:cstheme="minorEastAsia"/>
          <w:kern w:val="0"/>
          <w:sz w:val="24"/>
        </w:rPr>
        <w:t>。未标记“实质性格式”的文件和竞争性磋商文件未提供格式的内容，可由供应商自行编写。</w:t>
      </w:r>
    </w:p>
    <w:p w14:paraId="1F20955F">
      <w:pPr>
        <w:tabs>
          <w:tab w:val="left" w:pos="900"/>
          <w:tab w:val="left" w:pos="1980"/>
        </w:tabs>
        <w:snapToGrid w:val="0"/>
        <w:spacing w:line="360" w:lineRule="auto"/>
        <w:ind w:left="142"/>
        <w:rPr>
          <w:rFonts w:hint="eastAsia" w:ascii="宋体" w:hAnsi="宋体" w:cstheme="minorEastAsia"/>
          <w:sz w:val="24"/>
        </w:rPr>
      </w:pPr>
      <w:r>
        <w:rPr>
          <w:rFonts w:hint="eastAsia" w:ascii="宋体" w:hAnsi="宋体" w:cstheme="minorEastAsia"/>
          <w:sz w:val="24"/>
        </w:rPr>
        <w:t>3、全部声明和问题的回答及所附材料必须是真实的、准确的和完整的。</w:t>
      </w:r>
    </w:p>
    <w:p w14:paraId="400F3002">
      <w:pPr>
        <w:tabs>
          <w:tab w:val="left" w:pos="900"/>
          <w:tab w:val="left" w:pos="1980"/>
        </w:tabs>
        <w:snapToGrid w:val="0"/>
        <w:spacing w:line="360" w:lineRule="auto"/>
        <w:ind w:left="142"/>
        <w:rPr>
          <w:rFonts w:hint="eastAsia" w:ascii="宋体" w:hAnsi="宋体" w:cstheme="minorEastAsia"/>
          <w:sz w:val="24"/>
        </w:rPr>
      </w:pPr>
    </w:p>
    <w:p w14:paraId="21B1960B">
      <w:pPr>
        <w:widowControl/>
        <w:jc w:val="left"/>
        <w:rPr>
          <w:rFonts w:hint="eastAsia" w:ascii="宋体" w:hAnsi="宋体" w:cstheme="minorEastAsia"/>
          <w:sz w:val="24"/>
        </w:rPr>
      </w:pPr>
      <w:r>
        <w:rPr>
          <w:rFonts w:hint="eastAsia" w:ascii="宋体" w:hAnsi="宋体" w:cstheme="minorEastAsia"/>
          <w:sz w:val="24"/>
        </w:rPr>
        <w:br w:type="page"/>
      </w:r>
    </w:p>
    <w:p w14:paraId="34D5EB41">
      <w:pPr>
        <w:rPr>
          <w:rFonts w:hint="eastAsia" w:ascii="宋体" w:hAnsi="宋体" w:cstheme="minorEastAsia"/>
          <w:b/>
          <w:spacing w:val="20"/>
          <w:szCs w:val="21"/>
        </w:rPr>
      </w:pPr>
    </w:p>
    <w:p w14:paraId="0DAEEC7E">
      <w:pPr>
        <w:rPr>
          <w:rFonts w:hint="eastAsia" w:ascii="宋体" w:hAnsi="宋体" w:cstheme="minorEastAsia"/>
          <w:b/>
          <w:sz w:val="24"/>
        </w:rPr>
      </w:pPr>
      <w:r>
        <w:rPr>
          <w:rFonts w:hint="eastAsia" w:ascii="宋体" w:hAnsi="宋体" w:cstheme="minorEastAsia"/>
          <w:b/>
          <w:spacing w:val="20"/>
          <w:sz w:val="24"/>
        </w:rPr>
        <w:t>响应文件</w:t>
      </w:r>
      <w:r>
        <w:rPr>
          <w:rFonts w:hint="eastAsia" w:ascii="宋体" w:hAnsi="宋体" w:cstheme="minorEastAsia"/>
          <w:b/>
          <w:sz w:val="24"/>
        </w:rPr>
        <w:t>封面（非实质性格式）</w:t>
      </w:r>
    </w:p>
    <w:p w14:paraId="0AB34304">
      <w:pPr>
        <w:jc w:val="center"/>
        <w:rPr>
          <w:rFonts w:hint="eastAsia" w:ascii="宋体" w:hAnsi="宋体" w:cstheme="minorEastAsia"/>
          <w:szCs w:val="21"/>
        </w:rPr>
      </w:pPr>
    </w:p>
    <w:p w14:paraId="1A1EAE7F">
      <w:pPr>
        <w:jc w:val="center"/>
        <w:rPr>
          <w:rFonts w:hint="eastAsia" w:ascii="宋体" w:hAnsi="宋体" w:cstheme="minorEastAsia"/>
          <w:b/>
          <w:spacing w:val="60"/>
          <w:sz w:val="84"/>
          <w:szCs w:val="84"/>
        </w:rPr>
      </w:pPr>
      <w:r>
        <w:rPr>
          <w:rFonts w:hint="eastAsia" w:ascii="宋体" w:hAnsi="宋体" w:cstheme="minorEastAsia"/>
          <w:b/>
          <w:spacing w:val="60"/>
          <w:sz w:val="84"/>
          <w:szCs w:val="84"/>
        </w:rPr>
        <w:t>响 应 文 件</w:t>
      </w:r>
    </w:p>
    <w:p w14:paraId="261900E6">
      <w:pPr>
        <w:jc w:val="center"/>
        <w:rPr>
          <w:rFonts w:hint="eastAsia" w:ascii="宋体" w:hAnsi="宋体" w:cstheme="minorEastAsia"/>
          <w:b/>
          <w:spacing w:val="60"/>
          <w:sz w:val="52"/>
          <w:szCs w:val="52"/>
        </w:rPr>
      </w:pPr>
    </w:p>
    <w:p w14:paraId="28444B54">
      <w:pPr>
        <w:ind w:firstLine="542" w:firstLineChars="150"/>
        <w:rPr>
          <w:rFonts w:hint="eastAsia" w:ascii="宋体" w:hAnsi="宋体" w:cstheme="minorEastAsia"/>
          <w:b/>
          <w:spacing w:val="20"/>
          <w:sz w:val="32"/>
          <w:szCs w:val="32"/>
        </w:rPr>
      </w:pPr>
    </w:p>
    <w:p w14:paraId="5F0A8BD6">
      <w:pPr>
        <w:ind w:firstLine="542" w:firstLineChars="150"/>
        <w:rPr>
          <w:rFonts w:hint="eastAsia" w:ascii="宋体" w:hAnsi="宋体" w:cstheme="minorEastAsia"/>
          <w:b/>
          <w:spacing w:val="20"/>
          <w:sz w:val="32"/>
          <w:szCs w:val="32"/>
        </w:rPr>
      </w:pPr>
    </w:p>
    <w:p w14:paraId="32A38508">
      <w:pPr>
        <w:ind w:firstLine="542" w:firstLineChars="150"/>
        <w:rPr>
          <w:rFonts w:hint="eastAsia" w:ascii="宋体" w:hAnsi="宋体" w:cstheme="minorEastAsia"/>
          <w:b/>
          <w:spacing w:val="20"/>
          <w:sz w:val="32"/>
          <w:szCs w:val="32"/>
        </w:rPr>
      </w:pPr>
      <w:r>
        <w:rPr>
          <w:rFonts w:hint="eastAsia" w:ascii="宋体" w:hAnsi="宋体" w:cstheme="minorEastAsia"/>
          <w:b/>
          <w:spacing w:val="20"/>
          <w:sz w:val="32"/>
          <w:szCs w:val="32"/>
        </w:rPr>
        <w:t>项目名称:</w:t>
      </w:r>
    </w:p>
    <w:p w14:paraId="46335A26">
      <w:pPr>
        <w:ind w:firstLine="542" w:firstLineChars="150"/>
        <w:rPr>
          <w:rFonts w:hint="eastAsia" w:ascii="宋体" w:hAnsi="宋体" w:cstheme="minorEastAsia"/>
          <w:b/>
          <w:spacing w:val="20"/>
          <w:sz w:val="32"/>
          <w:szCs w:val="32"/>
        </w:rPr>
      </w:pPr>
      <w:r>
        <w:rPr>
          <w:rFonts w:hint="eastAsia" w:ascii="宋体" w:hAnsi="宋体" w:cstheme="minorEastAsia"/>
          <w:b/>
          <w:spacing w:val="20"/>
          <w:sz w:val="32"/>
          <w:szCs w:val="32"/>
        </w:rPr>
        <w:t>项目编号/包号：</w:t>
      </w:r>
    </w:p>
    <w:p w14:paraId="3B164044">
      <w:pPr>
        <w:ind w:firstLine="542" w:firstLineChars="150"/>
        <w:rPr>
          <w:rFonts w:hint="eastAsia" w:ascii="宋体" w:hAnsi="宋体" w:cstheme="minorEastAsia"/>
          <w:b/>
          <w:spacing w:val="20"/>
          <w:sz w:val="32"/>
          <w:szCs w:val="32"/>
        </w:rPr>
      </w:pPr>
    </w:p>
    <w:p w14:paraId="5FAC5016">
      <w:pPr>
        <w:ind w:firstLine="542" w:firstLineChars="150"/>
        <w:rPr>
          <w:rFonts w:hint="eastAsia" w:ascii="宋体" w:hAnsi="宋体" w:cstheme="minorEastAsia"/>
          <w:b/>
          <w:spacing w:val="20"/>
          <w:sz w:val="32"/>
          <w:szCs w:val="32"/>
        </w:rPr>
      </w:pPr>
    </w:p>
    <w:p w14:paraId="70893E98">
      <w:pPr>
        <w:jc w:val="center"/>
        <w:rPr>
          <w:rFonts w:hint="eastAsia" w:ascii="宋体" w:hAnsi="宋体" w:cstheme="minorEastAsia"/>
          <w:b/>
          <w:sz w:val="32"/>
          <w:szCs w:val="32"/>
        </w:rPr>
      </w:pPr>
    </w:p>
    <w:p w14:paraId="5C334EEB">
      <w:pPr>
        <w:jc w:val="center"/>
        <w:rPr>
          <w:rFonts w:hint="eastAsia" w:ascii="宋体" w:hAnsi="宋体" w:cstheme="minorEastAsia"/>
          <w:b/>
          <w:sz w:val="32"/>
          <w:szCs w:val="32"/>
        </w:rPr>
      </w:pPr>
    </w:p>
    <w:p w14:paraId="37677765">
      <w:pPr>
        <w:jc w:val="center"/>
        <w:rPr>
          <w:rFonts w:hint="eastAsia" w:ascii="宋体" w:hAnsi="宋体" w:cstheme="minorEastAsia"/>
          <w:b/>
          <w:sz w:val="32"/>
          <w:szCs w:val="32"/>
        </w:rPr>
      </w:pPr>
    </w:p>
    <w:p w14:paraId="175C385C">
      <w:pPr>
        <w:jc w:val="center"/>
        <w:rPr>
          <w:rFonts w:hint="eastAsia" w:ascii="宋体" w:hAnsi="宋体" w:cstheme="minorEastAsia"/>
          <w:b/>
          <w:spacing w:val="20"/>
          <w:sz w:val="32"/>
          <w:szCs w:val="32"/>
        </w:rPr>
      </w:pPr>
    </w:p>
    <w:p w14:paraId="47EACCA8">
      <w:pPr>
        <w:jc w:val="center"/>
        <w:rPr>
          <w:rFonts w:hint="eastAsia" w:ascii="宋体" w:hAnsi="宋体" w:cstheme="minorEastAsia"/>
          <w:b/>
          <w:spacing w:val="20"/>
          <w:sz w:val="32"/>
          <w:szCs w:val="32"/>
        </w:rPr>
      </w:pPr>
    </w:p>
    <w:p w14:paraId="15BA1B75">
      <w:pPr>
        <w:jc w:val="center"/>
        <w:rPr>
          <w:rFonts w:hint="eastAsia" w:ascii="宋体" w:hAnsi="宋体" w:cstheme="minorEastAsia"/>
          <w:b/>
          <w:spacing w:val="20"/>
          <w:sz w:val="32"/>
          <w:szCs w:val="32"/>
        </w:rPr>
      </w:pPr>
    </w:p>
    <w:p w14:paraId="1FBC037D">
      <w:pPr>
        <w:spacing w:line="360" w:lineRule="auto"/>
        <w:ind w:firstLine="1445" w:firstLineChars="400"/>
        <w:jc w:val="left"/>
        <w:rPr>
          <w:rFonts w:hint="eastAsia" w:ascii="宋体" w:hAnsi="宋体" w:cstheme="minorEastAsia"/>
          <w:b/>
          <w:spacing w:val="20"/>
          <w:sz w:val="32"/>
          <w:szCs w:val="32"/>
        </w:rPr>
      </w:pPr>
      <w:r>
        <w:rPr>
          <w:rFonts w:hint="eastAsia" w:ascii="宋体" w:hAnsi="宋体" w:cstheme="minorEastAsia"/>
          <w:b/>
          <w:spacing w:val="20"/>
          <w:sz w:val="32"/>
          <w:szCs w:val="32"/>
        </w:rPr>
        <w:t>供应商名称：</w:t>
      </w:r>
    </w:p>
    <w:p w14:paraId="0ADE9DCB">
      <w:pPr>
        <w:jc w:val="center"/>
        <w:rPr>
          <w:rFonts w:hint="eastAsia" w:ascii="宋体" w:hAnsi="宋体" w:cstheme="minorEastAsia"/>
          <w:b/>
          <w:sz w:val="32"/>
          <w:szCs w:val="32"/>
        </w:rPr>
      </w:pPr>
    </w:p>
    <w:p w14:paraId="19581DE2">
      <w:pPr>
        <w:rPr>
          <w:rFonts w:hint="eastAsia" w:ascii="宋体" w:hAnsi="宋体" w:cstheme="minorEastAsia"/>
          <w:b/>
        </w:rPr>
      </w:pPr>
      <w:r>
        <w:rPr>
          <w:rFonts w:hint="eastAsia" w:ascii="宋体" w:hAnsi="宋体" w:cstheme="minorEastAsia"/>
          <w:b/>
          <w:spacing w:val="20"/>
          <w:sz w:val="32"/>
          <w:szCs w:val="32"/>
        </w:rPr>
        <w:br w:type="page"/>
      </w:r>
    </w:p>
    <w:p w14:paraId="647F3639">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1 满足《中华人民共和国政府采购法》第二十二条规定</w:t>
      </w:r>
    </w:p>
    <w:p w14:paraId="7F5021B6">
      <w:pPr>
        <w:spacing w:line="360" w:lineRule="auto"/>
        <w:outlineLvl w:val="2"/>
        <w:rPr>
          <w:rFonts w:hint="eastAsia" w:ascii="宋体" w:hAnsi="宋体" w:cstheme="minorEastAsia"/>
          <w:sz w:val="24"/>
        </w:rPr>
      </w:pPr>
      <w:r>
        <w:rPr>
          <w:rFonts w:hint="eastAsia" w:ascii="宋体" w:hAnsi="宋体" w:cstheme="minorEastAsia"/>
          <w:sz w:val="24"/>
        </w:rPr>
        <w:t>1-1 营业执照等证明文件</w:t>
      </w:r>
    </w:p>
    <w:p w14:paraId="402A50BB">
      <w:pPr>
        <w:tabs>
          <w:tab w:val="left" w:pos="1080"/>
        </w:tabs>
        <w:snapToGrid w:val="0"/>
        <w:rPr>
          <w:rFonts w:hint="eastAsia" w:ascii="宋体" w:hAnsi="宋体" w:cstheme="minorEastAsia"/>
          <w:sz w:val="24"/>
        </w:rPr>
      </w:pPr>
    </w:p>
    <w:p w14:paraId="3267FB76">
      <w:pPr>
        <w:widowControl/>
        <w:jc w:val="left"/>
        <w:rPr>
          <w:rFonts w:hint="eastAsia" w:ascii="宋体" w:hAnsi="宋体" w:cstheme="minorEastAsia"/>
          <w:sz w:val="24"/>
          <w:szCs w:val="20"/>
        </w:rPr>
      </w:pPr>
      <w:r>
        <w:rPr>
          <w:rFonts w:hint="eastAsia" w:ascii="宋体" w:hAnsi="宋体" w:cstheme="minorEastAsia"/>
          <w:sz w:val="24"/>
        </w:rPr>
        <w:br w:type="page"/>
      </w:r>
    </w:p>
    <w:p w14:paraId="5A26BC6D">
      <w:pPr>
        <w:pStyle w:val="5"/>
        <w:rPr>
          <w:rFonts w:hint="eastAsia" w:hAnsi="宋体" w:cstheme="minorEastAsia"/>
          <w:b w:val="0"/>
          <w:bCs/>
          <w:szCs w:val="24"/>
          <w:u w:val="none"/>
        </w:rPr>
      </w:pPr>
      <w:r>
        <w:rPr>
          <w:rFonts w:hint="eastAsia" w:hAnsi="宋体" w:cstheme="minorEastAsia"/>
          <w:b w:val="0"/>
          <w:szCs w:val="24"/>
          <w:u w:val="none"/>
        </w:rPr>
        <w:t>1-2 供应商资格声明书</w:t>
      </w:r>
    </w:p>
    <w:p w14:paraId="1B178448">
      <w:pPr>
        <w:jc w:val="center"/>
        <w:rPr>
          <w:rFonts w:hint="eastAsia" w:ascii="宋体" w:hAnsi="宋体" w:cstheme="minorEastAsia"/>
          <w:b/>
          <w:sz w:val="36"/>
          <w:szCs w:val="36"/>
        </w:rPr>
      </w:pPr>
      <w:r>
        <w:rPr>
          <w:rFonts w:hint="eastAsia" w:ascii="宋体" w:hAnsi="宋体" w:cstheme="minorEastAsia"/>
          <w:b/>
          <w:sz w:val="36"/>
          <w:szCs w:val="36"/>
        </w:rPr>
        <w:t>供应商资格声明书</w:t>
      </w:r>
    </w:p>
    <w:p w14:paraId="703A7A19">
      <w:pPr>
        <w:tabs>
          <w:tab w:val="left" w:pos="5580"/>
        </w:tabs>
        <w:spacing w:line="360" w:lineRule="auto"/>
        <w:rPr>
          <w:rFonts w:hint="eastAsia" w:ascii="宋体" w:hAnsi="宋体" w:cstheme="minorEastAsia"/>
          <w:sz w:val="24"/>
        </w:rPr>
      </w:pPr>
    </w:p>
    <w:p w14:paraId="0E6AF6EA">
      <w:pPr>
        <w:tabs>
          <w:tab w:val="left" w:pos="5580"/>
        </w:tabs>
        <w:spacing w:line="360" w:lineRule="auto"/>
        <w:rPr>
          <w:rFonts w:hint="eastAsia" w:ascii="宋体" w:hAnsi="宋体" w:cstheme="minorEastAsia"/>
          <w:sz w:val="24"/>
        </w:rPr>
      </w:pPr>
      <w:r>
        <w:rPr>
          <w:rFonts w:hint="eastAsia" w:ascii="宋体" w:hAnsi="宋体" w:cstheme="minorEastAsia"/>
          <w:sz w:val="24"/>
        </w:rPr>
        <w:t>致：</w:t>
      </w:r>
      <w:r>
        <w:rPr>
          <w:rFonts w:hint="eastAsia" w:ascii="宋体" w:hAnsi="宋体" w:cstheme="minorEastAsia"/>
          <w:sz w:val="24"/>
          <w:u w:val="single"/>
        </w:rPr>
        <w:t>采购人或采购代理机构</w:t>
      </w:r>
    </w:p>
    <w:p w14:paraId="388F1CCA">
      <w:pPr>
        <w:spacing w:line="360" w:lineRule="auto"/>
        <w:ind w:firstLine="480" w:firstLineChars="200"/>
        <w:rPr>
          <w:rFonts w:hint="eastAsia" w:ascii="宋体" w:hAnsi="宋体" w:cstheme="minorEastAsia"/>
          <w:sz w:val="24"/>
        </w:rPr>
      </w:pPr>
      <w:r>
        <w:rPr>
          <w:rFonts w:hint="eastAsia" w:ascii="宋体" w:hAnsi="宋体" w:cstheme="minorEastAsia"/>
          <w:sz w:val="24"/>
        </w:rPr>
        <w:t>在参与本次项目磋商中，我单位承诺：</w:t>
      </w:r>
    </w:p>
    <w:p w14:paraId="65504A8C">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具有良好的商业信誉和健全的财务会计制度；</w:t>
      </w:r>
    </w:p>
    <w:p w14:paraId="5448BC8B">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具有履行合同所必需的设备和专业技术能力；</w:t>
      </w:r>
    </w:p>
    <w:p w14:paraId="0575F89E">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有依法缴纳税收和社会保障资金的良好记录；</w:t>
      </w:r>
    </w:p>
    <w:p w14:paraId="19CF69E4">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51E14E9">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我单位不属于政府采购法律、行政法规规定的公益一类事业单位、或使用事业编制且由财政拨款保障的群团组织（仅适用于政府购买服务项目）；</w:t>
      </w:r>
    </w:p>
    <w:p w14:paraId="2E151A9E">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我单位不存在为采购项目提供整体设计、规范编制或者项目管理、监理、检测等服务后，再参加该采购项目的其他采购活动的情形（单一来源采购项目除外）；</w:t>
      </w:r>
    </w:p>
    <w:p w14:paraId="7AAAEF6B">
      <w:pPr>
        <w:numPr>
          <w:ilvl w:val="0"/>
          <w:numId w:val="12"/>
        </w:numPr>
        <w:spacing w:line="360" w:lineRule="auto"/>
        <w:ind w:left="1134"/>
        <w:rPr>
          <w:rFonts w:hint="eastAsia" w:ascii="宋体" w:hAnsi="宋体" w:cstheme="minorEastAsia"/>
          <w:sz w:val="24"/>
          <w:szCs w:val="22"/>
        </w:rPr>
      </w:pPr>
      <w:r>
        <w:rPr>
          <w:rFonts w:hint="eastAsia" w:ascii="宋体" w:hAnsi="宋体" w:cstheme="minorEastAsia"/>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4460"/>
        <w:gridCol w:w="2907"/>
      </w:tblGrid>
      <w:tr w14:paraId="18498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AFDBC7">
            <w:pPr>
              <w:jc w:val="center"/>
              <w:rPr>
                <w:rFonts w:hint="eastAsia" w:ascii="宋体" w:hAnsi="宋体" w:cstheme="minorEastAsia"/>
                <w:sz w:val="24"/>
              </w:rPr>
            </w:pPr>
            <w:r>
              <w:rPr>
                <w:rFonts w:hint="eastAsia" w:ascii="宋体" w:hAnsi="宋体" w:cstheme="minorEastAsia"/>
                <w:sz w:val="24"/>
              </w:rPr>
              <w:t>序号</w:t>
            </w:r>
          </w:p>
        </w:tc>
        <w:tc>
          <w:tcPr>
            <w:tcW w:w="4574" w:type="dxa"/>
            <w:vAlign w:val="center"/>
          </w:tcPr>
          <w:p w14:paraId="178F172B">
            <w:pPr>
              <w:jc w:val="center"/>
              <w:rPr>
                <w:rFonts w:hint="eastAsia" w:ascii="宋体" w:hAnsi="宋体" w:cstheme="minorEastAsia"/>
                <w:sz w:val="24"/>
              </w:rPr>
            </w:pPr>
            <w:r>
              <w:rPr>
                <w:rFonts w:hint="eastAsia" w:ascii="宋体" w:hAnsi="宋体" w:cstheme="minorEastAsia"/>
                <w:sz w:val="24"/>
              </w:rPr>
              <w:t>单位名称</w:t>
            </w:r>
          </w:p>
        </w:tc>
        <w:tc>
          <w:tcPr>
            <w:tcW w:w="2976" w:type="dxa"/>
            <w:vAlign w:val="center"/>
          </w:tcPr>
          <w:p w14:paraId="67789719">
            <w:pPr>
              <w:jc w:val="center"/>
              <w:rPr>
                <w:rFonts w:hint="eastAsia" w:ascii="宋体" w:hAnsi="宋体" w:cstheme="minorEastAsia"/>
                <w:sz w:val="24"/>
              </w:rPr>
            </w:pPr>
            <w:r>
              <w:rPr>
                <w:rFonts w:hint="eastAsia" w:ascii="宋体" w:hAnsi="宋体" w:cstheme="minorEastAsia"/>
                <w:sz w:val="24"/>
              </w:rPr>
              <w:t>相互关系</w:t>
            </w:r>
          </w:p>
        </w:tc>
      </w:tr>
      <w:tr w14:paraId="629D2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1B91EF">
            <w:pPr>
              <w:jc w:val="center"/>
              <w:rPr>
                <w:rFonts w:hint="eastAsia" w:ascii="宋体" w:hAnsi="宋体" w:cstheme="minorEastAsia"/>
                <w:sz w:val="24"/>
              </w:rPr>
            </w:pPr>
            <w:r>
              <w:rPr>
                <w:rFonts w:hint="eastAsia" w:ascii="宋体" w:hAnsi="宋体" w:cstheme="minorEastAsia"/>
                <w:sz w:val="24"/>
              </w:rPr>
              <w:t>1</w:t>
            </w:r>
          </w:p>
        </w:tc>
        <w:tc>
          <w:tcPr>
            <w:tcW w:w="4574" w:type="dxa"/>
            <w:vAlign w:val="center"/>
          </w:tcPr>
          <w:p w14:paraId="34BA7257">
            <w:pPr>
              <w:jc w:val="center"/>
              <w:rPr>
                <w:rFonts w:hint="eastAsia" w:ascii="宋体" w:hAnsi="宋体" w:cstheme="minorEastAsia"/>
                <w:sz w:val="24"/>
              </w:rPr>
            </w:pPr>
          </w:p>
        </w:tc>
        <w:tc>
          <w:tcPr>
            <w:tcW w:w="2976" w:type="dxa"/>
            <w:vAlign w:val="center"/>
          </w:tcPr>
          <w:p w14:paraId="6FC13863">
            <w:pPr>
              <w:jc w:val="center"/>
              <w:rPr>
                <w:rFonts w:hint="eastAsia" w:ascii="宋体" w:hAnsi="宋体" w:cstheme="minorEastAsia"/>
                <w:sz w:val="24"/>
              </w:rPr>
            </w:pPr>
          </w:p>
        </w:tc>
      </w:tr>
      <w:tr w14:paraId="68B93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8B4A2E">
            <w:pPr>
              <w:jc w:val="center"/>
              <w:rPr>
                <w:rFonts w:hint="eastAsia" w:ascii="宋体" w:hAnsi="宋体" w:cstheme="minorEastAsia"/>
                <w:sz w:val="24"/>
              </w:rPr>
            </w:pPr>
            <w:r>
              <w:rPr>
                <w:rFonts w:hint="eastAsia" w:ascii="宋体" w:hAnsi="宋体" w:cstheme="minorEastAsia"/>
                <w:sz w:val="24"/>
              </w:rPr>
              <w:t>2</w:t>
            </w:r>
          </w:p>
        </w:tc>
        <w:tc>
          <w:tcPr>
            <w:tcW w:w="4574" w:type="dxa"/>
            <w:vAlign w:val="center"/>
          </w:tcPr>
          <w:p w14:paraId="17A9A5B9">
            <w:pPr>
              <w:jc w:val="center"/>
              <w:rPr>
                <w:rFonts w:hint="eastAsia" w:ascii="宋体" w:hAnsi="宋体" w:cstheme="minorEastAsia"/>
                <w:sz w:val="24"/>
              </w:rPr>
            </w:pPr>
          </w:p>
        </w:tc>
        <w:tc>
          <w:tcPr>
            <w:tcW w:w="2976" w:type="dxa"/>
            <w:vAlign w:val="center"/>
          </w:tcPr>
          <w:p w14:paraId="624769F8">
            <w:pPr>
              <w:jc w:val="center"/>
              <w:rPr>
                <w:rFonts w:hint="eastAsia" w:ascii="宋体" w:hAnsi="宋体" w:cstheme="minorEastAsia"/>
                <w:sz w:val="24"/>
              </w:rPr>
            </w:pPr>
          </w:p>
        </w:tc>
      </w:tr>
      <w:tr w14:paraId="3FAF1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5B42459">
            <w:pPr>
              <w:jc w:val="center"/>
              <w:rPr>
                <w:rFonts w:hint="eastAsia" w:ascii="宋体" w:hAnsi="宋体" w:cstheme="minorEastAsia"/>
                <w:sz w:val="24"/>
              </w:rPr>
            </w:pPr>
            <w:r>
              <w:rPr>
                <w:rFonts w:hint="eastAsia" w:ascii="宋体" w:hAnsi="宋体" w:cstheme="minorEastAsia"/>
                <w:sz w:val="24"/>
              </w:rPr>
              <w:t>…</w:t>
            </w:r>
          </w:p>
        </w:tc>
        <w:tc>
          <w:tcPr>
            <w:tcW w:w="4574" w:type="dxa"/>
            <w:vAlign w:val="center"/>
          </w:tcPr>
          <w:p w14:paraId="0AE32946">
            <w:pPr>
              <w:jc w:val="center"/>
              <w:rPr>
                <w:rFonts w:hint="eastAsia" w:ascii="宋体" w:hAnsi="宋体" w:cstheme="minorEastAsia"/>
                <w:sz w:val="24"/>
              </w:rPr>
            </w:pPr>
          </w:p>
        </w:tc>
        <w:tc>
          <w:tcPr>
            <w:tcW w:w="2976" w:type="dxa"/>
            <w:vAlign w:val="center"/>
          </w:tcPr>
          <w:p w14:paraId="47B32C16">
            <w:pPr>
              <w:jc w:val="center"/>
              <w:rPr>
                <w:rFonts w:hint="eastAsia" w:ascii="宋体" w:hAnsi="宋体" w:cstheme="minorEastAsia"/>
                <w:sz w:val="24"/>
              </w:rPr>
            </w:pPr>
          </w:p>
        </w:tc>
      </w:tr>
    </w:tbl>
    <w:p w14:paraId="3A1F77AB">
      <w:pPr>
        <w:rPr>
          <w:rFonts w:hint="eastAsia" w:ascii="宋体" w:hAnsi="宋体" w:cstheme="minorEastAsia"/>
        </w:rPr>
      </w:pPr>
    </w:p>
    <w:p w14:paraId="643EA526">
      <w:pPr>
        <w:ind w:firstLine="480" w:firstLineChars="200"/>
        <w:rPr>
          <w:rFonts w:hint="eastAsia" w:ascii="宋体" w:hAnsi="宋体" w:cstheme="minorEastAsia"/>
          <w:sz w:val="24"/>
          <w:szCs w:val="22"/>
        </w:rPr>
      </w:pPr>
      <w:r>
        <w:rPr>
          <w:rFonts w:hint="eastAsia" w:ascii="宋体" w:hAnsi="宋体" w:cstheme="minorEastAsia"/>
          <w:sz w:val="24"/>
        </w:rPr>
        <w:t>上述声明真实有效，否则我方负全部责任。</w:t>
      </w:r>
    </w:p>
    <w:p w14:paraId="52528E53">
      <w:pPr>
        <w:spacing w:line="360" w:lineRule="auto"/>
        <w:rPr>
          <w:rFonts w:hint="eastAsia" w:ascii="宋体" w:hAnsi="宋体" w:cstheme="minorEastAsia"/>
          <w:sz w:val="24"/>
        </w:rPr>
      </w:pPr>
    </w:p>
    <w:p w14:paraId="442AF918">
      <w:pPr>
        <w:autoSpaceDE w:val="0"/>
        <w:autoSpaceDN w:val="0"/>
        <w:adjustRightInd w:val="0"/>
        <w:snapToGrid w:val="0"/>
        <w:spacing w:before="25" w:after="25" w:line="360" w:lineRule="auto"/>
        <w:ind w:right="360"/>
        <w:jc w:val="right"/>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w:t>
      </w:r>
    </w:p>
    <w:p w14:paraId="3FA2D99F">
      <w:pPr>
        <w:spacing w:line="360" w:lineRule="auto"/>
        <w:ind w:right="360" w:firstLine="480"/>
        <w:jc w:val="right"/>
        <w:rPr>
          <w:rFonts w:hint="eastAsia" w:ascii="宋体" w:hAnsi="宋体" w:cstheme="minorEastAsia"/>
          <w:sz w:val="24"/>
        </w:rPr>
      </w:pPr>
      <w:r>
        <w:rPr>
          <w:rFonts w:hint="eastAsia" w:ascii="宋体" w:hAnsi="宋体" w:cstheme="minorEastAsia"/>
          <w:sz w:val="24"/>
          <w:szCs w:val="20"/>
        </w:rPr>
        <w:t xml:space="preserve">日期：____年____月____日   </w:t>
      </w:r>
    </w:p>
    <w:p w14:paraId="658382AC">
      <w:pPr>
        <w:spacing w:line="360" w:lineRule="auto"/>
        <w:rPr>
          <w:rFonts w:hint="eastAsia" w:ascii="宋体" w:hAnsi="宋体" w:cstheme="minorEastAsia"/>
          <w:sz w:val="24"/>
        </w:rPr>
      </w:pPr>
      <w:r>
        <w:rPr>
          <w:rFonts w:hint="eastAsia" w:ascii="宋体" w:hAnsi="宋体" w:cstheme="minorEastAsia"/>
          <w:sz w:val="24"/>
        </w:rPr>
        <w:t>说明：供应商承诺不实的，依据《政府采购法》第七十七条“提供虚假材料谋取中标、成交的”有关规定予以处理。</w:t>
      </w:r>
    </w:p>
    <w:p w14:paraId="0138FF7E">
      <w:pPr>
        <w:tabs>
          <w:tab w:val="left" w:pos="5580"/>
        </w:tabs>
        <w:spacing w:line="360" w:lineRule="auto"/>
        <w:rPr>
          <w:rFonts w:hint="eastAsia" w:ascii="宋体" w:hAnsi="宋体" w:cstheme="minorEastAsia"/>
          <w:sz w:val="24"/>
        </w:rPr>
        <w:sectPr>
          <w:headerReference r:id="rId15" w:type="first"/>
          <w:footerReference r:id="rId18" w:type="first"/>
          <w:headerReference r:id="rId13" w:type="default"/>
          <w:footerReference r:id="rId16" w:type="default"/>
          <w:headerReference r:id="rId14" w:type="even"/>
          <w:footerReference r:id="rId17" w:type="even"/>
          <w:pgSz w:w="11907" w:h="16840"/>
          <w:pgMar w:top="1440" w:right="1797" w:bottom="1440" w:left="1797" w:header="851" w:footer="851" w:gutter="0"/>
          <w:cols w:space="720" w:num="1"/>
          <w:docGrid w:linePitch="462" w:charSpace="0"/>
        </w:sectPr>
      </w:pPr>
    </w:p>
    <w:p w14:paraId="02AE33AF">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2 落实政府采购政策需满足的资格要求（如有）</w:t>
      </w:r>
    </w:p>
    <w:p w14:paraId="700168CF">
      <w:pPr>
        <w:spacing w:line="360" w:lineRule="auto"/>
        <w:outlineLvl w:val="2"/>
        <w:rPr>
          <w:rFonts w:hint="eastAsia" w:ascii="宋体" w:hAnsi="宋体" w:cstheme="minorEastAsia"/>
          <w:sz w:val="24"/>
          <w:szCs w:val="20"/>
        </w:rPr>
      </w:pPr>
      <w:r>
        <w:rPr>
          <w:rFonts w:hint="eastAsia" w:ascii="宋体" w:hAnsi="宋体" w:cstheme="minorEastAsia"/>
          <w:sz w:val="24"/>
          <w:szCs w:val="20"/>
        </w:rPr>
        <w:t>2-1 中小企业政策证明文件</w:t>
      </w:r>
    </w:p>
    <w:p w14:paraId="011EC74C">
      <w:pPr>
        <w:tabs>
          <w:tab w:val="left" w:pos="5580"/>
        </w:tabs>
        <w:spacing w:line="360" w:lineRule="auto"/>
        <w:rPr>
          <w:rFonts w:hint="eastAsia" w:ascii="宋体" w:hAnsi="宋体" w:cstheme="minorEastAsia"/>
          <w:sz w:val="24"/>
        </w:rPr>
      </w:pPr>
      <w:r>
        <w:rPr>
          <w:rFonts w:hint="eastAsia" w:ascii="宋体" w:hAnsi="宋体" w:cstheme="minorEastAsia"/>
          <w:sz w:val="24"/>
        </w:rPr>
        <w:t>说明：</w:t>
      </w:r>
    </w:p>
    <w:p w14:paraId="14D05DBE">
      <w:pPr>
        <w:tabs>
          <w:tab w:val="left" w:pos="5580"/>
        </w:tabs>
        <w:spacing w:line="360" w:lineRule="auto"/>
        <w:rPr>
          <w:rFonts w:hint="eastAsia" w:ascii="宋体" w:hAnsi="宋体" w:cstheme="minorEastAsia"/>
          <w:sz w:val="24"/>
        </w:rPr>
      </w:pPr>
      <w:r>
        <w:rPr>
          <w:rFonts w:hint="eastAsia" w:ascii="宋体" w:hAnsi="宋体" w:cstheme="minorEastAsia"/>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18A8FF2B">
      <w:pPr>
        <w:tabs>
          <w:tab w:val="left" w:pos="5580"/>
        </w:tabs>
        <w:spacing w:line="360" w:lineRule="auto"/>
        <w:rPr>
          <w:rFonts w:hint="eastAsia" w:ascii="宋体" w:hAnsi="宋体" w:cstheme="minorEastAsia"/>
          <w:sz w:val="24"/>
        </w:rPr>
      </w:pPr>
      <w:r>
        <w:rPr>
          <w:rFonts w:hint="eastAsia" w:ascii="宋体" w:hAnsi="宋体" w:cstheme="minorEastAsia"/>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2651DBFE">
      <w:pPr>
        <w:tabs>
          <w:tab w:val="left" w:pos="5580"/>
        </w:tabs>
        <w:spacing w:line="360" w:lineRule="auto"/>
        <w:rPr>
          <w:rFonts w:hint="eastAsia" w:ascii="宋体" w:hAnsi="宋体" w:cstheme="minorEastAsia"/>
          <w:sz w:val="24"/>
        </w:rPr>
      </w:pPr>
      <w:r>
        <w:rPr>
          <w:rFonts w:hint="eastAsia" w:ascii="宋体" w:hAnsi="宋体" w:cstheme="minor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D71666B">
      <w:pPr>
        <w:tabs>
          <w:tab w:val="left" w:pos="5580"/>
        </w:tabs>
        <w:spacing w:line="360" w:lineRule="auto"/>
        <w:rPr>
          <w:rFonts w:hint="eastAsia" w:ascii="宋体" w:hAnsi="宋体" w:cstheme="minorEastAsia"/>
          <w:sz w:val="24"/>
        </w:rPr>
      </w:pPr>
      <w:r>
        <w:rPr>
          <w:rFonts w:hint="eastAsia" w:ascii="宋体" w:hAnsi="宋体" w:cstheme="minorEastAsia"/>
          <w:sz w:val="24"/>
        </w:rPr>
        <w:t>（4）中小企业声明函填写注意事项</w:t>
      </w:r>
    </w:p>
    <w:p w14:paraId="7272EF79">
      <w:pPr>
        <w:tabs>
          <w:tab w:val="left" w:pos="5580"/>
        </w:tabs>
        <w:spacing w:line="360" w:lineRule="auto"/>
        <w:rPr>
          <w:rFonts w:hint="eastAsia" w:ascii="宋体" w:hAnsi="宋体" w:cstheme="minorEastAsia"/>
          <w:sz w:val="24"/>
        </w:rPr>
      </w:pPr>
      <w:r>
        <w:rPr>
          <w:rFonts w:hint="eastAsia" w:ascii="宋体" w:hAnsi="宋体" w:cstheme="minorEastAsia"/>
          <w:sz w:val="24"/>
        </w:rPr>
        <w:t>1）《中小企业声明函》由参加政府采购活动的供应商出具。联合体参与的，《中小企业声明函》可由牵头人出具。</w:t>
      </w:r>
    </w:p>
    <w:p w14:paraId="3E59D9EC">
      <w:pPr>
        <w:tabs>
          <w:tab w:val="left" w:pos="5580"/>
        </w:tabs>
        <w:spacing w:line="360" w:lineRule="auto"/>
        <w:rPr>
          <w:rFonts w:hint="eastAsia" w:ascii="宋体" w:hAnsi="宋体" w:cstheme="minorEastAsia"/>
          <w:sz w:val="24"/>
        </w:rPr>
      </w:pPr>
      <w:r>
        <w:rPr>
          <w:rFonts w:hint="eastAsia" w:ascii="宋体" w:hAnsi="宋体" w:cs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80A169E">
      <w:pPr>
        <w:tabs>
          <w:tab w:val="left" w:pos="5580"/>
        </w:tabs>
        <w:spacing w:line="360" w:lineRule="auto"/>
        <w:rPr>
          <w:rFonts w:hint="eastAsia" w:ascii="宋体" w:hAnsi="宋体" w:cstheme="minorEastAsia"/>
          <w:sz w:val="24"/>
        </w:rPr>
      </w:pPr>
      <w:r>
        <w:rPr>
          <w:rFonts w:hint="eastAsia" w:ascii="宋体" w:hAnsi="宋体" w:cstheme="minorEastAsia"/>
          <w:sz w:val="24"/>
        </w:rPr>
        <w:t>3）对于多标的采购项目，供应商应充分、准确地了解所提供货物的制造企业、提供服务的承接企业信息。对相关情况了解不清楚的，不建议填报本声明函。</w:t>
      </w:r>
    </w:p>
    <w:p w14:paraId="561263BE">
      <w:pPr>
        <w:tabs>
          <w:tab w:val="left" w:pos="5580"/>
        </w:tabs>
        <w:spacing w:line="360" w:lineRule="auto"/>
        <w:rPr>
          <w:rFonts w:hint="eastAsia" w:ascii="宋体" w:hAnsi="宋体" w:cstheme="minorEastAsia"/>
          <w:b/>
          <w:bCs/>
          <w:sz w:val="36"/>
          <w:szCs w:val="36"/>
        </w:rPr>
      </w:pPr>
      <w:r>
        <w:rPr>
          <w:rFonts w:hint="eastAsia" w:ascii="宋体" w:hAnsi="宋体" w:cs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r>
        <w:rPr>
          <w:rFonts w:hint="eastAsia" w:ascii="宋体" w:hAnsi="宋体" w:cstheme="minorEastAsia"/>
          <w:b/>
          <w:bCs/>
          <w:sz w:val="36"/>
          <w:szCs w:val="36"/>
        </w:rPr>
        <w:br w:type="page"/>
      </w:r>
    </w:p>
    <w:p w14:paraId="1A8960A5">
      <w:pPr>
        <w:pStyle w:val="6"/>
        <w:rPr>
          <w:rFonts w:hint="eastAsia" w:ascii="宋体" w:hAnsi="宋体" w:cstheme="minorEastAsia"/>
          <w:sz w:val="24"/>
        </w:rPr>
      </w:pPr>
      <w:r>
        <w:rPr>
          <w:rFonts w:hint="eastAsia" w:ascii="宋体" w:hAnsi="宋体" w:eastAsia="宋体" w:cstheme="minorEastAsia"/>
          <w:sz w:val="24"/>
          <w:szCs w:val="24"/>
        </w:rPr>
        <w:t>2-1-1 中小企业证明文件</w:t>
      </w:r>
    </w:p>
    <w:p w14:paraId="234D4DA5">
      <w:pPr>
        <w:spacing w:before="240" w:beforeLines="100" w:after="240" w:afterLines="100" w:line="360" w:lineRule="auto"/>
        <w:jc w:val="center"/>
        <w:rPr>
          <w:rFonts w:hint="eastAsia" w:ascii="宋体" w:hAnsi="宋体" w:cstheme="minorEastAsia"/>
          <w:b/>
          <w:bCs/>
          <w:sz w:val="36"/>
          <w:szCs w:val="36"/>
        </w:rPr>
      </w:pPr>
      <w:r>
        <w:rPr>
          <w:rFonts w:hint="eastAsia" w:ascii="宋体" w:hAnsi="宋体" w:cstheme="minorEastAsia"/>
          <w:b/>
          <w:bCs/>
          <w:sz w:val="36"/>
          <w:szCs w:val="36"/>
        </w:rPr>
        <w:t>中小企业声明函（工程、服务）格式</w:t>
      </w:r>
    </w:p>
    <w:p w14:paraId="67A87327">
      <w:pPr>
        <w:spacing w:line="360" w:lineRule="auto"/>
        <w:ind w:firstLine="504"/>
        <w:rPr>
          <w:rFonts w:hint="eastAsia" w:ascii="宋体" w:hAnsi="宋体" w:cstheme="minorEastAsia"/>
          <w:spacing w:val="6"/>
          <w:sz w:val="24"/>
        </w:rPr>
      </w:pPr>
      <w:r>
        <w:rPr>
          <w:rFonts w:hint="eastAsia" w:ascii="宋体" w:hAnsi="宋体" w:cs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456928F">
      <w:pPr>
        <w:spacing w:line="360" w:lineRule="auto"/>
        <w:ind w:firstLine="504"/>
        <w:rPr>
          <w:rFonts w:hint="eastAsia" w:ascii="宋体" w:hAnsi="宋体" w:cstheme="minorEastAsia"/>
          <w:spacing w:val="6"/>
          <w:sz w:val="24"/>
        </w:rPr>
      </w:pPr>
      <w:r>
        <w:rPr>
          <w:rFonts w:hint="eastAsia" w:ascii="宋体" w:hAnsi="宋体" w:cstheme="minorEastAsia"/>
          <w:spacing w:val="6"/>
          <w:sz w:val="24"/>
        </w:rPr>
        <w:t>1.</w:t>
      </w:r>
      <w:r>
        <w:rPr>
          <w:rFonts w:hint="eastAsia" w:ascii="宋体" w:hAnsi="宋体" w:cstheme="minorEastAsia"/>
          <w:spacing w:val="6"/>
          <w:sz w:val="24"/>
          <w:u w:val="single"/>
        </w:rPr>
        <w:t xml:space="preserve"> （标的名称） </w:t>
      </w:r>
      <w:r>
        <w:rPr>
          <w:rFonts w:hint="eastAsia" w:ascii="宋体" w:hAnsi="宋体" w:cstheme="minorEastAsia"/>
          <w:spacing w:val="6"/>
          <w:sz w:val="24"/>
        </w:rPr>
        <w:t>，属于</w:t>
      </w:r>
      <w:r>
        <w:rPr>
          <w:rFonts w:hint="eastAsia" w:ascii="宋体" w:hAnsi="宋体" w:cstheme="minorEastAsia"/>
          <w:spacing w:val="6"/>
          <w:sz w:val="24"/>
          <w:u w:val="single"/>
        </w:rPr>
        <w:t>（采购文件中明确的所属行业）</w:t>
      </w:r>
      <w:r>
        <w:rPr>
          <w:rFonts w:hint="eastAsia" w:ascii="宋体" w:hAnsi="宋体" w:cstheme="minorEastAsia"/>
          <w:spacing w:val="6"/>
          <w:sz w:val="24"/>
        </w:rPr>
        <w:t>行业；承建（承接）企业为</w:t>
      </w:r>
      <w:r>
        <w:rPr>
          <w:rFonts w:hint="eastAsia" w:ascii="宋体" w:hAnsi="宋体" w:cstheme="minorEastAsia"/>
          <w:spacing w:val="6"/>
          <w:sz w:val="24"/>
          <w:u w:val="single"/>
        </w:rPr>
        <w:t>（企业名称）</w:t>
      </w:r>
      <w:r>
        <w:rPr>
          <w:rFonts w:hint="eastAsia" w:ascii="宋体" w:hAnsi="宋体" w:cstheme="minorEastAsia"/>
          <w:spacing w:val="6"/>
          <w:sz w:val="24"/>
        </w:rPr>
        <w:t>，从业人员</w:t>
      </w:r>
      <w:r>
        <w:rPr>
          <w:rFonts w:hint="eastAsia" w:ascii="宋体" w:hAnsi="宋体" w:cstheme="minorEastAsia"/>
          <w:sz w:val="24"/>
        </w:rPr>
        <w:t>______</w:t>
      </w:r>
      <w:r>
        <w:rPr>
          <w:rFonts w:hint="eastAsia" w:ascii="宋体" w:hAnsi="宋体" w:cstheme="minorEastAsia"/>
          <w:spacing w:val="6"/>
          <w:sz w:val="24"/>
        </w:rPr>
        <w:t>人，营业收入为</w:t>
      </w:r>
      <w:r>
        <w:rPr>
          <w:rFonts w:hint="eastAsia" w:ascii="宋体" w:hAnsi="宋体" w:cstheme="minorEastAsia"/>
          <w:sz w:val="24"/>
        </w:rPr>
        <w:t>______</w:t>
      </w:r>
      <w:r>
        <w:rPr>
          <w:rFonts w:hint="eastAsia" w:ascii="宋体" w:hAnsi="宋体" w:cstheme="minorEastAsia"/>
          <w:spacing w:val="6"/>
          <w:sz w:val="24"/>
        </w:rPr>
        <w:t>万元，资产总额为</w:t>
      </w:r>
      <w:r>
        <w:rPr>
          <w:rFonts w:hint="eastAsia" w:ascii="宋体" w:hAnsi="宋体" w:cstheme="minorEastAsia"/>
          <w:sz w:val="24"/>
        </w:rPr>
        <w:t>______</w:t>
      </w:r>
      <w:r>
        <w:rPr>
          <w:rFonts w:hint="eastAsia" w:ascii="宋体" w:hAnsi="宋体" w:cstheme="minorEastAsia"/>
          <w:spacing w:val="6"/>
          <w:sz w:val="24"/>
        </w:rPr>
        <w:t>万元</w:t>
      </w:r>
      <w:r>
        <w:rPr>
          <w:rFonts w:hint="eastAsia" w:ascii="宋体" w:hAnsi="宋体" w:cstheme="minorEastAsia"/>
          <w:spacing w:val="6"/>
          <w:sz w:val="24"/>
          <w:vertAlign w:val="superscript"/>
        </w:rPr>
        <w:t>1</w:t>
      </w:r>
      <w:r>
        <w:rPr>
          <w:rFonts w:hint="eastAsia" w:ascii="宋体" w:hAnsi="宋体" w:cstheme="minorEastAsia"/>
          <w:spacing w:val="6"/>
          <w:sz w:val="24"/>
        </w:rPr>
        <w:t>，属于（中型企业、小型企业、微型企业）；</w:t>
      </w:r>
    </w:p>
    <w:p w14:paraId="4841474C">
      <w:pPr>
        <w:spacing w:line="360" w:lineRule="auto"/>
        <w:ind w:firstLine="504"/>
        <w:rPr>
          <w:rFonts w:hint="eastAsia" w:ascii="宋体" w:hAnsi="宋体" w:cstheme="minorEastAsia"/>
          <w:spacing w:val="6"/>
          <w:sz w:val="24"/>
        </w:rPr>
      </w:pPr>
      <w:r>
        <w:rPr>
          <w:rFonts w:hint="eastAsia" w:ascii="宋体" w:hAnsi="宋体" w:cstheme="minorEastAsia"/>
          <w:spacing w:val="6"/>
          <w:sz w:val="24"/>
        </w:rPr>
        <w:t xml:space="preserve">2. </w:t>
      </w:r>
      <w:r>
        <w:rPr>
          <w:rFonts w:hint="eastAsia" w:ascii="宋体" w:hAnsi="宋体" w:cstheme="minorEastAsia"/>
          <w:spacing w:val="6"/>
          <w:sz w:val="24"/>
          <w:u w:val="single"/>
        </w:rPr>
        <w:t xml:space="preserve">（标的名称） </w:t>
      </w:r>
      <w:r>
        <w:rPr>
          <w:rFonts w:hint="eastAsia" w:ascii="宋体" w:hAnsi="宋体" w:cstheme="minorEastAsia"/>
          <w:spacing w:val="6"/>
          <w:sz w:val="24"/>
        </w:rPr>
        <w:t>，属于</w:t>
      </w:r>
      <w:r>
        <w:rPr>
          <w:rFonts w:hint="eastAsia" w:ascii="宋体" w:hAnsi="宋体" w:cstheme="minorEastAsia"/>
          <w:spacing w:val="6"/>
          <w:sz w:val="24"/>
          <w:u w:val="single"/>
        </w:rPr>
        <w:t>（采购文件中明确的所属行业）</w:t>
      </w:r>
      <w:r>
        <w:rPr>
          <w:rFonts w:hint="eastAsia" w:ascii="宋体" w:hAnsi="宋体" w:cstheme="minorEastAsia"/>
          <w:spacing w:val="6"/>
          <w:sz w:val="24"/>
        </w:rPr>
        <w:t>行业；承建（承接）企业为</w:t>
      </w:r>
      <w:r>
        <w:rPr>
          <w:rFonts w:hint="eastAsia" w:ascii="宋体" w:hAnsi="宋体" w:cstheme="minorEastAsia"/>
          <w:spacing w:val="6"/>
          <w:sz w:val="24"/>
          <w:u w:val="single"/>
        </w:rPr>
        <w:t>（企业名称）</w:t>
      </w:r>
      <w:r>
        <w:rPr>
          <w:rFonts w:hint="eastAsia" w:ascii="宋体" w:hAnsi="宋体" w:cstheme="minorEastAsia"/>
          <w:spacing w:val="6"/>
          <w:sz w:val="24"/>
        </w:rPr>
        <w:t>，从业人员</w:t>
      </w:r>
      <w:r>
        <w:rPr>
          <w:rFonts w:hint="eastAsia" w:ascii="宋体" w:hAnsi="宋体" w:cstheme="minorEastAsia"/>
          <w:sz w:val="24"/>
        </w:rPr>
        <w:t>______</w:t>
      </w:r>
      <w:r>
        <w:rPr>
          <w:rFonts w:hint="eastAsia" w:ascii="宋体" w:hAnsi="宋体" w:cstheme="minorEastAsia"/>
          <w:spacing w:val="6"/>
          <w:sz w:val="24"/>
        </w:rPr>
        <w:t>人，营业收入为</w:t>
      </w:r>
      <w:r>
        <w:rPr>
          <w:rFonts w:hint="eastAsia" w:ascii="宋体" w:hAnsi="宋体" w:cstheme="minorEastAsia"/>
          <w:sz w:val="24"/>
        </w:rPr>
        <w:t>______</w:t>
      </w:r>
      <w:r>
        <w:rPr>
          <w:rFonts w:hint="eastAsia" w:ascii="宋体" w:hAnsi="宋体" w:cstheme="minorEastAsia"/>
          <w:spacing w:val="6"/>
          <w:sz w:val="24"/>
        </w:rPr>
        <w:t>万元，资产总额为</w:t>
      </w:r>
      <w:r>
        <w:rPr>
          <w:rFonts w:hint="eastAsia" w:ascii="宋体" w:hAnsi="宋体" w:cstheme="minorEastAsia"/>
          <w:sz w:val="24"/>
        </w:rPr>
        <w:t>______</w:t>
      </w:r>
      <w:r>
        <w:rPr>
          <w:rFonts w:hint="eastAsia" w:ascii="宋体" w:hAnsi="宋体" w:cstheme="minorEastAsia"/>
          <w:spacing w:val="6"/>
          <w:sz w:val="24"/>
        </w:rPr>
        <w:t>万元，属于</w:t>
      </w:r>
      <w:r>
        <w:rPr>
          <w:rFonts w:hint="eastAsia" w:ascii="宋体" w:hAnsi="宋体" w:cstheme="minorEastAsia"/>
          <w:spacing w:val="6"/>
          <w:sz w:val="24"/>
          <w:u w:val="single"/>
        </w:rPr>
        <w:t>（中型企业、小型企业、微型企业）</w:t>
      </w:r>
      <w:r>
        <w:rPr>
          <w:rFonts w:hint="eastAsia" w:ascii="宋体" w:hAnsi="宋体" w:cstheme="minorEastAsia"/>
          <w:spacing w:val="6"/>
          <w:sz w:val="24"/>
        </w:rPr>
        <w:t>；</w:t>
      </w:r>
    </w:p>
    <w:p w14:paraId="0B59162A">
      <w:pPr>
        <w:spacing w:line="360" w:lineRule="auto"/>
        <w:ind w:firstLine="504"/>
        <w:rPr>
          <w:rFonts w:hint="eastAsia" w:ascii="宋体" w:hAnsi="宋体" w:cstheme="minorEastAsia"/>
          <w:spacing w:val="6"/>
          <w:sz w:val="24"/>
        </w:rPr>
      </w:pPr>
    </w:p>
    <w:p w14:paraId="73B3FDC8">
      <w:pPr>
        <w:spacing w:line="360" w:lineRule="auto"/>
        <w:ind w:firstLine="504"/>
        <w:rPr>
          <w:rFonts w:hint="eastAsia" w:ascii="宋体" w:hAnsi="宋体" w:cstheme="minorEastAsia"/>
          <w:spacing w:val="6"/>
          <w:sz w:val="24"/>
        </w:rPr>
      </w:pPr>
      <w:r>
        <w:rPr>
          <w:rFonts w:hint="eastAsia" w:ascii="宋体" w:hAnsi="宋体" w:cstheme="minorEastAsia"/>
          <w:spacing w:val="6"/>
          <w:sz w:val="24"/>
        </w:rPr>
        <w:t>……</w:t>
      </w:r>
    </w:p>
    <w:p w14:paraId="5B1BC828">
      <w:pPr>
        <w:spacing w:line="360" w:lineRule="auto"/>
        <w:ind w:firstLine="504"/>
        <w:rPr>
          <w:rFonts w:hint="eastAsia" w:ascii="宋体" w:hAnsi="宋体" w:cstheme="minorEastAsia"/>
          <w:spacing w:val="6"/>
          <w:sz w:val="24"/>
        </w:rPr>
      </w:pPr>
      <w:r>
        <w:rPr>
          <w:rFonts w:hint="eastAsia" w:ascii="宋体" w:hAnsi="宋体" w:cstheme="minorEastAsia"/>
          <w:spacing w:val="6"/>
          <w:sz w:val="24"/>
        </w:rPr>
        <w:t>以上企业，不属于大企业的分支机构，不存在控股股东为大企业的情形，也不存在与大企业的负责人为同一人的情形。</w:t>
      </w:r>
    </w:p>
    <w:p w14:paraId="53DA92F4">
      <w:pPr>
        <w:spacing w:line="360" w:lineRule="auto"/>
        <w:ind w:firstLine="504"/>
        <w:rPr>
          <w:rFonts w:hint="eastAsia" w:ascii="宋体" w:hAnsi="宋体" w:cstheme="minorEastAsia"/>
          <w:spacing w:val="6"/>
          <w:sz w:val="24"/>
        </w:rPr>
      </w:pPr>
      <w:r>
        <w:rPr>
          <w:rFonts w:hint="eastAsia" w:ascii="宋体" w:hAnsi="宋体" w:cstheme="minorEastAsia"/>
          <w:spacing w:val="6"/>
          <w:sz w:val="24"/>
        </w:rPr>
        <w:t>本企业对上述声明内容的真实性负责。如有虚假，将依法承担相应责任。</w:t>
      </w:r>
    </w:p>
    <w:p w14:paraId="03446E1D">
      <w:pPr>
        <w:spacing w:line="360" w:lineRule="auto"/>
        <w:ind w:right="360" w:firstLine="480"/>
        <w:jc w:val="right"/>
        <w:rPr>
          <w:rFonts w:hint="eastAsia" w:ascii="宋体" w:hAnsi="宋体" w:cstheme="minorEastAsia"/>
          <w:sz w:val="24"/>
        </w:rPr>
      </w:pPr>
    </w:p>
    <w:p w14:paraId="73410F58">
      <w:pPr>
        <w:spacing w:line="360" w:lineRule="auto"/>
        <w:ind w:right="360" w:firstLine="480"/>
        <w:jc w:val="right"/>
        <w:rPr>
          <w:rFonts w:hint="eastAsia" w:ascii="宋体" w:hAnsi="宋体" w:cstheme="minorEastAsia"/>
          <w:sz w:val="24"/>
        </w:rPr>
      </w:pPr>
      <w:r>
        <w:rPr>
          <w:rFonts w:hint="eastAsia" w:ascii="宋体" w:hAnsi="宋体" w:cstheme="minorEastAsia"/>
          <w:sz w:val="24"/>
        </w:rPr>
        <w:t>企业名称（盖章）：______</w:t>
      </w:r>
    </w:p>
    <w:p w14:paraId="21F6A7BF">
      <w:pPr>
        <w:spacing w:line="360" w:lineRule="auto"/>
        <w:ind w:right="360" w:firstLine="480"/>
        <w:jc w:val="right"/>
        <w:rPr>
          <w:rFonts w:hint="eastAsia" w:ascii="宋体" w:hAnsi="宋体" w:cstheme="minorEastAsia"/>
          <w:sz w:val="24"/>
        </w:rPr>
      </w:pPr>
      <w:r>
        <w:rPr>
          <w:rFonts w:hint="eastAsia" w:ascii="宋体" w:hAnsi="宋体" w:cstheme="minorEastAsia"/>
          <w:sz w:val="24"/>
        </w:rPr>
        <w:t>日 期：______</w:t>
      </w:r>
    </w:p>
    <w:p w14:paraId="0E8E0FD9">
      <w:pPr>
        <w:adjustRightInd w:val="0"/>
        <w:snapToGrid w:val="0"/>
        <w:jc w:val="left"/>
        <w:rPr>
          <w:rFonts w:hint="eastAsia" w:ascii="宋体" w:hAnsi="宋体" w:cstheme="minorEastAsia"/>
          <w:sz w:val="24"/>
          <w:szCs w:val="21"/>
        </w:rPr>
      </w:pPr>
    </w:p>
    <w:p w14:paraId="7B02B9EA">
      <w:pPr>
        <w:adjustRightInd w:val="0"/>
        <w:snapToGrid w:val="0"/>
        <w:jc w:val="left"/>
        <w:rPr>
          <w:rFonts w:hint="eastAsia" w:ascii="宋体" w:hAnsi="宋体" w:cstheme="minorEastAsia"/>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13"/>
      </w:tblGrid>
      <w:tr w14:paraId="3DFA09A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2A34E27">
            <w:pPr>
              <w:adjustRightInd w:val="0"/>
              <w:snapToGrid w:val="0"/>
              <w:jc w:val="left"/>
              <w:rPr>
                <w:rFonts w:hint="eastAsia" w:ascii="宋体" w:hAnsi="宋体" w:cstheme="minorEastAsia"/>
                <w:szCs w:val="21"/>
              </w:rPr>
            </w:pPr>
            <w:r>
              <w:rPr>
                <w:rFonts w:hint="eastAsia" w:ascii="宋体" w:hAnsi="宋体" w:cstheme="minorEastAsia"/>
                <w:szCs w:val="21"/>
                <w:vertAlign w:val="superscript"/>
              </w:rPr>
              <w:t>1</w:t>
            </w:r>
            <w:r>
              <w:rPr>
                <w:rFonts w:hint="eastAsia" w:ascii="宋体" w:hAnsi="宋体" w:cstheme="minorEastAsia"/>
                <w:szCs w:val="21"/>
              </w:rPr>
              <w:t>从业人员、营业收入、资产总额填报上一年度数据，无上一年度数据的新成立企业可不填报。</w:t>
            </w:r>
          </w:p>
        </w:tc>
      </w:tr>
    </w:tbl>
    <w:p w14:paraId="3C51438E">
      <w:pPr>
        <w:adjustRightInd w:val="0"/>
        <w:snapToGrid w:val="0"/>
        <w:jc w:val="left"/>
        <w:rPr>
          <w:rFonts w:hint="eastAsia" w:ascii="宋体" w:hAnsi="宋体" w:cstheme="minorEastAsia"/>
          <w:szCs w:val="21"/>
          <w:vertAlign w:val="superscript"/>
        </w:rPr>
      </w:pPr>
    </w:p>
    <w:p w14:paraId="14996A0B">
      <w:pPr>
        <w:spacing w:line="360" w:lineRule="auto"/>
        <w:ind w:right="360" w:firstLine="480"/>
        <w:jc w:val="right"/>
        <w:rPr>
          <w:rFonts w:hint="eastAsia" w:ascii="宋体" w:hAnsi="宋体" w:cstheme="minorEastAsia"/>
          <w:sz w:val="24"/>
        </w:rPr>
      </w:pPr>
    </w:p>
    <w:p w14:paraId="5C85D819">
      <w:pPr>
        <w:spacing w:line="360" w:lineRule="auto"/>
        <w:ind w:right="360" w:firstLine="480"/>
        <w:jc w:val="right"/>
        <w:rPr>
          <w:rFonts w:hint="eastAsia" w:ascii="宋体" w:hAnsi="宋体" w:cstheme="minorEastAsia"/>
          <w:sz w:val="24"/>
        </w:rPr>
      </w:pPr>
    </w:p>
    <w:p w14:paraId="15C02874">
      <w:pPr>
        <w:spacing w:line="360" w:lineRule="auto"/>
        <w:ind w:right="360" w:firstLine="480"/>
        <w:jc w:val="right"/>
        <w:rPr>
          <w:rFonts w:hint="eastAsia" w:ascii="宋体" w:hAnsi="宋体" w:cstheme="minorEastAsia"/>
          <w:sz w:val="24"/>
          <w:szCs w:val="20"/>
        </w:rPr>
      </w:pPr>
      <w:r>
        <w:rPr>
          <w:rFonts w:hint="eastAsia" w:ascii="宋体" w:hAnsi="宋体" w:cstheme="minorEastAsia"/>
          <w:sz w:val="24"/>
          <w:szCs w:val="20"/>
        </w:rPr>
        <w:br w:type="page"/>
      </w:r>
    </w:p>
    <w:p w14:paraId="07DC96CD">
      <w:pPr>
        <w:spacing w:before="240" w:beforeLines="100" w:after="240" w:afterLines="100" w:line="360" w:lineRule="auto"/>
        <w:jc w:val="center"/>
        <w:rPr>
          <w:rFonts w:hint="eastAsia" w:ascii="宋体" w:hAnsi="宋体" w:cstheme="minorEastAsia"/>
          <w:b/>
          <w:sz w:val="36"/>
          <w:szCs w:val="36"/>
        </w:rPr>
      </w:pPr>
      <w:r>
        <w:rPr>
          <w:rFonts w:hint="eastAsia" w:ascii="宋体" w:hAnsi="宋体" w:cstheme="minorEastAsia"/>
          <w:b/>
          <w:bCs/>
          <w:sz w:val="36"/>
          <w:szCs w:val="36"/>
        </w:rPr>
        <w:t>残疾人福利性单位声明函格式</w:t>
      </w:r>
      <w:r>
        <w:rPr>
          <w:rFonts w:hint="eastAsia" w:ascii="宋体" w:hAnsi="宋体" w:cstheme="minorEastAsia"/>
          <w:b/>
          <w:sz w:val="36"/>
          <w:szCs w:val="36"/>
        </w:rPr>
        <w:t xml:space="preserve">       </w:t>
      </w:r>
    </w:p>
    <w:p w14:paraId="3491F3D7">
      <w:pPr>
        <w:spacing w:line="588" w:lineRule="exact"/>
        <w:ind w:firstLine="504"/>
        <w:rPr>
          <w:rFonts w:hint="eastAsia" w:ascii="宋体" w:hAnsi="宋体" w:cstheme="minorEastAsia"/>
          <w:spacing w:val="6"/>
          <w:sz w:val="24"/>
        </w:rPr>
      </w:pPr>
      <w:r>
        <w:rPr>
          <w:rFonts w:hint="eastAsia" w:ascii="宋体" w:hAnsi="宋体" w:cstheme="minorEastAsia"/>
          <w:spacing w:val="6"/>
          <w:sz w:val="24"/>
        </w:rPr>
        <w:t>本单位郑重声明，根据《财政部 民政部 中国残疾人联合会关于促进残疾人就业政府采购政策的通知》（财库</w:t>
      </w:r>
      <w:r>
        <w:rPr>
          <w:rFonts w:hint="eastAsia" w:ascii="宋体" w:hAnsi="宋体" w:cstheme="minorEastAsia"/>
          <w:sz w:val="24"/>
        </w:rPr>
        <w:t>〔2017〕 141</w:t>
      </w:r>
      <w:r>
        <w:rPr>
          <w:rFonts w:hint="eastAsia" w:ascii="宋体" w:hAnsi="宋体" w:cstheme="minorEastAsia"/>
          <w:spacing w:val="6"/>
          <w:sz w:val="24"/>
        </w:rPr>
        <w:t>号）的规定，本单位</w:t>
      </w:r>
      <w:r>
        <w:rPr>
          <w:rFonts w:hint="eastAsia" w:ascii="宋体" w:hAnsi="宋体" w:cstheme="minorEastAsia"/>
          <w:b/>
          <w:sz w:val="24"/>
        </w:rPr>
        <w:t>（请进行选择）</w:t>
      </w:r>
      <w:r>
        <w:rPr>
          <w:rFonts w:hint="eastAsia" w:ascii="宋体" w:hAnsi="宋体" w:cstheme="minorEastAsia"/>
          <w:spacing w:val="6"/>
          <w:sz w:val="24"/>
        </w:rPr>
        <w:t>：</w:t>
      </w:r>
    </w:p>
    <w:p w14:paraId="5E444FE0">
      <w:pPr>
        <w:spacing w:line="588" w:lineRule="exact"/>
        <w:ind w:firstLine="482"/>
        <w:rPr>
          <w:rFonts w:hint="eastAsia" w:ascii="宋体" w:hAnsi="宋体" w:cstheme="minorEastAsia"/>
          <w:b/>
          <w:spacing w:val="6"/>
          <w:sz w:val="24"/>
        </w:rPr>
      </w:pPr>
      <w:r>
        <w:rPr>
          <w:rFonts w:hint="eastAsia" w:ascii="宋体" w:hAnsi="宋体" w:cstheme="minorEastAsia"/>
          <w:b/>
          <w:sz w:val="24"/>
        </w:rPr>
        <w:t>□</w:t>
      </w:r>
      <w:r>
        <w:rPr>
          <w:rFonts w:hint="eastAsia" w:ascii="宋体" w:hAnsi="宋体" w:cstheme="minorEastAsia"/>
          <w:b/>
          <w:spacing w:val="6"/>
          <w:sz w:val="24"/>
        </w:rPr>
        <w:t>不属于符合条件的残疾人福利性单位。</w:t>
      </w:r>
    </w:p>
    <w:p w14:paraId="7DB93D3B">
      <w:pPr>
        <w:spacing w:line="588" w:lineRule="exact"/>
        <w:ind w:firstLine="482"/>
        <w:rPr>
          <w:rFonts w:hint="eastAsia" w:ascii="宋体" w:hAnsi="宋体" w:cstheme="minorEastAsia"/>
          <w:spacing w:val="6"/>
          <w:sz w:val="24"/>
        </w:rPr>
      </w:pPr>
      <w:r>
        <w:rPr>
          <w:rFonts w:hint="eastAsia" w:ascii="宋体" w:hAnsi="宋体" w:cstheme="minorEastAsia"/>
          <w:b/>
          <w:sz w:val="24"/>
        </w:rPr>
        <w:t>□</w:t>
      </w:r>
      <w:r>
        <w:rPr>
          <w:rFonts w:hint="eastAsia" w:ascii="宋体" w:hAnsi="宋体" w:cstheme="minorEastAsia"/>
          <w:b/>
          <w:spacing w:val="6"/>
          <w:sz w:val="24"/>
        </w:rPr>
        <w:t>属于符合条件的残疾人福利性单位，</w:t>
      </w:r>
      <w:r>
        <w:rPr>
          <w:rFonts w:hint="eastAsia" w:ascii="宋体" w:hAnsi="宋体" w:cstheme="minorEastAsia"/>
          <w:spacing w:val="6"/>
          <w:sz w:val="24"/>
        </w:rPr>
        <w:t>且本单位参加</w:t>
      </w:r>
      <w:r>
        <w:rPr>
          <w:rFonts w:hint="eastAsia" w:ascii="宋体" w:hAnsi="宋体" w:cstheme="minorEastAsia"/>
          <w:sz w:val="24"/>
        </w:rPr>
        <w:t>______</w:t>
      </w:r>
      <w:r>
        <w:rPr>
          <w:rFonts w:hint="eastAsia" w:ascii="宋体" w:hAnsi="宋体" w:cstheme="minorEastAsia"/>
          <w:spacing w:val="6"/>
          <w:sz w:val="24"/>
        </w:rPr>
        <w:t>单位的</w:t>
      </w:r>
      <w:r>
        <w:rPr>
          <w:rFonts w:hint="eastAsia" w:ascii="宋体" w:hAnsi="宋体" w:cstheme="minorEastAsia"/>
          <w:sz w:val="24"/>
        </w:rPr>
        <w:t>______</w:t>
      </w:r>
      <w:r>
        <w:rPr>
          <w:rFonts w:hint="eastAsia" w:ascii="宋体" w:hAnsi="宋体" w:cstheme="minorEastAsia"/>
          <w:spacing w:val="6"/>
          <w:sz w:val="24"/>
        </w:rPr>
        <w:t>项目采购活动提供本单位制造的货物（由本单位承担工程/提供服务），或者提供其他残疾人福利性单位制造的货物（不包括使用非残疾人福利性单位注册商标的货物）。</w:t>
      </w:r>
    </w:p>
    <w:p w14:paraId="466F001D">
      <w:pPr>
        <w:spacing w:line="588" w:lineRule="exact"/>
        <w:ind w:firstLine="506" w:firstLineChars="200"/>
        <w:rPr>
          <w:rFonts w:hint="eastAsia" w:ascii="宋体" w:hAnsi="宋体" w:cstheme="minorEastAsia"/>
          <w:spacing w:val="6"/>
          <w:sz w:val="24"/>
        </w:rPr>
      </w:pPr>
      <w:r>
        <w:rPr>
          <w:rFonts w:hint="eastAsia" w:ascii="宋体" w:hAnsi="宋体" w:cstheme="minorEastAsia"/>
          <w:b/>
          <w:spacing w:val="6"/>
          <w:sz w:val="24"/>
        </w:rPr>
        <w:t>本单位对上述声明的真实性负责。如有虚假，将依法承担相应责任。</w:t>
      </w:r>
    </w:p>
    <w:p w14:paraId="2B641FCB">
      <w:pPr>
        <w:spacing w:line="588" w:lineRule="exact"/>
        <w:ind w:firstLine="504" w:firstLineChars="200"/>
        <w:rPr>
          <w:rFonts w:hint="eastAsia" w:ascii="宋体" w:hAnsi="宋体" w:cstheme="minorEastAsia"/>
          <w:spacing w:val="6"/>
          <w:sz w:val="24"/>
        </w:rPr>
      </w:pPr>
    </w:p>
    <w:p w14:paraId="3B247E9F">
      <w:pPr>
        <w:spacing w:line="588" w:lineRule="exact"/>
        <w:ind w:firstLine="504" w:firstLineChars="200"/>
        <w:rPr>
          <w:rFonts w:hint="eastAsia" w:ascii="宋体" w:hAnsi="宋体" w:cstheme="minorEastAsia"/>
          <w:spacing w:val="6"/>
          <w:sz w:val="24"/>
        </w:rPr>
      </w:pPr>
    </w:p>
    <w:p w14:paraId="021A655E">
      <w:pPr>
        <w:tabs>
          <w:tab w:val="left" w:pos="4860"/>
        </w:tabs>
        <w:spacing w:line="588" w:lineRule="exact"/>
        <w:ind w:right="1560" w:firstLine="504" w:firstLineChars="200"/>
        <w:jc w:val="right"/>
        <w:rPr>
          <w:rFonts w:hint="eastAsia" w:ascii="宋体" w:hAnsi="宋体" w:cstheme="minorEastAsia"/>
          <w:spacing w:val="6"/>
          <w:sz w:val="24"/>
        </w:rPr>
      </w:pPr>
      <w:r>
        <w:rPr>
          <w:rFonts w:hint="eastAsia" w:ascii="宋体" w:hAnsi="宋体" w:cstheme="minorEastAsia"/>
          <w:spacing w:val="6"/>
          <w:sz w:val="24"/>
        </w:rPr>
        <w:t xml:space="preserve">          单位名称（盖章）：</w:t>
      </w:r>
      <w:r>
        <w:rPr>
          <w:rFonts w:hint="eastAsia" w:ascii="宋体" w:hAnsi="宋体" w:cstheme="minorEastAsia"/>
          <w:sz w:val="24"/>
        </w:rPr>
        <w:t>______</w:t>
      </w:r>
    </w:p>
    <w:p w14:paraId="49AF8530">
      <w:pPr>
        <w:tabs>
          <w:tab w:val="left" w:pos="4860"/>
        </w:tabs>
        <w:spacing w:line="588" w:lineRule="exact"/>
        <w:ind w:right="1560" w:firstLine="504" w:firstLineChars="200"/>
        <w:jc w:val="right"/>
        <w:rPr>
          <w:rFonts w:hint="eastAsia" w:ascii="宋体" w:hAnsi="宋体" w:cstheme="minorEastAsia"/>
          <w:spacing w:val="6"/>
          <w:sz w:val="24"/>
        </w:rPr>
      </w:pPr>
      <w:r>
        <w:rPr>
          <w:rFonts w:hint="eastAsia" w:ascii="宋体" w:hAnsi="宋体" w:cstheme="minorEastAsia"/>
          <w:spacing w:val="6"/>
          <w:sz w:val="24"/>
        </w:rPr>
        <w:t xml:space="preserve">       日  期：</w:t>
      </w:r>
      <w:r>
        <w:rPr>
          <w:rFonts w:hint="eastAsia" w:ascii="宋体" w:hAnsi="宋体" w:cstheme="minorEastAsia"/>
          <w:sz w:val="24"/>
        </w:rPr>
        <w:t>______</w:t>
      </w:r>
    </w:p>
    <w:p w14:paraId="6D956B90">
      <w:pPr>
        <w:widowControl/>
        <w:jc w:val="left"/>
        <w:rPr>
          <w:rFonts w:hint="eastAsia" w:ascii="宋体" w:hAnsi="宋体" w:cstheme="minorEastAsia"/>
          <w:sz w:val="24"/>
          <w:szCs w:val="20"/>
        </w:rPr>
      </w:pPr>
      <w:r>
        <w:rPr>
          <w:rFonts w:hint="eastAsia" w:ascii="宋体" w:hAnsi="宋体" w:cstheme="minorEastAsia"/>
          <w:sz w:val="24"/>
          <w:szCs w:val="20"/>
        </w:rPr>
        <w:br w:type="page"/>
      </w:r>
    </w:p>
    <w:p w14:paraId="184C5E17">
      <w:pPr>
        <w:pStyle w:val="6"/>
        <w:rPr>
          <w:rFonts w:hint="eastAsia" w:ascii="宋体" w:hAnsi="宋体" w:eastAsia="宋体" w:cstheme="minorEastAsia"/>
          <w:b w:val="0"/>
          <w:sz w:val="24"/>
        </w:rPr>
      </w:pPr>
      <w:r>
        <w:rPr>
          <w:rFonts w:hint="eastAsia" w:ascii="宋体" w:hAnsi="宋体" w:eastAsia="宋体" w:cstheme="minorEastAsia"/>
          <w:b w:val="0"/>
          <w:sz w:val="24"/>
        </w:rPr>
        <w:t>2-1-2 拟分包情况说明及分包意向协议</w:t>
      </w:r>
    </w:p>
    <w:p w14:paraId="44C245B0">
      <w:pPr>
        <w:tabs>
          <w:tab w:val="left" w:pos="5580"/>
        </w:tabs>
        <w:spacing w:line="360" w:lineRule="auto"/>
        <w:rPr>
          <w:rFonts w:hint="eastAsia" w:ascii="宋体" w:hAnsi="宋体" w:cstheme="minorEastAsia"/>
          <w:sz w:val="24"/>
        </w:rPr>
      </w:pPr>
      <w:r>
        <w:rPr>
          <w:rFonts w:hint="eastAsia" w:ascii="宋体" w:hAnsi="宋体" w:cstheme="minorEastAsia"/>
          <w:sz w:val="24"/>
        </w:rPr>
        <w:t>说明：</w:t>
      </w:r>
    </w:p>
    <w:p w14:paraId="6BF846A7">
      <w:pPr>
        <w:tabs>
          <w:tab w:val="left" w:pos="5580"/>
        </w:tabs>
        <w:spacing w:line="360" w:lineRule="auto"/>
        <w:rPr>
          <w:rFonts w:hint="eastAsia" w:ascii="宋体" w:hAnsi="宋体" w:cstheme="minorEastAsia"/>
          <w:sz w:val="24"/>
        </w:rPr>
      </w:pPr>
      <w:r>
        <w:rPr>
          <w:rFonts w:hint="eastAsia" w:ascii="宋体" w:hAnsi="宋体" w:cstheme="minorEastAsia"/>
          <w:sz w:val="24"/>
        </w:rPr>
        <w:t>如本项目（包）允许分包，且供应商拟进行分包时：</w:t>
      </w:r>
    </w:p>
    <w:p w14:paraId="2EBB6D14">
      <w:pPr>
        <w:tabs>
          <w:tab w:val="left" w:pos="5580"/>
        </w:tabs>
        <w:spacing w:line="360" w:lineRule="auto"/>
        <w:rPr>
          <w:rFonts w:hint="eastAsia" w:ascii="宋体" w:hAnsi="宋体" w:cstheme="minorEastAsia"/>
          <w:sz w:val="24"/>
        </w:rPr>
      </w:pPr>
      <w:r>
        <w:rPr>
          <w:rFonts w:hint="eastAsia" w:ascii="宋体" w:hAnsi="宋体" w:cstheme="minorEastAsia"/>
          <w:sz w:val="24"/>
        </w:rPr>
        <w:t>（1）响应文件中须提供《拟分包情况说明》，否则</w:t>
      </w:r>
      <w:r>
        <w:rPr>
          <w:rFonts w:hint="eastAsia" w:ascii="宋体" w:hAnsi="宋体" w:cstheme="minorEastAsia"/>
          <w:b/>
          <w:sz w:val="24"/>
        </w:rPr>
        <w:t>响应无效</w:t>
      </w:r>
      <w:r>
        <w:rPr>
          <w:rFonts w:hint="eastAsia" w:ascii="宋体" w:hAnsi="宋体" w:cstheme="minorEastAsia"/>
          <w:sz w:val="24"/>
        </w:rPr>
        <w:t>；</w:t>
      </w:r>
    </w:p>
    <w:p w14:paraId="67546E35">
      <w:pPr>
        <w:tabs>
          <w:tab w:val="left" w:pos="5580"/>
        </w:tabs>
        <w:spacing w:line="360" w:lineRule="auto"/>
        <w:rPr>
          <w:rFonts w:hint="eastAsia" w:ascii="宋体" w:hAnsi="宋体" w:cstheme="minorEastAsia"/>
          <w:sz w:val="24"/>
        </w:rPr>
      </w:pPr>
      <w:r>
        <w:rPr>
          <w:rFonts w:hint="eastAsia" w:ascii="宋体" w:hAnsi="宋体" w:cstheme="minorEastAsia"/>
          <w:sz w:val="24"/>
        </w:rPr>
        <w:t>（2）当同时符合下列情形时，响应文件还须提供《分包意向协议》，否则</w:t>
      </w:r>
      <w:r>
        <w:rPr>
          <w:rFonts w:hint="eastAsia" w:ascii="宋体" w:hAnsi="宋体" w:cstheme="minorEastAsia"/>
          <w:b/>
          <w:sz w:val="24"/>
        </w:rPr>
        <w:t>响应无效</w:t>
      </w:r>
      <w:r>
        <w:rPr>
          <w:rFonts w:hint="eastAsia" w:ascii="宋体" w:hAnsi="宋体" w:cstheme="minorEastAsia"/>
          <w:sz w:val="24"/>
        </w:rPr>
        <w:t>：</w:t>
      </w:r>
    </w:p>
    <w:p w14:paraId="2D14CE35">
      <w:pPr>
        <w:tabs>
          <w:tab w:val="left" w:pos="5580"/>
        </w:tabs>
        <w:spacing w:line="360" w:lineRule="auto"/>
        <w:ind w:left="567" w:leftChars="270"/>
        <w:rPr>
          <w:rFonts w:hint="eastAsia" w:ascii="宋体" w:hAnsi="宋体" w:cstheme="minorEastAsia"/>
          <w:sz w:val="24"/>
        </w:rPr>
      </w:pPr>
      <w:r>
        <w:rPr>
          <w:rFonts w:hint="eastAsia" w:ascii="宋体" w:hAnsi="宋体" w:cstheme="minorEastAsia"/>
          <w:sz w:val="24"/>
        </w:rPr>
        <w:t>A. 本项目（包）预留部分采购项目预算专门面向中小企业采购，且要求获得采购合同的供应商将采购项目中的一定比例分包给一家或者多家中小企业的；</w:t>
      </w:r>
    </w:p>
    <w:p w14:paraId="123790C3">
      <w:pPr>
        <w:tabs>
          <w:tab w:val="left" w:pos="5580"/>
        </w:tabs>
        <w:spacing w:line="360" w:lineRule="auto"/>
        <w:ind w:left="567" w:leftChars="270"/>
        <w:rPr>
          <w:rFonts w:hint="eastAsia" w:ascii="宋体" w:hAnsi="宋体" w:cstheme="minorEastAsia"/>
          <w:sz w:val="24"/>
        </w:rPr>
      </w:pPr>
      <w:r>
        <w:rPr>
          <w:rFonts w:hint="eastAsia" w:ascii="宋体" w:hAnsi="宋体" w:cstheme="minorEastAsia"/>
          <w:sz w:val="24"/>
        </w:rPr>
        <w:t>B. 供应商通过分包方式满足中小企业政策要求的。</w:t>
      </w:r>
    </w:p>
    <w:p w14:paraId="78B94395">
      <w:pPr>
        <w:autoSpaceDE w:val="0"/>
        <w:autoSpaceDN w:val="0"/>
        <w:adjustRightInd w:val="0"/>
        <w:rPr>
          <w:rFonts w:hint="eastAsia" w:ascii="宋体" w:hAnsi="宋体" w:cstheme="minorEastAsia"/>
          <w:sz w:val="30"/>
          <w:szCs w:val="30"/>
        </w:rPr>
      </w:pPr>
    </w:p>
    <w:p w14:paraId="7662948D">
      <w:pPr>
        <w:widowControl/>
        <w:jc w:val="left"/>
        <w:rPr>
          <w:rFonts w:hint="eastAsia" w:ascii="宋体" w:hAnsi="宋体" w:cstheme="minorEastAsia"/>
          <w:b/>
          <w:sz w:val="36"/>
          <w:szCs w:val="36"/>
        </w:rPr>
      </w:pPr>
      <w:r>
        <w:rPr>
          <w:rFonts w:hint="eastAsia" w:ascii="宋体" w:hAnsi="宋体" w:cstheme="minorEastAsia"/>
          <w:b/>
          <w:sz w:val="36"/>
          <w:szCs w:val="36"/>
        </w:rPr>
        <w:br w:type="page"/>
      </w:r>
    </w:p>
    <w:p w14:paraId="3EE9D4F1">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b/>
          <w:sz w:val="36"/>
          <w:szCs w:val="36"/>
        </w:rPr>
        <w:t>拟分包情况说明</w:t>
      </w:r>
    </w:p>
    <w:p w14:paraId="2B9AF4CC">
      <w:pPr>
        <w:tabs>
          <w:tab w:val="left" w:pos="5580"/>
        </w:tabs>
        <w:spacing w:line="360" w:lineRule="auto"/>
        <w:rPr>
          <w:rFonts w:hint="eastAsia" w:ascii="宋体" w:hAnsi="宋体" w:cstheme="minorEastAsia"/>
          <w:sz w:val="24"/>
        </w:rPr>
      </w:pPr>
      <w:r>
        <w:rPr>
          <w:rFonts w:hint="eastAsia" w:ascii="宋体" w:hAnsi="宋体" w:cstheme="minorEastAsia"/>
          <w:sz w:val="24"/>
        </w:rPr>
        <w:t>致：</w:t>
      </w:r>
      <w:r>
        <w:rPr>
          <w:rFonts w:hint="eastAsia" w:ascii="宋体" w:hAnsi="宋体" w:cstheme="minorEastAsia"/>
          <w:sz w:val="24"/>
          <w:u w:val="single"/>
        </w:rPr>
        <w:t>（采购人或采购代理机构）</w:t>
      </w:r>
    </w:p>
    <w:p w14:paraId="72AE0861">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3CF29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9845C04">
            <w:pPr>
              <w:pStyle w:val="248"/>
              <w:jc w:val="center"/>
              <w:rPr>
                <w:rFonts w:hint="eastAsia" w:eastAsiaTheme="minorEastAsia" w:cstheme="minorEastAsia"/>
                <w:sz w:val="24"/>
              </w:rPr>
            </w:pPr>
            <w:r>
              <w:rPr>
                <w:rFonts w:hint="eastAsia" w:eastAsiaTheme="minorEastAsia" w:cs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05CAB2CA">
            <w:pPr>
              <w:pStyle w:val="248"/>
              <w:jc w:val="center"/>
              <w:rPr>
                <w:rFonts w:hint="eastAsia" w:eastAsiaTheme="minorEastAsia" w:cstheme="minorEastAsia"/>
                <w:sz w:val="24"/>
              </w:rPr>
            </w:pPr>
            <w:r>
              <w:rPr>
                <w:rFonts w:hint="eastAsia" w:eastAsiaTheme="minorEastAsia" w:cstheme="minorEastAsia"/>
                <w:sz w:val="24"/>
              </w:rPr>
              <w:t>分包承担</w:t>
            </w:r>
          </w:p>
          <w:p w14:paraId="4C399EBD">
            <w:pPr>
              <w:pStyle w:val="248"/>
              <w:jc w:val="center"/>
              <w:rPr>
                <w:rFonts w:hint="eastAsia" w:eastAsiaTheme="minorEastAsia" w:cstheme="minorEastAsia"/>
                <w:sz w:val="24"/>
              </w:rPr>
            </w:pPr>
            <w:r>
              <w:rPr>
                <w:rFonts w:hint="eastAsia" w:eastAsiaTheme="minorEastAsia" w:cs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598B8AB5">
            <w:pPr>
              <w:pStyle w:val="248"/>
              <w:jc w:val="center"/>
              <w:rPr>
                <w:rFonts w:hint="eastAsia" w:eastAsiaTheme="minorEastAsia" w:cstheme="minorEastAsia"/>
                <w:sz w:val="24"/>
                <w:lang w:eastAsia="zh-CN"/>
              </w:rPr>
            </w:pPr>
            <w:r>
              <w:rPr>
                <w:rFonts w:hint="eastAsia" w:eastAsiaTheme="minorEastAsia" w:cstheme="minorEastAsia"/>
                <w:sz w:val="24"/>
                <w:lang w:eastAsia="zh-CN"/>
              </w:rPr>
              <w:t>分包承担</w:t>
            </w:r>
          </w:p>
          <w:p w14:paraId="5955179F">
            <w:pPr>
              <w:pStyle w:val="248"/>
              <w:jc w:val="center"/>
              <w:rPr>
                <w:rFonts w:hint="eastAsia" w:eastAsiaTheme="minorEastAsia" w:cstheme="minorEastAsia"/>
                <w:sz w:val="24"/>
                <w:lang w:eastAsia="zh-CN"/>
              </w:rPr>
            </w:pPr>
            <w:r>
              <w:rPr>
                <w:rFonts w:hint="eastAsia" w:eastAsiaTheme="minorEastAsia" w:cstheme="minorEastAsia"/>
                <w:sz w:val="24"/>
                <w:lang w:eastAsia="zh-CN"/>
              </w:rPr>
              <w:t>主体类型</w:t>
            </w:r>
          </w:p>
          <w:p w14:paraId="30780EBF">
            <w:pPr>
              <w:pStyle w:val="248"/>
              <w:jc w:val="center"/>
              <w:rPr>
                <w:rFonts w:hint="eastAsia" w:eastAsiaTheme="minorEastAsia" w:cstheme="minorEastAsia"/>
                <w:sz w:val="24"/>
                <w:lang w:eastAsia="zh-CN"/>
              </w:rPr>
            </w:pPr>
            <w:r>
              <w:rPr>
                <w:rFonts w:hint="eastAsia" w:eastAsiaTheme="minorEastAsia" w:cs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8DA8304">
            <w:pPr>
              <w:pStyle w:val="248"/>
              <w:jc w:val="center"/>
              <w:rPr>
                <w:rFonts w:hint="eastAsia" w:eastAsiaTheme="minorEastAsia" w:cstheme="minorEastAsia"/>
                <w:sz w:val="24"/>
              </w:rPr>
            </w:pPr>
            <w:r>
              <w:rPr>
                <w:rFonts w:hint="eastAsia" w:eastAsiaTheme="minorEastAsia" w:cs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41E0EAD3">
            <w:pPr>
              <w:pStyle w:val="248"/>
              <w:jc w:val="center"/>
              <w:rPr>
                <w:rFonts w:hint="eastAsia" w:eastAsiaTheme="minorEastAsia" w:cstheme="minorEastAsia"/>
                <w:sz w:val="24"/>
              </w:rPr>
            </w:pPr>
            <w:r>
              <w:rPr>
                <w:rFonts w:hint="eastAsia" w:eastAsiaTheme="minorEastAsia" w:cstheme="minorEastAsia"/>
                <w:sz w:val="24"/>
              </w:rPr>
              <w:t>拟分包</w:t>
            </w:r>
          </w:p>
          <w:p w14:paraId="6C9D673B">
            <w:pPr>
              <w:pStyle w:val="248"/>
              <w:jc w:val="center"/>
              <w:rPr>
                <w:rFonts w:hint="eastAsia" w:eastAsiaTheme="minorEastAsia" w:cstheme="minorEastAsia"/>
                <w:sz w:val="24"/>
              </w:rPr>
            </w:pPr>
            <w:r>
              <w:rPr>
                <w:rFonts w:hint="eastAsia" w:eastAsiaTheme="minorEastAsia" w:cs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D8E46AE">
            <w:pPr>
              <w:pStyle w:val="248"/>
              <w:jc w:val="center"/>
              <w:rPr>
                <w:rFonts w:hint="eastAsia" w:eastAsiaTheme="minorEastAsia" w:cstheme="minorEastAsia"/>
                <w:sz w:val="24"/>
                <w:lang w:eastAsia="zh-CN"/>
              </w:rPr>
            </w:pPr>
            <w:r>
              <w:rPr>
                <w:rFonts w:hint="eastAsia" w:eastAsiaTheme="minorEastAsia" w:cstheme="minorEastAsia"/>
                <w:sz w:val="24"/>
                <w:lang w:eastAsia="zh-CN"/>
              </w:rPr>
              <w:t>拟分包</w:t>
            </w:r>
          </w:p>
          <w:p w14:paraId="063A71FB">
            <w:pPr>
              <w:pStyle w:val="248"/>
              <w:jc w:val="center"/>
              <w:rPr>
                <w:rFonts w:hint="eastAsia" w:eastAsiaTheme="minorEastAsia" w:cstheme="minorEastAsia"/>
                <w:sz w:val="24"/>
                <w:lang w:eastAsia="zh-CN"/>
              </w:rPr>
            </w:pPr>
            <w:r>
              <w:rPr>
                <w:rFonts w:hint="eastAsia" w:eastAsiaTheme="minorEastAsia" w:cstheme="minorEastAsia"/>
                <w:sz w:val="24"/>
                <w:lang w:eastAsia="zh-CN"/>
              </w:rPr>
              <w:t>合同金额</w:t>
            </w:r>
          </w:p>
          <w:p w14:paraId="0B336BE6">
            <w:pPr>
              <w:pStyle w:val="248"/>
              <w:jc w:val="center"/>
              <w:rPr>
                <w:rFonts w:hint="eastAsia" w:eastAsiaTheme="minorEastAsia" w:cstheme="minorEastAsia"/>
                <w:sz w:val="24"/>
                <w:lang w:eastAsia="zh-CN"/>
              </w:rPr>
            </w:pPr>
            <w:r>
              <w:rPr>
                <w:rFonts w:hint="eastAsia" w:eastAsiaTheme="minorEastAsia" w:cs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4EBF157E">
            <w:pPr>
              <w:pStyle w:val="248"/>
              <w:jc w:val="center"/>
              <w:rPr>
                <w:rFonts w:hint="eastAsia" w:eastAsiaTheme="minorEastAsia" w:cstheme="minorEastAsia"/>
                <w:sz w:val="24"/>
                <w:lang w:eastAsia="zh-CN"/>
              </w:rPr>
            </w:pPr>
            <w:r>
              <w:rPr>
                <w:rFonts w:hint="eastAsia" w:eastAsiaTheme="minorEastAsia" w:cstheme="minorEastAsia"/>
                <w:sz w:val="24"/>
                <w:lang w:eastAsia="zh-CN"/>
              </w:rPr>
              <w:t>占该采购包</w:t>
            </w:r>
          </w:p>
          <w:p w14:paraId="13A872CB">
            <w:pPr>
              <w:pStyle w:val="248"/>
              <w:jc w:val="center"/>
              <w:rPr>
                <w:rFonts w:hint="eastAsia" w:eastAsiaTheme="minorEastAsia" w:cstheme="minorEastAsia"/>
                <w:b/>
                <w:sz w:val="24"/>
                <w:lang w:eastAsia="zh-CN"/>
              </w:rPr>
            </w:pPr>
            <w:r>
              <w:rPr>
                <w:rFonts w:hint="eastAsia" w:eastAsiaTheme="minorEastAsia" w:cstheme="minorEastAsia"/>
                <w:b/>
                <w:sz w:val="24"/>
                <w:lang w:eastAsia="zh-CN"/>
              </w:rPr>
              <w:t>合同金额的</w:t>
            </w:r>
          </w:p>
          <w:p w14:paraId="40489E6D">
            <w:pPr>
              <w:pStyle w:val="248"/>
              <w:jc w:val="center"/>
              <w:rPr>
                <w:rFonts w:hint="eastAsia" w:eastAsiaTheme="minorEastAsia" w:cstheme="minorEastAsia"/>
                <w:sz w:val="24"/>
                <w:lang w:eastAsia="zh-CN"/>
              </w:rPr>
            </w:pPr>
            <w:r>
              <w:rPr>
                <w:rFonts w:hint="eastAsia" w:eastAsiaTheme="minorEastAsia" w:cstheme="minorEastAsia"/>
                <w:sz w:val="24"/>
                <w:lang w:eastAsia="zh-CN"/>
              </w:rPr>
              <w:t>比例（%）</w:t>
            </w:r>
          </w:p>
        </w:tc>
      </w:tr>
      <w:tr w14:paraId="6C23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2756EB0">
            <w:pPr>
              <w:pStyle w:val="248"/>
              <w:jc w:val="center"/>
              <w:rPr>
                <w:rFonts w:hint="eastAsia" w:eastAsiaTheme="minorEastAsia" w:cstheme="minorEastAsia"/>
                <w:sz w:val="24"/>
              </w:rPr>
            </w:pPr>
            <w:r>
              <w:rPr>
                <w:rFonts w:hint="eastAsia" w:eastAsiaTheme="minorEastAsia" w:cs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2E241B19">
            <w:pPr>
              <w:pStyle w:val="248"/>
              <w:tabs>
                <w:tab w:val="left" w:pos="235"/>
              </w:tabs>
              <w:ind w:left="1" w:leftChars="-43" w:hanging="91" w:hangingChars="38"/>
              <w:jc w:val="center"/>
              <w:rPr>
                <w:rFonts w:hint="eastAsia" w:eastAsiaTheme="minorEastAsia" w:cstheme="minorEastAsia"/>
                <w:sz w:val="24"/>
                <w:lang w:eastAsia="zh-CN"/>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A305AA9">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6C12D14B">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28F42A86">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3A102F52">
            <w:pPr>
              <w:pStyle w:val="248"/>
              <w:jc w:val="center"/>
              <w:rPr>
                <w:rFonts w:hint="eastAsia" w:eastAsiaTheme="minorEastAsia" w:cs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9F4320F">
            <w:pPr>
              <w:pStyle w:val="248"/>
              <w:jc w:val="center"/>
              <w:rPr>
                <w:rFonts w:hint="eastAsia" w:eastAsiaTheme="minorEastAsia" w:cs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831380C">
            <w:pPr>
              <w:pStyle w:val="248"/>
              <w:jc w:val="center"/>
              <w:rPr>
                <w:rFonts w:hint="eastAsia" w:eastAsiaTheme="minorEastAsia" w:cs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34012F5">
            <w:pPr>
              <w:pStyle w:val="248"/>
              <w:jc w:val="center"/>
              <w:rPr>
                <w:rFonts w:hint="eastAsia" w:eastAsiaTheme="minorEastAsia" w:cstheme="minorEastAsia"/>
                <w:sz w:val="30"/>
                <w:lang w:eastAsia="zh-CN"/>
              </w:rPr>
            </w:pPr>
          </w:p>
        </w:tc>
      </w:tr>
      <w:tr w14:paraId="5AD3C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AFC5DA2">
            <w:pPr>
              <w:pStyle w:val="248"/>
              <w:jc w:val="center"/>
              <w:rPr>
                <w:rFonts w:hint="eastAsia" w:eastAsiaTheme="minorEastAsia" w:cstheme="minorEastAsia"/>
                <w:sz w:val="24"/>
                <w:lang w:eastAsia="zh-CN"/>
              </w:rPr>
            </w:pPr>
            <w:r>
              <w:rPr>
                <w:rFonts w:hint="eastAsia" w:eastAsiaTheme="minorEastAsia" w:cs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EA0D2E9">
            <w:pPr>
              <w:pStyle w:val="248"/>
              <w:tabs>
                <w:tab w:val="left" w:pos="235"/>
              </w:tabs>
              <w:ind w:left="1" w:leftChars="-43" w:hanging="91" w:hangingChars="38"/>
              <w:jc w:val="center"/>
              <w:rPr>
                <w:rFonts w:hint="eastAsia" w:eastAsiaTheme="minorEastAsia" w:cstheme="minorEastAsia"/>
                <w:sz w:val="24"/>
                <w:lang w:eastAsia="zh-CN"/>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7AC82449">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6B24F73C">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042D963D">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63E942C1">
            <w:pPr>
              <w:pStyle w:val="248"/>
              <w:jc w:val="center"/>
              <w:rPr>
                <w:rFonts w:hint="eastAsia" w:eastAsiaTheme="minorEastAsia" w:cs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6B2C07B">
            <w:pPr>
              <w:pStyle w:val="248"/>
              <w:jc w:val="center"/>
              <w:rPr>
                <w:rFonts w:hint="eastAsia" w:eastAsiaTheme="minorEastAsia" w:cs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28EE469">
            <w:pPr>
              <w:pStyle w:val="248"/>
              <w:jc w:val="center"/>
              <w:rPr>
                <w:rFonts w:hint="eastAsia" w:eastAsiaTheme="minorEastAsia" w:cs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EDD4CB1">
            <w:pPr>
              <w:pStyle w:val="248"/>
              <w:jc w:val="center"/>
              <w:rPr>
                <w:rFonts w:hint="eastAsia" w:eastAsiaTheme="minorEastAsia" w:cstheme="minorEastAsia"/>
                <w:sz w:val="30"/>
                <w:lang w:eastAsia="zh-CN"/>
              </w:rPr>
            </w:pPr>
          </w:p>
        </w:tc>
      </w:tr>
      <w:tr w14:paraId="49476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A64147D">
            <w:pPr>
              <w:pStyle w:val="248"/>
              <w:jc w:val="center"/>
              <w:rPr>
                <w:rFonts w:hint="eastAsia" w:eastAsiaTheme="minorEastAsia" w:cstheme="minorEastAsia"/>
                <w:sz w:val="24"/>
                <w:lang w:eastAsia="zh-CN"/>
              </w:rPr>
            </w:pPr>
            <w:r>
              <w:rPr>
                <w:rFonts w:hint="eastAsia" w:eastAsiaTheme="minorEastAsia" w:cs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3C72AE3E">
            <w:pPr>
              <w:pStyle w:val="248"/>
              <w:jc w:val="center"/>
              <w:rPr>
                <w:rFonts w:hint="eastAsia" w:eastAsiaTheme="minorEastAsia" w:cs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6934828">
            <w:pPr>
              <w:pStyle w:val="248"/>
              <w:tabs>
                <w:tab w:val="left" w:pos="235"/>
              </w:tabs>
              <w:jc w:val="center"/>
              <w:rPr>
                <w:rFonts w:hint="eastAsia" w:eastAsiaTheme="minorEastAsia" w:cs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B43F2E3">
            <w:pPr>
              <w:pStyle w:val="248"/>
              <w:jc w:val="center"/>
              <w:rPr>
                <w:rFonts w:hint="eastAsia" w:eastAsiaTheme="minorEastAsia" w:cs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8C9A576">
            <w:pPr>
              <w:pStyle w:val="248"/>
              <w:jc w:val="center"/>
              <w:rPr>
                <w:rFonts w:hint="eastAsia" w:eastAsiaTheme="minorEastAsia" w:cs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ADD8626">
            <w:pPr>
              <w:pStyle w:val="248"/>
              <w:jc w:val="center"/>
              <w:rPr>
                <w:rFonts w:hint="eastAsia" w:eastAsiaTheme="minorEastAsia" w:cs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F7010F5">
            <w:pPr>
              <w:pStyle w:val="248"/>
              <w:jc w:val="center"/>
              <w:rPr>
                <w:rFonts w:hint="eastAsia" w:eastAsiaTheme="minorEastAsia" w:cstheme="minorEastAsia"/>
                <w:sz w:val="30"/>
              </w:rPr>
            </w:pPr>
          </w:p>
        </w:tc>
      </w:tr>
      <w:tr w14:paraId="04D49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534105CB">
            <w:pPr>
              <w:pStyle w:val="248"/>
              <w:ind w:right="57" w:rightChars="27"/>
              <w:jc w:val="right"/>
              <w:rPr>
                <w:rFonts w:hint="eastAsia" w:eastAsiaTheme="minorEastAsia" w:cstheme="minorEastAsia"/>
                <w:sz w:val="24"/>
                <w:lang w:eastAsia="zh-CN"/>
              </w:rPr>
            </w:pPr>
            <w:r>
              <w:rPr>
                <w:rFonts w:hint="eastAsia" w:eastAsiaTheme="minorEastAsia" w:cs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008825BA">
            <w:pPr>
              <w:pStyle w:val="248"/>
              <w:jc w:val="center"/>
              <w:rPr>
                <w:rFonts w:hint="eastAsia" w:eastAsiaTheme="minorEastAsia" w:cs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21BF00B">
            <w:pPr>
              <w:pStyle w:val="248"/>
              <w:jc w:val="center"/>
              <w:rPr>
                <w:rFonts w:hint="eastAsia" w:eastAsiaTheme="minorEastAsia" w:cstheme="minorEastAsia"/>
                <w:sz w:val="30"/>
              </w:rPr>
            </w:pPr>
          </w:p>
        </w:tc>
      </w:tr>
    </w:tbl>
    <w:p w14:paraId="6A5430FC">
      <w:pPr>
        <w:adjustRightInd w:val="0"/>
        <w:snapToGrid w:val="0"/>
        <w:spacing w:line="360" w:lineRule="auto"/>
        <w:jc w:val="left"/>
        <w:rPr>
          <w:rFonts w:hint="eastAsia" w:ascii="宋体" w:hAnsi="宋体" w:cstheme="minorEastAsia"/>
          <w:sz w:val="24"/>
        </w:rPr>
      </w:pPr>
    </w:p>
    <w:p w14:paraId="3AE82EDA">
      <w:pPr>
        <w:autoSpaceDE w:val="0"/>
        <w:autoSpaceDN w:val="0"/>
        <w:adjustRightInd w:val="0"/>
        <w:snapToGrid w:val="0"/>
        <w:spacing w:before="25" w:after="25" w:line="360" w:lineRule="auto"/>
        <w:jc w:val="right"/>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w:t>
      </w:r>
    </w:p>
    <w:p w14:paraId="785A32DD">
      <w:pPr>
        <w:spacing w:line="360" w:lineRule="auto"/>
        <w:ind w:right="-57" w:firstLine="480"/>
        <w:jc w:val="right"/>
        <w:rPr>
          <w:rFonts w:hint="eastAsia" w:ascii="宋体" w:hAnsi="宋体" w:cstheme="minorEastAsia"/>
          <w:sz w:val="24"/>
        </w:rPr>
      </w:pPr>
      <w:r>
        <w:rPr>
          <w:rFonts w:hint="eastAsia" w:ascii="宋体" w:hAnsi="宋体" w:cstheme="minorEastAsia"/>
          <w:sz w:val="24"/>
          <w:szCs w:val="20"/>
        </w:rPr>
        <w:t>日期：</w:t>
      </w:r>
      <w:r>
        <w:rPr>
          <w:rFonts w:hint="eastAsia" w:ascii="宋体" w:hAnsi="宋体" w:cstheme="minorEastAsia"/>
          <w:sz w:val="24"/>
        </w:rPr>
        <w:t>___</w:t>
      </w:r>
      <w:r>
        <w:rPr>
          <w:rFonts w:hint="eastAsia" w:ascii="宋体" w:hAnsi="宋体" w:cstheme="minorEastAsia"/>
          <w:sz w:val="24"/>
          <w:szCs w:val="20"/>
        </w:rPr>
        <w:t>年</w:t>
      </w:r>
      <w:r>
        <w:rPr>
          <w:rFonts w:hint="eastAsia" w:ascii="宋体" w:hAnsi="宋体" w:cstheme="minorEastAsia"/>
          <w:sz w:val="24"/>
        </w:rPr>
        <w:t>___</w:t>
      </w:r>
      <w:r>
        <w:rPr>
          <w:rFonts w:hint="eastAsia" w:ascii="宋体" w:hAnsi="宋体" w:cstheme="minorEastAsia"/>
          <w:sz w:val="24"/>
          <w:szCs w:val="20"/>
        </w:rPr>
        <w:t>月</w:t>
      </w:r>
      <w:r>
        <w:rPr>
          <w:rFonts w:hint="eastAsia" w:ascii="宋体" w:hAnsi="宋体" w:cstheme="minorEastAsia"/>
          <w:sz w:val="24"/>
        </w:rPr>
        <w:t>___</w:t>
      </w:r>
      <w:r>
        <w:rPr>
          <w:rFonts w:hint="eastAsia" w:ascii="宋体" w:hAnsi="宋体" w:cstheme="minorEastAsia"/>
          <w:sz w:val="24"/>
          <w:szCs w:val="20"/>
        </w:rPr>
        <w:t>日</w:t>
      </w:r>
    </w:p>
    <w:p w14:paraId="375E480A">
      <w:pPr>
        <w:adjustRightInd w:val="0"/>
        <w:snapToGrid w:val="0"/>
        <w:spacing w:line="360" w:lineRule="auto"/>
        <w:jc w:val="left"/>
        <w:rPr>
          <w:rFonts w:hint="eastAsia" w:ascii="宋体" w:hAnsi="宋体" w:cstheme="minorEastAsia"/>
          <w:sz w:val="24"/>
        </w:rPr>
      </w:pPr>
    </w:p>
    <w:p w14:paraId="36FE75EF">
      <w:pPr>
        <w:adjustRightInd w:val="0"/>
        <w:snapToGrid w:val="0"/>
        <w:spacing w:line="360" w:lineRule="auto"/>
        <w:jc w:val="left"/>
        <w:rPr>
          <w:rFonts w:hint="eastAsia" w:ascii="宋体" w:hAnsi="宋体" w:cstheme="minorEastAsia"/>
          <w:sz w:val="24"/>
        </w:rPr>
      </w:pPr>
      <w:r>
        <w:rPr>
          <w:rFonts w:hint="eastAsia" w:ascii="宋体" w:hAnsi="宋体" w:cstheme="minorEastAsia"/>
          <w:sz w:val="24"/>
        </w:rPr>
        <w:t>注：</w:t>
      </w:r>
    </w:p>
    <w:p w14:paraId="5AFF248B">
      <w:pPr>
        <w:adjustRightInd w:val="0"/>
        <w:snapToGrid w:val="0"/>
        <w:spacing w:line="360" w:lineRule="auto"/>
        <w:jc w:val="left"/>
        <w:rPr>
          <w:rFonts w:hint="eastAsia" w:ascii="宋体" w:hAnsi="宋体" w:cstheme="minorEastAsia"/>
          <w:sz w:val="24"/>
        </w:rPr>
      </w:pPr>
      <w:r>
        <w:rPr>
          <w:rFonts w:hint="eastAsia" w:ascii="宋体" w:hAnsi="宋体" w:cstheme="minorEastAsia"/>
          <w:sz w:val="24"/>
        </w:rPr>
        <w:t>（1）当供应商属于本部分说明中第（1）类情形，如未提供《拟分包情况说明》，或提供了《拟分包情况说明》但未填写分包承担主体名称、拟分包合同内容、拟分包合同金额，其</w:t>
      </w:r>
      <w:r>
        <w:rPr>
          <w:rFonts w:hint="eastAsia" w:ascii="宋体" w:hAnsi="宋体" w:cstheme="minorEastAsia"/>
          <w:b/>
          <w:sz w:val="24"/>
        </w:rPr>
        <w:t>响应无效</w:t>
      </w:r>
      <w:r>
        <w:rPr>
          <w:rFonts w:hint="eastAsia" w:ascii="宋体" w:hAnsi="宋体" w:cstheme="minorEastAsia"/>
          <w:sz w:val="24"/>
        </w:rPr>
        <w:t>；</w:t>
      </w:r>
    </w:p>
    <w:p w14:paraId="0929D6B8">
      <w:pPr>
        <w:adjustRightInd w:val="0"/>
        <w:snapToGrid w:val="0"/>
        <w:spacing w:line="360" w:lineRule="auto"/>
        <w:jc w:val="left"/>
        <w:rPr>
          <w:rFonts w:hint="eastAsia" w:ascii="宋体" w:hAnsi="宋体" w:cstheme="minorEastAsia"/>
          <w:sz w:val="24"/>
        </w:rPr>
      </w:pPr>
      <w:r>
        <w:rPr>
          <w:rFonts w:hint="eastAsia" w:ascii="宋体" w:hAnsi="宋体" w:cs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cstheme="minorEastAsia"/>
          <w:b/>
          <w:sz w:val="24"/>
        </w:rPr>
        <w:t>响应无效</w:t>
      </w:r>
      <w:r>
        <w:rPr>
          <w:rFonts w:hint="eastAsia" w:ascii="宋体" w:hAnsi="宋体" w:cstheme="minorEastAsia"/>
          <w:sz w:val="24"/>
        </w:rPr>
        <w:t>；</w:t>
      </w:r>
    </w:p>
    <w:p w14:paraId="251F0BBD">
      <w:pPr>
        <w:adjustRightInd w:val="0"/>
        <w:snapToGrid w:val="0"/>
        <w:spacing w:line="360" w:lineRule="auto"/>
        <w:jc w:val="left"/>
        <w:rPr>
          <w:rFonts w:hint="eastAsia" w:ascii="宋体" w:hAnsi="宋体" w:cstheme="minorEastAsia"/>
          <w:sz w:val="24"/>
        </w:rPr>
      </w:pPr>
      <w:r>
        <w:rPr>
          <w:rFonts w:hint="eastAsia" w:ascii="宋体" w:hAnsi="宋体" w:cstheme="minorEastAsia"/>
          <w:sz w:val="24"/>
        </w:rPr>
        <w:t>（3）如本采购文件《供应商须知资料表》载明本项目分包承担主体应具备的相应资质条件，则供应商须在本表中列明分包承担主体的资质等级，并后附资质证书电子件，否则</w:t>
      </w:r>
      <w:r>
        <w:rPr>
          <w:rFonts w:hint="eastAsia" w:ascii="宋体" w:hAnsi="宋体" w:cstheme="minorEastAsia"/>
          <w:b/>
          <w:sz w:val="24"/>
        </w:rPr>
        <w:t>响应无效</w:t>
      </w:r>
      <w:r>
        <w:rPr>
          <w:rFonts w:hint="eastAsia" w:ascii="宋体" w:hAnsi="宋体" w:cstheme="minorEastAsia"/>
          <w:sz w:val="24"/>
        </w:rPr>
        <w:t>。</w:t>
      </w:r>
    </w:p>
    <w:p w14:paraId="331222A9">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sz w:val="30"/>
          <w:szCs w:val="30"/>
        </w:rPr>
        <w:br w:type="page"/>
      </w:r>
      <w:r>
        <w:rPr>
          <w:rFonts w:hint="eastAsia" w:ascii="宋体" w:hAnsi="宋体" w:cstheme="minorEastAsia"/>
          <w:b/>
          <w:sz w:val="36"/>
          <w:szCs w:val="36"/>
        </w:rPr>
        <w:t>分包意向协议</w:t>
      </w:r>
    </w:p>
    <w:p w14:paraId="59C86E6E">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甲方（供应商）：______</w:t>
      </w:r>
    </w:p>
    <w:p w14:paraId="79416546">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乙方（拟分包单位）：______</w:t>
      </w:r>
    </w:p>
    <w:p w14:paraId="5CD71D2C">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甲方承诺，一旦在______（采购项目名称）（项目编号/包号为：______）采购项目中获得采购合同，将按照下述约定将合同项下部分内容分包给乙方：</w:t>
      </w:r>
    </w:p>
    <w:p w14:paraId="43870CCE">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1.分包内容：______。</w:t>
      </w:r>
    </w:p>
    <w:p w14:paraId="2F03234A">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2.分包金额：______，该金额占该采购包合同金额的比例为______%。</w:t>
      </w:r>
    </w:p>
    <w:p w14:paraId="266D894E">
      <w:pPr>
        <w:adjustRightInd w:val="0"/>
        <w:snapToGrid w:val="0"/>
        <w:spacing w:line="360" w:lineRule="auto"/>
        <w:ind w:firstLine="480" w:firstLineChars="200"/>
        <w:jc w:val="left"/>
        <w:rPr>
          <w:rFonts w:hint="eastAsia" w:ascii="宋体" w:hAnsi="宋体" w:cstheme="minorEastAsia"/>
          <w:bCs/>
          <w:sz w:val="24"/>
        </w:rPr>
      </w:pPr>
      <w:r>
        <w:rPr>
          <w:rFonts w:hint="eastAsia" w:ascii="宋体" w:hAnsi="宋体" w:cstheme="minorEastAsia"/>
          <w:sz w:val="24"/>
        </w:rPr>
        <w:t>乙方承诺将在上述情况下与甲方签订分包合同。</w:t>
      </w:r>
    </w:p>
    <w:p w14:paraId="53392A62">
      <w:pPr>
        <w:adjustRightInd w:val="0"/>
        <w:snapToGrid w:val="0"/>
        <w:spacing w:line="360" w:lineRule="auto"/>
        <w:ind w:firstLine="480" w:firstLineChars="200"/>
        <w:jc w:val="left"/>
        <w:rPr>
          <w:rFonts w:hint="eastAsia" w:ascii="宋体" w:hAnsi="宋体" w:cstheme="minorEastAsia"/>
          <w:sz w:val="24"/>
        </w:rPr>
      </w:pPr>
      <w:r>
        <w:rPr>
          <w:rFonts w:hint="eastAsia" w:ascii="宋体" w:hAnsi="宋体" w:cstheme="minorEastAsia"/>
          <w:sz w:val="24"/>
        </w:rPr>
        <w:t>本协议自各方盖章之日起生效，如甲方未在该项目（采购包）成交，本协议自动终止。</w:t>
      </w:r>
    </w:p>
    <w:p w14:paraId="531BE285">
      <w:pPr>
        <w:spacing w:line="360" w:lineRule="auto"/>
        <w:ind w:firstLine="471"/>
        <w:rPr>
          <w:rFonts w:hint="eastAsia" w:ascii="宋体" w:hAnsi="宋体" w:cstheme="minorEastAsia"/>
          <w:b/>
          <w:sz w:val="24"/>
        </w:rPr>
      </w:pPr>
    </w:p>
    <w:p w14:paraId="6FCDD7E3">
      <w:pPr>
        <w:spacing w:line="360" w:lineRule="auto"/>
        <w:ind w:firstLine="471"/>
        <w:rPr>
          <w:rFonts w:hint="eastAsia" w:ascii="宋体" w:hAnsi="宋体" w:cstheme="minorEastAsia"/>
          <w:b/>
          <w:sz w:val="24"/>
        </w:rPr>
      </w:pPr>
      <w:r>
        <w:rPr>
          <w:rFonts w:hint="eastAsia" w:ascii="宋体" w:hAnsi="宋体" w:cstheme="minorEastAsia"/>
          <w:sz w:val="24"/>
        </w:rPr>
        <w:t>甲方（盖章）：______                     乙方（盖章）：______</w:t>
      </w:r>
    </w:p>
    <w:p w14:paraId="46E01BEC">
      <w:pPr>
        <w:spacing w:line="360" w:lineRule="auto"/>
        <w:ind w:left="480"/>
        <w:jc w:val="right"/>
        <w:rPr>
          <w:rFonts w:hint="eastAsia" w:ascii="宋体" w:hAnsi="宋体" w:cstheme="minorEastAsia"/>
          <w:sz w:val="24"/>
        </w:rPr>
      </w:pPr>
    </w:p>
    <w:p w14:paraId="1E9BFB56">
      <w:pPr>
        <w:wordWrap w:val="0"/>
        <w:spacing w:line="360" w:lineRule="auto"/>
        <w:ind w:left="480"/>
        <w:jc w:val="right"/>
        <w:rPr>
          <w:rFonts w:hint="eastAsia" w:ascii="宋体" w:hAnsi="宋体" w:cstheme="minorEastAsia"/>
          <w:b/>
          <w:sz w:val="24"/>
        </w:rPr>
      </w:pPr>
      <w:r>
        <w:rPr>
          <w:rFonts w:hint="eastAsia" w:ascii="宋体" w:hAnsi="宋体" w:cstheme="minorEastAsia"/>
          <w:sz w:val="24"/>
          <w:szCs w:val="20"/>
        </w:rPr>
        <w:t>日期：</w:t>
      </w:r>
      <w:r>
        <w:rPr>
          <w:rFonts w:hint="eastAsia" w:ascii="宋体" w:hAnsi="宋体" w:cstheme="minorEastAsia"/>
          <w:sz w:val="24"/>
        </w:rPr>
        <w:t>______</w:t>
      </w:r>
      <w:r>
        <w:rPr>
          <w:rFonts w:hint="eastAsia" w:ascii="宋体" w:hAnsi="宋体" w:cstheme="minorEastAsia"/>
          <w:sz w:val="24"/>
          <w:szCs w:val="20"/>
        </w:rPr>
        <w:t>年</w:t>
      </w:r>
      <w:r>
        <w:rPr>
          <w:rFonts w:hint="eastAsia" w:ascii="宋体" w:hAnsi="宋体" w:cstheme="minorEastAsia"/>
          <w:sz w:val="24"/>
        </w:rPr>
        <w:t>______</w:t>
      </w:r>
      <w:r>
        <w:rPr>
          <w:rFonts w:hint="eastAsia" w:ascii="宋体" w:hAnsi="宋体" w:cstheme="minorEastAsia"/>
          <w:sz w:val="24"/>
          <w:szCs w:val="20"/>
        </w:rPr>
        <w:t>月</w:t>
      </w:r>
      <w:r>
        <w:rPr>
          <w:rFonts w:hint="eastAsia" w:ascii="宋体" w:hAnsi="宋体" w:cstheme="minorEastAsia"/>
          <w:sz w:val="24"/>
        </w:rPr>
        <w:t>______</w:t>
      </w:r>
      <w:r>
        <w:rPr>
          <w:rFonts w:hint="eastAsia" w:ascii="宋体" w:hAnsi="宋体" w:cstheme="minorEastAsia"/>
          <w:sz w:val="24"/>
          <w:szCs w:val="20"/>
        </w:rPr>
        <w:t xml:space="preserve">日   </w:t>
      </w:r>
    </w:p>
    <w:p w14:paraId="6105DA79">
      <w:pPr>
        <w:tabs>
          <w:tab w:val="left" w:pos="8280"/>
        </w:tabs>
        <w:spacing w:line="360" w:lineRule="auto"/>
        <w:ind w:firstLine="480"/>
        <w:rPr>
          <w:rFonts w:hint="eastAsia" w:ascii="宋体" w:hAnsi="宋体" w:cstheme="minorEastAsia"/>
          <w:sz w:val="24"/>
        </w:rPr>
      </w:pPr>
    </w:p>
    <w:p w14:paraId="389B31B1">
      <w:pPr>
        <w:tabs>
          <w:tab w:val="left" w:pos="8280"/>
        </w:tabs>
        <w:spacing w:line="360" w:lineRule="auto"/>
        <w:rPr>
          <w:rFonts w:hint="eastAsia" w:ascii="宋体" w:hAnsi="宋体" w:cstheme="minorEastAsia"/>
          <w:sz w:val="24"/>
        </w:rPr>
      </w:pPr>
      <w:r>
        <w:rPr>
          <w:rFonts w:hint="eastAsia" w:ascii="宋体" w:hAnsi="宋体" w:cstheme="minorEastAsia"/>
          <w:sz w:val="24"/>
        </w:rPr>
        <w:t>注：</w:t>
      </w:r>
    </w:p>
    <w:p w14:paraId="34CE360F">
      <w:pPr>
        <w:tabs>
          <w:tab w:val="left" w:pos="8280"/>
        </w:tabs>
        <w:spacing w:line="360" w:lineRule="auto"/>
        <w:rPr>
          <w:rFonts w:hint="eastAsia" w:ascii="宋体" w:hAnsi="宋体" w:cstheme="minorEastAsia"/>
          <w:sz w:val="24"/>
        </w:rPr>
      </w:pPr>
      <w:r>
        <w:rPr>
          <w:rFonts w:hint="eastAsia" w:ascii="宋体" w:hAnsi="宋体" w:cstheme="minorEastAsia"/>
          <w:sz w:val="24"/>
        </w:rPr>
        <w:t>（1）当供应商属于本部分说明中第（2）类情形，必须提供，否则</w:t>
      </w:r>
      <w:r>
        <w:rPr>
          <w:rFonts w:hint="eastAsia" w:ascii="宋体" w:hAnsi="宋体" w:cstheme="minorEastAsia"/>
          <w:b/>
          <w:sz w:val="24"/>
        </w:rPr>
        <w:t>响应无效；</w:t>
      </w:r>
      <w:r>
        <w:rPr>
          <w:rFonts w:hint="eastAsia" w:ascii="宋体" w:hAnsi="宋体" w:cstheme="minorEastAsia"/>
          <w:sz w:val="24"/>
        </w:rPr>
        <w:t xml:space="preserve">其他情形无须提供； </w:t>
      </w:r>
    </w:p>
    <w:p w14:paraId="65FCA05C">
      <w:pPr>
        <w:tabs>
          <w:tab w:val="left" w:pos="8280"/>
        </w:tabs>
        <w:spacing w:line="360" w:lineRule="auto"/>
        <w:rPr>
          <w:rFonts w:hint="eastAsia" w:ascii="宋体" w:hAnsi="宋体" w:cstheme="minorEastAsia"/>
          <w:sz w:val="24"/>
        </w:rPr>
      </w:pPr>
      <w:r>
        <w:rPr>
          <w:rFonts w:hint="eastAsia" w:ascii="宋体" w:hAnsi="宋体" w:cstheme="minorEastAsia"/>
          <w:sz w:val="24"/>
        </w:rPr>
        <w:t>（2）供应商须与所有拟分包单位分别签订《分包意向协议》，每单位签订一份，并在响应文件中提交全部协议原件的电子件，否则</w:t>
      </w:r>
      <w:r>
        <w:rPr>
          <w:rFonts w:hint="eastAsia" w:ascii="宋体" w:hAnsi="宋体" w:cstheme="minorEastAsia"/>
          <w:b/>
          <w:sz w:val="24"/>
        </w:rPr>
        <w:t>响应无效</w:t>
      </w:r>
      <w:r>
        <w:rPr>
          <w:rFonts w:hint="eastAsia" w:ascii="宋体" w:hAnsi="宋体" w:cstheme="minorEastAsia"/>
          <w:sz w:val="24"/>
        </w:rPr>
        <w:t>。</w:t>
      </w:r>
    </w:p>
    <w:p w14:paraId="27A0CB21">
      <w:pPr>
        <w:tabs>
          <w:tab w:val="left" w:pos="8280"/>
        </w:tabs>
        <w:spacing w:line="360" w:lineRule="auto"/>
        <w:rPr>
          <w:rFonts w:hint="eastAsia" w:ascii="宋体" w:hAnsi="宋体" w:cstheme="minorEastAsia"/>
          <w:sz w:val="24"/>
        </w:rPr>
        <w:sectPr>
          <w:headerReference r:id="rId20" w:type="first"/>
          <w:footerReference r:id="rId22" w:type="first"/>
          <w:headerReference r:id="rId19" w:type="even"/>
          <w:footerReference r:id="rId21" w:type="even"/>
          <w:pgSz w:w="11907" w:h="16840"/>
          <w:pgMar w:top="1440" w:right="1797" w:bottom="1440" w:left="1797" w:header="851" w:footer="851" w:gutter="0"/>
          <w:cols w:space="720" w:num="1"/>
          <w:docGrid w:linePitch="462" w:charSpace="0"/>
        </w:sectPr>
      </w:pPr>
    </w:p>
    <w:p w14:paraId="5E9D856E">
      <w:pPr>
        <w:spacing w:line="360" w:lineRule="auto"/>
        <w:outlineLvl w:val="2"/>
        <w:rPr>
          <w:rFonts w:hint="eastAsia" w:ascii="宋体" w:hAnsi="宋体" w:cstheme="minorEastAsia"/>
          <w:sz w:val="24"/>
          <w:szCs w:val="20"/>
        </w:rPr>
      </w:pPr>
      <w:r>
        <w:rPr>
          <w:rFonts w:hint="eastAsia" w:ascii="宋体" w:hAnsi="宋体" w:cstheme="minorEastAsia"/>
          <w:sz w:val="24"/>
          <w:szCs w:val="20"/>
        </w:rPr>
        <w:t xml:space="preserve">2-2 </w:t>
      </w:r>
      <w:r>
        <w:rPr>
          <w:rFonts w:hint="eastAsia" w:ascii="宋体" w:hAnsi="宋体" w:cstheme="minorEastAsia"/>
          <w:sz w:val="24"/>
        </w:rPr>
        <w:t>其它落实政府采购政策的资格要求</w:t>
      </w:r>
      <w:r>
        <w:rPr>
          <w:rFonts w:hint="eastAsia" w:ascii="宋体" w:hAnsi="宋体" w:cstheme="minorEastAsia"/>
          <w:sz w:val="24"/>
          <w:szCs w:val="20"/>
        </w:rPr>
        <w:t>（如有）</w:t>
      </w:r>
    </w:p>
    <w:p w14:paraId="5C14C1FF">
      <w:pPr>
        <w:widowControl/>
        <w:jc w:val="left"/>
        <w:rPr>
          <w:rFonts w:hint="eastAsia" w:ascii="宋体" w:hAnsi="宋体" w:cstheme="minorEastAsia"/>
          <w:sz w:val="24"/>
        </w:rPr>
      </w:pPr>
    </w:p>
    <w:p w14:paraId="23634934">
      <w:pPr>
        <w:widowControl/>
        <w:jc w:val="left"/>
        <w:rPr>
          <w:rFonts w:hint="eastAsia" w:ascii="宋体" w:hAnsi="宋体" w:cstheme="minorEastAsia"/>
          <w:sz w:val="24"/>
        </w:rPr>
      </w:pPr>
      <w:r>
        <w:rPr>
          <w:rFonts w:hint="eastAsia" w:ascii="宋体" w:hAnsi="宋体" w:cstheme="minorEastAsia"/>
          <w:sz w:val="24"/>
        </w:rPr>
        <w:br w:type="page"/>
      </w:r>
    </w:p>
    <w:p w14:paraId="32FC0325">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3 本项目的特定资格要求（如有）</w:t>
      </w:r>
    </w:p>
    <w:p w14:paraId="09115F36">
      <w:pPr>
        <w:spacing w:line="360" w:lineRule="auto"/>
        <w:outlineLvl w:val="2"/>
        <w:rPr>
          <w:rFonts w:hint="eastAsia" w:ascii="宋体" w:hAnsi="宋体" w:cstheme="minorEastAsia"/>
          <w:sz w:val="24"/>
          <w:szCs w:val="20"/>
        </w:rPr>
      </w:pPr>
      <w:r>
        <w:rPr>
          <w:rFonts w:hint="eastAsia" w:ascii="宋体" w:hAnsi="宋体" w:cstheme="minorEastAsia"/>
          <w:sz w:val="24"/>
          <w:szCs w:val="20"/>
        </w:rPr>
        <w:t>3-1 联合协议（如有）</w:t>
      </w:r>
    </w:p>
    <w:p w14:paraId="7A7E5A01">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b/>
          <w:sz w:val="36"/>
          <w:szCs w:val="36"/>
        </w:rPr>
        <w:t>联合协议</w:t>
      </w:r>
    </w:p>
    <w:p w14:paraId="5C4FCBD4">
      <w:pPr>
        <w:spacing w:line="360" w:lineRule="auto"/>
        <w:ind w:firstLine="828" w:firstLineChars="345"/>
        <w:rPr>
          <w:rFonts w:hint="eastAsia" w:ascii="宋体" w:hAnsi="宋体" w:cstheme="minorEastAsia"/>
          <w:bCs/>
        </w:rPr>
      </w:pPr>
      <w:r>
        <w:rPr>
          <w:rFonts w:hint="eastAsia" w:ascii="宋体" w:hAnsi="宋体" w:cstheme="minorEastAsia"/>
          <w:sz w:val="24"/>
        </w:rPr>
        <w:t>______</w:t>
      </w:r>
      <w:r>
        <w:rPr>
          <w:rFonts w:hint="eastAsia" w:ascii="宋体" w:hAnsi="宋体" w:cstheme="minorEastAsia"/>
          <w:bCs/>
          <w:sz w:val="24"/>
        </w:rPr>
        <w:t xml:space="preserve"> 、</w:t>
      </w:r>
      <w:r>
        <w:rPr>
          <w:rFonts w:hint="eastAsia" w:ascii="宋体" w:hAnsi="宋体" w:cstheme="minorEastAsia"/>
          <w:sz w:val="24"/>
        </w:rPr>
        <w:t>______</w:t>
      </w:r>
      <w:r>
        <w:rPr>
          <w:rFonts w:hint="eastAsia" w:ascii="宋体" w:hAnsi="宋体" w:cstheme="minorEastAsia"/>
          <w:bCs/>
          <w:sz w:val="24"/>
        </w:rPr>
        <w:t>及</w:t>
      </w:r>
      <w:r>
        <w:rPr>
          <w:rFonts w:hint="eastAsia" w:ascii="宋体" w:hAnsi="宋体" w:cstheme="minorEastAsia"/>
          <w:sz w:val="24"/>
        </w:rPr>
        <w:t>______</w:t>
      </w:r>
      <w:r>
        <w:rPr>
          <w:rFonts w:hint="eastAsia" w:ascii="宋体" w:hAnsi="宋体" w:cstheme="minorEastAsia"/>
          <w:bCs/>
          <w:sz w:val="24"/>
        </w:rPr>
        <w:t>就“</w:t>
      </w:r>
      <w:r>
        <w:rPr>
          <w:rFonts w:hint="eastAsia" w:ascii="宋体" w:hAnsi="宋体" w:cstheme="minorEastAsia"/>
          <w:sz w:val="24"/>
        </w:rPr>
        <w:t>______</w:t>
      </w:r>
      <w:r>
        <w:rPr>
          <w:rFonts w:hint="eastAsia" w:ascii="宋体" w:hAnsi="宋体" w:cstheme="minorEastAsia"/>
          <w:bCs/>
          <w:sz w:val="24"/>
        </w:rPr>
        <w:t>（项目名称）</w:t>
      </w:r>
      <w:r>
        <w:rPr>
          <w:rFonts w:hint="eastAsia" w:ascii="宋体" w:hAnsi="宋体" w:cstheme="minorEastAsia"/>
          <w:sz w:val="24"/>
        </w:rPr>
        <w:t>” ______包</w:t>
      </w:r>
      <w:r>
        <w:rPr>
          <w:rFonts w:hint="eastAsia" w:ascii="宋体" w:hAnsi="宋体" w:cstheme="minorEastAsia"/>
          <w:bCs/>
          <w:sz w:val="24"/>
        </w:rPr>
        <w:t>采购项目的磋商事宜，经各方充分协商一致，达成如下协议：</w:t>
      </w:r>
    </w:p>
    <w:p w14:paraId="7C4B5A68">
      <w:pPr>
        <w:numPr>
          <w:ilvl w:val="0"/>
          <w:numId w:val="13"/>
        </w:numPr>
        <w:spacing w:line="360" w:lineRule="auto"/>
        <w:rPr>
          <w:rFonts w:hint="eastAsia" w:ascii="宋体" w:hAnsi="宋体" w:cstheme="minorEastAsia"/>
          <w:bCs/>
          <w:sz w:val="24"/>
        </w:rPr>
      </w:pPr>
      <w:r>
        <w:rPr>
          <w:rFonts w:hint="eastAsia" w:ascii="宋体" w:hAnsi="宋体" w:cstheme="minorEastAsia"/>
          <w:bCs/>
          <w:sz w:val="24"/>
        </w:rPr>
        <w:t>由</w:t>
      </w:r>
      <w:r>
        <w:rPr>
          <w:rFonts w:hint="eastAsia" w:ascii="宋体" w:hAnsi="宋体" w:cstheme="minorEastAsia"/>
          <w:sz w:val="24"/>
        </w:rPr>
        <w:t>____</w:t>
      </w:r>
      <w:r>
        <w:rPr>
          <w:rFonts w:hint="eastAsia" w:ascii="宋体" w:hAnsi="宋体" w:cstheme="minorEastAsia"/>
          <w:bCs/>
          <w:sz w:val="24"/>
        </w:rPr>
        <w:t>__</w:t>
      </w:r>
      <w:r>
        <w:rPr>
          <w:rFonts w:hint="eastAsia" w:ascii="宋体" w:hAnsi="宋体" w:cstheme="minorEastAsia"/>
          <w:sz w:val="24"/>
        </w:rPr>
        <w:t>__</w:t>
      </w:r>
      <w:r>
        <w:rPr>
          <w:rFonts w:hint="eastAsia" w:ascii="宋体" w:hAnsi="宋体" w:cstheme="minorEastAsia"/>
          <w:bCs/>
          <w:sz w:val="24"/>
        </w:rPr>
        <w:t>牵头，</w:t>
      </w:r>
      <w:r>
        <w:rPr>
          <w:rFonts w:hint="eastAsia" w:ascii="宋体" w:hAnsi="宋体" w:cstheme="minorEastAsia"/>
          <w:sz w:val="24"/>
        </w:rPr>
        <w:t>___</w:t>
      </w:r>
      <w:r>
        <w:rPr>
          <w:rFonts w:hint="eastAsia" w:ascii="宋体" w:hAnsi="宋体" w:cstheme="minorEastAsia"/>
          <w:bCs/>
          <w:sz w:val="24"/>
        </w:rPr>
        <w:t>__</w:t>
      </w:r>
      <w:r>
        <w:rPr>
          <w:rFonts w:hint="eastAsia" w:ascii="宋体" w:hAnsi="宋体" w:cstheme="minorEastAsia"/>
          <w:sz w:val="24"/>
        </w:rPr>
        <w:t>___</w:t>
      </w:r>
      <w:r>
        <w:rPr>
          <w:rFonts w:hint="eastAsia" w:ascii="宋体" w:hAnsi="宋体" w:cstheme="minorEastAsia"/>
          <w:bCs/>
          <w:sz w:val="24"/>
        </w:rPr>
        <w:t>、</w:t>
      </w:r>
      <w:r>
        <w:rPr>
          <w:rFonts w:hint="eastAsia" w:ascii="宋体" w:hAnsi="宋体" w:cstheme="minorEastAsia"/>
          <w:sz w:val="24"/>
        </w:rPr>
        <w:t>___</w:t>
      </w:r>
      <w:r>
        <w:rPr>
          <w:rFonts w:hint="eastAsia" w:ascii="宋体" w:hAnsi="宋体" w:cstheme="minorEastAsia"/>
          <w:bCs/>
          <w:sz w:val="24"/>
        </w:rPr>
        <w:t>__</w:t>
      </w:r>
      <w:r>
        <w:rPr>
          <w:rFonts w:hint="eastAsia" w:ascii="宋体" w:hAnsi="宋体" w:cstheme="minorEastAsia"/>
          <w:sz w:val="24"/>
        </w:rPr>
        <w:t>___</w:t>
      </w:r>
      <w:r>
        <w:rPr>
          <w:rFonts w:hint="eastAsia" w:ascii="宋体" w:hAnsi="宋体" w:cstheme="minorEastAsia"/>
          <w:bCs/>
          <w:sz w:val="24"/>
        </w:rPr>
        <w:t>参加，组成联合体共同进行采购项目的磋商工作。</w:t>
      </w:r>
    </w:p>
    <w:p w14:paraId="71D8322D">
      <w:pPr>
        <w:numPr>
          <w:ilvl w:val="0"/>
          <w:numId w:val="13"/>
        </w:numPr>
        <w:spacing w:line="360" w:lineRule="auto"/>
        <w:rPr>
          <w:rFonts w:hint="eastAsia" w:ascii="宋体" w:hAnsi="宋体" w:cstheme="minorEastAsia"/>
          <w:bCs/>
          <w:sz w:val="24"/>
        </w:rPr>
      </w:pPr>
      <w:r>
        <w:rPr>
          <w:rFonts w:hint="eastAsia" w:ascii="宋体" w:hAnsi="宋体" w:cstheme="minorEastAsia"/>
          <w:bCs/>
          <w:sz w:val="24"/>
        </w:rPr>
        <w:t>联合体成交后，联合体各方共同与采购人签订合同，就</w:t>
      </w:r>
      <w:r>
        <w:rPr>
          <w:rFonts w:hint="eastAsia" w:ascii="宋体" w:hAnsi="宋体" w:cstheme="minorEastAsia"/>
          <w:sz w:val="24"/>
          <w:szCs w:val="20"/>
        </w:rPr>
        <w:t>采购合同约定的事项</w:t>
      </w:r>
      <w:r>
        <w:rPr>
          <w:rFonts w:hint="eastAsia" w:ascii="宋体" w:hAnsi="宋体" w:cstheme="minorEastAsia"/>
          <w:bCs/>
          <w:sz w:val="24"/>
        </w:rPr>
        <w:t>对采购人承担连带责任。</w:t>
      </w:r>
    </w:p>
    <w:p w14:paraId="0E09E5DB">
      <w:pPr>
        <w:numPr>
          <w:ilvl w:val="0"/>
          <w:numId w:val="13"/>
        </w:numPr>
        <w:spacing w:line="360" w:lineRule="auto"/>
        <w:rPr>
          <w:rFonts w:hint="eastAsia" w:ascii="宋体" w:hAnsi="宋体" w:cstheme="minorEastAsia"/>
          <w:bCs/>
          <w:sz w:val="24"/>
        </w:rPr>
      </w:pPr>
      <w:r>
        <w:rPr>
          <w:rFonts w:hint="eastAsia" w:ascii="宋体" w:hAnsi="宋体" w:cstheme="minorEastAsia"/>
          <w:bCs/>
          <w:sz w:val="24"/>
        </w:rPr>
        <w:t>联合体各方均同意由牵头人代表其他联合体成员单位按竞争性磋商文件要求出具《授权委托书》。</w:t>
      </w:r>
    </w:p>
    <w:p w14:paraId="2CC3BFA0">
      <w:pPr>
        <w:numPr>
          <w:ilvl w:val="0"/>
          <w:numId w:val="13"/>
        </w:numPr>
        <w:spacing w:line="360" w:lineRule="auto"/>
        <w:rPr>
          <w:rFonts w:hint="eastAsia" w:ascii="宋体" w:hAnsi="宋体" w:cstheme="minorEastAsia"/>
          <w:bCs/>
          <w:sz w:val="24"/>
        </w:rPr>
      </w:pPr>
      <w:r>
        <w:rPr>
          <w:rFonts w:hint="eastAsia" w:ascii="宋体" w:hAnsi="宋体" w:cstheme="minorEastAsia"/>
          <w:bCs/>
          <w:sz w:val="24"/>
        </w:rPr>
        <w:t>牵头人为项目的总负责单位；组织各参加方进行项目实施工作。</w:t>
      </w:r>
    </w:p>
    <w:p w14:paraId="6C9B3863">
      <w:pPr>
        <w:numPr>
          <w:ilvl w:val="0"/>
          <w:numId w:val="13"/>
        </w:numPr>
        <w:spacing w:line="360" w:lineRule="auto"/>
        <w:rPr>
          <w:rFonts w:hint="eastAsia" w:ascii="宋体" w:hAnsi="宋体" w:cstheme="minorEastAsia"/>
          <w:bCs/>
          <w:sz w:val="24"/>
        </w:rPr>
      </w:pPr>
      <w:r>
        <w:rPr>
          <w:rFonts w:hint="eastAsia" w:ascii="宋体" w:hAnsi="宋体" w:cstheme="minorEastAsia"/>
          <w:sz w:val="24"/>
        </w:rPr>
        <w:t>______</w:t>
      </w:r>
      <w:r>
        <w:rPr>
          <w:rFonts w:hint="eastAsia" w:ascii="宋体" w:hAnsi="宋体" w:cstheme="minorEastAsia"/>
          <w:bCs/>
          <w:sz w:val="24"/>
        </w:rPr>
        <w:t>负责</w:t>
      </w:r>
      <w:r>
        <w:rPr>
          <w:rFonts w:hint="eastAsia" w:ascii="宋体" w:hAnsi="宋体" w:cstheme="minorEastAsia"/>
          <w:sz w:val="24"/>
        </w:rPr>
        <w:t>______</w:t>
      </w:r>
      <w:r>
        <w:rPr>
          <w:rFonts w:hint="eastAsia" w:ascii="宋体" w:hAnsi="宋体" w:cstheme="minorEastAsia"/>
          <w:bCs/>
          <w:sz w:val="24"/>
        </w:rPr>
        <w:t>，具体工作范围、内容以响应文件及合同为准。</w:t>
      </w:r>
    </w:p>
    <w:p w14:paraId="19CF10F3">
      <w:pPr>
        <w:numPr>
          <w:ilvl w:val="0"/>
          <w:numId w:val="13"/>
        </w:numPr>
        <w:spacing w:line="360" w:lineRule="auto"/>
        <w:rPr>
          <w:rFonts w:hint="eastAsia" w:ascii="宋体" w:hAnsi="宋体" w:cstheme="minorEastAsia"/>
          <w:bCs/>
          <w:sz w:val="24"/>
        </w:rPr>
      </w:pPr>
      <w:r>
        <w:rPr>
          <w:rFonts w:hint="eastAsia" w:ascii="宋体" w:hAnsi="宋体" w:cstheme="minorEastAsia"/>
          <w:sz w:val="24"/>
        </w:rPr>
        <w:t>______</w:t>
      </w:r>
      <w:r>
        <w:rPr>
          <w:rFonts w:hint="eastAsia" w:ascii="宋体" w:hAnsi="宋体" w:cstheme="minorEastAsia"/>
          <w:bCs/>
          <w:sz w:val="24"/>
        </w:rPr>
        <w:t>负责</w:t>
      </w:r>
      <w:r>
        <w:rPr>
          <w:rFonts w:hint="eastAsia" w:ascii="宋体" w:hAnsi="宋体" w:cstheme="minorEastAsia"/>
          <w:sz w:val="24"/>
        </w:rPr>
        <w:t>______</w:t>
      </w:r>
      <w:r>
        <w:rPr>
          <w:rFonts w:hint="eastAsia" w:ascii="宋体" w:hAnsi="宋体" w:cstheme="minorEastAsia"/>
          <w:bCs/>
          <w:sz w:val="24"/>
        </w:rPr>
        <w:t>，具体工作范围、内容以响应文件及合同为准。</w:t>
      </w:r>
    </w:p>
    <w:p w14:paraId="37C9EBCE">
      <w:pPr>
        <w:numPr>
          <w:ilvl w:val="0"/>
          <w:numId w:val="13"/>
        </w:numPr>
        <w:spacing w:line="360" w:lineRule="auto"/>
        <w:rPr>
          <w:rFonts w:hint="eastAsia" w:ascii="宋体" w:hAnsi="宋体" w:cstheme="minorEastAsia"/>
          <w:bCs/>
          <w:sz w:val="24"/>
        </w:rPr>
      </w:pPr>
      <w:r>
        <w:rPr>
          <w:rFonts w:hint="eastAsia" w:ascii="宋体" w:hAnsi="宋体" w:cstheme="minorEastAsia"/>
          <w:sz w:val="24"/>
        </w:rPr>
        <w:t>______</w:t>
      </w:r>
      <w:r>
        <w:rPr>
          <w:rFonts w:hint="eastAsia" w:ascii="宋体" w:hAnsi="宋体" w:cstheme="minorEastAsia"/>
          <w:bCs/>
          <w:sz w:val="24"/>
        </w:rPr>
        <w:t>负责</w:t>
      </w:r>
      <w:r>
        <w:rPr>
          <w:rFonts w:hint="eastAsia" w:ascii="宋体" w:hAnsi="宋体" w:cstheme="minorEastAsia"/>
          <w:sz w:val="24"/>
        </w:rPr>
        <w:t>______</w:t>
      </w:r>
      <w:r>
        <w:rPr>
          <w:rFonts w:hint="eastAsia" w:ascii="宋体" w:hAnsi="宋体" w:cstheme="minorEastAsia"/>
          <w:bCs/>
          <w:sz w:val="24"/>
        </w:rPr>
        <w:t>（如有），具体工作范围、内容以响应文件及合同为准。</w:t>
      </w:r>
    </w:p>
    <w:p w14:paraId="58681A25">
      <w:pPr>
        <w:numPr>
          <w:ilvl w:val="0"/>
          <w:numId w:val="13"/>
        </w:numPr>
        <w:spacing w:line="360" w:lineRule="auto"/>
        <w:rPr>
          <w:rFonts w:hint="eastAsia" w:ascii="宋体" w:hAnsi="宋体" w:cstheme="minorEastAsia"/>
          <w:sz w:val="24"/>
        </w:rPr>
      </w:pPr>
      <w:r>
        <w:rPr>
          <w:rFonts w:hint="eastAsia" w:ascii="宋体" w:hAnsi="宋体" w:cstheme="minorEastAsia"/>
          <w:sz w:val="24"/>
        </w:rPr>
        <w:t>本项目联合协议合同总额为______元，联合体各成员按照如下比例分摊（按联合体成员分别列明）：</w:t>
      </w:r>
    </w:p>
    <w:p w14:paraId="2CBFF541">
      <w:pPr>
        <w:tabs>
          <w:tab w:val="left" w:pos="720"/>
          <w:tab w:val="left" w:pos="900"/>
        </w:tabs>
        <w:spacing w:line="360" w:lineRule="auto"/>
        <w:ind w:left="851"/>
        <w:rPr>
          <w:rFonts w:hint="eastAsia" w:ascii="宋体" w:hAnsi="宋体" w:cstheme="minorEastAsia"/>
          <w:sz w:val="24"/>
          <w:szCs w:val="20"/>
        </w:rPr>
      </w:pPr>
      <w:r>
        <w:rPr>
          <w:rFonts w:hint="eastAsia" w:ascii="宋体" w:hAnsi="宋体" w:cstheme="minorEastAsia"/>
          <w:sz w:val="24"/>
          <w:szCs w:val="20"/>
        </w:rPr>
        <w:t>（1）</w:t>
      </w:r>
      <w:r>
        <w:rPr>
          <w:rFonts w:hint="eastAsia" w:ascii="宋体" w:hAnsi="宋体" w:cstheme="minorEastAsia"/>
          <w:sz w:val="24"/>
        </w:rPr>
        <w:t>______</w:t>
      </w:r>
      <w:r>
        <w:rPr>
          <w:rFonts w:hint="eastAsia" w:ascii="宋体" w:hAnsi="宋体" w:cstheme="minorEastAsia"/>
          <w:sz w:val="24"/>
          <w:szCs w:val="20"/>
        </w:rPr>
        <w:t>为□大型企业□中型企业、□小微企业（包含监狱企业、残疾人福利性单位）、□其他，合同金额为</w:t>
      </w:r>
      <w:r>
        <w:rPr>
          <w:rFonts w:hint="eastAsia" w:ascii="宋体" w:hAnsi="宋体" w:cstheme="minorEastAsia"/>
          <w:sz w:val="24"/>
        </w:rPr>
        <w:t>______</w:t>
      </w:r>
      <w:r>
        <w:rPr>
          <w:rFonts w:hint="eastAsia" w:ascii="宋体" w:hAnsi="宋体" w:cstheme="minorEastAsia"/>
          <w:sz w:val="24"/>
          <w:szCs w:val="20"/>
        </w:rPr>
        <w:t>元；</w:t>
      </w:r>
    </w:p>
    <w:p w14:paraId="5B308319">
      <w:pPr>
        <w:tabs>
          <w:tab w:val="left" w:pos="720"/>
          <w:tab w:val="left" w:pos="900"/>
        </w:tabs>
        <w:spacing w:line="360" w:lineRule="auto"/>
        <w:ind w:left="851"/>
        <w:rPr>
          <w:rFonts w:hint="eastAsia" w:ascii="宋体" w:hAnsi="宋体" w:cstheme="minorEastAsia"/>
          <w:sz w:val="24"/>
          <w:szCs w:val="20"/>
        </w:rPr>
      </w:pPr>
      <w:r>
        <w:rPr>
          <w:rFonts w:hint="eastAsia" w:ascii="宋体" w:hAnsi="宋体" w:cstheme="minorEastAsia"/>
          <w:sz w:val="24"/>
          <w:szCs w:val="20"/>
        </w:rPr>
        <w:t>（2）</w:t>
      </w:r>
      <w:r>
        <w:rPr>
          <w:rFonts w:hint="eastAsia" w:ascii="宋体" w:hAnsi="宋体" w:cstheme="minorEastAsia"/>
          <w:sz w:val="24"/>
        </w:rPr>
        <w:t>______</w:t>
      </w:r>
      <w:r>
        <w:rPr>
          <w:rFonts w:hint="eastAsia" w:ascii="宋体" w:hAnsi="宋体" w:cstheme="minorEastAsia"/>
          <w:sz w:val="24"/>
          <w:szCs w:val="20"/>
        </w:rPr>
        <w:t>为□大型企业□中型企业、□小微企业（包含监狱企业、残疾人福利性单位）、□其他，合同金额为</w:t>
      </w:r>
      <w:r>
        <w:rPr>
          <w:rFonts w:hint="eastAsia" w:ascii="宋体" w:hAnsi="宋体" w:cstheme="minorEastAsia"/>
          <w:sz w:val="24"/>
        </w:rPr>
        <w:t>______</w:t>
      </w:r>
      <w:r>
        <w:rPr>
          <w:rFonts w:hint="eastAsia" w:ascii="宋体" w:hAnsi="宋体" w:cstheme="minorEastAsia"/>
          <w:sz w:val="24"/>
          <w:szCs w:val="20"/>
        </w:rPr>
        <w:t>元；</w:t>
      </w:r>
    </w:p>
    <w:p w14:paraId="6F2230AB">
      <w:pPr>
        <w:tabs>
          <w:tab w:val="left" w:pos="720"/>
          <w:tab w:val="left" w:pos="900"/>
        </w:tabs>
        <w:spacing w:line="360" w:lineRule="auto"/>
        <w:ind w:left="851"/>
        <w:rPr>
          <w:rFonts w:hint="eastAsia" w:ascii="宋体" w:hAnsi="宋体" w:cstheme="minorEastAsia"/>
          <w:sz w:val="24"/>
          <w:szCs w:val="20"/>
        </w:rPr>
      </w:pPr>
      <w:r>
        <w:rPr>
          <w:rFonts w:hint="eastAsia" w:ascii="宋体" w:hAnsi="宋体" w:cstheme="minorEastAsia"/>
          <w:sz w:val="24"/>
          <w:szCs w:val="20"/>
        </w:rPr>
        <w:t>（…）</w:t>
      </w:r>
      <w:r>
        <w:rPr>
          <w:rFonts w:hint="eastAsia" w:ascii="宋体" w:hAnsi="宋体" w:cstheme="minorEastAsia"/>
          <w:sz w:val="24"/>
        </w:rPr>
        <w:t>______</w:t>
      </w:r>
      <w:r>
        <w:rPr>
          <w:rFonts w:hint="eastAsia" w:ascii="宋体" w:hAnsi="宋体" w:cstheme="minorEastAsia"/>
          <w:sz w:val="24"/>
          <w:szCs w:val="20"/>
        </w:rPr>
        <w:t>为□大型企业□中型企业、□小微企业（包含监狱企业、残疾人福利性单位）、□其他，合同金额为</w:t>
      </w:r>
      <w:r>
        <w:rPr>
          <w:rFonts w:hint="eastAsia" w:ascii="宋体" w:hAnsi="宋体" w:cstheme="minorEastAsia"/>
          <w:sz w:val="24"/>
        </w:rPr>
        <w:t>______</w:t>
      </w:r>
      <w:r>
        <w:rPr>
          <w:rFonts w:hint="eastAsia" w:ascii="宋体" w:hAnsi="宋体" w:cstheme="minorEastAsia"/>
          <w:sz w:val="24"/>
          <w:szCs w:val="20"/>
        </w:rPr>
        <w:t>元。</w:t>
      </w:r>
    </w:p>
    <w:p w14:paraId="0DB2011E">
      <w:pPr>
        <w:numPr>
          <w:ilvl w:val="0"/>
          <w:numId w:val="13"/>
        </w:numPr>
        <w:tabs>
          <w:tab w:val="left" w:pos="993"/>
        </w:tabs>
        <w:spacing w:line="360" w:lineRule="auto"/>
        <w:rPr>
          <w:rFonts w:hint="eastAsia" w:ascii="宋体" w:hAnsi="宋体" w:cstheme="minorEastAsia"/>
          <w:bCs/>
          <w:sz w:val="24"/>
        </w:rPr>
      </w:pPr>
      <w:r>
        <w:rPr>
          <w:rFonts w:hint="eastAsia" w:ascii="宋体" w:hAnsi="宋体" w:cstheme="minorEastAsia"/>
          <w:sz w:val="24"/>
          <w:szCs w:val="20"/>
        </w:rPr>
        <w:t>以联合体形式参加政府采购活动的，联合体各方不得再单独参加或者与其他供应商另外组成联合体参加同一合同项下的政府采购活动。</w:t>
      </w:r>
    </w:p>
    <w:p w14:paraId="00E18C15">
      <w:pPr>
        <w:numPr>
          <w:ilvl w:val="0"/>
          <w:numId w:val="13"/>
        </w:numPr>
        <w:spacing w:line="360" w:lineRule="auto"/>
        <w:rPr>
          <w:rFonts w:hint="eastAsia" w:ascii="宋体" w:hAnsi="宋体" w:cstheme="minorEastAsia"/>
          <w:bCs/>
          <w:sz w:val="24"/>
        </w:rPr>
      </w:pPr>
      <w:r>
        <w:rPr>
          <w:rFonts w:hint="eastAsia" w:ascii="宋体" w:hAnsi="宋体" w:cstheme="minorEastAsia"/>
          <w:bCs/>
          <w:sz w:val="24"/>
        </w:rPr>
        <w:t>其他约定（如有）：</w:t>
      </w:r>
      <w:r>
        <w:rPr>
          <w:rFonts w:hint="eastAsia" w:ascii="宋体" w:hAnsi="宋体" w:cstheme="minorEastAsia"/>
          <w:sz w:val="24"/>
        </w:rPr>
        <w:t>______。</w:t>
      </w:r>
    </w:p>
    <w:p w14:paraId="67C7AD3C">
      <w:pPr>
        <w:tabs>
          <w:tab w:val="left" w:pos="780"/>
        </w:tabs>
        <w:spacing w:line="360" w:lineRule="auto"/>
        <w:ind w:left="180" w:firstLine="480" w:firstLineChars="200"/>
        <w:rPr>
          <w:rFonts w:hint="eastAsia" w:ascii="宋体" w:hAnsi="宋体" w:cstheme="minorEastAsia"/>
          <w:sz w:val="24"/>
        </w:rPr>
      </w:pPr>
      <w:r>
        <w:rPr>
          <w:rFonts w:hint="eastAsia" w:ascii="宋体" w:hAnsi="宋体" w:cstheme="minorEastAsia"/>
          <w:bCs/>
          <w:sz w:val="24"/>
        </w:rPr>
        <w:t>本协议自各方盖章后生效，采购合同履行完毕后自动失效。如未成交，本协议自动终止。</w:t>
      </w:r>
      <w:r>
        <w:rPr>
          <w:rFonts w:hint="eastAsia" w:ascii="宋体" w:hAnsi="宋体" w:cstheme="minorEastAsia"/>
          <w:sz w:val="24"/>
        </w:rPr>
        <w:br w:type="page"/>
      </w:r>
    </w:p>
    <w:p w14:paraId="724DCC0F">
      <w:pPr>
        <w:spacing w:line="360" w:lineRule="auto"/>
        <w:ind w:firstLine="471"/>
        <w:rPr>
          <w:rFonts w:hint="eastAsia" w:ascii="宋体" w:hAnsi="宋体" w:cstheme="minorEastAsia"/>
          <w:sz w:val="24"/>
        </w:rPr>
      </w:pPr>
      <w:r>
        <w:rPr>
          <w:rFonts w:hint="eastAsia" w:ascii="宋体" w:hAnsi="宋体" w:cstheme="minorEastAsia"/>
          <w:sz w:val="24"/>
        </w:rPr>
        <w:t>联合体牵头人名称：</w:t>
      </w:r>
      <w:r>
        <w:rPr>
          <w:rFonts w:hint="eastAsia" w:ascii="宋体" w:hAnsi="宋体" w:cstheme="minorEastAsia"/>
          <w:sz w:val="24"/>
          <w:szCs w:val="20"/>
        </w:rPr>
        <w:t>______</w:t>
      </w:r>
      <w:r>
        <w:rPr>
          <w:rFonts w:hint="eastAsia" w:ascii="宋体" w:hAnsi="宋体" w:cstheme="minorEastAsia"/>
          <w:sz w:val="24"/>
        </w:rPr>
        <w:tab/>
      </w:r>
      <w:r>
        <w:rPr>
          <w:rFonts w:hint="eastAsia" w:ascii="宋体" w:hAnsi="宋体" w:cstheme="minorEastAsia"/>
          <w:sz w:val="24"/>
        </w:rPr>
        <w:tab/>
      </w:r>
      <w:r>
        <w:rPr>
          <w:rFonts w:hint="eastAsia" w:ascii="宋体" w:hAnsi="宋体" w:cstheme="minorEastAsia"/>
          <w:sz w:val="24"/>
        </w:rPr>
        <w:tab/>
      </w:r>
      <w:r>
        <w:rPr>
          <w:rFonts w:hint="eastAsia" w:ascii="宋体" w:hAnsi="宋体" w:cstheme="minorEastAsia"/>
          <w:sz w:val="24"/>
        </w:rPr>
        <w:tab/>
      </w:r>
      <w:r>
        <w:rPr>
          <w:rFonts w:hint="eastAsia" w:ascii="宋体" w:hAnsi="宋体" w:cstheme="minorEastAsia"/>
          <w:sz w:val="24"/>
        </w:rPr>
        <w:tab/>
      </w:r>
      <w:r>
        <w:rPr>
          <w:rFonts w:hint="eastAsia" w:ascii="宋体" w:hAnsi="宋体" w:cstheme="minorEastAsia"/>
          <w:sz w:val="24"/>
        </w:rPr>
        <w:t xml:space="preserve"> 联合体成员名称：</w:t>
      </w:r>
      <w:r>
        <w:rPr>
          <w:rFonts w:hint="eastAsia" w:ascii="宋体" w:hAnsi="宋体" w:cstheme="minorEastAsia"/>
          <w:sz w:val="24"/>
          <w:szCs w:val="20"/>
        </w:rPr>
        <w:t>______</w:t>
      </w:r>
    </w:p>
    <w:p w14:paraId="2D9A4B05">
      <w:pPr>
        <w:spacing w:line="360" w:lineRule="auto"/>
        <w:ind w:firstLine="471"/>
        <w:rPr>
          <w:rFonts w:hint="eastAsia" w:ascii="宋体" w:hAnsi="宋体" w:cstheme="minorEastAsia"/>
          <w:sz w:val="24"/>
        </w:rPr>
      </w:pPr>
      <w:r>
        <w:rPr>
          <w:rFonts w:hint="eastAsia" w:ascii="宋体" w:hAnsi="宋体" w:cstheme="minorEastAsia"/>
          <w:sz w:val="24"/>
        </w:rPr>
        <w:t>盖章：</w:t>
      </w:r>
      <w:r>
        <w:rPr>
          <w:rFonts w:hint="eastAsia" w:ascii="宋体" w:hAnsi="宋体" w:cstheme="minorEastAsia"/>
          <w:sz w:val="24"/>
          <w:szCs w:val="20"/>
        </w:rPr>
        <w:t>______</w:t>
      </w:r>
      <w:r>
        <w:rPr>
          <w:rFonts w:hint="eastAsia" w:ascii="宋体" w:hAnsi="宋体" w:cstheme="minorEastAsia"/>
          <w:sz w:val="24"/>
        </w:rPr>
        <w:t xml:space="preserve">                           盖章：</w:t>
      </w:r>
      <w:r>
        <w:rPr>
          <w:rFonts w:hint="eastAsia" w:ascii="宋体" w:hAnsi="宋体" w:cstheme="minorEastAsia"/>
          <w:sz w:val="24"/>
          <w:szCs w:val="20"/>
        </w:rPr>
        <w:t>______</w:t>
      </w:r>
    </w:p>
    <w:p w14:paraId="133CC421">
      <w:pPr>
        <w:spacing w:line="360" w:lineRule="auto"/>
        <w:ind w:firstLine="471"/>
        <w:rPr>
          <w:rFonts w:hint="eastAsia" w:ascii="宋体" w:hAnsi="宋体" w:cstheme="minorEastAsia"/>
          <w:sz w:val="24"/>
        </w:rPr>
      </w:pPr>
    </w:p>
    <w:p w14:paraId="1D3CDA24">
      <w:pPr>
        <w:spacing w:line="360" w:lineRule="auto"/>
        <w:ind w:firstLine="471"/>
        <w:rPr>
          <w:rFonts w:hint="eastAsia" w:ascii="宋体" w:hAnsi="宋体" w:cstheme="minorEastAsia"/>
          <w:sz w:val="24"/>
        </w:rPr>
      </w:pPr>
    </w:p>
    <w:p w14:paraId="42895ABD">
      <w:pPr>
        <w:spacing w:line="360" w:lineRule="auto"/>
        <w:ind w:firstLine="471"/>
        <w:rPr>
          <w:rFonts w:hint="eastAsia" w:ascii="宋体" w:hAnsi="宋体" w:cstheme="minorEastAsia"/>
          <w:sz w:val="24"/>
        </w:rPr>
      </w:pPr>
      <w:r>
        <w:rPr>
          <w:rFonts w:hint="eastAsia" w:ascii="宋体" w:hAnsi="宋体" w:cstheme="minorEastAsia"/>
          <w:sz w:val="24"/>
        </w:rPr>
        <w:t>联合体成员名称：</w:t>
      </w:r>
      <w:r>
        <w:rPr>
          <w:rFonts w:hint="eastAsia" w:ascii="宋体" w:hAnsi="宋体" w:cstheme="minorEastAsia"/>
          <w:sz w:val="24"/>
          <w:szCs w:val="20"/>
        </w:rPr>
        <w:t>______</w:t>
      </w:r>
    </w:p>
    <w:p w14:paraId="2A6ADF53">
      <w:pPr>
        <w:widowControl/>
        <w:ind w:firstLine="480" w:firstLineChars="200"/>
        <w:jc w:val="left"/>
        <w:rPr>
          <w:rFonts w:hint="eastAsia" w:ascii="宋体" w:hAnsi="宋体" w:cstheme="minorEastAsia"/>
          <w:sz w:val="24"/>
        </w:rPr>
      </w:pPr>
      <w:r>
        <w:rPr>
          <w:rFonts w:hint="eastAsia" w:ascii="宋体" w:hAnsi="宋体" w:cstheme="minorEastAsia"/>
          <w:sz w:val="24"/>
        </w:rPr>
        <w:t>盖章：</w:t>
      </w:r>
      <w:r>
        <w:rPr>
          <w:rFonts w:hint="eastAsia" w:ascii="宋体" w:hAnsi="宋体" w:cstheme="minorEastAsia"/>
          <w:sz w:val="24"/>
          <w:szCs w:val="20"/>
        </w:rPr>
        <w:t>______</w:t>
      </w:r>
      <w:r>
        <w:rPr>
          <w:rFonts w:hint="eastAsia" w:ascii="宋体" w:hAnsi="宋体" w:cstheme="minorEastAsia"/>
          <w:sz w:val="24"/>
        </w:rPr>
        <w:t xml:space="preserve">         </w:t>
      </w:r>
    </w:p>
    <w:p w14:paraId="610644BF">
      <w:pPr>
        <w:spacing w:line="360" w:lineRule="auto"/>
        <w:ind w:left="480"/>
        <w:jc w:val="right"/>
        <w:rPr>
          <w:rFonts w:hint="eastAsia" w:ascii="宋体" w:hAnsi="宋体" w:cstheme="minorEastAsia"/>
          <w:sz w:val="24"/>
        </w:rPr>
      </w:pPr>
    </w:p>
    <w:p w14:paraId="48884C2C">
      <w:pPr>
        <w:spacing w:line="360" w:lineRule="auto"/>
        <w:ind w:left="480"/>
        <w:jc w:val="right"/>
        <w:rPr>
          <w:rFonts w:hint="eastAsia" w:ascii="宋体" w:hAnsi="宋体" w:cstheme="minorEastAsia"/>
          <w:sz w:val="24"/>
        </w:rPr>
      </w:pPr>
      <w:r>
        <w:rPr>
          <w:rFonts w:hint="eastAsia" w:ascii="宋体" w:hAnsi="宋体" w:cstheme="minorEastAsia"/>
          <w:sz w:val="24"/>
          <w:szCs w:val="20"/>
        </w:rPr>
        <w:t>日期：</w:t>
      </w:r>
      <w:r>
        <w:rPr>
          <w:rFonts w:hint="eastAsia" w:ascii="宋体" w:hAnsi="宋体" w:cstheme="minorEastAsia"/>
          <w:sz w:val="24"/>
        </w:rPr>
        <w:t>______</w:t>
      </w:r>
      <w:r>
        <w:rPr>
          <w:rFonts w:hint="eastAsia" w:ascii="宋体" w:hAnsi="宋体" w:cstheme="minorEastAsia"/>
          <w:sz w:val="24"/>
          <w:szCs w:val="20"/>
        </w:rPr>
        <w:t>年</w:t>
      </w:r>
      <w:r>
        <w:rPr>
          <w:rFonts w:hint="eastAsia" w:ascii="宋体" w:hAnsi="宋体" w:cstheme="minorEastAsia"/>
          <w:sz w:val="24"/>
        </w:rPr>
        <w:t>______</w:t>
      </w:r>
      <w:r>
        <w:rPr>
          <w:rFonts w:hint="eastAsia" w:ascii="宋体" w:hAnsi="宋体" w:cstheme="minorEastAsia"/>
          <w:sz w:val="24"/>
          <w:szCs w:val="20"/>
        </w:rPr>
        <w:t>月</w:t>
      </w:r>
      <w:r>
        <w:rPr>
          <w:rFonts w:hint="eastAsia" w:ascii="宋体" w:hAnsi="宋体" w:cstheme="minorEastAsia"/>
          <w:sz w:val="24"/>
        </w:rPr>
        <w:t>______</w:t>
      </w:r>
      <w:r>
        <w:rPr>
          <w:rFonts w:hint="eastAsia" w:ascii="宋体" w:hAnsi="宋体" w:cstheme="minorEastAsia"/>
          <w:sz w:val="24"/>
          <w:szCs w:val="20"/>
        </w:rPr>
        <w:t>日</w:t>
      </w:r>
    </w:p>
    <w:p w14:paraId="2FDF0655">
      <w:pPr>
        <w:spacing w:line="360" w:lineRule="auto"/>
        <w:ind w:left="480"/>
        <w:jc w:val="right"/>
        <w:rPr>
          <w:rFonts w:hint="eastAsia" w:ascii="宋体" w:hAnsi="宋体" w:cstheme="minorEastAsia"/>
          <w:b/>
          <w:sz w:val="24"/>
        </w:rPr>
      </w:pPr>
    </w:p>
    <w:p w14:paraId="1A02B642">
      <w:pPr>
        <w:tabs>
          <w:tab w:val="left" w:pos="8280"/>
        </w:tabs>
        <w:spacing w:line="360" w:lineRule="auto"/>
        <w:ind w:firstLine="480"/>
        <w:rPr>
          <w:rFonts w:hint="eastAsia" w:ascii="宋体" w:hAnsi="宋体" w:cstheme="minorEastAsia"/>
          <w:sz w:val="24"/>
        </w:rPr>
      </w:pPr>
    </w:p>
    <w:p w14:paraId="7516D179">
      <w:pPr>
        <w:tabs>
          <w:tab w:val="left" w:pos="8280"/>
        </w:tabs>
        <w:spacing w:line="360" w:lineRule="auto"/>
        <w:ind w:firstLine="480"/>
        <w:rPr>
          <w:rFonts w:hint="eastAsia" w:ascii="宋体" w:hAnsi="宋体" w:cstheme="minorEastAsia"/>
          <w:sz w:val="24"/>
        </w:rPr>
      </w:pPr>
    </w:p>
    <w:p w14:paraId="076F0473">
      <w:pPr>
        <w:spacing w:line="360" w:lineRule="auto"/>
        <w:ind w:left="719" w:leftChars="228" w:hanging="240" w:hangingChars="100"/>
        <w:rPr>
          <w:rFonts w:hint="eastAsia" w:ascii="宋体" w:hAnsi="宋体" w:cstheme="minorEastAsia"/>
          <w:sz w:val="24"/>
        </w:rPr>
      </w:pPr>
      <w:r>
        <w:rPr>
          <w:rFonts w:hint="eastAsia" w:ascii="宋体" w:hAnsi="宋体" w:cstheme="minorEastAsia"/>
          <w:sz w:val="24"/>
        </w:rPr>
        <w:t>注：</w:t>
      </w:r>
    </w:p>
    <w:p w14:paraId="490A5C0F">
      <w:pPr>
        <w:spacing w:line="360" w:lineRule="auto"/>
        <w:ind w:left="719" w:leftChars="228" w:hanging="240" w:hangingChars="100"/>
        <w:rPr>
          <w:rFonts w:hint="eastAsia" w:ascii="宋体" w:hAnsi="宋体" w:cstheme="minorEastAsia"/>
          <w:sz w:val="24"/>
        </w:rPr>
      </w:pPr>
      <w:r>
        <w:rPr>
          <w:rFonts w:hint="eastAsia" w:ascii="宋体" w:hAnsi="宋体" w:cstheme="minorEastAsia"/>
          <w:sz w:val="24"/>
        </w:rPr>
        <w:t>1. 如本项目（包）接受供应商以联合体形式参加采购活动，且供应商以联合体形式参与时，须提供《联合协议》，否则</w:t>
      </w:r>
      <w:r>
        <w:rPr>
          <w:rFonts w:hint="eastAsia" w:ascii="宋体" w:hAnsi="宋体" w:cstheme="minorEastAsia"/>
          <w:b/>
          <w:sz w:val="24"/>
        </w:rPr>
        <w:t>响应无效</w:t>
      </w:r>
      <w:r>
        <w:rPr>
          <w:rFonts w:hint="eastAsia" w:ascii="宋体" w:hAnsi="宋体" w:cstheme="minorEastAsia"/>
          <w:sz w:val="24"/>
        </w:rPr>
        <w:t>。</w:t>
      </w:r>
    </w:p>
    <w:p w14:paraId="2D7A92B4">
      <w:pPr>
        <w:spacing w:line="360" w:lineRule="auto"/>
        <w:ind w:left="719" w:leftChars="228" w:hanging="240" w:hangingChars="100"/>
        <w:rPr>
          <w:rFonts w:hint="eastAsia" w:ascii="宋体" w:hAnsi="宋体" w:cstheme="minorEastAsia"/>
          <w:sz w:val="24"/>
        </w:rPr>
      </w:pPr>
      <w:r>
        <w:rPr>
          <w:rFonts w:hint="eastAsia" w:ascii="宋体" w:hAnsi="宋体" w:cstheme="minorEastAsia"/>
          <w:sz w:val="24"/>
        </w:rPr>
        <w:t>2. 联合体各方成员须在本协议上共同盖章。</w:t>
      </w:r>
    </w:p>
    <w:p w14:paraId="525AC268">
      <w:pPr>
        <w:widowControl/>
        <w:jc w:val="left"/>
        <w:rPr>
          <w:rFonts w:hint="eastAsia" w:ascii="宋体" w:hAnsi="宋体" w:cstheme="minorEastAsia"/>
          <w:sz w:val="24"/>
        </w:rPr>
      </w:pPr>
      <w:r>
        <w:rPr>
          <w:rFonts w:hint="eastAsia" w:ascii="宋体" w:hAnsi="宋体" w:cstheme="minorEastAsia"/>
          <w:sz w:val="24"/>
        </w:rPr>
        <w:br w:type="page"/>
      </w:r>
    </w:p>
    <w:p w14:paraId="7EE0E067">
      <w:pPr>
        <w:spacing w:line="360" w:lineRule="auto"/>
        <w:outlineLvl w:val="2"/>
        <w:rPr>
          <w:rFonts w:hint="eastAsia" w:ascii="宋体" w:hAnsi="宋体" w:cstheme="minorEastAsia"/>
          <w:sz w:val="24"/>
          <w:szCs w:val="20"/>
        </w:rPr>
      </w:pPr>
      <w:r>
        <w:rPr>
          <w:rFonts w:hint="eastAsia" w:ascii="宋体" w:hAnsi="宋体" w:cstheme="minorEastAsia"/>
          <w:sz w:val="24"/>
          <w:szCs w:val="20"/>
        </w:rPr>
        <w:t>3-2 其他特定资格要求</w:t>
      </w:r>
    </w:p>
    <w:p w14:paraId="140DBA58">
      <w:pPr>
        <w:tabs>
          <w:tab w:val="left" w:pos="880"/>
        </w:tabs>
        <w:wordWrap w:val="0"/>
        <w:spacing w:line="360" w:lineRule="auto"/>
        <w:ind w:left="485"/>
        <w:rPr>
          <w:rFonts w:hint="eastAsia" w:ascii="宋体" w:hAnsi="宋体" w:cstheme="minorEastAsia"/>
          <w:sz w:val="24"/>
          <w:shd w:val="clear" w:color="auto" w:fill="FFFFFF"/>
        </w:rPr>
      </w:pPr>
      <w:r>
        <w:rPr>
          <w:rFonts w:hint="eastAsia" w:ascii="宋体" w:hAnsi="宋体" w:cstheme="minorEastAsia"/>
          <w:sz w:val="24"/>
          <w:shd w:val="clear" w:color="auto" w:fill="FFFFFF"/>
        </w:rPr>
        <w:t>3.2.1参与本次磋商的供应商可以为制造商或代理商：</w:t>
      </w:r>
    </w:p>
    <w:p w14:paraId="6DB27D3C">
      <w:pPr>
        <w:tabs>
          <w:tab w:val="left" w:pos="880"/>
        </w:tabs>
        <w:wordWrap w:val="0"/>
        <w:spacing w:line="360" w:lineRule="auto"/>
        <w:ind w:left="485"/>
        <w:rPr>
          <w:rFonts w:hint="eastAsia" w:ascii="宋体" w:hAnsi="宋体" w:cstheme="minorEastAsia"/>
          <w:sz w:val="24"/>
          <w:shd w:val="clear" w:color="auto" w:fill="FFFFFF"/>
        </w:rPr>
      </w:pPr>
      <w:r>
        <w:rPr>
          <w:rFonts w:hint="eastAsia" w:ascii="宋体" w:hAnsi="宋体" w:cstheme="minorEastAsia"/>
          <w:sz w:val="24"/>
          <w:shd w:val="clear" w:color="auto" w:fill="FFFFFF"/>
        </w:rPr>
        <w:t>（1）投标人为制造商的，应具备有效期内的《中华人民共和国特种设备制造许可证》（许可范围含无机房客梯A级资质、杂物电梯资质）【旧证】和有效期内的《中华人民共和国特种设备安装改造维修许可证》电梯安装、改造、维修C级及以上【旧证】；或《中华人民共和国特种设备生产许可证》（许可项目含电梯制造（含安装、修理、改造）许可子项目含曳引驱动乘客电梯（含消防员电梯）B级及以上【新证】资质。</w:t>
      </w:r>
    </w:p>
    <w:p w14:paraId="737B5AA2">
      <w:pPr>
        <w:tabs>
          <w:tab w:val="left" w:pos="880"/>
        </w:tabs>
        <w:wordWrap w:val="0"/>
        <w:spacing w:line="360" w:lineRule="auto"/>
        <w:ind w:left="485"/>
        <w:rPr>
          <w:rFonts w:hint="eastAsia" w:ascii="宋体" w:hAnsi="宋体" w:cstheme="minorEastAsia"/>
          <w:sz w:val="24"/>
          <w:shd w:val="clear" w:color="auto" w:fill="FFFFFF"/>
        </w:rPr>
      </w:pPr>
      <w:r>
        <w:rPr>
          <w:rFonts w:hint="eastAsia" w:ascii="宋体" w:hAnsi="宋体" w:cstheme="minorEastAsia"/>
          <w:sz w:val="24"/>
          <w:shd w:val="clear" w:color="auto" w:fill="FFFFFF"/>
        </w:rPr>
        <w:t>（2）投标人为代理商的，应具备有效期内的《中华人民共和国特种设备安装改造维修许可证》电梯安装、改造、维修C级及以上【旧证】或《中华人民共和国特种设备生产许可证》（许可项目含电梯安装（含修理）许可子项目含曳引驱动乘客电梯（含消防员电梯）B级及以上【新证】资质，代理商同时还应满足以下要求：设备制造商应具备有效期内的《中华人民共和国特种设备制造许可证》（许可范围含无机房客梯A级资质、杂物电梯资质）【旧证】和有效期内的《中华人民共和国特种设备安装改造维修许可证》电梯安装、改造、维修C级及以上【旧证】；或《中华人民共和国特种设备生产许可证》（许可项目含电梯制造（含安装、修理、改造）许可子项目含曳引驱动乘客电梯（含消防员电梯）B级及以上【新证】资质。。</w:t>
      </w:r>
    </w:p>
    <w:p w14:paraId="5E50F229">
      <w:pPr>
        <w:spacing w:line="360" w:lineRule="auto"/>
        <w:ind w:left="210" w:leftChars="100" w:firstLine="225" w:firstLineChars="94"/>
        <w:rPr>
          <w:rFonts w:hint="eastAsia" w:ascii="宋体" w:hAnsi="宋体" w:cstheme="minorEastAsia"/>
          <w:sz w:val="24"/>
          <w:shd w:val="clear" w:color="auto" w:fill="FFFFFF"/>
        </w:rPr>
      </w:pPr>
      <w:r>
        <w:rPr>
          <w:rFonts w:hint="eastAsia" w:ascii="宋体" w:hAnsi="宋体" w:cstheme="minorEastAsia"/>
          <w:sz w:val="24"/>
          <w:shd w:val="clear" w:color="auto" w:fill="FFFFFF"/>
        </w:rPr>
        <w:t>3.2.2单位负责人为同一人或者存在直接控股、管理关系的不同供应商，不得同时参加本项目同一包的投标</w:t>
      </w:r>
      <w:r>
        <w:rPr>
          <w:rFonts w:hint="eastAsia" w:asciiTheme="minorEastAsia" w:hAnsiTheme="minorEastAsia" w:eastAsiaTheme="minorEastAsia" w:cstheme="minorEastAsia"/>
          <w:sz w:val="24"/>
        </w:rPr>
        <w:t>（提供承诺书加盖单位公章）</w:t>
      </w:r>
      <w:r>
        <w:rPr>
          <w:rFonts w:hint="eastAsia" w:ascii="宋体" w:hAnsi="宋体" w:cstheme="minorEastAsia"/>
          <w:sz w:val="24"/>
          <w:shd w:val="clear" w:color="auto" w:fill="FFFFFF"/>
        </w:rPr>
        <w:t>。</w:t>
      </w:r>
    </w:p>
    <w:p w14:paraId="6266EBBB">
      <w:pPr>
        <w:spacing w:line="360" w:lineRule="auto"/>
        <w:ind w:left="210" w:leftChars="100" w:firstLine="225" w:firstLineChars="94"/>
        <w:rPr>
          <w:rFonts w:hint="eastAsia" w:ascii="宋体" w:hAnsi="宋体" w:cstheme="minorEastAsia"/>
          <w:sz w:val="24"/>
          <w:shd w:val="clear" w:color="auto" w:fill="FFFFFF"/>
        </w:rPr>
      </w:pPr>
      <w:r>
        <w:rPr>
          <w:rFonts w:hint="eastAsia" w:ascii="宋体" w:hAnsi="宋体" w:cstheme="minorEastAsia"/>
          <w:sz w:val="24"/>
          <w:shd w:val="clear" w:color="auto" w:fill="FFFFFF"/>
        </w:rPr>
        <w:t>3.2.3</w:t>
      </w:r>
      <w:r>
        <w:rPr>
          <w:rFonts w:hint="eastAsia" w:asciiTheme="minorEastAsia" w:hAnsiTheme="minorEastAsia" w:eastAsiaTheme="minorEastAsia" w:cstheme="minorEastAsia"/>
          <w:sz w:val="24"/>
        </w:rPr>
        <w:t>供应商经营状态：在近三年（2023年6月1日至响应文件提交截止时间前）没有骗取中标和严重违约，没有处于被责令停业，投标资格被取消，财产被接管、冻结，破产状态（提供承诺书加盖单位公章）</w:t>
      </w:r>
      <w:r>
        <w:rPr>
          <w:rFonts w:hint="eastAsia" w:ascii="宋体" w:hAnsi="宋体" w:cstheme="minorEastAsia"/>
          <w:sz w:val="24"/>
          <w:shd w:val="clear" w:color="auto" w:fill="FFFFFF"/>
        </w:rPr>
        <w:t>。</w:t>
      </w:r>
    </w:p>
    <w:p w14:paraId="216E40CC">
      <w:pPr>
        <w:spacing w:line="360" w:lineRule="auto"/>
        <w:ind w:firstLine="480" w:firstLineChars="200"/>
        <w:rPr>
          <w:rFonts w:hint="eastAsia" w:ascii="宋体" w:hAnsi="宋体" w:cstheme="minorEastAsia"/>
          <w:sz w:val="24"/>
          <w:shd w:val="clear" w:color="auto" w:fill="FFFFFF"/>
        </w:rPr>
      </w:pPr>
      <w:r>
        <w:rPr>
          <w:rFonts w:hint="eastAsia" w:ascii="宋体" w:hAnsi="宋体" w:cstheme="minorEastAsia"/>
          <w:sz w:val="24"/>
          <w:shd w:val="clear" w:color="auto" w:fill="FFFFFF"/>
        </w:rPr>
        <w:t>3.2.4投标人未被列入“信用中国”（www.creditchina.gov.cn）及“中国政府采购网”（www.ccgp.gov.cn）失信被执行人、重大税收违法案件当事人名单。</w:t>
      </w:r>
    </w:p>
    <w:p w14:paraId="1DB8A01D">
      <w:pPr>
        <w:tabs>
          <w:tab w:val="left" w:pos="5580"/>
        </w:tabs>
        <w:spacing w:line="360" w:lineRule="auto"/>
        <w:rPr>
          <w:rFonts w:hint="eastAsia" w:ascii="宋体" w:hAnsi="宋体" w:cstheme="minorEastAsia"/>
          <w:sz w:val="24"/>
        </w:rPr>
      </w:pPr>
    </w:p>
    <w:p w14:paraId="4EE32F62">
      <w:pPr>
        <w:widowControl/>
        <w:jc w:val="left"/>
        <w:rPr>
          <w:rFonts w:hint="eastAsia" w:ascii="宋体" w:hAnsi="宋体" w:cstheme="minorEastAsia"/>
          <w:sz w:val="24"/>
          <w:szCs w:val="20"/>
        </w:rPr>
      </w:pPr>
      <w:r>
        <w:rPr>
          <w:rFonts w:hint="eastAsia" w:ascii="宋体" w:hAnsi="宋体" w:cstheme="minorEastAsia"/>
          <w:sz w:val="24"/>
          <w:szCs w:val="20"/>
        </w:rPr>
        <w:br w:type="page"/>
      </w:r>
    </w:p>
    <w:p w14:paraId="7C9D9AF0">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4 磋商保证金凭证/交款单据电子件</w:t>
      </w:r>
    </w:p>
    <w:p w14:paraId="454DEF4F">
      <w:pPr>
        <w:widowControl/>
        <w:jc w:val="left"/>
        <w:rPr>
          <w:rFonts w:hint="eastAsia" w:ascii="宋体" w:hAnsi="宋体" w:cstheme="minorEastAsia"/>
          <w:kern w:val="0"/>
          <w:sz w:val="24"/>
          <w:szCs w:val="20"/>
        </w:rPr>
      </w:pPr>
      <w:r>
        <w:rPr>
          <w:rFonts w:hint="eastAsia" w:ascii="宋体" w:hAnsi="宋体" w:cstheme="minorEastAsia"/>
          <w:b/>
          <w:sz w:val="24"/>
        </w:rPr>
        <w:br w:type="page"/>
      </w:r>
    </w:p>
    <w:p w14:paraId="59E288EF">
      <w:pPr>
        <w:tabs>
          <w:tab w:val="left" w:pos="360"/>
        </w:tabs>
        <w:snapToGrid w:val="0"/>
        <w:spacing w:line="360" w:lineRule="auto"/>
        <w:outlineLvl w:val="1"/>
        <w:rPr>
          <w:rFonts w:hint="eastAsia" w:ascii="宋体" w:hAnsi="宋体" w:cstheme="minorEastAsia"/>
          <w:sz w:val="24"/>
        </w:rPr>
      </w:pPr>
      <w:bookmarkStart w:id="975" w:name="_Hlt520274407"/>
      <w:bookmarkEnd w:id="975"/>
      <w:bookmarkStart w:id="976" w:name="_Hlt520355504"/>
      <w:bookmarkEnd w:id="976"/>
      <w:bookmarkStart w:id="977" w:name="_Hlt520343392"/>
      <w:bookmarkEnd w:id="977"/>
      <w:bookmarkStart w:id="978" w:name="_Hlt520350918"/>
      <w:bookmarkEnd w:id="978"/>
      <w:bookmarkStart w:id="979" w:name="_Hlt520273711"/>
      <w:bookmarkEnd w:id="979"/>
      <w:bookmarkStart w:id="980" w:name="_Hlt520274065"/>
      <w:bookmarkEnd w:id="980"/>
      <w:bookmarkStart w:id="981" w:name="_Hlt520271212"/>
      <w:bookmarkEnd w:id="981"/>
      <w:bookmarkStart w:id="982" w:name="_Hlt520274121"/>
      <w:bookmarkEnd w:id="982"/>
      <w:bookmarkStart w:id="983" w:name="_Hlt520343000"/>
      <w:bookmarkEnd w:id="983"/>
      <w:bookmarkStart w:id="984" w:name="_Hlt520274393"/>
      <w:bookmarkEnd w:id="984"/>
      <w:bookmarkStart w:id="985" w:name="_Toc480942349"/>
      <w:bookmarkStart w:id="986" w:name="_Ref467988698"/>
      <w:bookmarkStart w:id="987" w:name="_Toc127151556"/>
      <w:bookmarkStart w:id="988" w:name="_Toc226965829"/>
      <w:bookmarkStart w:id="989" w:name="_Toc226309800"/>
      <w:bookmarkStart w:id="990" w:name="_Toc520356217"/>
      <w:bookmarkStart w:id="991" w:name="_Toc150774761"/>
      <w:bookmarkStart w:id="992" w:name="_Toc142311058"/>
      <w:bookmarkStart w:id="993" w:name="_Toc226965746"/>
      <w:bookmarkStart w:id="994" w:name="_Toc226337252"/>
      <w:bookmarkStart w:id="995" w:name="_Toc195842921"/>
      <w:bookmarkStart w:id="996" w:name="_Toc150480794"/>
      <w:r>
        <w:rPr>
          <w:rFonts w:hint="eastAsia" w:ascii="宋体" w:hAnsi="宋体" w:cstheme="minorEastAsia"/>
          <w:sz w:val="24"/>
        </w:rPr>
        <w:t xml:space="preserve">5  </w:t>
      </w:r>
      <w:bookmarkEnd w:id="985"/>
      <w:bookmarkEnd w:id="986"/>
      <w:r>
        <w:rPr>
          <w:rFonts w:hint="eastAsia" w:ascii="宋体" w:hAnsi="宋体" w:cstheme="minorEastAsia"/>
          <w:sz w:val="24"/>
        </w:rPr>
        <w:t>响应书</w:t>
      </w:r>
      <w:bookmarkEnd w:id="987"/>
      <w:bookmarkEnd w:id="988"/>
      <w:bookmarkEnd w:id="989"/>
      <w:bookmarkEnd w:id="990"/>
      <w:bookmarkEnd w:id="991"/>
      <w:bookmarkEnd w:id="992"/>
      <w:bookmarkEnd w:id="993"/>
      <w:bookmarkEnd w:id="994"/>
      <w:bookmarkEnd w:id="995"/>
      <w:bookmarkEnd w:id="996"/>
      <w:r>
        <w:rPr>
          <w:rFonts w:hint="eastAsia" w:ascii="宋体" w:hAnsi="宋体" w:cstheme="minorEastAsia"/>
          <w:sz w:val="24"/>
        </w:rPr>
        <w:t>（实质性格式）</w:t>
      </w:r>
    </w:p>
    <w:p w14:paraId="62AC0D7E">
      <w:pPr>
        <w:tabs>
          <w:tab w:val="left" w:pos="5580"/>
        </w:tabs>
        <w:spacing w:line="360" w:lineRule="auto"/>
        <w:rPr>
          <w:rFonts w:hint="eastAsia" w:ascii="宋体" w:hAnsi="宋体" w:cstheme="minorEastAsia"/>
          <w:sz w:val="24"/>
        </w:rPr>
      </w:pPr>
    </w:p>
    <w:p w14:paraId="7D8E7E5A">
      <w:pPr>
        <w:spacing w:line="360" w:lineRule="auto"/>
        <w:jc w:val="center"/>
        <w:rPr>
          <w:rFonts w:hint="eastAsia" w:ascii="宋体" w:hAnsi="宋体" w:cstheme="minorEastAsia"/>
          <w:b/>
          <w:sz w:val="36"/>
          <w:szCs w:val="36"/>
        </w:rPr>
      </w:pPr>
      <w:r>
        <w:rPr>
          <w:rFonts w:hint="eastAsia" w:ascii="宋体" w:hAnsi="宋体" w:cstheme="minorEastAsia"/>
          <w:b/>
          <w:sz w:val="36"/>
          <w:szCs w:val="36"/>
        </w:rPr>
        <w:t>响应书</w:t>
      </w:r>
    </w:p>
    <w:p w14:paraId="5E922BE5">
      <w:pPr>
        <w:tabs>
          <w:tab w:val="left" w:pos="5580"/>
        </w:tabs>
        <w:spacing w:line="360" w:lineRule="auto"/>
        <w:rPr>
          <w:rFonts w:hint="eastAsia" w:ascii="宋体" w:hAnsi="宋体" w:cstheme="minorEastAsia"/>
          <w:sz w:val="24"/>
        </w:rPr>
      </w:pPr>
      <w:r>
        <w:rPr>
          <w:rFonts w:hint="eastAsia" w:ascii="宋体" w:hAnsi="宋体" w:cstheme="minorEastAsia"/>
          <w:sz w:val="24"/>
        </w:rPr>
        <w:t>致：</w:t>
      </w:r>
      <w:r>
        <w:rPr>
          <w:rFonts w:hint="eastAsia" w:ascii="宋体" w:hAnsi="宋体" w:cstheme="minorEastAsia"/>
          <w:sz w:val="24"/>
          <w:u w:val="single"/>
        </w:rPr>
        <w:t>（采购人或采购代理机构）</w:t>
      </w:r>
    </w:p>
    <w:p w14:paraId="28AACAEE">
      <w:pPr>
        <w:tabs>
          <w:tab w:val="left" w:pos="5580"/>
        </w:tabs>
        <w:spacing w:line="360" w:lineRule="auto"/>
        <w:rPr>
          <w:rFonts w:hint="eastAsia" w:ascii="宋体" w:hAnsi="宋体" w:cstheme="minorEastAsia"/>
          <w:sz w:val="24"/>
          <w:szCs w:val="20"/>
        </w:rPr>
      </w:pPr>
    </w:p>
    <w:p w14:paraId="3B37E507">
      <w:pPr>
        <w:tabs>
          <w:tab w:val="left" w:pos="5580"/>
        </w:tabs>
        <w:spacing w:line="360" w:lineRule="auto"/>
        <w:ind w:firstLine="408"/>
        <w:rPr>
          <w:rFonts w:hint="eastAsia" w:ascii="宋体" w:hAnsi="宋体" w:cstheme="minorEastAsia"/>
          <w:sz w:val="24"/>
          <w:szCs w:val="20"/>
        </w:rPr>
      </w:pPr>
      <w:r>
        <w:rPr>
          <w:rFonts w:hint="eastAsia" w:ascii="宋体" w:hAnsi="宋体" w:cstheme="minorEastAsia"/>
          <w:sz w:val="24"/>
          <w:szCs w:val="20"/>
        </w:rPr>
        <w:t>我方参加你方就</w:t>
      </w:r>
      <w:r>
        <w:rPr>
          <w:rFonts w:hint="eastAsia" w:ascii="宋体" w:hAnsi="宋体" w:cstheme="minorEastAsia"/>
          <w:sz w:val="24"/>
        </w:rPr>
        <w:t>______</w:t>
      </w:r>
      <w:r>
        <w:rPr>
          <w:rFonts w:hint="eastAsia" w:ascii="宋体" w:hAnsi="宋体" w:cstheme="minorEastAsia"/>
          <w:sz w:val="24"/>
          <w:szCs w:val="20"/>
        </w:rPr>
        <w:t>（项目名称，项目编号/包号）组织的采购活动，并对此项目进行磋商。</w:t>
      </w:r>
    </w:p>
    <w:p w14:paraId="6A5A0BD7">
      <w:pPr>
        <w:tabs>
          <w:tab w:val="left" w:pos="5580"/>
        </w:tabs>
        <w:spacing w:line="360" w:lineRule="auto"/>
        <w:ind w:firstLine="408"/>
        <w:rPr>
          <w:rFonts w:hint="eastAsia" w:ascii="宋体" w:hAnsi="宋体" w:cstheme="minorEastAsia"/>
          <w:sz w:val="24"/>
          <w:szCs w:val="20"/>
        </w:rPr>
      </w:pPr>
      <w:r>
        <w:rPr>
          <w:rFonts w:hint="eastAsia" w:ascii="宋体" w:hAnsi="宋体" w:cstheme="minorEastAsia"/>
          <w:sz w:val="24"/>
          <w:szCs w:val="20"/>
        </w:rPr>
        <w:t>1. 我方</w:t>
      </w:r>
      <w:r>
        <w:rPr>
          <w:rFonts w:hint="eastAsia" w:ascii="宋体" w:hAnsi="宋体" w:cstheme="minorEastAsia"/>
          <w:sz w:val="24"/>
        </w:rPr>
        <w:t>已详细审查全部竞争性磋商文件</w:t>
      </w:r>
      <w:r>
        <w:rPr>
          <w:rFonts w:hint="eastAsia" w:ascii="宋体" w:hAnsi="宋体" w:cstheme="minorEastAsia"/>
          <w:sz w:val="24"/>
          <w:szCs w:val="20"/>
        </w:rPr>
        <w:t>，自愿参与磋商并承诺如下：</w:t>
      </w:r>
    </w:p>
    <w:p w14:paraId="1B853031">
      <w:pPr>
        <w:tabs>
          <w:tab w:val="left" w:pos="720"/>
          <w:tab w:val="left" w:pos="900"/>
        </w:tabs>
        <w:spacing w:line="360" w:lineRule="auto"/>
        <w:ind w:left="360" w:firstLine="72" w:firstLineChars="30"/>
        <w:rPr>
          <w:rFonts w:hint="eastAsia" w:ascii="宋体" w:hAnsi="宋体" w:cstheme="minorEastAsia"/>
          <w:sz w:val="24"/>
          <w:szCs w:val="20"/>
        </w:rPr>
      </w:pPr>
      <w:r>
        <w:rPr>
          <w:rFonts w:hint="eastAsia" w:ascii="宋体" w:hAnsi="宋体" w:cstheme="minorEastAsia"/>
          <w:sz w:val="24"/>
          <w:szCs w:val="20"/>
        </w:rPr>
        <w:t>（1）本响应有效期为自响应文件提交截止之日起</w:t>
      </w:r>
      <w:r>
        <w:rPr>
          <w:rFonts w:hint="eastAsia" w:ascii="宋体" w:hAnsi="宋体" w:cstheme="minorEastAsia"/>
          <w:sz w:val="24"/>
        </w:rPr>
        <w:t>______</w:t>
      </w:r>
      <w:r>
        <w:rPr>
          <w:rFonts w:hint="eastAsia" w:ascii="宋体" w:hAnsi="宋体" w:cstheme="minorEastAsia"/>
          <w:sz w:val="24"/>
          <w:szCs w:val="20"/>
        </w:rPr>
        <w:t>个日历日。</w:t>
      </w:r>
    </w:p>
    <w:p w14:paraId="5F968FA8">
      <w:pPr>
        <w:tabs>
          <w:tab w:val="left" w:pos="720"/>
          <w:tab w:val="left" w:pos="900"/>
        </w:tabs>
        <w:spacing w:line="360" w:lineRule="auto"/>
        <w:ind w:left="360" w:firstLine="72" w:firstLineChars="30"/>
        <w:rPr>
          <w:rFonts w:hint="eastAsia" w:ascii="宋体" w:hAnsi="宋体" w:cstheme="minorEastAsia"/>
          <w:sz w:val="24"/>
          <w:szCs w:val="20"/>
        </w:rPr>
      </w:pPr>
      <w:r>
        <w:rPr>
          <w:rFonts w:hint="eastAsia" w:ascii="宋体" w:hAnsi="宋体" w:cstheme="minorEastAsia"/>
          <w:sz w:val="24"/>
          <w:szCs w:val="20"/>
        </w:rPr>
        <w:t>（2）除合同条款及采购需求偏离表列出的偏离外，我方响应竞争性磋商文件的全部要求。</w:t>
      </w:r>
    </w:p>
    <w:p w14:paraId="2E12014A">
      <w:pPr>
        <w:tabs>
          <w:tab w:val="left" w:pos="5580"/>
        </w:tabs>
        <w:spacing w:line="360" w:lineRule="auto"/>
        <w:ind w:firstLine="420" w:firstLineChars="175"/>
        <w:rPr>
          <w:rFonts w:hint="eastAsia" w:ascii="宋体" w:hAnsi="宋体" w:cstheme="minorEastAsia"/>
          <w:sz w:val="24"/>
          <w:szCs w:val="20"/>
        </w:rPr>
      </w:pPr>
      <w:r>
        <w:rPr>
          <w:rFonts w:hint="eastAsia" w:ascii="宋体" w:hAnsi="宋体" w:cstheme="minorEastAsia"/>
          <w:sz w:val="24"/>
          <w:szCs w:val="20"/>
        </w:rPr>
        <w:t>（3）我方已提供的全部文件资料是真实、准确的，并对此承担一切法律后果。</w:t>
      </w:r>
    </w:p>
    <w:p w14:paraId="03C844E2">
      <w:pPr>
        <w:tabs>
          <w:tab w:val="left" w:pos="5580"/>
        </w:tabs>
        <w:spacing w:line="360" w:lineRule="auto"/>
        <w:ind w:firstLine="420" w:firstLineChars="175"/>
        <w:rPr>
          <w:rFonts w:hint="eastAsia" w:ascii="宋体" w:hAnsi="宋体" w:cstheme="minorEastAsia"/>
          <w:sz w:val="24"/>
        </w:rPr>
      </w:pPr>
      <w:r>
        <w:rPr>
          <w:rFonts w:hint="eastAsia" w:ascii="宋体" w:hAnsi="宋体" w:cstheme="minorEastAsia"/>
          <w:sz w:val="24"/>
          <w:szCs w:val="20"/>
        </w:rPr>
        <w:t>（4）如我方成交，我方将在法律规定的期限内与你方签订合同，按照竞争性磋商文件要求提交履约保证金，并在合同约定的期限内完成合同规定的全部义务。</w:t>
      </w:r>
    </w:p>
    <w:p w14:paraId="35075324">
      <w:pPr>
        <w:spacing w:line="360" w:lineRule="auto"/>
        <w:ind w:left="420"/>
        <w:rPr>
          <w:rFonts w:hint="eastAsia" w:ascii="宋体" w:hAnsi="宋体" w:cstheme="minorEastAsia"/>
          <w:sz w:val="24"/>
        </w:rPr>
      </w:pPr>
      <w:r>
        <w:rPr>
          <w:rFonts w:hint="eastAsia" w:ascii="宋体" w:hAnsi="宋体" w:cstheme="minorEastAsia"/>
          <w:sz w:val="24"/>
        </w:rPr>
        <w:t>2. 其他补充条款（如有）：______。</w:t>
      </w:r>
    </w:p>
    <w:p w14:paraId="750D5907">
      <w:pPr>
        <w:spacing w:line="360" w:lineRule="auto"/>
        <w:ind w:firstLine="480" w:firstLineChars="200"/>
        <w:rPr>
          <w:rFonts w:hint="eastAsia" w:ascii="宋体" w:hAnsi="宋体" w:cstheme="minorEastAsia"/>
          <w:sz w:val="24"/>
        </w:rPr>
      </w:pPr>
      <w:r>
        <w:rPr>
          <w:rFonts w:hint="eastAsia" w:ascii="宋体" w:hAnsi="宋体" w:cstheme="minorEastAsia"/>
          <w:sz w:val="24"/>
        </w:rPr>
        <w:t>与本磋商有关的一切正式往来信函请寄：</w:t>
      </w:r>
    </w:p>
    <w:p w14:paraId="1C1D504A">
      <w:pPr>
        <w:tabs>
          <w:tab w:val="left" w:pos="5580"/>
        </w:tabs>
        <w:spacing w:line="360" w:lineRule="auto"/>
        <w:ind w:left="420"/>
        <w:rPr>
          <w:rFonts w:hint="eastAsia" w:ascii="宋体" w:hAnsi="宋体" w:cstheme="minorEastAsia"/>
          <w:sz w:val="24"/>
          <w:szCs w:val="20"/>
        </w:rPr>
      </w:pPr>
    </w:p>
    <w:p w14:paraId="2B9DEC58">
      <w:pPr>
        <w:tabs>
          <w:tab w:val="left" w:pos="5580"/>
        </w:tabs>
        <w:spacing w:line="360" w:lineRule="auto"/>
        <w:ind w:left="420"/>
        <w:rPr>
          <w:rFonts w:hint="eastAsia" w:ascii="宋体" w:hAnsi="宋体" w:cstheme="minorEastAsia"/>
          <w:sz w:val="24"/>
          <w:szCs w:val="20"/>
        </w:rPr>
      </w:pPr>
      <w:r>
        <w:rPr>
          <w:rFonts w:hint="eastAsia" w:ascii="宋体" w:hAnsi="宋体" w:cstheme="minorEastAsia"/>
          <w:sz w:val="24"/>
          <w:szCs w:val="20"/>
        </w:rPr>
        <w:t>地址</w:t>
      </w:r>
      <w:r>
        <w:rPr>
          <w:rFonts w:hint="eastAsia" w:ascii="宋体" w:hAnsi="宋体" w:cstheme="minorEastAsia"/>
          <w:bCs/>
          <w:sz w:val="24"/>
        </w:rPr>
        <w:t>_________________________</w:t>
      </w:r>
      <w:r>
        <w:rPr>
          <w:rFonts w:hint="eastAsia" w:ascii="宋体" w:hAnsi="宋体" w:cstheme="minorEastAsia"/>
          <w:sz w:val="24"/>
          <w:szCs w:val="20"/>
        </w:rPr>
        <w:t xml:space="preserve">      传   真</w:t>
      </w:r>
      <w:r>
        <w:rPr>
          <w:rFonts w:hint="eastAsia" w:ascii="宋体" w:hAnsi="宋体" w:cstheme="minorEastAsia"/>
          <w:bCs/>
          <w:sz w:val="24"/>
        </w:rPr>
        <w:t>_________________________</w:t>
      </w:r>
    </w:p>
    <w:p w14:paraId="6480AE0E">
      <w:pPr>
        <w:tabs>
          <w:tab w:val="left" w:pos="5580"/>
        </w:tabs>
        <w:spacing w:line="360" w:lineRule="auto"/>
        <w:ind w:left="420"/>
        <w:rPr>
          <w:rFonts w:hint="eastAsia" w:ascii="宋体" w:hAnsi="宋体" w:cstheme="minorEastAsia"/>
          <w:sz w:val="24"/>
          <w:szCs w:val="20"/>
        </w:rPr>
      </w:pPr>
      <w:r>
        <w:rPr>
          <w:rFonts w:hint="eastAsia" w:ascii="宋体" w:hAnsi="宋体" w:cstheme="minorEastAsia"/>
          <w:sz w:val="24"/>
          <w:szCs w:val="20"/>
        </w:rPr>
        <w:t>电话</w:t>
      </w:r>
      <w:r>
        <w:rPr>
          <w:rFonts w:hint="eastAsia" w:ascii="宋体" w:hAnsi="宋体" w:cstheme="minorEastAsia"/>
          <w:bCs/>
          <w:sz w:val="24"/>
        </w:rPr>
        <w:t>_________________________</w:t>
      </w:r>
      <w:r>
        <w:rPr>
          <w:rFonts w:hint="eastAsia" w:ascii="宋体" w:hAnsi="宋体" w:cstheme="minorEastAsia"/>
          <w:sz w:val="24"/>
          <w:szCs w:val="20"/>
        </w:rPr>
        <w:t xml:space="preserve">      电子函件</w:t>
      </w:r>
      <w:r>
        <w:rPr>
          <w:rFonts w:hint="eastAsia" w:ascii="宋体" w:hAnsi="宋体" w:cstheme="minorEastAsia"/>
          <w:bCs/>
          <w:sz w:val="24"/>
        </w:rPr>
        <w:t>_________________________</w:t>
      </w:r>
    </w:p>
    <w:p w14:paraId="37A230DE">
      <w:pPr>
        <w:tabs>
          <w:tab w:val="left" w:pos="5580"/>
        </w:tabs>
        <w:spacing w:line="360" w:lineRule="auto"/>
        <w:ind w:left="420"/>
        <w:rPr>
          <w:rFonts w:hint="eastAsia" w:ascii="宋体" w:hAnsi="宋体" w:cstheme="minorEastAsia"/>
          <w:sz w:val="24"/>
          <w:szCs w:val="20"/>
        </w:rPr>
      </w:pPr>
    </w:p>
    <w:p w14:paraId="6439900F">
      <w:pPr>
        <w:tabs>
          <w:tab w:val="left" w:pos="5580"/>
        </w:tabs>
        <w:spacing w:line="360" w:lineRule="auto"/>
        <w:ind w:left="420"/>
        <w:rPr>
          <w:rFonts w:hint="eastAsia" w:ascii="宋体" w:hAnsi="宋体" w:cstheme="minorEastAsia"/>
          <w:sz w:val="24"/>
          <w:szCs w:val="20"/>
        </w:rPr>
      </w:pPr>
    </w:p>
    <w:p w14:paraId="0F58805F">
      <w:pPr>
        <w:tabs>
          <w:tab w:val="left" w:pos="5580"/>
        </w:tabs>
        <w:spacing w:line="360" w:lineRule="auto"/>
        <w:ind w:left="420"/>
        <w:rPr>
          <w:rFonts w:hint="eastAsia" w:ascii="宋体" w:hAnsi="宋体" w:cstheme="minorEastAsia"/>
          <w:sz w:val="24"/>
          <w:szCs w:val="20"/>
        </w:rPr>
      </w:pPr>
    </w:p>
    <w:p w14:paraId="514165B9">
      <w:pPr>
        <w:autoSpaceDE w:val="0"/>
        <w:autoSpaceDN w:val="0"/>
        <w:adjustRightInd w:val="0"/>
        <w:snapToGrid w:val="0"/>
        <w:spacing w:before="25" w:after="25" w:line="360" w:lineRule="auto"/>
        <w:ind w:right="360" w:firstLine="360" w:firstLineChars="150"/>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w:t>
      </w:r>
    </w:p>
    <w:p w14:paraId="54E8404C">
      <w:pPr>
        <w:tabs>
          <w:tab w:val="left" w:pos="5580"/>
        </w:tabs>
        <w:spacing w:line="360" w:lineRule="auto"/>
        <w:ind w:firstLine="360" w:firstLineChars="150"/>
        <w:rPr>
          <w:rFonts w:hint="eastAsia" w:ascii="宋体" w:hAnsi="宋体" w:cstheme="minorEastAsia"/>
          <w:sz w:val="24"/>
          <w:szCs w:val="20"/>
        </w:rPr>
      </w:pPr>
      <w:r>
        <w:rPr>
          <w:rFonts w:hint="eastAsia" w:ascii="宋体" w:hAnsi="宋体" w:cstheme="minorEastAsia"/>
          <w:sz w:val="24"/>
          <w:szCs w:val="20"/>
        </w:rPr>
        <w:t xml:space="preserve">日期：____年____月____日  </w:t>
      </w:r>
    </w:p>
    <w:p w14:paraId="6CF7987F">
      <w:pPr>
        <w:tabs>
          <w:tab w:val="left" w:pos="5580"/>
        </w:tabs>
        <w:spacing w:line="360" w:lineRule="auto"/>
        <w:ind w:left="420"/>
        <w:jc w:val="left"/>
        <w:rPr>
          <w:rFonts w:hint="eastAsia" w:ascii="宋体" w:hAnsi="宋体" w:cstheme="minorEastAsia"/>
          <w:sz w:val="24"/>
          <w:szCs w:val="20"/>
        </w:rPr>
      </w:pPr>
    </w:p>
    <w:p w14:paraId="71A227C3">
      <w:pPr>
        <w:widowControl/>
        <w:jc w:val="left"/>
        <w:rPr>
          <w:rFonts w:hint="eastAsia" w:ascii="宋体" w:hAnsi="宋体" w:cstheme="minorEastAsia"/>
          <w:b/>
          <w:sz w:val="24"/>
          <w:szCs w:val="20"/>
        </w:rPr>
      </w:pPr>
      <w:r>
        <w:rPr>
          <w:rFonts w:hint="eastAsia" w:ascii="宋体" w:hAnsi="宋体" w:cstheme="minorEastAsia"/>
          <w:b/>
          <w:sz w:val="24"/>
          <w:szCs w:val="20"/>
        </w:rPr>
        <w:br w:type="page"/>
      </w:r>
    </w:p>
    <w:p w14:paraId="74DC45C5">
      <w:pPr>
        <w:tabs>
          <w:tab w:val="left" w:pos="360"/>
        </w:tabs>
        <w:snapToGrid w:val="0"/>
        <w:spacing w:line="360" w:lineRule="auto"/>
        <w:outlineLvl w:val="1"/>
        <w:rPr>
          <w:rFonts w:hint="eastAsia" w:ascii="宋体" w:hAnsi="宋体" w:cstheme="minorEastAsia"/>
          <w:sz w:val="24"/>
        </w:rPr>
      </w:pPr>
      <w:bookmarkStart w:id="997" w:name="_Hlt520356243"/>
      <w:bookmarkEnd w:id="997"/>
      <w:bookmarkStart w:id="998" w:name="_Hlt520355938"/>
      <w:bookmarkEnd w:id="998"/>
      <w:bookmarkStart w:id="999" w:name="_Toc305158899"/>
      <w:bookmarkStart w:id="1000" w:name="_Toc305158825"/>
      <w:bookmarkStart w:id="1001" w:name="_Toc226965747"/>
      <w:bookmarkStart w:id="1002" w:name="_Toc195842922"/>
      <w:bookmarkStart w:id="1003" w:name="_Toc520356218"/>
      <w:bookmarkStart w:id="1004" w:name="_Toc226309801"/>
      <w:bookmarkStart w:id="1005" w:name="_Toc150480795"/>
      <w:bookmarkStart w:id="1006" w:name="_Toc480942350"/>
      <w:bookmarkStart w:id="1007" w:name="_Toc264969247"/>
      <w:bookmarkStart w:id="1008" w:name="_Toc127151557"/>
      <w:bookmarkStart w:id="1009" w:name="_Toc150774762"/>
      <w:bookmarkStart w:id="1010" w:name="_Toc142311059"/>
      <w:bookmarkStart w:id="1011" w:name="_Toc226965830"/>
      <w:bookmarkStart w:id="1012" w:name="_Toc226337253"/>
      <w:bookmarkStart w:id="1013" w:name="_Ref467988705"/>
      <w:bookmarkStart w:id="1014" w:name="_Toc265228395"/>
      <w:r>
        <w:rPr>
          <w:rFonts w:hint="eastAsia" w:ascii="宋体" w:hAnsi="宋体" w:cstheme="minorEastAsia"/>
          <w:sz w:val="24"/>
        </w:rPr>
        <w:t>6  授权委托书（实质性格式）</w:t>
      </w:r>
    </w:p>
    <w:p w14:paraId="416D7FFE">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b/>
          <w:sz w:val="36"/>
          <w:szCs w:val="36"/>
        </w:rPr>
        <w:t>授权委托书</w:t>
      </w:r>
    </w:p>
    <w:p w14:paraId="20D3FCA1">
      <w:pPr>
        <w:spacing w:line="360" w:lineRule="auto"/>
        <w:ind w:firstLine="420"/>
        <w:rPr>
          <w:rFonts w:hint="eastAsia" w:ascii="宋体" w:hAnsi="宋体" w:cstheme="minorEastAsia"/>
          <w:sz w:val="24"/>
          <w:szCs w:val="20"/>
        </w:rPr>
      </w:pPr>
      <w:r>
        <w:rPr>
          <w:rFonts w:hint="eastAsia" w:ascii="宋体" w:hAnsi="宋体" w:cstheme="minorEastAsia"/>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F8F7FA8">
      <w:pPr>
        <w:spacing w:line="360" w:lineRule="auto"/>
        <w:ind w:firstLine="420"/>
        <w:rPr>
          <w:rFonts w:hint="eastAsia" w:ascii="宋体" w:hAnsi="宋体" w:cstheme="minorEastAsia"/>
          <w:sz w:val="24"/>
          <w:szCs w:val="20"/>
        </w:rPr>
      </w:pPr>
      <w:r>
        <w:rPr>
          <w:rFonts w:hint="eastAsia" w:ascii="宋体" w:hAnsi="宋体" w:cstheme="minorEastAsia"/>
          <w:sz w:val="24"/>
          <w:szCs w:val="20"/>
        </w:rPr>
        <w:t>委托期限：自本授权委托书签署之日起至响应有效期届满之日止。</w:t>
      </w:r>
    </w:p>
    <w:p w14:paraId="3F2141B3">
      <w:pPr>
        <w:spacing w:line="360" w:lineRule="auto"/>
        <w:ind w:firstLine="420"/>
        <w:rPr>
          <w:rFonts w:hint="eastAsia" w:ascii="宋体" w:hAnsi="宋体" w:cstheme="minorEastAsia"/>
          <w:sz w:val="24"/>
          <w:szCs w:val="20"/>
        </w:rPr>
      </w:pPr>
      <w:r>
        <w:rPr>
          <w:rFonts w:hint="eastAsia" w:ascii="宋体" w:hAnsi="宋体" w:cstheme="minorEastAsia"/>
          <w:sz w:val="24"/>
          <w:szCs w:val="20"/>
        </w:rPr>
        <w:t>代理人无转委托权。</w:t>
      </w:r>
      <w:r>
        <w:rPr>
          <w:rFonts w:hint="eastAsia" w:ascii="宋体" w:hAnsi="宋体" w:cstheme="minorEastAsia"/>
          <w:sz w:val="24"/>
          <w:szCs w:val="20"/>
        </w:rPr>
        <w:cr/>
      </w:r>
    </w:p>
    <w:p w14:paraId="79E238A1">
      <w:pPr>
        <w:spacing w:line="360" w:lineRule="auto"/>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szCs w:val="20"/>
        </w:rPr>
        <w:t>______________</w:t>
      </w:r>
    </w:p>
    <w:p w14:paraId="76A37910">
      <w:pPr>
        <w:spacing w:line="360" w:lineRule="auto"/>
        <w:rPr>
          <w:rFonts w:hint="eastAsia" w:ascii="宋体" w:hAnsi="宋体" w:cstheme="minorEastAsia"/>
          <w:sz w:val="24"/>
          <w:szCs w:val="20"/>
        </w:rPr>
      </w:pPr>
      <w:r>
        <w:rPr>
          <w:rFonts w:hint="eastAsia" w:ascii="宋体" w:hAnsi="宋体" w:cstheme="minorEastAsia"/>
          <w:sz w:val="24"/>
          <w:szCs w:val="20"/>
        </w:rPr>
        <w:t>法定代表人（单位负责人）（签字或签章）：______________</w:t>
      </w:r>
    </w:p>
    <w:p w14:paraId="78684F53">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z w:val="24"/>
        </w:rPr>
        <w:t>委托代理人（签字</w:t>
      </w:r>
      <w:r>
        <w:rPr>
          <w:rFonts w:hint="eastAsia" w:ascii="宋体" w:hAnsi="宋体" w:cstheme="minorEastAsia"/>
          <w:sz w:val="24"/>
          <w:szCs w:val="20"/>
        </w:rPr>
        <w:t>或签章</w:t>
      </w:r>
      <w:r>
        <w:rPr>
          <w:rFonts w:hint="eastAsia" w:ascii="宋体" w:hAnsi="宋体" w:cstheme="minorEastAsia"/>
          <w:sz w:val="24"/>
        </w:rPr>
        <w:t>）：</w:t>
      </w:r>
      <w:r>
        <w:rPr>
          <w:rFonts w:hint="eastAsia" w:ascii="宋体" w:hAnsi="宋体" w:cstheme="minorEastAsia"/>
          <w:sz w:val="24"/>
          <w:szCs w:val="20"/>
        </w:rPr>
        <w:t>______________</w:t>
      </w:r>
      <w:r>
        <w:rPr>
          <w:rFonts w:hint="eastAsia" w:ascii="宋体" w:hAnsi="宋体" w:cstheme="minorEastAsia"/>
          <w:sz w:val="24"/>
          <w:lang w:val="zh-CN"/>
        </w:rPr>
        <w:t xml:space="preserve">        </w:t>
      </w:r>
    </w:p>
    <w:p w14:paraId="54B80E60">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z w:val="24"/>
        </w:rPr>
        <w:t>日期：</w:t>
      </w:r>
      <w:r>
        <w:rPr>
          <w:rFonts w:hint="eastAsia" w:ascii="宋体" w:hAnsi="宋体" w:cstheme="minorEastAsia"/>
          <w:sz w:val="24"/>
          <w:szCs w:val="20"/>
        </w:rPr>
        <w:t>____</w:t>
      </w:r>
      <w:r>
        <w:rPr>
          <w:rFonts w:hint="eastAsia" w:ascii="宋体" w:hAnsi="宋体" w:cstheme="minorEastAsia"/>
          <w:sz w:val="24"/>
        </w:rPr>
        <w:t>年</w:t>
      </w:r>
      <w:r>
        <w:rPr>
          <w:rFonts w:hint="eastAsia" w:ascii="宋体" w:hAnsi="宋体" w:cstheme="minorEastAsia"/>
          <w:sz w:val="24"/>
          <w:szCs w:val="20"/>
        </w:rPr>
        <w:t>____</w:t>
      </w:r>
      <w:r>
        <w:rPr>
          <w:rFonts w:hint="eastAsia" w:ascii="宋体" w:hAnsi="宋体" w:cstheme="minorEastAsia"/>
          <w:sz w:val="24"/>
        </w:rPr>
        <w:t>月</w:t>
      </w:r>
      <w:r>
        <w:rPr>
          <w:rFonts w:hint="eastAsia" w:ascii="宋体" w:hAnsi="宋体" w:cstheme="minorEastAsia"/>
          <w:sz w:val="24"/>
          <w:szCs w:val="20"/>
        </w:rPr>
        <w:t>____</w:t>
      </w:r>
      <w:r>
        <w:rPr>
          <w:rFonts w:hint="eastAsia" w:ascii="宋体" w:hAnsi="宋体" w:cstheme="minorEastAsia"/>
          <w:sz w:val="24"/>
        </w:rPr>
        <w:t>日</w:t>
      </w:r>
    </w:p>
    <w:p w14:paraId="340C5005">
      <w:pPr>
        <w:tabs>
          <w:tab w:val="left" w:pos="5580"/>
        </w:tabs>
        <w:spacing w:line="360" w:lineRule="auto"/>
        <w:ind w:firstLine="480" w:firstLineChars="200"/>
        <w:rPr>
          <w:rFonts w:hint="eastAsia" w:ascii="宋体" w:hAnsi="宋体" w:cstheme="minorEastAsia"/>
          <w:sz w:val="24"/>
          <w:szCs w:val="20"/>
        </w:rPr>
      </w:pPr>
    </w:p>
    <w:p w14:paraId="57668CCF">
      <w:pPr>
        <w:tabs>
          <w:tab w:val="left" w:pos="5580"/>
        </w:tabs>
        <w:spacing w:line="360" w:lineRule="auto"/>
        <w:rPr>
          <w:rFonts w:hint="eastAsia" w:ascii="宋体" w:hAnsi="宋体" w:cstheme="minorEastAsia"/>
          <w:sz w:val="24"/>
          <w:szCs w:val="20"/>
        </w:rPr>
      </w:pPr>
      <w:r>
        <w:rPr>
          <w:rFonts w:hint="eastAsia" w:ascii="宋体" w:hAnsi="宋体" w:cstheme="minorEastAsia"/>
          <w:sz w:val="24"/>
          <w:szCs w:val="20"/>
        </w:rPr>
        <w:t>附：法定代表人（单位负责人）及委托代理人身份证明文件电子件：</w:t>
      </w:r>
    </w:p>
    <w:p w14:paraId="1434B57F">
      <w:pPr>
        <w:tabs>
          <w:tab w:val="left" w:pos="5580"/>
        </w:tabs>
        <w:spacing w:line="360" w:lineRule="auto"/>
        <w:jc w:val="left"/>
        <w:rPr>
          <w:rFonts w:hint="eastAsia" w:ascii="宋体" w:hAnsi="宋体" w:cstheme="minorEastAsia"/>
          <w:sz w:val="24"/>
          <w:szCs w:val="20"/>
        </w:rPr>
      </w:pPr>
    </w:p>
    <w:p w14:paraId="452389E0">
      <w:pPr>
        <w:tabs>
          <w:tab w:val="left" w:pos="5580"/>
        </w:tabs>
        <w:spacing w:line="360" w:lineRule="auto"/>
        <w:jc w:val="left"/>
        <w:rPr>
          <w:rFonts w:hint="eastAsia" w:ascii="宋体" w:hAnsi="宋体" w:cstheme="minorEastAsia"/>
          <w:sz w:val="24"/>
          <w:szCs w:val="20"/>
        </w:rPr>
      </w:pPr>
    </w:p>
    <w:p w14:paraId="7F6D2DD0">
      <w:pPr>
        <w:tabs>
          <w:tab w:val="left" w:pos="5580"/>
        </w:tabs>
        <w:spacing w:line="360" w:lineRule="auto"/>
        <w:jc w:val="left"/>
        <w:rPr>
          <w:rFonts w:hint="eastAsia" w:ascii="宋体" w:hAnsi="宋体" w:cstheme="minorEastAsia"/>
          <w:sz w:val="24"/>
          <w:szCs w:val="20"/>
        </w:rPr>
      </w:pPr>
    </w:p>
    <w:p w14:paraId="1A8383CB">
      <w:pPr>
        <w:tabs>
          <w:tab w:val="left" w:pos="5580"/>
        </w:tabs>
        <w:spacing w:line="360" w:lineRule="auto"/>
        <w:jc w:val="left"/>
        <w:rPr>
          <w:rFonts w:hint="eastAsia" w:ascii="宋体" w:hAnsi="宋体" w:cstheme="minorEastAsia"/>
          <w:sz w:val="24"/>
          <w:szCs w:val="20"/>
        </w:rPr>
      </w:pPr>
    </w:p>
    <w:p w14:paraId="4263C6B5">
      <w:pPr>
        <w:tabs>
          <w:tab w:val="left" w:pos="5580"/>
        </w:tabs>
        <w:spacing w:line="360" w:lineRule="auto"/>
        <w:jc w:val="left"/>
        <w:rPr>
          <w:rFonts w:hint="eastAsia" w:ascii="宋体" w:hAnsi="宋体" w:cstheme="minorEastAsia"/>
          <w:sz w:val="24"/>
          <w:szCs w:val="20"/>
        </w:rPr>
      </w:pPr>
    </w:p>
    <w:p w14:paraId="08CADDEE">
      <w:pPr>
        <w:tabs>
          <w:tab w:val="left" w:pos="5580"/>
        </w:tabs>
        <w:spacing w:line="360" w:lineRule="auto"/>
        <w:jc w:val="left"/>
        <w:rPr>
          <w:rFonts w:hint="eastAsia" w:ascii="宋体" w:hAnsi="宋体" w:cstheme="minorEastAsia"/>
          <w:sz w:val="24"/>
          <w:szCs w:val="20"/>
        </w:rPr>
      </w:pPr>
      <w:r>
        <w:rPr>
          <w:rFonts w:hint="eastAsia" w:ascii="宋体" w:hAnsi="宋体" w:cstheme="minorEastAsia"/>
          <w:sz w:val="24"/>
          <w:szCs w:val="20"/>
        </w:rPr>
        <w:t>说明：</w:t>
      </w:r>
    </w:p>
    <w:p w14:paraId="69B0B492">
      <w:pPr>
        <w:tabs>
          <w:tab w:val="left" w:pos="5580"/>
        </w:tabs>
        <w:spacing w:line="360" w:lineRule="auto"/>
        <w:jc w:val="left"/>
        <w:rPr>
          <w:rFonts w:hint="eastAsia" w:ascii="宋体" w:hAnsi="宋体" w:cstheme="minorEastAsia"/>
          <w:sz w:val="24"/>
          <w:szCs w:val="20"/>
        </w:rPr>
      </w:pPr>
      <w:r>
        <w:rPr>
          <w:rFonts w:hint="eastAsia" w:ascii="宋体" w:hAnsi="宋体" w:cstheme="minorEastAsia"/>
          <w:sz w:val="24"/>
          <w:szCs w:val="20"/>
        </w:rPr>
        <w:t>1.若供应商为事业单位或其他组织或分支机构，则法定代表人（单位负责人）处的签署人可为单位负责人。</w:t>
      </w:r>
    </w:p>
    <w:p w14:paraId="3B0C3F53">
      <w:pPr>
        <w:tabs>
          <w:tab w:val="left" w:pos="5580"/>
        </w:tabs>
        <w:spacing w:line="360" w:lineRule="auto"/>
        <w:jc w:val="left"/>
        <w:rPr>
          <w:rFonts w:hint="eastAsia" w:ascii="宋体" w:hAnsi="宋体" w:cstheme="minorEastAsia"/>
          <w:sz w:val="24"/>
          <w:szCs w:val="20"/>
        </w:rPr>
      </w:pPr>
      <w:r>
        <w:rPr>
          <w:rFonts w:hint="eastAsia" w:ascii="宋体" w:hAnsi="宋体" w:cstheme="minorEastAsia"/>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5FE61769">
      <w:pPr>
        <w:tabs>
          <w:tab w:val="left" w:pos="5580"/>
        </w:tabs>
        <w:spacing w:line="360" w:lineRule="auto"/>
        <w:jc w:val="left"/>
        <w:rPr>
          <w:rFonts w:hint="eastAsia" w:ascii="宋体" w:hAnsi="宋体" w:cstheme="minorEastAsia"/>
          <w:sz w:val="24"/>
          <w:szCs w:val="20"/>
        </w:rPr>
      </w:pPr>
      <w:r>
        <w:rPr>
          <w:rFonts w:hint="eastAsia" w:ascii="宋体" w:hAnsi="宋体" w:cstheme="minorEastAsia"/>
          <w:sz w:val="24"/>
          <w:szCs w:val="20"/>
        </w:rPr>
        <w:t>3.供应商为自然人的情形，可不提供本《授权委托书》。</w:t>
      </w:r>
    </w:p>
    <w:p w14:paraId="191D0332">
      <w:pPr>
        <w:tabs>
          <w:tab w:val="left" w:pos="5580"/>
        </w:tabs>
        <w:spacing w:line="360" w:lineRule="auto"/>
        <w:jc w:val="left"/>
        <w:rPr>
          <w:rFonts w:hint="eastAsia" w:ascii="宋体" w:hAnsi="宋体" w:cstheme="minorEastAsia"/>
          <w:sz w:val="30"/>
          <w:szCs w:val="30"/>
        </w:rPr>
      </w:pPr>
      <w:r>
        <w:rPr>
          <w:rFonts w:hint="eastAsia" w:ascii="宋体" w:hAnsi="宋体" w:cstheme="minorEastAsia"/>
          <w:sz w:val="24"/>
          <w:szCs w:val="20"/>
        </w:rPr>
        <w:t>4.供应商应随本《授权委托书》同时提供法定代表人（单位负责人）及委托代理人的有效的身份证或护照等身份证明文件电子件。提供身份证的，应同时提供身份证</w:t>
      </w:r>
      <w:r>
        <w:rPr>
          <w:rFonts w:hint="eastAsia" w:ascii="宋体" w:hAnsi="宋体" w:cstheme="minorEastAsia"/>
          <w:b/>
          <w:sz w:val="24"/>
          <w:szCs w:val="20"/>
        </w:rPr>
        <w:t>双面</w:t>
      </w:r>
      <w:r>
        <w:rPr>
          <w:rFonts w:hint="eastAsia" w:ascii="宋体" w:hAnsi="宋体" w:cstheme="minorEastAsia"/>
          <w:sz w:val="24"/>
          <w:szCs w:val="20"/>
        </w:rPr>
        <w:t>电子件。</w:t>
      </w:r>
      <w:r>
        <w:rPr>
          <w:rFonts w:hint="eastAsia" w:ascii="宋体" w:hAnsi="宋体" w:cstheme="minorEastAsia"/>
          <w:sz w:val="30"/>
          <w:szCs w:val="30"/>
        </w:rPr>
        <w:br w:type="page"/>
      </w:r>
    </w:p>
    <w:p w14:paraId="091045CC">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b/>
          <w:sz w:val="36"/>
          <w:szCs w:val="36"/>
        </w:rPr>
        <w:t>法定代表人（单位负责人）身份证明</w:t>
      </w:r>
    </w:p>
    <w:p w14:paraId="5052522A">
      <w:pPr>
        <w:kinsoku w:val="0"/>
        <w:overflowPunct w:val="0"/>
        <w:spacing w:line="200" w:lineRule="exact"/>
        <w:rPr>
          <w:rFonts w:hint="eastAsia" w:ascii="宋体" w:hAnsi="宋体" w:cstheme="minorEastAsia"/>
          <w:sz w:val="20"/>
          <w:szCs w:val="20"/>
        </w:rPr>
      </w:pPr>
    </w:p>
    <w:p w14:paraId="0126F1CC">
      <w:pPr>
        <w:tabs>
          <w:tab w:val="left" w:pos="5580"/>
        </w:tabs>
        <w:spacing w:line="360" w:lineRule="auto"/>
        <w:rPr>
          <w:rFonts w:hint="eastAsia" w:ascii="宋体" w:hAnsi="宋体" w:cstheme="minorEastAsia"/>
          <w:sz w:val="24"/>
        </w:rPr>
      </w:pPr>
      <w:r>
        <w:rPr>
          <w:rFonts w:hint="eastAsia" w:ascii="宋体" w:hAnsi="宋体" w:cstheme="minorEastAsia"/>
          <w:sz w:val="24"/>
        </w:rPr>
        <w:t>致：</w:t>
      </w:r>
      <w:r>
        <w:rPr>
          <w:rFonts w:hint="eastAsia" w:ascii="宋体" w:hAnsi="宋体" w:cstheme="minorEastAsia"/>
          <w:sz w:val="24"/>
          <w:szCs w:val="20"/>
        </w:rPr>
        <w:t>____</w:t>
      </w:r>
      <w:r>
        <w:rPr>
          <w:rFonts w:hint="eastAsia" w:ascii="宋体" w:hAnsi="宋体" w:cstheme="minorEastAsia"/>
          <w:sz w:val="24"/>
        </w:rPr>
        <w:t>（采购人或采购代理机构）</w:t>
      </w:r>
    </w:p>
    <w:p w14:paraId="4E16DF19">
      <w:pPr>
        <w:pStyle w:val="17"/>
        <w:tabs>
          <w:tab w:val="left" w:pos="2412"/>
          <w:tab w:val="left" w:pos="3883"/>
          <w:tab w:val="left" w:pos="5352"/>
          <w:tab w:val="left" w:pos="6821"/>
        </w:tabs>
        <w:kinsoku w:val="0"/>
        <w:overflowPunct w:val="0"/>
        <w:spacing w:line="335" w:lineRule="exact"/>
        <w:ind w:firstLine="480" w:firstLineChars="200"/>
        <w:rPr>
          <w:rFonts w:hint="eastAsia" w:cstheme="minorEastAsia"/>
        </w:rPr>
      </w:pPr>
      <w:r>
        <w:rPr>
          <w:rFonts w:hint="eastAsia" w:cstheme="minorEastAsia"/>
        </w:rPr>
        <w:t>兹证明，</w:t>
      </w:r>
    </w:p>
    <w:p w14:paraId="5E79A091">
      <w:pPr>
        <w:pStyle w:val="17"/>
        <w:tabs>
          <w:tab w:val="left" w:pos="1690"/>
          <w:tab w:val="left" w:pos="3400"/>
          <w:tab w:val="left" w:pos="5110"/>
          <w:tab w:val="left" w:pos="6821"/>
        </w:tabs>
        <w:kinsoku w:val="0"/>
        <w:overflowPunct w:val="0"/>
        <w:spacing w:line="335" w:lineRule="exact"/>
        <w:rPr>
          <w:rFonts w:hint="eastAsia" w:cstheme="minorEastAsia"/>
        </w:rPr>
      </w:pPr>
      <w:r>
        <w:rPr>
          <w:rFonts w:hint="eastAsia" w:cstheme="minorEastAsia"/>
        </w:rPr>
        <w:t>姓名：</w:t>
      </w:r>
      <w:r>
        <w:rPr>
          <w:rFonts w:hint="eastAsia" w:cstheme="minorEastAsia"/>
          <w:szCs w:val="20"/>
        </w:rPr>
        <w:t>____</w:t>
      </w:r>
      <w:r>
        <w:rPr>
          <w:rFonts w:hint="eastAsia" w:cstheme="minorEastAsia"/>
        </w:rPr>
        <w:t>性别：</w:t>
      </w:r>
      <w:r>
        <w:rPr>
          <w:rFonts w:hint="eastAsia" w:cstheme="minorEastAsia"/>
          <w:szCs w:val="20"/>
        </w:rPr>
        <w:t>____</w:t>
      </w:r>
      <w:r>
        <w:rPr>
          <w:rFonts w:hint="eastAsia" w:cstheme="minorEastAsia"/>
        </w:rPr>
        <w:t>年龄：</w:t>
      </w:r>
      <w:r>
        <w:rPr>
          <w:rFonts w:hint="eastAsia" w:cstheme="minorEastAsia"/>
          <w:szCs w:val="20"/>
        </w:rPr>
        <w:t>____</w:t>
      </w:r>
      <w:r>
        <w:rPr>
          <w:rFonts w:hint="eastAsia" w:cstheme="minorEastAsia"/>
        </w:rPr>
        <w:t>职务：</w:t>
      </w:r>
      <w:r>
        <w:rPr>
          <w:rFonts w:hint="eastAsia" w:cstheme="minorEastAsia"/>
          <w:szCs w:val="20"/>
        </w:rPr>
        <w:t>____</w:t>
      </w:r>
    </w:p>
    <w:p w14:paraId="7B11C1D9">
      <w:pPr>
        <w:pStyle w:val="17"/>
        <w:tabs>
          <w:tab w:val="left" w:pos="2412"/>
          <w:tab w:val="left" w:pos="3883"/>
          <w:tab w:val="left" w:pos="5352"/>
          <w:tab w:val="left" w:pos="6821"/>
        </w:tabs>
        <w:kinsoku w:val="0"/>
        <w:overflowPunct w:val="0"/>
        <w:spacing w:line="335" w:lineRule="exact"/>
        <w:rPr>
          <w:rFonts w:hint="eastAsia" w:cstheme="minorEastAsia"/>
        </w:rPr>
      </w:pPr>
    </w:p>
    <w:p w14:paraId="7346A69A">
      <w:pPr>
        <w:pStyle w:val="17"/>
        <w:tabs>
          <w:tab w:val="left" w:pos="2250"/>
          <w:tab w:val="left" w:pos="2412"/>
          <w:tab w:val="left" w:pos="3883"/>
          <w:tab w:val="left" w:pos="5352"/>
          <w:tab w:val="left" w:pos="6821"/>
          <w:tab w:val="clear" w:pos="567"/>
        </w:tabs>
        <w:kinsoku w:val="0"/>
        <w:overflowPunct w:val="0"/>
        <w:spacing w:line="335" w:lineRule="exact"/>
        <w:rPr>
          <w:rFonts w:hint="eastAsia" w:cstheme="minorEastAsia"/>
        </w:rPr>
      </w:pPr>
      <w:r>
        <w:rPr>
          <w:rFonts w:hint="eastAsia" w:cstheme="minorEastAsia"/>
        </w:rPr>
        <w:t>系</w:t>
      </w:r>
      <w:r>
        <w:rPr>
          <w:rFonts w:hint="eastAsia" w:cstheme="minorEastAsia"/>
          <w:szCs w:val="20"/>
        </w:rPr>
        <w:t>__________</w:t>
      </w:r>
      <w:r>
        <w:rPr>
          <w:rFonts w:hint="eastAsia" w:cstheme="minorEastAsia"/>
        </w:rPr>
        <w:t>（供应商名称）的法定代表人（单位负责人）。</w:t>
      </w:r>
    </w:p>
    <w:p w14:paraId="78725D0D">
      <w:pPr>
        <w:pStyle w:val="17"/>
        <w:tabs>
          <w:tab w:val="left" w:pos="2412"/>
          <w:tab w:val="left" w:pos="3883"/>
          <w:tab w:val="left" w:pos="5352"/>
          <w:tab w:val="left" w:pos="6821"/>
        </w:tabs>
        <w:kinsoku w:val="0"/>
        <w:overflowPunct w:val="0"/>
        <w:spacing w:line="335" w:lineRule="exact"/>
        <w:rPr>
          <w:rFonts w:hint="eastAsia" w:cstheme="minorEastAsia"/>
        </w:rPr>
      </w:pPr>
    </w:p>
    <w:p w14:paraId="5668A658">
      <w:pPr>
        <w:pStyle w:val="17"/>
        <w:tabs>
          <w:tab w:val="left" w:pos="2412"/>
          <w:tab w:val="left" w:pos="3883"/>
          <w:tab w:val="left" w:pos="5352"/>
          <w:tab w:val="left" w:pos="6821"/>
        </w:tabs>
        <w:kinsoku w:val="0"/>
        <w:overflowPunct w:val="0"/>
        <w:spacing w:line="335" w:lineRule="exact"/>
        <w:rPr>
          <w:rFonts w:hint="eastAsia" w:cstheme="minorEastAsia"/>
        </w:rPr>
      </w:pPr>
    </w:p>
    <w:p w14:paraId="07C26A18">
      <w:pPr>
        <w:pStyle w:val="17"/>
        <w:kinsoku w:val="0"/>
        <w:overflowPunct w:val="0"/>
        <w:spacing w:line="583" w:lineRule="auto"/>
        <w:ind w:right="-46"/>
        <w:rPr>
          <w:rFonts w:hint="eastAsia" w:cstheme="minorEastAsia"/>
          <w:szCs w:val="20"/>
        </w:rPr>
      </w:pPr>
      <w:r>
        <w:rPr>
          <w:rFonts w:hint="eastAsia" w:cstheme="minorEastAsia"/>
          <w:szCs w:val="20"/>
        </w:rPr>
        <w:t>附：法定代表人（单位负责人）身份证或护照等身份证明文件电子件：</w:t>
      </w:r>
    </w:p>
    <w:p w14:paraId="486CD251">
      <w:pPr>
        <w:pStyle w:val="17"/>
        <w:kinsoku w:val="0"/>
        <w:overflowPunct w:val="0"/>
        <w:spacing w:line="583" w:lineRule="auto"/>
        <w:ind w:right="4305"/>
        <w:rPr>
          <w:rFonts w:hint="eastAsia" w:cstheme="minorEastAsia"/>
          <w:spacing w:val="-3"/>
        </w:rPr>
      </w:pPr>
    </w:p>
    <w:p w14:paraId="11CD3EBA">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w:t>
      </w:r>
    </w:p>
    <w:p w14:paraId="09EC1C1F">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pacing w:val="-3"/>
          <w:sz w:val="24"/>
        </w:rPr>
        <w:t>法定代表人（</w:t>
      </w:r>
      <w:r>
        <w:rPr>
          <w:rFonts w:hint="eastAsia" w:ascii="宋体" w:hAnsi="宋体" w:cstheme="minorEastAsia"/>
          <w:sz w:val="24"/>
        </w:rPr>
        <w:t>单位负责人</w:t>
      </w:r>
      <w:r>
        <w:rPr>
          <w:rFonts w:hint="eastAsia" w:ascii="宋体" w:hAnsi="宋体" w:cstheme="minorEastAsia"/>
          <w:spacing w:val="-3"/>
          <w:sz w:val="24"/>
        </w:rPr>
        <w:t>）（签字</w:t>
      </w:r>
      <w:r>
        <w:rPr>
          <w:rFonts w:hint="eastAsia" w:ascii="宋体" w:hAnsi="宋体" w:cstheme="minorEastAsia"/>
          <w:sz w:val="24"/>
          <w:szCs w:val="20"/>
        </w:rPr>
        <w:t>或签章</w:t>
      </w:r>
      <w:r>
        <w:rPr>
          <w:rFonts w:hint="eastAsia" w:ascii="宋体" w:hAnsi="宋体" w:cstheme="minorEastAsia"/>
          <w:spacing w:val="-3"/>
          <w:sz w:val="24"/>
        </w:rPr>
        <w:t>）：</w:t>
      </w:r>
      <w:r>
        <w:rPr>
          <w:rFonts w:hint="eastAsia" w:ascii="宋体" w:hAnsi="宋体" w:cstheme="minorEastAsia"/>
          <w:sz w:val="24"/>
        </w:rPr>
        <w:t>______</w:t>
      </w:r>
    </w:p>
    <w:p w14:paraId="41FF8DBB">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z w:val="24"/>
        </w:rPr>
        <w:t>日期：</w:t>
      </w:r>
      <w:r>
        <w:rPr>
          <w:rFonts w:hint="eastAsia" w:ascii="宋体" w:hAnsi="宋体" w:cstheme="minorEastAsia"/>
          <w:sz w:val="24"/>
          <w:szCs w:val="20"/>
        </w:rPr>
        <w:t>____年____月____日</w:t>
      </w:r>
    </w:p>
    <w:p w14:paraId="03ED08D1">
      <w:pPr>
        <w:widowControl/>
        <w:jc w:val="left"/>
        <w:rPr>
          <w:rFonts w:hint="eastAsia" w:ascii="宋体" w:hAnsi="宋体" w:cstheme="minorEastAsia"/>
          <w:i/>
          <w:sz w:val="24"/>
          <w:szCs w:val="20"/>
          <w:u w:val="single"/>
        </w:rPr>
      </w:pPr>
    </w:p>
    <w:p w14:paraId="3777F126">
      <w:pPr>
        <w:widowControl/>
        <w:jc w:val="left"/>
        <w:rPr>
          <w:rFonts w:hint="eastAsia" w:ascii="宋体" w:hAnsi="宋体" w:cstheme="minorEastAsia"/>
          <w:sz w:val="24"/>
          <w:szCs w:val="20"/>
        </w:rPr>
      </w:pPr>
      <w:r>
        <w:rPr>
          <w:rFonts w:hint="eastAsia" w:ascii="宋体" w:hAnsi="宋体" w:cstheme="minorEastAsia"/>
          <w:sz w:val="24"/>
          <w:szCs w:val="20"/>
        </w:rPr>
        <w:br w:type="page"/>
      </w:r>
    </w:p>
    <w:p w14:paraId="0F6B13A0">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7  报价一览表</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14:paraId="19DCAC48">
      <w:pPr>
        <w:spacing w:line="360" w:lineRule="exact"/>
        <w:jc w:val="center"/>
        <w:rPr>
          <w:rFonts w:hint="eastAsia" w:ascii="宋体" w:hAnsi="宋体" w:cstheme="minorEastAsia"/>
          <w:b/>
          <w:sz w:val="36"/>
          <w:szCs w:val="36"/>
        </w:rPr>
      </w:pPr>
      <w:bookmarkStart w:id="1015" w:name="_Toc265228396"/>
      <w:bookmarkStart w:id="1016" w:name="_Toc305158900"/>
      <w:bookmarkStart w:id="1017" w:name="_Toc226965831"/>
      <w:bookmarkStart w:id="1018" w:name="_Toc264969248"/>
      <w:bookmarkStart w:id="1019" w:name="_Toc164608827"/>
      <w:bookmarkStart w:id="1020" w:name="_Toc164608672"/>
      <w:bookmarkStart w:id="1021" w:name="_Toc226965748"/>
      <w:bookmarkStart w:id="1022" w:name="_Toc305158826"/>
      <w:bookmarkStart w:id="1023" w:name="_Toc195842923"/>
      <w:bookmarkStart w:id="1024" w:name="_Toc226337254"/>
      <w:bookmarkStart w:id="1025" w:name="_Toc226309802"/>
      <w:r>
        <w:rPr>
          <w:rFonts w:hint="eastAsia" w:ascii="宋体" w:hAnsi="宋体" w:cstheme="minorEastAsia"/>
          <w:b/>
          <w:sz w:val="36"/>
          <w:szCs w:val="36"/>
        </w:rPr>
        <w:t>报价一览表</w:t>
      </w:r>
      <w:bookmarkEnd w:id="1015"/>
      <w:bookmarkEnd w:id="1016"/>
      <w:bookmarkEnd w:id="1017"/>
      <w:bookmarkEnd w:id="1018"/>
      <w:bookmarkEnd w:id="1019"/>
      <w:bookmarkEnd w:id="1020"/>
      <w:bookmarkEnd w:id="1021"/>
      <w:bookmarkEnd w:id="1022"/>
      <w:bookmarkEnd w:id="1023"/>
      <w:bookmarkEnd w:id="1024"/>
      <w:bookmarkEnd w:id="1025"/>
    </w:p>
    <w:p w14:paraId="41CA00C0">
      <w:pPr>
        <w:tabs>
          <w:tab w:val="left" w:pos="1800"/>
          <w:tab w:val="left" w:pos="5580"/>
        </w:tabs>
        <w:spacing w:line="360" w:lineRule="auto"/>
        <w:jc w:val="left"/>
        <w:rPr>
          <w:rFonts w:hint="eastAsia" w:ascii="宋体" w:hAnsi="宋体" w:cstheme="minorEastAsia"/>
          <w:sz w:val="24"/>
        </w:rPr>
      </w:pPr>
    </w:p>
    <w:p w14:paraId="7D8BA13C">
      <w:pPr>
        <w:tabs>
          <w:tab w:val="left" w:pos="1800"/>
          <w:tab w:val="left" w:pos="5580"/>
        </w:tabs>
        <w:spacing w:line="360" w:lineRule="auto"/>
        <w:ind w:firstLine="240" w:firstLineChars="100"/>
        <w:jc w:val="left"/>
        <w:rPr>
          <w:rFonts w:hint="eastAsia" w:ascii="宋体" w:hAnsi="宋体" w:cstheme="minorEastAsia"/>
          <w:sz w:val="24"/>
          <w:u w:val="single"/>
        </w:rPr>
      </w:pPr>
      <w:r>
        <w:rPr>
          <w:rFonts w:hint="eastAsia" w:ascii="宋体" w:hAnsi="宋体" w:cstheme="minorEastAsia"/>
          <w:sz w:val="24"/>
        </w:rPr>
        <w:t>项目编号：___________     项目名称：___________</w:t>
      </w:r>
    </w:p>
    <w:tbl>
      <w:tblPr>
        <w:tblStyle w:val="44"/>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9"/>
        <w:gridCol w:w="3197"/>
        <w:gridCol w:w="2021"/>
        <w:gridCol w:w="2127"/>
      </w:tblGrid>
      <w:tr w14:paraId="44BC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70B572AE">
            <w:pPr>
              <w:tabs>
                <w:tab w:val="left" w:pos="5580"/>
              </w:tabs>
              <w:jc w:val="center"/>
              <w:rPr>
                <w:rFonts w:hint="eastAsia" w:ascii="宋体" w:hAnsi="宋体" w:cstheme="minorEastAsia"/>
                <w:b/>
                <w:sz w:val="24"/>
              </w:rPr>
            </w:pPr>
            <w:r>
              <w:rPr>
                <w:rFonts w:hint="eastAsia" w:ascii="宋体" w:hAnsi="宋体" w:cs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7BFD6F06">
            <w:pPr>
              <w:tabs>
                <w:tab w:val="left" w:pos="5580"/>
              </w:tabs>
              <w:jc w:val="center"/>
              <w:rPr>
                <w:rFonts w:hint="eastAsia" w:ascii="宋体" w:hAnsi="宋体" w:cstheme="minorEastAsia"/>
                <w:b/>
                <w:sz w:val="24"/>
              </w:rPr>
            </w:pPr>
            <w:r>
              <w:rPr>
                <w:rFonts w:hint="eastAsia" w:ascii="宋体" w:hAnsi="宋体" w:cs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44993616">
            <w:pPr>
              <w:tabs>
                <w:tab w:val="left" w:pos="5580"/>
              </w:tabs>
              <w:jc w:val="center"/>
              <w:rPr>
                <w:rFonts w:hint="eastAsia" w:ascii="宋体" w:hAnsi="宋体" w:cstheme="minorEastAsia"/>
                <w:b/>
                <w:sz w:val="24"/>
              </w:rPr>
            </w:pPr>
            <w:r>
              <w:rPr>
                <w:rFonts w:hint="eastAsia" w:ascii="宋体" w:hAnsi="宋体" w:cstheme="minorEastAsia"/>
                <w:b/>
                <w:sz w:val="24"/>
              </w:rPr>
              <w:t>报价</w:t>
            </w:r>
          </w:p>
        </w:tc>
      </w:tr>
      <w:tr w14:paraId="6628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786A181">
            <w:pPr>
              <w:widowControl/>
              <w:jc w:val="left"/>
              <w:rPr>
                <w:rFonts w:hint="eastAsia" w:ascii="宋体" w:hAnsi="宋体" w:cs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2EE8B7C">
            <w:pPr>
              <w:widowControl/>
              <w:jc w:val="left"/>
              <w:rPr>
                <w:rFonts w:hint="eastAsia" w:ascii="宋体" w:hAnsi="宋体" w:cs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469E1AC">
            <w:pPr>
              <w:tabs>
                <w:tab w:val="left" w:pos="5580"/>
              </w:tabs>
              <w:jc w:val="center"/>
              <w:rPr>
                <w:rFonts w:hint="eastAsia" w:ascii="宋体" w:hAnsi="宋体" w:cstheme="minorEastAsia"/>
                <w:b/>
                <w:sz w:val="24"/>
              </w:rPr>
            </w:pPr>
            <w:r>
              <w:rPr>
                <w:rFonts w:hint="eastAsia" w:ascii="宋体" w:hAnsi="宋体" w:cs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D036437">
            <w:pPr>
              <w:tabs>
                <w:tab w:val="left" w:pos="5580"/>
              </w:tabs>
              <w:jc w:val="center"/>
              <w:rPr>
                <w:rFonts w:hint="eastAsia" w:ascii="宋体" w:hAnsi="宋体" w:cstheme="minorEastAsia"/>
                <w:b/>
                <w:sz w:val="24"/>
              </w:rPr>
            </w:pPr>
            <w:r>
              <w:rPr>
                <w:rFonts w:hint="eastAsia" w:ascii="宋体" w:hAnsi="宋体" w:cstheme="minorEastAsia"/>
                <w:b/>
                <w:sz w:val="24"/>
              </w:rPr>
              <w:t>小写</w:t>
            </w:r>
          </w:p>
        </w:tc>
      </w:tr>
      <w:tr w14:paraId="588E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3A9A27FC">
            <w:pPr>
              <w:tabs>
                <w:tab w:val="left" w:pos="5580"/>
              </w:tabs>
              <w:jc w:val="center"/>
              <w:rPr>
                <w:rFonts w:hint="eastAsia" w:ascii="宋体" w:hAnsi="宋体" w:cs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46FCB8E0">
            <w:pPr>
              <w:tabs>
                <w:tab w:val="left" w:pos="5580"/>
              </w:tabs>
              <w:jc w:val="center"/>
              <w:rPr>
                <w:rFonts w:hint="eastAsia" w:ascii="宋体" w:hAnsi="宋体" w:cs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684D4A68">
            <w:pPr>
              <w:tabs>
                <w:tab w:val="left" w:pos="5580"/>
              </w:tabs>
              <w:jc w:val="center"/>
              <w:rPr>
                <w:rFonts w:hint="eastAsia" w:ascii="宋体" w:hAnsi="宋体" w:cs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782C5A3C">
            <w:pPr>
              <w:tabs>
                <w:tab w:val="left" w:pos="5580"/>
              </w:tabs>
              <w:jc w:val="center"/>
              <w:rPr>
                <w:rFonts w:hint="eastAsia" w:ascii="宋体" w:hAnsi="宋体" w:cstheme="minorEastAsia"/>
                <w:sz w:val="24"/>
              </w:rPr>
            </w:pPr>
          </w:p>
        </w:tc>
      </w:tr>
    </w:tbl>
    <w:p w14:paraId="73259736">
      <w:pPr>
        <w:autoSpaceDE w:val="0"/>
        <w:autoSpaceDN w:val="0"/>
        <w:adjustRightInd w:val="0"/>
        <w:jc w:val="left"/>
        <w:rPr>
          <w:rFonts w:hint="eastAsia" w:ascii="宋体" w:hAnsi="宋体" w:cstheme="minorEastAsia"/>
          <w:kern w:val="0"/>
          <w:sz w:val="24"/>
        </w:rPr>
      </w:pPr>
    </w:p>
    <w:p w14:paraId="0426F2E6">
      <w:pPr>
        <w:autoSpaceDE w:val="0"/>
        <w:autoSpaceDN w:val="0"/>
        <w:adjustRightInd w:val="0"/>
        <w:jc w:val="left"/>
        <w:rPr>
          <w:rFonts w:hint="eastAsia" w:ascii="宋体" w:hAnsi="宋体" w:cstheme="minorEastAsia"/>
          <w:sz w:val="24"/>
          <w:szCs w:val="20"/>
        </w:rPr>
      </w:pPr>
      <w:r>
        <w:rPr>
          <w:rFonts w:hint="eastAsia" w:ascii="宋体" w:hAnsi="宋体" w:cstheme="minorEastAsia"/>
          <w:kern w:val="0"/>
          <w:sz w:val="24"/>
        </w:rPr>
        <w:t>注：1</w:t>
      </w:r>
      <w:r>
        <w:rPr>
          <w:rFonts w:hint="eastAsia" w:ascii="宋体" w:hAnsi="宋体" w:cstheme="minorEastAsia"/>
          <w:sz w:val="24"/>
          <w:szCs w:val="20"/>
        </w:rPr>
        <w:t>.此表中，每包的报价应和《分项报价表》中的总价相一致。</w:t>
      </w:r>
    </w:p>
    <w:p w14:paraId="654113D4">
      <w:pPr>
        <w:tabs>
          <w:tab w:val="left" w:pos="5580"/>
        </w:tabs>
        <w:ind w:firstLine="480" w:firstLineChars="200"/>
        <w:rPr>
          <w:rFonts w:hint="eastAsia" w:ascii="宋体" w:hAnsi="宋体" w:cstheme="minorEastAsia"/>
          <w:sz w:val="24"/>
          <w:szCs w:val="20"/>
        </w:rPr>
      </w:pPr>
      <w:r>
        <w:rPr>
          <w:rFonts w:hint="eastAsia" w:ascii="宋体" w:hAnsi="宋体" w:cstheme="minorEastAsia"/>
          <w:sz w:val="24"/>
          <w:szCs w:val="20"/>
        </w:rPr>
        <w:t>2.本表必须按包分别填写。</w:t>
      </w:r>
    </w:p>
    <w:p w14:paraId="0CA2A7A7">
      <w:pPr>
        <w:tabs>
          <w:tab w:val="left" w:pos="5580"/>
        </w:tabs>
        <w:ind w:firstLine="480" w:firstLineChars="200"/>
        <w:rPr>
          <w:rFonts w:hint="eastAsia" w:ascii="宋体" w:hAnsi="宋体" w:cstheme="minorEastAsia"/>
          <w:sz w:val="24"/>
          <w:szCs w:val="20"/>
        </w:rPr>
      </w:pPr>
    </w:p>
    <w:p w14:paraId="570659E7">
      <w:pPr>
        <w:autoSpaceDE w:val="0"/>
        <w:autoSpaceDN w:val="0"/>
        <w:adjustRightInd w:val="0"/>
        <w:snapToGrid w:val="0"/>
        <w:spacing w:before="25" w:after="25" w:line="360" w:lineRule="auto"/>
        <w:rPr>
          <w:rFonts w:hint="eastAsia" w:ascii="宋体" w:hAnsi="宋体" w:cstheme="minorEastAsia"/>
          <w:sz w:val="24"/>
          <w:lang w:val="zh-CN"/>
        </w:rPr>
      </w:pPr>
    </w:p>
    <w:p w14:paraId="29B3E184">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lang w:val="zh-CN"/>
        </w:rPr>
        <w:t xml:space="preserve">   </w:t>
      </w:r>
    </w:p>
    <w:p w14:paraId="74DF3C52">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___________</w:t>
      </w:r>
    </w:p>
    <w:p w14:paraId="331A1EE9">
      <w:pPr>
        <w:autoSpaceDE w:val="0"/>
        <w:autoSpaceDN w:val="0"/>
        <w:adjustRightInd w:val="0"/>
        <w:snapToGrid w:val="0"/>
        <w:spacing w:line="360" w:lineRule="auto"/>
        <w:rPr>
          <w:rFonts w:hint="eastAsia" w:ascii="宋体" w:hAnsi="宋体" w:cstheme="minorEastAsia"/>
          <w:sz w:val="24"/>
          <w:lang w:val="zh-CN"/>
        </w:rPr>
      </w:pPr>
      <w:r>
        <w:rPr>
          <w:rFonts w:hint="eastAsia" w:ascii="宋体" w:hAnsi="宋体" w:cstheme="minorEastAsia"/>
          <w:sz w:val="24"/>
        </w:rPr>
        <w:t>日期：</w:t>
      </w:r>
      <w:r>
        <w:rPr>
          <w:rFonts w:hint="eastAsia" w:ascii="宋体" w:hAnsi="宋体" w:cstheme="minorEastAsia"/>
          <w:sz w:val="24"/>
          <w:szCs w:val="20"/>
        </w:rPr>
        <w:t>____年____月____日</w:t>
      </w:r>
    </w:p>
    <w:p w14:paraId="0C2093B5">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szCs w:val="20"/>
        </w:rPr>
        <w:t xml:space="preserve">  </w:t>
      </w:r>
    </w:p>
    <w:p w14:paraId="58CF5008">
      <w:pPr>
        <w:tabs>
          <w:tab w:val="left" w:pos="360"/>
        </w:tabs>
        <w:snapToGrid w:val="0"/>
        <w:spacing w:line="360" w:lineRule="auto"/>
        <w:outlineLvl w:val="1"/>
        <w:rPr>
          <w:rFonts w:hint="eastAsia" w:ascii="宋体" w:hAnsi="宋体" w:cstheme="minorEastAsia"/>
          <w:sz w:val="24"/>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bookmarkStart w:id="1026" w:name="_Toc305158827"/>
      <w:bookmarkStart w:id="1027" w:name="_Toc150480796"/>
      <w:bookmarkStart w:id="1028" w:name="_Toc142311060"/>
      <w:bookmarkStart w:id="1029" w:name="_Toc195842924"/>
      <w:bookmarkStart w:id="1030" w:name="_Toc127151558"/>
      <w:bookmarkStart w:id="1031" w:name="_Toc264969249"/>
      <w:bookmarkStart w:id="1032" w:name="_Toc226309803"/>
      <w:bookmarkStart w:id="1033" w:name="_Toc265228397"/>
      <w:bookmarkStart w:id="1034" w:name="_Toc150774763"/>
      <w:bookmarkStart w:id="1035" w:name="_Toc226965749"/>
      <w:bookmarkStart w:id="1036" w:name="_Toc226965832"/>
      <w:bookmarkStart w:id="1037" w:name="_Toc305158901"/>
      <w:bookmarkStart w:id="1038" w:name="_Toc226337255"/>
    </w:p>
    <w:p w14:paraId="243E3579">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8  分项报价表</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01963263">
      <w:pPr>
        <w:pStyle w:val="156"/>
      </w:pPr>
      <w:bookmarkStart w:id="1039" w:name="_Toc264969252"/>
      <w:bookmarkStart w:id="1040" w:name="_Toc226309806"/>
      <w:bookmarkStart w:id="1041" w:name="_Toc305158830"/>
      <w:bookmarkStart w:id="1042" w:name="_Toc150774765"/>
      <w:bookmarkStart w:id="1043" w:name="_Toc305158904"/>
      <w:bookmarkStart w:id="1044" w:name="_Toc195842927"/>
      <w:bookmarkStart w:id="1045" w:name="_Toc127151562"/>
      <w:bookmarkStart w:id="1046" w:name="_Toc265228400"/>
      <w:bookmarkStart w:id="1047" w:name="_Toc226965835"/>
      <w:bookmarkStart w:id="1048" w:name="_Toc226337258"/>
      <w:bookmarkStart w:id="1049" w:name="_Toc226965752"/>
      <w:bookmarkStart w:id="1050" w:name="_Toc150480798"/>
      <w:bookmarkStart w:id="1051" w:name="_Toc142311062"/>
      <w:bookmarkStart w:id="1052" w:name="_Toc226965751"/>
      <w:bookmarkStart w:id="1053" w:name="_Toc305158903"/>
      <w:bookmarkStart w:id="1054" w:name="_Toc195842926"/>
      <w:bookmarkStart w:id="1055" w:name="_Toc226965834"/>
      <w:bookmarkStart w:id="1056" w:name="_Toc305158829"/>
      <w:bookmarkStart w:id="1057" w:name="_Toc264969251"/>
      <w:bookmarkStart w:id="1058" w:name="_Toc150774764"/>
      <w:bookmarkStart w:id="1059" w:name="_Toc265228399"/>
      <w:bookmarkStart w:id="1060" w:name="_Toc226337257"/>
      <w:bookmarkStart w:id="1061" w:name="_Toc150480797"/>
      <w:bookmarkStart w:id="1062" w:name="_Toc226309805"/>
      <w:bookmarkStart w:id="1063" w:name="_Toc142311061"/>
      <w:bookmarkStart w:id="1064" w:name="_Toc127151561"/>
    </w:p>
    <w:p w14:paraId="7A17A1C1">
      <w:pPr>
        <w:tabs>
          <w:tab w:val="left" w:pos="360"/>
        </w:tabs>
        <w:snapToGrid w:val="0"/>
        <w:spacing w:line="360" w:lineRule="auto"/>
        <w:jc w:val="center"/>
        <w:outlineLvl w:val="1"/>
        <w:rPr>
          <w:rFonts w:hint="eastAsia" w:ascii="宋体" w:hAnsi="宋体" w:cstheme="minorEastAsia"/>
          <w:b/>
          <w:sz w:val="36"/>
          <w:szCs w:val="36"/>
        </w:rPr>
        <w:sectPr>
          <w:pgSz w:w="11907" w:h="16840"/>
          <w:pgMar w:top="1418" w:right="1134" w:bottom="1418" w:left="1701" w:header="851" w:footer="851" w:gutter="0"/>
          <w:cols w:space="720" w:num="1"/>
          <w:docGrid w:linePitch="462" w:charSpace="0"/>
        </w:sectPr>
      </w:pPr>
      <w:r>
        <w:rPr>
          <w:rFonts w:hint="eastAsia" w:ascii="宋体" w:hAnsi="宋体" w:cstheme="minorEastAsia"/>
          <w:b/>
          <w:sz w:val="36"/>
          <w:szCs w:val="36"/>
        </w:rPr>
        <w:t>已标价工程量清单</w:t>
      </w:r>
    </w:p>
    <w:p w14:paraId="77A5663E">
      <w:pPr>
        <w:tabs>
          <w:tab w:val="left" w:pos="360"/>
        </w:tabs>
        <w:snapToGrid w:val="0"/>
        <w:spacing w:line="360" w:lineRule="auto"/>
        <w:outlineLvl w:val="1"/>
        <w:rPr>
          <w:rFonts w:hint="eastAsia" w:ascii="宋体" w:hAnsi="宋体" w:cstheme="minorEastAsia"/>
          <w:sz w:val="24"/>
          <w:szCs w:val="20"/>
        </w:rPr>
      </w:pPr>
      <w:r>
        <w:rPr>
          <w:rFonts w:hint="eastAsia" w:ascii="宋体" w:hAnsi="宋体" w:cstheme="minorEastAsia"/>
          <w:sz w:val="24"/>
        </w:rPr>
        <w:t>9  合同条款偏离表</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hint="eastAsia" w:ascii="宋体" w:hAnsi="宋体" w:cstheme="minorEastAsia"/>
          <w:sz w:val="24"/>
        </w:rPr>
        <w:t>（实质性格式）</w:t>
      </w:r>
    </w:p>
    <w:p w14:paraId="1F504AF1">
      <w:pPr>
        <w:spacing w:line="360" w:lineRule="auto"/>
        <w:rPr>
          <w:rFonts w:hint="eastAsia" w:ascii="宋体" w:hAnsi="宋体" w:cstheme="minorEastAsia"/>
          <w:sz w:val="24"/>
          <w:szCs w:val="20"/>
        </w:rPr>
      </w:pPr>
    </w:p>
    <w:p w14:paraId="6657C11C">
      <w:pPr>
        <w:tabs>
          <w:tab w:val="left" w:pos="2775"/>
          <w:tab w:val="center" w:pos="4153"/>
        </w:tabs>
        <w:autoSpaceDE w:val="0"/>
        <w:autoSpaceDN w:val="0"/>
        <w:adjustRightInd w:val="0"/>
        <w:spacing w:line="360" w:lineRule="auto"/>
        <w:jc w:val="left"/>
        <w:rPr>
          <w:rFonts w:hint="eastAsia" w:ascii="宋体" w:hAnsi="宋体" w:cstheme="minorEastAsia"/>
          <w:b/>
          <w:sz w:val="36"/>
          <w:szCs w:val="36"/>
        </w:rPr>
      </w:pPr>
      <w:r>
        <w:rPr>
          <w:rFonts w:hint="eastAsia" w:ascii="宋体" w:hAnsi="宋体" w:cstheme="minorEastAsia"/>
          <w:sz w:val="36"/>
          <w:szCs w:val="36"/>
        </w:rPr>
        <w:tab/>
      </w:r>
      <w:r>
        <w:rPr>
          <w:rFonts w:hint="eastAsia" w:ascii="宋体" w:hAnsi="宋体" w:cstheme="minorEastAsia"/>
          <w:b/>
          <w:sz w:val="36"/>
          <w:szCs w:val="36"/>
        </w:rPr>
        <w:tab/>
      </w:r>
      <w:r>
        <w:rPr>
          <w:rFonts w:hint="eastAsia" w:ascii="宋体" w:hAnsi="宋体" w:cstheme="minorEastAsia"/>
          <w:b/>
          <w:sz w:val="36"/>
          <w:szCs w:val="36"/>
        </w:rPr>
        <w:t>合同条款偏离表</w:t>
      </w:r>
    </w:p>
    <w:p w14:paraId="4F984CE7">
      <w:pPr>
        <w:spacing w:line="360" w:lineRule="auto"/>
        <w:rPr>
          <w:rFonts w:hint="eastAsia" w:ascii="宋体" w:hAnsi="宋体" w:cstheme="minorEastAsia"/>
          <w:sz w:val="24"/>
          <w:szCs w:val="20"/>
        </w:rPr>
      </w:pPr>
    </w:p>
    <w:p w14:paraId="20CB0BD1">
      <w:pPr>
        <w:tabs>
          <w:tab w:val="left" w:pos="1800"/>
          <w:tab w:val="left" w:pos="5580"/>
        </w:tabs>
        <w:spacing w:line="360" w:lineRule="auto"/>
        <w:ind w:firstLine="360" w:firstLineChars="150"/>
        <w:jc w:val="left"/>
        <w:rPr>
          <w:rFonts w:hint="eastAsia" w:ascii="宋体" w:hAnsi="宋体" w:cstheme="minorEastAsia"/>
          <w:sz w:val="24"/>
        </w:rPr>
      </w:pPr>
      <w:r>
        <w:rPr>
          <w:rFonts w:hint="eastAsia" w:ascii="宋体" w:hAnsi="宋体" w:cstheme="minorEastAsia"/>
          <w:sz w:val="24"/>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530"/>
        <w:gridCol w:w="1729"/>
        <w:gridCol w:w="1730"/>
        <w:gridCol w:w="2120"/>
        <w:gridCol w:w="962"/>
      </w:tblGrid>
      <w:tr w14:paraId="1434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89118DC">
            <w:pPr>
              <w:adjustRightInd w:val="0"/>
              <w:snapToGrid w:val="0"/>
              <w:jc w:val="center"/>
              <w:rPr>
                <w:rFonts w:hint="eastAsia" w:ascii="宋体" w:hAnsi="宋体" w:cstheme="minorEastAsia"/>
                <w:sz w:val="24"/>
              </w:rPr>
            </w:pPr>
            <w:r>
              <w:rPr>
                <w:rFonts w:hint="eastAsia" w:ascii="宋体" w:hAnsi="宋体" w:cstheme="minorEastAsia"/>
                <w:sz w:val="24"/>
              </w:rPr>
              <w:t>序号</w:t>
            </w:r>
          </w:p>
        </w:tc>
        <w:tc>
          <w:tcPr>
            <w:tcW w:w="1394" w:type="dxa"/>
            <w:vAlign w:val="center"/>
          </w:tcPr>
          <w:p w14:paraId="617371C8">
            <w:pPr>
              <w:adjustRightInd w:val="0"/>
              <w:snapToGrid w:val="0"/>
              <w:jc w:val="center"/>
              <w:rPr>
                <w:rFonts w:hint="eastAsia" w:ascii="宋体" w:hAnsi="宋体" w:cstheme="minorEastAsia"/>
                <w:sz w:val="24"/>
              </w:rPr>
            </w:pPr>
            <w:r>
              <w:rPr>
                <w:rFonts w:hint="eastAsia" w:ascii="宋体" w:hAnsi="宋体" w:cstheme="minorEastAsia"/>
                <w:sz w:val="24"/>
                <w:szCs w:val="21"/>
              </w:rPr>
              <w:t>竞争性磋商文件</w:t>
            </w:r>
            <w:r>
              <w:rPr>
                <w:rFonts w:hint="eastAsia" w:ascii="宋体" w:hAnsi="宋体" w:cstheme="minorEastAsia"/>
                <w:sz w:val="24"/>
              </w:rPr>
              <w:t>条目号（页码）</w:t>
            </w:r>
          </w:p>
        </w:tc>
        <w:tc>
          <w:tcPr>
            <w:tcW w:w="1808" w:type="dxa"/>
            <w:vAlign w:val="center"/>
          </w:tcPr>
          <w:p w14:paraId="24E0F8E6">
            <w:pPr>
              <w:adjustRightInd w:val="0"/>
              <w:snapToGrid w:val="0"/>
              <w:jc w:val="center"/>
              <w:rPr>
                <w:rFonts w:hint="eastAsia" w:ascii="宋体" w:hAnsi="宋体" w:cstheme="minorEastAsia"/>
                <w:sz w:val="24"/>
              </w:rPr>
            </w:pPr>
            <w:r>
              <w:rPr>
                <w:rFonts w:hint="eastAsia" w:ascii="宋体" w:hAnsi="宋体" w:cstheme="minorEastAsia"/>
                <w:sz w:val="24"/>
                <w:szCs w:val="21"/>
              </w:rPr>
              <w:t>竞争性磋商文件</w:t>
            </w:r>
            <w:r>
              <w:rPr>
                <w:rFonts w:hint="eastAsia" w:ascii="宋体" w:hAnsi="宋体" w:cstheme="minorEastAsia"/>
                <w:sz w:val="24"/>
              </w:rPr>
              <w:t>要求</w:t>
            </w:r>
          </w:p>
        </w:tc>
        <w:tc>
          <w:tcPr>
            <w:tcW w:w="1809" w:type="dxa"/>
            <w:vAlign w:val="center"/>
          </w:tcPr>
          <w:p w14:paraId="65B950F7">
            <w:pPr>
              <w:adjustRightInd w:val="0"/>
              <w:snapToGrid w:val="0"/>
              <w:jc w:val="center"/>
              <w:rPr>
                <w:rFonts w:hint="eastAsia" w:ascii="宋体" w:hAnsi="宋体" w:cstheme="minorEastAsia"/>
                <w:sz w:val="24"/>
              </w:rPr>
            </w:pPr>
            <w:r>
              <w:rPr>
                <w:rFonts w:hint="eastAsia" w:ascii="宋体" w:hAnsi="宋体" w:cstheme="minorEastAsia"/>
                <w:sz w:val="24"/>
              </w:rPr>
              <w:t>响应文件内容</w:t>
            </w:r>
          </w:p>
        </w:tc>
        <w:tc>
          <w:tcPr>
            <w:tcW w:w="2290" w:type="dxa"/>
            <w:vAlign w:val="center"/>
          </w:tcPr>
          <w:p w14:paraId="11640387">
            <w:pPr>
              <w:adjustRightInd w:val="0"/>
              <w:snapToGrid w:val="0"/>
              <w:jc w:val="center"/>
              <w:rPr>
                <w:rFonts w:hint="eastAsia" w:ascii="宋体" w:hAnsi="宋体" w:cstheme="minorEastAsia"/>
                <w:sz w:val="24"/>
              </w:rPr>
            </w:pPr>
            <w:r>
              <w:rPr>
                <w:rFonts w:hint="eastAsia" w:ascii="宋体" w:hAnsi="宋体" w:cstheme="minorEastAsia"/>
                <w:sz w:val="24"/>
              </w:rPr>
              <w:t>偏离情况</w:t>
            </w:r>
          </w:p>
        </w:tc>
        <w:tc>
          <w:tcPr>
            <w:tcW w:w="863" w:type="dxa"/>
            <w:vAlign w:val="center"/>
          </w:tcPr>
          <w:p w14:paraId="44E805D2">
            <w:pPr>
              <w:adjustRightInd w:val="0"/>
              <w:snapToGrid w:val="0"/>
              <w:jc w:val="center"/>
              <w:rPr>
                <w:rFonts w:hint="eastAsia" w:ascii="宋体" w:hAnsi="宋体" w:cstheme="minorEastAsia"/>
                <w:sz w:val="24"/>
              </w:rPr>
            </w:pPr>
            <w:r>
              <w:rPr>
                <w:rFonts w:hint="eastAsia" w:ascii="宋体" w:hAnsi="宋体" w:cstheme="minorEastAsia"/>
                <w:sz w:val="24"/>
              </w:rPr>
              <w:t>说明</w:t>
            </w:r>
          </w:p>
        </w:tc>
      </w:tr>
      <w:tr w14:paraId="3335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C68BADD">
            <w:pPr>
              <w:adjustRightInd w:val="0"/>
              <w:snapToGrid w:val="0"/>
              <w:jc w:val="left"/>
              <w:rPr>
                <w:rFonts w:hint="eastAsia" w:ascii="宋体" w:hAnsi="宋体" w:cstheme="minorEastAsia"/>
                <w:b/>
                <w:sz w:val="24"/>
              </w:rPr>
            </w:pPr>
            <w:r>
              <w:rPr>
                <w:rFonts w:hint="eastAsia" w:ascii="宋体" w:hAnsi="宋体" w:cstheme="minorEastAsia"/>
                <w:b/>
                <w:sz w:val="24"/>
              </w:rPr>
              <w:t>对本项目合同条款的偏离情况（</w:t>
            </w:r>
            <w:r>
              <w:rPr>
                <w:rFonts w:hint="eastAsia" w:ascii="宋体" w:hAnsi="宋体" w:cstheme="minorEastAsia"/>
                <w:bCs/>
                <w:sz w:val="24"/>
              </w:rPr>
              <w:t>应进行选择，未选择</w:t>
            </w:r>
            <w:r>
              <w:rPr>
                <w:rFonts w:hint="eastAsia" w:ascii="宋体" w:hAnsi="宋体" w:cstheme="minorEastAsia"/>
                <w:b/>
                <w:sz w:val="24"/>
              </w:rPr>
              <w:t>响应无效）：</w:t>
            </w:r>
          </w:p>
          <w:p w14:paraId="48D58002">
            <w:pPr>
              <w:adjustRightInd w:val="0"/>
              <w:snapToGrid w:val="0"/>
              <w:jc w:val="left"/>
              <w:rPr>
                <w:rFonts w:hint="eastAsia" w:ascii="宋体" w:hAnsi="宋体" w:cstheme="minorEastAsia"/>
                <w:b/>
                <w:sz w:val="24"/>
              </w:rPr>
            </w:pPr>
            <w:r>
              <w:rPr>
                <w:rFonts w:hint="eastAsia" w:ascii="宋体" w:hAnsi="宋体" w:cstheme="minorEastAsia"/>
                <w:b/>
                <w:sz w:val="24"/>
              </w:rPr>
              <w:t>□无偏离</w:t>
            </w:r>
            <w:r>
              <w:rPr>
                <w:rFonts w:hint="eastAsia" w:ascii="宋体" w:hAnsi="宋体" w:cstheme="minorEastAsia"/>
                <w:sz w:val="24"/>
              </w:rPr>
              <w:t>（</w:t>
            </w:r>
            <w:r>
              <w:rPr>
                <w:rFonts w:hint="eastAsia" w:ascii="宋体" w:hAnsi="宋体" w:cstheme="minorEastAsia"/>
                <w:sz w:val="24"/>
                <w:szCs w:val="21"/>
              </w:rPr>
              <w:t>如无偏离，仅选择无偏离即可；</w:t>
            </w:r>
            <w:r>
              <w:rPr>
                <w:rFonts w:hint="eastAsia" w:ascii="宋体" w:hAnsi="宋体" w:cstheme="minorEastAsia"/>
                <w:bCs/>
                <w:sz w:val="24"/>
              </w:rPr>
              <w:t>无偏离即为</w:t>
            </w:r>
            <w:r>
              <w:rPr>
                <w:rFonts w:hint="eastAsia" w:ascii="宋体" w:hAnsi="宋体" w:cstheme="minorEastAsia"/>
                <w:sz w:val="24"/>
              </w:rPr>
              <w:t>对合同条款中的所有要求，均视作供应商已对之理解和响应。）</w:t>
            </w:r>
          </w:p>
          <w:p w14:paraId="419CB0C2">
            <w:pPr>
              <w:adjustRightInd w:val="0"/>
              <w:snapToGrid w:val="0"/>
              <w:jc w:val="left"/>
              <w:rPr>
                <w:rFonts w:hint="eastAsia" w:ascii="宋体" w:hAnsi="宋体" w:cstheme="minorEastAsia"/>
                <w:sz w:val="24"/>
              </w:rPr>
            </w:pPr>
            <w:r>
              <w:rPr>
                <w:rFonts w:hint="eastAsia" w:ascii="宋体" w:hAnsi="宋体" w:cstheme="minorEastAsia"/>
                <w:b/>
                <w:sz w:val="24"/>
              </w:rPr>
              <w:t>□有偏离</w:t>
            </w:r>
            <w:r>
              <w:rPr>
                <w:rFonts w:hint="eastAsia" w:ascii="宋体" w:hAnsi="宋体" w:cstheme="minorEastAsia"/>
                <w:sz w:val="24"/>
              </w:rPr>
              <w:t>（</w:t>
            </w:r>
            <w:r>
              <w:rPr>
                <w:rFonts w:hint="eastAsia" w:ascii="宋体" w:hAnsi="宋体" w:cstheme="minorEastAsia"/>
                <w:sz w:val="24"/>
                <w:szCs w:val="21"/>
              </w:rPr>
              <w:t>如有偏离，</w:t>
            </w:r>
            <w:r>
              <w:rPr>
                <w:rFonts w:hint="eastAsia" w:ascii="宋体" w:hAnsi="宋体" w:cstheme="minorEastAsia"/>
                <w:sz w:val="24"/>
              </w:rPr>
              <w:t>则应在本表中对负偏离项逐一列明，否则</w:t>
            </w:r>
            <w:r>
              <w:rPr>
                <w:rFonts w:hint="eastAsia" w:ascii="宋体" w:hAnsi="宋体" w:cstheme="minorEastAsia"/>
                <w:b/>
                <w:bCs/>
                <w:sz w:val="24"/>
              </w:rPr>
              <w:t>响应无效</w:t>
            </w:r>
            <w:r>
              <w:rPr>
                <w:rFonts w:hint="eastAsia" w:ascii="宋体" w:hAnsi="宋体" w:cstheme="minorEastAsia"/>
                <w:sz w:val="24"/>
              </w:rPr>
              <w:t>；对合同条款中的所有要求，除本表列明的偏离外，均视作供应商已对之理解和响应。）</w:t>
            </w:r>
          </w:p>
        </w:tc>
      </w:tr>
      <w:tr w14:paraId="2369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163A2DA">
            <w:pPr>
              <w:adjustRightInd w:val="0"/>
              <w:snapToGrid w:val="0"/>
              <w:jc w:val="center"/>
              <w:rPr>
                <w:rFonts w:hint="eastAsia" w:ascii="宋体" w:hAnsi="宋体" w:cstheme="minorEastAsia"/>
                <w:sz w:val="24"/>
              </w:rPr>
            </w:pPr>
          </w:p>
        </w:tc>
        <w:tc>
          <w:tcPr>
            <w:tcW w:w="1394" w:type="dxa"/>
            <w:vAlign w:val="center"/>
          </w:tcPr>
          <w:p w14:paraId="566B6002">
            <w:pPr>
              <w:adjustRightInd w:val="0"/>
              <w:snapToGrid w:val="0"/>
              <w:jc w:val="center"/>
              <w:rPr>
                <w:rFonts w:hint="eastAsia" w:ascii="宋体" w:hAnsi="宋体" w:cstheme="minorEastAsia"/>
                <w:sz w:val="24"/>
              </w:rPr>
            </w:pPr>
          </w:p>
        </w:tc>
        <w:tc>
          <w:tcPr>
            <w:tcW w:w="1808" w:type="dxa"/>
            <w:vAlign w:val="center"/>
          </w:tcPr>
          <w:p w14:paraId="704F0C42">
            <w:pPr>
              <w:adjustRightInd w:val="0"/>
              <w:snapToGrid w:val="0"/>
              <w:jc w:val="center"/>
              <w:rPr>
                <w:rFonts w:hint="eastAsia" w:ascii="宋体" w:hAnsi="宋体" w:cstheme="minorEastAsia"/>
                <w:sz w:val="24"/>
              </w:rPr>
            </w:pPr>
          </w:p>
        </w:tc>
        <w:tc>
          <w:tcPr>
            <w:tcW w:w="1809" w:type="dxa"/>
            <w:vAlign w:val="center"/>
          </w:tcPr>
          <w:p w14:paraId="23963085">
            <w:pPr>
              <w:adjustRightInd w:val="0"/>
              <w:snapToGrid w:val="0"/>
              <w:jc w:val="center"/>
              <w:rPr>
                <w:rFonts w:hint="eastAsia" w:ascii="宋体" w:hAnsi="宋体" w:cstheme="minorEastAsia"/>
                <w:sz w:val="24"/>
              </w:rPr>
            </w:pPr>
          </w:p>
        </w:tc>
        <w:tc>
          <w:tcPr>
            <w:tcW w:w="2290" w:type="dxa"/>
            <w:vAlign w:val="center"/>
          </w:tcPr>
          <w:p w14:paraId="53D03190">
            <w:pPr>
              <w:adjustRightInd w:val="0"/>
              <w:snapToGrid w:val="0"/>
              <w:jc w:val="center"/>
              <w:rPr>
                <w:rFonts w:hint="eastAsia" w:ascii="宋体" w:hAnsi="宋体" w:cstheme="minorEastAsia"/>
                <w:sz w:val="24"/>
              </w:rPr>
            </w:pPr>
          </w:p>
        </w:tc>
        <w:tc>
          <w:tcPr>
            <w:tcW w:w="863" w:type="dxa"/>
            <w:vAlign w:val="center"/>
          </w:tcPr>
          <w:p w14:paraId="750A3395">
            <w:pPr>
              <w:adjustRightInd w:val="0"/>
              <w:snapToGrid w:val="0"/>
              <w:jc w:val="center"/>
              <w:rPr>
                <w:rFonts w:hint="eastAsia" w:ascii="宋体" w:hAnsi="宋体" w:cstheme="minorEastAsia"/>
                <w:sz w:val="24"/>
              </w:rPr>
            </w:pPr>
          </w:p>
        </w:tc>
      </w:tr>
      <w:tr w14:paraId="535F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BDA029D">
            <w:pPr>
              <w:adjustRightInd w:val="0"/>
              <w:snapToGrid w:val="0"/>
              <w:jc w:val="center"/>
              <w:rPr>
                <w:rFonts w:hint="eastAsia" w:ascii="宋体" w:hAnsi="宋体" w:cstheme="minorEastAsia"/>
                <w:sz w:val="24"/>
              </w:rPr>
            </w:pPr>
          </w:p>
        </w:tc>
        <w:tc>
          <w:tcPr>
            <w:tcW w:w="1394" w:type="dxa"/>
            <w:vAlign w:val="center"/>
          </w:tcPr>
          <w:p w14:paraId="65A316C0">
            <w:pPr>
              <w:adjustRightInd w:val="0"/>
              <w:snapToGrid w:val="0"/>
              <w:jc w:val="center"/>
              <w:rPr>
                <w:rFonts w:hint="eastAsia" w:ascii="宋体" w:hAnsi="宋体" w:cstheme="minorEastAsia"/>
                <w:sz w:val="24"/>
              </w:rPr>
            </w:pPr>
          </w:p>
        </w:tc>
        <w:tc>
          <w:tcPr>
            <w:tcW w:w="1808" w:type="dxa"/>
            <w:vAlign w:val="center"/>
          </w:tcPr>
          <w:p w14:paraId="3CACBC29">
            <w:pPr>
              <w:adjustRightInd w:val="0"/>
              <w:snapToGrid w:val="0"/>
              <w:jc w:val="center"/>
              <w:rPr>
                <w:rFonts w:hint="eastAsia" w:ascii="宋体" w:hAnsi="宋体" w:cstheme="minorEastAsia"/>
                <w:sz w:val="24"/>
              </w:rPr>
            </w:pPr>
          </w:p>
        </w:tc>
        <w:tc>
          <w:tcPr>
            <w:tcW w:w="1809" w:type="dxa"/>
            <w:vAlign w:val="center"/>
          </w:tcPr>
          <w:p w14:paraId="49BB46C3">
            <w:pPr>
              <w:adjustRightInd w:val="0"/>
              <w:snapToGrid w:val="0"/>
              <w:jc w:val="center"/>
              <w:rPr>
                <w:rFonts w:hint="eastAsia" w:ascii="宋体" w:hAnsi="宋体" w:cstheme="minorEastAsia"/>
                <w:sz w:val="24"/>
              </w:rPr>
            </w:pPr>
          </w:p>
        </w:tc>
        <w:tc>
          <w:tcPr>
            <w:tcW w:w="2290" w:type="dxa"/>
            <w:vAlign w:val="center"/>
          </w:tcPr>
          <w:p w14:paraId="309686D3">
            <w:pPr>
              <w:adjustRightInd w:val="0"/>
              <w:snapToGrid w:val="0"/>
              <w:jc w:val="center"/>
              <w:rPr>
                <w:rFonts w:hint="eastAsia" w:ascii="宋体" w:hAnsi="宋体" w:cstheme="minorEastAsia"/>
                <w:sz w:val="24"/>
              </w:rPr>
            </w:pPr>
          </w:p>
        </w:tc>
        <w:tc>
          <w:tcPr>
            <w:tcW w:w="863" w:type="dxa"/>
            <w:vAlign w:val="center"/>
          </w:tcPr>
          <w:p w14:paraId="19BF1A48">
            <w:pPr>
              <w:adjustRightInd w:val="0"/>
              <w:snapToGrid w:val="0"/>
              <w:jc w:val="center"/>
              <w:rPr>
                <w:rFonts w:hint="eastAsia" w:ascii="宋体" w:hAnsi="宋体" w:cstheme="minorEastAsia"/>
                <w:sz w:val="24"/>
              </w:rPr>
            </w:pPr>
          </w:p>
        </w:tc>
      </w:tr>
      <w:tr w14:paraId="0863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3815FA1">
            <w:pPr>
              <w:adjustRightInd w:val="0"/>
              <w:snapToGrid w:val="0"/>
              <w:jc w:val="center"/>
              <w:rPr>
                <w:rFonts w:hint="eastAsia" w:ascii="宋体" w:hAnsi="宋体" w:cstheme="minorEastAsia"/>
                <w:sz w:val="24"/>
              </w:rPr>
            </w:pPr>
          </w:p>
        </w:tc>
        <w:tc>
          <w:tcPr>
            <w:tcW w:w="1394" w:type="dxa"/>
            <w:vAlign w:val="center"/>
          </w:tcPr>
          <w:p w14:paraId="353E5B03">
            <w:pPr>
              <w:adjustRightInd w:val="0"/>
              <w:snapToGrid w:val="0"/>
              <w:jc w:val="center"/>
              <w:rPr>
                <w:rFonts w:hint="eastAsia" w:ascii="宋体" w:hAnsi="宋体" w:cstheme="minorEastAsia"/>
                <w:sz w:val="24"/>
              </w:rPr>
            </w:pPr>
          </w:p>
        </w:tc>
        <w:tc>
          <w:tcPr>
            <w:tcW w:w="1808" w:type="dxa"/>
            <w:vAlign w:val="center"/>
          </w:tcPr>
          <w:p w14:paraId="34364C6B">
            <w:pPr>
              <w:adjustRightInd w:val="0"/>
              <w:snapToGrid w:val="0"/>
              <w:jc w:val="center"/>
              <w:rPr>
                <w:rFonts w:hint="eastAsia" w:ascii="宋体" w:hAnsi="宋体" w:cstheme="minorEastAsia"/>
                <w:sz w:val="24"/>
              </w:rPr>
            </w:pPr>
          </w:p>
        </w:tc>
        <w:tc>
          <w:tcPr>
            <w:tcW w:w="1809" w:type="dxa"/>
            <w:vAlign w:val="center"/>
          </w:tcPr>
          <w:p w14:paraId="221E85E8">
            <w:pPr>
              <w:adjustRightInd w:val="0"/>
              <w:snapToGrid w:val="0"/>
              <w:jc w:val="center"/>
              <w:rPr>
                <w:rFonts w:hint="eastAsia" w:ascii="宋体" w:hAnsi="宋体" w:cstheme="minorEastAsia"/>
                <w:sz w:val="24"/>
              </w:rPr>
            </w:pPr>
          </w:p>
        </w:tc>
        <w:tc>
          <w:tcPr>
            <w:tcW w:w="2290" w:type="dxa"/>
            <w:vAlign w:val="center"/>
          </w:tcPr>
          <w:p w14:paraId="0803D161">
            <w:pPr>
              <w:adjustRightInd w:val="0"/>
              <w:snapToGrid w:val="0"/>
              <w:jc w:val="center"/>
              <w:rPr>
                <w:rFonts w:hint="eastAsia" w:ascii="宋体" w:hAnsi="宋体" w:cstheme="minorEastAsia"/>
                <w:sz w:val="24"/>
              </w:rPr>
            </w:pPr>
          </w:p>
        </w:tc>
        <w:tc>
          <w:tcPr>
            <w:tcW w:w="863" w:type="dxa"/>
            <w:vAlign w:val="center"/>
          </w:tcPr>
          <w:p w14:paraId="15841D47">
            <w:pPr>
              <w:adjustRightInd w:val="0"/>
              <w:snapToGrid w:val="0"/>
              <w:jc w:val="center"/>
              <w:rPr>
                <w:rFonts w:hint="eastAsia" w:ascii="宋体" w:hAnsi="宋体" w:cstheme="minorEastAsia"/>
                <w:sz w:val="24"/>
              </w:rPr>
            </w:pPr>
          </w:p>
        </w:tc>
      </w:tr>
      <w:tr w14:paraId="63FF1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E45BEB4">
            <w:pPr>
              <w:adjustRightInd w:val="0"/>
              <w:snapToGrid w:val="0"/>
              <w:jc w:val="center"/>
              <w:rPr>
                <w:rFonts w:hint="eastAsia" w:ascii="宋体" w:hAnsi="宋体" w:cstheme="minorEastAsia"/>
                <w:sz w:val="24"/>
              </w:rPr>
            </w:pPr>
          </w:p>
        </w:tc>
        <w:tc>
          <w:tcPr>
            <w:tcW w:w="1394" w:type="dxa"/>
            <w:vAlign w:val="center"/>
          </w:tcPr>
          <w:p w14:paraId="54B20284">
            <w:pPr>
              <w:adjustRightInd w:val="0"/>
              <w:snapToGrid w:val="0"/>
              <w:jc w:val="center"/>
              <w:rPr>
                <w:rFonts w:hint="eastAsia" w:ascii="宋体" w:hAnsi="宋体" w:cstheme="minorEastAsia"/>
                <w:sz w:val="24"/>
              </w:rPr>
            </w:pPr>
          </w:p>
        </w:tc>
        <w:tc>
          <w:tcPr>
            <w:tcW w:w="1808" w:type="dxa"/>
            <w:vAlign w:val="center"/>
          </w:tcPr>
          <w:p w14:paraId="4C1756FF">
            <w:pPr>
              <w:adjustRightInd w:val="0"/>
              <w:snapToGrid w:val="0"/>
              <w:jc w:val="center"/>
              <w:rPr>
                <w:rFonts w:hint="eastAsia" w:ascii="宋体" w:hAnsi="宋体" w:cstheme="minorEastAsia"/>
                <w:sz w:val="24"/>
              </w:rPr>
            </w:pPr>
          </w:p>
        </w:tc>
        <w:tc>
          <w:tcPr>
            <w:tcW w:w="1809" w:type="dxa"/>
            <w:vAlign w:val="center"/>
          </w:tcPr>
          <w:p w14:paraId="367154B2">
            <w:pPr>
              <w:adjustRightInd w:val="0"/>
              <w:snapToGrid w:val="0"/>
              <w:jc w:val="center"/>
              <w:rPr>
                <w:rFonts w:hint="eastAsia" w:ascii="宋体" w:hAnsi="宋体" w:cstheme="minorEastAsia"/>
                <w:sz w:val="24"/>
              </w:rPr>
            </w:pPr>
          </w:p>
        </w:tc>
        <w:tc>
          <w:tcPr>
            <w:tcW w:w="2290" w:type="dxa"/>
            <w:vAlign w:val="center"/>
          </w:tcPr>
          <w:p w14:paraId="34CB0542">
            <w:pPr>
              <w:adjustRightInd w:val="0"/>
              <w:snapToGrid w:val="0"/>
              <w:jc w:val="center"/>
              <w:rPr>
                <w:rFonts w:hint="eastAsia" w:ascii="宋体" w:hAnsi="宋体" w:cstheme="minorEastAsia"/>
                <w:sz w:val="24"/>
              </w:rPr>
            </w:pPr>
          </w:p>
        </w:tc>
        <w:tc>
          <w:tcPr>
            <w:tcW w:w="863" w:type="dxa"/>
            <w:vAlign w:val="center"/>
          </w:tcPr>
          <w:p w14:paraId="6B959196">
            <w:pPr>
              <w:adjustRightInd w:val="0"/>
              <w:snapToGrid w:val="0"/>
              <w:jc w:val="center"/>
              <w:rPr>
                <w:rFonts w:hint="eastAsia" w:ascii="宋体" w:hAnsi="宋体" w:cstheme="minorEastAsia"/>
                <w:sz w:val="24"/>
              </w:rPr>
            </w:pPr>
          </w:p>
        </w:tc>
      </w:tr>
      <w:tr w14:paraId="3DC4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BCE4A00">
            <w:pPr>
              <w:adjustRightInd w:val="0"/>
              <w:snapToGrid w:val="0"/>
              <w:jc w:val="center"/>
              <w:rPr>
                <w:rFonts w:hint="eastAsia" w:ascii="宋体" w:hAnsi="宋体" w:cstheme="minorEastAsia"/>
                <w:sz w:val="24"/>
              </w:rPr>
            </w:pPr>
          </w:p>
        </w:tc>
        <w:tc>
          <w:tcPr>
            <w:tcW w:w="1394" w:type="dxa"/>
            <w:vAlign w:val="center"/>
          </w:tcPr>
          <w:p w14:paraId="43F9C50E">
            <w:pPr>
              <w:adjustRightInd w:val="0"/>
              <w:snapToGrid w:val="0"/>
              <w:jc w:val="center"/>
              <w:rPr>
                <w:rFonts w:hint="eastAsia" w:ascii="宋体" w:hAnsi="宋体" w:cstheme="minorEastAsia"/>
                <w:sz w:val="24"/>
              </w:rPr>
            </w:pPr>
          </w:p>
        </w:tc>
        <w:tc>
          <w:tcPr>
            <w:tcW w:w="1808" w:type="dxa"/>
            <w:vAlign w:val="center"/>
          </w:tcPr>
          <w:p w14:paraId="600988DE">
            <w:pPr>
              <w:adjustRightInd w:val="0"/>
              <w:snapToGrid w:val="0"/>
              <w:jc w:val="center"/>
              <w:rPr>
                <w:rFonts w:hint="eastAsia" w:ascii="宋体" w:hAnsi="宋体" w:cstheme="minorEastAsia"/>
                <w:sz w:val="24"/>
              </w:rPr>
            </w:pPr>
          </w:p>
        </w:tc>
        <w:tc>
          <w:tcPr>
            <w:tcW w:w="1809" w:type="dxa"/>
            <w:vAlign w:val="center"/>
          </w:tcPr>
          <w:p w14:paraId="68D4A43B">
            <w:pPr>
              <w:adjustRightInd w:val="0"/>
              <w:snapToGrid w:val="0"/>
              <w:jc w:val="center"/>
              <w:rPr>
                <w:rFonts w:hint="eastAsia" w:ascii="宋体" w:hAnsi="宋体" w:cstheme="minorEastAsia"/>
                <w:sz w:val="24"/>
              </w:rPr>
            </w:pPr>
          </w:p>
        </w:tc>
        <w:tc>
          <w:tcPr>
            <w:tcW w:w="2290" w:type="dxa"/>
            <w:vAlign w:val="center"/>
          </w:tcPr>
          <w:p w14:paraId="40AD67BD">
            <w:pPr>
              <w:adjustRightInd w:val="0"/>
              <w:snapToGrid w:val="0"/>
              <w:jc w:val="center"/>
              <w:rPr>
                <w:rFonts w:hint="eastAsia" w:ascii="宋体" w:hAnsi="宋体" w:cstheme="minorEastAsia"/>
                <w:sz w:val="24"/>
              </w:rPr>
            </w:pPr>
          </w:p>
        </w:tc>
        <w:tc>
          <w:tcPr>
            <w:tcW w:w="863" w:type="dxa"/>
            <w:vAlign w:val="center"/>
          </w:tcPr>
          <w:p w14:paraId="5771A49C">
            <w:pPr>
              <w:adjustRightInd w:val="0"/>
              <w:snapToGrid w:val="0"/>
              <w:jc w:val="center"/>
              <w:rPr>
                <w:rFonts w:hint="eastAsia" w:ascii="宋体" w:hAnsi="宋体" w:cstheme="minorEastAsia"/>
                <w:sz w:val="24"/>
              </w:rPr>
            </w:pPr>
          </w:p>
        </w:tc>
      </w:tr>
    </w:tbl>
    <w:p w14:paraId="4580633D">
      <w:pPr>
        <w:tabs>
          <w:tab w:val="left" w:pos="1800"/>
          <w:tab w:val="left" w:pos="5580"/>
        </w:tabs>
        <w:jc w:val="left"/>
        <w:rPr>
          <w:rFonts w:hint="eastAsia" w:ascii="宋体" w:hAnsi="宋体" w:cstheme="minorEastAsia"/>
          <w:sz w:val="24"/>
        </w:rPr>
      </w:pPr>
    </w:p>
    <w:p w14:paraId="696C0495">
      <w:pPr>
        <w:tabs>
          <w:tab w:val="left" w:pos="1800"/>
          <w:tab w:val="left" w:pos="5580"/>
        </w:tabs>
        <w:jc w:val="left"/>
        <w:rPr>
          <w:rFonts w:hint="eastAsia" w:ascii="宋体" w:hAnsi="宋体" w:cstheme="minorEastAsia"/>
          <w:sz w:val="24"/>
        </w:rPr>
      </w:pPr>
      <w:r>
        <w:rPr>
          <w:rFonts w:hint="eastAsia" w:ascii="宋体" w:hAnsi="宋体" w:cstheme="minorEastAsia"/>
          <w:sz w:val="24"/>
        </w:rPr>
        <w:t>注： “偏离情况”列应据实填写“正偏离”或“负偏离”。</w:t>
      </w:r>
    </w:p>
    <w:p w14:paraId="6FF8B7C5">
      <w:pPr>
        <w:spacing w:line="360" w:lineRule="auto"/>
        <w:rPr>
          <w:rFonts w:hint="eastAsia" w:ascii="宋体" w:hAnsi="宋体" w:cstheme="minorEastAsia"/>
          <w:sz w:val="24"/>
          <w:szCs w:val="20"/>
        </w:rPr>
      </w:pPr>
    </w:p>
    <w:p w14:paraId="33AEF322">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_______________</w:t>
      </w:r>
    </w:p>
    <w:p w14:paraId="59B22ED9">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szCs w:val="20"/>
        </w:rPr>
        <w:t xml:space="preserve">日期：____年____月____日    </w:t>
      </w:r>
    </w:p>
    <w:p w14:paraId="23BC3052">
      <w:pPr>
        <w:tabs>
          <w:tab w:val="left" w:pos="360"/>
        </w:tabs>
        <w:snapToGrid w:val="0"/>
        <w:spacing w:line="360" w:lineRule="auto"/>
        <w:outlineLvl w:val="1"/>
        <w:rPr>
          <w:rFonts w:hint="eastAsia" w:ascii="宋体" w:hAnsi="宋体" w:cstheme="minorEastAsia"/>
          <w:sz w:val="24"/>
          <w:szCs w:val="20"/>
        </w:rPr>
      </w:pPr>
      <w:r>
        <w:rPr>
          <w:rFonts w:hint="eastAsia" w:ascii="宋体" w:hAnsi="宋体" w:cstheme="minorEastAsia"/>
          <w:sz w:val="24"/>
          <w:szCs w:val="20"/>
        </w:rPr>
        <w:br w:type="page"/>
      </w:r>
      <w:r>
        <w:rPr>
          <w:rFonts w:hint="eastAsia" w:ascii="宋体" w:hAnsi="宋体" w:cstheme="minorEastAsia"/>
          <w:sz w:val="24"/>
        </w:rPr>
        <w:t xml:space="preserve">10  </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rFonts w:hint="eastAsia" w:ascii="宋体" w:hAnsi="宋体" w:cstheme="minorEastAsia"/>
          <w:sz w:val="24"/>
        </w:rPr>
        <w:t>采购需求偏离表（实质性格式）</w:t>
      </w:r>
    </w:p>
    <w:p w14:paraId="05968C70">
      <w:pPr>
        <w:autoSpaceDE w:val="0"/>
        <w:autoSpaceDN w:val="0"/>
        <w:adjustRightInd w:val="0"/>
        <w:spacing w:line="360" w:lineRule="auto"/>
        <w:jc w:val="center"/>
        <w:rPr>
          <w:rFonts w:hint="eastAsia" w:ascii="宋体" w:hAnsi="宋体" w:cstheme="minorEastAsia"/>
          <w:b/>
          <w:sz w:val="36"/>
          <w:szCs w:val="36"/>
        </w:rPr>
      </w:pPr>
      <w:r>
        <w:rPr>
          <w:rFonts w:hint="eastAsia" w:ascii="宋体" w:hAnsi="宋体" w:cstheme="minorEastAsia"/>
          <w:b/>
          <w:sz w:val="36"/>
          <w:szCs w:val="36"/>
        </w:rPr>
        <w:t>采购需求偏离表</w:t>
      </w:r>
    </w:p>
    <w:p w14:paraId="7B966592">
      <w:pPr>
        <w:tabs>
          <w:tab w:val="left" w:pos="1800"/>
          <w:tab w:val="left" w:pos="5580"/>
        </w:tabs>
        <w:spacing w:line="360" w:lineRule="auto"/>
        <w:ind w:firstLine="360" w:firstLineChars="150"/>
        <w:jc w:val="left"/>
        <w:rPr>
          <w:rFonts w:hint="eastAsia" w:ascii="宋体" w:hAnsi="宋体" w:cstheme="minorEastAsia"/>
          <w:sz w:val="24"/>
        </w:rPr>
      </w:pPr>
      <w:r>
        <w:rPr>
          <w:rFonts w:hint="eastAsia" w:ascii="宋体" w:hAnsi="宋体" w:cstheme="minorEastAsia"/>
          <w:sz w:val="24"/>
        </w:rPr>
        <w:t>项目编号/包号：_______________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5D6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3C39DC8">
            <w:pPr>
              <w:adjustRightInd w:val="0"/>
              <w:snapToGrid w:val="0"/>
              <w:jc w:val="center"/>
              <w:rPr>
                <w:rFonts w:hint="eastAsia" w:ascii="宋体" w:hAnsi="宋体" w:cstheme="minorEastAsia"/>
                <w:sz w:val="24"/>
              </w:rPr>
            </w:pPr>
            <w:r>
              <w:rPr>
                <w:rFonts w:hint="eastAsia" w:ascii="宋体" w:hAnsi="宋体" w:cstheme="minorEastAsia"/>
                <w:sz w:val="24"/>
              </w:rPr>
              <w:t>序号</w:t>
            </w:r>
          </w:p>
        </w:tc>
        <w:tc>
          <w:tcPr>
            <w:tcW w:w="1482" w:type="dxa"/>
            <w:vAlign w:val="center"/>
          </w:tcPr>
          <w:p w14:paraId="1288D25B">
            <w:pPr>
              <w:adjustRightInd w:val="0"/>
              <w:snapToGrid w:val="0"/>
              <w:jc w:val="center"/>
              <w:rPr>
                <w:rFonts w:hint="eastAsia" w:ascii="宋体" w:hAnsi="宋体" w:cstheme="minorEastAsia"/>
                <w:sz w:val="24"/>
              </w:rPr>
            </w:pPr>
            <w:r>
              <w:rPr>
                <w:rFonts w:hint="eastAsia" w:ascii="宋体" w:hAnsi="宋体" w:cstheme="minorEastAsia"/>
                <w:sz w:val="24"/>
              </w:rPr>
              <w:t>竞争性磋商文件条目号(页码)</w:t>
            </w:r>
          </w:p>
        </w:tc>
        <w:tc>
          <w:tcPr>
            <w:tcW w:w="2384" w:type="dxa"/>
            <w:vAlign w:val="center"/>
          </w:tcPr>
          <w:p w14:paraId="25FAB897">
            <w:pPr>
              <w:adjustRightInd w:val="0"/>
              <w:snapToGrid w:val="0"/>
              <w:jc w:val="center"/>
              <w:rPr>
                <w:rFonts w:hint="eastAsia" w:ascii="宋体" w:hAnsi="宋体" w:cstheme="minorEastAsia"/>
                <w:sz w:val="24"/>
              </w:rPr>
            </w:pPr>
            <w:r>
              <w:rPr>
                <w:rFonts w:hint="eastAsia" w:ascii="宋体" w:hAnsi="宋体" w:cstheme="minorEastAsia"/>
                <w:sz w:val="24"/>
              </w:rPr>
              <w:t>竞争性磋商文件要求</w:t>
            </w:r>
          </w:p>
        </w:tc>
        <w:tc>
          <w:tcPr>
            <w:tcW w:w="2126" w:type="dxa"/>
            <w:vAlign w:val="center"/>
          </w:tcPr>
          <w:p w14:paraId="1E882FEE">
            <w:pPr>
              <w:adjustRightInd w:val="0"/>
              <w:snapToGrid w:val="0"/>
              <w:jc w:val="center"/>
              <w:rPr>
                <w:rFonts w:hint="eastAsia" w:ascii="宋体" w:hAnsi="宋体" w:cstheme="minorEastAsia"/>
                <w:sz w:val="24"/>
              </w:rPr>
            </w:pPr>
            <w:r>
              <w:rPr>
                <w:rFonts w:hint="eastAsia" w:ascii="宋体" w:hAnsi="宋体" w:cstheme="minorEastAsia"/>
                <w:sz w:val="24"/>
              </w:rPr>
              <w:t>响应内容</w:t>
            </w:r>
          </w:p>
        </w:tc>
        <w:tc>
          <w:tcPr>
            <w:tcW w:w="1875" w:type="dxa"/>
            <w:vAlign w:val="center"/>
          </w:tcPr>
          <w:p w14:paraId="69A38457">
            <w:pPr>
              <w:adjustRightInd w:val="0"/>
              <w:snapToGrid w:val="0"/>
              <w:jc w:val="center"/>
              <w:rPr>
                <w:rFonts w:hint="eastAsia" w:ascii="宋体" w:hAnsi="宋体" w:cstheme="minorEastAsia"/>
                <w:sz w:val="24"/>
              </w:rPr>
            </w:pPr>
            <w:r>
              <w:rPr>
                <w:rFonts w:hint="eastAsia" w:ascii="宋体" w:hAnsi="宋体" w:cstheme="minorEastAsia"/>
                <w:sz w:val="24"/>
              </w:rPr>
              <w:t>偏离情况</w:t>
            </w:r>
          </w:p>
        </w:tc>
        <w:tc>
          <w:tcPr>
            <w:tcW w:w="1009" w:type="dxa"/>
            <w:vAlign w:val="center"/>
          </w:tcPr>
          <w:p w14:paraId="4118F75D">
            <w:pPr>
              <w:adjustRightInd w:val="0"/>
              <w:snapToGrid w:val="0"/>
              <w:jc w:val="center"/>
              <w:rPr>
                <w:rFonts w:hint="eastAsia" w:ascii="宋体" w:hAnsi="宋体" w:cstheme="minorEastAsia"/>
                <w:sz w:val="24"/>
              </w:rPr>
            </w:pPr>
            <w:r>
              <w:rPr>
                <w:rFonts w:hint="eastAsia" w:ascii="宋体" w:hAnsi="宋体" w:cstheme="minorEastAsia"/>
                <w:sz w:val="24"/>
              </w:rPr>
              <w:t>说明</w:t>
            </w:r>
          </w:p>
        </w:tc>
      </w:tr>
      <w:tr w14:paraId="62A9B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9F14CE">
            <w:pPr>
              <w:adjustRightInd w:val="0"/>
              <w:snapToGrid w:val="0"/>
              <w:jc w:val="center"/>
              <w:rPr>
                <w:rFonts w:hint="eastAsia" w:ascii="宋体" w:hAnsi="宋体" w:cstheme="minorEastAsia"/>
                <w:sz w:val="24"/>
              </w:rPr>
            </w:pPr>
          </w:p>
        </w:tc>
        <w:tc>
          <w:tcPr>
            <w:tcW w:w="1482" w:type="dxa"/>
            <w:vAlign w:val="center"/>
          </w:tcPr>
          <w:p w14:paraId="6BEDF747">
            <w:pPr>
              <w:adjustRightInd w:val="0"/>
              <w:snapToGrid w:val="0"/>
              <w:jc w:val="center"/>
              <w:rPr>
                <w:rFonts w:hint="eastAsia" w:ascii="宋体" w:hAnsi="宋体" w:cstheme="minorEastAsia"/>
                <w:sz w:val="24"/>
              </w:rPr>
            </w:pPr>
          </w:p>
        </w:tc>
        <w:tc>
          <w:tcPr>
            <w:tcW w:w="2384" w:type="dxa"/>
            <w:vAlign w:val="center"/>
          </w:tcPr>
          <w:p w14:paraId="233453D5">
            <w:pPr>
              <w:adjustRightInd w:val="0"/>
              <w:snapToGrid w:val="0"/>
              <w:jc w:val="center"/>
              <w:rPr>
                <w:rFonts w:hint="eastAsia" w:ascii="宋体" w:hAnsi="宋体" w:cstheme="minorEastAsia"/>
                <w:sz w:val="24"/>
              </w:rPr>
            </w:pPr>
          </w:p>
        </w:tc>
        <w:tc>
          <w:tcPr>
            <w:tcW w:w="2126" w:type="dxa"/>
            <w:vAlign w:val="center"/>
          </w:tcPr>
          <w:p w14:paraId="2980E1BB">
            <w:pPr>
              <w:adjustRightInd w:val="0"/>
              <w:snapToGrid w:val="0"/>
              <w:jc w:val="center"/>
              <w:rPr>
                <w:rFonts w:hint="eastAsia" w:ascii="宋体" w:hAnsi="宋体" w:cstheme="minorEastAsia"/>
                <w:sz w:val="24"/>
              </w:rPr>
            </w:pPr>
          </w:p>
        </w:tc>
        <w:tc>
          <w:tcPr>
            <w:tcW w:w="1875" w:type="dxa"/>
            <w:vAlign w:val="center"/>
          </w:tcPr>
          <w:p w14:paraId="5060841F">
            <w:pPr>
              <w:adjustRightInd w:val="0"/>
              <w:snapToGrid w:val="0"/>
              <w:jc w:val="center"/>
              <w:rPr>
                <w:rFonts w:hint="eastAsia" w:ascii="宋体" w:hAnsi="宋体" w:cstheme="minorEastAsia"/>
                <w:sz w:val="24"/>
              </w:rPr>
            </w:pPr>
          </w:p>
        </w:tc>
        <w:tc>
          <w:tcPr>
            <w:tcW w:w="1009" w:type="dxa"/>
            <w:vAlign w:val="center"/>
          </w:tcPr>
          <w:p w14:paraId="21B97427">
            <w:pPr>
              <w:adjustRightInd w:val="0"/>
              <w:snapToGrid w:val="0"/>
              <w:jc w:val="center"/>
              <w:rPr>
                <w:rFonts w:hint="eastAsia" w:ascii="宋体" w:hAnsi="宋体" w:cstheme="minorEastAsia"/>
                <w:sz w:val="24"/>
              </w:rPr>
            </w:pPr>
          </w:p>
        </w:tc>
      </w:tr>
      <w:tr w14:paraId="1F5B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4A9E8C2">
            <w:pPr>
              <w:adjustRightInd w:val="0"/>
              <w:snapToGrid w:val="0"/>
              <w:jc w:val="center"/>
              <w:rPr>
                <w:rFonts w:hint="eastAsia" w:ascii="宋体" w:hAnsi="宋体" w:cstheme="minorEastAsia"/>
                <w:sz w:val="24"/>
              </w:rPr>
            </w:pPr>
          </w:p>
        </w:tc>
        <w:tc>
          <w:tcPr>
            <w:tcW w:w="1482" w:type="dxa"/>
            <w:vAlign w:val="center"/>
          </w:tcPr>
          <w:p w14:paraId="25532DF3">
            <w:pPr>
              <w:adjustRightInd w:val="0"/>
              <w:snapToGrid w:val="0"/>
              <w:jc w:val="center"/>
              <w:rPr>
                <w:rFonts w:hint="eastAsia" w:ascii="宋体" w:hAnsi="宋体" w:cstheme="minorEastAsia"/>
                <w:sz w:val="24"/>
              </w:rPr>
            </w:pPr>
          </w:p>
        </w:tc>
        <w:tc>
          <w:tcPr>
            <w:tcW w:w="2384" w:type="dxa"/>
            <w:vAlign w:val="center"/>
          </w:tcPr>
          <w:p w14:paraId="03168418">
            <w:pPr>
              <w:adjustRightInd w:val="0"/>
              <w:snapToGrid w:val="0"/>
              <w:jc w:val="center"/>
              <w:rPr>
                <w:rFonts w:hint="eastAsia" w:ascii="宋体" w:hAnsi="宋体" w:cstheme="minorEastAsia"/>
                <w:sz w:val="24"/>
              </w:rPr>
            </w:pPr>
          </w:p>
        </w:tc>
        <w:tc>
          <w:tcPr>
            <w:tcW w:w="2126" w:type="dxa"/>
            <w:vAlign w:val="center"/>
          </w:tcPr>
          <w:p w14:paraId="11D644C5">
            <w:pPr>
              <w:adjustRightInd w:val="0"/>
              <w:snapToGrid w:val="0"/>
              <w:jc w:val="center"/>
              <w:rPr>
                <w:rFonts w:hint="eastAsia" w:ascii="宋体" w:hAnsi="宋体" w:cstheme="minorEastAsia"/>
                <w:sz w:val="24"/>
              </w:rPr>
            </w:pPr>
          </w:p>
        </w:tc>
        <w:tc>
          <w:tcPr>
            <w:tcW w:w="1875" w:type="dxa"/>
            <w:vAlign w:val="center"/>
          </w:tcPr>
          <w:p w14:paraId="6418E7F3">
            <w:pPr>
              <w:adjustRightInd w:val="0"/>
              <w:snapToGrid w:val="0"/>
              <w:jc w:val="center"/>
              <w:rPr>
                <w:rFonts w:hint="eastAsia" w:ascii="宋体" w:hAnsi="宋体" w:cstheme="minorEastAsia"/>
                <w:sz w:val="24"/>
              </w:rPr>
            </w:pPr>
          </w:p>
        </w:tc>
        <w:tc>
          <w:tcPr>
            <w:tcW w:w="1009" w:type="dxa"/>
            <w:vAlign w:val="center"/>
          </w:tcPr>
          <w:p w14:paraId="2A873077">
            <w:pPr>
              <w:adjustRightInd w:val="0"/>
              <w:snapToGrid w:val="0"/>
              <w:jc w:val="center"/>
              <w:rPr>
                <w:rFonts w:hint="eastAsia" w:ascii="宋体" w:hAnsi="宋体" w:cstheme="minorEastAsia"/>
                <w:sz w:val="24"/>
              </w:rPr>
            </w:pPr>
          </w:p>
        </w:tc>
      </w:tr>
      <w:tr w14:paraId="76C6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172377">
            <w:pPr>
              <w:adjustRightInd w:val="0"/>
              <w:snapToGrid w:val="0"/>
              <w:jc w:val="center"/>
              <w:rPr>
                <w:rFonts w:hint="eastAsia" w:ascii="宋体" w:hAnsi="宋体" w:cstheme="minorEastAsia"/>
                <w:sz w:val="24"/>
              </w:rPr>
            </w:pPr>
          </w:p>
        </w:tc>
        <w:tc>
          <w:tcPr>
            <w:tcW w:w="1482" w:type="dxa"/>
            <w:vAlign w:val="center"/>
          </w:tcPr>
          <w:p w14:paraId="40B83AD6">
            <w:pPr>
              <w:adjustRightInd w:val="0"/>
              <w:snapToGrid w:val="0"/>
              <w:jc w:val="center"/>
              <w:rPr>
                <w:rFonts w:hint="eastAsia" w:ascii="宋体" w:hAnsi="宋体" w:cstheme="minorEastAsia"/>
                <w:sz w:val="24"/>
              </w:rPr>
            </w:pPr>
          </w:p>
        </w:tc>
        <w:tc>
          <w:tcPr>
            <w:tcW w:w="2384" w:type="dxa"/>
            <w:vAlign w:val="center"/>
          </w:tcPr>
          <w:p w14:paraId="76B5FCD4">
            <w:pPr>
              <w:adjustRightInd w:val="0"/>
              <w:snapToGrid w:val="0"/>
              <w:jc w:val="center"/>
              <w:rPr>
                <w:rFonts w:hint="eastAsia" w:ascii="宋体" w:hAnsi="宋体" w:cstheme="minorEastAsia"/>
                <w:sz w:val="24"/>
              </w:rPr>
            </w:pPr>
          </w:p>
        </w:tc>
        <w:tc>
          <w:tcPr>
            <w:tcW w:w="2126" w:type="dxa"/>
            <w:vAlign w:val="center"/>
          </w:tcPr>
          <w:p w14:paraId="3EB15018">
            <w:pPr>
              <w:adjustRightInd w:val="0"/>
              <w:snapToGrid w:val="0"/>
              <w:jc w:val="center"/>
              <w:rPr>
                <w:rFonts w:hint="eastAsia" w:ascii="宋体" w:hAnsi="宋体" w:cstheme="minorEastAsia"/>
                <w:sz w:val="24"/>
              </w:rPr>
            </w:pPr>
          </w:p>
        </w:tc>
        <w:tc>
          <w:tcPr>
            <w:tcW w:w="1875" w:type="dxa"/>
            <w:vAlign w:val="center"/>
          </w:tcPr>
          <w:p w14:paraId="335A84F5">
            <w:pPr>
              <w:adjustRightInd w:val="0"/>
              <w:snapToGrid w:val="0"/>
              <w:jc w:val="center"/>
              <w:rPr>
                <w:rFonts w:hint="eastAsia" w:ascii="宋体" w:hAnsi="宋体" w:cstheme="minorEastAsia"/>
                <w:sz w:val="24"/>
              </w:rPr>
            </w:pPr>
          </w:p>
        </w:tc>
        <w:tc>
          <w:tcPr>
            <w:tcW w:w="1009" w:type="dxa"/>
            <w:vAlign w:val="center"/>
          </w:tcPr>
          <w:p w14:paraId="32AB757C">
            <w:pPr>
              <w:adjustRightInd w:val="0"/>
              <w:snapToGrid w:val="0"/>
              <w:jc w:val="center"/>
              <w:rPr>
                <w:rFonts w:hint="eastAsia" w:ascii="宋体" w:hAnsi="宋体" w:cstheme="minorEastAsia"/>
                <w:sz w:val="24"/>
              </w:rPr>
            </w:pPr>
          </w:p>
        </w:tc>
      </w:tr>
      <w:tr w14:paraId="46F9F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5886E2">
            <w:pPr>
              <w:adjustRightInd w:val="0"/>
              <w:snapToGrid w:val="0"/>
              <w:jc w:val="center"/>
              <w:rPr>
                <w:rFonts w:hint="eastAsia" w:ascii="宋体" w:hAnsi="宋体" w:cstheme="minorEastAsia"/>
                <w:sz w:val="24"/>
              </w:rPr>
            </w:pPr>
          </w:p>
        </w:tc>
        <w:tc>
          <w:tcPr>
            <w:tcW w:w="1482" w:type="dxa"/>
            <w:vAlign w:val="center"/>
          </w:tcPr>
          <w:p w14:paraId="4D3B5A40">
            <w:pPr>
              <w:adjustRightInd w:val="0"/>
              <w:snapToGrid w:val="0"/>
              <w:jc w:val="center"/>
              <w:rPr>
                <w:rFonts w:hint="eastAsia" w:ascii="宋体" w:hAnsi="宋体" w:cstheme="minorEastAsia"/>
                <w:sz w:val="24"/>
              </w:rPr>
            </w:pPr>
          </w:p>
        </w:tc>
        <w:tc>
          <w:tcPr>
            <w:tcW w:w="2384" w:type="dxa"/>
            <w:vAlign w:val="center"/>
          </w:tcPr>
          <w:p w14:paraId="79023465">
            <w:pPr>
              <w:adjustRightInd w:val="0"/>
              <w:snapToGrid w:val="0"/>
              <w:jc w:val="center"/>
              <w:rPr>
                <w:rFonts w:hint="eastAsia" w:ascii="宋体" w:hAnsi="宋体" w:cstheme="minorEastAsia"/>
                <w:sz w:val="24"/>
              </w:rPr>
            </w:pPr>
          </w:p>
        </w:tc>
        <w:tc>
          <w:tcPr>
            <w:tcW w:w="2126" w:type="dxa"/>
            <w:vAlign w:val="center"/>
          </w:tcPr>
          <w:p w14:paraId="64A0FD27">
            <w:pPr>
              <w:adjustRightInd w:val="0"/>
              <w:snapToGrid w:val="0"/>
              <w:jc w:val="center"/>
              <w:rPr>
                <w:rFonts w:hint="eastAsia" w:ascii="宋体" w:hAnsi="宋体" w:cstheme="minorEastAsia"/>
                <w:sz w:val="24"/>
              </w:rPr>
            </w:pPr>
          </w:p>
        </w:tc>
        <w:tc>
          <w:tcPr>
            <w:tcW w:w="1875" w:type="dxa"/>
            <w:vAlign w:val="center"/>
          </w:tcPr>
          <w:p w14:paraId="0F1CA1C1">
            <w:pPr>
              <w:adjustRightInd w:val="0"/>
              <w:snapToGrid w:val="0"/>
              <w:jc w:val="center"/>
              <w:rPr>
                <w:rFonts w:hint="eastAsia" w:ascii="宋体" w:hAnsi="宋体" w:cstheme="minorEastAsia"/>
                <w:sz w:val="24"/>
              </w:rPr>
            </w:pPr>
          </w:p>
        </w:tc>
        <w:tc>
          <w:tcPr>
            <w:tcW w:w="1009" w:type="dxa"/>
            <w:vAlign w:val="center"/>
          </w:tcPr>
          <w:p w14:paraId="587621C2">
            <w:pPr>
              <w:adjustRightInd w:val="0"/>
              <w:snapToGrid w:val="0"/>
              <w:jc w:val="center"/>
              <w:rPr>
                <w:rFonts w:hint="eastAsia" w:ascii="宋体" w:hAnsi="宋体" w:cstheme="minorEastAsia"/>
                <w:sz w:val="24"/>
              </w:rPr>
            </w:pPr>
          </w:p>
        </w:tc>
      </w:tr>
      <w:tr w14:paraId="099B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E5004E2">
            <w:pPr>
              <w:adjustRightInd w:val="0"/>
              <w:snapToGrid w:val="0"/>
              <w:jc w:val="center"/>
              <w:rPr>
                <w:rFonts w:hint="eastAsia" w:ascii="宋体" w:hAnsi="宋体" w:cstheme="minorEastAsia"/>
                <w:sz w:val="24"/>
              </w:rPr>
            </w:pPr>
          </w:p>
        </w:tc>
        <w:tc>
          <w:tcPr>
            <w:tcW w:w="1482" w:type="dxa"/>
            <w:vAlign w:val="center"/>
          </w:tcPr>
          <w:p w14:paraId="5ED8608A">
            <w:pPr>
              <w:adjustRightInd w:val="0"/>
              <w:snapToGrid w:val="0"/>
              <w:jc w:val="center"/>
              <w:rPr>
                <w:rFonts w:hint="eastAsia" w:ascii="宋体" w:hAnsi="宋体" w:cstheme="minorEastAsia"/>
                <w:sz w:val="24"/>
              </w:rPr>
            </w:pPr>
          </w:p>
        </w:tc>
        <w:tc>
          <w:tcPr>
            <w:tcW w:w="2384" w:type="dxa"/>
            <w:vAlign w:val="center"/>
          </w:tcPr>
          <w:p w14:paraId="2DFC7383">
            <w:pPr>
              <w:adjustRightInd w:val="0"/>
              <w:snapToGrid w:val="0"/>
              <w:jc w:val="center"/>
              <w:rPr>
                <w:rFonts w:hint="eastAsia" w:ascii="宋体" w:hAnsi="宋体" w:cstheme="minorEastAsia"/>
                <w:sz w:val="24"/>
              </w:rPr>
            </w:pPr>
          </w:p>
        </w:tc>
        <w:tc>
          <w:tcPr>
            <w:tcW w:w="2126" w:type="dxa"/>
            <w:vAlign w:val="center"/>
          </w:tcPr>
          <w:p w14:paraId="48E83936">
            <w:pPr>
              <w:adjustRightInd w:val="0"/>
              <w:snapToGrid w:val="0"/>
              <w:jc w:val="center"/>
              <w:rPr>
                <w:rFonts w:hint="eastAsia" w:ascii="宋体" w:hAnsi="宋体" w:cstheme="minorEastAsia"/>
                <w:sz w:val="24"/>
              </w:rPr>
            </w:pPr>
          </w:p>
        </w:tc>
        <w:tc>
          <w:tcPr>
            <w:tcW w:w="1875" w:type="dxa"/>
            <w:vAlign w:val="center"/>
          </w:tcPr>
          <w:p w14:paraId="0FE7B78B">
            <w:pPr>
              <w:adjustRightInd w:val="0"/>
              <w:snapToGrid w:val="0"/>
              <w:jc w:val="center"/>
              <w:rPr>
                <w:rFonts w:hint="eastAsia" w:ascii="宋体" w:hAnsi="宋体" w:cstheme="minorEastAsia"/>
                <w:sz w:val="24"/>
              </w:rPr>
            </w:pPr>
          </w:p>
        </w:tc>
        <w:tc>
          <w:tcPr>
            <w:tcW w:w="1009" w:type="dxa"/>
            <w:vAlign w:val="center"/>
          </w:tcPr>
          <w:p w14:paraId="47790AB0">
            <w:pPr>
              <w:adjustRightInd w:val="0"/>
              <w:snapToGrid w:val="0"/>
              <w:jc w:val="center"/>
              <w:rPr>
                <w:rFonts w:hint="eastAsia" w:ascii="宋体" w:hAnsi="宋体" w:cstheme="minorEastAsia"/>
                <w:sz w:val="24"/>
              </w:rPr>
            </w:pPr>
          </w:p>
        </w:tc>
      </w:tr>
      <w:tr w14:paraId="7899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E25521E">
            <w:pPr>
              <w:adjustRightInd w:val="0"/>
              <w:snapToGrid w:val="0"/>
              <w:jc w:val="center"/>
              <w:rPr>
                <w:rFonts w:hint="eastAsia" w:ascii="宋体" w:hAnsi="宋体" w:cstheme="minorEastAsia"/>
                <w:sz w:val="24"/>
              </w:rPr>
            </w:pPr>
          </w:p>
        </w:tc>
        <w:tc>
          <w:tcPr>
            <w:tcW w:w="1482" w:type="dxa"/>
            <w:vAlign w:val="center"/>
          </w:tcPr>
          <w:p w14:paraId="38CC1759">
            <w:pPr>
              <w:adjustRightInd w:val="0"/>
              <w:snapToGrid w:val="0"/>
              <w:jc w:val="center"/>
              <w:rPr>
                <w:rFonts w:hint="eastAsia" w:ascii="宋体" w:hAnsi="宋体" w:cstheme="minorEastAsia"/>
                <w:sz w:val="24"/>
              </w:rPr>
            </w:pPr>
          </w:p>
        </w:tc>
        <w:tc>
          <w:tcPr>
            <w:tcW w:w="2384" w:type="dxa"/>
            <w:vAlign w:val="center"/>
          </w:tcPr>
          <w:p w14:paraId="08A891FE">
            <w:pPr>
              <w:adjustRightInd w:val="0"/>
              <w:snapToGrid w:val="0"/>
              <w:jc w:val="center"/>
              <w:rPr>
                <w:rFonts w:hint="eastAsia" w:ascii="宋体" w:hAnsi="宋体" w:cstheme="minorEastAsia"/>
                <w:sz w:val="24"/>
              </w:rPr>
            </w:pPr>
          </w:p>
        </w:tc>
        <w:tc>
          <w:tcPr>
            <w:tcW w:w="2126" w:type="dxa"/>
            <w:vAlign w:val="center"/>
          </w:tcPr>
          <w:p w14:paraId="45F57CE3">
            <w:pPr>
              <w:adjustRightInd w:val="0"/>
              <w:snapToGrid w:val="0"/>
              <w:jc w:val="center"/>
              <w:rPr>
                <w:rFonts w:hint="eastAsia" w:ascii="宋体" w:hAnsi="宋体" w:cstheme="minorEastAsia"/>
                <w:sz w:val="24"/>
              </w:rPr>
            </w:pPr>
          </w:p>
        </w:tc>
        <w:tc>
          <w:tcPr>
            <w:tcW w:w="1875" w:type="dxa"/>
            <w:vAlign w:val="center"/>
          </w:tcPr>
          <w:p w14:paraId="75C4F278">
            <w:pPr>
              <w:adjustRightInd w:val="0"/>
              <w:snapToGrid w:val="0"/>
              <w:jc w:val="center"/>
              <w:rPr>
                <w:rFonts w:hint="eastAsia" w:ascii="宋体" w:hAnsi="宋体" w:cstheme="minorEastAsia"/>
                <w:sz w:val="24"/>
              </w:rPr>
            </w:pPr>
          </w:p>
        </w:tc>
        <w:tc>
          <w:tcPr>
            <w:tcW w:w="1009" w:type="dxa"/>
            <w:vAlign w:val="center"/>
          </w:tcPr>
          <w:p w14:paraId="1F96D5EA">
            <w:pPr>
              <w:adjustRightInd w:val="0"/>
              <w:snapToGrid w:val="0"/>
              <w:jc w:val="center"/>
              <w:rPr>
                <w:rFonts w:hint="eastAsia" w:ascii="宋体" w:hAnsi="宋体" w:cstheme="minorEastAsia"/>
                <w:sz w:val="24"/>
              </w:rPr>
            </w:pPr>
          </w:p>
        </w:tc>
      </w:tr>
    </w:tbl>
    <w:p w14:paraId="27DDC519">
      <w:pPr>
        <w:tabs>
          <w:tab w:val="left" w:pos="1800"/>
          <w:tab w:val="left" w:pos="5580"/>
        </w:tabs>
        <w:spacing w:line="360" w:lineRule="auto"/>
        <w:ind w:firstLine="360" w:firstLineChars="150"/>
        <w:jc w:val="left"/>
        <w:rPr>
          <w:rFonts w:hint="eastAsia" w:ascii="宋体" w:hAnsi="宋体" w:cstheme="minorEastAsia"/>
          <w:sz w:val="24"/>
          <w:u w:val="single"/>
        </w:rPr>
      </w:pPr>
    </w:p>
    <w:p w14:paraId="01DF17A5">
      <w:pPr>
        <w:tabs>
          <w:tab w:val="left" w:pos="1800"/>
          <w:tab w:val="left" w:pos="5580"/>
        </w:tabs>
        <w:spacing w:line="360" w:lineRule="auto"/>
        <w:ind w:firstLine="360" w:firstLineChars="150"/>
        <w:jc w:val="left"/>
        <w:rPr>
          <w:rFonts w:hint="eastAsia" w:ascii="宋体" w:hAnsi="宋体" w:cstheme="minorEastAsia"/>
          <w:sz w:val="24"/>
          <w:u w:val="single"/>
        </w:rPr>
      </w:pPr>
    </w:p>
    <w:p w14:paraId="669AB3F6">
      <w:pPr>
        <w:tabs>
          <w:tab w:val="left" w:pos="1800"/>
          <w:tab w:val="left" w:pos="5580"/>
        </w:tabs>
        <w:jc w:val="left"/>
        <w:rPr>
          <w:rFonts w:hint="eastAsia" w:ascii="宋体" w:hAnsi="宋体" w:cstheme="minorEastAsia"/>
          <w:sz w:val="24"/>
        </w:rPr>
      </w:pPr>
      <w:r>
        <w:rPr>
          <w:rFonts w:hint="eastAsia" w:ascii="宋体" w:hAnsi="宋体" w:cstheme="minorEastAsia"/>
          <w:sz w:val="24"/>
        </w:rPr>
        <w:t>注：</w:t>
      </w:r>
    </w:p>
    <w:p w14:paraId="57F6C5DA">
      <w:pPr>
        <w:tabs>
          <w:tab w:val="left" w:pos="1800"/>
          <w:tab w:val="left" w:pos="5580"/>
        </w:tabs>
        <w:jc w:val="left"/>
        <w:rPr>
          <w:rFonts w:hint="eastAsia" w:ascii="宋体" w:hAnsi="宋体" w:cstheme="minorEastAsia"/>
          <w:sz w:val="24"/>
        </w:rPr>
      </w:pPr>
      <w:r>
        <w:rPr>
          <w:rFonts w:hint="eastAsia" w:ascii="宋体" w:hAnsi="宋体" w:cstheme="minorEastAsia"/>
          <w:sz w:val="24"/>
        </w:rPr>
        <w:t>1. 对竞争性磋商文件中的所有商务、技术要求，除本表所列明的所有偏离外，均视作供应商已对之理解和响应。此表中若无任何文字说明，内容为空白的，</w:t>
      </w:r>
      <w:r>
        <w:rPr>
          <w:rFonts w:hint="eastAsia" w:ascii="宋体" w:hAnsi="宋体" w:cstheme="minorEastAsia"/>
          <w:b/>
          <w:sz w:val="24"/>
        </w:rPr>
        <w:t>响应无效</w:t>
      </w:r>
      <w:r>
        <w:rPr>
          <w:rFonts w:hint="eastAsia" w:ascii="宋体" w:hAnsi="宋体" w:cstheme="minorEastAsia"/>
          <w:sz w:val="24"/>
        </w:rPr>
        <w:t>。</w:t>
      </w:r>
    </w:p>
    <w:p w14:paraId="311112BD">
      <w:pPr>
        <w:tabs>
          <w:tab w:val="left" w:pos="1800"/>
          <w:tab w:val="left" w:pos="5580"/>
        </w:tabs>
        <w:jc w:val="left"/>
        <w:rPr>
          <w:rFonts w:hint="eastAsia" w:ascii="宋体" w:hAnsi="宋体" w:cstheme="minorEastAsia"/>
          <w:sz w:val="24"/>
        </w:rPr>
      </w:pPr>
      <w:r>
        <w:rPr>
          <w:rFonts w:hint="eastAsia" w:ascii="宋体" w:hAnsi="宋体" w:cstheme="minorEastAsia"/>
          <w:sz w:val="24"/>
        </w:rPr>
        <w:t>2.“偏离情况”列应据实填写“无偏离”、“正偏离”或“负偏离”。</w:t>
      </w:r>
    </w:p>
    <w:p w14:paraId="7708AEA1">
      <w:pPr>
        <w:tabs>
          <w:tab w:val="left" w:pos="1800"/>
          <w:tab w:val="left" w:pos="5580"/>
        </w:tabs>
        <w:jc w:val="left"/>
        <w:rPr>
          <w:rFonts w:hint="eastAsia" w:ascii="宋体" w:hAnsi="宋体" w:cstheme="minorEastAsia"/>
          <w:sz w:val="24"/>
        </w:rPr>
      </w:pPr>
    </w:p>
    <w:p w14:paraId="23204BC1">
      <w:pPr>
        <w:rPr>
          <w:rFonts w:hint="eastAsia" w:ascii="宋体" w:hAnsi="宋体" w:cstheme="minorEastAsia"/>
          <w:sz w:val="24"/>
          <w:szCs w:val="20"/>
        </w:rPr>
      </w:pPr>
    </w:p>
    <w:p w14:paraId="2906E8EE">
      <w:pPr>
        <w:autoSpaceDE w:val="0"/>
        <w:autoSpaceDN w:val="0"/>
        <w:adjustRightInd w:val="0"/>
        <w:snapToGrid w:val="0"/>
        <w:spacing w:before="25" w:after="25" w:line="360" w:lineRule="auto"/>
        <w:ind w:right="360"/>
        <w:jc w:val="left"/>
        <w:rPr>
          <w:rFonts w:hint="eastAsia" w:ascii="宋体" w:hAnsi="宋体" w:cstheme="minorEastAsia"/>
          <w:sz w:val="24"/>
          <w:lang w:val="zh-CN"/>
        </w:rPr>
      </w:pPr>
      <w:r>
        <w:rPr>
          <w:rFonts w:hint="eastAsia" w:ascii="宋体" w:hAnsi="宋体" w:cstheme="minorEastAsia"/>
          <w:sz w:val="24"/>
        </w:rPr>
        <w:t>供应商名称（加盖公章）</w:t>
      </w:r>
      <w:r>
        <w:rPr>
          <w:rFonts w:hint="eastAsia" w:ascii="宋体" w:hAnsi="宋体" w:cstheme="minorEastAsia"/>
          <w:sz w:val="24"/>
          <w:lang w:val="zh-CN"/>
        </w:rPr>
        <w:t>：</w:t>
      </w:r>
      <w:r>
        <w:rPr>
          <w:rFonts w:hint="eastAsia" w:ascii="宋体" w:hAnsi="宋体" w:cstheme="minorEastAsia"/>
          <w:sz w:val="24"/>
        </w:rPr>
        <w:t>______</w:t>
      </w:r>
    </w:p>
    <w:p w14:paraId="0922C6AF">
      <w:pPr>
        <w:autoSpaceDE w:val="0"/>
        <w:autoSpaceDN w:val="0"/>
        <w:adjustRightInd w:val="0"/>
        <w:snapToGrid w:val="0"/>
        <w:spacing w:before="25" w:after="25" w:line="360" w:lineRule="auto"/>
        <w:ind w:right="360"/>
        <w:jc w:val="left"/>
        <w:rPr>
          <w:rFonts w:hint="eastAsia" w:ascii="宋体" w:hAnsi="宋体" w:cstheme="minorEastAsia"/>
          <w:sz w:val="24"/>
          <w:szCs w:val="20"/>
        </w:rPr>
      </w:pPr>
      <w:r>
        <w:rPr>
          <w:rFonts w:hint="eastAsia" w:ascii="宋体" w:hAnsi="宋体" w:cstheme="minorEastAsia"/>
          <w:sz w:val="24"/>
          <w:szCs w:val="20"/>
        </w:rPr>
        <w:t xml:space="preserve">日期：____年____月____日 </w:t>
      </w:r>
    </w:p>
    <w:p w14:paraId="162CE159">
      <w:pPr>
        <w:tabs>
          <w:tab w:val="left" w:pos="360"/>
        </w:tabs>
        <w:snapToGrid w:val="0"/>
        <w:spacing w:line="360" w:lineRule="auto"/>
        <w:outlineLvl w:val="1"/>
        <w:rPr>
          <w:rFonts w:hint="eastAsia" w:ascii="宋体" w:hAnsi="宋体" w:cstheme="minorEastAsia"/>
          <w:sz w:val="24"/>
          <w:szCs w:val="20"/>
        </w:rPr>
      </w:pPr>
      <w:r>
        <w:rPr>
          <w:rFonts w:hint="eastAsia" w:ascii="宋体" w:hAnsi="宋体" w:cstheme="minorEastAsia"/>
          <w:sz w:val="24"/>
          <w:szCs w:val="20"/>
        </w:rPr>
        <w:br w:type="page"/>
      </w:r>
      <w:r>
        <w:rPr>
          <w:rFonts w:hint="eastAsia" w:ascii="宋体" w:hAnsi="宋体" w:cstheme="minorEastAsia"/>
          <w:sz w:val="24"/>
        </w:rPr>
        <w:t xml:space="preserve">11  </w:t>
      </w:r>
      <w:r>
        <w:rPr>
          <w:rFonts w:hint="eastAsia" w:ascii="宋体" w:hAnsi="宋体" w:cstheme="minorEastAsia"/>
          <w:sz w:val="24"/>
          <w:szCs w:val="20"/>
        </w:rPr>
        <w:t>本国产品标准证明文件（如适用）</w:t>
      </w:r>
    </w:p>
    <w:p w14:paraId="52CDC888">
      <w:pPr>
        <w:pStyle w:val="38"/>
        <w:shd w:val="clear" w:color="auto" w:fill="FFFFFF"/>
        <w:spacing w:before="30" w:beforeAutospacing="0" w:after="30" w:afterAutospacing="0"/>
        <w:jc w:val="center"/>
        <w:rPr>
          <w:rFonts w:hint="eastAsia" w:cstheme="minorEastAsia"/>
          <w:sz w:val="36"/>
          <w:szCs w:val="36"/>
        </w:rPr>
      </w:pPr>
      <w:r>
        <w:rPr>
          <w:rStyle w:val="48"/>
          <w:rFonts w:hint="eastAsia" w:cstheme="minorEastAsia"/>
          <w:sz w:val="36"/>
          <w:szCs w:val="36"/>
          <w:shd w:val="clear" w:color="auto" w:fill="FFFFFF"/>
        </w:rPr>
        <w:t>关于符合本国产品标准的声明函</w:t>
      </w:r>
    </w:p>
    <w:p w14:paraId="3B92E1E6">
      <w:pPr>
        <w:pStyle w:val="38"/>
        <w:shd w:val="clear" w:color="auto" w:fill="FFFFFF"/>
        <w:spacing w:before="30" w:beforeAutospacing="0" w:after="30" w:afterAutospacing="0"/>
        <w:ind w:firstLine="420"/>
        <w:rPr>
          <w:rFonts w:hint="eastAsia" w:cstheme="minorEastAsia"/>
        </w:rPr>
      </w:pPr>
    </w:p>
    <w:p w14:paraId="0CF0FBE4">
      <w:pPr>
        <w:pStyle w:val="38"/>
        <w:shd w:val="clear" w:color="auto" w:fill="FFFFFF"/>
        <w:spacing w:before="0" w:beforeAutospacing="0" w:after="0" w:afterAutospacing="0" w:line="360" w:lineRule="auto"/>
        <w:ind w:firstLine="480" w:firstLineChars="200"/>
        <w:rPr>
          <w:rFonts w:hint="eastAsia" w:cstheme="minorEastAsia"/>
        </w:rPr>
      </w:pPr>
      <w:r>
        <w:rPr>
          <w:rFonts w:hint="eastAsia" w:cstheme="minor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3FC0A4F">
      <w:pPr>
        <w:pStyle w:val="38"/>
        <w:shd w:val="clear" w:color="auto" w:fill="FFFFFF"/>
        <w:spacing w:before="0" w:beforeAutospacing="0" w:after="0" w:afterAutospacing="0" w:line="360" w:lineRule="auto"/>
        <w:ind w:firstLine="480" w:firstLineChars="200"/>
        <w:rPr>
          <w:rFonts w:hint="eastAsia" w:cstheme="minorEastAsia"/>
        </w:rPr>
      </w:pPr>
      <w:r>
        <w:rPr>
          <w:rFonts w:hint="eastAsia" w:cstheme="minorEastAsia"/>
          <w:shd w:val="clear" w:color="auto" w:fill="FFFFFF"/>
        </w:rPr>
        <w:t>1.</w:t>
      </w:r>
      <w:r>
        <w:rPr>
          <w:rStyle w:val="51"/>
          <w:rFonts w:hint="eastAsia" w:cstheme="minorEastAsia"/>
          <w:color w:val="auto"/>
          <w:u w:val="single"/>
          <w:shd w:val="clear" w:color="auto" w:fill="FFFFFF"/>
        </w:rPr>
        <w:t>（产品名称1）</w:t>
      </w:r>
      <w:r>
        <w:rPr>
          <w:rStyle w:val="51"/>
          <w:rFonts w:hint="eastAsia" w:cstheme="minorEastAsia"/>
          <w:color w:val="auto"/>
          <w:shd w:val="clear" w:color="auto" w:fill="FFFFFF"/>
          <w:vertAlign w:val="superscript"/>
        </w:rPr>
        <w:t>1</w:t>
      </w:r>
      <w:r>
        <w:rPr>
          <w:rFonts w:hint="eastAsia" w:cstheme="minorEastAsia"/>
          <w:shd w:val="clear" w:color="auto" w:fill="FFFFFF"/>
        </w:rPr>
        <w:t>，生产厂为</w:t>
      </w:r>
      <w:r>
        <w:rPr>
          <w:rStyle w:val="51"/>
          <w:rFonts w:hint="eastAsia" w:cstheme="minorEastAsia"/>
          <w:color w:val="auto"/>
          <w:u w:val="single"/>
          <w:shd w:val="clear" w:color="auto" w:fill="FFFFFF"/>
        </w:rPr>
        <w:t>（厂名）</w:t>
      </w:r>
      <w:r>
        <w:rPr>
          <w:rStyle w:val="51"/>
          <w:rFonts w:hint="eastAsia" w:cstheme="minorEastAsia"/>
          <w:color w:val="auto"/>
          <w:shd w:val="clear" w:color="auto" w:fill="FFFFFF"/>
          <w:vertAlign w:val="superscript"/>
        </w:rPr>
        <w:t>2</w:t>
      </w:r>
      <w:r>
        <w:rPr>
          <w:rFonts w:hint="eastAsia" w:cstheme="minorEastAsia"/>
          <w:shd w:val="clear" w:color="auto" w:fill="FFFFFF"/>
        </w:rPr>
        <w:t>，厂址为</w:t>
      </w:r>
      <w:r>
        <w:rPr>
          <w:rStyle w:val="51"/>
          <w:rFonts w:hint="eastAsia" w:cstheme="minorEastAsia"/>
          <w:color w:val="auto"/>
          <w:u w:val="single"/>
          <w:shd w:val="clear" w:color="auto" w:fill="FFFFFF"/>
        </w:rPr>
        <w:t>（生产厂址）</w:t>
      </w:r>
      <w:r>
        <w:rPr>
          <w:rFonts w:hint="eastAsia" w:cstheme="minorEastAsia"/>
          <w:shd w:val="clear" w:color="auto" w:fill="FFFFFF"/>
        </w:rPr>
        <w:t>。</w:t>
      </w:r>
      <w:r>
        <w:rPr>
          <w:rStyle w:val="51"/>
          <w:rFonts w:hint="eastAsia" w:cstheme="minorEastAsia"/>
          <w:color w:val="auto"/>
          <w:u w:val="single"/>
          <w:shd w:val="clear" w:color="auto" w:fill="FFFFFF"/>
        </w:rPr>
        <w:t>（产品名称1）</w:t>
      </w:r>
      <w:r>
        <w:rPr>
          <w:rFonts w:hint="eastAsia" w:cstheme="minorEastAsia"/>
          <w:shd w:val="clear" w:color="auto" w:fill="FFFFFF"/>
        </w:rPr>
        <w:t>的中国境内生产的组件成本占比≥</w:t>
      </w:r>
      <w:r>
        <w:rPr>
          <w:rStyle w:val="51"/>
          <w:rFonts w:hint="eastAsia" w:cstheme="minorEastAsia"/>
          <w:color w:val="auto"/>
          <w:u w:val="single"/>
          <w:shd w:val="clear" w:color="auto" w:fill="FFFFFF"/>
        </w:rPr>
        <w:t>（规定比例）</w:t>
      </w:r>
      <w:r>
        <w:rPr>
          <w:rStyle w:val="51"/>
          <w:rFonts w:hint="eastAsia" w:cstheme="minorEastAsia"/>
          <w:color w:val="auto"/>
          <w:shd w:val="clear" w:color="auto" w:fill="FFFFFF"/>
          <w:vertAlign w:val="superscript"/>
        </w:rPr>
        <w:t>3</w:t>
      </w:r>
      <w:r>
        <w:rPr>
          <w:rFonts w:hint="eastAsia" w:cstheme="minorEastAsia"/>
          <w:shd w:val="clear" w:color="auto" w:fill="FFFFFF"/>
        </w:rPr>
        <w:t>。</w:t>
      </w:r>
      <w:r>
        <w:rPr>
          <w:rStyle w:val="51"/>
          <w:rFonts w:hint="eastAsia" w:cstheme="minorEastAsia"/>
          <w:color w:val="auto"/>
          <w:u w:val="single"/>
          <w:shd w:val="clear" w:color="auto" w:fill="FFFFFF"/>
        </w:rPr>
        <w:t>（产品名称1）</w:t>
      </w:r>
      <w:r>
        <w:rPr>
          <w:rFonts w:hint="eastAsia" w:cstheme="minorEastAsia"/>
          <w:shd w:val="clear" w:color="auto" w:fill="FFFFFF"/>
        </w:rPr>
        <w:t>的</w:t>
      </w:r>
      <w:r>
        <w:rPr>
          <w:rStyle w:val="51"/>
          <w:rFonts w:hint="eastAsia" w:cstheme="minorEastAsia"/>
          <w:color w:val="auto"/>
          <w:u w:val="single"/>
          <w:shd w:val="clear" w:color="auto" w:fill="FFFFFF"/>
        </w:rPr>
        <w:t>（关键组件）</w:t>
      </w:r>
      <w:r>
        <w:rPr>
          <w:rStyle w:val="51"/>
          <w:rFonts w:hint="eastAsia" w:cstheme="minorEastAsia"/>
          <w:color w:val="auto"/>
          <w:shd w:val="clear" w:color="auto" w:fill="FFFFFF"/>
          <w:vertAlign w:val="superscript"/>
        </w:rPr>
        <w:t>4</w:t>
      </w:r>
      <w:r>
        <w:rPr>
          <w:rFonts w:hint="eastAsia" w:cstheme="minorEastAsia"/>
          <w:shd w:val="clear" w:color="auto" w:fill="FFFFFF"/>
        </w:rPr>
        <w:t>在中国境内生产。</w:t>
      </w:r>
      <w:r>
        <w:rPr>
          <w:rStyle w:val="51"/>
          <w:rFonts w:hint="eastAsia" w:cstheme="minorEastAsia"/>
          <w:color w:val="auto"/>
          <w:u w:val="single"/>
          <w:shd w:val="clear" w:color="auto" w:fill="FFFFFF"/>
        </w:rPr>
        <w:t>（产品名称1）</w:t>
      </w:r>
      <w:r>
        <w:rPr>
          <w:rFonts w:hint="eastAsia" w:cstheme="minorEastAsia"/>
          <w:shd w:val="clear" w:color="auto" w:fill="FFFFFF"/>
        </w:rPr>
        <w:t>的</w:t>
      </w:r>
      <w:r>
        <w:rPr>
          <w:rStyle w:val="51"/>
          <w:rFonts w:hint="eastAsia" w:cstheme="minorEastAsia"/>
          <w:color w:val="auto"/>
          <w:u w:val="single"/>
          <w:shd w:val="clear" w:color="auto" w:fill="FFFFFF"/>
        </w:rPr>
        <w:t>（关键工序）</w:t>
      </w:r>
      <w:r>
        <w:rPr>
          <w:rStyle w:val="51"/>
          <w:rFonts w:hint="eastAsia" w:cstheme="minorEastAsia"/>
          <w:color w:val="auto"/>
          <w:shd w:val="clear" w:color="auto" w:fill="FFFFFF"/>
          <w:vertAlign w:val="superscript"/>
        </w:rPr>
        <w:t>5</w:t>
      </w:r>
      <w:r>
        <w:rPr>
          <w:rFonts w:hint="eastAsia" w:cstheme="minorEastAsia"/>
          <w:shd w:val="clear" w:color="auto" w:fill="FFFFFF"/>
        </w:rPr>
        <w:t>在中国境内完成。</w:t>
      </w:r>
    </w:p>
    <w:p w14:paraId="4724402E">
      <w:pPr>
        <w:pStyle w:val="38"/>
        <w:shd w:val="clear" w:color="auto" w:fill="FFFFFF"/>
        <w:spacing w:before="0" w:beforeAutospacing="0" w:after="0" w:afterAutospacing="0" w:line="360" w:lineRule="auto"/>
        <w:ind w:firstLine="480" w:firstLineChars="200"/>
        <w:rPr>
          <w:rFonts w:hint="eastAsia" w:cstheme="minorEastAsia"/>
        </w:rPr>
      </w:pPr>
      <w:r>
        <w:rPr>
          <w:rFonts w:hint="eastAsia" w:cstheme="minorEastAsia"/>
          <w:shd w:val="clear" w:color="auto" w:fill="FFFFFF"/>
        </w:rPr>
        <w:t>2.</w:t>
      </w:r>
      <w:r>
        <w:rPr>
          <w:rStyle w:val="51"/>
          <w:rFonts w:hint="eastAsia" w:cstheme="minorEastAsia"/>
          <w:color w:val="auto"/>
          <w:u w:val="single"/>
          <w:shd w:val="clear" w:color="auto" w:fill="FFFFFF"/>
        </w:rPr>
        <w:t>（产品名称2）</w:t>
      </w:r>
      <w:r>
        <w:rPr>
          <w:rFonts w:hint="eastAsia" w:cstheme="minorEastAsia"/>
          <w:shd w:val="clear" w:color="auto" w:fill="FFFFFF"/>
        </w:rPr>
        <w:t>，生产厂为</w:t>
      </w:r>
      <w:r>
        <w:rPr>
          <w:rStyle w:val="51"/>
          <w:rFonts w:hint="eastAsia" w:cstheme="minorEastAsia"/>
          <w:color w:val="auto"/>
          <w:u w:val="single"/>
          <w:shd w:val="clear" w:color="auto" w:fill="FFFFFF"/>
        </w:rPr>
        <w:t>（厂名）</w:t>
      </w:r>
      <w:r>
        <w:rPr>
          <w:rFonts w:hint="eastAsia" w:cstheme="minorEastAsia"/>
          <w:shd w:val="clear" w:color="auto" w:fill="FFFFFF"/>
        </w:rPr>
        <w:t>，厂址为</w:t>
      </w:r>
      <w:r>
        <w:rPr>
          <w:rStyle w:val="51"/>
          <w:rFonts w:hint="eastAsia" w:cstheme="minorEastAsia"/>
          <w:color w:val="auto"/>
          <w:u w:val="single"/>
          <w:shd w:val="clear" w:color="auto" w:fill="FFFFFF"/>
        </w:rPr>
        <w:t>（生产厂址）</w:t>
      </w:r>
      <w:r>
        <w:rPr>
          <w:rFonts w:hint="eastAsia" w:cstheme="minorEastAsia"/>
          <w:shd w:val="clear" w:color="auto" w:fill="FFFFFF"/>
        </w:rPr>
        <w:t>。</w:t>
      </w:r>
      <w:r>
        <w:rPr>
          <w:rStyle w:val="51"/>
          <w:rFonts w:hint="eastAsia" w:cstheme="minorEastAsia"/>
          <w:color w:val="auto"/>
          <w:u w:val="single"/>
          <w:shd w:val="clear" w:color="auto" w:fill="FFFFFF"/>
        </w:rPr>
        <w:t>（产品名称2）</w:t>
      </w:r>
      <w:r>
        <w:rPr>
          <w:rFonts w:hint="eastAsia" w:cstheme="minorEastAsia"/>
          <w:shd w:val="clear" w:color="auto" w:fill="FFFFFF"/>
        </w:rPr>
        <w:t>的中国境内生产的组件成本占比≥</w:t>
      </w:r>
      <w:r>
        <w:rPr>
          <w:rStyle w:val="51"/>
          <w:rFonts w:hint="eastAsia" w:cstheme="minorEastAsia"/>
          <w:color w:val="auto"/>
          <w:u w:val="single"/>
          <w:shd w:val="clear" w:color="auto" w:fill="FFFFFF"/>
        </w:rPr>
        <w:t>（规定比例）</w:t>
      </w:r>
      <w:r>
        <w:rPr>
          <w:rFonts w:hint="eastAsia" w:cstheme="minorEastAsia"/>
          <w:shd w:val="clear" w:color="auto" w:fill="FFFFFF"/>
        </w:rPr>
        <w:t>。</w:t>
      </w:r>
      <w:r>
        <w:rPr>
          <w:rStyle w:val="51"/>
          <w:rFonts w:hint="eastAsia" w:cstheme="minorEastAsia"/>
          <w:color w:val="auto"/>
          <w:u w:val="single"/>
          <w:shd w:val="clear" w:color="auto" w:fill="FFFFFF"/>
        </w:rPr>
        <w:t>（产品名称2）</w:t>
      </w:r>
      <w:r>
        <w:rPr>
          <w:rFonts w:hint="eastAsia" w:cstheme="minorEastAsia"/>
          <w:shd w:val="clear" w:color="auto" w:fill="FFFFFF"/>
        </w:rPr>
        <w:t>的</w:t>
      </w:r>
      <w:r>
        <w:rPr>
          <w:rStyle w:val="51"/>
          <w:rFonts w:hint="eastAsia" w:cstheme="minorEastAsia"/>
          <w:color w:val="auto"/>
          <w:u w:val="single"/>
          <w:shd w:val="clear" w:color="auto" w:fill="FFFFFF"/>
        </w:rPr>
        <w:t>（关键组件）</w:t>
      </w:r>
      <w:r>
        <w:rPr>
          <w:rFonts w:hint="eastAsia" w:cstheme="minorEastAsia"/>
          <w:shd w:val="clear" w:color="auto" w:fill="FFFFFF"/>
        </w:rPr>
        <w:t>在中国境内生产。</w:t>
      </w:r>
      <w:r>
        <w:rPr>
          <w:rStyle w:val="51"/>
          <w:rFonts w:hint="eastAsia" w:cstheme="minorEastAsia"/>
          <w:color w:val="auto"/>
          <w:u w:val="single"/>
          <w:shd w:val="clear" w:color="auto" w:fill="FFFFFF"/>
        </w:rPr>
        <w:t>（产品名称2）</w:t>
      </w:r>
      <w:r>
        <w:rPr>
          <w:rFonts w:hint="eastAsia" w:cstheme="minorEastAsia"/>
          <w:shd w:val="clear" w:color="auto" w:fill="FFFFFF"/>
        </w:rPr>
        <w:t>的</w:t>
      </w:r>
      <w:r>
        <w:rPr>
          <w:rStyle w:val="51"/>
          <w:rFonts w:hint="eastAsia" w:cstheme="minorEastAsia"/>
          <w:color w:val="auto"/>
          <w:u w:val="single"/>
          <w:shd w:val="clear" w:color="auto" w:fill="FFFFFF"/>
        </w:rPr>
        <w:t>（关键工序）</w:t>
      </w:r>
      <w:r>
        <w:rPr>
          <w:rFonts w:hint="eastAsia" w:cstheme="minorEastAsia"/>
          <w:shd w:val="clear" w:color="auto" w:fill="FFFFFF"/>
        </w:rPr>
        <w:t>在中国境内完成。</w:t>
      </w:r>
    </w:p>
    <w:p w14:paraId="54BF097D">
      <w:pPr>
        <w:pStyle w:val="38"/>
        <w:shd w:val="clear" w:color="auto" w:fill="FFFFFF"/>
        <w:spacing w:before="0" w:beforeAutospacing="0" w:after="0" w:afterAutospacing="0" w:line="360" w:lineRule="auto"/>
        <w:ind w:firstLine="480" w:firstLineChars="200"/>
        <w:rPr>
          <w:rFonts w:hint="eastAsia" w:cstheme="minorEastAsia"/>
        </w:rPr>
      </w:pPr>
      <w:r>
        <w:rPr>
          <w:rFonts w:hint="eastAsia" w:cstheme="minorEastAsia"/>
          <w:shd w:val="clear" w:color="auto" w:fill="FFFFFF"/>
        </w:rPr>
        <w:t>……</w:t>
      </w:r>
    </w:p>
    <w:p w14:paraId="3FDBE603">
      <w:pPr>
        <w:pStyle w:val="38"/>
        <w:shd w:val="clear" w:color="auto" w:fill="FFFFFF"/>
        <w:spacing w:before="0" w:beforeAutospacing="0" w:after="0" w:afterAutospacing="0" w:line="360" w:lineRule="auto"/>
        <w:ind w:firstLine="480" w:firstLineChars="200"/>
        <w:rPr>
          <w:rFonts w:hint="eastAsia" w:cstheme="minorEastAsia"/>
        </w:rPr>
      </w:pPr>
      <w:r>
        <w:rPr>
          <w:rFonts w:hint="eastAsia" w:cstheme="minorEastAsia"/>
          <w:shd w:val="clear" w:color="auto" w:fill="FFFFFF"/>
        </w:rPr>
        <w:t>本公司（单位）对上述声明内容的真实性负责。如有虚假，愿承担相应法律责任。</w:t>
      </w:r>
    </w:p>
    <w:p w14:paraId="7213E69D">
      <w:pPr>
        <w:pStyle w:val="38"/>
        <w:shd w:val="clear" w:color="auto" w:fill="FFFFFF"/>
        <w:spacing w:before="0" w:beforeAutospacing="0" w:after="0" w:afterAutospacing="0" w:line="360" w:lineRule="auto"/>
        <w:rPr>
          <w:rFonts w:hint="eastAsia" w:cstheme="minorEastAsia"/>
        </w:rPr>
      </w:pPr>
    </w:p>
    <w:p w14:paraId="008319F6">
      <w:pPr>
        <w:pStyle w:val="38"/>
        <w:shd w:val="clear" w:color="auto" w:fill="FFFFFF"/>
        <w:spacing w:before="0" w:beforeAutospacing="0" w:after="0" w:afterAutospacing="0" w:line="360" w:lineRule="auto"/>
        <w:jc w:val="right"/>
        <w:rPr>
          <w:rFonts w:hint="eastAsia" w:cstheme="minorEastAsia"/>
          <w:shd w:val="clear" w:color="auto" w:fill="FFFFFF"/>
        </w:rPr>
      </w:pPr>
    </w:p>
    <w:p w14:paraId="4087AED6">
      <w:pPr>
        <w:pStyle w:val="38"/>
        <w:shd w:val="clear" w:color="auto" w:fill="FFFFFF"/>
        <w:spacing w:before="0" w:beforeAutospacing="0" w:after="0" w:afterAutospacing="0" w:line="360" w:lineRule="auto"/>
        <w:jc w:val="right"/>
        <w:rPr>
          <w:rFonts w:hint="eastAsia" w:cstheme="minorEastAsia"/>
        </w:rPr>
      </w:pPr>
      <w:r>
        <w:rPr>
          <w:rFonts w:hint="eastAsia" w:cstheme="minorEastAsia"/>
          <w:shd w:val="clear" w:color="auto" w:fill="FFFFFF"/>
        </w:rPr>
        <w:t>公司（单位）名称（盖章）：　</w:t>
      </w:r>
    </w:p>
    <w:p w14:paraId="304B11A0">
      <w:pPr>
        <w:pStyle w:val="38"/>
        <w:shd w:val="clear" w:color="auto" w:fill="FFFFFF"/>
        <w:spacing w:before="0" w:beforeAutospacing="0" w:after="0" w:afterAutospacing="0" w:line="360" w:lineRule="auto"/>
        <w:jc w:val="right"/>
        <w:rPr>
          <w:rFonts w:hint="eastAsia" w:cstheme="minorEastAsia"/>
        </w:rPr>
      </w:pPr>
      <w:r>
        <w:rPr>
          <w:rFonts w:hint="eastAsia" w:cstheme="minorEastAsia"/>
          <w:shd w:val="clear" w:color="auto" w:fill="FFFFFF"/>
        </w:rPr>
        <w:t>日期：　年　月　日</w:t>
      </w:r>
    </w:p>
    <w:p w14:paraId="4AEFE9D0">
      <w:pPr>
        <w:pStyle w:val="38"/>
        <w:shd w:val="clear" w:color="auto" w:fill="FFFFFF"/>
        <w:spacing w:before="0" w:beforeAutospacing="0" w:after="0" w:afterAutospacing="0" w:line="360" w:lineRule="auto"/>
        <w:rPr>
          <w:rFonts w:hint="eastAsia" w:cstheme="minorEastAsia"/>
          <w:shd w:val="clear" w:color="auto" w:fill="FFFFFF"/>
        </w:rPr>
      </w:pPr>
    </w:p>
    <w:p w14:paraId="70E99D5D">
      <w:pPr>
        <w:pStyle w:val="38"/>
        <w:shd w:val="clear" w:color="auto" w:fill="FFFFFF"/>
        <w:spacing w:before="0" w:beforeAutospacing="0" w:after="0" w:afterAutospacing="0" w:line="360" w:lineRule="auto"/>
        <w:rPr>
          <w:rFonts w:hint="eastAsia" w:cstheme="minorEastAsia"/>
          <w:shd w:val="clear" w:color="auto" w:fill="FFFFFF"/>
        </w:rPr>
      </w:pPr>
    </w:p>
    <w:p w14:paraId="4D46D998">
      <w:pPr>
        <w:spacing w:line="360" w:lineRule="auto"/>
        <w:ind w:left="424" w:leftChars="1" w:hanging="422" w:hangingChars="201"/>
        <w:rPr>
          <w:rFonts w:hint="eastAsia" w:ascii="宋体" w:hAnsi="宋体" w:cstheme="minorEastAsia"/>
          <w:szCs w:val="21"/>
          <w:shd w:val="clear" w:color="auto" w:fill="FFFFFF"/>
        </w:rPr>
      </w:pPr>
      <w:r>
        <w:rPr>
          <w:rFonts w:hint="eastAsia" w:ascii="宋体" w:hAnsi="宋体" w:cstheme="minorEastAsia"/>
          <w:szCs w:val="21"/>
          <w:shd w:val="clear" w:color="auto" w:fill="FFFFFF"/>
        </w:rPr>
        <w:t>注：1.产品如有型号，请在“产品名称”栏一并填写。</w:t>
      </w:r>
    </w:p>
    <w:p w14:paraId="321669C5">
      <w:pPr>
        <w:spacing w:line="360" w:lineRule="auto"/>
        <w:ind w:left="420" w:leftChars="200"/>
        <w:rPr>
          <w:rFonts w:hint="eastAsia" w:ascii="宋体" w:hAnsi="宋体" w:cstheme="minorEastAsia"/>
          <w:szCs w:val="21"/>
          <w:shd w:val="clear" w:color="auto" w:fill="FFFFFF"/>
        </w:rPr>
      </w:pPr>
      <w:r>
        <w:rPr>
          <w:rFonts w:hint="eastAsia" w:ascii="宋体" w:hAnsi="宋体" w:cstheme="minorEastAsia"/>
          <w:szCs w:val="21"/>
          <w:shd w:val="clear" w:color="auto" w:fill="FFFFFF"/>
        </w:rPr>
        <w:t>2.生产厂名与厂址应与生产厂营业执照载明的相关信息保持一致。</w:t>
      </w:r>
    </w:p>
    <w:p w14:paraId="20E48455">
      <w:pPr>
        <w:spacing w:line="360" w:lineRule="auto"/>
        <w:ind w:left="420" w:leftChars="200"/>
        <w:rPr>
          <w:rFonts w:hint="eastAsia" w:ascii="宋体" w:hAnsi="宋体" w:cstheme="minorEastAsia"/>
          <w:szCs w:val="21"/>
          <w:shd w:val="clear" w:color="auto" w:fill="FFFFFF"/>
        </w:rPr>
      </w:pPr>
      <w:r>
        <w:rPr>
          <w:rFonts w:hint="eastAsia" w:ascii="宋体" w:hAnsi="宋体" w:cstheme="minorEastAsia"/>
          <w:szCs w:val="21"/>
          <w:shd w:val="clear" w:color="auto" w:fill="FFFFFF"/>
        </w:rPr>
        <w:t>3.该产品的中国境内生产的组件成本占比相关要求实施前，“规定比例”栏可不填。</w:t>
      </w:r>
    </w:p>
    <w:p w14:paraId="79B57B94">
      <w:pPr>
        <w:spacing w:line="360" w:lineRule="auto"/>
        <w:ind w:left="420" w:leftChars="200"/>
        <w:rPr>
          <w:rFonts w:hint="eastAsia" w:ascii="宋体" w:hAnsi="宋体" w:cstheme="minorEastAsia"/>
          <w:szCs w:val="21"/>
          <w:shd w:val="clear" w:color="auto" w:fill="FFFFFF"/>
        </w:rPr>
      </w:pPr>
      <w:r>
        <w:rPr>
          <w:rFonts w:hint="eastAsia" w:ascii="宋体" w:hAnsi="宋体" w:cstheme="minorEastAsia"/>
          <w:szCs w:val="21"/>
          <w:shd w:val="clear" w:color="auto" w:fill="FFFFFF"/>
        </w:rPr>
        <w:t>4.该产品的关键组件要求实施前，“关键组件”栏可不填。</w:t>
      </w:r>
    </w:p>
    <w:p w14:paraId="4252E0A4">
      <w:pPr>
        <w:spacing w:line="360" w:lineRule="auto"/>
        <w:ind w:left="420" w:leftChars="200"/>
        <w:rPr>
          <w:rFonts w:hint="eastAsia" w:ascii="宋体" w:hAnsi="宋体" w:cstheme="minorEastAsia"/>
          <w:szCs w:val="21"/>
          <w:shd w:val="clear" w:color="auto" w:fill="FFFFFF"/>
        </w:rPr>
      </w:pPr>
      <w:r>
        <w:rPr>
          <w:rFonts w:hint="eastAsia" w:ascii="宋体" w:hAnsi="宋体" w:cstheme="minorEastAsia"/>
          <w:szCs w:val="21"/>
          <w:shd w:val="clear" w:color="auto" w:fill="FFFFFF"/>
        </w:rPr>
        <w:t>5.该产品的关键工序要求实施前，“关键工序”栏可不填。</w:t>
      </w:r>
    </w:p>
    <w:p w14:paraId="0080C16F">
      <w:pPr>
        <w:widowControl/>
        <w:jc w:val="left"/>
        <w:rPr>
          <w:rFonts w:hint="eastAsia" w:ascii="宋体" w:hAnsi="宋体" w:cstheme="minorEastAsia"/>
          <w:szCs w:val="21"/>
          <w:shd w:val="clear" w:color="auto" w:fill="FFFFFF"/>
        </w:rPr>
      </w:pPr>
      <w:r>
        <w:rPr>
          <w:rFonts w:hint="eastAsia" w:ascii="宋体" w:hAnsi="宋体" w:cstheme="minorEastAsia"/>
          <w:szCs w:val="21"/>
          <w:shd w:val="clear" w:color="auto" w:fill="FFFFFF"/>
        </w:rPr>
        <w:br w:type="page"/>
      </w:r>
    </w:p>
    <w:p w14:paraId="6689683C">
      <w:pPr>
        <w:pStyle w:val="38"/>
        <w:shd w:val="clear" w:color="auto" w:fill="FFFFFF"/>
        <w:spacing w:before="30" w:beforeAutospacing="0" w:after="30" w:afterAutospacing="0"/>
        <w:jc w:val="center"/>
        <w:rPr>
          <w:rStyle w:val="48"/>
          <w:rFonts w:hint="eastAsia" w:cstheme="minorEastAsia"/>
          <w:sz w:val="36"/>
          <w:szCs w:val="36"/>
        </w:rPr>
      </w:pPr>
      <w:r>
        <w:rPr>
          <w:rStyle w:val="48"/>
          <w:rFonts w:hint="eastAsia" w:cstheme="minorEastAsia"/>
          <w:sz w:val="36"/>
          <w:szCs w:val="36"/>
        </w:rPr>
        <w:t>产品成本占比承诺函</w:t>
      </w:r>
    </w:p>
    <w:p w14:paraId="4070A662">
      <w:pPr>
        <w:pStyle w:val="38"/>
        <w:shd w:val="clear" w:color="auto" w:fill="FFFFFF"/>
        <w:spacing w:before="30" w:beforeAutospacing="0" w:after="30" w:afterAutospacing="0"/>
        <w:rPr>
          <w:rStyle w:val="48"/>
          <w:rFonts w:hint="eastAsia" w:cstheme="minorEastAsia"/>
          <w:sz w:val="36"/>
          <w:szCs w:val="36"/>
        </w:rPr>
      </w:pPr>
    </w:p>
    <w:p w14:paraId="3CABC1B6">
      <w:pPr>
        <w:widowControl/>
        <w:spacing w:line="360" w:lineRule="auto"/>
        <w:ind w:firstLine="480" w:firstLineChars="200"/>
        <w:jc w:val="left"/>
        <w:rPr>
          <w:rFonts w:hint="eastAsia" w:ascii="宋体" w:hAnsi="宋体" w:cstheme="minorEastAsia"/>
          <w:sz w:val="24"/>
          <w:shd w:val="clear" w:color="auto" w:fill="FFFFFF"/>
        </w:rPr>
      </w:pPr>
      <w:r>
        <w:rPr>
          <w:rFonts w:hint="eastAsia" w:ascii="宋体" w:hAnsi="宋体" w:cstheme="minorEastAsia"/>
          <w:sz w:val="24"/>
          <w:shd w:val="clear" w:color="auto" w:fill="FFFFFF"/>
        </w:rPr>
        <w:t>我公司（单位）郑重承诺，我公司已阅读并理解《国务院办公厅关于在政府采购中实施本国产品标准及相关政策的通知》（国办发〔2025〕34号）的规定。据此承诺如下：</w:t>
      </w:r>
    </w:p>
    <w:p w14:paraId="2433413B">
      <w:pPr>
        <w:widowControl/>
        <w:spacing w:line="360" w:lineRule="auto"/>
        <w:ind w:firstLine="480" w:firstLineChars="200"/>
        <w:jc w:val="left"/>
        <w:rPr>
          <w:rFonts w:hint="eastAsia" w:ascii="宋体" w:hAnsi="宋体" w:cstheme="minorEastAsia"/>
          <w:spacing w:val="6"/>
          <w:sz w:val="24"/>
        </w:rPr>
      </w:pPr>
      <w:r>
        <w:rPr>
          <w:rFonts w:hint="eastAsia" w:ascii="宋体" w:hAnsi="宋体" w:cstheme="minorEastAsia"/>
          <w:sz w:val="24"/>
          <w:shd w:val="clear" w:color="auto" w:fill="FFFFFF"/>
        </w:rPr>
        <w:t>为本采购项目或者采购包提供的符合本国产品标准的产品成本之和占提供的全部产品成本之和的比例为</w:t>
      </w:r>
      <w:r>
        <w:rPr>
          <w:rFonts w:hint="eastAsia" w:ascii="宋体" w:hAnsi="宋体" w:cstheme="minorEastAsia"/>
          <w:spacing w:val="6"/>
          <w:sz w:val="24"/>
        </w:rPr>
        <w:t>______%。</w:t>
      </w:r>
    </w:p>
    <w:p w14:paraId="5D5A2D4D">
      <w:pPr>
        <w:widowControl/>
        <w:spacing w:line="360" w:lineRule="auto"/>
        <w:ind w:firstLine="480" w:firstLineChars="200"/>
        <w:jc w:val="left"/>
        <w:rPr>
          <w:rFonts w:hint="eastAsia" w:ascii="宋体" w:hAnsi="宋体" w:cstheme="minorEastAsia"/>
          <w:sz w:val="24"/>
        </w:rPr>
      </w:pPr>
    </w:p>
    <w:p w14:paraId="6788DE01">
      <w:pPr>
        <w:pStyle w:val="38"/>
        <w:shd w:val="clear" w:color="auto" w:fill="FFFFFF"/>
        <w:spacing w:before="0" w:beforeAutospacing="0" w:after="0" w:afterAutospacing="0" w:line="360" w:lineRule="auto"/>
        <w:jc w:val="right"/>
        <w:rPr>
          <w:rFonts w:hint="eastAsia" w:cstheme="minorEastAsia"/>
        </w:rPr>
      </w:pPr>
      <w:r>
        <w:rPr>
          <w:rFonts w:hint="eastAsia" w:cstheme="minorEastAsia"/>
          <w:shd w:val="clear" w:color="auto" w:fill="FFFFFF"/>
        </w:rPr>
        <w:t>公司（单位）名称（盖章）：　</w:t>
      </w:r>
    </w:p>
    <w:p w14:paraId="08B9AFF2">
      <w:pPr>
        <w:widowControl/>
        <w:spacing w:line="360" w:lineRule="auto"/>
        <w:ind w:firstLine="480" w:firstLineChars="200"/>
        <w:jc w:val="right"/>
        <w:rPr>
          <w:rFonts w:hint="eastAsia" w:ascii="宋体" w:hAnsi="宋体" w:cstheme="minorEastAsia"/>
          <w:sz w:val="24"/>
        </w:rPr>
      </w:pPr>
      <w:r>
        <w:rPr>
          <w:rFonts w:hint="eastAsia" w:ascii="宋体" w:hAnsi="宋体" w:cstheme="minorEastAsia"/>
          <w:sz w:val="24"/>
          <w:shd w:val="clear" w:color="auto" w:fill="FFFFFF"/>
        </w:rPr>
        <w:t>日期：　年　月　日</w:t>
      </w:r>
    </w:p>
    <w:p w14:paraId="569F99C0">
      <w:pPr>
        <w:widowControl/>
        <w:spacing w:line="360" w:lineRule="auto"/>
        <w:jc w:val="left"/>
        <w:rPr>
          <w:rFonts w:hint="eastAsia" w:ascii="宋体" w:hAnsi="宋体" w:cstheme="minorEastAsia"/>
          <w:sz w:val="24"/>
        </w:rPr>
      </w:pPr>
    </w:p>
    <w:p w14:paraId="43DA357D">
      <w:pPr>
        <w:widowControl/>
        <w:spacing w:line="360" w:lineRule="auto"/>
        <w:jc w:val="left"/>
        <w:rPr>
          <w:rFonts w:hint="eastAsia" w:ascii="宋体" w:hAnsi="宋体" w:cstheme="minorEastAsia"/>
          <w:sz w:val="24"/>
        </w:rPr>
      </w:pPr>
    </w:p>
    <w:p w14:paraId="2542D4FA">
      <w:pPr>
        <w:spacing w:line="360" w:lineRule="auto"/>
        <w:rPr>
          <w:rFonts w:hint="eastAsia" w:ascii="宋体" w:hAnsi="宋体" w:cstheme="minorEastAsia"/>
          <w:sz w:val="22"/>
          <w:szCs w:val="22"/>
        </w:rPr>
      </w:pPr>
      <w:r>
        <w:rPr>
          <w:rFonts w:hint="eastAsia" w:ascii="宋体" w:hAnsi="宋体" w:cstheme="minorEastAsia"/>
          <w:sz w:val="22"/>
          <w:szCs w:val="22"/>
        </w:rPr>
        <w:t>注：</w:t>
      </w:r>
    </w:p>
    <w:p w14:paraId="0FF14920">
      <w:pPr>
        <w:spacing w:line="360" w:lineRule="auto"/>
        <w:rPr>
          <w:rFonts w:hint="eastAsia" w:ascii="宋体" w:hAnsi="宋体" w:cstheme="minorEastAsia"/>
          <w:szCs w:val="21"/>
          <w:shd w:val="clear" w:color="auto" w:fill="FFFFFF"/>
        </w:rPr>
      </w:pPr>
      <w:r>
        <w:rPr>
          <w:rFonts w:hint="eastAsia" w:ascii="宋体" w:hAnsi="宋体" w:cstheme="minorEastAsia"/>
          <w:szCs w:val="21"/>
          <w:shd w:val="clear" w:color="auto" w:fill="FFFFFF"/>
        </w:rPr>
        <w:t>1. 本承诺函应按包分别提供。</w:t>
      </w:r>
    </w:p>
    <w:p w14:paraId="368EFCFC">
      <w:pPr>
        <w:spacing w:line="360" w:lineRule="auto"/>
        <w:rPr>
          <w:rFonts w:hint="eastAsia" w:ascii="宋体" w:hAnsi="宋体" w:cstheme="minorEastAsia"/>
          <w:szCs w:val="21"/>
          <w:shd w:val="clear" w:color="auto" w:fill="FFFFFF"/>
        </w:rPr>
      </w:pPr>
      <w:r>
        <w:rPr>
          <w:rFonts w:hint="eastAsia" w:ascii="宋体" w:hAnsi="宋体" w:cstheme="minorEastAsia"/>
          <w:szCs w:val="21"/>
          <w:shd w:val="clear" w:color="auto" w:fill="FFFFFF"/>
        </w:rPr>
        <w:t>2. 单一产品采购无须提供本承诺函；供应商提供产品全部为本国产品，且提供了《关于符合本国产品标准的声明函》时，无须提供本承诺函。</w:t>
      </w:r>
    </w:p>
    <w:p w14:paraId="268C1768">
      <w:pPr>
        <w:spacing w:line="360" w:lineRule="auto"/>
        <w:rPr>
          <w:rFonts w:hint="eastAsia" w:ascii="宋体" w:hAnsi="宋体" w:cstheme="minorEastAsia"/>
          <w:szCs w:val="21"/>
          <w:shd w:val="clear" w:color="auto" w:fill="FFFFFF"/>
        </w:rPr>
      </w:pPr>
      <w:r>
        <w:rPr>
          <w:rFonts w:hint="eastAsia" w:ascii="宋体" w:hAnsi="宋体" w:cstheme="minorEastAsia"/>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cstheme="minorEastAsia"/>
        </w:rPr>
        <w:t>价格评审优惠</w:t>
      </w:r>
      <w:r>
        <w:rPr>
          <w:rFonts w:hint="eastAsia" w:ascii="宋体" w:hAnsi="宋体" w:cstheme="minorEastAsia"/>
          <w:szCs w:val="21"/>
          <w:shd w:val="clear" w:color="auto" w:fill="FFFFFF"/>
        </w:rPr>
        <w:t>。</w:t>
      </w:r>
    </w:p>
    <w:p w14:paraId="676AABAC">
      <w:pPr>
        <w:spacing w:line="360" w:lineRule="auto"/>
        <w:ind w:left="420" w:leftChars="200"/>
        <w:rPr>
          <w:rFonts w:hint="eastAsia" w:ascii="宋体" w:hAnsi="宋体" w:cstheme="minorEastAsia"/>
          <w:szCs w:val="21"/>
          <w:shd w:val="clear" w:color="auto" w:fill="FFFFFF"/>
        </w:rPr>
      </w:pPr>
    </w:p>
    <w:p w14:paraId="0248DCD9">
      <w:pPr>
        <w:widowControl/>
        <w:jc w:val="left"/>
        <w:rPr>
          <w:rFonts w:hint="eastAsia" w:ascii="宋体" w:hAnsi="宋体" w:cstheme="minorEastAsia"/>
          <w:sz w:val="24"/>
        </w:rPr>
      </w:pPr>
      <w:r>
        <w:rPr>
          <w:rFonts w:hint="eastAsia" w:ascii="宋体" w:hAnsi="宋体" w:cstheme="minorEastAsia"/>
          <w:sz w:val="24"/>
        </w:rPr>
        <w:br w:type="page"/>
      </w:r>
    </w:p>
    <w:p w14:paraId="404D31DF">
      <w:pPr>
        <w:tabs>
          <w:tab w:val="left" w:pos="360"/>
        </w:tabs>
        <w:snapToGrid w:val="0"/>
        <w:spacing w:line="360" w:lineRule="auto"/>
        <w:outlineLvl w:val="1"/>
        <w:rPr>
          <w:rFonts w:hint="eastAsia" w:ascii="宋体" w:hAnsi="宋体" w:cstheme="minorEastAsia"/>
          <w:sz w:val="24"/>
          <w:szCs w:val="20"/>
        </w:rPr>
      </w:pPr>
      <w:r>
        <w:rPr>
          <w:rFonts w:hint="eastAsia" w:ascii="宋体" w:hAnsi="宋体" w:cstheme="minorEastAsia"/>
          <w:sz w:val="24"/>
        </w:rPr>
        <w:t>12  竞争性磋商文件要求提供或供应商认为应附的其他材料</w:t>
      </w:r>
    </w:p>
    <w:p w14:paraId="6C7F04F7">
      <w:pPr>
        <w:widowControl/>
        <w:jc w:val="left"/>
        <w:rPr>
          <w:rFonts w:hint="eastAsia" w:ascii="宋体" w:hAnsi="宋体" w:cstheme="minorEastAsia"/>
          <w:b/>
          <w:sz w:val="36"/>
          <w:szCs w:val="36"/>
        </w:rPr>
      </w:pPr>
    </w:p>
    <w:p w14:paraId="5FEE571D">
      <w:pPr>
        <w:widowControl/>
        <w:jc w:val="left"/>
        <w:rPr>
          <w:rFonts w:hint="eastAsia" w:ascii="宋体" w:hAnsi="宋体" w:cstheme="minorEastAsia"/>
          <w:sz w:val="24"/>
          <w:szCs w:val="20"/>
        </w:rPr>
      </w:pPr>
      <w:bookmarkStart w:id="1065" w:name="_Hlk167094858"/>
      <w:r>
        <w:rPr>
          <w:rFonts w:hint="eastAsia" w:ascii="宋体" w:hAnsi="宋体" w:cstheme="minorEastAsia"/>
          <w:sz w:val="24"/>
          <w:szCs w:val="20"/>
        </w:rPr>
        <w:t>12-1供应商信息采集表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6DC13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5590D637">
            <w:pPr>
              <w:rPr>
                <w:rFonts w:hint="eastAsia" w:ascii="宋体" w:hAnsi="宋体" w:cstheme="minorEastAsia"/>
                <w:sz w:val="24"/>
              </w:rPr>
            </w:pPr>
            <w:r>
              <w:rPr>
                <w:rFonts w:hint="eastAsia" w:ascii="宋体" w:hAnsi="宋体" w:cstheme="minorEastAsia"/>
                <w:sz w:val="24"/>
              </w:rPr>
              <w:t>供应商名称</w:t>
            </w:r>
          </w:p>
        </w:tc>
        <w:tc>
          <w:tcPr>
            <w:tcW w:w="1667" w:type="pct"/>
          </w:tcPr>
          <w:p w14:paraId="3076DE4A">
            <w:pPr>
              <w:rPr>
                <w:rFonts w:hint="eastAsia" w:ascii="宋体" w:hAnsi="宋体" w:cstheme="minorEastAsia"/>
                <w:sz w:val="24"/>
              </w:rPr>
            </w:pPr>
            <w:r>
              <w:rPr>
                <w:rFonts w:hint="eastAsia" w:ascii="宋体" w:hAnsi="宋体" w:cstheme="minorEastAsia"/>
                <w:sz w:val="24"/>
              </w:rPr>
              <w:t>供应商所属性别</w:t>
            </w:r>
          </w:p>
        </w:tc>
        <w:tc>
          <w:tcPr>
            <w:tcW w:w="1667" w:type="pct"/>
          </w:tcPr>
          <w:p w14:paraId="5B3A7C59">
            <w:pPr>
              <w:rPr>
                <w:rFonts w:hint="eastAsia" w:ascii="宋体" w:hAnsi="宋体" w:cstheme="minorEastAsia"/>
                <w:sz w:val="24"/>
              </w:rPr>
            </w:pPr>
            <w:r>
              <w:rPr>
                <w:rFonts w:hint="eastAsia" w:ascii="宋体" w:hAnsi="宋体" w:cstheme="minorEastAsia"/>
                <w:sz w:val="24"/>
              </w:rPr>
              <w:t>外商投资类型</w:t>
            </w:r>
          </w:p>
        </w:tc>
      </w:tr>
      <w:tr w14:paraId="25B1C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2850DF9E">
            <w:pPr>
              <w:rPr>
                <w:rFonts w:hint="eastAsia" w:ascii="宋体" w:hAnsi="宋体" w:cstheme="minorEastAsia"/>
                <w:sz w:val="24"/>
              </w:rPr>
            </w:pPr>
          </w:p>
        </w:tc>
        <w:tc>
          <w:tcPr>
            <w:tcW w:w="1667" w:type="pct"/>
          </w:tcPr>
          <w:p w14:paraId="419F6DEA">
            <w:pPr>
              <w:rPr>
                <w:rFonts w:hint="eastAsia" w:ascii="宋体" w:hAnsi="宋体" w:cstheme="minorEastAsia"/>
                <w:sz w:val="24"/>
              </w:rPr>
            </w:pPr>
          </w:p>
        </w:tc>
        <w:tc>
          <w:tcPr>
            <w:tcW w:w="1667" w:type="pct"/>
          </w:tcPr>
          <w:p w14:paraId="1C4888B8">
            <w:pPr>
              <w:rPr>
                <w:rFonts w:hint="eastAsia" w:ascii="宋体" w:hAnsi="宋体" w:cstheme="minorEastAsia"/>
                <w:sz w:val="24"/>
              </w:rPr>
            </w:pPr>
          </w:p>
        </w:tc>
      </w:tr>
      <w:tr w14:paraId="65C65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2FE32A26">
            <w:pPr>
              <w:rPr>
                <w:rFonts w:hint="eastAsia" w:ascii="宋体" w:hAnsi="宋体" w:cstheme="minorEastAsia"/>
              </w:rPr>
            </w:pPr>
          </w:p>
        </w:tc>
        <w:tc>
          <w:tcPr>
            <w:tcW w:w="1667" w:type="pct"/>
          </w:tcPr>
          <w:p w14:paraId="38D4B405">
            <w:pPr>
              <w:rPr>
                <w:rFonts w:hint="eastAsia" w:ascii="宋体" w:hAnsi="宋体" w:cstheme="minorEastAsia"/>
              </w:rPr>
            </w:pPr>
          </w:p>
        </w:tc>
        <w:tc>
          <w:tcPr>
            <w:tcW w:w="1667" w:type="pct"/>
          </w:tcPr>
          <w:p w14:paraId="530AF0D8">
            <w:pPr>
              <w:rPr>
                <w:rFonts w:hint="eastAsia" w:ascii="宋体" w:hAnsi="宋体" w:cstheme="minorEastAsia"/>
              </w:rPr>
            </w:pPr>
          </w:p>
        </w:tc>
      </w:tr>
      <w:tr w14:paraId="04B17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60A027B">
            <w:pPr>
              <w:rPr>
                <w:rFonts w:hint="eastAsia" w:ascii="宋体" w:hAnsi="宋体" w:cstheme="minorEastAsia"/>
              </w:rPr>
            </w:pPr>
          </w:p>
        </w:tc>
        <w:tc>
          <w:tcPr>
            <w:tcW w:w="1667" w:type="pct"/>
          </w:tcPr>
          <w:p w14:paraId="490DDD35">
            <w:pPr>
              <w:rPr>
                <w:rFonts w:hint="eastAsia" w:ascii="宋体" w:hAnsi="宋体" w:cstheme="minorEastAsia"/>
              </w:rPr>
            </w:pPr>
          </w:p>
        </w:tc>
        <w:tc>
          <w:tcPr>
            <w:tcW w:w="1667" w:type="pct"/>
          </w:tcPr>
          <w:p w14:paraId="33EC20C2">
            <w:pPr>
              <w:rPr>
                <w:rFonts w:hint="eastAsia" w:ascii="宋体" w:hAnsi="宋体" w:cstheme="minorEastAsia"/>
              </w:rPr>
            </w:pPr>
          </w:p>
        </w:tc>
      </w:tr>
      <w:tr w14:paraId="597E5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769F33E">
            <w:pPr>
              <w:rPr>
                <w:rFonts w:hint="eastAsia" w:ascii="宋体" w:hAnsi="宋体" w:cstheme="minorEastAsia"/>
              </w:rPr>
            </w:pPr>
          </w:p>
        </w:tc>
        <w:tc>
          <w:tcPr>
            <w:tcW w:w="1667" w:type="pct"/>
          </w:tcPr>
          <w:p w14:paraId="26A55257">
            <w:pPr>
              <w:rPr>
                <w:rFonts w:hint="eastAsia" w:ascii="宋体" w:hAnsi="宋体" w:cstheme="minorEastAsia"/>
              </w:rPr>
            </w:pPr>
          </w:p>
        </w:tc>
        <w:tc>
          <w:tcPr>
            <w:tcW w:w="1667" w:type="pct"/>
          </w:tcPr>
          <w:p w14:paraId="2F548BA7">
            <w:pPr>
              <w:rPr>
                <w:rFonts w:hint="eastAsia" w:ascii="宋体" w:hAnsi="宋体" w:cstheme="minorEastAsia"/>
              </w:rPr>
            </w:pPr>
          </w:p>
        </w:tc>
      </w:tr>
    </w:tbl>
    <w:p w14:paraId="5F5F58B1">
      <w:pPr>
        <w:tabs>
          <w:tab w:val="left" w:pos="1800"/>
          <w:tab w:val="left" w:pos="5580"/>
        </w:tabs>
        <w:jc w:val="left"/>
        <w:rPr>
          <w:rFonts w:hint="eastAsia" w:ascii="宋体" w:hAnsi="宋体" w:cstheme="minorEastAsia"/>
          <w:sz w:val="24"/>
        </w:rPr>
      </w:pPr>
      <w:r>
        <w:rPr>
          <w:rFonts w:hint="eastAsia" w:ascii="宋体" w:hAnsi="宋体" w:cstheme="minorEastAsia"/>
          <w:sz w:val="24"/>
        </w:rPr>
        <w:t>注：1.供应商如为联合体，则应填写联合体各成员信息。</w:t>
      </w:r>
    </w:p>
    <w:p w14:paraId="67DA6360">
      <w:pPr>
        <w:tabs>
          <w:tab w:val="left" w:pos="1800"/>
          <w:tab w:val="left" w:pos="5580"/>
        </w:tabs>
        <w:ind w:firstLine="480" w:firstLineChars="200"/>
        <w:jc w:val="left"/>
        <w:rPr>
          <w:rFonts w:hint="eastAsia" w:ascii="宋体" w:hAnsi="宋体" w:cstheme="minorEastAsia"/>
          <w:sz w:val="24"/>
        </w:rPr>
      </w:pPr>
      <w:r>
        <w:rPr>
          <w:rFonts w:hint="eastAsia" w:ascii="宋体" w:hAnsi="宋体" w:cstheme="minorEastAsia"/>
          <w:sz w:val="24"/>
        </w:rPr>
        <w:t>2.供应商所属性别请填写“男”或“女”，指拥有供应商51%以上绝对所有权的性别；绝对所有权拥有者可以是一个人，也可以是多人合计计算。</w:t>
      </w:r>
    </w:p>
    <w:p w14:paraId="40235B5A">
      <w:pPr>
        <w:tabs>
          <w:tab w:val="left" w:pos="1800"/>
          <w:tab w:val="left" w:pos="5580"/>
        </w:tabs>
        <w:ind w:firstLine="480" w:firstLineChars="200"/>
        <w:jc w:val="left"/>
        <w:rPr>
          <w:rFonts w:hint="eastAsia" w:ascii="宋体" w:hAnsi="宋体" w:cstheme="minorEastAsia"/>
          <w:sz w:val="24"/>
        </w:rPr>
      </w:pPr>
      <w:r>
        <w:rPr>
          <w:rFonts w:hint="eastAsia" w:ascii="宋体" w:hAnsi="宋体" w:cstheme="minorEastAsia"/>
          <w:sz w:val="24"/>
        </w:rPr>
        <w:t>3.外商投资类型请填写“外商单独投资”、“外商部分投资”或“内资”。</w:t>
      </w:r>
    </w:p>
    <w:bookmarkEnd w:id="1065"/>
    <w:p w14:paraId="277460BE">
      <w:pPr>
        <w:widowControl/>
        <w:jc w:val="left"/>
        <w:rPr>
          <w:rFonts w:hint="eastAsia" w:ascii="宋体" w:hAnsi="宋体" w:cstheme="minorEastAsia"/>
          <w:b/>
          <w:sz w:val="36"/>
          <w:szCs w:val="36"/>
        </w:rPr>
      </w:pPr>
      <w:r>
        <w:rPr>
          <w:rFonts w:hint="eastAsia" w:ascii="宋体" w:hAnsi="宋体" w:cstheme="minorEastAsia"/>
          <w:b/>
          <w:sz w:val="36"/>
          <w:szCs w:val="36"/>
        </w:rPr>
        <w:br w:type="page"/>
      </w:r>
    </w:p>
    <w:p w14:paraId="36B012B8">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13  最后报价一览表（实质性格式，磋商后提交）</w:t>
      </w:r>
    </w:p>
    <w:p w14:paraId="1BCAF171">
      <w:pPr>
        <w:widowControl/>
        <w:jc w:val="left"/>
        <w:rPr>
          <w:rFonts w:hint="eastAsia" w:ascii="宋体" w:hAnsi="宋体" w:cstheme="minorEastAsia"/>
          <w:kern w:val="0"/>
          <w:sz w:val="24"/>
          <w:szCs w:val="20"/>
        </w:rPr>
      </w:pPr>
    </w:p>
    <w:p w14:paraId="539D324C">
      <w:pPr>
        <w:spacing w:line="360" w:lineRule="exact"/>
        <w:ind w:firstLine="720"/>
        <w:jc w:val="center"/>
        <w:rPr>
          <w:rFonts w:hint="eastAsia" w:ascii="宋体" w:hAnsi="宋体" w:cstheme="minorEastAsia"/>
          <w:b/>
          <w:sz w:val="36"/>
          <w:szCs w:val="36"/>
        </w:rPr>
      </w:pPr>
      <w:r>
        <w:rPr>
          <w:rFonts w:hint="eastAsia" w:ascii="宋体" w:hAnsi="宋体" w:cstheme="minorEastAsia"/>
          <w:b/>
          <w:sz w:val="36"/>
          <w:szCs w:val="36"/>
        </w:rPr>
        <w:t>最后报价一览表</w:t>
      </w:r>
    </w:p>
    <w:p w14:paraId="509F7AEE">
      <w:pPr>
        <w:tabs>
          <w:tab w:val="left" w:pos="1800"/>
          <w:tab w:val="left" w:pos="5580"/>
        </w:tabs>
        <w:spacing w:line="360" w:lineRule="auto"/>
        <w:jc w:val="left"/>
        <w:rPr>
          <w:rFonts w:hint="eastAsia" w:ascii="宋体" w:hAnsi="宋体" w:cstheme="minorEastAsia"/>
          <w:sz w:val="24"/>
        </w:rPr>
      </w:pPr>
    </w:p>
    <w:p w14:paraId="113BD6D4">
      <w:pPr>
        <w:tabs>
          <w:tab w:val="left" w:pos="1800"/>
          <w:tab w:val="left" w:pos="5580"/>
        </w:tabs>
        <w:spacing w:line="360" w:lineRule="auto"/>
        <w:ind w:firstLine="360" w:firstLineChars="150"/>
        <w:jc w:val="left"/>
        <w:rPr>
          <w:rFonts w:hint="eastAsia" w:ascii="宋体" w:hAnsi="宋体" w:cstheme="minorEastAsia"/>
          <w:sz w:val="24"/>
        </w:rPr>
      </w:pPr>
      <w:r>
        <w:rPr>
          <w:rFonts w:hint="eastAsia" w:ascii="宋体" w:hAnsi="宋体" w:cstheme="minorEastAsia"/>
          <w:sz w:val="24"/>
        </w:rPr>
        <w:t>项目编号/包号：_______________     项目名称：_______________</w:t>
      </w:r>
    </w:p>
    <w:tbl>
      <w:tblPr>
        <w:tblStyle w:val="44"/>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6"/>
        <w:gridCol w:w="2300"/>
        <w:gridCol w:w="1710"/>
        <w:gridCol w:w="1523"/>
        <w:gridCol w:w="1457"/>
      </w:tblGrid>
      <w:tr w14:paraId="76A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3FAD38BD">
            <w:pPr>
              <w:tabs>
                <w:tab w:val="left" w:pos="5580"/>
              </w:tabs>
              <w:jc w:val="center"/>
              <w:rPr>
                <w:rFonts w:hint="eastAsia" w:ascii="宋体" w:hAnsi="宋体" w:cstheme="minorEastAsia"/>
                <w:b/>
                <w:sz w:val="24"/>
              </w:rPr>
            </w:pPr>
            <w:r>
              <w:rPr>
                <w:rFonts w:hint="eastAsia" w:ascii="宋体" w:hAnsi="宋体" w:cstheme="minorEastAsia"/>
                <w:b/>
                <w:sz w:val="24"/>
              </w:rPr>
              <w:t>序号</w:t>
            </w:r>
          </w:p>
        </w:tc>
        <w:tc>
          <w:tcPr>
            <w:tcW w:w="1498" w:type="pct"/>
            <w:vMerge w:val="restart"/>
            <w:vAlign w:val="center"/>
          </w:tcPr>
          <w:p w14:paraId="73668D90">
            <w:pPr>
              <w:tabs>
                <w:tab w:val="left" w:pos="5580"/>
              </w:tabs>
              <w:jc w:val="center"/>
              <w:rPr>
                <w:rFonts w:hint="eastAsia" w:ascii="宋体" w:hAnsi="宋体" w:cstheme="minorEastAsia"/>
                <w:b/>
                <w:sz w:val="24"/>
              </w:rPr>
            </w:pPr>
            <w:r>
              <w:rPr>
                <w:rFonts w:hint="eastAsia" w:ascii="宋体" w:hAnsi="宋体" w:cstheme="minorEastAsia"/>
                <w:b/>
                <w:sz w:val="24"/>
              </w:rPr>
              <w:t>供应商名称</w:t>
            </w:r>
          </w:p>
        </w:tc>
        <w:tc>
          <w:tcPr>
            <w:tcW w:w="2106" w:type="pct"/>
            <w:gridSpan w:val="2"/>
            <w:vAlign w:val="center"/>
          </w:tcPr>
          <w:p w14:paraId="4051C486">
            <w:pPr>
              <w:tabs>
                <w:tab w:val="left" w:pos="5580"/>
              </w:tabs>
              <w:jc w:val="center"/>
              <w:rPr>
                <w:rFonts w:hint="eastAsia" w:ascii="宋体" w:hAnsi="宋体" w:cstheme="minorEastAsia"/>
                <w:b/>
                <w:sz w:val="24"/>
              </w:rPr>
            </w:pPr>
            <w:r>
              <w:rPr>
                <w:rFonts w:hint="eastAsia" w:ascii="宋体" w:hAnsi="宋体" w:cstheme="minorEastAsia"/>
                <w:b/>
                <w:sz w:val="24"/>
              </w:rPr>
              <w:t>最后报价</w:t>
            </w:r>
          </w:p>
        </w:tc>
        <w:tc>
          <w:tcPr>
            <w:tcW w:w="949" w:type="pct"/>
            <w:vMerge w:val="restart"/>
            <w:vAlign w:val="center"/>
          </w:tcPr>
          <w:p w14:paraId="1BED2239">
            <w:pPr>
              <w:tabs>
                <w:tab w:val="left" w:pos="5580"/>
              </w:tabs>
              <w:jc w:val="center"/>
              <w:rPr>
                <w:rFonts w:hint="eastAsia" w:ascii="宋体" w:hAnsi="宋体" w:cstheme="minorEastAsia"/>
                <w:b/>
                <w:sz w:val="24"/>
              </w:rPr>
            </w:pPr>
            <w:r>
              <w:rPr>
                <w:rFonts w:hint="eastAsia" w:ascii="宋体" w:hAnsi="宋体" w:cstheme="minorEastAsia"/>
                <w:b/>
                <w:sz w:val="24"/>
              </w:rPr>
              <w:t>其他</w:t>
            </w:r>
          </w:p>
          <w:p w14:paraId="73469A81">
            <w:pPr>
              <w:tabs>
                <w:tab w:val="left" w:pos="5580"/>
              </w:tabs>
              <w:jc w:val="center"/>
              <w:rPr>
                <w:rFonts w:hint="eastAsia" w:ascii="宋体" w:hAnsi="宋体" w:cstheme="minorEastAsia"/>
                <w:b/>
                <w:sz w:val="24"/>
              </w:rPr>
            </w:pPr>
            <w:r>
              <w:rPr>
                <w:rFonts w:hint="eastAsia" w:ascii="宋体" w:hAnsi="宋体" w:cstheme="minorEastAsia"/>
                <w:b/>
                <w:sz w:val="24"/>
              </w:rPr>
              <w:t>声明</w:t>
            </w:r>
          </w:p>
        </w:tc>
      </w:tr>
      <w:tr w14:paraId="1C1E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47348F76">
            <w:pPr>
              <w:tabs>
                <w:tab w:val="left" w:pos="5580"/>
              </w:tabs>
              <w:jc w:val="center"/>
              <w:rPr>
                <w:rFonts w:hint="eastAsia" w:ascii="宋体" w:hAnsi="宋体" w:cstheme="minorEastAsia"/>
                <w:sz w:val="24"/>
              </w:rPr>
            </w:pPr>
          </w:p>
        </w:tc>
        <w:tc>
          <w:tcPr>
            <w:tcW w:w="1498" w:type="pct"/>
            <w:vMerge w:val="continue"/>
            <w:vAlign w:val="center"/>
          </w:tcPr>
          <w:p w14:paraId="467082C0">
            <w:pPr>
              <w:tabs>
                <w:tab w:val="left" w:pos="5580"/>
              </w:tabs>
              <w:jc w:val="center"/>
              <w:rPr>
                <w:rFonts w:hint="eastAsia" w:ascii="宋体" w:hAnsi="宋体" w:cstheme="minorEastAsia"/>
                <w:sz w:val="24"/>
              </w:rPr>
            </w:pPr>
          </w:p>
        </w:tc>
        <w:tc>
          <w:tcPr>
            <w:tcW w:w="1114" w:type="pct"/>
            <w:vAlign w:val="center"/>
          </w:tcPr>
          <w:p w14:paraId="6554D444">
            <w:pPr>
              <w:tabs>
                <w:tab w:val="left" w:pos="5580"/>
              </w:tabs>
              <w:jc w:val="center"/>
              <w:rPr>
                <w:rFonts w:hint="eastAsia" w:ascii="宋体" w:hAnsi="宋体" w:cstheme="minorEastAsia"/>
                <w:b/>
                <w:sz w:val="24"/>
              </w:rPr>
            </w:pPr>
            <w:r>
              <w:rPr>
                <w:rFonts w:hint="eastAsia" w:ascii="宋体" w:hAnsi="宋体" w:cstheme="minorEastAsia"/>
                <w:b/>
                <w:sz w:val="24"/>
              </w:rPr>
              <w:t>大写</w:t>
            </w:r>
          </w:p>
        </w:tc>
        <w:tc>
          <w:tcPr>
            <w:tcW w:w="992" w:type="pct"/>
            <w:vAlign w:val="center"/>
          </w:tcPr>
          <w:p w14:paraId="026030B7">
            <w:pPr>
              <w:tabs>
                <w:tab w:val="left" w:pos="5580"/>
              </w:tabs>
              <w:jc w:val="center"/>
              <w:rPr>
                <w:rFonts w:hint="eastAsia" w:ascii="宋体" w:hAnsi="宋体" w:cstheme="minorEastAsia"/>
                <w:b/>
                <w:sz w:val="24"/>
              </w:rPr>
            </w:pPr>
            <w:r>
              <w:rPr>
                <w:rFonts w:hint="eastAsia" w:ascii="宋体" w:hAnsi="宋体" w:cstheme="minorEastAsia"/>
                <w:b/>
                <w:sz w:val="24"/>
              </w:rPr>
              <w:t>小写</w:t>
            </w:r>
          </w:p>
        </w:tc>
        <w:tc>
          <w:tcPr>
            <w:tcW w:w="949" w:type="pct"/>
            <w:vMerge w:val="continue"/>
            <w:vAlign w:val="center"/>
          </w:tcPr>
          <w:p w14:paraId="3F398132">
            <w:pPr>
              <w:tabs>
                <w:tab w:val="left" w:pos="5580"/>
              </w:tabs>
              <w:ind w:firstLine="482"/>
              <w:jc w:val="center"/>
              <w:rPr>
                <w:rFonts w:hint="eastAsia" w:ascii="宋体" w:hAnsi="宋体" w:cstheme="minorEastAsia"/>
                <w:b/>
                <w:sz w:val="24"/>
              </w:rPr>
            </w:pPr>
          </w:p>
        </w:tc>
      </w:tr>
      <w:tr w14:paraId="1427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4DEA0FC7">
            <w:pPr>
              <w:tabs>
                <w:tab w:val="left" w:pos="5580"/>
              </w:tabs>
              <w:jc w:val="center"/>
              <w:rPr>
                <w:rFonts w:hint="eastAsia" w:ascii="宋体" w:hAnsi="宋体" w:cstheme="minorEastAsia"/>
                <w:sz w:val="24"/>
              </w:rPr>
            </w:pPr>
          </w:p>
        </w:tc>
        <w:tc>
          <w:tcPr>
            <w:tcW w:w="1498" w:type="pct"/>
            <w:vAlign w:val="center"/>
          </w:tcPr>
          <w:p w14:paraId="276C33BD">
            <w:pPr>
              <w:tabs>
                <w:tab w:val="left" w:pos="5580"/>
              </w:tabs>
              <w:jc w:val="center"/>
              <w:rPr>
                <w:rFonts w:hint="eastAsia" w:ascii="宋体" w:hAnsi="宋体" w:cstheme="minorEastAsia"/>
                <w:sz w:val="24"/>
              </w:rPr>
            </w:pPr>
          </w:p>
        </w:tc>
        <w:tc>
          <w:tcPr>
            <w:tcW w:w="1114" w:type="pct"/>
            <w:vAlign w:val="center"/>
          </w:tcPr>
          <w:p w14:paraId="7D09A975">
            <w:pPr>
              <w:tabs>
                <w:tab w:val="left" w:pos="5580"/>
              </w:tabs>
              <w:jc w:val="center"/>
              <w:rPr>
                <w:rFonts w:hint="eastAsia" w:ascii="宋体" w:hAnsi="宋体" w:cstheme="minorEastAsia"/>
                <w:sz w:val="24"/>
              </w:rPr>
            </w:pPr>
          </w:p>
        </w:tc>
        <w:tc>
          <w:tcPr>
            <w:tcW w:w="992" w:type="pct"/>
            <w:vAlign w:val="center"/>
          </w:tcPr>
          <w:p w14:paraId="76B6D880">
            <w:pPr>
              <w:tabs>
                <w:tab w:val="left" w:pos="5580"/>
              </w:tabs>
              <w:jc w:val="center"/>
              <w:rPr>
                <w:rFonts w:hint="eastAsia" w:ascii="宋体" w:hAnsi="宋体" w:cstheme="minorEastAsia"/>
                <w:sz w:val="24"/>
              </w:rPr>
            </w:pPr>
          </w:p>
        </w:tc>
        <w:tc>
          <w:tcPr>
            <w:tcW w:w="949" w:type="pct"/>
            <w:vAlign w:val="center"/>
          </w:tcPr>
          <w:p w14:paraId="5F9C8F06">
            <w:pPr>
              <w:tabs>
                <w:tab w:val="left" w:pos="5580"/>
              </w:tabs>
              <w:jc w:val="center"/>
              <w:rPr>
                <w:rFonts w:hint="eastAsia" w:ascii="宋体" w:hAnsi="宋体" w:cstheme="minorEastAsia"/>
                <w:sz w:val="24"/>
              </w:rPr>
            </w:pPr>
          </w:p>
        </w:tc>
      </w:tr>
    </w:tbl>
    <w:p w14:paraId="544A7E9F">
      <w:pPr>
        <w:autoSpaceDE w:val="0"/>
        <w:autoSpaceDN w:val="0"/>
        <w:adjustRightInd w:val="0"/>
        <w:jc w:val="left"/>
        <w:rPr>
          <w:rFonts w:hint="eastAsia" w:ascii="宋体" w:hAnsi="宋体" w:cstheme="minorEastAsia"/>
          <w:kern w:val="0"/>
          <w:sz w:val="24"/>
        </w:rPr>
      </w:pPr>
    </w:p>
    <w:p w14:paraId="48E886EF">
      <w:pPr>
        <w:autoSpaceDE w:val="0"/>
        <w:autoSpaceDN w:val="0"/>
        <w:adjustRightInd w:val="0"/>
        <w:jc w:val="left"/>
        <w:rPr>
          <w:rFonts w:hint="eastAsia" w:ascii="宋体" w:hAnsi="宋体" w:cstheme="minorEastAsia"/>
          <w:kern w:val="0"/>
          <w:sz w:val="24"/>
        </w:rPr>
      </w:pPr>
    </w:p>
    <w:p w14:paraId="1B8D4B41">
      <w:pPr>
        <w:autoSpaceDE w:val="0"/>
        <w:autoSpaceDN w:val="0"/>
        <w:adjustRightInd w:val="0"/>
        <w:jc w:val="left"/>
        <w:rPr>
          <w:rFonts w:hint="eastAsia" w:ascii="宋体" w:hAnsi="宋体" w:cstheme="minorEastAsia"/>
          <w:kern w:val="0"/>
          <w:sz w:val="24"/>
        </w:rPr>
      </w:pPr>
    </w:p>
    <w:p w14:paraId="168CBA95">
      <w:pPr>
        <w:autoSpaceDE w:val="0"/>
        <w:autoSpaceDN w:val="0"/>
        <w:adjustRightInd w:val="0"/>
        <w:jc w:val="left"/>
        <w:rPr>
          <w:rFonts w:hint="eastAsia" w:ascii="宋体" w:hAnsi="宋体" w:cstheme="minorEastAsia"/>
          <w:kern w:val="0"/>
          <w:sz w:val="24"/>
        </w:rPr>
      </w:pPr>
    </w:p>
    <w:p w14:paraId="2FDEA1EC">
      <w:pPr>
        <w:autoSpaceDE w:val="0"/>
        <w:autoSpaceDN w:val="0"/>
        <w:adjustRightInd w:val="0"/>
        <w:jc w:val="left"/>
        <w:rPr>
          <w:rFonts w:hint="eastAsia" w:ascii="宋体" w:hAnsi="宋体" w:cstheme="minorEastAsia"/>
          <w:sz w:val="24"/>
          <w:szCs w:val="20"/>
        </w:rPr>
      </w:pPr>
      <w:r>
        <w:rPr>
          <w:rFonts w:hint="eastAsia" w:ascii="宋体" w:hAnsi="宋体" w:cstheme="minorEastAsia"/>
          <w:kern w:val="0"/>
          <w:sz w:val="24"/>
        </w:rPr>
        <w:t>注：1</w:t>
      </w:r>
      <w:r>
        <w:rPr>
          <w:rFonts w:hint="eastAsia" w:ascii="宋体" w:hAnsi="宋体" w:cstheme="minorEastAsia"/>
          <w:sz w:val="24"/>
          <w:szCs w:val="20"/>
        </w:rPr>
        <w:t>.此表中，每包的最后报价应和《最后分项报价表》中的总价相一致。</w:t>
      </w:r>
    </w:p>
    <w:p w14:paraId="0AF6B2A1">
      <w:pPr>
        <w:tabs>
          <w:tab w:val="left" w:pos="5580"/>
        </w:tabs>
        <w:ind w:firstLine="480" w:firstLineChars="200"/>
        <w:rPr>
          <w:rFonts w:hint="eastAsia" w:ascii="宋体" w:hAnsi="宋体" w:cstheme="minorEastAsia"/>
          <w:sz w:val="24"/>
          <w:szCs w:val="20"/>
        </w:rPr>
      </w:pPr>
      <w:r>
        <w:rPr>
          <w:rFonts w:hint="eastAsia" w:ascii="宋体" w:hAnsi="宋体" w:cstheme="minorEastAsia"/>
          <w:sz w:val="24"/>
          <w:szCs w:val="20"/>
        </w:rPr>
        <w:t>2.本表必须按包分别填写。</w:t>
      </w:r>
    </w:p>
    <w:p w14:paraId="352F8070">
      <w:pPr>
        <w:pStyle w:val="179"/>
        <w:ind w:left="642" w:leftChars="227" w:hanging="165" w:hangingChars="69"/>
        <w:rPr>
          <w:rFonts w:hint="eastAsia" w:cstheme="minorEastAsia"/>
          <w:color w:val="auto"/>
          <w:sz w:val="24"/>
          <w:szCs w:val="24"/>
        </w:rPr>
      </w:pPr>
      <w:r>
        <w:rPr>
          <w:rFonts w:hint="eastAsia" w:cstheme="minorEastAsia"/>
          <w:color w:val="auto"/>
          <w:sz w:val="24"/>
          <w:szCs w:val="24"/>
        </w:rPr>
        <w:t>3.</w:t>
      </w:r>
      <w:bookmarkStart w:id="1066" w:name="_Hlk137145809"/>
      <w:r>
        <w:rPr>
          <w:rFonts w:hint="eastAsia" w:cstheme="minorEastAsia"/>
          <w:color w:val="auto"/>
          <w:sz w:val="24"/>
          <w:szCs w:val="24"/>
        </w:rPr>
        <w:t>此表无需在响应文件中提交，磋商后供应商按磋商小组要求提交。</w:t>
      </w:r>
      <w:bookmarkEnd w:id="1066"/>
    </w:p>
    <w:p w14:paraId="7A5F1A22">
      <w:pPr>
        <w:tabs>
          <w:tab w:val="left" w:pos="5580"/>
        </w:tabs>
        <w:ind w:firstLine="480" w:firstLineChars="200"/>
        <w:rPr>
          <w:rFonts w:hint="eastAsia" w:ascii="宋体" w:hAnsi="宋体" w:cstheme="minorEastAsia"/>
          <w:sz w:val="24"/>
          <w:szCs w:val="20"/>
        </w:rPr>
      </w:pPr>
    </w:p>
    <w:p w14:paraId="2D7A7533">
      <w:pPr>
        <w:autoSpaceDE w:val="0"/>
        <w:autoSpaceDN w:val="0"/>
        <w:adjustRightInd w:val="0"/>
        <w:snapToGrid w:val="0"/>
        <w:spacing w:before="25" w:after="25" w:line="360" w:lineRule="auto"/>
        <w:rPr>
          <w:rFonts w:hint="eastAsia" w:ascii="宋体" w:hAnsi="宋体" w:cstheme="minorEastAsia"/>
          <w:sz w:val="24"/>
          <w:lang w:val="zh-CN"/>
        </w:rPr>
      </w:pPr>
    </w:p>
    <w:p w14:paraId="4DEF0044">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lang w:val="zh-CN"/>
        </w:rPr>
        <w:t xml:space="preserve">      </w:t>
      </w:r>
    </w:p>
    <w:p w14:paraId="64EA0944">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sz w:val="24"/>
        </w:rPr>
        <w:t>供应商授权代表签字（或加盖供应商公章）</w:t>
      </w:r>
      <w:r>
        <w:rPr>
          <w:rFonts w:hint="eastAsia" w:ascii="宋体" w:hAnsi="宋体" w:cstheme="minorEastAsia"/>
          <w:sz w:val="24"/>
          <w:lang w:val="zh-CN"/>
        </w:rPr>
        <w:t xml:space="preserve">：___________ </w:t>
      </w:r>
    </w:p>
    <w:p w14:paraId="01726A5F">
      <w:pPr>
        <w:widowControl/>
        <w:jc w:val="left"/>
        <w:rPr>
          <w:rFonts w:hint="eastAsia" w:ascii="宋体" w:hAnsi="宋体" w:cstheme="minorEastAsia"/>
          <w:sz w:val="24"/>
          <w:szCs w:val="20"/>
        </w:rPr>
      </w:pPr>
      <w:r>
        <w:rPr>
          <w:rFonts w:hint="eastAsia" w:ascii="宋体" w:hAnsi="宋体" w:cstheme="minorEastAsia"/>
          <w:sz w:val="24"/>
          <w:szCs w:val="20"/>
        </w:rPr>
        <w:t xml:space="preserve">日期：____年____月____日   </w:t>
      </w:r>
    </w:p>
    <w:p w14:paraId="1D676ADF">
      <w:pPr>
        <w:widowControl/>
        <w:jc w:val="left"/>
        <w:rPr>
          <w:rFonts w:hint="eastAsia" w:ascii="宋体" w:hAnsi="宋体" w:cstheme="minorEastAsia"/>
          <w:sz w:val="24"/>
        </w:rPr>
      </w:pPr>
    </w:p>
    <w:p w14:paraId="237BB4DF">
      <w:pPr>
        <w:widowControl/>
        <w:jc w:val="left"/>
        <w:rPr>
          <w:rFonts w:hint="eastAsia" w:ascii="宋体" w:hAnsi="宋体" w:cstheme="minorEastAsia"/>
          <w:sz w:val="24"/>
        </w:rPr>
      </w:pPr>
      <w:r>
        <w:rPr>
          <w:rFonts w:hint="eastAsia" w:ascii="宋体" w:hAnsi="宋体" w:cstheme="minorEastAsia"/>
          <w:sz w:val="24"/>
        </w:rPr>
        <w:br w:type="page"/>
      </w:r>
    </w:p>
    <w:p w14:paraId="5BD69568">
      <w:pPr>
        <w:tabs>
          <w:tab w:val="left" w:pos="360"/>
        </w:tabs>
        <w:snapToGrid w:val="0"/>
        <w:spacing w:line="360" w:lineRule="auto"/>
        <w:outlineLvl w:val="1"/>
        <w:rPr>
          <w:rFonts w:eastAsiaTheme="minorEastAsia"/>
          <w:sz w:val="24"/>
        </w:rPr>
      </w:pPr>
      <w:r>
        <w:rPr>
          <w:rFonts w:eastAsiaTheme="minorEastAsia"/>
          <w:sz w:val="24"/>
        </w:rPr>
        <w:t>14  最后分项报价表（实质性格式</w:t>
      </w:r>
      <w:r>
        <w:rPr>
          <w:rFonts w:hint="eastAsia" w:eastAsiaTheme="minorEastAsia"/>
          <w:sz w:val="24"/>
        </w:rPr>
        <w:t>，磋商后提交</w:t>
      </w:r>
      <w:r>
        <w:rPr>
          <w:rFonts w:eastAsiaTheme="minorEastAsia"/>
          <w:sz w:val="24"/>
        </w:rPr>
        <w:t>）</w:t>
      </w:r>
    </w:p>
    <w:p w14:paraId="522E966D">
      <w:pPr>
        <w:pStyle w:val="43"/>
        <w:ind w:firstLine="480"/>
      </w:pPr>
    </w:p>
    <w:p w14:paraId="604DBB72">
      <w:pPr>
        <w:spacing w:line="360" w:lineRule="exact"/>
        <w:jc w:val="center"/>
        <w:rPr>
          <w:rFonts w:eastAsiaTheme="minorEastAsia"/>
          <w:sz w:val="36"/>
          <w:szCs w:val="36"/>
        </w:rPr>
      </w:pPr>
      <w:r>
        <w:rPr>
          <w:rFonts w:eastAsiaTheme="minorEastAsia"/>
          <w:sz w:val="36"/>
          <w:szCs w:val="36"/>
        </w:rPr>
        <w:t>最后分项报价表</w:t>
      </w:r>
    </w:p>
    <w:p w14:paraId="211CFB2D">
      <w:pPr>
        <w:pStyle w:val="43"/>
        <w:ind w:firstLine="480"/>
      </w:pPr>
    </w:p>
    <w:p w14:paraId="6FDCC35D">
      <w:pPr>
        <w:tabs>
          <w:tab w:val="left" w:pos="1800"/>
          <w:tab w:val="left" w:pos="5580"/>
        </w:tabs>
        <w:rPr>
          <w:rFonts w:eastAsiaTheme="minorEastAsia"/>
          <w:sz w:val="24"/>
        </w:rPr>
      </w:pPr>
      <w:r>
        <w:rPr>
          <w:rFonts w:eastAsiaTheme="minorEastAsia"/>
          <w:sz w:val="24"/>
        </w:rPr>
        <w:t>项目编号/包号：_________ 项目名称：_________报价单位：人民币元</w:t>
      </w:r>
    </w:p>
    <w:p w14:paraId="033FB4B6">
      <w:pPr>
        <w:pStyle w:val="43"/>
        <w:ind w:firstLine="480"/>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14:paraId="7619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vAlign w:val="center"/>
          </w:tcPr>
          <w:p w14:paraId="3E044936">
            <w:pPr>
              <w:adjustRightInd w:val="0"/>
              <w:jc w:val="center"/>
              <w:textAlignment w:val="baseline"/>
              <w:rPr>
                <w:kern w:val="0"/>
                <w:sz w:val="24"/>
                <w:szCs w:val="20"/>
              </w:rPr>
            </w:pPr>
            <w:r>
              <w:rPr>
                <w:kern w:val="0"/>
                <w:sz w:val="24"/>
                <w:szCs w:val="20"/>
              </w:rPr>
              <w:t>序号</w:t>
            </w:r>
          </w:p>
        </w:tc>
        <w:tc>
          <w:tcPr>
            <w:tcW w:w="4536" w:type="dxa"/>
            <w:vAlign w:val="center"/>
          </w:tcPr>
          <w:p w14:paraId="45798512">
            <w:pPr>
              <w:adjustRightInd w:val="0"/>
              <w:jc w:val="center"/>
              <w:textAlignment w:val="baseline"/>
              <w:rPr>
                <w:kern w:val="0"/>
                <w:sz w:val="24"/>
                <w:szCs w:val="20"/>
              </w:rPr>
            </w:pPr>
            <w:r>
              <w:rPr>
                <w:kern w:val="0"/>
                <w:sz w:val="24"/>
                <w:szCs w:val="20"/>
              </w:rPr>
              <w:t>最后报价计算过程或说明（</w:t>
            </w:r>
            <w:r>
              <w:rPr>
                <w:sz w:val="24"/>
              </w:rPr>
              <w:t>可以填写按第一次报价下浮/上浮比例，也可以填写相对第一次报价某部分价格变化情况</w:t>
            </w:r>
            <w:r>
              <w:rPr>
                <w:kern w:val="0"/>
                <w:sz w:val="24"/>
                <w:szCs w:val="20"/>
              </w:rPr>
              <w:t>）</w:t>
            </w:r>
          </w:p>
        </w:tc>
        <w:tc>
          <w:tcPr>
            <w:tcW w:w="1418" w:type="dxa"/>
            <w:vAlign w:val="center"/>
          </w:tcPr>
          <w:p w14:paraId="61F2D5F5">
            <w:pPr>
              <w:adjustRightInd w:val="0"/>
              <w:jc w:val="center"/>
              <w:textAlignment w:val="baseline"/>
              <w:rPr>
                <w:kern w:val="0"/>
                <w:sz w:val="24"/>
                <w:szCs w:val="20"/>
              </w:rPr>
            </w:pPr>
            <w:r>
              <w:rPr>
                <w:kern w:val="0"/>
                <w:sz w:val="24"/>
                <w:szCs w:val="20"/>
              </w:rPr>
              <w:t>总价（元）</w:t>
            </w:r>
          </w:p>
        </w:tc>
        <w:tc>
          <w:tcPr>
            <w:tcW w:w="1559" w:type="dxa"/>
            <w:vAlign w:val="center"/>
          </w:tcPr>
          <w:p w14:paraId="3C0710B7">
            <w:pPr>
              <w:adjustRightInd w:val="0"/>
              <w:jc w:val="center"/>
              <w:textAlignment w:val="baseline"/>
              <w:rPr>
                <w:kern w:val="0"/>
                <w:sz w:val="24"/>
                <w:szCs w:val="20"/>
              </w:rPr>
            </w:pPr>
            <w:r>
              <w:rPr>
                <w:kern w:val="0"/>
                <w:sz w:val="24"/>
                <w:szCs w:val="20"/>
              </w:rPr>
              <w:t>备注</w:t>
            </w:r>
          </w:p>
        </w:tc>
      </w:tr>
      <w:tr w14:paraId="0AE9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14:paraId="394F526C">
            <w:pPr>
              <w:adjustRightInd w:val="0"/>
              <w:jc w:val="center"/>
              <w:textAlignment w:val="baseline"/>
              <w:rPr>
                <w:kern w:val="0"/>
                <w:sz w:val="24"/>
                <w:szCs w:val="20"/>
              </w:rPr>
            </w:pPr>
            <w:r>
              <w:rPr>
                <w:kern w:val="0"/>
                <w:sz w:val="24"/>
                <w:szCs w:val="20"/>
              </w:rPr>
              <w:t>1</w:t>
            </w:r>
          </w:p>
        </w:tc>
        <w:tc>
          <w:tcPr>
            <w:tcW w:w="4536" w:type="dxa"/>
            <w:vAlign w:val="center"/>
          </w:tcPr>
          <w:p w14:paraId="3319C86F">
            <w:pPr>
              <w:adjustRightInd w:val="0"/>
              <w:jc w:val="center"/>
              <w:textAlignment w:val="baseline"/>
              <w:rPr>
                <w:kern w:val="0"/>
                <w:sz w:val="24"/>
                <w:szCs w:val="20"/>
              </w:rPr>
            </w:pPr>
          </w:p>
        </w:tc>
        <w:tc>
          <w:tcPr>
            <w:tcW w:w="1418" w:type="dxa"/>
            <w:vAlign w:val="center"/>
          </w:tcPr>
          <w:p w14:paraId="7F2B23EF">
            <w:pPr>
              <w:adjustRightInd w:val="0"/>
              <w:jc w:val="center"/>
              <w:textAlignment w:val="baseline"/>
              <w:rPr>
                <w:kern w:val="0"/>
                <w:sz w:val="24"/>
                <w:szCs w:val="20"/>
              </w:rPr>
            </w:pPr>
          </w:p>
        </w:tc>
        <w:tc>
          <w:tcPr>
            <w:tcW w:w="1559" w:type="dxa"/>
            <w:vAlign w:val="center"/>
          </w:tcPr>
          <w:p w14:paraId="350E9152">
            <w:pPr>
              <w:adjustRightInd w:val="0"/>
              <w:jc w:val="center"/>
              <w:textAlignment w:val="baseline"/>
              <w:rPr>
                <w:kern w:val="0"/>
                <w:sz w:val="24"/>
                <w:szCs w:val="20"/>
              </w:rPr>
            </w:pPr>
          </w:p>
        </w:tc>
      </w:tr>
      <w:tr w14:paraId="7BA0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14:paraId="4301AFAF">
            <w:pPr>
              <w:adjustRightInd w:val="0"/>
              <w:jc w:val="right"/>
              <w:textAlignment w:val="baseline"/>
              <w:rPr>
                <w:kern w:val="0"/>
                <w:sz w:val="24"/>
                <w:szCs w:val="20"/>
              </w:rPr>
            </w:pPr>
            <w:r>
              <w:rPr>
                <w:kern w:val="0"/>
                <w:sz w:val="24"/>
                <w:szCs w:val="20"/>
              </w:rPr>
              <w:t>合计（元）</w:t>
            </w:r>
          </w:p>
        </w:tc>
        <w:tc>
          <w:tcPr>
            <w:tcW w:w="1418" w:type="dxa"/>
            <w:vAlign w:val="center"/>
          </w:tcPr>
          <w:p w14:paraId="32BD9EC6">
            <w:pPr>
              <w:adjustRightInd w:val="0"/>
              <w:jc w:val="center"/>
              <w:textAlignment w:val="baseline"/>
              <w:rPr>
                <w:kern w:val="0"/>
                <w:sz w:val="24"/>
                <w:szCs w:val="20"/>
              </w:rPr>
            </w:pPr>
          </w:p>
        </w:tc>
        <w:tc>
          <w:tcPr>
            <w:tcW w:w="1559" w:type="dxa"/>
            <w:vAlign w:val="center"/>
          </w:tcPr>
          <w:p w14:paraId="2F80CF5F">
            <w:pPr>
              <w:adjustRightInd w:val="0"/>
              <w:jc w:val="center"/>
              <w:textAlignment w:val="baseline"/>
              <w:rPr>
                <w:kern w:val="0"/>
                <w:sz w:val="24"/>
                <w:szCs w:val="20"/>
              </w:rPr>
            </w:pPr>
          </w:p>
        </w:tc>
      </w:tr>
    </w:tbl>
    <w:p w14:paraId="4EDA56FD">
      <w:pPr>
        <w:tabs>
          <w:tab w:val="left" w:pos="1800"/>
          <w:tab w:val="left" w:pos="5580"/>
        </w:tabs>
        <w:jc w:val="left"/>
        <w:rPr>
          <w:rFonts w:eastAsiaTheme="minorEastAsia"/>
          <w:sz w:val="24"/>
        </w:rPr>
      </w:pPr>
    </w:p>
    <w:p w14:paraId="294801C0">
      <w:pPr>
        <w:tabs>
          <w:tab w:val="left" w:pos="1800"/>
          <w:tab w:val="left" w:pos="5580"/>
        </w:tabs>
        <w:jc w:val="left"/>
        <w:rPr>
          <w:rFonts w:eastAsiaTheme="minorEastAsia"/>
          <w:sz w:val="24"/>
        </w:rPr>
      </w:pPr>
    </w:p>
    <w:p w14:paraId="4A77F46C">
      <w:pPr>
        <w:tabs>
          <w:tab w:val="left" w:pos="1800"/>
          <w:tab w:val="left" w:pos="5580"/>
        </w:tabs>
        <w:jc w:val="left"/>
        <w:rPr>
          <w:rFonts w:eastAsiaTheme="minorEastAsia"/>
          <w:sz w:val="24"/>
        </w:rPr>
      </w:pPr>
    </w:p>
    <w:p w14:paraId="76E8AC9F">
      <w:pPr>
        <w:tabs>
          <w:tab w:val="left" w:pos="1800"/>
          <w:tab w:val="left" w:pos="5580"/>
        </w:tabs>
        <w:jc w:val="left"/>
        <w:rPr>
          <w:rFonts w:eastAsiaTheme="minorEastAsia"/>
          <w:sz w:val="24"/>
        </w:rPr>
      </w:pPr>
      <w:r>
        <w:rPr>
          <w:rFonts w:eastAsiaTheme="minorEastAsia"/>
          <w:sz w:val="24"/>
        </w:rPr>
        <w:t>注：1.本表应按包分别填写。</w:t>
      </w:r>
    </w:p>
    <w:p w14:paraId="57334459">
      <w:pPr>
        <w:tabs>
          <w:tab w:val="left" w:pos="1800"/>
          <w:tab w:val="left" w:pos="5580"/>
        </w:tabs>
        <w:ind w:firstLine="480" w:firstLineChars="200"/>
        <w:jc w:val="left"/>
        <w:rPr>
          <w:rFonts w:eastAsiaTheme="minorEastAsia"/>
          <w:sz w:val="24"/>
        </w:rPr>
      </w:pPr>
      <w:r>
        <w:rPr>
          <w:rFonts w:eastAsiaTheme="minorEastAsia"/>
          <w:sz w:val="24"/>
        </w:rPr>
        <w:t>2.上述各项的详细规格（如有），可另页描述。</w:t>
      </w:r>
    </w:p>
    <w:p w14:paraId="64D1FC72">
      <w:pPr>
        <w:tabs>
          <w:tab w:val="left" w:pos="1800"/>
          <w:tab w:val="left" w:pos="5580"/>
        </w:tabs>
        <w:ind w:firstLine="480" w:firstLineChars="200"/>
        <w:jc w:val="left"/>
        <w:rPr>
          <w:sz w:val="24"/>
        </w:rPr>
      </w:pPr>
      <w:r>
        <w:rPr>
          <w:sz w:val="24"/>
        </w:rPr>
        <w:t>3.此表无需在响应文件中提交，磋商后供应商按磋商小组要求提交。</w:t>
      </w:r>
    </w:p>
    <w:p w14:paraId="66CE93C1">
      <w:pPr>
        <w:tabs>
          <w:tab w:val="left" w:pos="1800"/>
          <w:tab w:val="left" w:pos="5580"/>
        </w:tabs>
        <w:ind w:firstLine="480" w:firstLineChars="200"/>
        <w:jc w:val="left"/>
        <w:rPr>
          <w:sz w:val="24"/>
        </w:rPr>
      </w:pPr>
    </w:p>
    <w:p w14:paraId="1E0733FF">
      <w:pPr>
        <w:tabs>
          <w:tab w:val="left" w:pos="1800"/>
          <w:tab w:val="left" w:pos="5580"/>
        </w:tabs>
        <w:ind w:firstLine="480" w:firstLineChars="200"/>
        <w:jc w:val="left"/>
        <w:rPr>
          <w:rFonts w:eastAsiaTheme="minorEastAsia"/>
          <w:sz w:val="24"/>
        </w:rPr>
      </w:pPr>
    </w:p>
    <w:p w14:paraId="15629229">
      <w:pPr>
        <w:autoSpaceDE w:val="0"/>
        <w:autoSpaceDN w:val="0"/>
        <w:adjustRightInd w:val="0"/>
        <w:snapToGrid w:val="0"/>
        <w:spacing w:before="25" w:after="25" w:line="360" w:lineRule="auto"/>
        <w:rPr>
          <w:rFonts w:eastAsiaTheme="minorEastAsia"/>
          <w:sz w:val="24"/>
          <w:lang w:val="zh-CN"/>
        </w:rPr>
      </w:pPr>
    </w:p>
    <w:p w14:paraId="018DDE2E">
      <w:pPr>
        <w:rPr>
          <w:rFonts w:eastAsiaTheme="minorEastAsia"/>
          <w:sz w:val="24"/>
        </w:rPr>
      </w:pPr>
      <w:r>
        <w:rPr>
          <w:rFonts w:eastAsiaTheme="minorEastAsia"/>
          <w:sz w:val="24"/>
        </w:rPr>
        <w:t xml:space="preserve">供应商授权代表签字（或加盖供应商公章）：____________ </w:t>
      </w:r>
    </w:p>
    <w:p w14:paraId="3A912F6D">
      <w:pPr>
        <w:rPr>
          <w:rFonts w:eastAsiaTheme="minorEastAsia"/>
          <w:sz w:val="24"/>
        </w:rPr>
        <w:sectPr>
          <w:pgSz w:w="11907" w:h="16840"/>
          <w:pgMar w:top="1418" w:right="1134" w:bottom="1418" w:left="1701" w:header="851" w:footer="851" w:gutter="0"/>
          <w:cols w:space="720" w:num="1"/>
          <w:docGrid w:linePitch="462" w:charSpace="0"/>
        </w:sectPr>
      </w:pPr>
      <w:r>
        <w:rPr>
          <w:rFonts w:eastAsiaTheme="minorEastAsia"/>
          <w:sz w:val="24"/>
        </w:rPr>
        <w:t>日期：____年____月____日</w:t>
      </w:r>
    </w:p>
    <w:p w14:paraId="6ED54296">
      <w:pPr>
        <w:tabs>
          <w:tab w:val="left" w:pos="360"/>
        </w:tabs>
        <w:snapToGrid w:val="0"/>
        <w:spacing w:line="360" w:lineRule="auto"/>
        <w:outlineLvl w:val="1"/>
        <w:rPr>
          <w:rFonts w:hint="eastAsia" w:ascii="宋体" w:hAnsi="宋体" w:cstheme="minorEastAsia"/>
          <w:sz w:val="24"/>
        </w:rPr>
      </w:pPr>
      <w:r>
        <w:rPr>
          <w:rFonts w:hint="eastAsia" w:ascii="宋体" w:hAnsi="宋体" w:cstheme="minorEastAsia"/>
          <w:sz w:val="24"/>
        </w:rPr>
        <w:t>15  最后报价构成表（如有，磋商后提交）</w:t>
      </w:r>
    </w:p>
    <w:p w14:paraId="06685F92">
      <w:pPr>
        <w:tabs>
          <w:tab w:val="left" w:pos="1800"/>
          <w:tab w:val="left" w:pos="5580"/>
        </w:tabs>
        <w:jc w:val="left"/>
        <w:rPr>
          <w:rFonts w:hint="eastAsia" w:ascii="宋体" w:hAnsi="宋体" w:cstheme="minorEastAsia"/>
          <w:sz w:val="24"/>
        </w:rPr>
      </w:pPr>
      <w:r>
        <w:rPr>
          <w:rFonts w:hint="eastAsia" w:ascii="宋体" w:hAnsi="宋体" w:cstheme="minorEastAsia"/>
          <w:sz w:val="24"/>
        </w:rPr>
        <w:t>15-1 最终报价中分包情况说明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4354F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D2706E1">
            <w:pPr>
              <w:pStyle w:val="248"/>
              <w:jc w:val="center"/>
              <w:rPr>
                <w:rFonts w:hint="eastAsia" w:eastAsiaTheme="minorEastAsia" w:cstheme="minorEastAsia"/>
                <w:sz w:val="24"/>
              </w:rPr>
            </w:pPr>
            <w:r>
              <w:rPr>
                <w:rFonts w:hint="eastAsia" w:eastAsiaTheme="minorEastAsia" w:cs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0D3FD157">
            <w:pPr>
              <w:pStyle w:val="248"/>
              <w:jc w:val="center"/>
              <w:rPr>
                <w:rFonts w:hint="eastAsia" w:eastAsiaTheme="minorEastAsia" w:cstheme="minorEastAsia"/>
                <w:sz w:val="24"/>
              </w:rPr>
            </w:pPr>
            <w:r>
              <w:rPr>
                <w:rFonts w:hint="eastAsia" w:eastAsiaTheme="minorEastAsia" w:cs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644EA3C9">
            <w:pPr>
              <w:pStyle w:val="248"/>
              <w:jc w:val="center"/>
              <w:rPr>
                <w:rFonts w:hint="eastAsia" w:eastAsiaTheme="minorEastAsia" w:cstheme="minorEastAsia"/>
                <w:sz w:val="24"/>
                <w:lang w:eastAsia="zh-CN"/>
              </w:rPr>
            </w:pPr>
            <w:r>
              <w:rPr>
                <w:rFonts w:hint="eastAsia" w:eastAsiaTheme="minorEastAsia" w:cstheme="minorEastAsia"/>
                <w:sz w:val="24"/>
                <w:lang w:eastAsia="zh-CN"/>
              </w:rPr>
              <w:t>分包承担主体类型</w:t>
            </w:r>
          </w:p>
          <w:p w14:paraId="37EE442A">
            <w:pPr>
              <w:pStyle w:val="248"/>
              <w:jc w:val="center"/>
              <w:rPr>
                <w:rFonts w:hint="eastAsia" w:eastAsiaTheme="minorEastAsia" w:cstheme="minorEastAsia"/>
                <w:sz w:val="24"/>
                <w:lang w:eastAsia="zh-CN"/>
              </w:rPr>
            </w:pPr>
            <w:r>
              <w:rPr>
                <w:rFonts w:hint="eastAsia" w:eastAsiaTheme="minorEastAsia" w:cs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4AB9D98C">
            <w:pPr>
              <w:pStyle w:val="248"/>
              <w:jc w:val="center"/>
              <w:rPr>
                <w:rFonts w:hint="eastAsia" w:eastAsiaTheme="minorEastAsia" w:cstheme="minorEastAsia"/>
                <w:sz w:val="24"/>
                <w:lang w:eastAsia="zh-CN"/>
              </w:rPr>
            </w:pPr>
            <w:r>
              <w:rPr>
                <w:rFonts w:hint="eastAsia" w:eastAsiaTheme="minorEastAsia" w:cstheme="minorEastAsia"/>
                <w:sz w:val="24"/>
                <w:lang w:eastAsia="zh-CN"/>
              </w:rPr>
              <w:t>拟分包合同金额</w:t>
            </w:r>
          </w:p>
          <w:p w14:paraId="56DBA4FA">
            <w:pPr>
              <w:pStyle w:val="248"/>
              <w:jc w:val="center"/>
              <w:rPr>
                <w:rFonts w:hint="eastAsia" w:eastAsiaTheme="minorEastAsia" w:cstheme="minorEastAsia"/>
                <w:sz w:val="24"/>
                <w:lang w:eastAsia="zh-CN"/>
              </w:rPr>
            </w:pPr>
            <w:r>
              <w:rPr>
                <w:rFonts w:hint="eastAsia" w:eastAsiaTheme="minorEastAsia" w:cstheme="minorEastAsia"/>
                <w:sz w:val="24"/>
                <w:lang w:eastAsia="zh-CN"/>
              </w:rPr>
              <w:t>（人民币元）</w:t>
            </w:r>
          </w:p>
        </w:tc>
      </w:tr>
      <w:tr w14:paraId="12BDF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CEE24E">
            <w:pPr>
              <w:pStyle w:val="248"/>
              <w:jc w:val="center"/>
              <w:rPr>
                <w:rFonts w:hint="eastAsia" w:eastAsiaTheme="minorEastAsia" w:cstheme="minorEastAsia"/>
                <w:sz w:val="24"/>
              </w:rPr>
            </w:pPr>
            <w:r>
              <w:rPr>
                <w:rFonts w:hint="eastAsia" w:eastAsiaTheme="minorEastAsia" w:cs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17CCA753">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13BDE97">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10D70C9E">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250BC0FF">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EF7C7EF">
            <w:pPr>
              <w:pStyle w:val="248"/>
              <w:jc w:val="center"/>
              <w:rPr>
                <w:rFonts w:hint="eastAsia" w:eastAsiaTheme="minorEastAsia" w:cstheme="minorEastAsia"/>
                <w:sz w:val="30"/>
                <w:lang w:eastAsia="zh-CN"/>
              </w:rPr>
            </w:pPr>
          </w:p>
        </w:tc>
      </w:tr>
      <w:tr w14:paraId="16D77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CFC2721">
            <w:pPr>
              <w:pStyle w:val="248"/>
              <w:jc w:val="center"/>
              <w:rPr>
                <w:rFonts w:hint="eastAsia" w:eastAsiaTheme="minorEastAsia" w:cstheme="minorEastAsia"/>
                <w:sz w:val="24"/>
                <w:lang w:eastAsia="zh-CN"/>
              </w:rPr>
            </w:pPr>
            <w:r>
              <w:rPr>
                <w:rFonts w:hint="eastAsia" w:eastAsiaTheme="minorEastAsia" w:cs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1075E6DF">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1626B03D">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6543C29D">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738DF28C">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279EEC2F">
            <w:pPr>
              <w:pStyle w:val="248"/>
              <w:jc w:val="center"/>
              <w:rPr>
                <w:rFonts w:hint="eastAsia" w:eastAsiaTheme="minorEastAsia" w:cstheme="minorEastAsia"/>
                <w:sz w:val="30"/>
                <w:lang w:eastAsia="zh-CN"/>
              </w:rPr>
            </w:pPr>
          </w:p>
        </w:tc>
      </w:tr>
      <w:tr w14:paraId="23443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CA41CA">
            <w:pPr>
              <w:pStyle w:val="248"/>
              <w:jc w:val="center"/>
              <w:rPr>
                <w:rFonts w:hint="eastAsia" w:eastAsiaTheme="minorEastAsia" w:cstheme="minorEastAsia"/>
                <w:sz w:val="24"/>
                <w:lang w:eastAsia="zh-CN"/>
              </w:rPr>
            </w:pPr>
            <w:r>
              <w:rPr>
                <w:rFonts w:hint="eastAsia" w:eastAsiaTheme="minorEastAsia" w:cs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614ACBF4">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D7F4D39">
            <w:pPr>
              <w:pStyle w:val="248"/>
              <w:tabs>
                <w:tab w:val="left" w:pos="235"/>
              </w:tabs>
              <w:jc w:val="center"/>
              <w:rPr>
                <w:rFonts w:hint="eastAsia" w:eastAsiaTheme="minorEastAsia" w:cs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7C247AA">
            <w:pPr>
              <w:pStyle w:val="248"/>
              <w:jc w:val="center"/>
              <w:rPr>
                <w:rFonts w:hint="eastAsia" w:eastAsiaTheme="minorEastAsia" w:cstheme="minorEastAsia"/>
                <w:sz w:val="30"/>
              </w:rPr>
            </w:pPr>
          </w:p>
        </w:tc>
      </w:tr>
      <w:tr w14:paraId="11B05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BA393BA">
            <w:pPr>
              <w:pStyle w:val="248"/>
              <w:tabs>
                <w:tab w:val="left" w:pos="235"/>
              </w:tabs>
              <w:jc w:val="center"/>
              <w:rPr>
                <w:rFonts w:hint="eastAsia" w:eastAsiaTheme="minorEastAsia" w:cstheme="minorEastAsia"/>
                <w:sz w:val="24"/>
                <w:lang w:eastAsia="zh-CN"/>
              </w:rPr>
            </w:pPr>
            <w:r>
              <w:rPr>
                <w:rFonts w:hint="eastAsia" w:eastAsiaTheme="minorEastAsia" w:cs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1D66F421">
            <w:pPr>
              <w:pStyle w:val="248"/>
              <w:jc w:val="center"/>
              <w:rPr>
                <w:rFonts w:hint="eastAsia" w:eastAsiaTheme="minorEastAsia" w:cstheme="minorEastAsia"/>
                <w:sz w:val="30"/>
              </w:rPr>
            </w:pPr>
          </w:p>
        </w:tc>
      </w:tr>
    </w:tbl>
    <w:p w14:paraId="35830EEF">
      <w:pPr>
        <w:tabs>
          <w:tab w:val="left" w:pos="1800"/>
          <w:tab w:val="left" w:pos="5580"/>
        </w:tabs>
        <w:jc w:val="left"/>
        <w:rPr>
          <w:rFonts w:hint="eastAsia" w:ascii="宋体" w:hAnsi="宋体" w:cstheme="minorEastAsia"/>
          <w:sz w:val="24"/>
        </w:rPr>
      </w:pPr>
    </w:p>
    <w:p w14:paraId="7FE0BDD0">
      <w:pPr>
        <w:tabs>
          <w:tab w:val="left" w:pos="1800"/>
          <w:tab w:val="left" w:pos="5580"/>
        </w:tabs>
        <w:jc w:val="left"/>
        <w:rPr>
          <w:rFonts w:hint="eastAsia" w:ascii="宋体" w:hAnsi="宋体" w:cstheme="minorEastAsia"/>
          <w:sz w:val="24"/>
        </w:rPr>
      </w:pPr>
      <w:r>
        <w:rPr>
          <w:rFonts w:hint="eastAsia" w:ascii="宋体" w:hAnsi="宋体" w:cstheme="minorEastAsia"/>
          <w:sz w:val="24"/>
        </w:rPr>
        <w:t>15-2 联合体最终报价情况说明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24219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BDED057">
            <w:pPr>
              <w:pStyle w:val="248"/>
              <w:jc w:val="center"/>
              <w:rPr>
                <w:rFonts w:hint="eastAsia" w:eastAsiaTheme="minorEastAsia" w:cstheme="minorEastAsia"/>
                <w:sz w:val="24"/>
              </w:rPr>
            </w:pPr>
            <w:r>
              <w:rPr>
                <w:rFonts w:hint="eastAsia" w:eastAsiaTheme="minorEastAsia" w:cs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5DEB9C81">
            <w:pPr>
              <w:pStyle w:val="248"/>
              <w:jc w:val="center"/>
              <w:rPr>
                <w:rFonts w:hint="eastAsia" w:eastAsiaTheme="minorEastAsia" w:cstheme="minorEastAsia"/>
                <w:sz w:val="24"/>
              </w:rPr>
            </w:pPr>
            <w:r>
              <w:rPr>
                <w:rFonts w:hint="eastAsia" w:eastAsiaTheme="minorEastAsia" w:cstheme="minorEastAsia"/>
                <w:sz w:val="24"/>
                <w:lang w:eastAsia="zh-CN"/>
              </w:rPr>
              <w:t>联合体成员</w:t>
            </w:r>
            <w:r>
              <w:rPr>
                <w:rFonts w:hint="eastAsia" w:eastAsiaTheme="minorEastAsia" w:cs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32DFE74B">
            <w:pPr>
              <w:pStyle w:val="248"/>
              <w:jc w:val="center"/>
              <w:rPr>
                <w:rFonts w:hint="eastAsia" w:eastAsiaTheme="minorEastAsia" w:cstheme="minorEastAsia"/>
                <w:sz w:val="24"/>
                <w:lang w:eastAsia="zh-CN"/>
              </w:rPr>
            </w:pPr>
            <w:r>
              <w:rPr>
                <w:rFonts w:hint="eastAsia" w:eastAsiaTheme="minorEastAsia" w:cstheme="minorEastAsia"/>
                <w:sz w:val="24"/>
                <w:lang w:eastAsia="zh-CN"/>
              </w:rPr>
              <w:t>联合体成员类型</w:t>
            </w:r>
          </w:p>
          <w:p w14:paraId="52B8E756">
            <w:pPr>
              <w:pStyle w:val="248"/>
              <w:jc w:val="center"/>
              <w:rPr>
                <w:rFonts w:hint="eastAsia" w:eastAsiaTheme="minorEastAsia" w:cstheme="minorEastAsia"/>
                <w:sz w:val="24"/>
                <w:lang w:eastAsia="zh-CN"/>
              </w:rPr>
            </w:pPr>
            <w:r>
              <w:rPr>
                <w:rFonts w:hint="eastAsia" w:eastAsiaTheme="minorEastAsia" w:cs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1A8FA5D6">
            <w:pPr>
              <w:pStyle w:val="248"/>
              <w:jc w:val="center"/>
              <w:rPr>
                <w:rFonts w:hint="eastAsia" w:eastAsiaTheme="minorEastAsia" w:cstheme="minorEastAsia"/>
                <w:sz w:val="24"/>
                <w:lang w:eastAsia="zh-CN"/>
              </w:rPr>
            </w:pPr>
            <w:r>
              <w:rPr>
                <w:rFonts w:hint="eastAsia" w:eastAsiaTheme="minorEastAsia" w:cstheme="minorEastAsia"/>
                <w:sz w:val="24"/>
                <w:lang w:eastAsia="zh-CN"/>
              </w:rPr>
              <w:t>合同金额</w:t>
            </w:r>
          </w:p>
          <w:p w14:paraId="13D9C32F">
            <w:pPr>
              <w:pStyle w:val="248"/>
              <w:jc w:val="center"/>
              <w:rPr>
                <w:rFonts w:hint="eastAsia" w:eastAsiaTheme="minorEastAsia" w:cstheme="minorEastAsia"/>
                <w:sz w:val="24"/>
                <w:lang w:eastAsia="zh-CN"/>
              </w:rPr>
            </w:pPr>
            <w:r>
              <w:rPr>
                <w:rFonts w:hint="eastAsia" w:eastAsiaTheme="minorEastAsia" w:cstheme="minorEastAsia"/>
                <w:sz w:val="24"/>
                <w:lang w:eastAsia="zh-CN"/>
              </w:rPr>
              <w:t>（人民币元）</w:t>
            </w:r>
          </w:p>
        </w:tc>
      </w:tr>
      <w:tr w14:paraId="33F4E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8A985EE">
            <w:pPr>
              <w:pStyle w:val="248"/>
              <w:jc w:val="center"/>
              <w:rPr>
                <w:rFonts w:hint="eastAsia" w:eastAsiaTheme="minorEastAsia" w:cstheme="minorEastAsia"/>
                <w:sz w:val="24"/>
              </w:rPr>
            </w:pPr>
            <w:r>
              <w:rPr>
                <w:rFonts w:hint="eastAsia" w:eastAsiaTheme="minorEastAsia" w:cs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5A83BDC5">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B142542">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1EE5FDAA">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78412E6F">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79F43B2">
            <w:pPr>
              <w:pStyle w:val="248"/>
              <w:jc w:val="center"/>
              <w:rPr>
                <w:rFonts w:hint="eastAsia" w:eastAsiaTheme="minorEastAsia" w:cstheme="minorEastAsia"/>
                <w:sz w:val="30"/>
                <w:lang w:eastAsia="zh-CN"/>
              </w:rPr>
            </w:pPr>
          </w:p>
        </w:tc>
      </w:tr>
      <w:tr w14:paraId="0D281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5919C36">
            <w:pPr>
              <w:pStyle w:val="248"/>
              <w:jc w:val="center"/>
              <w:rPr>
                <w:rFonts w:hint="eastAsia" w:eastAsiaTheme="minorEastAsia" w:cstheme="minorEastAsia"/>
                <w:sz w:val="24"/>
                <w:lang w:eastAsia="zh-CN"/>
              </w:rPr>
            </w:pPr>
            <w:r>
              <w:rPr>
                <w:rFonts w:hint="eastAsia" w:eastAsiaTheme="minorEastAsia" w:cs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4E229FA1">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152BF6D">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□中型企业</w:t>
            </w:r>
          </w:p>
          <w:p w14:paraId="7E868D90">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□小微企业</w:t>
            </w:r>
          </w:p>
          <w:p w14:paraId="0AF1CCC5">
            <w:pPr>
              <w:pStyle w:val="248"/>
              <w:tabs>
                <w:tab w:val="left" w:pos="235"/>
              </w:tabs>
              <w:ind w:left="1" w:leftChars="-43" w:hanging="91" w:hangingChars="38"/>
              <w:jc w:val="center"/>
              <w:rPr>
                <w:rFonts w:hint="eastAsia" w:eastAsiaTheme="minorEastAsia" w:cstheme="minorEastAsia"/>
                <w:sz w:val="24"/>
                <w:lang w:eastAsia="zh-CN"/>
              </w:rPr>
            </w:pPr>
            <w:r>
              <w:rPr>
                <w:rFonts w:hint="eastAsia" w:eastAsiaTheme="minorEastAsia" w:cs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94953FD">
            <w:pPr>
              <w:pStyle w:val="248"/>
              <w:jc w:val="center"/>
              <w:rPr>
                <w:rFonts w:hint="eastAsia" w:eastAsiaTheme="minorEastAsia" w:cstheme="minorEastAsia"/>
                <w:sz w:val="30"/>
                <w:lang w:eastAsia="zh-CN"/>
              </w:rPr>
            </w:pPr>
          </w:p>
        </w:tc>
      </w:tr>
      <w:tr w14:paraId="50ACA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68CA70A">
            <w:pPr>
              <w:pStyle w:val="248"/>
              <w:jc w:val="center"/>
              <w:rPr>
                <w:rFonts w:hint="eastAsia" w:eastAsiaTheme="minorEastAsia" w:cstheme="minorEastAsia"/>
                <w:sz w:val="24"/>
                <w:lang w:eastAsia="zh-CN"/>
              </w:rPr>
            </w:pPr>
            <w:r>
              <w:rPr>
                <w:rFonts w:hint="eastAsia" w:eastAsiaTheme="minorEastAsia" w:cs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6CF119F9">
            <w:pPr>
              <w:pStyle w:val="248"/>
              <w:jc w:val="center"/>
              <w:rPr>
                <w:rFonts w:hint="eastAsia" w:eastAsiaTheme="minorEastAsia" w:cs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787E6282">
            <w:pPr>
              <w:pStyle w:val="248"/>
              <w:tabs>
                <w:tab w:val="left" w:pos="235"/>
              </w:tabs>
              <w:jc w:val="center"/>
              <w:rPr>
                <w:rFonts w:hint="eastAsia" w:eastAsiaTheme="minorEastAsia" w:cs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23961B93">
            <w:pPr>
              <w:pStyle w:val="248"/>
              <w:jc w:val="center"/>
              <w:rPr>
                <w:rFonts w:hint="eastAsia" w:eastAsiaTheme="minorEastAsia" w:cstheme="minorEastAsia"/>
                <w:sz w:val="30"/>
              </w:rPr>
            </w:pPr>
          </w:p>
        </w:tc>
      </w:tr>
      <w:tr w14:paraId="680C5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A206126">
            <w:pPr>
              <w:pStyle w:val="248"/>
              <w:tabs>
                <w:tab w:val="left" w:pos="235"/>
              </w:tabs>
              <w:jc w:val="center"/>
              <w:rPr>
                <w:rFonts w:hint="eastAsia" w:eastAsiaTheme="minorEastAsia" w:cstheme="minorEastAsia"/>
                <w:sz w:val="24"/>
                <w:lang w:eastAsia="zh-CN"/>
              </w:rPr>
            </w:pPr>
            <w:r>
              <w:rPr>
                <w:rFonts w:hint="eastAsia" w:eastAsiaTheme="minorEastAsia" w:cs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173BB145">
            <w:pPr>
              <w:pStyle w:val="248"/>
              <w:jc w:val="center"/>
              <w:rPr>
                <w:rFonts w:hint="eastAsia" w:eastAsiaTheme="minorEastAsia" w:cstheme="minorEastAsia"/>
                <w:sz w:val="30"/>
              </w:rPr>
            </w:pPr>
          </w:p>
        </w:tc>
      </w:tr>
    </w:tbl>
    <w:p w14:paraId="3D30D98A">
      <w:pPr>
        <w:tabs>
          <w:tab w:val="left" w:pos="1800"/>
          <w:tab w:val="left" w:pos="5580"/>
        </w:tabs>
        <w:jc w:val="left"/>
        <w:rPr>
          <w:rFonts w:hint="eastAsia" w:ascii="宋体" w:hAnsi="宋体" w:cstheme="minorEastAsia"/>
          <w:sz w:val="24"/>
        </w:rPr>
      </w:pPr>
    </w:p>
    <w:p w14:paraId="16164F90">
      <w:pPr>
        <w:tabs>
          <w:tab w:val="left" w:pos="1800"/>
          <w:tab w:val="left" w:pos="5580"/>
        </w:tabs>
        <w:jc w:val="left"/>
        <w:rPr>
          <w:rFonts w:hint="eastAsia" w:ascii="宋体" w:hAnsi="宋体" w:cstheme="minorEastAsia"/>
          <w:sz w:val="24"/>
        </w:rPr>
      </w:pPr>
    </w:p>
    <w:p w14:paraId="70F70547">
      <w:pPr>
        <w:tabs>
          <w:tab w:val="left" w:pos="1800"/>
          <w:tab w:val="left" w:pos="5580"/>
        </w:tabs>
        <w:jc w:val="left"/>
        <w:rPr>
          <w:rFonts w:hint="eastAsia" w:ascii="宋体" w:hAnsi="宋体" w:cstheme="minorEastAsia"/>
          <w:sz w:val="24"/>
        </w:rPr>
      </w:pPr>
      <w:r>
        <w:rPr>
          <w:rFonts w:hint="eastAsia" w:ascii="宋体" w:hAnsi="宋体" w:cstheme="minorEastAsia"/>
          <w:sz w:val="24"/>
        </w:rPr>
        <w:t xml:space="preserve">注： </w:t>
      </w:r>
    </w:p>
    <w:p w14:paraId="4F9256F3">
      <w:pPr>
        <w:tabs>
          <w:tab w:val="left" w:pos="1800"/>
          <w:tab w:val="left" w:pos="5580"/>
        </w:tabs>
        <w:jc w:val="left"/>
        <w:rPr>
          <w:rFonts w:hint="eastAsia" w:ascii="宋体" w:hAnsi="宋体" w:cstheme="minorEastAsia"/>
          <w:sz w:val="24"/>
        </w:rPr>
      </w:pPr>
      <w:r>
        <w:rPr>
          <w:rFonts w:hint="eastAsia" w:ascii="宋体" w:hAnsi="宋体" w:cstheme="minorEastAsia"/>
          <w:sz w:val="24"/>
        </w:rPr>
        <w:t xml:space="preserve">1. </w:t>
      </w:r>
      <w:bookmarkStart w:id="1067" w:name="_Hlk176775226"/>
      <w:r>
        <w:rPr>
          <w:rFonts w:hint="eastAsia" w:ascii="宋体" w:hAnsi="宋体" w:cstheme="minorEastAsia"/>
          <w:sz w:val="24"/>
        </w:rPr>
        <w:t>如供应商为联合体或拟进行合同分包，则必须选择一种表格填报，否则</w:t>
      </w:r>
      <w:r>
        <w:rPr>
          <w:rFonts w:hint="eastAsia" w:ascii="宋体" w:hAnsi="宋体" w:cstheme="minorEastAsia"/>
          <w:b/>
          <w:bCs/>
          <w:sz w:val="24"/>
        </w:rPr>
        <w:t>响应无效</w:t>
      </w:r>
      <w:bookmarkEnd w:id="1067"/>
      <w:r>
        <w:rPr>
          <w:rFonts w:hint="eastAsia" w:ascii="宋体" w:hAnsi="宋体" w:cstheme="minorEastAsia"/>
          <w:sz w:val="24"/>
        </w:rPr>
        <w:t>。</w:t>
      </w:r>
    </w:p>
    <w:p w14:paraId="3C1E8052">
      <w:pPr>
        <w:tabs>
          <w:tab w:val="left" w:pos="1800"/>
          <w:tab w:val="left" w:pos="5580"/>
        </w:tabs>
        <w:ind w:firstLine="480" w:firstLineChars="200"/>
        <w:jc w:val="left"/>
        <w:rPr>
          <w:rFonts w:hint="eastAsia" w:ascii="宋体" w:hAnsi="宋体" w:cstheme="minorEastAsia"/>
          <w:sz w:val="24"/>
        </w:rPr>
      </w:pPr>
      <w:r>
        <w:rPr>
          <w:rFonts w:hint="eastAsia" w:ascii="宋体" w:hAnsi="宋体" w:cstheme="minorEastAsia"/>
          <w:sz w:val="24"/>
        </w:rPr>
        <w:t>2.本表应按包分别填写。</w:t>
      </w:r>
    </w:p>
    <w:p w14:paraId="792D8DAC">
      <w:pPr>
        <w:tabs>
          <w:tab w:val="left" w:pos="1800"/>
          <w:tab w:val="left" w:pos="5580"/>
        </w:tabs>
        <w:ind w:firstLine="480" w:firstLineChars="200"/>
        <w:jc w:val="left"/>
        <w:rPr>
          <w:rFonts w:hint="eastAsia" w:ascii="宋体" w:hAnsi="宋体" w:cstheme="minorEastAsia"/>
          <w:sz w:val="24"/>
        </w:rPr>
      </w:pPr>
      <w:r>
        <w:rPr>
          <w:rFonts w:hint="eastAsia" w:ascii="宋体" w:hAnsi="宋体" w:cstheme="minorEastAsia"/>
          <w:sz w:val="24"/>
        </w:rPr>
        <w:t>3.此表无需在响应文件中提交，磋商后供应商按磋商小组要求提交。</w:t>
      </w:r>
    </w:p>
    <w:p w14:paraId="63A0EF0D">
      <w:pPr>
        <w:tabs>
          <w:tab w:val="left" w:pos="1800"/>
          <w:tab w:val="left" w:pos="5580"/>
        </w:tabs>
        <w:jc w:val="left"/>
        <w:rPr>
          <w:rFonts w:hint="eastAsia" w:ascii="宋体" w:hAnsi="宋体" w:cstheme="minorEastAsia"/>
          <w:sz w:val="24"/>
        </w:rPr>
      </w:pPr>
    </w:p>
    <w:p w14:paraId="2FFFB165">
      <w:pPr>
        <w:autoSpaceDE w:val="0"/>
        <w:autoSpaceDN w:val="0"/>
        <w:adjustRightInd w:val="0"/>
        <w:snapToGrid w:val="0"/>
        <w:spacing w:before="25" w:after="25" w:line="360" w:lineRule="auto"/>
        <w:rPr>
          <w:rFonts w:hint="eastAsia" w:ascii="宋体" w:hAnsi="宋体" w:cstheme="minorEastAsia"/>
          <w:sz w:val="24"/>
          <w:lang w:val="zh-CN"/>
        </w:rPr>
      </w:pPr>
      <w:r>
        <w:rPr>
          <w:rFonts w:hint="eastAsia" w:ascii="宋体" w:hAnsi="宋体" w:cstheme="minorEastAsia"/>
          <w:kern w:val="0"/>
          <w:sz w:val="24"/>
        </w:rPr>
        <w:t>供应商授权代表签字（或加盖供应商公章）</w:t>
      </w:r>
      <w:r>
        <w:rPr>
          <w:rFonts w:hint="eastAsia" w:ascii="宋体" w:hAnsi="宋体" w:cstheme="minorEastAsia"/>
          <w:sz w:val="24"/>
          <w:lang w:val="zh-CN"/>
        </w:rPr>
        <w:t xml:space="preserve">：____________ </w:t>
      </w:r>
    </w:p>
    <w:p w14:paraId="7F454A34">
      <w:pPr>
        <w:autoSpaceDE w:val="0"/>
        <w:autoSpaceDN w:val="0"/>
        <w:adjustRightInd w:val="0"/>
        <w:snapToGrid w:val="0"/>
        <w:spacing w:before="25" w:after="25" w:line="360" w:lineRule="auto"/>
        <w:rPr>
          <w:rFonts w:hint="eastAsia" w:ascii="宋体" w:hAnsi="宋体"/>
          <w:sz w:val="24"/>
        </w:rPr>
      </w:pPr>
      <w:r>
        <w:rPr>
          <w:rFonts w:hint="eastAsia" w:ascii="宋体" w:hAnsi="宋体" w:cstheme="minorEastAsia"/>
          <w:sz w:val="24"/>
          <w:szCs w:val="20"/>
        </w:rPr>
        <w:t xml:space="preserve">日期：____年____月____日   </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sectPr>
      <w:footerReference r:id="rId27" w:type="default"/>
      <w:pgSz w:w="11907" w:h="16840"/>
      <w:pgMar w:top="1440" w:right="1080" w:bottom="1440" w:left="1080"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Rounded MT Bold">
    <w:panose1 w:val="020F0704030504030204"/>
    <w:charset w:val="00"/>
    <w:family w:val="auto"/>
    <w:pitch w:val="default"/>
    <w:sig w:usb0="00000003" w:usb1="00000000" w:usb2="00000000" w:usb3="00000000" w:csb0="20000001"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583C2">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C9776">
    <w:pPr>
      <w:pStyle w:val="29"/>
      <w:framePr w:wrap="around" w:vAnchor="text" w:hAnchor="margin" w:xAlign="center" w:y="1"/>
      <w:rPr>
        <w:rStyle w:val="49"/>
      </w:rPr>
    </w:pPr>
    <w:r>
      <w:fldChar w:fldCharType="begin"/>
    </w:r>
    <w:r>
      <w:rPr>
        <w:rStyle w:val="49"/>
      </w:rPr>
      <w:instrText xml:space="preserve">PAGE  </w:instrText>
    </w:r>
    <w:r>
      <w:fldChar w:fldCharType="end"/>
    </w:r>
  </w:p>
  <w:p w14:paraId="199B6CC6">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907D6">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93EC6">
    <w:pPr>
      <w:pStyle w:val="2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3682B">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8E3682B">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A180D">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BA431">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54BA431">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3FB9D">
    <w:pPr>
      <w:jc w:val="center"/>
    </w:pPr>
    <w:r>
      <w:fldChar w:fldCharType="begin"/>
    </w:r>
    <w:r>
      <w:instrText xml:space="preserve">PAGE   \* MERGEFORMAT</w:instrText>
    </w:r>
    <w:r>
      <w:fldChar w:fldCharType="separate"/>
    </w:r>
    <w:r>
      <w:rPr>
        <w:lang w:val="zh-CN"/>
      </w:rPr>
      <w:t>106</w:t>
    </w:r>
    <w:r>
      <w:fldChar w:fldCharType="end"/>
    </w:r>
  </w:p>
  <w:p w14:paraId="7628665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4BC53">
    <w:pPr>
      <w:jc w:val="center"/>
    </w:pPr>
    <w:r>
      <w:fldChar w:fldCharType="begin"/>
    </w:r>
    <w:r>
      <w:instrText xml:space="preserve">PAGE   \* MERGEFORMAT</w:instrText>
    </w:r>
    <w:r>
      <w:fldChar w:fldCharType="separate"/>
    </w:r>
    <w:r>
      <w:rPr>
        <w:lang w:val="zh-CN"/>
      </w:rPr>
      <w:t>183</w:t>
    </w:r>
    <w:r>
      <w:fldChar w:fldCharType="end"/>
    </w:r>
  </w:p>
  <w:p w14:paraId="47D97AA4">
    <w:pPr>
      <w:ind w:firstLine="400"/>
    </w:pPr>
  </w:p>
  <w:p w14:paraId="7D42D22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245524"/>
    </w:sdtPr>
    <w:sdtContent>
      <w:p w14:paraId="217CDA25">
        <w:pPr>
          <w:pStyle w:val="29"/>
          <w:jc w:val="center"/>
        </w:pPr>
        <w:r>
          <w:fldChar w:fldCharType="begin"/>
        </w:r>
        <w:r>
          <w:instrText xml:space="preserve">PAGE   \* MERGEFORMAT</w:instrText>
        </w:r>
        <w:r>
          <w:fldChar w:fldCharType="separate"/>
        </w:r>
        <w:r>
          <w:rPr>
            <w:lang w:val="zh-CN"/>
          </w:rPr>
          <w:t>137</w:t>
        </w:r>
        <w:r>
          <w:fldChar w:fldCharType="end"/>
        </w:r>
      </w:p>
    </w:sdtContent>
  </w:sdt>
  <w:p w14:paraId="4DC98D2A">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C302F">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4D912ED9">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535AB">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F1EA6">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D97BF8A">
    <w:pPr>
      <w:pStyle w:val="29"/>
      <w:ind w:right="360"/>
    </w:pPr>
  </w:p>
  <w:p w14:paraId="019BE71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56016">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4E3F7">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6CCA5B3C">
    <w:pPr>
      <w:pStyle w:val="29"/>
      <w:ind w:right="360"/>
    </w:pPr>
  </w:p>
  <w:p w14:paraId="2A1B0B34"/>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D0B0B">
    <w:pPr>
      <w:pStyle w:val="2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B8C72">
    <w:pPr>
      <w:pStyle w:val="29"/>
      <w:spacing w:before="48" w:after="4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2498A">
                          <w:pPr>
                            <w:pStyle w:val="29"/>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732498A">
                    <w:pPr>
                      <w:pStyle w:val="29"/>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17AF8">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5DB6F">
    <w:pPr>
      <w:pStyle w:val="30"/>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A13DB">
    <w:pPr>
      <w:pStyle w:val="30"/>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8F44D">
    <w:pPr>
      <w:pStyle w:val="30"/>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73F8E">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2A52A">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3F96D">
    <w:pPr>
      <w:pStyle w:val="30"/>
    </w:pPr>
  </w:p>
  <w:p w14:paraId="07E49DB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35D10">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F9B71">
    <w:pPr>
      <w:pStyle w:val="30"/>
    </w:pPr>
  </w:p>
  <w:p w14:paraId="30FB329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3B45F">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B18"/>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291"/>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9D7"/>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70"/>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5F33"/>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8B2"/>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AA2"/>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2DFC"/>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92"/>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C5C"/>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63"/>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A66"/>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5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12"/>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543"/>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0A"/>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D7E"/>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2AB"/>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BAE"/>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5E31"/>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E53"/>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A4"/>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32"/>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418"/>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3D"/>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D95"/>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0"/>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76D"/>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CDA"/>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564"/>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33"/>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3F0A"/>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0B8"/>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89"/>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0A"/>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DB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31E"/>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0C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B17"/>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1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D62"/>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BE1"/>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08"/>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54"/>
    <w:rsid w:val="00975395"/>
    <w:rsid w:val="00975409"/>
    <w:rsid w:val="0097555A"/>
    <w:rsid w:val="00975603"/>
    <w:rsid w:val="00975717"/>
    <w:rsid w:val="00975818"/>
    <w:rsid w:val="0097591A"/>
    <w:rsid w:val="009759ED"/>
    <w:rsid w:val="00975ADD"/>
    <w:rsid w:val="00975AE5"/>
    <w:rsid w:val="00975CEC"/>
    <w:rsid w:val="0097610D"/>
    <w:rsid w:val="009763C0"/>
    <w:rsid w:val="00976593"/>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26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5F06"/>
    <w:rsid w:val="009C5FF1"/>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95"/>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1C"/>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86"/>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7D8"/>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A8D"/>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A8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55"/>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93C"/>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1F25"/>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128"/>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99A"/>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2E0E"/>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3DC"/>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367"/>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CED"/>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5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92"/>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C3D"/>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59C"/>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5E1"/>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1D"/>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20"/>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2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AE2"/>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1E17"/>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88"/>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2F7"/>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3E06"/>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51"/>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8E46D8"/>
    <w:rsid w:val="05324F11"/>
    <w:rsid w:val="06411958"/>
    <w:rsid w:val="07A066C8"/>
    <w:rsid w:val="07BF65A4"/>
    <w:rsid w:val="0A371FFD"/>
    <w:rsid w:val="0B660C1A"/>
    <w:rsid w:val="11990191"/>
    <w:rsid w:val="12823991"/>
    <w:rsid w:val="141C0520"/>
    <w:rsid w:val="14707098"/>
    <w:rsid w:val="14FB6801"/>
    <w:rsid w:val="15D76A63"/>
    <w:rsid w:val="15FC2B5C"/>
    <w:rsid w:val="174753BE"/>
    <w:rsid w:val="17EA4F3A"/>
    <w:rsid w:val="17F93E0B"/>
    <w:rsid w:val="1C455CA5"/>
    <w:rsid w:val="1D073C19"/>
    <w:rsid w:val="1D2C69D2"/>
    <w:rsid w:val="1EAC4D8E"/>
    <w:rsid w:val="1F1B40F6"/>
    <w:rsid w:val="239E00B4"/>
    <w:rsid w:val="251E74A4"/>
    <w:rsid w:val="25FF59C0"/>
    <w:rsid w:val="27843CE5"/>
    <w:rsid w:val="2B323949"/>
    <w:rsid w:val="2BF67265"/>
    <w:rsid w:val="2DFC345F"/>
    <w:rsid w:val="2EF743F1"/>
    <w:rsid w:val="2F126434"/>
    <w:rsid w:val="30FC7215"/>
    <w:rsid w:val="326B33B7"/>
    <w:rsid w:val="32EB653A"/>
    <w:rsid w:val="33194D3D"/>
    <w:rsid w:val="338C4BF6"/>
    <w:rsid w:val="338E5ED3"/>
    <w:rsid w:val="37B2635C"/>
    <w:rsid w:val="389A1E43"/>
    <w:rsid w:val="3BCB6780"/>
    <w:rsid w:val="3E7C0E1E"/>
    <w:rsid w:val="3EC55ABF"/>
    <w:rsid w:val="3F9651BD"/>
    <w:rsid w:val="3FE23C01"/>
    <w:rsid w:val="416554AB"/>
    <w:rsid w:val="42CD0A98"/>
    <w:rsid w:val="431A0C09"/>
    <w:rsid w:val="443A04B0"/>
    <w:rsid w:val="458657E5"/>
    <w:rsid w:val="480E2158"/>
    <w:rsid w:val="4B65373A"/>
    <w:rsid w:val="4B693428"/>
    <w:rsid w:val="4BC535EC"/>
    <w:rsid w:val="4C651A12"/>
    <w:rsid w:val="4D00163A"/>
    <w:rsid w:val="4F0F5BE3"/>
    <w:rsid w:val="52422029"/>
    <w:rsid w:val="55040901"/>
    <w:rsid w:val="56DF05DE"/>
    <w:rsid w:val="57FC6189"/>
    <w:rsid w:val="5F073306"/>
    <w:rsid w:val="5F5F73B9"/>
    <w:rsid w:val="622C2B9E"/>
    <w:rsid w:val="64875941"/>
    <w:rsid w:val="65624D19"/>
    <w:rsid w:val="675932F4"/>
    <w:rsid w:val="6838144E"/>
    <w:rsid w:val="68AA7398"/>
    <w:rsid w:val="697349FB"/>
    <w:rsid w:val="6C3C21C9"/>
    <w:rsid w:val="6C884662"/>
    <w:rsid w:val="6D1B0C22"/>
    <w:rsid w:val="723B55F8"/>
    <w:rsid w:val="7393531D"/>
    <w:rsid w:val="742C597A"/>
    <w:rsid w:val="76067942"/>
    <w:rsid w:val="7ECC7663"/>
    <w:rsid w:val="7F217CD1"/>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uiPriority w:val="1"/>
  </w:style>
  <w:style w:type="table" w:default="1" w:styleId="44">
    <w:name w:val="Normal Table"/>
    <w:semiHidden/>
    <w:unhideWhenUsed/>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link w:val="239"/>
    <w:qFormat/>
    <w:uiPriority w:val="0"/>
    <w:pPr>
      <w:tabs>
        <w:tab w:val="left" w:pos="567"/>
      </w:tabs>
      <w:spacing w:before="120" w:line="22" w:lineRule="atLeast"/>
    </w:pPr>
    <w:rPr>
      <w:rFonts w:ascii="宋体" w:hAnsi="宋体"/>
      <w:sz w:val="24"/>
    </w:rPr>
  </w:style>
  <w:style w:type="paragraph" w:styleId="18">
    <w:name w:val="Body Text Indent"/>
    <w:basedOn w:val="1"/>
    <w:next w:val="19"/>
    <w:link w:val="68"/>
    <w:qFormat/>
    <w:uiPriority w:val="0"/>
    <w:pPr>
      <w:spacing w:line="360" w:lineRule="auto"/>
      <w:ind w:firstLine="570"/>
    </w:pPr>
    <w:rPr>
      <w:sz w:val="24"/>
    </w:rPr>
  </w:style>
  <w:style w:type="paragraph" w:styleId="19">
    <w:name w:val="envelope return"/>
    <w:basedOn w:val="1"/>
    <w:qFormat/>
    <w:uiPriority w:val="99"/>
    <w:pPr>
      <w:snapToGrid w:val="0"/>
    </w:pPr>
    <w:rPr>
      <w:rFonts w:ascii="Arial" w:hAnsi="Arial" w:cs="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5"/>
    <w:next w:val="15"/>
    <w:link w:val="245"/>
    <w:qFormat/>
    <w:uiPriority w:val="0"/>
    <w:rPr>
      <w:b/>
      <w:bCs/>
    </w:rPr>
  </w:style>
  <w:style w:type="paragraph" w:styleId="42">
    <w:name w:val="Body Text First Indent"/>
    <w:basedOn w:val="17"/>
    <w:qFormat/>
    <w:uiPriority w:val="0"/>
    <w:pPr>
      <w:ind w:firstLine="420" w:firstLineChars="100"/>
    </w:pPr>
    <w:rPr>
      <w:lang w:val="zh-CN"/>
    </w:rPr>
  </w:style>
  <w:style w:type="paragraph" w:styleId="43">
    <w:name w:val="Body Text First Indent 2"/>
    <w:basedOn w:val="18"/>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99"/>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2"/>
    <w:qFormat/>
    <w:uiPriority w:val="0"/>
    <w:rPr>
      <w:rFonts w:ascii="宋体"/>
      <w:b/>
      <w:kern w:val="44"/>
      <w:sz w:val="32"/>
    </w:rPr>
  </w:style>
  <w:style w:type="character" w:customStyle="1" w:styleId="231">
    <w:name w:val="标题 4 字符"/>
    <w:basedOn w:val="47"/>
    <w:link w:val="6"/>
    <w:qFormat/>
    <w:uiPriority w:val="0"/>
    <w:rPr>
      <w:rFonts w:ascii="Arial" w:hAnsi="Arial" w:eastAsia="黑体"/>
      <w:b/>
      <w:sz w:val="28"/>
    </w:rPr>
  </w:style>
  <w:style w:type="character" w:customStyle="1" w:styleId="232">
    <w:name w:val="标题 5 字符"/>
    <w:basedOn w:val="47"/>
    <w:link w:val="7"/>
    <w:qFormat/>
    <w:uiPriority w:val="0"/>
    <w:rPr>
      <w:b/>
      <w:sz w:val="28"/>
    </w:rPr>
  </w:style>
  <w:style w:type="character" w:customStyle="1" w:styleId="233">
    <w:name w:val="标题 6 字符"/>
    <w:basedOn w:val="47"/>
    <w:link w:val="8"/>
    <w:qFormat/>
    <w:uiPriority w:val="0"/>
    <w:rPr>
      <w:rFonts w:ascii="Arial" w:hAnsi="Arial" w:eastAsia="黑体"/>
      <w:b/>
      <w:sz w:val="24"/>
    </w:rPr>
  </w:style>
  <w:style w:type="character" w:customStyle="1" w:styleId="234">
    <w:name w:val="标题 7 字符"/>
    <w:basedOn w:val="47"/>
    <w:link w:val="9"/>
    <w:qFormat/>
    <w:uiPriority w:val="0"/>
    <w:rPr>
      <w:b/>
      <w:sz w:val="24"/>
    </w:rPr>
  </w:style>
  <w:style w:type="character" w:customStyle="1" w:styleId="235">
    <w:name w:val="标题 8 字符"/>
    <w:basedOn w:val="47"/>
    <w:link w:val="10"/>
    <w:qFormat/>
    <w:uiPriority w:val="0"/>
    <w:rPr>
      <w:rFonts w:ascii="Arial" w:hAnsi="Arial" w:eastAsia="黑体"/>
      <w:sz w:val="24"/>
    </w:rPr>
  </w:style>
  <w:style w:type="character" w:customStyle="1" w:styleId="236">
    <w:name w:val="标题 9 字符"/>
    <w:basedOn w:val="47"/>
    <w:link w:val="11"/>
    <w:qFormat/>
    <w:uiPriority w:val="0"/>
    <w:rPr>
      <w:rFonts w:ascii="Arial" w:hAnsi="Arial" w:eastAsia="黑体"/>
      <w:sz w:val="21"/>
    </w:rPr>
  </w:style>
  <w:style w:type="character" w:customStyle="1" w:styleId="237">
    <w:name w:val="文档结构图 字符"/>
    <w:basedOn w:val="47"/>
    <w:link w:val="14"/>
    <w:qFormat/>
    <w:uiPriority w:val="0"/>
    <w:rPr>
      <w:kern w:val="2"/>
      <w:sz w:val="21"/>
      <w:szCs w:val="24"/>
      <w:shd w:val="clear" w:color="auto" w:fill="000080"/>
    </w:rPr>
  </w:style>
  <w:style w:type="character" w:customStyle="1" w:styleId="238">
    <w:name w:val="正文文本 3 字符"/>
    <w:basedOn w:val="47"/>
    <w:link w:val="16"/>
    <w:qFormat/>
    <w:uiPriority w:val="0"/>
    <w:rPr>
      <w:kern w:val="2"/>
      <w:sz w:val="16"/>
      <w:szCs w:val="16"/>
    </w:rPr>
  </w:style>
  <w:style w:type="character" w:customStyle="1" w:styleId="239">
    <w:name w:val="正文文本 字符"/>
    <w:basedOn w:val="47"/>
    <w:link w:val="17"/>
    <w:qFormat/>
    <w:uiPriority w:val="0"/>
    <w:rPr>
      <w:rFonts w:ascii="宋体" w:hAnsi="宋体"/>
      <w:kern w:val="2"/>
      <w:sz w:val="24"/>
      <w:szCs w:val="24"/>
    </w:rPr>
  </w:style>
  <w:style w:type="character" w:customStyle="1" w:styleId="240">
    <w:name w:val="日期 字符"/>
    <w:basedOn w:val="47"/>
    <w:link w:val="26"/>
    <w:qFormat/>
    <w:uiPriority w:val="0"/>
    <w:rPr>
      <w:rFonts w:ascii="仿宋_GB2312" w:hAnsi="宋体" w:eastAsia="仿宋_GB2312"/>
      <w:color w:val="000000"/>
      <w:kern w:val="2"/>
      <w:sz w:val="24"/>
      <w:szCs w:val="24"/>
    </w:rPr>
  </w:style>
  <w:style w:type="character" w:customStyle="1" w:styleId="241">
    <w:name w:val="正文文本缩进 2 字符"/>
    <w:basedOn w:val="47"/>
    <w:link w:val="27"/>
    <w:qFormat/>
    <w:uiPriority w:val="0"/>
    <w:rPr>
      <w:rFonts w:ascii="仿宋_GB2312" w:eastAsia="仿宋_GB2312"/>
      <w:kern w:val="2"/>
      <w:sz w:val="24"/>
      <w:szCs w:val="24"/>
    </w:rPr>
  </w:style>
  <w:style w:type="character" w:customStyle="1" w:styleId="242">
    <w:name w:val="批注框文本 字符"/>
    <w:basedOn w:val="47"/>
    <w:link w:val="28"/>
    <w:qFormat/>
    <w:uiPriority w:val="0"/>
    <w:rPr>
      <w:kern w:val="2"/>
      <w:sz w:val="18"/>
      <w:szCs w:val="18"/>
    </w:rPr>
  </w:style>
  <w:style w:type="character" w:customStyle="1" w:styleId="243">
    <w:name w:val="正文文本缩进 3 字符"/>
    <w:basedOn w:val="47"/>
    <w:link w:val="34"/>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99"/>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Normal_0"/>
    <w:qFormat/>
    <w:uiPriority w:val="0"/>
    <w:rPr>
      <w:rFonts w:ascii="Arial" w:hAnsi="Arial" w:eastAsia="宋体" w:cs="Times New Roman"/>
      <w:spacing w:val="-5"/>
      <w:lang w:val="en-US" w:eastAsia="en-US" w:bidi="ar-SA"/>
    </w:rPr>
  </w:style>
  <w:style w:type="table" w:customStyle="1" w:styleId="252">
    <w:name w:val="Table Grid_0"/>
    <w:basedOn w:val="44"/>
    <w:qFormat/>
    <w:uiPriority w:val="0"/>
    <w:rPr>
      <w:rFonts w:eastAsia="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3">
    <w:name w:val="Header_1"/>
    <w:basedOn w:val="1"/>
    <w:unhideWhenUsed/>
    <w:qFormat/>
    <w:uiPriority w:val="0"/>
    <w:pPr>
      <w:tabs>
        <w:tab w:val="center" w:pos="4680"/>
        <w:tab w:val="right" w:pos="9360"/>
      </w:tabs>
    </w:pPr>
  </w:style>
  <w:style w:type="paragraph" w:customStyle="1" w:styleId="254">
    <w:name w:val="Footer_0"/>
    <w:basedOn w:val="1"/>
    <w:unhideWhenUsed/>
    <w:qFormat/>
    <w:uiPriority w:val="13"/>
    <w:pPr>
      <w:tabs>
        <w:tab w:val="center" w:pos="4680"/>
        <w:tab w:val="right" w:pos="9360"/>
      </w:tabs>
    </w:pPr>
  </w:style>
  <w:style w:type="paragraph" w:customStyle="1" w:styleId="255">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5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58">
    <w:name w:val="Unresolved Mention"/>
    <w:basedOn w:val="4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F60F44-ECE6-444D-98FD-553ED36FF9D9}">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156</Pages>
  <Words>151</Words>
  <Characters>171</Characters>
  <Lines>183</Lines>
  <Paragraphs>236</Paragraphs>
  <TotalTime>163</TotalTime>
  <ScaleCrop>false</ScaleCrop>
  <LinksUpToDate>false</LinksUpToDate>
  <CharactersWithSpaces>204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华采</cp:lastModifiedBy>
  <cp:lastPrinted>2026-01-30T09:20:00Z</cp:lastPrinted>
  <dcterms:modified xsi:type="dcterms:W3CDTF">2026-07-10T05:15:35Z</dcterms:modified>
  <dc:title>政府采购示范文本（2023）</dc:title>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979BB95862AB47D18AB7B21841635DCD_13</vt:lpwstr>
  </property>
  <property fmtid="{D5CDD505-2E9C-101B-9397-08002B2CF9AE}" pid="4" name="KSOTemplateDocerSaveRecord">
    <vt:lpwstr>eyJoZGlkIjoiMGZkMTYzOWQ0ODY1YzI1YjljMTE4MWNkZDBkOWFkNWEiLCJ1c2VySWQiOiIxMjUyMTUxNTk2In0=</vt:lpwstr>
  </property>
</Properties>
</file>