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4F44F6E">
      <w:pPr>
        <w:pStyle w:val="5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cs="宋体"/>
          <w:sz w:val="30"/>
          <w:szCs w:val="30"/>
          <w:highlight w:val="none"/>
          <w:lang w:eastAsia="zh-CN"/>
        </w:rPr>
      </w:pPr>
      <w:bookmarkStart w:id="0" w:name="_Toc28359022"/>
      <w:bookmarkStart w:id="1" w:name="_Toc13070"/>
      <w:bookmarkStart w:id="2" w:name="_Toc35393809"/>
      <w:r>
        <w:rPr>
          <w:rFonts w:hint="eastAsia" w:cs="宋体"/>
          <w:sz w:val="30"/>
          <w:szCs w:val="30"/>
          <w:highlight w:val="none"/>
          <w:lang w:eastAsia="zh-CN"/>
        </w:rPr>
        <w:t>北京市属医院2026年医用设备集中带量采购项目超声组</w:t>
      </w:r>
    </w:p>
    <w:p w14:paraId="1D739EC9">
      <w:pPr>
        <w:pStyle w:val="5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  <w:highlight w:val="none"/>
        </w:rPr>
      </w:pPr>
      <w:r>
        <w:rPr>
          <w:rFonts w:hint="eastAsia" w:cs="宋体"/>
          <w:sz w:val="30"/>
          <w:szCs w:val="30"/>
          <w:highlight w:val="none"/>
          <w:lang w:eastAsia="zh-CN"/>
        </w:rPr>
        <w:t>（</w:t>
      </w:r>
      <w:r>
        <w:rPr>
          <w:rFonts w:hint="eastAsia" w:cs="宋体"/>
          <w:sz w:val="30"/>
          <w:szCs w:val="30"/>
          <w:highlight w:val="none"/>
          <w:lang w:val="en-US" w:eastAsia="zh-CN"/>
        </w:rPr>
        <w:t>01-02包</w:t>
      </w:r>
      <w:r>
        <w:rPr>
          <w:rFonts w:hint="eastAsia" w:cs="宋体"/>
          <w:sz w:val="30"/>
          <w:szCs w:val="30"/>
          <w:highlight w:val="none"/>
          <w:lang w:eastAsia="zh-CN"/>
        </w:rPr>
        <w:t>）</w:t>
      </w:r>
      <w:r>
        <w:rPr>
          <w:rFonts w:cs="宋体"/>
          <w:sz w:val="30"/>
          <w:szCs w:val="30"/>
          <w:highlight w:val="none"/>
        </w:rPr>
        <w:t>中标结果公告</w:t>
      </w:r>
      <w:bookmarkEnd w:id="0"/>
      <w:bookmarkEnd w:id="1"/>
      <w:bookmarkEnd w:id="2"/>
    </w:p>
    <w:p w14:paraId="5E0C518C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项目编号：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0686-2611BI044533Z</w:t>
      </w:r>
    </w:p>
    <w:p w14:paraId="2940AA18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项目名称：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北京市属医院2026年医用设备集中带量采购项目超声组</w:t>
      </w:r>
    </w:p>
    <w:p w14:paraId="73415B83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中标（成交）信息</w:t>
      </w:r>
    </w:p>
    <w:tbl>
      <w:tblPr>
        <w:tblStyle w:val="17"/>
        <w:tblW w:w="99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2334"/>
        <w:gridCol w:w="3403"/>
        <w:gridCol w:w="1791"/>
        <w:gridCol w:w="1812"/>
      </w:tblGrid>
      <w:tr w14:paraId="576D0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576" w:type="dxa"/>
            <w:vMerge w:val="restart"/>
            <w:vAlign w:val="center"/>
          </w:tcPr>
          <w:p w14:paraId="5413F9EE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2334" w:type="dxa"/>
            <w:vMerge w:val="restart"/>
            <w:vAlign w:val="center"/>
          </w:tcPr>
          <w:p w14:paraId="574D2BFC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3403" w:type="dxa"/>
            <w:vMerge w:val="restart"/>
            <w:vAlign w:val="center"/>
          </w:tcPr>
          <w:p w14:paraId="395694F1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3603" w:type="dxa"/>
            <w:gridSpan w:val="2"/>
            <w:vAlign w:val="center"/>
          </w:tcPr>
          <w:p w14:paraId="3D829D50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 w14:paraId="766D3B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576" w:type="dxa"/>
            <w:vMerge w:val="continue"/>
            <w:vAlign w:val="center"/>
          </w:tcPr>
          <w:p w14:paraId="06CDE433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2334" w:type="dxa"/>
            <w:vMerge w:val="continue"/>
            <w:vAlign w:val="center"/>
          </w:tcPr>
          <w:p w14:paraId="62585019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3403" w:type="dxa"/>
            <w:vMerge w:val="continue"/>
            <w:vAlign w:val="center"/>
          </w:tcPr>
          <w:p w14:paraId="3171385B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791" w:type="dxa"/>
            <w:vAlign w:val="center"/>
          </w:tcPr>
          <w:p w14:paraId="6C573352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1812" w:type="dxa"/>
            <w:vAlign w:val="center"/>
          </w:tcPr>
          <w:p w14:paraId="501BCBA7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 w14:paraId="793ED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576" w:type="dxa"/>
            <w:vAlign w:val="center"/>
          </w:tcPr>
          <w:p w14:paraId="0163184F">
            <w:pPr>
              <w:spacing w:beforeLines="0" w:afterLines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</w:rPr>
              <w:t>01</w:t>
            </w:r>
          </w:p>
        </w:tc>
        <w:tc>
          <w:tcPr>
            <w:tcW w:w="2334" w:type="dxa"/>
            <w:shd w:val="clear" w:color="auto" w:fill="auto"/>
            <w:vAlign w:val="center"/>
          </w:tcPr>
          <w:p w14:paraId="0037E7CB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</w:rPr>
              <w:t>北京汉华荣欣经贸有限公司</w:t>
            </w:r>
          </w:p>
        </w:tc>
        <w:tc>
          <w:tcPr>
            <w:tcW w:w="3403" w:type="dxa"/>
            <w:vAlign w:val="center"/>
          </w:tcPr>
          <w:p w14:paraId="3EFAFB49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北京市西城区国英园1号楼12层1220室、1222室</w:t>
            </w:r>
          </w:p>
        </w:tc>
        <w:tc>
          <w:tcPr>
            <w:tcW w:w="1791" w:type="dxa"/>
            <w:shd w:val="clear" w:color="auto" w:fill="auto"/>
            <w:vAlign w:val="center"/>
          </w:tcPr>
          <w:p w14:paraId="5B9FE15A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</w:rPr>
              <w:t xml:space="preserve">￥14,400,000.00 </w:t>
            </w:r>
          </w:p>
        </w:tc>
        <w:tc>
          <w:tcPr>
            <w:tcW w:w="1812" w:type="dxa"/>
            <w:shd w:val="clear" w:color="auto" w:fill="auto"/>
            <w:vAlign w:val="center"/>
          </w:tcPr>
          <w:p w14:paraId="09E4D016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</w:rPr>
              <w:t>壹仟肆佰肆拾万元整</w:t>
            </w:r>
          </w:p>
        </w:tc>
      </w:tr>
      <w:tr w14:paraId="113E8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576" w:type="dxa"/>
            <w:vAlign w:val="center"/>
          </w:tcPr>
          <w:p w14:paraId="6CBC5523">
            <w:pPr>
              <w:spacing w:beforeLines="0" w:afterLines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</w:rPr>
              <w:t>02</w:t>
            </w:r>
          </w:p>
        </w:tc>
        <w:tc>
          <w:tcPr>
            <w:tcW w:w="2334" w:type="dxa"/>
            <w:shd w:val="clear" w:color="auto" w:fill="auto"/>
            <w:vAlign w:val="center"/>
          </w:tcPr>
          <w:p w14:paraId="2B0B8906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</w:rPr>
              <w:t>北京京淼众联商贸有限公司</w:t>
            </w:r>
          </w:p>
        </w:tc>
        <w:tc>
          <w:tcPr>
            <w:tcW w:w="3403" w:type="dxa"/>
            <w:vAlign w:val="center"/>
          </w:tcPr>
          <w:p w14:paraId="6BFDA0C3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北京市丰台区开阳路1号楼—2至16层101内16层7号</w:t>
            </w:r>
          </w:p>
        </w:tc>
        <w:tc>
          <w:tcPr>
            <w:tcW w:w="1791" w:type="dxa"/>
            <w:shd w:val="clear" w:color="auto" w:fill="auto"/>
            <w:vAlign w:val="center"/>
          </w:tcPr>
          <w:p w14:paraId="3DF30308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</w:rPr>
              <w:t xml:space="preserve">￥31,780,000.00 </w:t>
            </w:r>
          </w:p>
        </w:tc>
        <w:tc>
          <w:tcPr>
            <w:tcW w:w="1812" w:type="dxa"/>
            <w:shd w:val="clear" w:color="auto" w:fill="auto"/>
            <w:vAlign w:val="center"/>
          </w:tcPr>
          <w:p w14:paraId="43373067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</w:rPr>
              <w:t>叁仟壹佰柒拾捌万元整</w:t>
            </w:r>
          </w:p>
        </w:tc>
      </w:tr>
    </w:tbl>
    <w:p w14:paraId="29A0B780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主要标的信息</w:t>
      </w:r>
    </w:p>
    <w:tbl>
      <w:tblPr>
        <w:tblStyle w:val="16"/>
        <w:tblW w:w="98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  <w:gridCol w:w="727"/>
        <w:gridCol w:w="2956"/>
        <w:gridCol w:w="1230"/>
        <w:gridCol w:w="2152"/>
        <w:gridCol w:w="764"/>
        <w:gridCol w:w="1578"/>
      </w:tblGrid>
      <w:tr w14:paraId="371EC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9" w:type="dxa"/>
            <w:shd w:val="clear" w:color="auto" w:fill="auto"/>
            <w:vAlign w:val="center"/>
          </w:tcPr>
          <w:p w14:paraId="556E92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包号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170A3E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品目号</w:t>
            </w:r>
          </w:p>
        </w:tc>
        <w:tc>
          <w:tcPr>
            <w:tcW w:w="2956" w:type="dxa"/>
            <w:shd w:val="clear" w:color="auto" w:fill="auto"/>
            <w:vAlign w:val="center"/>
          </w:tcPr>
          <w:p w14:paraId="67078F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24388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2152" w:type="dxa"/>
            <w:shd w:val="clear" w:color="auto" w:fill="auto"/>
            <w:vAlign w:val="center"/>
          </w:tcPr>
          <w:p w14:paraId="7EC363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5953F7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  <w:p w14:paraId="631946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(台/套)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1D9109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  <w:p w14:paraId="7EBCCD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（人民币元）</w:t>
            </w:r>
          </w:p>
        </w:tc>
      </w:tr>
      <w:tr w14:paraId="538EC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9" w:type="dxa"/>
            <w:vMerge w:val="restart"/>
            <w:shd w:val="clear" w:color="auto" w:fill="auto"/>
            <w:vAlign w:val="center"/>
          </w:tcPr>
          <w:p w14:paraId="1ABFB7FC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</w:tcPr>
          <w:p w14:paraId="560CC161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1-1</w:t>
            </w:r>
          </w:p>
        </w:tc>
        <w:tc>
          <w:tcPr>
            <w:tcW w:w="2956" w:type="dxa"/>
            <w:shd w:val="clear" w:color="auto" w:fill="auto"/>
            <w:vAlign w:val="center"/>
          </w:tcPr>
          <w:p w14:paraId="5E21C9CA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超声诊断仪</w:t>
            </w:r>
          </w:p>
          <w:p w14:paraId="2F7624FC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（心脏外科手术应用型1）</w:t>
            </w:r>
          </w:p>
        </w:tc>
        <w:tc>
          <w:tcPr>
            <w:tcW w:w="1230" w:type="dxa"/>
            <w:vMerge w:val="restart"/>
            <w:shd w:val="clear" w:color="auto" w:fill="auto"/>
            <w:vAlign w:val="center"/>
          </w:tcPr>
          <w:p w14:paraId="1ABDFC40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飞利浦</w:t>
            </w:r>
          </w:p>
        </w:tc>
        <w:tc>
          <w:tcPr>
            <w:tcW w:w="2152" w:type="dxa"/>
            <w:shd w:val="clear" w:color="auto" w:fill="auto"/>
            <w:vAlign w:val="center"/>
          </w:tcPr>
          <w:p w14:paraId="74A78B96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EPIQ CVx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43195281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7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04E80B95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1500000</w:t>
            </w:r>
          </w:p>
        </w:tc>
      </w:tr>
      <w:tr w14:paraId="61460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9" w:type="dxa"/>
            <w:vMerge w:val="continue"/>
            <w:shd w:val="clear" w:color="auto" w:fill="auto"/>
            <w:vAlign w:val="center"/>
          </w:tcPr>
          <w:p w14:paraId="645AD73C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shd w:val="clear" w:color="auto" w:fill="auto"/>
            <w:vAlign w:val="center"/>
          </w:tcPr>
          <w:p w14:paraId="79E35B8A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1-2</w:t>
            </w:r>
          </w:p>
        </w:tc>
        <w:tc>
          <w:tcPr>
            <w:tcW w:w="2956" w:type="dxa"/>
            <w:shd w:val="clear" w:color="auto" w:fill="auto"/>
            <w:vAlign w:val="center"/>
          </w:tcPr>
          <w:p w14:paraId="5811E15A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超声诊断仪</w:t>
            </w:r>
          </w:p>
          <w:p w14:paraId="39DD81CB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（心脏外科手术应用型2）</w:t>
            </w:r>
          </w:p>
        </w:tc>
        <w:tc>
          <w:tcPr>
            <w:tcW w:w="1230" w:type="dxa"/>
            <w:vMerge w:val="continue"/>
            <w:shd w:val="clear" w:color="auto" w:fill="auto"/>
            <w:vAlign w:val="center"/>
          </w:tcPr>
          <w:p w14:paraId="75326596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2152" w:type="dxa"/>
            <w:shd w:val="clear" w:color="auto" w:fill="auto"/>
            <w:vAlign w:val="center"/>
          </w:tcPr>
          <w:p w14:paraId="0FA0FA82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EPIQ 7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586B637D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6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2AEDD1E5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650000</w:t>
            </w:r>
          </w:p>
        </w:tc>
      </w:tr>
      <w:tr w14:paraId="55B18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9" w:type="dxa"/>
            <w:vMerge w:val="restart"/>
            <w:shd w:val="clear" w:color="auto" w:fill="auto"/>
            <w:vAlign w:val="center"/>
          </w:tcPr>
          <w:p w14:paraId="51FE64C2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02</w:t>
            </w:r>
          </w:p>
        </w:tc>
        <w:tc>
          <w:tcPr>
            <w:tcW w:w="727" w:type="dxa"/>
            <w:vMerge w:val="restart"/>
            <w:shd w:val="clear" w:color="auto" w:fill="auto"/>
            <w:vAlign w:val="center"/>
          </w:tcPr>
          <w:p w14:paraId="5354483F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2-1</w:t>
            </w:r>
          </w:p>
        </w:tc>
        <w:tc>
          <w:tcPr>
            <w:tcW w:w="2956" w:type="dxa"/>
            <w:vMerge w:val="restart"/>
            <w:shd w:val="clear" w:color="auto" w:fill="auto"/>
            <w:vAlign w:val="center"/>
          </w:tcPr>
          <w:p w14:paraId="6AC82685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超声诊断仪</w:t>
            </w:r>
          </w:p>
          <w:p w14:paraId="023459D8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（心肌应变临床应用型1）</w:t>
            </w:r>
          </w:p>
        </w:tc>
        <w:tc>
          <w:tcPr>
            <w:tcW w:w="1230" w:type="dxa"/>
            <w:vMerge w:val="restart"/>
            <w:shd w:val="clear" w:color="auto" w:fill="auto"/>
            <w:vAlign w:val="center"/>
          </w:tcPr>
          <w:p w14:paraId="1DA659E5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GE</w:t>
            </w:r>
          </w:p>
        </w:tc>
        <w:tc>
          <w:tcPr>
            <w:tcW w:w="2152" w:type="dxa"/>
            <w:vMerge w:val="restart"/>
            <w:shd w:val="clear" w:color="auto" w:fill="auto"/>
            <w:vAlign w:val="center"/>
          </w:tcPr>
          <w:p w14:paraId="1E3C983F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Vivid E95 Aurora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0E076FB8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3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4439EBEE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1950000</w:t>
            </w:r>
          </w:p>
        </w:tc>
      </w:tr>
      <w:tr w14:paraId="305B6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9" w:type="dxa"/>
            <w:vMerge w:val="continue"/>
            <w:shd w:val="clear" w:color="auto" w:fill="auto"/>
            <w:vAlign w:val="center"/>
          </w:tcPr>
          <w:p w14:paraId="60B76034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shd w:val="clear" w:color="auto" w:fill="auto"/>
            <w:vAlign w:val="center"/>
          </w:tcPr>
          <w:p w14:paraId="08619BD9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956" w:type="dxa"/>
            <w:vMerge w:val="continue"/>
            <w:shd w:val="clear" w:color="auto" w:fill="auto"/>
            <w:vAlign w:val="center"/>
          </w:tcPr>
          <w:p w14:paraId="3655268B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1230" w:type="dxa"/>
            <w:vMerge w:val="continue"/>
            <w:shd w:val="clear" w:color="auto" w:fill="auto"/>
            <w:vAlign w:val="center"/>
          </w:tcPr>
          <w:p w14:paraId="4DC6E2E1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2152" w:type="dxa"/>
            <w:vMerge w:val="continue"/>
            <w:shd w:val="clear" w:color="auto" w:fill="auto"/>
            <w:vAlign w:val="center"/>
          </w:tcPr>
          <w:p w14:paraId="3CF90E19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14:paraId="5A4BE920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2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1089677F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1990000</w:t>
            </w:r>
          </w:p>
        </w:tc>
      </w:tr>
      <w:tr w14:paraId="3C839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9" w:type="dxa"/>
            <w:vMerge w:val="continue"/>
            <w:shd w:val="clear" w:color="auto" w:fill="auto"/>
            <w:vAlign w:val="center"/>
          </w:tcPr>
          <w:p w14:paraId="4E0CE7B9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shd w:val="clear" w:color="auto" w:fill="auto"/>
            <w:vAlign w:val="center"/>
          </w:tcPr>
          <w:p w14:paraId="4EB37C49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956" w:type="dxa"/>
            <w:vMerge w:val="continue"/>
            <w:shd w:val="clear" w:color="auto" w:fill="auto"/>
            <w:vAlign w:val="center"/>
          </w:tcPr>
          <w:p w14:paraId="05E69BDB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1230" w:type="dxa"/>
            <w:vMerge w:val="continue"/>
            <w:shd w:val="clear" w:color="auto" w:fill="auto"/>
            <w:vAlign w:val="center"/>
          </w:tcPr>
          <w:p w14:paraId="5EB214FD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2152" w:type="dxa"/>
            <w:vMerge w:val="continue"/>
            <w:shd w:val="clear" w:color="auto" w:fill="auto"/>
            <w:vAlign w:val="center"/>
          </w:tcPr>
          <w:p w14:paraId="1CE9DD97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14:paraId="27E390B8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4AE12FCA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1900000</w:t>
            </w:r>
          </w:p>
        </w:tc>
      </w:tr>
      <w:tr w14:paraId="24413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9" w:type="dxa"/>
            <w:vMerge w:val="continue"/>
            <w:shd w:val="clear" w:color="auto" w:fill="auto"/>
            <w:vAlign w:val="center"/>
          </w:tcPr>
          <w:p w14:paraId="6E00B517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shd w:val="clear" w:color="auto" w:fill="auto"/>
            <w:vAlign w:val="center"/>
          </w:tcPr>
          <w:p w14:paraId="247243C4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956" w:type="dxa"/>
            <w:vMerge w:val="continue"/>
            <w:shd w:val="clear" w:color="auto" w:fill="auto"/>
            <w:vAlign w:val="center"/>
          </w:tcPr>
          <w:p w14:paraId="059CB8EC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1230" w:type="dxa"/>
            <w:vMerge w:val="continue"/>
            <w:shd w:val="clear" w:color="auto" w:fill="auto"/>
            <w:vAlign w:val="center"/>
          </w:tcPr>
          <w:p w14:paraId="1B8DDB42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2152" w:type="dxa"/>
            <w:vMerge w:val="continue"/>
            <w:shd w:val="clear" w:color="auto" w:fill="auto"/>
            <w:vAlign w:val="center"/>
          </w:tcPr>
          <w:p w14:paraId="7706A812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14:paraId="31B9E9C5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505E4A87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1700000</w:t>
            </w:r>
          </w:p>
        </w:tc>
      </w:tr>
      <w:tr w14:paraId="7626F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9" w:type="dxa"/>
            <w:vMerge w:val="continue"/>
            <w:shd w:val="clear" w:color="auto" w:fill="auto"/>
            <w:vAlign w:val="center"/>
          </w:tcPr>
          <w:p w14:paraId="5CD7AD13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shd w:val="clear" w:color="auto" w:fill="auto"/>
            <w:vAlign w:val="center"/>
          </w:tcPr>
          <w:p w14:paraId="36A8CF19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956" w:type="dxa"/>
            <w:vMerge w:val="continue"/>
            <w:shd w:val="clear" w:color="auto" w:fill="auto"/>
            <w:vAlign w:val="center"/>
          </w:tcPr>
          <w:p w14:paraId="7121B10F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1230" w:type="dxa"/>
            <w:vMerge w:val="continue"/>
            <w:shd w:val="clear" w:color="auto" w:fill="auto"/>
            <w:vAlign w:val="center"/>
          </w:tcPr>
          <w:p w14:paraId="6B37DD19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2152" w:type="dxa"/>
            <w:vMerge w:val="continue"/>
            <w:shd w:val="clear" w:color="auto" w:fill="auto"/>
            <w:vAlign w:val="center"/>
          </w:tcPr>
          <w:p w14:paraId="0CD7EB53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14:paraId="36048799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06B4B2DC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1650000</w:t>
            </w:r>
          </w:p>
        </w:tc>
      </w:tr>
      <w:tr w14:paraId="58A10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9" w:type="dxa"/>
            <w:vMerge w:val="continue"/>
            <w:shd w:val="clear" w:color="auto" w:fill="auto"/>
            <w:vAlign w:val="center"/>
          </w:tcPr>
          <w:p w14:paraId="2507B99C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shd w:val="clear" w:color="auto" w:fill="auto"/>
            <w:vAlign w:val="center"/>
          </w:tcPr>
          <w:p w14:paraId="3E6BF78D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956" w:type="dxa"/>
            <w:vMerge w:val="continue"/>
            <w:shd w:val="clear" w:color="auto" w:fill="auto"/>
            <w:vAlign w:val="center"/>
          </w:tcPr>
          <w:p w14:paraId="676C93C1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1230" w:type="dxa"/>
            <w:vMerge w:val="continue"/>
            <w:shd w:val="clear" w:color="auto" w:fill="auto"/>
            <w:vAlign w:val="center"/>
          </w:tcPr>
          <w:p w14:paraId="006C68FB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2152" w:type="dxa"/>
            <w:vMerge w:val="restart"/>
            <w:shd w:val="clear" w:color="auto" w:fill="auto"/>
            <w:vAlign w:val="center"/>
          </w:tcPr>
          <w:p w14:paraId="08B022E3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Vivid E95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5E149D3E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45E376A7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1550000</w:t>
            </w:r>
          </w:p>
        </w:tc>
      </w:tr>
      <w:tr w14:paraId="7907C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9" w:type="dxa"/>
            <w:vMerge w:val="continue"/>
            <w:shd w:val="clear" w:color="auto" w:fill="auto"/>
            <w:vAlign w:val="center"/>
          </w:tcPr>
          <w:p w14:paraId="4F1B7231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shd w:val="clear" w:color="auto" w:fill="auto"/>
            <w:vAlign w:val="center"/>
          </w:tcPr>
          <w:p w14:paraId="0EEA7C59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956" w:type="dxa"/>
            <w:vMerge w:val="continue"/>
            <w:shd w:val="clear" w:color="auto" w:fill="auto"/>
            <w:vAlign w:val="center"/>
          </w:tcPr>
          <w:p w14:paraId="1109ABEC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1230" w:type="dxa"/>
            <w:vMerge w:val="continue"/>
            <w:shd w:val="clear" w:color="auto" w:fill="auto"/>
            <w:vAlign w:val="center"/>
          </w:tcPr>
          <w:p w14:paraId="0807A1DB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2152" w:type="dxa"/>
            <w:vMerge w:val="continue"/>
            <w:shd w:val="clear" w:color="auto" w:fill="auto"/>
            <w:vAlign w:val="center"/>
          </w:tcPr>
          <w:p w14:paraId="01C25107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14:paraId="4B6EE95B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7943399D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1600000</w:t>
            </w:r>
          </w:p>
        </w:tc>
      </w:tr>
      <w:tr w14:paraId="62B3E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9" w:type="dxa"/>
            <w:vMerge w:val="continue"/>
            <w:shd w:val="clear" w:color="auto" w:fill="auto"/>
            <w:vAlign w:val="center"/>
          </w:tcPr>
          <w:p w14:paraId="491A0E94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shd w:val="clear" w:color="auto" w:fill="auto"/>
            <w:vAlign w:val="center"/>
          </w:tcPr>
          <w:p w14:paraId="3CAD334C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956" w:type="dxa"/>
            <w:vMerge w:val="continue"/>
            <w:shd w:val="clear" w:color="auto" w:fill="auto"/>
            <w:vAlign w:val="center"/>
          </w:tcPr>
          <w:p w14:paraId="4A765DB7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1230" w:type="dxa"/>
            <w:vMerge w:val="continue"/>
            <w:shd w:val="clear" w:color="auto" w:fill="auto"/>
            <w:vAlign w:val="center"/>
          </w:tcPr>
          <w:p w14:paraId="58A8B27F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2152" w:type="dxa"/>
            <w:vMerge w:val="continue"/>
            <w:shd w:val="clear" w:color="auto" w:fill="auto"/>
            <w:vAlign w:val="center"/>
          </w:tcPr>
          <w:p w14:paraId="1B5C9FCF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14:paraId="5F220EC7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186B2689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1500000</w:t>
            </w:r>
          </w:p>
        </w:tc>
      </w:tr>
      <w:tr w14:paraId="19593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9" w:type="dxa"/>
            <w:vMerge w:val="continue"/>
            <w:shd w:val="clear" w:color="auto" w:fill="auto"/>
            <w:vAlign w:val="center"/>
          </w:tcPr>
          <w:p w14:paraId="66F4B94C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vMerge w:val="restart"/>
            <w:shd w:val="clear" w:color="auto" w:fill="auto"/>
            <w:vAlign w:val="center"/>
          </w:tcPr>
          <w:p w14:paraId="2A953833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2-2</w:t>
            </w:r>
          </w:p>
        </w:tc>
        <w:tc>
          <w:tcPr>
            <w:tcW w:w="2956" w:type="dxa"/>
            <w:vMerge w:val="restart"/>
            <w:shd w:val="clear" w:color="auto" w:fill="auto"/>
            <w:vAlign w:val="center"/>
          </w:tcPr>
          <w:p w14:paraId="58351D87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超声诊断仪</w:t>
            </w:r>
          </w:p>
          <w:p w14:paraId="778E57FB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（心肌应变临床应用型2）</w:t>
            </w:r>
          </w:p>
        </w:tc>
        <w:tc>
          <w:tcPr>
            <w:tcW w:w="1230" w:type="dxa"/>
            <w:vMerge w:val="continue"/>
            <w:shd w:val="clear" w:color="auto" w:fill="auto"/>
            <w:vAlign w:val="center"/>
          </w:tcPr>
          <w:p w14:paraId="3489948D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2152" w:type="dxa"/>
            <w:vMerge w:val="restart"/>
            <w:shd w:val="clear" w:color="auto" w:fill="auto"/>
            <w:vAlign w:val="top"/>
          </w:tcPr>
          <w:p w14:paraId="43CCF064">
            <w:pPr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  <w:p w14:paraId="7A0AF83C">
            <w:pPr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  <w:p w14:paraId="2D3BC727">
            <w:pPr>
              <w:spacing w:beforeLines="0" w:afterLines="0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LOGIQ E20 Power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6CB63215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6BDBC7DD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1500000</w:t>
            </w:r>
          </w:p>
        </w:tc>
      </w:tr>
      <w:tr w14:paraId="30735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9" w:type="dxa"/>
            <w:vMerge w:val="continue"/>
            <w:shd w:val="clear" w:color="auto" w:fill="auto"/>
            <w:vAlign w:val="center"/>
          </w:tcPr>
          <w:p w14:paraId="17282849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shd w:val="clear" w:color="auto" w:fill="auto"/>
            <w:vAlign w:val="center"/>
          </w:tcPr>
          <w:p w14:paraId="5685642E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956" w:type="dxa"/>
            <w:vMerge w:val="continue"/>
            <w:shd w:val="clear" w:color="auto" w:fill="auto"/>
            <w:vAlign w:val="center"/>
          </w:tcPr>
          <w:p w14:paraId="4661B2EE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1230" w:type="dxa"/>
            <w:vMerge w:val="continue"/>
            <w:shd w:val="clear" w:color="auto" w:fill="auto"/>
            <w:vAlign w:val="center"/>
          </w:tcPr>
          <w:p w14:paraId="4D5C9E38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2152" w:type="dxa"/>
            <w:vMerge w:val="continue"/>
            <w:shd w:val="clear" w:color="auto" w:fill="auto"/>
            <w:vAlign w:val="top"/>
          </w:tcPr>
          <w:p w14:paraId="4AAF638A">
            <w:pPr>
              <w:spacing w:beforeLines="0" w:afterLines="0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14:paraId="198AB114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4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0EDA9C69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1450000</w:t>
            </w:r>
          </w:p>
        </w:tc>
      </w:tr>
      <w:tr w14:paraId="3060BD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9" w:type="dxa"/>
            <w:vMerge w:val="continue"/>
            <w:shd w:val="clear" w:color="auto" w:fill="auto"/>
            <w:vAlign w:val="center"/>
          </w:tcPr>
          <w:p w14:paraId="791327AF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shd w:val="clear" w:color="auto" w:fill="auto"/>
            <w:vAlign w:val="center"/>
          </w:tcPr>
          <w:p w14:paraId="1A9E30F9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956" w:type="dxa"/>
            <w:vMerge w:val="continue"/>
            <w:shd w:val="clear" w:color="auto" w:fill="auto"/>
            <w:vAlign w:val="center"/>
          </w:tcPr>
          <w:p w14:paraId="65984EB1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1230" w:type="dxa"/>
            <w:vMerge w:val="continue"/>
            <w:shd w:val="clear" w:color="auto" w:fill="auto"/>
            <w:vAlign w:val="center"/>
          </w:tcPr>
          <w:p w14:paraId="4BFCA300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2152" w:type="dxa"/>
            <w:vMerge w:val="continue"/>
            <w:shd w:val="clear" w:color="auto" w:fill="auto"/>
            <w:vAlign w:val="top"/>
          </w:tcPr>
          <w:p w14:paraId="1CCF6391">
            <w:pPr>
              <w:spacing w:beforeLines="0" w:afterLines="0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14:paraId="7E75ACD1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248A0B03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1450000</w:t>
            </w:r>
          </w:p>
        </w:tc>
      </w:tr>
      <w:tr w14:paraId="4A8F4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9" w:type="dxa"/>
            <w:vMerge w:val="continue"/>
            <w:shd w:val="clear" w:color="auto" w:fill="auto"/>
            <w:vAlign w:val="center"/>
          </w:tcPr>
          <w:p w14:paraId="4B7CE98E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shd w:val="clear" w:color="auto" w:fill="auto"/>
            <w:vAlign w:val="center"/>
          </w:tcPr>
          <w:p w14:paraId="7E7017B1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956" w:type="dxa"/>
            <w:vMerge w:val="continue"/>
            <w:shd w:val="clear" w:color="auto" w:fill="auto"/>
            <w:vAlign w:val="center"/>
          </w:tcPr>
          <w:p w14:paraId="41E5D9D0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1230" w:type="dxa"/>
            <w:vMerge w:val="continue"/>
            <w:shd w:val="clear" w:color="auto" w:fill="auto"/>
            <w:vAlign w:val="center"/>
          </w:tcPr>
          <w:p w14:paraId="1FBB2861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2152" w:type="dxa"/>
            <w:vMerge w:val="continue"/>
            <w:shd w:val="clear" w:color="auto" w:fill="auto"/>
            <w:vAlign w:val="top"/>
          </w:tcPr>
          <w:p w14:paraId="5E73C9D3">
            <w:pPr>
              <w:spacing w:beforeLines="0" w:afterLines="0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14:paraId="3AED834B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4ED0DB82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1500000</w:t>
            </w:r>
          </w:p>
        </w:tc>
      </w:tr>
      <w:tr w14:paraId="328B9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9" w:type="dxa"/>
            <w:vMerge w:val="continue"/>
            <w:shd w:val="clear" w:color="auto" w:fill="auto"/>
            <w:vAlign w:val="center"/>
          </w:tcPr>
          <w:p w14:paraId="48B2F670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shd w:val="clear" w:color="auto" w:fill="auto"/>
            <w:vAlign w:val="center"/>
          </w:tcPr>
          <w:p w14:paraId="06EEFD54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956" w:type="dxa"/>
            <w:vMerge w:val="continue"/>
            <w:shd w:val="clear" w:color="auto" w:fill="auto"/>
            <w:vAlign w:val="center"/>
          </w:tcPr>
          <w:p w14:paraId="6AFDE7DF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230" w:type="dxa"/>
            <w:vMerge w:val="continue"/>
            <w:shd w:val="clear" w:color="auto" w:fill="auto"/>
            <w:vAlign w:val="center"/>
          </w:tcPr>
          <w:p w14:paraId="7BC82A0F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152" w:type="dxa"/>
            <w:shd w:val="clear" w:color="auto" w:fill="auto"/>
            <w:vAlign w:val="top"/>
          </w:tcPr>
          <w:p w14:paraId="797082BF">
            <w:pPr>
              <w:spacing w:beforeLines="0" w:afterLines="0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LOGIQ E20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0AC29C20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2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3F98584E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900000</w:t>
            </w:r>
          </w:p>
        </w:tc>
      </w:tr>
    </w:tbl>
    <w:p w14:paraId="4CBD4266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五、评审专家名单：刘佩霞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傅小英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杨树欣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魏继航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张树旺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林瑶（01包）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韩建成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01、02包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）、</w:t>
      </w:r>
      <w:r>
        <w:rPr>
          <w:rFonts w:hint="eastAsia" w:ascii="宋体" w:hAnsi="宋体" w:cs="宋体"/>
          <w:b/>
          <w:bCs/>
          <w:highlight w:val="none"/>
        </w:rPr>
        <w:t>郑敏（02包）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。</w:t>
      </w:r>
    </w:p>
    <w:p w14:paraId="1D8A7EAB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12C016FD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代理服务收费标准：参照国家发展计划委员会颁发的《招标代理服务收费管理暂行办法》（计价格[2002]1980号）和国家发展改革委办公厅关于招标代理服务收费有关问题的通知（发改办价格[2003]857号）</w:t>
      </w:r>
      <w:r>
        <w:rPr>
          <w:rFonts w:hint="eastAsia" w:ascii="宋体" w:hAnsi="宋体" w:eastAsia="宋体" w:cs="宋体"/>
          <w:highlight w:val="none"/>
        </w:rPr>
        <w:t>执行</w:t>
      </w:r>
      <w:r>
        <w:rPr>
          <w:rFonts w:hint="eastAsia" w:ascii="宋体" w:hAnsi="宋体" w:eastAsia="宋体" w:cs="宋体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highlight w:val="none"/>
          <w:lang w:val="en-US" w:eastAsia="zh-CN"/>
        </w:rPr>
        <w:t>01包：12.1万元；02包：20.79万元</w:t>
      </w:r>
      <w:r>
        <w:rPr>
          <w:rFonts w:hint="eastAsia" w:ascii="宋体" w:hAnsi="宋体" w:eastAsia="宋体" w:cs="宋体"/>
          <w:highlight w:val="none"/>
        </w:rPr>
        <w:t>。</w:t>
      </w:r>
    </w:p>
    <w:p w14:paraId="477A4BDD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代理服务收费金额</w:t>
      </w:r>
      <w:r>
        <w:rPr>
          <w:rFonts w:hint="eastAsia" w:ascii="宋体" w:hAnsi="宋体" w:eastAsia="宋体" w:cs="宋体"/>
          <w:highlight w:val="none"/>
          <w:lang w:val="en-US" w:eastAsia="zh-CN"/>
        </w:rPr>
        <w:t>：人民币32.89万元。</w:t>
      </w:r>
    </w:p>
    <w:p w14:paraId="1FC3723F">
      <w:pPr>
        <w:numPr>
          <w:ilvl w:val="0"/>
          <w:numId w:val="2"/>
        </w:numPr>
        <w:spacing w:line="360" w:lineRule="auto"/>
        <w:rPr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公告期限</w:t>
      </w:r>
    </w:p>
    <w:p w14:paraId="41F7B8C1">
      <w:pPr>
        <w:spacing w:line="360" w:lineRule="auto"/>
        <w:ind w:firstLine="480" w:firstLineChars="200"/>
        <w:rPr>
          <w:rFonts w:ascii="宋体" w:hAnsi="宋体" w:cs="宋体"/>
          <w:kern w:val="0"/>
          <w:highlight w:val="none"/>
        </w:rPr>
      </w:pPr>
      <w:bookmarkStart w:id="18" w:name="_GoBack"/>
      <w:r>
        <w:rPr>
          <w:rFonts w:hint="eastAsia" w:ascii="宋体" w:hAnsi="宋体" w:cs="宋体"/>
          <w:kern w:val="0"/>
          <w:highlight w:val="none"/>
        </w:rPr>
        <w:t>自本公告发布之日起1个工作日</w:t>
      </w:r>
      <w:bookmarkEnd w:id="18"/>
      <w:r>
        <w:rPr>
          <w:rFonts w:hint="eastAsia" w:ascii="宋体" w:hAnsi="宋体" w:cs="宋体"/>
          <w:kern w:val="0"/>
          <w:highlight w:val="none"/>
        </w:rPr>
        <w:t>。</w:t>
      </w:r>
    </w:p>
    <w:p w14:paraId="7C205C4C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八、其他补充事宜</w:t>
      </w:r>
    </w:p>
    <w:p w14:paraId="66FE6BEA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/</w:t>
      </w:r>
    </w:p>
    <w:p w14:paraId="03335C90">
      <w:pPr>
        <w:spacing w:line="360" w:lineRule="auto"/>
        <w:rPr>
          <w:rFonts w:ascii="宋体" w:hAnsi="宋体" w:cs="宋体"/>
          <w:b/>
          <w:bCs/>
          <w:kern w:val="0"/>
          <w:highlight w:val="none"/>
        </w:rPr>
      </w:pPr>
      <w:r>
        <w:rPr>
          <w:rFonts w:hint="eastAsia" w:ascii="宋体" w:hAnsi="宋体" w:cs="宋体"/>
          <w:b/>
          <w:bCs/>
          <w:kern w:val="0"/>
          <w:highlight w:val="none"/>
        </w:rPr>
        <w:t>九、凡对本次公告内容提出询问，请按以下方式联系。</w:t>
      </w:r>
    </w:p>
    <w:p w14:paraId="1317FE23"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600" w:firstLineChars="250"/>
        <w:textAlignment w:val="auto"/>
        <w:rPr>
          <w:rFonts w:ascii="宋体" w:hAnsi="宋体" w:cs="宋体"/>
          <w:b w:val="0"/>
          <w:sz w:val="24"/>
          <w:szCs w:val="24"/>
          <w:highlight w:val="none"/>
        </w:rPr>
      </w:pPr>
      <w:bookmarkStart w:id="3" w:name="_Toc35393641"/>
      <w:bookmarkStart w:id="4" w:name="_Toc28359023"/>
      <w:bookmarkStart w:id="5" w:name="_Toc35393810"/>
      <w:bookmarkStart w:id="6" w:name="_Toc19952"/>
      <w:bookmarkStart w:id="7" w:name="_Toc28359100"/>
      <w:r>
        <w:rPr>
          <w:rFonts w:hint="eastAsia" w:ascii="宋体" w:hAnsi="宋体" w:cs="宋体"/>
          <w:b w:val="0"/>
          <w:sz w:val="24"/>
          <w:szCs w:val="24"/>
          <w:highlight w:val="none"/>
        </w:rPr>
        <w:t>1.采购人信息</w:t>
      </w:r>
      <w:bookmarkEnd w:id="3"/>
      <w:bookmarkEnd w:id="4"/>
      <w:bookmarkEnd w:id="5"/>
      <w:bookmarkEnd w:id="6"/>
      <w:bookmarkEnd w:id="7"/>
    </w:p>
    <w:p w14:paraId="7E24A07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720" w:firstLineChars="300"/>
        <w:textAlignment w:val="auto"/>
        <w:rPr>
          <w:rFonts w:hint="eastAsia" w:ascii="宋体" w:hAnsi="宋体" w:eastAsia="宋体" w:cs="宋体"/>
          <w:highlight w:val="none"/>
          <w:lang w:eastAsia="zh-CN"/>
        </w:rPr>
      </w:pPr>
      <w:bookmarkStart w:id="8" w:name="_Toc28359101"/>
      <w:bookmarkStart w:id="9" w:name="_Toc35393642"/>
      <w:bookmarkStart w:id="10" w:name="_Toc35393811"/>
      <w:bookmarkStart w:id="11" w:name="_Toc28359024"/>
      <w:bookmarkStart w:id="12" w:name="_Toc30495"/>
      <w:r>
        <w:rPr>
          <w:rFonts w:hint="eastAsia" w:ascii="宋体" w:hAnsi="宋体" w:cs="宋体"/>
          <w:highlight w:val="none"/>
        </w:rPr>
        <w:t>名    称：</w:t>
      </w:r>
      <w:r>
        <w:rPr>
          <w:rFonts w:hint="eastAsia" w:ascii="宋体" w:hAnsi="宋体" w:cs="宋体"/>
          <w:highlight w:val="none"/>
          <w:lang w:eastAsia="zh-CN"/>
        </w:rPr>
        <w:t>首都医科大学附属北京朝阳医院</w:t>
      </w:r>
    </w:p>
    <w:p w14:paraId="1CB0504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720" w:firstLineChars="300"/>
        <w:textAlignment w:val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地    址：北京市朝阳区工人体育场南路8号</w:t>
      </w:r>
    </w:p>
    <w:p w14:paraId="717AE3B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720" w:firstLineChars="300"/>
        <w:textAlignment w:val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联系方式：010-85231430</w:t>
      </w:r>
    </w:p>
    <w:p w14:paraId="6340B296"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720" w:firstLineChars="300"/>
        <w:textAlignment w:val="auto"/>
        <w:rPr>
          <w:rFonts w:ascii="宋体" w:hAnsi="宋体" w:cs="宋体"/>
          <w:b w:val="0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sz w:val="24"/>
          <w:szCs w:val="24"/>
          <w:highlight w:val="none"/>
        </w:rPr>
        <w:t>2.采购代理机构信息</w:t>
      </w:r>
      <w:bookmarkEnd w:id="8"/>
      <w:bookmarkEnd w:id="9"/>
      <w:bookmarkEnd w:id="10"/>
      <w:bookmarkEnd w:id="11"/>
      <w:bookmarkEnd w:id="12"/>
    </w:p>
    <w:p w14:paraId="2F36AD9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720" w:firstLineChars="300"/>
        <w:textAlignment w:val="auto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名    称：北京国际贸易有限公司</w:t>
      </w:r>
    </w:p>
    <w:p w14:paraId="06063BF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720" w:firstLineChars="300"/>
        <w:textAlignment w:val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地　  址：北京市朝阳区建国门外大街甲3号</w:t>
      </w:r>
    </w:p>
    <w:p w14:paraId="2BFF8D8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720" w:firstLineChars="300"/>
        <w:textAlignment w:val="auto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联系方式：</w:t>
      </w:r>
      <w:r>
        <w:rPr>
          <w:rFonts w:hint="eastAsia" w:ascii="宋体" w:hAnsi="宋体" w:eastAsia="宋体" w:cs="宋体"/>
          <w:lang w:eastAsia="zh-CN"/>
        </w:rPr>
        <w:t>010-85343456、010-85343457</w:t>
      </w:r>
    </w:p>
    <w:p w14:paraId="240B7C58"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720" w:firstLineChars="300"/>
        <w:textAlignment w:val="auto"/>
        <w:rPr>
          <w:rFonts w:ascii="宋体" w:hAnsi="宋体" w:cs="宋体"/>
          <w:b w:val="0"/>
          <w:sz w:val="24"/>
          <w:szCs w:val="24"/>
          <w:highlight w:val="none"/>
        </w:rPr>
      </w:pPr>
      <w:bookmarkStart w:id="13" w:name="_Toc28359102"/>
      <w:bookmarkStart w:id="14" w:name="_Toc35393643"/>
      <w:bookmarkStart w:id="15" w:name="_Toc23427"/>
      <w:bookmarkStart w:id="16" w:name="_Toc28359025"/>
      <w:bookmarkStart w:id="17" w:name="_Toc35393812"/>
      <w:r>
        <w:rPr>
          <w:rFonts w:hint="eastAsia" w:ascii="宋体" w:hAnsi="宋体" w:cs="宋体"/>
          <w:b w:val="0"/>
          <w:sz w:val="24"/>
          <w:szCs w:val="24"/>
          <w:highlight w:val="none"/>
        </w:rPr>
        <w:t>3.项目联系方式</w:t>
      </w:r>
      <w:bookmarkEnd w:id="13"/>
      <w:bookmarkEnd w:id="14"/>
      <w:bookmarkEnd w:id="15"/>
      <w:bookmarkEnd w:id="16"/>
      <w:bookmarkEnd w:id="17"/>
    </w:p>
    <w:p w14:paraId="78FB220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720" w:firstLineChars="300"/>
        <w:textAlignment w:val="auto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项目联系人：张珊、齐汉、梁潇</w:t>
      </w:r>
    </w:p>
    <w:p w14:paraId="225E124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720" w:firstLineChars="300"/>
        <w:textAlignment w:val="auto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</w:rPr>
        <w:t>电话：010-85343456、010-8534345</w:t>
      </w:r>
      <w:r>
        <w:rPr>
          <w:rFonts w:hint="eastAsia" w:ascii="宋体" w:hAnsi="宋体" w:cs="宋体"/>
          <w:highlight w:val="none"/>
          <w:lang w:val="en-US" w:eastAsia="zh-CN"/>
        </w:rPr>
        <w:t>7</w:t>
      </w: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  <w:rPr>
        <w:rFonts w:hint="eastAsia"/>
        <w:b/>
        <w:bCs/>
      </w:rPr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5YmZhYzRkNmIwN2E5ZmU4Nzg4OGJlZGZjNmU0ZjQifQ=="/>
    <w:docVar w:name="KSO_WPS_MARK_KEY" w:val="11fd4eaa-7883-4435-91f8-948e0bcadf11"/>
  </w:docVars>
  <w:rsids>
    <w:rsidRoot w:val="00172A27"/>
    <w:rsid w:val="002374CC"/>
    <w:rsid w:val="0033608F"/>
    <w:rsid w:val="004E7980"/>
    <w:rsid w:val="004F1AD7"/>
    <w:rsid w:val="005A1D49"/>
    <w:rsid w:val="00796251"/>
    <w:rsid w:val="007A4203"/>
    <w:rsid w:val="00945F6A"/>
    <w:rsid w:val="00AB4B4A"/>
    <w:rsid w:val="00B0462A"/>
    <w:rsid w:val="00B31F74"/>
    <w:rsid w:val="00BC2930"/>
    <w:rsid w:val="00BE5CB3"/>
    <w:rsid w:val="00C679E6"/>
    <w:rsid w:val="00C956B4"/>
    <w:rsid w:val="00E963ED"/>
    <w:rsid w:val="00EF2D42"/>
    <w:rsid w:val="01DC3BC6"/>
    <w:rsid w:val="0276451A"/>
    <w:rsid w:val="028B667F"/>
    <w:rsid w:val="03312FA5"/>
    <w:rsid w:val="03695E25"/>
    <w:rsid w:val="04B76F0B"/>
    <w:rsid w:val="04EB6322"/>
    <w:rsid w:val="05482E38"/>
    <w:rsid w:val="07464F0D"/>
    <w:rsid w:val="078375C5"/>
    <w:rsid w:val="07B25830"/>
    <w:rsid w:val="07E331B7"/>
    <w:rsid w:val="08A4283A"/>
    <w:rsid w:val="08E2122C"/>
    <w:rsid w:val="08F237C3"/>
    <w:rsid w:val="09B35377"/>
    <w:rsid w:val="0A063EB1"/>
    <w:rsid w:val="0A283ED3"/>
    <w:rsid w:val="0B925298"/>
    <w:rsid w:val="0C2F0B8D"/>
    <w:rsid w:val="0D3E1419"/>
    <w:rsid w:val="0D984ECC"/>
    <w:rsid w:val="0DB273A9"/>
    <w:rsid w:val="0DC9092E"/>
    <w:rsid w:val="0DDF724E"/>
    <w:rsid w:val="0DF401C9"/>
    <w:rsid w:val="0E74144F"/>
    <w:rsid w:val="0EA00F4E"/>
    <w:rsid w:val="0ED9769B"/>
    <w:rsid w:val="10036F74"/>
    <w:rsid w:val="10EC787A"/>
    <w:rsid w:val="110A362E"/>
    <w:rsid w:val="1120011A"/>
    <w:rsid w:val="11976170"/>
    <w:rsid w:val="12DC130A"/>
    <w:rsid w:val="13B52771"/>
    <w:rsid w:val="13D15990"/>
    <w:rsid w:val="14243297"/>
    <w:rsid w:val="142A16A8"/>
    <w:rsid w:val="14A82170"/>
    <w:rsid w:val="152467E1"/>
    <w:rsid w:val="15E64AFD"/>
    <w:rsid w:val="16B17D25"/>
    <w:rsid w:val="18F13E93"/>
    <w:rsid w:val="1A243DA0"/>
    <w:rsid w:val="1B1964CD"/>
    <w:rsid w:val="1B4E306E"/>
    <w:rsid w:val="1B86476A"/>
    <w:rsid w:val="1BDC7FC4"/>
    <w:rsid w:val="1C4C2783"/>
    <w:rsid w:val="1D357BC2"/>
    <w:rsid w:val="1E045F5B"/>
    <w:rsid w:val="1E2F665C"/>
    <w:rsid w:val="1E7419DB"/>
    <w:rsid w:val="1E775389"/>
    <w:rsid w:val="1EA87CD0"/>
    <w:rsid w:val="1EFD6DA8"/>
    <w:rsid w:val="1F1E24A2"/>
    <w:rsid w:val="1F7D7510"/>
    <w:rsid w:val="1FDE0154"/>
    <w:rsid w:val="1FDE43C2"/>
    <w:rsid w:val="20270625"/>
    <w:rsid w:val="20545F82"/>
    <w:rsid w:val="23151909"/>
    <w:rsid w:val="241035B6"/>
    <w:rsid w:val="241672DD"/>
    <w:rsid w:val="244A073A"/>
    <w:rsid w:val="248D1853"/>
    <w:rsid w:val="256B4972"/>
    <w:rsid w:val="25A53853"/>
    <w:rsid w:val="261B3491"/>
    <w:rsid w:val="264764B4"/>
    <w:rsid w:val="265213ED"/>
    <w:rsid w:val="26CA69A6"/>
    <w:rsid w:val="26D1773D"/>
    <w:rsid w:val="270A0A22"/>
    <w:rsid w:val="27C371A7"/>
    <w:rsid w:val="281D3DF0"/>
    <w:rsid w:val="28A60136"/>
    <w:rsid w:val="28E6501B"/>
    <w:rsid w:val="28F04E5E"/>
    <w:rsid w:val="28FB4F40"/>
    <w:rsid w:val="29AA01EA"/>
    <w:rsid w:val="2A45571C"/>
    <w:rsid w:val="2A922F77"/>
    <w:rsid w:val="2B396377"/>
    <w:rsid w:val="2BA72573"/>
    <w:rsid w:val="2BA81E59"/>
    <w:rsid w:val="2CD15DCE"/>
    <w:rsid w:val="2CEC5900"/>
    <w:rsid w:val="2DAE77E9"/>
    <w:rsid w:val="2DF216DA"/>
    <w:rsid w:val="2ED578D6"/>
    <w:rsid w:val="30F578C7"/>
    <w:rsid w:val="32116E77"/>
    <w:rsid w:val="32976E60"/>
    <w:rsid w:val="333D6679"/>
    <w:rsid w:val="33471930"/>
    <w:rsid w:val="339B13BA"/>
    <w:rsid w:val="34010499"/>
    <w:rsid w:val="34335DDE"/>
    <w:rsid w:val="34D23C26"/>
    <w:rsid w:val="352112E7"/>
    <w:rsid w:val="35A47211"/>
    <w:rsid w:val="36720B02"/>
    <w:rsid w:val="36EE7787"/>
    <w:rsid w:val="3734217F"/>
    <w:rsid w:val="37DA47AB"/>
    <w:rsid w:val="38650F93"/>
    <w:rsid w:val="391B05DB"/>
    <w:rsid w:val="39711FA9"/>
    <w:rsid w:val="3B407142"/>
    <w:rsid w:val="3C373E57"/>
    <w:rsid w:val="3CAA13B2"/>
    <w:rsid w:val="3CAF79B9"/>
    <w:rsid w:val="3D7D3613"/>
    <w:rsid w:val="3DCF1196"/>
    <w:rsid w:val="40C10651"/>
    <w:rsid w:val="40CF1F2C"/>
    <w:rsid w:val="40EC1FA8"/>
    <w:rsid w:val="42424E28"/>
    <w:rsid w:val="42EE5922"/>
    <w:rsid w:val="4311364B"/>
    <w:rsid w:val="43972F54"/>
    <w:rsid w:val="448E6E3C"/>
    <w:rsid w:val="45792D46"/>
    <w:rsid w:val="45996499"/>
    <w:rsid w:val="45B27966"/>
    <w:rsid w:val="46144188"/>
    <w:rsid w:val="4636352C"/>
    <w:rsid w:val="46DC0D97"/>
    <w:rsid w:val="472B71D3"/>
    <w:rsid w:val="47994542"/>
    <w:rsid w:val="4968013D"/>
    <w:rsid w:val="4A5B47E7"/>
    <w:rsid w:val="4ACF6FC9"/>
    <w:rsid w:val="4BBC5C4E"/>
    <w:rsid w:val="4CBE2078"/>
    <w:rsid w:val="4D4344CF"/>
    <w:rsid w:val="4DDB092F"/>
    <w:rsid w:val="4E057E10"/>
    <w:rsid w:val="4E166787"/>
    <w:rsid w:val="4EC10E05"/>
    <w:rsid w:val="4F225468"/>
    <w:rsid w:val="4F4F218D"/>
    <w:rsid w:val="4F8B568E"/>
    <w:rsid w:val="51030DE0"/>
    <w:rsid w:val="51143E36"/>
    <w:rsid w:val="512F0C70"/>
    <w:rsid w:val="517979C5"/>
    <w:rsid w:val="517F4BC4"/>
    <w:rsid w:val="52524C16"/>
    <w:rsid w:val="52AB7442"/>
    <w:rsid w:val="531C05B1"/>
    <w:rsid w:val="53400F13"/>
    <w:rsid w:val="53584606"/>
    <w:rsid w:val="53A26B6F"/>
    <w:rsid w:val="54494ACA"/>
    <w:rsid w:val="54673E6B"/>
    <w:rsid w:val="548C0FC4"/>
    <w:rsid w:val="54AE49FC"/>
    <w:rsid w:val="54F40536"/>
    <w:rsid w:val="55662B3E"/>
    <w:rsid w:val="55C761E3"/>
    <w:rsid w:val="55F31810"/>
    <w:rsid w:val="56B90783"/>
    <w:rsid w:val="57D91A30"/>
    <w:rsid w:val="58373FB5"/>
    <w:rsid w:val="5A322702"/>
    <w:rsid w:val="5AEE543B"/>
    <w:rsid w:val="5C6043D4"/>
    <w:rsid w:val="5D9C47EC"/>
    <w:rsid w:val="5E5D76E0"/>
    <w:rsid w:val="5E9853C6"/>
    <w:rsid w:val="5F053CC6"/>
    <w:rsid w:val="609D069B"/>
    <w:rsid w:val="60D10C16"/>
    <w:rsid w:val="64235F78"/>
    <w:rsid w:val="656E0126"/>
    <w:rsid w:val="65B37C68"/>
    <w:rsid w:val="65C60B1F"/>
    <w:rsid w:val="66865A41"/>
    <w:rsid w:val="66940880"/>
    <w:rsid w:val="674D108C"/>
    <w:rsid w:val="675A17A6"/>
    <w:rsid w:val="675D7CA3"/>
    <w:rsid w:val="67A05F83"/>
    <w:rsid w:val="682E257A"/>
    <w:rsid w:val="68692862"/>
    <w:rsid w:val="68860A0A"/>
    <w:rsid w:val="68CD19CD"/>
    <w:rsid w:val="69B83CD2"/>
    <w:rsid w:val="69D65CD5"/>
    <w:rsid w:val="6AE2665C"/>
    <w:rsid w:val="6B123EAC"/>
    <w:rsid w:val="6C511742"/>
    <w:rsid w:val="6ED25D0B"/>
    <w:rsid w:val="6F1F3CD4"/>
    <w:rsid w:val="6F295EC6"/>
    <w:rsid w:val="6F9B5FA9"/>
    <w:rsid w:val="6F9C12DD"/>
    <w:rsid w:val="72545F38"/>
    <w:rsid w:val="731D5BEB"/>
    <w:rsid w:val="73D70B56"/>
    <w:rsid w:val="74562921"/>
    <w:rsid w:val="74DA5B41"/>
    <w:rsid w:val="74F26A6B"/>
    <w:rsid w:val="75D52D8B"/>
    <w:rsid w:val="761F178C"/>
    <w:rsid w:val="778D1996"/>
    <w:rsid w:val="782D5F38"/>
    <w:rsid w:val="78A86196"/>
    <w:rsid w:val="7B465D29"/>
    <w:rsid w:val="7B9B0B2D"/>
    <w:rsid w:val="7BB82AEB"/>
    <w:rsid w:val="7C497DE0"/>
    <w:rsid w:val="7D9B2799"/>
    <w:rsid w:val="7D9F4038"/>
    <w:rsid w:val="7DB350E1"/>
    <w:rsid w:val="7E0A24D6"/>
    <w:rsid w:val="7E520127"/>
    <w:rsid w:val="7EB75A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6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7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8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3">
    <w:name w:val="Body Text"/>
    <w:basedOn w:val="1"/>
    <w:next w:val="4"/>
    <w:qFormat/>
    <w:uiPriority w:val="0"/>
    <w:pPr>
      <w:spacing w:after="120"/>
    </w:pPr>
    <w:rPr>
      <w:rFonts w:ascii="Times New Roman" w:hAnsi="Times New Roman"/>
    </w:rPr>
  </w:style>
  <w:style w:type="paragraph" w:styleId="4">
    <w:name w:val="Title"/>
    <w:basedOn w:val="1"/>
    <w:next w:val="1"/>
    <w:qFormat/>
    <w:uiPriority w:val="0"/>
    <w:pPr>
      <w:jc w:val="center"/>
      <w:outlineLvl w:val="0"/>
    </w:pPr>
    <w:rPr>
      <w:b/>
      <w:sz w:val="32"/>
      <w:szCs w:val="20"/>
    </w:rPr>
  </w:style>
  <w:style w:type="paragraph" w:styleId="8">
    <w:name w:val="Body Text Indent"/>
    <w:basedOn w:val="1"/>
    <w:qFormat/>
    <w:uiPriority w:val="0"/>
    <w:pPr>
      <w:ind w:firstLine="750"/>
    </w:pPr>
    <w:rPr>
      <w:sz w:val="28"/>
    </w:rPr>
  </w:style>
  <w:style w:type="paragraph" w:styleId="9">
    <w:name w:val="Plain Text"/>
    <w:basedOn w:val="1"/>
    <w:qFormat/>
    <w:uiPriority w:val="0"/>
    <w:rPr>
      <w:rFonts w:ascii="宋体" w:hAnsi="Courier New"/>
      <w:szCs w:val="22"/>
    </w:rPr>
  </w:style>
  <w:style w:type="paragraph" w:styleId="10">
    <w:name w:val="footer"/>
    <w:basedOn w:val="1"/>
    <w:link w:val="3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next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2">
    <w:name w:val="Quote"/>
    <w:basedOn w:val="1"/>
    <w:next w:val="1"/>
    <w:qFormat/>
    <w:uiPriority w:val="99"/>
    <w:pPr>
      <w:ind w:left="864" w:right="864"/>
      <w:jc w:val="center"/>
    </w:pPr>
    <w:rPr>
      <w:i/>
      <w:iCs/>
      <w:color w:val="404040"/>
    </w:rPr>
  </w:style>
  <w:style w:type="paragraph" w:styleId="13">
    <w:name w:val="toc 6"/>
    <w:basedOn w:val="1"/>
    <w:next w:val="1"/>
    <w:semiHidden/>
    <w:qFormat/>
    <w:uiPriority w:val="0"/>
    <w:pPr>
      <w:ind w:left="2100" w:leftChars="1000"/>
    </w:pPr>
  </w:style>
  <w:style w:type="paragraph" w:styleId="14">
    <w:name w:val="Body Text First Indent"/>
    <w:basedOn w:val="3"/>
    <w:next w:val="15"/>
    <w:qFormat/>
    <w:uiPriority w:val="0"/>
    <w:pPr>
      <w:spacing w:after="0"/>
      <w:ind w:firstLine="420" w:firstLineChars="100"/>
    </w:pPr>
    <w:rPr>
      <w:sz w:val="21"/>
      <w:szCs w:val="21"/>
    </w:rPr>
  </w:style>
  <w:style w:type="paragraph" w:styleId="15">
    <w:name w:val="Body Text First Indent 2"/>
    <w:basedOn w:val="8"/>
    <w:qFormat/>
    <w:uiPriority w:val="99"/>
    <w:pPr>
      <w:ind w:firstLine="420" w:firstLineChars="200"/>
    </w:p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Strong"/>
    <w:basedOn w:val="18"/>
    <w:qFormat/>
    <w:uiPriority w:val="0"/>
  </w:style>
  <w:style w:type="character" w:styleId="20">
    <w:name w:val="FollowedHyperlink"/>
    <w:basedOn w:val="18"/>
    <w:qFormat/>
    <w:uiPriority w:val="0"/>
    <w:rPr>
      <w:color w:val="000000"/>
      <w:u w:val="none"/>
    </w:rPr>
  </w:style>
  <w:style w:type="character" w:styleId="21">
    <w:name w:val="Emphasis"/>
    <w:basedOn w:val="18"/>
    <w:qFormat/>
    <w:uiPriority w:val="0"/>
  </w:style>
  <w:style w:type="character" w:styleId="22">
    <w:name w:val="HTML Definition"/>
    <w:basedOn w:val="18"/>
    <w:qFormat/>
    <w:uiPriority w:val="0"/>
  </w:style>
  <w:style w:type="character" w:styleId="23">
    <w:name w:val="HTML Acronym"/>
    <w:basedOn w:val="18"/>
    <w:qFormat/>
    <w:uiPriority w:val="0"/>
  </w:style>
  <w:style w:type="character" w:styleId="24">
    <w:name w:val="HTML Variable"/>
    <w:basedOn w:val="18"/>
    <w:qFormat/>
    <w:uiPriority w:val="0"/>
  </w:style>
  <w:style w:type="character" w:styleId="25">
    <w:name w:val="Hyperlink"/>
    <w:basedOn w:val="18"/>
    <w:qFormat/>
    <w:uiPriority w:val="0"/>
    <w:rPr>
      <w:color w:val="0000FF"/>
      <w:u w:val="single"/>
    </w:rPr>
  </w:style>
  <w:style w:type="character" w:styleId="26">
    <w:name w:val="HTML Code"/>
    <w:basedOn w:val="18"/>
    <w:qFormat/>
    <w:uiPriority w:val="0"/>
    <w:rPr>
      <w:rFonts w:ascii="Courier New" w:hAnsi="Courier New"/>
      <w:sz w:val="20"/>
    </w:rPr>
  </w:style>
  <w:style w:type="character" w:styleId="27">
    <w:name w:val="HTML Cite"/>
    <w:basedOn w:val="18"/>
    <w:qFormat/>
    <w:uiPriority w:val="0"/>
  </w:style>
  <w:style w:type="paragraph" w:customStyle="1" w:styleId="28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9">
    <w:name w:val="active"/>
    <w:basedOn w:val="18"/>
    <w:qFormat/>
    <w:uiPriority w:val="0"/>
    <w:rPr>
      <w:color w:val="FFFFFF"/>
      <w:shd w:val="clear" w:color="auto" w:fill="E22323"/>
    </w:rPr>
  </w:style>
  <w:style w:type="character" w:customStyle="1" w:styleId="30">
    <w:name w:val="hover5"/>
    <w:basedOn w:val="18"/>
    <w:qFormat/>
    <w:uiPriority w:val="0"/>
    <w:rPr>
      <w:color w:val="0063BA"/>
    </w:rPr>
  </w:style>
  <w:style w:type="character" w:customStyle="1" w:styleId="31">
    <w:name w:val="margin_right202"/>
    <w:basedOn w:val="18"/>
    <w:qFormat/>
    <w:uiPriority w:val="0"/>
  </w:style>
  <w:style w:type="character" w:customStyle="1" w:styleId="32">
    <w:name w:val="before"/>
    <w:basedOn w:val="18"/>
    <w:qFormat/>
    <w:uiPriority w:val="0"/>
    <w:rPr>
      <w:shd w:val="clear" w:color="auto" w:fill="E22323"/>
    </w:rPr>
  </w:style>
  <w:style w:type="character" w:customStyle="1" w:styleId="33">
    <w:name w:val="active6"/>
    <w:basedOn w:val="18"/>
    <w:qFormat/>
    <w:uiPriority w:val="0"/>
    <w:rPr>
      <w:color w:val="FFFFFF"/>
      <w:shd w:val="clear" w:color="auto" w:fill="E22323"/>
    </w:rPr>
  </w:style>
  <w:style w:type="character" w:customStyle="1" w:styleId="34">
    <w:name w:val="页脚 字符"/>
    <w:basedOn w:val="18"/>
    <w:link w:val="10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35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699</Words>
  <Characters>995</Characters>
  <Lines>3</Lines>
  <Paragraphs>1</Paragraphs>
  <TotalTime>2</TotalTime>
  <ScaleCrop>false</ScaleCrop>
  <LinksUpToDate>false</LinksUpToDate>
  <CharactersWithSpaces>1020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张珊。</cp:lastModifiedBy>
  <cp:lastPrinted>2026-10-08T04:55:00Z</cp:lastPrinted>
  <dcterms:modified xsi:type="dcterms:W3CDTF">2026-10-09T06:46:55Z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58E5E9A723A548B7A4461A5D08BFA01D_13</vt:lpwstr>
  </property>
  <property fmtid="{D5CDD505-2E9C-101B-9397-08002B2CF9AE}" pid="4" name="KSOTemplateDocerSaveRecord">
    <vt:lpwstr>eyJoZGlkIjoiMTUxNjU4Y2I1ZTg1ZmY0MTJiZWRhYWQxYzNmOTNlNDEiLCJ1c2VySWQiOiIyMTg5Mjc5NjMifQ==</vt:lpwstr>
  </property>
</Properties>
</file>